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87B25A">
      <w:pPr>
        <w:spacing w:line="360" w:lineRule="auto"/>
        <w:jc w:val="center"/>
        <w:rPr>
          <w:rFonts w:hint="eastAsia" w:ascii="Times New Roman" w:hAnsi="Times New Roman" w:eastAsia="黑体"/>
          <w:color w:val="000000"/>
          <w:kern w:val="2"/>
          <w:sz w:val="72"/>
          <w:szCs w:val="24"/>
        </w:rPr>
      </w:pPr>
    </w:p>
    <w:p w14:paraId="43C80565">
      <w:pPr>
        <w:spacing w:line="1400" w:lineRule="exact"/>
        <w:jc w:val="center"/>
        <w:rPr>
          <w:rFonts w:hint="eastAsia" w:ascii="Times New Roman" w:hAnsi="Times New Roman" w:eastAsia="方正小标宋简体"/>
          <w:color w:val="000000"/>
          <w:kern w:val="2"/>
          <w:sz w:val="72"/>
          <w:szCs w:val="24"/>
        </w:rPr>
      </w:pPr>
      <w:r>
        <w:rPr>
          <w:rFonts w:hint="eastAsia" w:ascii="Times New Roman" w:hAnsi="Times New Roman" w:eastAsia="方正小标宋简体"/>
          <w:color w:val="000000"/>
          <w:kern w:val="2"/>
          <w:sz w:val="72"/>
          <w:szCs w:val="24"/>
          <w:lang w:eastAsia="zh-CN"/>
        </w:rPr>
        <w:t>2024</w:t>
      </w:r>
      <w:r>
        <w:rPr>
          <w:rFonts w:hint="eastAsia" w:ascii="Times New Roman" w:hAnsi="Times New Roman" w:eastAsia="方正小标宋简体"/>
          <w:color w:val="000000"/>
          <w:kern w:val="2"/>
          <w:sz w:val="72"/>
          <w:szCs w:val="24"/>
        </w:rPr>
        <w:t>年度</w:t>
      </w:r>
    </w:p>
    <w:p w14:paraId="05E66658">
      <w:pPr>
        <w:spacing w:line="1400" w:lineRule="exact"/>
        <w:jc w:val="center"/>
        <w:rPr>
          <w:rFonts w:hint="eastAsia" w:ascii="Times New Roman" w:hAnsi="Times New Roman" w:eastAsia="方正小标宋简体"/>
          <w:color w:val="000000"/>
          <w:kern w:val="2"/>
          <w:sz w:val="52"/>
          <w:szCs w:val="24"/>
          <w:highlight w:val="white"/>
        </w:rPr>
      </w:pPr>
      <w:r>
        <w:rPr>
          <w:rFonts w:hint="eastAsia" w:ascii="Times New Roman" w:hAnsi="Times New Roman" w:eastAsia="方正小标宋简体"/>
          <w:sz w:val="72"/>
          <w:szCs w:val="72"/>
        </w:rPr>
        <w:t>四川省广元市昭化区妇女联合会</w:t>
      </w:r>
      <w:r>
        <w:rPr>
          <w:rFonts w:hint="eastAsia" w:ascii="Times New Roman" w:hAnsi="Times New Roman" w:eastAsia="方正小标宋简体"/>
          <w:color w:val="000000"/>
          <w:kern w:val="2"/>
          <w:sz w:val="72"/>
          <w:szCs w:val="24"/>
        </w:rPr>
        <w:t>单位决算</w:t>
      </w:r>
    </w:p>
    <w:p w14:paraId="5514373F">
      <w:pPr>
        <w:keepNext/>
        <w:keepLines/>
        <w:spacing w:line="576" w:lineRule="exact"/>
        <w:jc w:val="center"/>
        <w:rPr>
          <w:rFonts w:hint="eastAsia" w:ascii="Times New Roman" w:hAnsi="Times New Roman" w:eastAsia="黑体"/>
          <w:kern w:val="2"/>
          <w:sz w:val="48"/>
          <w:szCs w:val="24"/>
        </w:rPr>
        <w:sectPr>
          <w:pgSz w:w="12240" w:h="15840"/>
          <w:pgMar w:top="2098" w:right="1474" w:bottom="1984" w:left="1587" w:header="850" w:footer="1474" w:gutter="0"/>
          <w:lnNumType w:countBy="0" w:distance="360"/>
          <w:pgNumType w:fmt="decimal" w:start="0"/>
          <w:cols w:space="0" w:num="1"/>
          <w:rtlGutter w:val="0"/>
          <w:docGrid w:linePitch="0" w:charSpace="0"/>
        </w:sectPr>
      </w:pPr>
    </w:p>
    <w:p w14:paraId="17A09ABB">
      <w:pPr>
        <w:overflowPunct w:val="0"/>
        <w:topLinePunct/>
        <w:spacing w:beforeLines="0" w:afterLines="0" w:line="576" w:lineRule="exact"/>
        <w:jc w:val="center"/>
        <w:rPr>
          <w:rFonts w:hint="eastAsia" w:ascii="Times New Roman" w:hAnsi="Times New Roman" w:eastAsia="方正小标宋简体" w:cs="方正小标宋简体"/>
          <w:color w:val="auto"/>
          <w:kern w:val="2"/>
          <w:sz w:val="48"/>
          <w:szCs w:val="48"/>
        </w:rPr>
      </w:pPr>
      <w:r>
        <w:rPr>
          <w:rFonts w:hint="eastAsia" w:ascii="Times New Roman" w:hAnsi="Times New Roman" w:eastAsia="方正小标宋简体" w:cs="方正小标宋简体"/>
          <w:color w:val="auto"/>
          <w:kern w:val="2"/>
          <w:sz w:val="48"/>
          <w:szCs w:val="48"/>
        </w:rPr>
        <w:t>目</w:t>
      </w:r>
      <w:r>
        <w:rPr>
          <w:rFonts w:hint="eastAsia" w:ascii="Times New Roman" w:hAnsi="Times New Roman" w:eastAsia="方正小标宋简体" w:cs="方正小标宋简体"/>
          <w:color w:val="auto"/>
          <w:kern w:val="2"/>
          <w:sz w:val="48"/>
          <w:szCs w:val="48"/>
          <w:lang w:val="en-US" w:eastAsia="zh-CN"/>
        </w:rPr>
        <w:t xml:space="preserve">     </w:t>
      </w:r>
      <w:r>
        <w:rPr>
          <w:rFonts w:hint="eastAsia" w:ascii="Times New Roman" w:hAnsi="Times New Roman" w:eastAsia="方正小标宋简体" w:cs="方正小标宋简体"/>
          <w:color w:val="auto"/>
          <w:kern w:val="2"/>
          <w:sz w:val="48"/>
          <w:szCs w:val="48"/>
        </w:rPr>
        <w:t>录</w:t>
      </w:r>
    </w:p>
    <w:p w14:paraId="680E807C">
      <w:pPr>
        <w:pStyle w:val="10"/>
        <w:keepNext w:val="0"/>
        <w:keepLines w:val="0"/>
        <w:pageBreakBefore w:val="0"/>
        <w:widowControl w:val="0"/>
        <w:tabs>
          <w:tab w:val="right" w:leader="middleDot" w:pos="9179"/>
        </w:tabs>
        <w:kinsoku/>
        <w:wordWrap/>
        <w:overflowPunct/>
        <w:topLinePunct w:val="0"/>
        <w:autoSpaceDE w:val="0"/>
        <w:autoSpaceDN w:val="0"/>
        <w:bidi w:val="0"/>
        <w:adjustRightInd w:val="0"/>
        <w:snapToGrid/>
        <w:spacing w:line="600" w:lineRule="exact"/>
        <w:textAlignment w:val="auto"/>
        <w:rPr>
          <w:rFonts w:hint="eastAsia" w:ascii="Times New Roman" w:hAnsi="Times New Roman" w:eastAsia="黑体" w:cs="黑体"/>
          <w:sz w:val="32"/>
          <w:szCs w:val="32"/>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color w:val="auto"/>
          <w:sz w:val="32"/>
          <w:szCs w:val="32"/>
          <w:lang w:val="zh-CN"/>
        </w:rPr>
        <w:instrText xml:space="preserve">TOC \o "1-2" \h \u </w:instrText>
      </w:r>
      <w:r>
        <w:rPr>
          <w:rFonts w:hint="eastAsia" w:ascii="Times New Roman" w:hAnsi="Times New Roman" w:eastAsia="仿宋_GB2312" w:cs="仿宋_GB2312"/>
          <w:color w:val="auto"/>
          <w:sz w:val="32"/>
          <w:szCs w:val="32"/>
          <w:lang w:val="zh-CN"/>
        </w:rPr>
        <w:fldChar w:fldCharType="separate"/>
      </w:r>
      <w:r>
        <w:rPr>
          <w:rFonts w:hint="eastAsia" w:ascii="Times New Roman" w:hAnsi="Times New Roman" w:eastAsia="黑体" w:cs="黑体"/>
          <w:color w:val="auto"/>
          <w:sz w:val="32"/>
          <w:szCs w:val="32"/>
          <w:lang w:val="zh-CN"/>
        </w:rPr>
        <w:fldChar w:fldCharType="begin"/>
      </w:r>
      <w:r>
        <w:rPr>
          <w:rFonts w:hint="eastAsia" w:ascii="Times New Roman" w:hAnsi="Times New Roman" w:eastAsia="黑体" w:cs="黑体"/>
          <w:sz w:val="32"/>
          <w:szCs w:val="32"/>
          <w:lang w:val="zh-CN"/>
        </w:rPr>
        <w:instrText xml:space="preserve"> HYPERLINK \l _Toc2446 </w:instrText>
      </w:r>
      <w:r>
        <w:rPr>
          <w:rFonts w:hint="eastAsia" w:ascii="Times New Roman" w:hAnsi="Times New Roman" w:eastAsia="黑体" w:cs="黑体"/>
          <w:sz w:val="32"/>
          <w:szCs w:val="32"/>
          <w:lang w:val="zh-CN"/>
        </w:rPr>
        <w:fldChar w:fldCharType="separate"/>
      </w:r>
      <w:r>
        <w:rPr>
          <w:rFonts w:hint="eastAsia" w:ascii="Times New Roman" w:hAnsi="Times New Roman" w:eastAsia="黑体" w:cs="黑体"/>
          <w:sz w:val="32"/>
          <w:szCs w:val="32"/>
        </w:rPr>
        <w:t>第一部分 单位概况</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_Toc2446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rPr>
        <w:fldChar w:fldCharType="end"/>
      </w:r>
      <w:r>
        <w:rPr>
          <w:rFonts w:hint="eastAsia" w:ascii="Times New Roman" w:hAnsi="Times New Roman" w:eastAsia="黑体" w:cs="黑体"/>
          <w:color w:val="auto"/>
          <w:sz w:val="32"/>
          <w:szCs w:val="32"/>
          <w:lang w:val="zh-CN"/>
        </w:rPr>
        <w:fldChar w:fldCharType="end"/>
      </w:r>
    </w:p>
    <w:p w14:paraId="5357889D">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_Toc1684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rPr>
        <w:t>一、主要职责</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_Toc1684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color w:val="auto"/>
          <w:sz w:val="32"/>
          <w:szCs w:val="32"/>
          <w:lang w:val="zh-CN"/>
        </w:rPr>
        <w:fldChar w:fldCharType="end"/>
      </w:r>
    </w:p>
    <w:p w14:paraId="10F3001B">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_Toc29844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rPr>
        <w:t>二、机构设置</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4</w:t>
      </w:r>
      <w:r>
        <w:rPr>
          <w:rFonts w:hint="eastAsia" w:ascii="Times New Roman" w:hAnsi="Times New Roman" w:eastAsia="仿宋_GB2312" w:cs="仿宋_GB2312"/>
          <w:color w:val="auto"/>
          <w:sz w:val="32"/>
          <w:szCs w:val="32"/>
          <w:lang w:val="zh-CN"/>
        </w:rPr>
        <w:fldChar w:fldCharType="end"/>
      </w:r>
    </w:p>
    <w:p w14:paraId="37E9914D">
      <w:pPr>
        <w:pStyle w:val="10"/>
        <w:keepNext w:val="0"/>
        <w:keepLines w:val="0"/>
        <w:pageBreakBefore w:val="0"/>
        <w:widowControl w:val="0"/>
        <w:tabs>
          <w:tab w:val="right" w:leader="middleDot" w:pos="9179"/>
        </w:tabs>
        <w:kinsoku/>
        <w:wordWrap/>
        <w:overflowPunct/>
        <w:topLinePunct w:val="0"/>
        <w:autoSpaceDE w:val="0"/>
        <w:autoSpaceDN w:val="0"/>
        <w:bidi w:val="0"/>
        <w:adjustRightInd w:val="0"/>
        <w:snapToGrid/>
        <w:spacing w:line="600" w:lineRule="exact"/>
        <w:textAlignment w:val="auto"/>
        <w:rPr>
          <w:rFonts w:hint="eastAsia" w:ascii="Times New Roman" w:hAnsi="Times New Roman" w:eastAsia="黑体" w:cs="黑体"/>
          <w:color w:val="auto"/>
          <w:sz w:val="32"/>
          <w:szCs w:val="32"/>
          <w:lang w:val="zh-CN"/>
        </w:rPr>
      </w:pPr>
      <w:r>
        <w:rPr>
          <w:rFonts w:hint="eastAsia" w:ascii="Times New Roman" w:hAnsi="Times New Roman" w:eastAsia="黑体" w:cs="黑体"/>
          <w:color w:val="auto"/>
          <w:sz w:val="32"/>
          <w:szCs w:val="32"/>
          <w:lang w:val="zh-CN"/>
        </w:rPr>
        <w:fldChar w:fldCharType="begin"/>
      </w:r>
      <w:r>
        <w:rPr>
          <w:rFonts w:hint="eastAsia" w:ascii="Times New Roman" w:hAnsi="Times New Roman" w:eastAsia="黑体" w:cs="黑体"/>
          <w:color w:val="auto"/>
          <w:sz w:val="32"/>
          <w:szCs w:val="32"/>
          <w:lang w:val="zh-CN"/>
        </w:rPr>
        <w:instrText xml:space="preserve"> HYPERLINK \l _Toc6540 </w:instrText>
      </w:r>
      <w:r>
        <w:rPr>
          <w:rFonts w:hint="eastAsia" w:ascii="Times New Roman" w:hAnsi="Times New Roman" w:eastAsia="黑体" w:cs="黑体"/>
          <w:color w:val="auto"/>
          <w:sz w:val="32"/>
          <w:szCs w:val="32"/>
          <w:lang w:val="zh-CN"/>
        </w:rPr>
        <w:fldChar w:fldCharType="separate"/>
      </w:r>
      <w:r>
        <w:rPr>
          <w:rFonts w:hint="eastAsia" w:ascii="Times New Roman" w:hAnsi="Times New Roman" w:eastAsia="黑体" w:cs="黑体"/>
          <w:color w:val="auto"/>
          <w:sz w:val="32"/>
          <w:szCs w:val="32"/>
          <w:lang w:val="zh-CN"/>
        </w:rPr>
        <w:t xml:space="preserve">第二部分 </w:t>
      </w:r>
      <w:r>
        <w:rPr>
          <w:rFonts w:hint="eastAsia" w:ascii="Times New Roman" w:hAnsi="Times New Roman" w:eastAsia="黑体" w:cs="黑体"/>
          <w:color w:val="auto"/>
          <w:sz w:val="32"/>
          <w:szCs w:val="32"/>
          <w:lang w:val="zh-CN" w:eastAsia="zh-CN"/>
        </w:rPr>
        <w:t>2024</w:t>
      </w:r>
      <w:r>
        <w:rPr>
          <w:rFonts w:hint="eastAsia" w:ascii="Times New Roman" w:hAnsi="Times New Roman" w:eastAsia="黑体" w:cs="黑体"/>
          <w:color w:val="auto"/>
          <w:sz w:val="32"/>
          <w:szCs w:val="32"/>
          <w:lang w:val="zh-CN"/>
        </w:rPr>
        <w:t>年度单位决算情况说明</w:t>
      </w:r>
      <w:r>
        <w:rPr>
          <w:rFonts w:hint="eastAsia" w:ascii="Times New Roman" w:hAnsi="Times New Roman" w:eastAsia="黑体" w:cs="黑体"/>
          <w:color w:val="auto"/>
          <w:sz w:val="32"/>
          <w:szCs w:val="32"/>
          <w:lang w:val="zh-CN"/>
        </w:rPr>
        <w:tab/>
      </w:r>
      <w:r>
        <w:rPr>
          <w:rFonts w:hint="eastAsia" w:ascii="Times New Roman" w:hAnsi="Times New Roman" w:eastAsia="黑体" w:cs="黑体"/>
          <w:color w:val="auto"/>
          <w:sz w:val="32"/>
          <w:szCs w:val="32"/>
          <w:lang w:val="zh-CN"/>
        </w:rPr>
        <w:fldChar w:fldCharType="begin"/>
      </w:r>
      <w:r>
        <w:rPr>
          <w:rFonts w:hint="eastAsia" w:ascii="Times New Roman" w:hAnsi="Times New Roman" w:eastAsia="黑体" w:cs="黑体"/>
          <w:color w:val="auto"/>
          <w:sz w:val="32"/>
          <w:szCs w:val="32"/>
          <w:lang w:val="zh-CN"/>
        </w:rPr>
        <w:instrText xml:space="preserve"> PAGEREF _Toc6540 \h </w:instrText>
      </w:r>
      <w:r>
        <w:rPr>
          <w:rFonts w:hint="eastAsia" w:ascii="Times New Roman" w:hAnsi="Times New Roman" w:eastAsia="黑体" w:cs="黑体"/>
          <w:color w:val="auto"/>
          <w:sz w:val="32"/>
          <w:szCs w:val="32"/>
          <w:lang w:val="zh-CN"/>
        </w:rPr>
        <w:fldChar w:fldCharType="separate"/>
      </w:r>
      <w:r>
        <w:rPr>
          <w:rFonts w:hint="eastAsia" w:ascii="Times New Roman" w:hAnsi="Times New Roman" w:eastAsia="黑体" w:cs="黑体"/>
          <w:color w:val="auto"/>
          <w:sz w:val="32"/>
          <w:szCs w:val="32"/>
          <w:lang w:val="zh-CN"/>
        </w:rPr>
        <w:t>5</w:t>
      </w:r>
      <w:r>
        <w:rPr>
          <w:rFonts w:hint="eastAsia" w:ascii="Times New Roman" w:hAnsi="Times New Roman" w:eastAsia="黑体" w:cs="黑体"/>
          <w:color w:val="auto"/>
          <w:sz w:val="32"/>
          <w:szCs w:val="32"/>
          <w:lang w:val="zh-CN"/>
        </w:rPr>
        <w:fldChar w:fldCharType="end"/>
      </w:r>
      <w:r>
        <w:rPr>
          <w:rFonts w:hint="eastAsia" w:ascii="Times New Roman" w:hAnsi="Times New Roman" w:eastAsia="黑体" w:cs="黑体"/>
          <w:color w:val="auto"/>
          <w:sz w:val="32"/>
          <w:szCs w:val="32"/>
          <w:lang w:val="zh-CN"/>
        </w:rPr>
        <w:fldChar w:fldCharType="end"/>
      </w:r>
    </w:p>
    <w:p w14:paraId="1ABE4EC8">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_Toc17189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rPr>
        <w:t>一、收入支出决算总体情况说明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_Toc17189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color w:val="auto"/>
          <w:sz w:val="32"/>
          <w:szCs w:val="32"/>
          <w:lang w:val="zh-CN"/>
        </w:rPr>
        <w:fldChar w:fldCharType="end"/>
      </w:r>
    </w:p>
    <w:p w14:paraId="5CBB5535">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_Toc3211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rPr>
        <w:t>二、收入决算情况说明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_Toc3211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color w:val="auto"/>
          <w:sz w:val="32"/>
          <w:szCs w:val="32"/>
          <w:lang w:val="zh-CN"/>
        </w:rPr>
        <w:fldChar w:fldCharType="end"/>
      </w:r>
    </w:p>
    <w:p w14:paraId="785EDD86">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_Toc28346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rPr>
        <w:t>三、支出决算情况说明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_Toc28346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color w:val="auto"/>
          <w:sz w:val="32"/>
          <w:szCs w:val="32"/>
          <w:lang w:val="zh-CN"/>
        </w:rPr>
        <w:fldChar w:fldCharType="end"/>
      </w:r>
    </w:p>
    <w:p w14:paraId="596C4955">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_Toc6712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四、</w:t>
      </w:r>
      <w:r>
        <w:rPr>
          <w:rFonts w:hint="eastAsia" w:ascii="Times New Roman" w:hAnsi="Times New Roman" w:eastAsia="仿宋_GB2312" w:cs="仿宋_GB2312"/>
          <w:kern w:val="2"/>
          <w:sz w:val="32"/>
          <w:szCs w:val="32"/>
        </w:rPr>
        <w:t>财政拨款收入支出决算总体情况说明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_Toc6712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7</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color w:val="auto"/>
          <w:sz w:val="32"/>
          <w:szCs w:val="32"/>
          <w:lang w:val="zh-CN"/>
        </w:rPr>
        <w:fldChar w:fldCharType="end"/>
      </w:r>
    </w:p>
    <w:p w14:paraId="2069D7C9">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_Toc14859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五、一般公共预算财政拨款支出决算情况说明</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8</w:t>
      </w:r>
      <w:r>
        <w:rPr>
          <w:rFonts w:hint="eastAsia" w:ascii="Times New Roman" w:hAnsi="Times New Roman" w:eastAsia="仿宋_GB2312" w:cs="仿宋_GB2312"/>
          <w:color w:val="auto"/>
          <w:sz w:val="32"/>
          <w:szCs w:val="32"/>
          <w:lang w:val="zh-CN"/>
        </w:rPr>
        <w:fldChar w:fldCharType="end"/>
      </w:r>
    </w:p>
    <w:p w14:paraId="7DC5C689">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_Toc27226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六、一般公共预算财政拨款基本支出决算情况说明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_Toc27226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10</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color w:val="auto"/>
          <w:sz w:val="32"/>
          <w:szCs w:val="32"/>
          <w:lang w:val="zh-CN"/>
        </w:rPr>
        <w:fldChar w:fldCharType="end"/>
      </w:r>
    </w:p>
    <w:p w14:paraId="1DFF039A">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_Toc1546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七、财政拨款“三公”经费支出决算情况说明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_Toc1546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w:t>
      </w:r>
      <w:r>
        <w:rPr>
          <w:rFonts w:hint="eastAsia" w:eastAsia="仿宋_GB2312" w:cs="仿宋_GB2312"/>
          <w:sz w:val="32"/>
          <w:szCs w:val="32"/>
          <w:lang w:val="en-US" w:eastAsia="zh-CN"/>
        </w:rPr>
        <w:t>1</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color w:val="auto"/>
          <w:sz w:val="32"/>
          <w:szCs w:val="32"/>
          <w:lang w:val="zh-CN"/>
        </w:rPr>
        <w:fldChar w:fldCharType="end"/>
      </w:r>
    </w:p>
    <w:p w14:paraId="13054E63">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_Toc22866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八、政府性基金预算支出决算情况说明</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3</w:t>
      </w:r>
    </w:p>
    <w:p w14:paraId="20748D12">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_Toc10210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九、国有资本经营预算支出决算情况说明</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3</w:t>
      </w:r>
    </w:p>
    <w:p w14:paraId="4A9B41BD">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_Toc28842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十、其他重要事项的情况说明</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3</w:t>
      </w:r>
      <w:bookmarkStart w:id="29" w:name="_GoBack"/>
      <w:bookmarkEnd w:id="29"/>
    </w:p>
    <w:p w14:paraId="38B0DA66">
      <w:pPr>
        <w:pStyle w:val="10"/>
        <w:keepNext w:val="0"/>
        <w:keepLines w:val="0"/>
        <w:pageBreakBefore w:val="0"/>
        <w:widowControl w:val="0"/>
        <w:tabs>
          <w:tab w:val="right" w:leader="middleDot" w:pos="9179"/>
        </w:tabs>
        <w:kinsoku/>
        <w:wordWrap/>
        <w:overflowPunct/>
        <w:topLinePunct w:val="0"/>
        <w:autoSpaceDE w:val="0"/>
        <w:autoSpaceDN w:val="0"/>
        <w:bidi w:val="0"/>
        <w:adjustRightInd w:val="0"/>
        <w:snapToGrid/>
        <w:spacing w:line="600" w:lineRule="exact"/>
        <w:textAlignment w:val="auto"/>
        <w:rPr>
          <w:rFonts w:hint="eastAsia" w:ascii="Times New Roman" w:hAnsi="Times New Roman" w:eastAsia="黑体" w:cs="黑体"/>
          <w:color w:val="auto"/>
          <w:sz w:val="32"/>
          <w:szCs w:val="32"/>
          <w:lang w:val="zh-CN"/>
        </w:rPr>
      </w:pPr>
      <w:r>
        <w:rPr>
          <w:rFonts w:hint="eastAsia" w:ascii="Times New Roman" w:hAnsi="Times New Roman" w:eastAsia="黑体" w:cs="黑体"/>
          <w:color w:val="auto"/>
          <w:sz w:val="32"/>
          <w:szCs w:val="32"/>
          <w:lang w:val="zh-CN"/>
        </w:rPr>
        <w:fldChar w:fldCharType="begin"/>
      </w:r>
      <w:r>
        <w:rPr>
          <w:rFonts w:hint="eastAsia" w:ascii="Times New Roman" w:hAnsi="Times New Roman" w:eastAsia="黑体" w:cs="黑体"/>
          <w:color w:val="auto"/>
          <w:sz w:val="32"/>
          <w:szCs w:val="32"/>
          <w:lang w:val="zh-CN"/>
        </w:rPr>
        <w:instrText xml:space="preserve"> HYPERLINK \l _Toc4056 </w:instrText>
      </w:r>
      <w:r>
        <w:rPr>
          <w:rFonts w:hint="eastAsia" w:ascii="Times New Roman" w:hAnsi="Times New Roman" w:eastAsia="黑体" w:cs="黑体"/>
          <w:color w:val="auto"/>
          <w:sz w:val="32"/>
          <w:szCs w:val="32"/>
          <w:lang w:val="zh-CN"/>
        </w:rPr>
        <w:fldChar w:fldCharType="separate"/>
      </w:r>
      <w:r>
        <w:rPr>
          <w:rFonts w:hint="eastAsia" w:ascii="Times New Roman" w:hAnsi="Times New Roman" w:eastAsia="黑体" w:cs="黑体"/>
          <w:color w:val="auto"/>
          <w:sz w:val="32"/>
          <w:szCs w:val="32"/>
          <w:lang w:val="zh-CN"/>
        </w:rPr>
        <w:t>第三部分 名词解释</w:t>
      </w:r>
      <w:r>
        <w:rPr>
          <w:rFonts w:hint="eastAsia" w:ascii="Times New Roman" w:hAnsi="Times New Roman" w:eastAsia="黑体" w:cs="黑体"/>
          <w:color w:val="auto"/>
          <w:sz w:val="32"/>
          <w:szCs w:val="32"/>
          <w:lang w:val="zh-CN"/>
        </w:rPr>
        <w:tab/>
      </w:r>
      <w:r>
        <w:rPr>
          <w:rFonts w:hint="eastAsia" w:ascii="Times New Roman" w:hAnsi="Times New Roman" w:eastAsia="黑体" w:cs="黑体"/>
          <w:color w:val="auto"/>
          <w:sz w:val="32"/>
          <w:szCs w:val="32"/>
          <w:lang w:val="zh-CN"/>
        </w:rPr>
        <w:fldChar w:fldCharType="begin"/>
      </w:r>
      <w:r>
        <w:rPr>
          <w:rFonts w:hint="eastAsia" w:ascii="Times New Roman" w:hAnsi="Times New Roman" w:eastAsia="黑体" w:cs="黑体"/>
          <w:color w:val="auto"/>
          <w:sz w:val="32"/>
          <w:szCs w:val="32"/>
          <w:lang w:val="zh-CN"/>
        </w:rPr>
        <w:instrText xml:space="preserve"> PAGEREF _Toc4056 \h </w:instrText>
      </w:r>
      <w:r>
        <w:rPr>
          <w:rFonts w:hint="eastAsia" w:ascii="Times New Roman" w:hAnsi="Times New Roman" w:eastAsia="黑体" w:cs="黑体"/>
          <w:color w:val="auto"/>
          <w:sz w:val="32"/>
          <w:szCs w:val="32"/>
          <w:lang w:val="zh-CN"/>
        </w:rPr>
        <w:fldChar w:fldCharType="separate"/>
      </w:r>
      <w:r>
        <w:rPr>
          <w:rFonts w:hint="eastAsia" w:ascii="Times New Roman" w:hAnsi="Times New Roman" w:eastAsia="黑体" w:cs="黑体"/>
          <w:color w:val="auto"/>
          <w:sz w:val="32"/>
          <w:szCs w:val="32"/>
          <w:lang w:val="zh-CN"/>
        </w:rPr>
        <w:t>15</w:t>
      </w:r>
      <w:r>
        <w:rPr>
          <w:rFonts w:hint="eastAsia" w:ascii="Times New Roman" w:hAnsi="Times New Roman" w:eastAsia="黑体" w:cs="黑体"/>
          <w:color w:val="auto"/>
          <w:sz w:val="32"/>
          <w:szCs w:val="32"/>
          <w:lang w:val="zh-CN"/>
        </w:rPr>
        <w:fldChar w:fldCharType="end"/>
      </w:r>
      <w:r>
        <w:rPr>
          <w:rFonts w:hint="eastAsia" w:ascii="Times New Roman" w:hAnsi="Times New Roman" w:eastAsia="黑体" w:cs="黑体"/>
          <w:color w:val="auto"/>
          <w:sz w:val="32"/>
          <w:szCs w:val="32"/>
          <w:lang w:val="zh-CN"/>
        </w:rPr>
        <w:fldChar w:fldCharType="end"/>
      </w:r>
    </w:p>
    <w:p w14:paraId="0EC0BC9F">
      <w:pPr>
        <w:pStyle w:val="10"/>
        <w:keepNext w:val="0"/>
        <w:keepLines w:val="0"/>
        <w:pageBreakBefore w:val="0"/>
        <w:widowControl w:val="0"/>
        <w:tabs>
          <w:tab w:val="right" w:leader="middleDot" w:pos="9179"/>
        </w:tabs>
        <w:kinsoku/>
        <w:wordWrap/>
        <w:overflowPunct/>
        <w:topLinePunct w:val="0"/>
        <w:autoSpaceDE w:val="0"/>
        <w:autoSpaceDN w:val="0"/>
        <w:bidi w:val="0"/>
        <w:adjustRightInd w:val="0"/>
        <w:snapToGrid/>
        <w:spacing w:line="600" w:lineRule="exact"/>
        <w:textAlignment w:val="auto"/>
        <w:rPr>
          <w:rFonts w:hint="eastAsia" w:ascii="Times New Roman" w:hAnsi="Times New Roman" w:eastAsia="黑体" w:cs="黑体"/>
          <w:color w:val="auto"/>
          <w:sz w:val="32"/>
          <w:szCs w:val="32"/>
          <w:lang w:val="zh-CN"/>
        </w:rPr>
      </w:pPr>
      <w:r>
        <w:rPr>
          <w:rFonts w:hint="eastAsia" w:ascii="Times New Roman" w:hAnsi="Times New Roman" w:eastAsia="黑体" w:cs="黑体"/>
          <w:color w:val="auto"/>
          <w:sz w:val="32"/>
          <w:szCs w:val="32"/>
          <w:lang w:val="zh-CN"/>
        </w:rPr>
        <w:fldChar w:fldCharType="begin"/>
      </w:r>
      <w:r>
        <w:rPr>
          <w:rFonts w:hint="eastAsia" w:ascii="Times New Roman" w:hAnsi="Times New Roman" w:eastAsia="黑体" w:cs="黑体"/>
          <w:color w:val="auto"/>
          <w:sz w:val="32"/>
          <w:szCs w:val="32"/>
          <w:lang w:val="zh-CN"/>
        </w:rPr>
        <w:instrText xml:space="preserve"> HYPERLINK \l _Toc16623 </w:instrText>
      </w:r>
      <w:r>
        <w:rPr>
          <w:rFonts w:hint="eastAsia" w:ascii="Times New Roman" w:hAnsi="Times New Roman" w:eastAsia="黑体" w:cs="黑体"/>
          <w:color w:val="auto"/>
          <w:sz w:val="32"/>
          <w:szCs w:val="32"/>
          <w:lang w:val="zh-CN"/>
        </w:rPr>
        <w:fldChar w:fldCharType="separate"/>
      </w:r>
      <w:r>
        <w:rPr>
          <w:rFonts w:hint="eastAsia" w:ascii="Times New Roman" w:hAnsi="Times New Roman" w:eastAsia="黑体" w:cs="黑体"/>
          <w:color w:val="auto"/>
          <w:sz w:val="32"/>
          <w:szCs w:val="32"/>
          <w:lang w:val="en-US" w:eastAsia="zh-CN"/>
        </w:rPr>
        <w:t xml:space="preserve">第四部分  </w:t>
      </w:r>
      <w:r>
        <w:rPr>
          <w:rFonts w:hint="eastAsia" w:ascii="Times New Roman" w:hAnsi="Times New Roman" w:eastAsia="黑体" w:cs="黑体"/>
          <w:color w:val="auto"/>
          <w:sz w:val="32"/>
          <w:szCs w:val="32"/>
          <w:lang w:val="zh-CN"/>
        </w:rPr>
        <w:t>附件</w:t>
      </w:r>
      <w:r>
        <w:rPr>
          <w:rFonts w:hint="eastAsia" w:ascii="Times New Roman" w:hAnsi="Times New Roman" w:eastAsia="黑体" w:cs="黑体"/>
          <w:color w:val="auto"/>
          <w:sz w:val="32"/>
          <w:szCs w:val="32"/>
          <w:lang w:val="zh-CN"/>
        </w:rPr>
        <w:tab/>
      </w:r>
      <w:r>
        <w:rPr>
          <w:rFonts w:hint="eastAsia" w:ascii="Times New Roman" w:hAnsi="Times New Roman" w:eastAsia="黑体" w:cs="黑体"/>
          <w:color w:val="auto"/>
          <w:sz w:val="32"/>
          <w:szCs w:val="32"/>
          <w:lang w:val="zh-CN"/>
        </w:rPr>
        <w:fldChar w:fldCharType="begin"/>
      </w:r>
      <w:r>
        <w:rPr>
          <w:rFonts w:hint="eastAsia" w:ascii="Times New Roman" w:hAnsi="Times New Roman" w:eastAsia="黑体" w:cs="黑体"/>
          <w:color w:val="auto"/>
          <w:sz w:val="32"/>
          <w:szCs w:val="32"/>
          <w:lang w:val="zh-CN"/>
        </w:rPr>
        <w:instrText xml:space="preserve"> PAGEREF _Toc16623 \h </w:instrText>
      </w:r>
      <w:r>
        <w:rPr>
          <w:rFonts w:hint="eastAsia" w:ascii="Times New Roman" w:hAnsi="Times New Roman" w:eastAsia="黑体" w:cs="黑体"/>
          <w:color w:val="auto"/>
          <w:sz w:val="32"/>
          <w:szCs w:val="32"/>
          <w:lang w:val="zh-CN"/>
        </w:rPr>
        <w:fldChar w:fldCharType="separate"/>
      </w:r>
      <w:r>
        <w:rPr>
          <w:rFonts w:hint="eastAsia" w:ascii="Times New Roman" w:hAnsi="Times New Roman" w:eastAsia="黑体" w:cs="黑体"/>
          <w:color w:val="auto"/>
          <w:sz w:val="32"/>
          <w:szCs w:val="32"/>
          <w:lang w:val="zh-CN"/>
        </w:rPr>
        <w:t>18</w:t>
      </w:r>
      <w:r>
        <w:rPr>
          <w:rFonts w:hint="eastAsia" w:ascii="Times New Roman" w:hAnsi="Times New Roman" w:eastAsia="黑体" w:cs="黑体"/>
          <w:color w:val="auto"/>
          <w:sz w:val="32"/>
          <w:szCs w:val="32"/>
          <w:lang w:val="zh-CN"/>
        </w:rPr>
        <w:fldChar w:fldCharType="end"/>
      </w:r>
      <w:r>
        <w:rPr>
          <w:rFonts w:hint="eastAsia" w:ascii="Times New Roman" w:hAnsi="Times New Roman" w:eastAsia="黑体" w:cs="黑体"/>
          <w:color w:val="auto"/>
          <w:sz w:val="32"/>
          <w:szCs w:val="32"/>
          <w:lang w:val="zh-CN"/>
        </w:rPr>
        <w:fldChar w:fldCharType="end"/>
      </w:r>
    </w:p>
    <w:p w14:paraId="5ED1CA34">
      <w:pPr>
        <w:pStyle w:val="10"/>
        <w:keepNext w:val="0"/>
        <w:keepLines w:val="0"/>
        <w:pageBreakBefore w:val="0"/>
        <w:widowControl w:val="0"/>
        <w:tabs>
          <w:tab w:val="right" w:leader="middleDot" w:pos="9179"/>
        </w:tabs>
        <w:kinsoku/>
        <w:wordWrap/>
        <w:overflowPunct/>
        <w:topLinePunct w:val="0"/>
        <w:autoSpaceDE w:val="0"/>
        <w:autoSpaceDN w:val="0"/>
        <w:bidi w:val="0"/>
        <w:adjustRightInd w:val="0"/>
        <w:snapToGrid/>
        <w:spacing w:line="600" w:lineRule="exac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zh-CN"/>
        </w:rPr>
        <w:fldChar w:fldCharType="begin"/>
      </w:r>
      <w:r>
        <w:rPr>
          <w:rFonts w:hint="eastAsia" w:ascii="Times New Roman" w:hAnsi="Times New Roman" w:eastAsia="黑体" w:cs="黑体"/>
          <w:color w:val="auto"/>
          <w:sz w:val="32"/>
          <w:szCs w:val="32"/>
          <w:lang w:val="zh-CN"/>
        </w:rPr>
        <w:instrText xml:space="preserve"> HYPERLINK \l _Toc20536 </w:instrText>
      </w:r>
      <w:r>
        <w:rPr>
          <w:rFonts w:hint="eastAsia" w:ascii="Times New Roman" w:hAnsi="Times New Roman" w:eastAsia="黑体" w:cs="黑体"/>
          <w:color w:val="auto"/>
          <w:sz w:val="32"/>
          <w:szCs w:val="32"/>
          <w:lang w:val="zh-CN"/>
        </w:rPr>
        <w:fldChar w:fldCharType="separate"/>
      </w:r>
      <w:r>
        <w:rPr>
          <w:rFonts w:hint="eastAsia" w:ascii="Times New Roman" w:hAnsi="Times New Roman" w:eastAsia="黑体" w:cs="黑体"/>
          <w:color w:val="auto"/>
          <w:sz w:val="32"/>
          <w:szCs w:val="32"/>
          <w:lang w:val="en-US" w:eastAsia="zh-CN"/>
        </w:rPr>
        <w:t>第五部分 附表</w:t>
      </w:r>
      <w:r>
        <w:rPr>
          <w:rFonts w:hint="eastAsia" w:ascii="Times New Roman" w:hAnsi="Times New Roman" w:eastAsia="黑体" w:cs="黑体"/>
          <w:color w:val="auto"/>
          <w:sz w:val="32"/>
          <w:szCs w:val="32"/>
          <w:lang w:val="zh-CN"/>
        </w:rPr>
        <w:tab/>
      </w:r>
      <w:r>
        <w:rPr>
          <w:rFonts w:hint="eastAsia" w:eastAsia="黑体" w:cs="黑体"/>
          <w:color w:val="auto"/>
          <w:sz w:val="32"/>
          <w:szCs w:val="32"/>
          <w:lang w:val="en-US" w:eastAsia="zh-CN"/>
        </w:rPr>
        <w:t>1</w:t>
      </w:r>
      <w:r>
        <w:rPr>
          <w:rFonts w:hint="eastAsia" w:ascii="Times New Roman" w:hAnsi="Times New Roman" w:eastAsia="黑体" w:cs="黑体"/>
          <w:color w:val="auto"/>
          <w:sz w:val="32"/>
          <w:szCs w:val="32"/>
          <w:lang w:val="zh-CN"/>
        </w:rPr>
        <w:fldChar w:fldCharType="end"/>
      </w:r>
      <w:r>
        <w:rPr>
          <w:rFonts w:hint="eastAsia" w:eastAsia="黑体" w:cs="黑体"/>
          <w:color w:val="auto"/>
          <w:sz w:val="32"/>
          <w:szCs w:val="32"/>
          <w:lang w:val="en-US" w:eastAsia="zh-CN"/>
        </w:rPr>
        <w:t>9</w:t>
      </w:r>
    </w:p>
    <w:p w14:paraId="43F621EA">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_Toc3939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一、收入支出决算总表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4172FFFD">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_Toc19644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二、收入决算表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5D281C91">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_Toc7765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三、支出决算表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38B8D833">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_Toc24074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四、财政拨款收入支出决算总表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2777517B">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_Toc19742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五、财政拨款支出决算明细表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19157FD6">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_Toc21049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六、一般公共预算财政拨款支出决算表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35CA628E">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_Toc29968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七、一般公共预算财政拨款支出决算明细表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4EC3E0EB">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_Toc14982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八、一般公共预算财政拨款基本支出决算表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4646E02E">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_Toc21214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九、一般公共预算财政拨款项目支出决算表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050B2B18">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_Toc14236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十、政府性基金预算财政拨款收入支出决算表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7B1EFDBC">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_Toc2115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十一、国有资本经营预算财政拨款收入支出决算表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6A9C9CCB">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_Toc16661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十二、国有资本经营预算财政拨款支出决算表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4173080D">
      <w:pPr>
        <w:pStyle w:val="12"/>
        <w:keepNext w:val="0"/>
        <w:keepLines w:val="0"/>
        <w:pageBreakBefore w:val="0"/>
        <w:widowControl w:val="0"/>
        <w:tabs>
          <w:tab w:val="right" w:leader="middleDot" w:pos="9179"/>
        </w:tabs>
        <w:kinsoku/>
        <w:wordWrap/>
        <w:autoSpaceDE w:val="0"/>
        <w:autoSpaceDN w:val="0"/>
        <w:bidi w:val="0"/>
        <w:adjustRightInd w:val="0"/>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zh-CN"/>
        </w:rPr>
        <w:fldChar w:fldCharType="begin"/>
      </w:r>
      <w:r>
        <w:rPr>
          <w:rFonts w:hint="eastAsia" w:ascii="Times New Roman" w:hAnsi="Times New Roman" w:eastAsia="仿宋_GB2312" w:cs="仿宋_GB2312"/>
          <w:sz w:val="32"/>
          <w:szCs w:val="32"/>
          <w:lang w:val="zh-CN"/>
        </w:rPr>
        <w:instrText xml:space="preserve"> HYPERLINK \l _Toc24570 </w:instrText>
      </w:r>
      <w:r>
        <w:rPr>
          <w:rFonts w:hint="eastAsia" w:ascii="Times New Roman" w:hAnsi="Times New Roman" w:eastAsia="仿宋_GB2312" w:cs="仿宋_GB2312"/>
          <w:sz w:val="32"/>
          <w:szCs w:val="32"/>
          <w:lang w:val="zh-CN"/>
        </w:rPr>
        <w:fldChar w:fldCharType="separate"/>
      </w:r>
      <w:r>
        <w:rPr>
          <w:rFonts w:hint="eastAsia" w:ascii="Times New Roman" w:hAnsi="Times New Roman" w:eastAsia="仿宋_GB2312" w:cs="仿宋_GB2312"/>
          <w:kern w:val="2"/>
          <w:sz w:val="32"/>
          <w:szCs w:val="32"/>
          <w:lang w:val="en-US" w:eastAsia="zh-CN"/>
        </w:rPr>
        <w:t>十三、财政拨款“三公”经费支出决算表</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1</w:t>
      </w:r>
      <w:r>
        <w:rPr>
          <w:rFonts w:hint="eastAsia" w:ascii="Times New Roman" w:hAnsi="Times New Roman" w:eastAsia="仿宋_GB2312" w:cs="仿宋_GB2312"/>
          <w:color w:val="auto"/>
          <w:sz w:val="32"/>
          <w:szCs w:val="32"/>
          <w:lang w:val="zh-CN"/>
        </w:rPr>
        <w:fldChar w:fldCharType="end"/>
      </w:r>
      <w:r>
        <w:rPr>
          <w:rFonts w:hint="eastAsia" w:eastAsia="仿宋_GB2312" w:cs="仿宋_GB2312"/>
          <w:color w:val="auto"/>
          <w:sz w:val="32"/>
          <w:szCs w:val="32"/>
          <w:lang w:val="en-US" w:eastAsia="zh-CN"/>
        </w:rPr>
        <w:t>9</w:t>
      </w:r>
    </w:p>
    <w:p w14:paraId="51004949">
      <w:pPr>
        <w:keepNext w:val="0"/>
        <w:keepLines w:val="0"/>
        <w:pageBreakBefore w:val="0"/>
        <w:widowControl w:val="0"/>
        <w:tabs>
          <w:tab w:val="right" w:leader="dot" w:pos="8845"/>
        </w:tabs>
        <w:kinsoku/>
        <w:wordWrap/>
        <w:overflowPunct w:val="0"/>
        <w:topLinePunct/>
        <w:autoSpaceDE w:val="0"/>
        <w:autoSpaceDN w:val="0"/>
        <w:bidi w:val="0"/>
        <w:adjustRightInd w:val="0"/>
        <w:snapToGrid/>
        <w:spacing w:line="600" w:lineRule="exact"/>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fldChar w:fldCharType="end"/>
      </w:r>
    </w:p>
    <w:p w14:paraId="690C9759">
      <w:pPr>
        <w:tabs>
          <w:tab w:val="right" w:leader="dot" w:pos="8845"/>
        </w:tabs>
        <w:overflowPunct w:val="0"/>
        <w:topLinePunct/>
        <w:spacing w:beforeLines="0" w:afterLines="0" w:line="576" w:lineRule="exact"/>
        <w:jc w:val="center"/>
        <w:rPr>
          <w:rFonts w:hint="eastAsia" w:ascii="Times New Roman" w:hAnsi="Times New Roman" w:eastAsia="仿宋_GB2312" w:cs="仿宋_GB2312"/>
          <w:color w:val="auto"/>
          <w:sz w:val="32"/>
          <w:szCs w:val="32"/>
          <w:lang w:val="zh-CN"/>
        </w:rPr>
      </w:pPr>
    </w:p>
    <w:p w14:paraId="4D95C880">
      <w:pPr>
        <w:keepNext w:val="0"/>
        <w:keepLines w:val="0"/>
        <w:pageBreakBefore w:val="0"/>
        <w:widowControl w:val="0"/>
        <w:kinsoku/>
        <w:wordWrap/>
        <w:overflowPunct w:val="0"/>
        <w:topLinePunct/>
        <w:autoSpaceDE w:val="0"/>
        <w:autoSpaceDN w:val="0"/>
        <w:bidi w:val="0"/>
        <w:adjustRightInd w:val="0"/>
        <w:snapToGrid/>
        <w:spacing w:line="576" w:lineRule="exact"/>
        <w:jc w:val="center"/>
        <w:textAlignment w:val="auto"/>
        <w:rPr>
          <w:rFonts w:hint="eastAsia" w:ascii="Times New Roman" w:hAnsi="Times New Roman" w:eastAsia="方正小标宋简体"/>
          <w:sz w:val="44"/>
          <w:szCs w:val="44"/>
        </w:rPr>
      </w:pPr>
    </w:p>
    <w:p w14:paraId="59EE9378">
      <w:pPr>
        <w:keepNext w:val="0"/>
        <w:keepLines w:val="0"/>
        <w:pageBreakBefore w:val="0"/>
        <w:widowControl w:val="0"/>
        <w:kinsoku/>
        <w:wordWrap/>
        <w:overflowPunct w:val="0"/>
        <w:topLinePunct/>
        <w:autoSpaceDE w:val="0"/>
        <w:autoSpaceDN w:val="0"/>
        <w:bidi w:val="0"/>
        <w:adjustRightInd w:val="0"/>
        <w:snapToGrid/>
        <w:spacing w:line="576" w:lineRule="exact"/>
        <w:jc w:val="center"/>
        <w:textAlignment w:val="auto"/>
        <w:rPr>
          <w:rFonts w:hint="eastAsia" w:ascii="Times New Roman" w:hAnsi="Times New Roman" w:eastAsia="方正小标宋简体"/>
          <w:sz w:val="44"/>
          <w:szCs w:val="44"/>
        </w:rPr>
      </w:pPr>
    </w:p>
    <w:p w14:paraId="6A25AF99">
      <w:pPr>
        <w:keepNext w:val="0"/>
        <w:keepLines w:val="0"/>
        <w:pageBreakBefore w:val="0"/>
        <w:widowControl w:val="0"/>
        <w:kinsoku/>
        <w:wordWrap/>
        <w:overflowPunct w:val="0"/>
        <w:topLinePunct/>
        <w:autoSpaceDE w:val="0"/>
        <w:autoSpaceDN w:val="0"/>
        <w:bidi w:val="0"/>
        <w:adjustRightInd w:val="0"/>
        <w:snapToGrid/>
        <w:spacing w:line="576" w:lineRule="exact"/>
        <w:jc w:val="center"/>
        <w:textAlignment w:val="auto"/>
        <w:rPr>
          <w:rFonts w:hint="eastAsia" w:ascii="Times New Roman" w:hAnsi="Times New Roman" w:eastAsia="方正小标宋简体"/>
          <w:sz w:val="44"/>
          <w:szCs w:val="44"/>
        </w:rPr>
      </w:pPr>
    </w:p>
    <w:p w14:paraId="63CBEF81">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rPr>
        <w:sectPr>
          <w:footerReference r:id="rId3" w:type="default"/>
          <w:pgSz w:w="12240" w:h="15840"/>
          <w:pgMar w:top="2098" w:right="1474" w:bottom="1984" w:left="1587" w:header="850" w:footer="1474" w:gutter="0"/>
          <w:lnNumType w:countBy="0" w:distance="360"/>
          <w:pgNumType w:fmt="decimal" w:start="1"/>
          <w:cols w:space="0" w:num="1"/>
          <w:rtlGutter w:val="0"/>
          <w:docGrid w:linePitch="0" w:charSpace="0"/>
        </w:sectPr>
      </w:pPr>
      <w:bookmarkStart w:id="0" w:name="_Toc2446"/>
    </w:p>
    <w:p w14:paraId="333E64F0">
      <w:pPr>
        <w:pStyle w:val="4"/>
        <w:keepNext w:val="0"/>
        <w:keepLines w:val="0"/>
        <w:pageBreakBefore w:val="0"/>
        <w:widowControl w:val="0"/>
        <w:kinsoku/>
        <w:wordWrap/>
        <w:overflowPunct w:val="0"/>
        <w:bidi w:val="0"/>
        <w:snapToGrid/>
        <w:spacing w:line="576" w:lineRule="exact"/>
        <w:ind w:left="0" w:leftChars="0" w:right="0" w:rightChars="0" w:firstLine="0" w:firstLineChars="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第一部分 单位概况</w:t>
      </w:r>
      <w:bookmarkEnd w:id="0"/>
    </w:p>
    <w:p w14:paraId="53E929AC">
      <w:pPr>
        <w:pStyle w:val="7"/>
        <w:keepNext w:val="0"/>
        <w:keepLines w:val="0"/>
        <w:pageBreakBefore w:val="0"/>
        <w:widowControl w:val="0"/>
        <w:kinsoku/>
        <w:wordWrap/>
        <w:overflowPunct w:val="0"/>
        <w:topLinePunct/>
        <w:autoSpaceDE w:val="0"/>
        <w:autoSpaceDN w:val="0"/>
        <w:bidi w:val="0"/>
        <w:adjustRightInd w:val="0"/>
        <w:snapToGrid/>
        <w:spacing w:beforeLines="0" w:line="576" w:lineRule="exact"/>
        <w:textAlignment w:val="auto"/>
        <w:rPr>
          <w:rFonts w:hint="eastAsia" w:ascii="Times New Roman" w:hAnsi="Times New Roman"/>
          <w:sz w:val="30"/>
          <w:szCs w:val="24"/>
        </w:rPr>
      </w:pPr>
    </w:p>
    <w:p w14:paraId="611AB5E4">
      <w:pPr>
        <w:pStyle w:val="5"/>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Times New Roman" w:hAnsi="Times New Roman" w:eastAsia="黑体" w:cs="Times New Roman"/>
          <w:color w:val="000000"/>
          <w:kern w:val="2"/>
          <w:sz w:val="32"/>
          <w:szCs w:val="32"/>
        </w:rPr>
      </w:pPr>
      <w:bookmarkStart w:id="1" w:name="_Toc1684"/>
      <w:r>
        <w:rPr>
          <w:rFonts w:hint="eastAsia" w:ascii="Times New Roman" w:hAnsi="Times New Roman" w:eastAsia="黑体" w:cs="Times New Roman"/>
          <w:color w:val="000000"/>
          <w:kern w:val="2"/>
          <w:sz w:val="32"/>
          <w:szCs w:val="32"/>
        </w:rPr>
        <w:t>一、主要职责</w:t>
      </w:r>
      <w:bookmarkEnd w:id="1"/>
    </w:p>
    <w:p w14:paraId="2B07831D">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Times New Roman" w:hAnsi="Times New Roman" w:eastAsia="楷体_GB2312" w:cs="楷体_GB2312"/>
          <w:color w:val="000000"/>
          <w:sz w:val="32"/>
          <w:szCs w:val="24"/>
        </w:rPr>
      </w:pPr>
      <w:r>
        <w:rPr>
          <w:rFonts w:hint="eastAsia" w:ascii="Times New Roman" w:hAnsi="Times New Roman" w:eastAsia="楷体_GB2312" w:cs="楷体_GB2312"/>
          <w:color w:val="000000"/>
          <w:sz w:val="32"/>
          <w:szCs w:val="24"/>
        </w:rPr>
        <w:t>（一）单位主要职能。</w:t>
      </w:r>
    </w:p>
    <w:p w14:paraId="6AAE0D6B">
      <w:pPr>
        <w:pStyle w:val="13"/>
        <w:keepNext w:val="0"/>
        <w:keepLines w:val="0"/>
        <w:pageBreakBefore w:val="0"/>
        <w:widowControl w:val="0"/>
        <w:shd w:val="clear" w:color="auto" w:fill="FFFFFF"/>
        <w:kinsoku/>
        <w:wordWrap/>
        <w:overflowPunct w:val="0"/>
        <w:autoSpaceDE w:val="0"/>
        <w:autoSpaceDN w:val="0"/>
        <w:bidi w:val="0"/>
        <w:adjustRightInd w:val="0"/>
        <w:snapToGrid/>
        <w:spacing w:before="0" w:beforeAutospacing="0" w:after="0" w:afterAutospacing="0" w:line="576" w:lineRule="exact"/>
        <w:ind w:firstLine="640" w:firstLineChars="200"/>
        <w:jc w:val="both"/>
        <w:textAlignment w:val="auto"/>
        <w:rPr>
          <w:rFonts w:hint="eastAsia" w:ascii="Times New Roman" w:hAnsi="Times New Roman"/>
          <w:sz w:val="32"/>
          <w:szCs w:val="32"/>
        </w:rPr>
      </w:pPr>
      <w:r>
        <w:rPr>
          <w:rFonts w:hint="eastAsia" w:ascii="Times New Roman" w:hAnsi="Times New Roman" w:eastAsia="仿宋_GB2312"/>
          <w:kern w:val="2"/>
          <w:sz w:val="32"/>
          <w:szCs w:val="32"/>
        </w:rPr>
        <w:t>代表和维护妇女权益，促进男女平等。妇联的主要任务是：妇女维权、妇女发展、妇女宣传、儿童工作和组织建设。一是团结、动员广大妇女投身社会主义现代化建设，促进经济发展和社会全面进步。二是教育引导广大妇女发扬自尊、自信、自立、自强的精神，提高综合素质。代表妇女参与国家和社会事务的民主决策、民主管理和民主监督。三是推动妇女儿童纲要的实施，维护妇女儿童合法权益。四是加强与社会各界的联系，协调和推动社会各界为妇女儿童办实事、办好事。</w:t>
      </w:r>
    </w:p>
    <w:p w14:paraId="69F5093E">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Times New Roman" w:hAnsi="Times New Roman" w:eastAsia="仿宋_GB2312"/>
          <w:color w:val="000000" w:themeColor="text1"/>
          <w:sz w:val="32"/>
          <w:szCs w:val="24"/>
          <w14:textFill>
            <w14:solidFill>
              <w14:schemeClr w14:val="tx1"/>
            </w14:solidFill>
          </w14:textFill>
        </w:rPr>
      </w:pPr>
      <w:r>
        <w:rPr>
          <w:rFonts w:hint="eastAsia" w:ascii="Times New Roman" w:hAnsi="Times New Roman" w:eastAsia="楷体_GB2312" w:cs="楷体_GB2312"/>
          <w:color w:val="000000"/>
          <w:sz w:val="32"/>
          <w:szCs w:val="24"/>
        </w:rPr>
        <w:t>（二）</w:t>
      </w:r>
      <w:r>
        <w:rPr>
          <w:rFonts w:hint="eastAsia" w:ascii="Times New Roman" w:hAnsi="Times New Roman" w:eastAsia="楷体_GB2312" w:cs="楷体_GB2312"/>
          <w:color w:val="000000"/>
          <w:sz w:val="32"/>
          <w:szCs w:val="24"/>
          <w:lang w:eastAsia="zh-CN"/>
        </w:rPr>
        <w:t>2024</w:t>
      </w:r>
      <w:r>
        <w:rPr>
          <w:rFonts w:hint="eastAsia" w:ascii="Times New Roman" w:hAnsi="Times New Roman" w:eastAsia="楷体_GB2312" w:cs="楷体_GB2312"/>
          <w:color w:val="000000"/>
          <w:sz w:val="32"/>
          <w:szCs w:val="24"/>
        </w:rPr>
        <w:t>年重点工作完成情况</w:t>
      </w:r>
      <w:r>
        <w:rPr>
          <w:rFonts w:hint="eastAsia" w:ascii="Times New Roman" w:hAnsi="Times New Roman" w:eastAsia="仿宋_GB2312"/>
          <w:color w:val="000000" w:themeColor="text1"/>
          <w:sz w:val="32"/>
          <w:szCs w:val="24"/>
          <w14:textFill>
            <w14:solidFill>
              <w14:schemeClr w14:val="tx1"/>
            </w14:solidFill>
          </w14:textFill>
        </w:rPr>
        <w:t>。</w:t>
      </w:r>
    </w:p>
    <w:p w14:paraId="2806F388">
      <w:pPr>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leftChars="0"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仿宋_GB2312"/>
          <w:b w:val="0"/>
          <w:bCs w:val="0"/>
          <w:color w:val="auto"/>
          <w:sz w:val="32"/>
          <w:szCs w:val="32"/>
          <w:lang w:val="en-US" w:eastAsia="zh-CN"/>
        </w:rPr>
        <w:t>1.强化思想引领，凝聚妇女群众巾帼力量。</w:t>
      </w:r>
      <w:r>
        <w:rPr>
          <w:rFonts w:hint="eastAsia" w:ascii="Times New Roman" w:hAnsi="Times New Roman" w:eastAsia="仿宋_GB2312" w:cs="仿宋_GB2312"/>
          <w:b w:val="0"/>
          <w:bCs w:val="0"/>
          <w:color w:val="auto"/>
          <w:sz w:val="32"/>
          <w:szCs w:val="32"/>
        </w:rPr>
        <w:t>组织妇联干部持续深入学习</w:t>
      </w:r>
      <w:r>
        <w:rPr>
          <w:rFonts w:hint="eastAsia" w:ascii="Times New Roman" w:hAnsi="Times New Roman" w:eastAsia="仿宋_GB2312" w:cs="仿宋_GB2312"/>
          <w:b w:val="0"/>
          <w:bCs w:val="0"/>
          <w:color w:val="auto"/>
          <w:sz w:val="32"/>
          <w:szCs w:val="32"/>
          <w:lang w:val="en-US" w:eastAsia="zh-CN"/>
        </w:rPr>
        <w:t>贯彻</w:t>
      </w:r>
      <w:r>
        <w:rPr>
          <w:rFonts w:hint="eastAsia" w:ascii="Times New Roman" w:hAnsi="Times New Roman" w:eastAsia="仿宋_GB2312" w:cs="仿宋_GB2312"/>
          <w:b w:val="0"/>
          <w:bCs w:val="0"/>
          <w:color w:val="auto"/>
          <w:sz w:val="32"/>
          <w:szCs w:val="32"/>
        </w:rPr>
        <w:t>习近平新时代中国特色社会主义思想</w:t>
      </w:r>
      <w:r>
        <w:rPr>
          <w:rFonts w:hint="eastAsia" w:ascii="Times New Roman" w:hAnsi="Times New Roman" w:eastAsia="仿宋_GB2312" w:cs="仿宋_GB2312"/>
          <w:b w:val="0"/>
          <w:bCs w:val="0"/>
          <w:color w:val="auto"/>
          <w:sz w:val="32"/>
          <w:szCs w:val="32"/>
          <w:lang w:eastAsia="zh-CN"/>
        </w:rPr>
        <w:t>和</w:t>
      </w:r>
      <w:r>
        <w:rPr>
          <w:rFonts w:hint="eastAsia" w:ascii="Times New Roman" w:hAnsi="Times New Roman" w:eastAsia="仿宋_GB2312" w:cs="仿宋_GB2312"/>
          <w:b w:val="0"/>
          <w:bCs w:val="0"/>
          <w:color w:val="auto"/>
          <w:sz w:val="32"/>
          <w:szCs w:val="32"/>
        </w:rPr>
        <w:t>习近平总书记来川视察重要指示精神</w:t>
      </w:r>
      <w:r>
        <w:rPr>
          <w:rFonts w:hint="eastAsia" w:ascii="Times New Roman" w:hAnsi="Times New Roman" w:eastAsia="仿宋_GB2312" w:cs="仿宋_GB2312"/>
          <w:b w:val="0"/>
          <w:bCs w:val="0"/>
          <w:color w:val="auto"/>
          <w:sz w:val="32"/>
          <w:szCs w:val="32"/>
          <w:lang w:val="en-US" w:eastAsia="zh-CN"/>
        </w:rPr>
        <w:t>、“百千万巾帼大宣讲”等群众性主题宣传教育活动16场次。</w:t>
      </w:r>
      <w:r>
        <w:rPr>
          <w:rFonts w:hint="eastAsia" w:ascii="Times New Roman" w:hAnsi="Times New Roman" w:eastAsia="仿宋_GB2312" w:cs="仿宋_GB2312"/>
          <w:b w:val="0"/>
          <w:bCs w:val="0"/>
          <w:color w:val="auto"/>
          <w:sz w:val="32"/>
          <w:szCs w:val="32"/>
          <w:lang w:val="en-US" w:eastAsia="zh-CN" w:bidi="ar-SA"/>
        </w:rPr>
        <w:t>扎实开展党纪学习教育，组织党员干部参观学习广元市廉政文化教育基地、</w:t>
      </w:r>
      <w:r>
        <w:rPr>
          <w:rFonts w:hint="eastAsia" w:ascii="Times New Roman" w:hAnsi="Times New Roman" w:eastAsia="仿宋_GB2312" w:cs="仿宋_GB2312"/>
          <w:b w:val="0"/>
          <w:bCs w:val="0"/>
          <w:color w:val="auto"/>
          <w:sz w:val="32"/>
          <w:szCs w:val="32"/>
          <w:shd w:val="clear" w:color="auto" w:fill="FFFFFF"/>
          <w:lang w:val="en-US" w:eastAsia="zh-CN"/>
        </w:rPr>
        <w:t>青川县廉洁文化教育基地</w:t>
      </w:r>
      <w:r>
        <w:rPr>
          <w:rFonts w:hint="eastAsia" w:ascii="Times New Roman" w:hAnsi="Times New Roman" w:eastAsia="仿宋_GB2312" w:cs="仿宋_GB2312"/>
          <w:b w:val="0"/>
          <w:bCs w:val="0"/>
          <w:color w:val="auto"/>
          <w:sz w:val="32"/>
          <w:szCs w:val="32"/>
          <w:lang w:val="en-US" w:eastAsia="zh-CN" w:bidi="ar-SA"/>
        </w:rPr>
        <w:t>。</w:t>
      </w:r>
      <w:r>
        <w:rPr>
          <w:rFonts w:hint="eastAsia" w:ascii="Times New Roman" w:hAnsi="Times New Roman" w:eastAsia="仿宋_GB2312" w:cs="Times New Roman"/>
          <w:b w:val="0"/>
          <w:bCs w:val="0"/>
          <w:color w:val="auto"/>
          <w:kern w:val="0"/>
          <w:sz w:val="32"/>
          <w:szCs w:val="32"/>
          <w:lang w:val="en-US" w:eastAsia="zh-CN"/>
        </w:rPr>
        <w:t>多形式</w:t>
      </w:r>
      <w:r>
        <w:rPr>
          <w:rFonts w:hint="eastAsia" w:ascii="Times New Roman" w:hAnsi="Times New Roman" w:eastAsia="仿宋_GB2312" w:cs="Times New Roman"/>
          <w:color w:val="auto"/>
          <w:kern w:val="0"/>
          <w:sz w:val="32"/>
          <w:szCs w:val="32"/>
          <w:lang w:val="en-US" w:eastAsia="zh-CN"/>
        </w:rPr>
        <w:t>庆祝“三八”妇女节。联合11个部门开展“妇女权益 共同守护”三八维权周活动。</w:t>
      </w:r>
    </w:p>
    <w:p w14:paraId="767797EF">
      <w:pPr>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仿宋_GB2312"/>
          <w:b w:val="0"/>
          <w:bCs w:val="0"/>
          <w:color w:val="auto"/>
          <w:sz w:val="32"/>
          <w:szCs w:val="32"/>
          <w:lang w:val="en-US" w:eastAsia="zh-CN" w:bidi="ar-SA"/>
        </w:rPr>
        <w:t>2.聚焦服务发展，引领妇女担使命建新功。</w:t>
      </w:r>
      <w:r>
        <w:rPr>
          <w:rFonts w:hint="eastAsia" w:ascii="Times New Roman" w:hAnsi="Times New Roman" w:eastAsia="仿宋_GB2312" w:cs="Times New Roman"/>
          <w:b w:val="0"/>
          <w:bCs w:val="0"/>
          <w:color w:val="auto"/>
          <w:kern w:val="0"/>
          <w:sz w:val="32"/>
          <w:szCs w:val="32"/>
          <w:lang w:val="en-US" w:eastAsia="zh-CN" w:bidi="ar"/>
        </w:rPr>
        <w:t>提档升级全区5个来料加工厂，指导卫子车间与广元市中石油公司签订了非油产品销售渠道合同。</w:t>
      </w:r>
      <w:r>
        <w:rPr>
          <w:rFonts w:hint="eastAsia" w:ascii="Times New Roman" w:hAnsi="Times New Roman" w:eastAsia="仿宋_GB2312" w:cs="仿宋_GB2312"/>
          <w:b w:val="0"/>
          <w:bCs w:val="0"/>
          <w:color w:val="auto"/>
          <w:kern w:val="2"/>
          <w:sz w:val="32"/>
          <w:szCs w:val="32"/>
          <w:highlight w:val="none"/>
          <w:lang w:val="en-US" w:eastAsia="zh-CN" w:bidi="ar-SA"/>
        </w:rPr>
        <w:t>联合区人社局</w:t>
      </w:r>
      <w:r>
        <w:rPr>
          <w:rFonts w:hint="eastAsia" w:ascii="Times New Roman" w:hAnsi="Times New Roman" w:eastAsia="仿宋_GB2312" w:cs="仿宋_GB2312"/>
          <w:b w:val="0"/>
          <w:bCs w:val="0"/>
          <w:color w:val="auto"/>
          <w:sz w:val="32"/>
          <w:szCs w:val="32"/>
          <w:lang w:val="en-US" w:eastAsia="zh-CN"/>
        </w:rPr>
        <w:t>举办昭化区2024年“春风行动”女性就业专场招聘会。联合区老促会在清水、太公、虎跳镇开展3期100余人的农村妇女技能培训。</w:t>
      </w:r>
      <w:r>
        <w:rPr>
          <w:rFonts w:hint="eastAsia" w:ascii="Times New Roman" w:hAnsi="Times New Roman" w:eastAsia="仿宋_GB2312" w:cs="Times New Roman"/>
          <w:b w:val="0"/>
          <w:bCs w:val="0"/>
          <w:color w:val="auto"/>
          <w:kern w:val="0"/>
          <w:sz w:val="32"/>
          <w:szCs w:val="32"/>
          <w:lang w:val="en-US" w:eastAsia="zh-CN" w:bidi="ar"/>
        </w:rPr>
        <w:t>联合区卫健局完成免费“两癌”筛查，其中农村适龄妇女参与筛查3200余人次。审核上报低收入妇女“两癌”救助34名，组织全区100名女职工享受惠民补贴二价HPV疫苗接种。完成儿童友好城市建设单元，区妇幼保健院成立儿童早教基地1个，昭萌、东睿2个托育中心顺利建成。</w:t>
      </w:r>
    </w:p>
    <w:p w14:paraId="71DA6238">
      <w:pPr>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left="0" w:leftChars="0" w:firstLine="640" w:firstLineChars="200"/>
        <w:jc w:val="both"/>
        <w:textAlignment w:val="auto"/>
        <w:rPr>
          <w:rFonts w:ascii="Times New Roman" w:hAnsi="Times New Roman"/>
          <w:b w:val="0"/>
          <w:bCs w:val="0"/>
          <w:color w:val="auto"/>
          <w:sz w:val="32"/>
          <w:szCs w:val="32"/>
        </w:rPr>
      </w:pPr>
      <w:r>
        <w:rPr>
          <w:rFonts w:hint="eastAsia" w:ascii="Times New Roman" w:hAnsi="Times New Roman" w:eastAsia="仿宋_GB2312" w:cs="仿宋_GB2312"/>
          <w:b w:val="0"/>
          <w:bCs w:val="0"/>
          <w:color w:val="auto"/>
          <w:sz w:val="32"/>
          <w:szCs w:val="32"/>
          <w:lang w:val="en-US" w:eastAsia="zh-CN" w:bidi="ar-SA"/>
        </w:rPr>
        <w:t>3.精准回应需求，维护妇女儿童合法权益。</w:t>
      </w:r>
      <w:r>
        <w:rPr>
          <w:rFonts w:hint="eastAsia" w:ascii="Times New Roman" w:hAnsi="Times New Roman" w:eastAsia="仿宋_GB2312" w:cs="Times New Roman"/>
          <w:b w:val="0"/>
          <w:bCs w:val="0"/>
          <w:color w:val="auto"/>
          <w:spacing w:val="3"/>
          <w:sz w:val="32"/>
          <w:szCs w:val="32"/>
          <w:lang w:val="en-US" w:eastAsia="zh-CN"/>
        </w:rPr>
        <w:t>结合“巾帼普法乡村行”，</w:t>
      </w:r>
      <w:r>
        <w:rPr>
          <w:rFonts w:hint="eastAsia" w:ascii="Times New Roman" w:hAnsi="Times New Roman" w:eastAsia="仿宋_GB2312" w:cs="仿宋_GB2312"/>
          <w:b w:val="0"/>
          <w:bCs w:val="0"/>
          <w:color w:val="auto"/>
          <w:kern w:val="2"/>
          <w:sz w:val="32"/>
          <w:szCs w:val="32"/>
          <w:highlight w:val="none"/>
          <w:lang w:val="en-US" w:eastAsia="zh-CN" w:bidi="ar-SA"/>
        </w:rPr>
        <w:t>组织</w:t>
      </w:r>
      <w:r>
        <w:rPr>
          <w:rFonts w:hint="eastAsia" w:ascii="Times New Roman" w:hAnsi="Times New Roman" w:eastAsia="仿宋_GB2312" w:cs="Times New Roman"/>
          <w:b w:val="0"/>
          <w:bCs w:val="0"/>
          <w:color w:val="auto"/>
          <w:kern w:val="0"/>
          <w:sz w:val="32"/>
          <w:szCs w:val="32"/>
          <w:lang w:val="en-US" w:eastAsia="zh-CN" w:bidi="ar"/>
        </w:rPr>
        <w:t>各级妇联开展《妇女权益保障法》《</w:t>
      </w:r>
      <w:r>
        <w:rPr>
          <w:rFonts w:hint="default" w:ascii="Times New Roman" w:hAnsi="Times New Roman" w:eastAsia="仿宋_GB2312" w:cs="Times New Roman"/>
          <w:b w:val="0"/>
          <w:bCs w:val="0"/>
          <w:color w:val="auto"/>
          <w:kern w:val="0"/>
          <w:sz w:val="32"/>
          <w:szCs w:val="32"/>
          <w:lang w:val="en-US" w:eastAsia="zh-CN" w:bidi="ar"/>
        </w:rPr>
        <w:t>家庭教育促进法</w:t>
      </w:r>
      <w:r>
        <w:rPr>
          <w:rFonts w:hint="eastAsia" w:ascii="Times New Roman" w:hAnsi="Times New Roman" w:eastAsia="仿宋_GB2312" w:cs="Times New Roman"/>
          <w:b w:val="0"/>
          <w:bCs w:val="0"/>
          <w:color w:val="auto"/>
          <w:kern w:val="0"/>
          <w:sz w:val="32"/>
          <w:szCs w:val="32"/>
          <w:lang w:val="en-US" w:eastAsia="zh-CN" w:bidi="ar"/>
        </w:rPr>
        <w:t>》、禁毒防艾、反家暴等</w:t>
      </w:r>
      <w:r>
        <w:rPr>
          <w:rFonts w:hint="eastAsia" w:ascii="Times New Roman" w:hAnsi="Times New Roman" w:eastAsia="仿宋_GB2312"/>
          <w:b w:val="0"/>
          <w:bCs w:val="0"/>
          <w:color w:val="auto"/>
          <w:spacing w:val="3"/>
          <w:sz w:val="32"/>
          <w:szCs w:val="32"/>
          <w:lang w:eastAsia="zh-CN"/>
        </w:rPr>
        <w:t>法治宣传活动</w:t>
      </w:r>
      <w:r>
        <w:rPr>
          <w:rFonts w:hint="eastAsia" w:ascii="Times New Roman" w:hAnsi="Times New Roman" w:eastAsia="仿宋_GB2312"/>
          <w:b w:val="0"/>
          <w:bCs w:val="0"/>
          <w:color w:val="auto"/>
          <w:spacing w:val="3"/>
          <w:sz w:val="32"/>
          <w:szCs w:val="32"/>
          <w:lang w:val="en-US" w:eastAsia="zh-CN"/>
        </w:rPr>
        <w:t>14场</w:t>
      </w:r>
      <w:r>
        <w:rPr>
          <w:rFonts w:hint="eastAsia" w:ascii="Times New Roman" w:hAnsi="Times New Roman" w:eastAsia="仿宋_GB2312"/>
          <w:b w:val="0"/>
          <w:bCs w:val="0"/>
          <w:color w:val="auto"/>
          <w:spacing w:val="3"/>
          <w:sz w:val="32"/>
          <w:szCs w:val="32"/>
          <w:lang w:eastAsia="zh-CN"/>
        </w:rPr>
        <w:t>，发放家庭安全知识手册、女性健康科普宣传等资料</w:t>
      </w:r>
      <w:r>
        <w:rPr>
          <w:rFonts w:hint="eastAsia" w:ascii="Times New Roman" w:hAnsi="Times New Roman" w:eastAsia="仿宋_GB2312"/>
          <w:b w:val="0"/>
          <w:bCs w:val="0"/>
          <w:color w:val="auto"/>
          <w:spacing w:val="3"/>
          <w:sz w:val="32"/>
          <w:szCs w:val="32"/>
          <w:lang w:val="en-US" w:eastAsia="zh-CN"/>
        </w:rPr>
        <w:t>600余册</w:t>
      </w:r>
      <w:r>
        <w:rPr>
          <w:rFonts w:hint="eastAsia" w:ascii="Times New Roman" w:hAnsi="Times New Roman" w:eastAsia="楷体_GB2312" w:cs="楷体_GB2312"/>
          <w:b w:val="0"/>
          <w:bCs w:val="0"/>
          <w:i w:val="0"/>
          <w:iCs w:val="0"/>
          <w:caps w:val="0"/>
          <w:color w:val="auto"/>
          <w:spacing w:val="0"/>
          <w:sz w:val="32"/>
          <w:szCs w:val="32"/>
          <w:lang w:val="en-US" w:eastAsia="zh-CN"/>
        </w:rPr>
        <w:t>。</w:t>
      </w:r>
      <w:r>
        <w:rPr>
          <w:rFonts w:hint="eastAsia" w:ascii="Times New Roman" w:hAnsi="Times New Roman" w:eastAsia="仿宋_GB2312" w:cs="Times New Roman"/>
          <w:b w:val="0"/>
          <w:bCs w:val="0"/>
          <w:color w:val="auto"/>
          <w:kern w:val="0"/>
          <w:sz w:val="32"/>
          <w:szCs w:val="32"/>
          <w:lang w:val="en-US" w:eastAsia="zh-CN" w:bidi="ar"/>
        </w:rPr>
        <w:t>联合印发《未成年被害人“一站式”取证救助工作实施办法（试行）》的通知。联合区检察院成立昭化区妇联妇女儿童维权示范站点。联合区应急局、消防大队等开展安全宣传进家庭活动，</w:t>
      </w:r>
      <w:r>
        <w:rPr>
          <w:rFonts w:hint="eastAsia" w:ascii="Times New Roman" w:hAnsi="Times New Roman" w:eastAsia="仿宋_GB2312" w:cs="仿宋_GB2312"/>
          <w:b w:val="0"/>
          <w:bCs w:val="0"/>
          <w:color w:val="auto"/>
          <w:kern w:val="2"/>
          <w:sz w:val="32"/>
          <w:szCs w:val="32"/>
          <w:lang w:val="en-US" w:eastAsia="zh-CN" w:bidi="ar-SA"/>
        </w:rPr>
        <w:t>增强妇女儿童维权意识。</w:t>
      </w:r>
    </w:p>
    <w:p w14:paraId="0BBD24A7">
      <w:pPr>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lang w:val="en-US" w:eastAsia="zh-CN"/>
        </w:rPr>
      </w:pPr>
      <w:r>
        <w:rPr>
          <w:rFonts w:hint="eastAsia" w:ascii="Times New Roman" w:hAnsi="Times New Roman" w:eastAsia="仿宋_GB2312" w:cs="仿宋_GB2312"/>
          <w:b w:val="0"/>
          <w:bCs w:val="0"/>
          <w:color w:val="auto"/>
          <w:sz w:val="32"/>
          <w:szCs w:val="32"/>
          <w:lang w:val="en-US" w:eastAsia="zh-CN" w:bidi="ar-SA"/>
        </w:rPr>
        <w:t>4.丰富家庭教育，推进优良家庭家教家风建设。</w:t>
      </w:r>
      <w:r>
        <w:rPr>
          <w:rFonts w:hint="eastAsia" w:ascii="Times New Roman" w:hAnsi="Times New Roman" w:eastAsia="仿宋_GB2312" w:cs="Times New Roman"/>
          <w:b w:val="0"/>
          <w:bCs w:val="0"/>
          <w:color w:val="auto"/>
          <w:kern w:val="0"/>
          <w:sz w:val="32"/>
          <w:szCs w:val="32"/>
          <w:lang w:val="en-US" w:eastAsia="zh-CN" w:bidi="ar"/>
        </w:rPr>
        <w:t>指导各村（社区）建立家长学校，邀请法律顾问、执委深入文明镇、村、文明城市创建点位开展家庭教育活动，线上+线下常态化开展家庭教育专题讲座52次。</w:t>
      </w:r>
      <w:r>
        <w:rPr>
          <w:rFonts w:hint="eastAsia" w:ascii="Times New Roman" w:hAnsi="Times New Roman" w:eastAsia="仿宋_GB2312" w:cs="仿宋_GB2312"/>
          <w:b w:val="0"/>
          <w:bCs w:val="0"/>
          <w:color w:val="auto"/>
          <w:sz w:val="32"/>
          <w:szCs w:val="32"/>
          <w:lang w:eastAsia="zh-CN"/>
        </w:rPr>
        <w:t>联合区教育局线上开展昭化区指导家庭教育满意度调查问卷，</w:t>
      </w:r>
      <w:r>
        <w:rPr>
          <w:rFonts w:hint="eastAsia" w:ascii="Times New Roman" w:hAnsi="Times New Roman" w:eastAsia="仿宋_GB2312" w:cs="仿宋_GB2312"/>
          <w:b w:val="0"/>
          <w:bCs w:val="0"/>
          <w:color w:val="auto"/>
          <w:sz w:val="32"/>
          <w:szCs w:val="32"/>
          <w:lang w:val="en-US" w:eastAsia="zh-CN"/>
        </w:rPr>
        <w:t>参与人数达2000余人。在昭化镇天雄村成立家庭教育指导服务站点1个，成立昭化镇“护蕾”家庭教育志愿服务队1支，在</w:t>
      </w:r>
      <w:r>
        <w:rPr>
          <w:rFonts w:hint="eastAsia" w:ascii="Times New Roman" w:hAnsi="Times New Roman" w:eastAsia="仿宋_GB2312" w:cs="Times New Roman"/>
          <w:b w:val="0"/>
          <w:bCs w:val="0"/>
          <w:color w:val="auto"/>
          <w:kern w:val="0"/>
          <w:sz w:val="32"/>
          <w:szCs w:val="32"/>
          <w:lang w:val="en-US" w:eastAsia="zh-CN" w:bidi="ar"/>
        </w:rPr>
        <w:t>区检察院成立“未爱 葭萌”家庭教育指导站点</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color w:val="auto"/>
          <w:kern w:val="0"/>
          <w:sz w:val="32"/>
          <w:szCs w:val="32"/>
          <w:lang w:val="en-US" w:eastAsia="zh-CN" w:bidi="ar"/>
        </w:rPr>
        <w:t>招募“爱心妈妈”158名，设立“天府同心 温暖童行”爱心妈妈公益项目筹集补助金，常态化</w:t>
      </w:r>
      <w:r>
        <w:rPr>
          <w:rFonts w:hint="eastAsia" w:ascii="Times New Roman" w:hAnsi="Times New Roman" w:eastAsia="仿宋_GB2312" w:cs="Times New Roman"/>
          <w:color w:val="auto"/>
          <w:sz w:val="32"/>
          <w:szCs w:val="32"/>
          <w:lang w:val="en-US" w:eastAsia="zh-CN"/>
        </w:rPr>
        <w:t>开展儿童关爱服务活动。</w:t>
      </w:r>
    </w:p>
    <w:p w14:paraId="51481A4A">
      <w:pPr>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仿宋_GB2312"/>
          <w:b w:val="0"/>
          <w:bCs w:val="0"/>
          <w:color w:val="auto"/>
          <w:sz w:val="32"/>
          <w:szCs w:val="32"/>
          <w:lang w:val="en-US" w:eastAsia="zh-CN" w:bidi="ar-SA"/>
        </w:rPr>
        <w:t>5.坚持党建带妇建，全力推进基层妇联组织建设。</w:t>
      </w:r>
      <w:r>
        <w:rPr>
          <w:rFonts w:hint="eastAsia" w:ascii="Times New Roman" w:hAnsi="Times New Roman" w:eastAsia="仿宋_GB2312" w:cs="Times New Roman"/>
          <w:color w:val="auto"/>
          <w:kern w:val="0"/>
          <w:sz w:val="32"/>
          <w:szCs w:val="32"/>
          <w:lang w:val="en-US" w:eastAsia="zh-CN"/>
        </w:rPr>
        <w:t>实施“党建领航”“组织倍增”“阵地提档”“能效提升”四大行动，完成新建昭化区消防大队、新型农业经营主体发展联盟、广元绿色家居产业园区妇委会</w:t>
      </w:r>
      <w:r>
        <w:rPr>
          <w:rFonts w:hint="eastAsia"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color w:val="auto"/>
          <w:kern w:val="0"/>
          <w:sz w:val="32"/>
          <w:szCs w:val="32"/>
          <w:lang w:val="en-US" w:eastAsia="zh-CN"/>
        </w:rPr>
        <w:t>个。召开区妇联六届执委工作及培训会，在区未成年人心理成长指导中心挂牌成立史婧执委工作室，提升履职能力。</w:t>
      </w:r>
    </w:p>
    <w:p w14:paraId="0659254E">
      <w:pPr>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Times New Roman"/>
          <w:color w:val="auto"/>
          <w:kern w:val="0"/>
          <w:sz w:val="32"/>
          <w:szCs w:val="32"/>
          <w:lang w:val="en-US" w:eastAsia="zh-CN"/>
        </w:rPr>
        <w:t>6.纵深推进“从严治党”工作，持续涵养良好政治生态。扛牢全面从</w:t>
      </w:r>
      <w:r>
        <w:rPr>
          <w:rFonts w:hint="eastAsia" w:ascii="Times New Roman" w:hAnsi="Times New Roman" w:eastAsia="仿宋_GB2312" w:cs="仿宋_GB2312"/>
          <w:b w:val="0"/>
          <w:bCs w:val="0"/>
          <w:color w:val="auto"/>
          <w:sz w:val="32"/>
          <w:szCs w:val="32"/>
        </w:rPr>
        <w:t>严治党主体责任</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b w:val="0"/>
          <w:bCs w:val="0"/>
          <w:color w:val="auto"/>
          <w:sz w:val="32"/>
          <w:szCs w:val="32"/>
        </w:rPr>
        <w:t>研究</w:t>
      </w:r>
      <w:r>
        <w:rPr>
          <w:rFonts w:hint="eastAsia" w:ascii="Times New Roman" w:hAnsi="Times New Roman" w:eastAsia="仿宋_GB2312"/>
          <w:b w:val="0"/>
          <w:bCs w:val="0"/>
          <w:color w:val="auto"/>
          <w:sz w:val="32"/>
          <w:szCs w:val="32"/>
          <w:lang w:eastAsia="zh-CN"/>
        </w:rPr>
        <w:t>制定</w:t>
      </w:r>
      <w:r>
        <w:rPr>
          <w:rFonts w:hint="eastAsia" w:ascii="Times New Roman" w:hAnsi="Times New Roman" w:eastAsia="仿宋_GB2312" w:cs="仿宋_GB2312"/>
          <w:b w:val="0"/>
          <w:bCs w:val="0"/>
          <w:color w:val="auto"/>
          <w:sz w:val="32"/>
          <w:szCs w:val="32"/>
        </w:rPr>
        <w:t>《202</w:t>
      </w: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b w:val="0"/>
          <w:bCs w:val="0"/>
          <w:color w:val="auto"/>
          <w:sz w:val="32"/>
          <w:szCs w:val="32"/>
        </w:rPr>
        <w:t>年全面从严治党“三张清单”》</w:t>
      </w:r>
      <w:r>
        <w:rPr>
          <w:rFonts w:hint="eastAsia" w:ascii="Times New Roman" w:hAnsi="Times New Roman" w:eastAsia="仿宋_GB2312" w:cs="仿宋_GB2312"/>
          <w:b w:val="0"/>
          <w:bCs w:val="0"/>
          <w:color w:val="auto"/>
          <w:sz w:val="32"/>
          <w:szCs w:val="32"/>
          <w:lang w:eastAsia="zh-CN"/>
        </w:rPr>
        <w:t>，</w:t>
      </w:r>
      <w:r>
        <w:rPr>
          <w:rFonts w:hint="default" w:ascii="Times New Roman" w:hAnsi="Times New Roman" w:eastAsia="仿宋_GB2312" w:cs="Times New Roman"/>
          <w:b w:val="0"/>
          <w:bCs w:val="0"/>
          <w:color w:val="auto"/>
          <w:sz w:val="32"/>
          <w:szCs w:val="32"/>
        </w:rPr>
        <w:t>梳理主体责任</w:t>
      </w:r>
      <w:r>
        <w:rPr>
          <w:rFonts w:hint="eastAsia" w:ascii="Times New Roman" w:hAnsi="Times New Roman" w:eastAsia="仿宋_GB2312" w:cs="Times New Roman"/>
          <w:b w:val="0"/>
          <w:bCs w:val="0"/>
          <w:color w:val="auto"/>
          <w:sz w:val="32"/>
          <w:szCs w:val="32"/>
          <w:lang w:val="en-US" w:eastAsia="zh-CN"/>
        </w:rPr>
        <w:t>和</w:t>
      </w:r>
      <w:r>
        <w:rPr>
          <w:rFonts w:hint="eastAsia" w:ascii="Times New Roman" w:hAnsi="Times New Roman" w:eastAsia="仿宋_GB2312"/>
          <w:b w:val="0"/>
          <w:bCs w:val="0"/>
          <w:color w:val="auto"/>
          <w:spacing w:val="-6"/>
          <w:sz w:val="32"/>
          <w:szCs w:val="32"/>
          <w:lang w:eastAsia="zh-CN"/>
        </w:rPr>
        <w:t>“一岗双责”</w:t>
      </w:r>
      <w:r>
        <w:rPr>
          <w:rFonts w:hint="eastAsia" w:ascii="Times New Roman" w:hAnsi="Times New Roman" w:eastAsia="仿宋_GB2312"/>
          <w:b w:val="0"/>
          <w:bCs w:val="0"/>
          <w:color w:val="auto"/>
          <w:spacing w:val="-6"/>
          <w:sz w:val="32"/>
          <w:szCs w:val="32"/>
          <w:lang w:val="en-US" w:eastAsia="zh-CN"/>
        </w:rPr>
        <w:t>共5个方面66项具体内容</w:t>
      </w:r>
      <w:r>
        <w:rPr>
          <w:rFonts w:hint="eastAsia" w:ascii="Times New Roman" w:hAnsi="Times New Roman" w:eastAsia="仿宋_GB2312"/>
          <w:b w:val="0"/>
          <w:bCs w:val="0"/>
          <w:color w:val="auto"/>
          <w:spacing w:val="-6"/>
          <w:sz w:val="32"/>
          <w:szCs w:val="32"/>
          <w:lang w:eastAsia="zh-CN"/>
        </w:rPr>
        <w:t>，</w:t>
      </w:r>
      <w:r>
        <w:rPr>
          <w:rFonts w:hint="default" w:ascii="Times New Roman" w:hAnsi="Times New Roman" w:eastAsia="仿宋_GB2312" w:cs="Times New Roman"/>
          <w:b w:val="0"/>
          <w:bCs w:val="0"/>
          <w:color w:val="auto"/>
          <w:sz w:val="32"/>
          <w:szCs w:val="32"/>
        </w:rPr>
        <w:t>重点岗位权力风险防控</w:t>
      </w:r>
      <w:r>
        <w:rPr>
          <w:rFonts w:hint="default" w:ascii="Times New Roman" w:hAnsi="Times New Roman" w:eastAsia="仿宋_GB2312" w:cs="Times New Roman"/>
          <w:b w:val="0"/>
          <w:bCs w:val="0"/>
          <w:color w:val="auto"/>
          <w:sz w:val="32"/>
          <w:szCs w:val="32"/>
          <w:lang w:val="en-US" w:eastAsia="zh-CN"/>
        </w:rPr>
        <w:t>风险点位</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项</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专题</w:t>
      </w:r>
      <w:r>
        <w:rPr>
          <w:rFonts w:hint="default" w:ascii="Times New Roman" w:hAnsi="Times New Roman" w:eastAsia="仿宋_GB2312" w:cs="Times New Roman"/>
          <w:b w:val="0"/>
          <w:bCs w:val="0"/>
          <w:color w:val="auto"/>
          <w:sz w:val="32"/>
          <w:szCs w:val="32"/>
          <w:lang w:val="en-US" w:eastAsia="zh-CN"/>
        </w:rPr>
        <w:t>研究党风廉政建设</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次</w:t>
      </w:r>
      <w:r>
        <w:rPr>
          <w:rFonts w:hint="eastAsia" w:ascii="Times New Roman" w:hAnsi="Times New Roman" w:eastAsia="仿宋_GB2312" w:cs="Times New Roman"/>
          <w:b w:val="0"/>
          <w:bCs w:val="0"/>
          <w:color w:val="auto"/>
          <w:sz w:val="32"/>
          <w:szCs w:val="32"/>
          <w:lang w:val="en-US" w:eastAsia="zh-CN"/>
        </w:rPr>
        <w:t>。召开干部职工会传达学习</w:t>
      </w:r>
      <w:r>
        <w:rPr>
          <w:rFonts w:hint="default" w:ascii="Times New Roman" w:hAnsi="Times New Roman" w:eastAsia="仿宋_GB2312" w:cs="Times New Roman"/>
          <w:b w:val="0"/>
          <w:bCs w:val="0"/>
          <w:color w:val="auto"/>
          <w:sz w:val="32"/>
          <w:szCs w:val="32"/>
          <w:lang w:val="en-US" w:eastAsia="zh-CN"/>
        </w:rPr>
        <w:t>中央八项规定精神</w:t>
      </w:r>
      <w:r>
        <w:rPr>
          <w:rFonts w:hint="eastAsia" w:ascii="Times New Roman" w:hAnsi="Times New Roman" w:eastAsia="仿宋_GB2312" w:cs="Times New Roman"/>
          <w:b w:val="0"/>
          <w:bCs w:val="0"/>
          <w:color w:val="auto"/>
          <w:sz w:val="32"/>
          <w:szCs w:val="32"/>
          <w:lang w:val="en-US" w:eastAsia="zh-CN"/>
        </w:rPr>
        <w:t>3次，</w:t>
      </w:r>
      <w:r>
        <w:rPr>
          <w:rFonts w:hint="default" w:ascii="Times New Roman" w:hAnsi="Times New Roman" w:eastAsia="仿宋_GB2312" w:cs="仿宋_GB2312"/>
          <w:b w:val="0"/>
          <w:bCs w:val="0"/>
          <w:color w:val="auto"/>
          <w:sz w:val="32"/>
          <w:szCs w:val="32"/>
          <w:lang w:val="en-US" w:eastAsia="zh-CN"/>
        </w:rPr>
        <w:t>深化干部纪律作风</w:t>
      </w:r>
      <w:r>
        <w:rPr>
          <w:rFonts w:hint="eastAsia" w:ascii="Times New Roman" w:hAnsi="Times New Roman" w:eastAsia="仿宋_GB2312" w:cs="仿宋_GB2312"/>
          <w:b w:val="0"/>
          <w:bCs w:val="0"/>
          <w:color w:val="auto"/>
          <w:sz w:val="32"/>
          <w:szCs w:val="32"/>
          <w:lang w:val="en-US" w:eastAsia="zh-CN"/>
        </w:rPr>
        <w:t>教育。</w:t>
      </w:r>
      <w:r>
        <w:rPr>
          <w:rFonts w:hint="default" w:ascii="Times New Roman" w:hAnsi="Times New Roman" w:eastAsia="仿宋_GB2312" w:cs="Times New Roman"/>
          <w:b w:val="0"/>
          <w:bCs w:val="0"/>
          <w:color w:val="auto"/>
          <w:sz w:val="32"/>
          <w:szCs w:val="32"/>
          <w:lang w:val="en-US" w:eastAsia="zh-CN"/>
        </w:rPr>
        <w:t>认真落实“三会一课”、</w:t>
      </w:r>
      <w:r>
        <w:rPr>
          <w:rFonts w:hint="eastAsia" w:ascii="Times New Roman" w:hAnsi="Times New Roman" w:eastAsia="仿宋_GB2312" w:cs="仿宋_GB2312"/>
          <w:b w:val="0"/>
          <w:bCs w:val="0"/>
          <w:color w:val="auto"/>
          <w:sz w:val="32"/>
          <w:szCs w:val="32"/>
        </w:rPr>
        <w:t>民主评议党员</w:t>
      </w:r>
      <w:r>
        <w:rPr>
          <w:rFonts w:hint="eastAsia" w:ascii="Times New Roman" w:hAnsi="Times New Roman" w:eastAsia="仿宋_GB2312" w:cs="仿宋_GB2312"/>
          <w:b w:val="0"/>
          <w:bCs w:val="0"/>
          <w:color w:val="auto"/>
          <w:sz w:val="32"/>
          <w:szCs w:val="32"/>
          <w:lang w:eastAsia="zh-CN"/>
        </w:rPr>
        <w:t>制度。</w:t>
      </w:r>
      <w:r>
        <w:rPr>
          <w:rFonts w:hint="eastAsia" w:ascii="Times New Roman" w:hAnsi="Times New Roman" w:eastAsia="仿宋_GB2312" w:cs="Times New Roman"/>
          <w:b w:val="0"/>
          <w:bCs w:val="0"/>
          <w:color w:val="auto"/>
          <w:sz w:val="32"/>
          <w:szCs w:val="32"/>
          <w:lang w:val="en-US" w:eastAsia="zh-CN"/>
        </w:rPr>
        <w:t>制定中心组学习计划和内容，目前共学习7次，专题研讨意识形态工作2次。</w:t>
      </w:r>
      <w:r>
        <w:rPr>
          <w:rFonts w:hint="eastAsia" w:ascii="Times New Roman" w:hAnsi="Times New Roman" w:eastAsia="仿宋_GB2312" w:cs="仿宋_GB2312"/>
          <w:b w:val="0"/>
          <w:bCs w:val="0"/>
          <w:color w:val="auto"/>
          <w:spacing w:val="-6"/>
          <w:sz w:val="32"/>
          <w:szCs w:val="32"/>
        </w:rPr>
        <w:t>加强</w:t>
      </w:r>
      <w:r>
        <w:rPr>
          <w:rFonts w:hint="eastAsia" w:ascii="Times New Roman" w:hAnsi="Times New Roman" w:eastAsia="仿宋_GB2312" w:cs="仿宋_GB2312"/>
          <w:b w:val="0"/>
          <w:bCs w:val="0"/>
          <w:color w:val="auto"/>
          <w:spacing w:val="-6"/>
          <w:sz w:val="32"/>
          <w:szCs w:val="32"/>
          <w:lang w:eastAsia="zh-CN"/>
        </w:rPr>
        <w:t>网络舆情监测，</w:t>
      </w:r>
      <w:r>
        <w:rPr>
          <w:rFonts w:hint="eastAsia" w:ascii="Times New Roman" w:hAnsi="Times New Roman" w:eastAsia="仿宋_GB2312" w:cs="仿宋_GB2312"/>
          <w:b w:val="0"/>
          <w:bCs w:val="0"/>
          <w:color w:val="auto"/>
          <w:spacing w:val="-6"/>
          <w:sz w:val="32"/>
          <w:szCs w:val="32"/>
          <w:lang w:val="en-US" w:eastAsia="zh-CN"/>
        </w:rPr>
        <w:t>时刻关注网络上妇女儿童舆情动态，及时发现化解网络舆情</w:t>
      </w:r>
      <w:r>
        <w:rPr>
          <w:rFonts w:hint="eastAsia" w:ascii="Times New Roman" w:hAnsi="Times New Roman" w:eastAsia="仿宋_GB2312" w:cs="仿宋_GB2312"/>
          <w:b w:val="0"/>
          <w:bCs w:val="0"/>
          <w:color w:val="auto"/>
          <w:spacing w:val="-6"/>
          <w:sz w:val="32"/>
          <w:szCs w:val="32"/>
        </w:rPr>
        <w:t>。</w:t>
      </w:r>
    </w:p>
    <w:p w14:paraId="15E736DF">
      <w:pPr>
        <w:pStyle w:val="5"/>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Times New Roman" w:hAnsi="Times New Roman" w:eastAsia="黑体" w:cs="Times New Roman"/>
          <w:color w:val="000000"/>
          <w:kern w:val="2"/>
          <w:sz w:val="32"/>
          <w:szCs w:val="32"/>
        </w:rPr>
      </w:pPr>
      <w:bookmarkStart w:id="2" w:name="_Toc29844"/>
    </w:p>
    <w:p w14:paraId="1A7EB5F6">
      <w:pPr>
        <w:pStyle w:val="5"/>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eastAsia="黑体" w:cs="Times New Roman"/>
          <w:color w:val="000000"/>
          <w:kern w:val="2"/>
          <w:sz w:val="32"/>
          <w:szCs w:val="32"/>
        </w:rPr>
      </w:pPr>
      <w:r>
        <w:rPr>
          <w:rFonts w:hint="eastAsia" w:ascii="Times New Roman" w:hAnsi="Times New Roman" w:eastAsia="黑体" w:cs="Times New Roman"/>
          <w:color w:val="000000"/>
          <w:kern w:val="2"/>
          <w:sz w:val="32"/>
          <w:szCs w:val="32"/>
        </w:rPr>
        <w:t>二、机构设置</w:t>
      </w:r>
      <w:bookmarkEnd w:id="2"/>
    </w:p>
    <w:p w14:paraId="02FBCC77">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Times New Roman" w:hAnsi="Times New Roman" w:eastAsia="仿宋_GB2312"/>
          <w:kern w:val="2"/>
          <w:sz w:val="32"/>
          <w:szCs w:val="24"/>
        </w:rPr>
      </w:pPr>
      <w:r>
        <w:rPr>
          <w:rFonts w:hint="eastAsia" w:ascii="Times New Roman" w:hAnsi="Times New Roman" w:eastAsia="仿宋_GB2312"/>
          <w:kern w:val="2"/>
          <w:sz w:val="32"/>
          <w:szCs w:val="24"/>
        </w:rPr>
        <w:t>广元市昭化区妇女联合会属于一级预算单位，下设独立编制机构1个，其中行政机构1个，参照公务员法管理的事业机构0个，其他事业机构0个。</w:t>
      </w:r>
    </w:p>
    <w:p w14:paraId="6D8D4214">
      <w:pPr>
        <w:pStyle w:val="7"/>
        <w:keepNext w:val="0"/>
        <w:keepLines w:val="0"/>
        <w:pageBreakBefore w:val="0"/>
        <w:widowControl w:val="0"/>
        <w:kinsoku/>
        <w:wordWrap/>
        <w:overflowPunct w:val="0"/>
        <w:bidi w:val="0"/>
        <w:snapToGrid/>
        <w:spacing w:beforeLines="0" w:line="576" w:lineRule="exact"/>
        <w:ind w:firstLine="640" w:firstLineChars="200"/>
        <w:textAlignment w:val="auto"/>
        <w:rPr>
          <w:rFonts w:hint="default" w:ascii="Times New Roman" w:hAnsi="Times New Roman" w:eastAsia="仿宋_GB2312"/>
          <w:lang w:val="en-US" w:eastAsia="zh-CN"/>
        </w:rPr>
      </w:pPr>
      <w:r>
        <w:rPr>
          <w:rFonts w:hint="eastAsia" w:ascii="Times New Roman" w:hAnsi="Times New Roman"/>
          <w:kern w:val="2"/>
          <w:sz w:val="32"/>
          <w:szCs w:val="24"/>
          <w:lang w:eastAsia="zh-CN"/>
        </w:rPr>
        <w:t>纳入</w:t>
      </w:r>
      <w:r>
        <w:rPr>
          <w:rFonts w:hint="eastAsia" w:ascii="Times New Roman" w:hAnsi="Times New Roman"/>
          <w:kern w:val="2"/>
          <w:sz w:val="32"/>
          <w:szCs w:val="24"/>
          <w:lang w:val="en-US" w:eastAsia="zh-CN"/>
        </w:rPr>
        <w:t>2024年度单位决算编制范围的独立编制机构包括：广元市昭化区妇女联合会。</w:t>
      </w:r>
    </w:p>
    <w:p w14:paraId="59C65597">
      <w:pPr>
        <w:overflowPunct w:val="0"/>
        <w:topLinePunct/>
        <w:jc w:val="center"/>
        <w:rPr>
          <w:rFonts w:hint="eastAsia" w:ascii="Times New Roman" w:hAnsi="Times New Roman" w:eastAsia="方正小标宋简体"/>
          <w:sz w:val="44"/>
          <w:szCs w:val="44"/>
        </w:rPr>
      </w:pPr>
    </w:p>
    <w:p w14:paraId="45A59691">
      <w:pPr>
        <w:overflowPunct w:val="0"/>
        <w:topLinePunct/>
        <w:jc w:val="center"/>
        <w:rPr>
          <w:rFonts w:hint="eastAsia" w:ascii="Times New Roman" w:hAnsi="Times New Roman" w:eastAsia="方正小标宋简体"/>
          <w:sz w:val="44"/>
          <w:szCs w:val="44"/>
        </w:rPr>
      </w:pPr>
    </w:p>
    <w:p w14:paraId="5C54A21D">
      <w:pPr>
        <w:pStyle w:val="7"/>
        <w:rPr>
          <w:rFonts w:hint="eastAsia" w:ascii="Times New Roman" w:hAnsi="Times New Roman" w:eastAsia="方正小标宋简体"/>
          <w:sz w:val="44"/>
          <w:szCs w:val="44"/>
        </w:rPr>
      </w:pPr>
    </w:p>
    <w:p w14:paraId="7B2FF6A7">
      <w:pPr>
        <w:pStyle w:val="7"/>
        <w:rPr>
          <w:rFonts w:hint="eastAsia" w:ascii="Times New Roman" w:hAnsi="Times New Roman" w:eastAsia="方正小标宋简体"/>
          <w:sz w:val="44"/>
          <w:szCs w:val="44"/>
        </w:rPr>
      </w:pPr>
    </w:p>
    <w:p w14:paraId="5192F5F4">
      <w:pPr>
        <w:pStyle w:val="7"/>
        <w:rPr>
          <w:rFonts w:hint="eastAsia" w:ascii="Times New Roman" w:hAnsi="Times New Roman" w:eastAsia="方正小标宋简体"/>
          <w:sz w:val="44"/>
          <w:szCs w:val="44"/>
        </w:rPr>
      </w:pPr>
    </w:p>
    <w:p w14:paraId="5D55B24B">
      <w:pPr>
        <w:pStyle w:val="7"/>
        <w:rPr>
          <w:rFonts w:hint="eastAsia" w:ascii="Times New Roman" w:hAnsi="Times New Roman" w:eastAsia="方正小标宋简体"/>
          <w:sz w:val="44"/>
          <w:szCs w:val="44"/>
        </w:rPr>
      </w:pPr>
    </w:p>
    <w:p w14:paraId="30DA66E0">
      <w:pPr>
        <w:pStyle w:val="7"/>
        <w:rPr>
          <w:rFonts w:hint="eastAsia" w:ascii="Times New Roman" w:hAnsi="Times New Roman" w:eastAsia="方正小标宋简体"/>
          <w:sz w:val="44"/>
          <w:szCs w:val="44"/>
        </w:rPr>
      </w:pPr>
    </w:p>
    <w:p w14:paraId="6E74E3DB">
      <w:pPr>
        <w:pStyle w:val="7"/>
        <w:rPr>
          <w:rFonts w:hint="eastAsia" w:ascii="Times New Roman" w:hAnsi="Times New Roman" w:eastAsia="方正小标宋简体"/>
          <w:sz w:val="44"/>
          <w:szCs w:val="44"/>
        </w:rPr>
      </w:pPr>
    </w:p>
    <w:p w14:paraId="6F8C36D1">
      <w:pPr>
        <w:pStyle w:val="7"/>
        <w:rPr>
          <w:rFonts w:hint="eastAsia" w:ascii="Times New Roman" w:hAnsi="Times New Roman" w:eastAsia="方正小标宋简体"/>
          <w:sz w:val="44"/>
          <w:szCs w:val="44"/>
        </w:rPr>
      </w:pPr>
    </w:p>
    <w:p w14:paraId="28141C1F">
      <w:pPr>
        <w:pStyle w:val="7"/>
        <w:rPr>
          <w:rFonts w:hint="eastAsia" w:ascii="Times New Roman" w:hAnsi="Times New Roman" w:eastAsia="方正小标宋简体"/>
          <w:sz w:val="44"/>
          <w:szCs w:val="44"/>
        </w:rPr>
      </w:pPr>
    </w:p>
    <w:p w14:paraId="793375B5">
      <w:pPr>
        <w:pStyle w:val="7"/>
        <w:rPr>
          <w:rFonts w:hint="eastAsia" w:ascii="Times New Roman" w:hAnsi="Times New Roman" w:eastAsia="方正小标宋简体"/>
          <w:sz w:val="44"/>
          <w:szCs w:val="44"/>
        </w:rPr>
      </w:pPr>
    </w:p>
    <w:p w14:paraId="20399C2B">
      <w:pPr>
        <w:pStyle w:val="7"/>
        <w:rPr>
          <w:rFonts w:hint="eastAsia" w:ascii="Times New Roman" w:hAnsi="Times New Roman" w:eastAsia="方正小标宋简体"/>
          <w:sz w:val="44"/>
          <w:szCs w:val="44"/>
        </w:rPr>
      </w:pPr>
    </w:p>
    <w:p w14:paraId="39E4B627">
      <w:pPr>
        <w:pStyle w:val="7"/>
        <w:rPr>
          <w:rFonts w:hint="eastAsia" w:ascii="Times New Roman" w:hAnsi="Times New Roman" w:eastAsia="方正小标宋简体"/>
          <w:sz w:val="44"/>
          <w:szCs w:val="44"/>
        </w:rPr>
      </w:pPr>
    </w:p>
    <w:p w14:paraId="5C5EE19B">
      <w:pPr>
        <w:pStyle w:val="7"/>
        <w:rPr>
          <w:rFonts w:hint="eastAsia" w:ascii="Times New Roman" w:hAnsi="Times New Roman" w:eastAsia="方正小标宋简体"/>
          <w:sz w:val="44"/>
          <w:szCs w:val="44"/>
        </w:rPr>
      </w:pPr>
    </w:p>
    <w:p w14:paraId="789F41FF">
      <w:pPr>
        <w:overflowPunct w:val="0"/>
        <w:topLinePunct/>
        <w:jc w:val="center"/>
        <w:rPr>
          <w:rFonts w:hint="eastAsia" w:ascii="Times New Roman" w:hAnsi="Times New Roman" w:eastAsia="方正小标宋简体"/>
          <w:sz w:val="44"/>
          <w:szCs w:val="44"/>
        </w:rPr>
      </w:pPr>
      <w:r>
        <w:rPr>
          <w:rFonts w:hint="default" w:ascii="Times New Roman" w:hAnsi="Times New Roman"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1" name="Objec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5" o:spid="_x0000_s1026" o:spt="1"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hwl/c8AAAD/AAAADwAAAAAAAAAB&#10;ACAAAAAiAAAAZHJzL2Rvd25yZXYueG1sUEsBAhQAFAAAAAgAh07iQJDCTMGnAQAAZwMAAA4AAAAA&#10;AAAAAQAgAAAAHgEAAGRycy9lMm9Eb2MueG1sUEsFBgAAAAAGAAYAWQEAADcFAAAAAA==&#10;">
                <v:fill on="f" focussize="0,0"/>
                <v:stroke on="f"/>
                <v:imagedata o:title=""/>
                <o:lock v:ext="edit" aspectratio="t"/>
              </v:rect>
            </w:pict>
          </mc:Fallback>
        </mc:AlternateContent>
      </w:r>
      <w:r>
        <w:rPr>
          <w:rFonts w:hint="default" w:ascii="Times New Roman" w:hAnsi="Times New Roman" w:eastAsia="方正小标宋简体"/>
          <w:sz w:val="44"/>
          <w:szCs w:val="44"/>
        </w:rPr>
        <mc:AlternateContent>
          <mc:Choice Requires="wps">
            <w:drawing>
              <wp:inline distT="0" distB="0" distL="114300" distR="114300">
                <wp:extent cx="635" cy="0"/>
                <wp:effectExtent l="0" t="0" r="0" b="0"/>
                <wp:docPr id="13"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jWyFGz&#10;AQAAaAMAAA4AAAAAAAAAAQAgAAAAHgEAAGRycy9lMm9Eb2MueG1sUEsFBgAAAAAGAAYAWQEAAEMF&#10;AAAAAA==&#10;">
                <v:fill on="f" focussize="0,0"/>
                <v:stroke on="f"/>
                <v:imagedata o:title=""/>
                <o:lock v:ext="edit" aspectratio="t"/>
                <w10:wrap type="none"/>
                <w10:anchorlock/>
              </v:rect>
            </w:pict>
          </mc:Fallback>
        </mc:AlternateContent>
      </w:r>
    </w:p>
    <w:p w14:paraId="187472B5">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rPr>
      </w:pPr>
      <w:bookmarkStart w:id="3" w:name="_Toc6540"/>
      <w:r>
        <w:rPr>
          <w:rFonts w:hint="eastAsia" w:ascii="Times New Roman" w:hAnsi="Times New Roman" w:eastAsia="方正小标宋简体" w:cs="方正小标宋简体"/>
          <w:sz w:val="44"/>
          <w:szCs w:val="44"/>
        </w:rPr>
        <w:t xml:space="preserve">第二部分 </w:t>
      </w:r>
      <w:r>
        <w:rPr>
          <w:rFonts w:hint="eastAsia" w:ascii="Times New Roman" w:hAnsi="Times New Roman" w:eastAsia="方正小标宋简体" w:cs="方正小标宋简体"/>
          <w:sz w:val="44"/>
          <w:szCs w:val="44"/>
          <w:lang w:eastAsia="zh-CN"/>
        </w:rPr>
        <w:t>2024</w:t>
      </w:r>
      <w:r>
        <w:rPr>
          <w:rFonts w:hint="eastAsia" w:ascii="Times New Roman" w:hAnsi="Times New Roman" w:eastAsia="方正小标宋简体" w:cs="方正小标宋简体"/>
          <w:sz w:val="44"/>
          <w:szCs w:val="44"/>
        </w:rPr>
        <w:t>年度单位决算情况说明</w:t>
      </w:r>
      <w:bookmarkEnd w:id="3"/>
    </w:p>
    <w:p w14:paraId="01A71E25">
      <w:pPr>
        <w:pStyle w:val="7"/>
        <w:spacing w:before="72"/>
        <w:rPr>
          <w:rFonts w:hint="eastAsia" w:ascii="Times New Roman" w:hAnsi="Times New Roman"/>
          <w:sz w:val="30"/>
          <w:szCs w:val="24"/>
        </w:rPr>
      </w:pPr>
    </w:p>
    <w:p w14:paraId="7339C7FF">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rPr>
      </w:pPr>
      <w:bookmarkStart w:id="4" w:name="_Toc17189"/>
      <w:r>
        <w:rPr>
          <w:rFonts w:hint="eastAsia" w:ascii="Times New Roman" w:hAnsi="Times New Roman" w:eastAsia="黑体" w:cs="Times New Roman"/>
          <w:color w:val="000000"/>
          <w:kern w:val="2"/>
          <w:sz w:val="32"/>
          <w:szCs w:val="32"/>
        </w:rPr>
        <w:t>一、收入支出决算总体情况说明</w:t>
      </w:r>
      <w:bookmarkEnd w:id="4"/>
    </w:p>
    <w:p w14:paraId="070ABBB2">
      <w:pPr>
        <w:overflowPunct w:val="0"/>
        <w:topLinePunct/>
        <w:spacing w:line="576" w:lineRule="exact"/>
        <w:ind w:firstLine="640"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年度收、支总计均为</w:t>
      </w:r>
      <w:r>
        <w:rPr>
          <w:rFonts w:hint="eastAsia" w:ascii="Times New Roman" w:hAnsi="Times New Roman" w:eastAsia="仿宋_GB2312"/>
          <w:color w:val="000000"/>
          <w:kern w:val="2"/>
          <w:sz w:val="32"/>
          <w:szCs w:val="24"/>
          <w:lang w:val="en-US" w:eastAsia="zh-CN"/>
        </w:rPr>
        <w:t>106.63</w:t>
      </w:r>
      <w:r>
        <w:rPr>
          <w:rFonts w:hint="eastAsia" w:ascii="Times New Roman" w:hAnsi="Times New Roman" w:eastAsia="仿宋_GB2312"/>
          <w:color w:val="000000"/>
          <w:kern w:val="2"/>
          <w:sz w:val="32"/>
          <w:szCs w:val="24"/>
        </w:rPr>
        <w:t>万元。与</w:t>
      </w:r>
      <w:r>
        <w:rPr>
          <w:rFonts w:hint="eastAsia" w:ascii="Times New Roman" w:hAnsi="Times New Roman" w:eastAsia="仿宋_GB2312"/>
          <w:color w:val="000000"/>
          <w:kern w:val="2"/>
          <w:sz w:val="32"/>
          <w:szCs w:val="24"/>
          <w:lang w:eastAsia="zh-CN"/>
        </w:rPr>
        <w:t>2023</w:t>
      </w:r>
      <w:r>
        <w:rPr>
          <w:rFonts w:hint="eastAsia" w:ascii="Times New Roman" w:hAnsi="Times New Roman" w:eastAsia="仿宋_GB2312"/>
          <w:color w:val="000000"/>
          <w:kern w:val="2"/>
          <w:sz w:val="32"/>
          <w:szCs w:val="24"/>
        </w:rPr>
        <w:t>年度相比，收、支总计各减少</w:t>
      </w:r>
      <w:r>
        <w:rPr>
          <w:rFonts w:hint="eastAsia" w:ascii="Times New Roman" w:hAnsi="Times New Roman" w:eastAsia="仿宋_GB2312"/>
          <w:color w:val="000000"/>
          <w:kern w:val="2"/>
          <w:sz w:val="32"/>
          <w:szCs w:val="24"/>
          <w:lang w:val="en-US" w:eastAsia="zh-CN"/>
        </w:rPr>
        <w:t>3.32</w:t>
      </w:r>
      <w:r>
        <w:rPr>
          <w:rFonts w:hint="eastAsia" w:ascii="Times New Roman" w:hAnsi="Times New Roman" w:eastAsia="仿宋_GB2312"/>
          <w:color w:val="000000"/>
          <w:kern w:val="2"/>
          <w:sz w:val="32"/>
          <w:szCs w:val="24"/>
        </w:rPr>
        <w:t>万元，下降</w:t>
      </w:r>
      <w:r>
        <w:rPr>
          <w:rFonts w:hint="eastAsia" w:ascii="Times New Roman" w:hAnsi="Times New Roman" w:eastAsia="仿宋_GB2312"/>
          <w:color w:val="000000"/>
          <w:kern w:val="2"/>
          <w:sz w:val="32"/>
          <w:szCs w:val="24"/>
          <w:lang w:val="en-US" w:eastAsia="zh-CN"/>
        </w:rPr>
        <w:t>3.1</w:t>
      </w:r>
      <w:r>
        <w:rPr>
          <w:rFonts w:hint="eastAsia" w:ascii="Times New Roman" w:hAnsi="Times New Roman" w:eastAsia="仿宋_GB2312"/>
          <w:color w:val="000000"/>
          <w:kern w:val="2"/>
          <w:sz w:val="32"/>
          <w:szCs w:val="24"/>
        </w:rPr>
        <w:t>%。主要变动原因是农林水项目收支减少。</w:t>
      </w:r>
    </w:p>
    <w:p w14:paraId="4145BE7D">
      <w:pPr>
        <w:overflowPunct w:val="0"/>
        <w:topLinePunct/>
        <w:spacing w:line="240" w:lineRule="auto"/>
        <w:ind w:firstLine="0" w:firstLineChars="0"/>
        <w:jc w:val="both"/>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drawing>
          <wp:inline distT="0" distB="0" distL="114300" distR="114300">
            <wp:extent cx="5773420" cy="3742690"/>
            <wp:effectExtent l="4445" t="4445" r="13335" b="17145"/>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5D1DAD">
      <w:pPr>
        <w:pStyle w:val="2"/>
        <w:ind w:left="0" w:leftChars="0" w:firstLine="0" w:firstLineChars="0"/>
        <w:rPr>
          <w:rFonts w:hint="eastAsia" w:ascii="Times New Roman" w:hAnsi="Times New Roman"/>
          <w:sz w:val="24"/>
          <w:szCs w:val="32"/>
        </w:rPr>
      </w:pPr>
    </w:p>
    <w:p w14:paraId="2CFCD0F7">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rPr>
      </w:pPr>
      <w:bookmarkStart w:id="5" w:name="_Toc3211"/>
      <w:r>
        <w:rPr>
          <w:rFonts w:hint="eastAsia" w:ascii="Times New Roman" w:hAnsi="Times New Roman" w:eastAsia="黑体" w:cs="Times New Roman"/>
          <w:color w:val="000000"/>
          <w:kern w:val="2"/>
          <w:sz w:val="32"/>
          <w:szCs w:val="32"/>
        </w:rPr>
        <w:t>二、收入决算情况说明</w:t>
      </w:r>
      <w:bookmarkEnd w:id="5"/>
    </w:p>
    <w:p w14:paraId="3A8CB58F">
      <w:pPr>
        <w:overflowPunct w:val="0"/>
        <w:topLinePunct/>
        <w:spacing w:line="576" w:lineRule="exact"/>
        <w:ind w:firstLine="640" w:firstLineChars="200"/>
        <w:jc w:val="both"/>
        <w:rPr>
          <w:rFonts w:hint="eastAsia" w:ascii="Times New Roman" w:hAnsi="Times New Roman" w:eastAsia="仿宋_GB2312"/>
          <w:color w:val="000000"/>
          <w:kern w:val="2"/>
          <w:sz w:val="32"/>
          <w:szCs w:val="24"/>
          <w:lang w:eastAsia="zh-CN"/>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年本年收入合计</w:t>
      </w:r>
      <w:r>
        <w:rPr>
          <w:rFonts w:hint="eastAsia" w:ascii="Times New Roman" w:hAnsi="Times New Roman" w:eastAsia="仿宋_GB2312"/>
          <w:color w:val="000000"/>
          <w:kern w:val="2"/>
          <w:sz w:val="32"/>
          <w:szCs w:val="24"/>
          <w:lang w:val="en-US" w:eastAsia="zh-CN"/>
        </w:rPr>
        <w:t>106.63</w:t>
      </w:r>
      <w:r>
        <w:rPr>
          <w:rFonts w:hint="eastAsia" w:ascii="Times New Roman" w:hAnsi="Times New Roman" w:eastAsia="仿宋_GB2312"/>
          <w:color w:val="000000"/>
          <w:kern w:val="2"/>
          <w:sz w:val="32"/>
          <w:szCs w:val="24"/>
        </w:rPr>
        <w:t>万元，其中：一般公共预算财政拨款收入</w:t>
      </w:r>
      <w:r>
        <w:rPr>
          <w:rFonts w:hint="eastAsia" w:ascii="Times New Roman" w:hAnsi="Times New Roman" w:eastAsia="仿宋_GB2312"/>
          <w:color w:val="000000"/>
          <w:kern w:val="2"/>
          <w:sz w:val="32"/>
          <w:szCs w:val="24"/>
          <w:lang w:val="en-US" w:eastAsia="zh-CN"/>
        </w:rPr>
        <w:t>106.63</w:t>
      </w:r>
      <w:r>
        <w:rPr>
          <w:rFonts w:hint="eastAsia" w:ascii="Times New Roman" w:hAnsi="Times New Roman"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w:t>
      </w:r>
      <w:r>
        <w:rPr>
          <w:rFonts w:hint="eastAsia" w:ascii="Times New Roman" w:hAnsi="Times New Roman" w:eastAsia="仿宋_GB2312"/>
          <w:color w:val="000000"/>
          <w:kern w:val="2"/>
          <w:sz w:val="32"/>
          <w:szCs w:val="24"/>
          <w:lang w:eastAsia="zh-CN"/>
        </w:rPr>
        <w:t>。</w:t>
      </w:r>
    </w:p>
    <w:p w14:paraId="0A8892AD">
      <w:pPr>
        <w:overflowPunct w:val="0"/>
        <w:topLinePunct/>
        <w:spacing w:line="576" w:lineRule="exact"/>
        <w:jc w:val="both"/>
        <w:rPr>
          <w:rFonts w:hint="eastAsia" w:ascii="Times New Roman" w:hAnsi="Times New Roman" w:eastAsia="黑体" w:cs="Times New Roman"/>
          <w:color w:val="000000"/>
          <w:kern w:val="2"/>
          <w:sz w:val="32"/>
          <w:szCs w:val="32"/>
        </w:rPr>
      </w:pPr>
      <w:r>
        <w:rPr>
          <w:rFonts w:hint="eastAsia" w:ascii="Times New Roman" w:hAnsi="Times New Roman" w:eastAsia="黑体"/>
          <w:color w:val="000000"/>
          <w:kern w:val="2"/>
          <w:sz w:val="32"/>
          <w:szCs w:val="24"/>
          <w:lang w:eastAsia="zh-CN"/>
        </w:rPr>
        <w:drawing>
          <wp:anchor distT="0" distB="0" distL="114300" distR="114300" simplePos="0" relativeHeight="251661312" behindDoc="0" locked="0" layoutInCell="1" allowOverlap="1">
            <wp:simplePos x="0" y="0"/>
            <wp:positionH relativeFrom="column">
              <wp:posOffset>240030</wp:posOffset>
            </wp:positionH>
            <wp:positionV relativeFrom="paragraph">
              <wp:posOffset>257810</wp:posOffset>
            </wp:positionV>
            <wp:extent cx="4685665" cy="2826385"/>
            <wp:effectExtent l="4445" t="4445" r="15240" b="7620"/>
            <wp:wrapTopAndBottom/>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6" w:name="_Toc28346"/>
      <w:r>
        <w:rPr>
          <w:rFonts w:hint="eastAsia" w:ascii="Times New Roman" w:hAnsi="Times New Roman" w:eastAsia="黑体" w:cs="Times New Roman"/>
          <w:color w:val="000000"/>
          <w:kern w:val="2"/>
          <w:sz w:val="32"/>
          <w:szCs w:val="32"/>
        </w:rPr>
        <w:t>三、支出决算情况说明</w:t>
      </w:r>
      <w:bookmarkEnd w:id="6"/>
    </w:p>
    <w:p w14:paraId="43E07A25">
      <w:pPr>
        <w:overflowPunct w:val="0"/>
        <w:topLinePunct/>
        <w:spacing w:line="576" w:lineRule="exact"/>
        <w:ind w:firstLine="640" w:firstLineChars="200"/>
        <w:jc w:val="both"/>
        <w:rPr>
          <w:rFonts w:hint="eastAsia" w:ascii="Times New Roman" w:hAnsi="Times New Roman" w:eastAsia="仿宋_GB2312"/>
          <w:color w:val="000000"/>
          <w:kern w:val="2"/>
          <w:sz w:val="32"/>
          <w:szCs w:val="24"/>
          <w:lang w:eastAsia="zh-CN"/>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年本年支出合计</w:t>
      </w:r>
      <w:r>
        <w:rPr>
          <w:rFonts w:hint="eastAsia" w:ascii="Times New Roman" w:hAnsi="Times New Roman" w:eastAsia="仿宋_GB2312"/>
          <w:color w:val="000000"/>
          <w:kern w:val="2"/>
          <w:sz w:val="32"/>
          <w:szCs w:val="24"/>
          <w:lang w:val="en-US" w:eastAsia="zh-CN"/>
        </w:rPr>
        <w:t>106.63</w:t>
      </w:r>
      <w:r>
        <w:rPr>
          <w:rFonts w:hint="eastAsia" w:ascii="Times New Roman" w:hAnsi="Times New Roman" w:eastAsia="仿宋_GB2312"/>
          <w:color w:val="000000"/>
          <w:kern w:val="2"/>
          <w:sz w:val="32"/>
          <w:szCs w:val="24"/>
        </w:rPr>
        <w:t>万元，其中：基本支出</w:t>
      </w:r>
      <w:r>
        <w:rPr>
          <w:rFonts w:hint="eastAsia" w:ascii="Times New Roman" w:hAnsi="Times New Roman" w:eastAsia="仿宋_GB2312"/>
          <w:color w:val="000000"/>
          <w:kern w:val="2"/>
          <w:sz w:val="32"/>
          <w:szCs w:val="24"/>
          <w:lang w:val="en-US" w:eastAsia="zh-CN"/>
        </w:rPr>
        <w:t>72.63</w:t>
      </w:r>
      <w:r>
        <w:rPr>
          <w:rFonts w:hint="eastAsia" w:ascii="Times New Roman" w:hAnsi="Times New Roman"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68.1</w:t>
      </w:r>
      <w:r>
        <w:rPr>
          <w:rFonts w:hint="eastAsia" w:ascii="Times New Roman" w:hAnsi="Times New Roman" w:eastAsia="仿宋_GB2312"/>
          <w:color w:val="000000"/>
          <w:kern w:val="2"/>
          <w:sz w:val="32"/>
          <w:szCs w:val="24"/>
        </w:rPr>
        <w:t>%；项目支出</w:t>
      </w:r>
      <w:r>
        <w:rPr>
          <w:rFonts w:hint="eastAsia" w:ascii="Times New Roman" w:hAnsi="Times New Roman" w:eastAsia="仿宋_GB2312"/>
          <w:color w:val="000000"/>
          <w:kern w:val="2"/>
          <w:sz w:val="32"/>
          <w:szCs w:val="24"/>
          <w:lang w:val="en-US" w:eastAsia="zh-CN"/>
        </w:rPr>
        <w:t>34</w:t>
      </w:r>
      <w:r>
        <w:rPr>
          <w:rFonts w:hint="eastAsia" w:ascii="Times New Roman" w:hAnsi="Times New Roman"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31.9</w:t>
      </w:r>
      <w:r>
        <w:rPr>
          <w:rFonts w:hint="eastAsia" w:ascii="Times New Roman" w:hAnsi="Times New Roman" w:eastAsia="仿宋_GB2312"/>
          <w:color w:val="000000"/>
          <w:kern w:val="2"/>
          <w:sz w:val="32"/>
          <w:szCs w:val="24"/>
        </w:rPr>
        <w:t>%</w:t>
      </w:r>
      <w:r>
        <w:rPr>
          <w:rFonts w:hint="eastAsia" w:ascii="Times New Roman" w:hAnsi="Times New Roman" w:eastAsia="仿宋_GB2312"/>
          <w:color w:val="000000"/>
          <w:kern w:val="2"/>
          <w:sz w:val="32"/>
          <w:szCs w:val="24"/>
          <w:lang w:eastAsia="zh-CN"/>
        </w:rPr>
        <w:t>。</w:t>
      </w:r>
    </w:p>
    <w:p w14:paraId="036E5EAE">
      <w:pPr>
        <w:bidi w:val="0"/>
        <w:rPr>
          <w:rFonts w:hint="eastAsia" w:ascii="Times New Roman" w:hAnsi="Times New Roman" w:eastAsia="宋体" w:cs="Times New Roman"/>
          <w:sz w:val="24"/>
          <w:szCs w:val="24"/>
          <w:lang w:val="en-US" w:eastAsia="zh-CN" w:bidi="ar-SA"/>
        </w:rPr>
      </w:pPr>
      <w:r>
        <w:rPr>
          <w:rFonts w:hint="eastAsia" w:ascii="Times New Roman" w:hAnsi="Times New Roman" w:eastAsia="黑体"/>
          <w:color w:val="000000"/>
          <w:kern w:val="2"/>
          <w:sz w:val="32"/>
          <w:szCs w:val="24"/>
          <w:lang w:eastAsia="zh-CN"/>
        </w:rPr>
        <w:drawing>
          <wp:anchor distT="0" distB="0" distL="114300" distR="114300" simplePos="0" relativeHeight="251662336" behindDoc="0" locked="0" layoutInCell="1" allowOverlap="1">
            <wp:simplePos x="0" y="0"/>
            <wp:positionH relativeFrom="column">
              <wp:posOffset>243205</wp:posOffset>
            </wp:positionH>
            <wp:positionV relativeFrom="paragraph">
              <wp:posOffset>48260</wp:posOffset>
            </wp:positionV>
            <wp:extent cx="4808220" cy="2969895"/>
            <wp:effectExtent l="4445" t="4445" r="6985" b="165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6825F7A">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rPr>
      </w:pPr>
      <w:bookmarkStart w:id="7" w:name="_Toc6712"/>
      <w:r>
        <w:rPr>
          <w:rFonts w:hint="eastAsia" w:ascii="Times New Roman" w:hAnsi="Times New Roman" w:eastAsia="黑体" w:cs="Times New Roman"/>
          <w:color w:val="000000"/>
          <w:kern w:val="2"/>
          <w:sz w:val="32"/>
          <w:szCs w:val="32"/>
          <w:lang w:val="en-US" w:eastAsia="zh-CN"/>
        </w:rPr>
        <w:t>四、</w:t>
      </w:r>
      <w:r>
        <w:rPr>
          <w:rFonts w:hint="eastAsia" w:ascii="Times New Roman" w:hAnsi="Times New Roman" w:eastAsia="黑体" w:cs="Times New Roman"/>
          <w:color w:val="000000"/>
          <w:kern w:val="2"/>
          <w:sz w:val="32"/>
          <w:szCs w:val="32"/>
        </w:rPr>
        <w:t>财政拨款收入支出决算总体情况说明</w:t>
      </w:r>
      <w:bookmarkEnd w:id="7"/>
    </w:p>
    <w:p w14:paraId="09257196">
      <w:pPr>
        <w:overflowPunct w:val="0"/>
        <w:topLinePunct/>
        <w:spacing w:line="576" w:lineRule="exact"/>
        <w:ind w:firstLine="640"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年度收、支总计均为</w:t>
      </w:r>
      <w:r>
        <w:rPr>
          <w:rFonts w:hint="eastAsia" w:ascii="Times New Roman" w:hAnsi="Times New Roman" w:eastAsia="仿宋_GB2312"/>
          <w:color w:val="000000"/>
          <w:kern w:val="2"/>
          <w:sz w:val="32"/>
          <w:szCs w:val="24"/>
          <w:lang w:val="en-US" w:eastAsia="zh-CN"/>
        </w:rPr>
        <w:t>106.63</w:t>
      </w:r>
      <w:r>
        <w:rPr>
          <w:rFonts w:hint="eastAsia" w:ascii="Times New Roman" w:hAnsi="Times New Roman" w:eastAsia="仿宋_GB2312"/>
          <w:color w:val="000000"/>
          <w:kern w:val="2"/>
          <w:sz w:val="32"/>
          <w:szCs w:val="24"/>
        </w:rPr>
        <w:t>万元。与</w:t>
      </w:r>
      <w:r>
        <w:rPr>
          <w:rFonts w:hint="eastAsia" w:ascii="Times New Roman" w:hAnsi="Times New Roman" w:eastAsia="仿宋_GB2312"/>
          <w:color w:val="000000"/>
          <w:kern w:val="2"/>
          <w:sz w:val="32"/>
          <w:szCs w:val="24"/>
          <w:lang w:eastAsia="zh-CN"/>
        </w:rPr>
        <w:t>2023</w:t>
      </w:r>
      <w:r>
        <w:rPr>
          <w:rFonts w:hint="eastAsia" w:ascii="Times New Roman" w:hAnsi="Times New Roman" w:eastAsia="仿宋_GB2312"/>
          <w:color w:val="000000"/>
          <w:kern w:val="2"/>
          <w:sz w:val="32"/>
          <w:szCs w:val="24"/>
        </w:rPr>
        <w:t>年度相比，收、支总计各减少</w:t>
      </w:r>
      <w:r>
        <w:rPr>
          <w:rFonts w:hint="eastAsia" w:ascii="Times New Roman" w:hAnsi="Times New Roman" w:eastAsia="仿宋_GB2312"/>
          <w:color w:val="000000"/>
          <w:kern w:val="2"/>
          <w:sz w:val="32"/>
          <w:szCs w:val="24"/>
          <w:lang w:val="en-US" w:eastAsia="zh-CN"/>
        </w:rPr>
        <w:t>3.32</w:t>
      </w:r>
      <w:r>
        <w:rPr>
          <w:rFonts w:hint="eastAsia" w:ascii="Times New Roman" w:hAnsi="Times New Roman" w:eastAsia="仿宋_GB2312"/>
          <w:color w:val="000000"/>
          <w:kern w:val="2"/>
          <w:sz w:val="32"/>
          <w:szCs w:val="24"/>
        </w:rPr>
        <w:t>万元，下降</w:t>
      </w:r>
      <w:r>
        <w:rPr>
          <w:rFonts w:hint="eastAsia" w:ascii="Times New Roman" w:hAnsi="Times New Roman" w:eastAsia="仿宋_GB2312"/>
          <w:color w:val="000000"/>
          <w:kern w:val="2"/>
          <w:sz w:val="32"/>
          <w:szCs w:val="24"/>
          <w:lang w:val="en-US" w:eastAsia="zh-CN"/>
        </w:rPr>
        <w:t>3.1</w:t>
      </w:r>
      <w:r>
        <w:rPr>
          <w:rFonts w:hint="eastAsia" w:ascii="Times New Roman" w:hAnsi="Times New Roman" w:eastAsia="仿宋_GB2312"/>
          <w:color w:val="000000"/>
          <w:kern w:val="2"/>
          <w:sz w:val="32"/>
          <w:szCs w:val="24"/>
        </w:rPr>
        <w:t>%。主要变动原因是农林水项目收支减少。</w:t>
      </w:r>
    </w:p>
    <w:p w14:paraId="24087677">
      <w:pPr>
        <w:pStyle w:val="8"/>
        <w:rPr>
          <w:rFonts w:hint="eastAsia" w:ascii="Times New Roman" w:hAnsi="Times New Roman" w:eastAsia="仿宋_GB2312"/>
          <w:color w:val="000000"/>
          <w:kern w:val="2"/>
          <w:sz w:val="32"/>
          <w:szCs w:val="24"/>
        </w:rPr>
      </w:pPr>
    </w:p>
    <w:p w14:paraId="556D38E4">
      <w:pPr>
        <w:pStyle w:val="8"/>
        <w:rPr>
          <w:rFonts w:hint="eastAsia" w:ascii="Times New Roman" w:hAnsi="Times New Roman" w:eastAsia="仿宋_GB2312"/>
          <w:color w:val="000000"/>
          <w:kern w:val="2"/>
          <w:sz w:val="32"/>
          <w:szCs w:val="24"/>
        </w:rPr>
      </w:pPr>
      <w:r>
        <w:rPr>
          <w:rFonts w:hint="eastAsia" w:ascii="Times New Roman" w:hAnsi="Times New Roman" w:eastAsia="黑体"/>
          <w:color w:val="000000"/>
          <w:kern w:val="2"/>
          <w:sz w:val="32"/>
          <w:szCs w:val="24"/>
          <w:lang w:eastAsia="zh-CN"/>
        </w:rPr>
        <w:drawing>
          <wp:anchor distT="0" distB="0" distL="114935" distR="114935" simplePos="0" relativeHeight="251666432" behindDoc="0" locked="0" layoutInCell="1" allowOverlap="1">
            <wp:simplePos x="0" y="0"/>
            <wp:positionH relativeFrom="column">
              <wp:posOffset>168275</wp:posOffset>
            </wp:positionH>
            <wp:positionV relativeFrom="page">
              <wp:posOffset>6466840</wp:posOffset>
            </wp:positionV>
            <wp:extent cx="4748530" cy="2372360"/>
            <wp:effectExtent l="4445" t="4445" r="9525" b="2349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BDC2149">
      <w:pPr>
        <w:pStyle w:val="8"/>
        <w:rPr>
          <w:rFonts w:hint="eastAsia" w:ascii="Times New Roman" w:hAnsi="Times New Roman" w:eastAsia="仿宋_GB2312"/>
          <w:color w:val="000000"/>
          <w:kern w:val="2"/>
          <w:sz w:val="32"/>
          <w:szCs w:val="24"/>
        </w:rPr>
      </w:pPr>
    </w:p>
    <w:p w14:paraId="7CEF9AF2">
      <w:pPr>
        <w:pStyle w:val="8"/>
        <w:rPr>
          <w:rFonts w:hint="eastAsia" w:ascii="Times New Roman" w:hAnsi="Times New Roman" w:eastAsia="仿宋_GB2312"/>
          <w:color w:val="000000"/>
          <w:kern w:val="2"/>
          <w:sz w:val="32"/>
          <w:szCs w:val="24"/>
        </w:rPr>
      </w:pPr>
    </w:p>
    <w:p w14:paraId="5B3B0EF4">
      <w:pPr>
        <w:pStyle w:val="8"/>
        <w:rPr>
          <w:rFonts w:hint="eastAsia" w:ascii="Times New Roman" w:hAnsi="Times New Roman" w:eastAsia="仿宋_GB2312"/>
          <w:color w:val="000000"/>
          <w:kern w:val="2"/>
          <w:sz w:val="32"/>
          <w:szCs w:val="24"/>
        </w:rPr>
      </w:pPr>
    </w:p>
    <w:p w14:paraId="6838A911">
      <w:pPr>
        <w:pStyle w:val="8"/>
        <w:rPr>
          <w:rFonts w:hint="eastAsia" w:ascii="Times New Roman" w:hAnsi="Times New Roman" w:eastAsia="仿宋_GB2312"/>
          <w:color w:val="000000"/>
          <w:kern w:val="2"/>
          <w:sz w:val="32"/>
          <w:szCs w:val="24"/>
        </w:rPr>
      </w:pPr>
    </w:p>
    <w:p w14:paraId="31E794E0">
      <w:pPr>
        <w:pStyle w:val="8"/>
        <w:rPr>
          <w:rFonts w:hint="eastAsia" w:ascii="Times New Roman" w:hAnsi="Times New Roman" w:eastAsia="仿宋_GB2312"/>
          <w:color w:val="000000"/>
          <w:kern w:val="2"/>
          <w:sz w:val="32"/>
          <w:szCs w:val="24"/>
        </w:rPr>
      </w:pPr>
    </w:p>
    <w:p w14:paraId="6535DF29">
      <w:pPr>
        <w:pStyle w:val="8"/>
        <w:rPr>
          <w:rFonts w:hint="eastAsia" w:ascii="Times New Roman" w:hAnsi="Times New Roman" w:eastAsia="仿宋_GB2312"/>
          <w:color w:val="000000"/>
          <w:kern w:val="2"/>
          <w:sz w:val="32"/>
          <w:szCs w:val="24"/>
        </w:rPr>
      </w:pPr>
    </w:p>
    <w:p w14:paraId="37094553">
      <w:pPr>
        <w:pStyle w:val="8"/>
        <w:rPr>
          <w:rFonts w:hint="eastAsia" w:ascii="Times New Roman" w:hAnsi="Times New Roman" w:eastAsia="仿宋_GB2312"/>
          <w:color w:val="000000"/>
          <w:kern w:val="2"/>
          <w:sz w:val="32"/>
          <w:szCs w:val="24"/>
        </w:rPr>
      </w:pPr>
    </w:p>
    <w:p w14:paraId="72B273D9">
      <w:pPr>
        <w:pStyle w:val="8"/>
        <w:rPr>
          <w:rFonts w:hint="eastAsia" w:ascii="Times New Roman" w:hAnsi="Times New Roman" w:eastAsia="仿宋_GB2312"/>
          <w:color w:val="000000"/>
          <w:kern w:val="2"/>
          <w:sz w:val="32"/>
          <w:szCs w:val="24"/>
        </w:rPr>
      </w:pPr>
    </w:p>
    <w:p w14:paraId="4FFDA489">
      <w:pPr>
        <w:pStyle w:val="8"/>
        <w:rPr>
          <w:rFonts w:hint="eastAsia" w:ascii="Times New Roman" w:hAnsi="Times New Roman" w:eastAsia="仿宋_GB2312"/>
          <w:color w:val="000000"/>
          <w:kern w:val="2"/>
          <w:sz w:val="32"/>
          <w:szCs w:val="24"/>
        </w:rPr>
      </w:pPr>
    </w:p>
    <w:p w14:paraId="482D2E33">
      <w:pPr>
        <w:pStyle w:val="8"/>
        <w:rPr>
          <w:rFonts w:hint="eastAsia" w:ascii="Times New Roman" w:hAnsi="Times New Roman" w:eastAsia="仿宋_GB2312"/>
          <w:color w:val="000000"/>
          <w:kern w:val="2"/>
          <w:sz w:val="32"/>
          <w:szCs w:val="24"/>
        </w:rPr>
      </w:pPr>
    </w:p>
    <w:p w14:paraId="5BB09C19">
      <w:pPr>
        <w:pStyle w:val="8"/>
        <w:rPr>
          <w:rFonts w:hint="eastAsia" w:ascii="Times New Roman" w:hAnsi="Times New Roman" w:eastAsia="仿宋_GB2312"/>
          <w:color w:val="000000"/>
          <w:kern w:val="2"/>
          <w:sz w:val="32"/>
          <w:szCs w:val="24"/>
        </w:rPr>
      </w:pPr>
    </w:p>
    <w:p w14:paraId="7680B838">
      <w:pPr>
        <w:pStyle w:val="8"/>
        <w:rPr>
          <w:rFonts w:hint="eastAsia" w:ascii="Times New Roman" w:hAnsi="Times New Roman" w:eastAsia="仿宋_GB2312"/>
          <w:color w:val="000000"/>
          <w:kern w:val="2"/>
          <w:sz w:val="32"/>
          <w:szCs w:val="24"/>
        </w:rPr>
      </w:pPr>
    </w:p>
    <w:p w14:paraId="11DDD820">
      <w:pPr>
        <w:pStyle w:val="8"/>
        <w:rPr>
          <w:rFonts w:hint="eastAsia" w:ascii="Times New Roman" w:hAnsi="Times New Roman" w:eastAsia="仿宋_GB2312"/>
          <w:color w:val="000000"/>
          <w:kern w:val="2"/>
          <w:sz w:val="32"/>
          <w:szCs w:val="24"/>
        </w:rPr>
      </w:pPr>
    </w:p>
    <w:p w14:paraId="5C6BAF32">
      <w:pPr>
        <w:pStyle w:val="8"/>
        <w:rPr>
          <w:rFonts w:hint="eastAsia" w:ascii="Times New Roman" w:hAnsi="Times New Roman" w:eastAsia="黑体"/>
          <w:kern w:val="2"/>
          <w:sz w:val="32"/>
          <w:szCs w:val="24"/>
        </w:rPr>
      </w:pPr>
    </w:p>
    <w:p w14:paraId="4B9EBFD3">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8" w:name="_Toc14859"/>
      <w:r>
        <w:rPr>
          <w:rFonts w:hint="eastAsia" w:ascii="Times New Roman" w:hAnsi="Times New Roman" w:eastAsia="黑体" w:cs="Times New Roman"/>
          <w:color w:val="000000"/>
          <w:kern w:val="2"/>
          <w:sz w:val="32"/>
          <w:szCs w:val="32"/>
          <w:lang w:val="en-US" w:eastAsia="zh-CN"/>
        </w:rPr>
        <w:t>五、一般公共预算财政拨款支出决算情况说明</w:t>
      </w:r>
      <w:bookmarkEnd w:id="8"/>
    </w:p>
    <w:p w14:paraId="6AC3D345">
      <w:pPr>
        <w:overflowPunct w:val="0"/>
        <w:topLinePunct/>
        <w:spacing w:line="576" w:lineRule="exact"/>
        <w:ind w:firstLine="643" w:firstLineChars="200"/>
        <w:jc w:val="both"/>
        <w:rPr>
          <w:rFonts w:hint="eastAsia" w:ascii="Times New Roman" w:hAnsi="Times New Roman" w:eastAsia="仿宋_GB2312"/>
          <w:b/>
          <w:color w:val="000000"/>
          <w:kern w:val="2"/>
          <w:sz w:val="32"/>
          <w:szCs w:val="24"/>
        </w:rPr>
      </w:pPr>
      <w:r>
        <w:rPr>
          <w:rFonts w:hint="eastAsia" w:ascii="Times New Roman" w:hAnsi="Times New Roman" w:eastAsia="仿宋_GB2312"/>
          <w:b/>
          <w:color w:val="000000"/>
          <w:kern w:val="2"/>
          <w:sz w:val="32"/>
          <w:szCs w:val="24"/>
        </w:rPr>
        <w:t>（一）一般公共预算财政拨款支出决算总体情况</w:t>
      </w:r>
    </w:p>
    <w:p w14:paraId="2EFC816D">
      <w:pPr>
        <w:overflowPunct w:val="0"/>
        <w:topLinePunct/>
        <w:spacing w:line="576" w:lineRule="exact"/>
        <w:ind w:firstLine="640"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年度一般公共预算财政拨款支出</w:t>
      </w:r>
      <w:r>
        <w:rPr>
          <w:rFonts w:hint="eastAsia" w:ascii="Times New Roman" w:hAnsi="Times New Roman" w:eastAsia="仿宋_GB2312"/>
          <w:color w:val="000000"/>
          <w:kern w:val="2"/>
          <w:sz w:val="32"/>
          <w:szCs w:val="24"/>
          <w:lang w:val="en-US" w:eastAsia="zh-CN"/>
        </w:rPr>
        <w:t>106.63</w:t>
      </w:r>
      <w:r>
        <w:rPr>
          <w:rFonts w:hint="eastAsia" w:ascii="Times New Roman" w:hAnsi="Times New Roman" w:eastAsia="仿宋_GB2312"/>
          <w:color w:val="000000"/>
          <w:kern w:val="2"/>
          <w:sz w:val="32"/>
          <w:szCs w:val="24"/>
        </w:rPr>
        <w:t>万元，占本年支出合计的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%。与</w:t>
      </w:r>
      <w:r>
        <w:rPr>
          <w:rFonts w:hint="eastAsia" w:ascii="Times New Roman" w:hAnsi="Times New Roman" w:eastAsia="仿宋_GB2312"/>
          <w:color w:val="000000"/>
          <w:kern w:val="2"/>
          <w:sz w:val="32"/>
          <w:szCs w:val="24"/>
          <w:lang w:eastAsia="zh-CN"/>
        </w:rPr>
        <w:t>2023</w:t>
      </w:r>
      <w:r>
        <w:rPr>
          <w:rFonts w:hint="eastAsia" w:ascii="Times New Roman" w:hAnsi="Times New Roman" w:eastAsia="仿宋_GB2312"/>
          <w:color w:val="000000"/>
          <w:kern w:val="2"/>
          <w:sz w:val="32"/>
          <w:szCs w:val="24"/>
        </w:rPr>
        <w:t>年度相比，一般公共预算财政拨款支出减少</w:t>
      </w:r>
      <w:r>
        <w:rPr>
          <w:rFonts w:hint="eastAsia" w:ascii="Times New Roman" w:hAnsi="Times New Roman" w:eastAsia="仿宋_GB2312"/>
          <w:color w:val="000000"/>
          <w:kern w:val="2"/>
          <w:sz w:val="32"/>
          <w:szCs w:val="24"/>
          <w:lang w:val="en-US" w:eastAsia="zh-CN"/>
        </w:rPr>
        <w:t>3.32</w:t>
      </w:r>
      <w:r>
        <w:rPr>
          <w:rFonts w:hint="eastAsia" w:ascii="Times New Roman" w:hAnsi="Times New Roman" w:eastAsia="仿宋_GB2312"/>
          <w:color w:val="000000"/>
          <w:kern w:val="2"/>
          <w:sz w:val="32"/>
          <w:szCs w:val="24"/>
        </w:rPr>
        <w:t>万元，下降</w:t>
      </w:r>
      <w:r>
        <w:rPr>
          <w:rFonts w:hint="eastAsia" w:ascii="Times New Roman" w:hAnsi="Times New Roman" w:eastAsia="仿宋_GB2312"/>
          <w:color w:val="000000"/>
          <w:kern w:val="2"/>
          <w:sz w:val="32"/>
          <w:szCs w:val="24"/>
          <w:lang w:val="en-US" w:eastAsia="zh-CN"/>
        </w:rPr>
        <w:t>3.1</w:t>
      </w:r>
      <w:r>
        <w:rPr>
          <w:rFonts w:hint="eastAsia" w:ascii="Times New Roman" w:hAnsi="Times New Roman" w:eastAsia="仿宋_GB2312"/>
          <w:color w:val="000000"/>
          <w:kern w:val="2"/>
          <w:sz w:val="32"/>
          <w:szCs w:val="24"/>
        </w:rPr>
        <w:t>%。主要变动原因是</w:t>
      </w:r>
      <w:r>
        <w:rPr>
          <w:rFonts w:hint="eastAsia" w:ascii="Times New Roman" w:hAnsi="Times New Roman" w:eastAsia="仿宋_GB2312"/>
          <w:color w:val="000000"/>
          <w:kern w:val="2"/>
          <w:sz w:val="32"/>
          <w:szCs w:val="24"/>
          <w:lang w:eastAsia="zh-CN"/>
        </w:rPr>
        <w:t>项目支出减少</w:t>
      </w:r>
      <w:r>
        <w:rPr>
          <w:rFonts w:hint="eastAsia" w:ascii="Times New Roman" w:hAnsi="Times New Roman" w:eastAsia="仿宋_GB2312"/>
          <w:color w:val="000000"/>
          <w:kern w:val="2"/>
          <w:sz w:val="32"/>
          <w:szCs w:val="24"/>
        </w:rPr>
        <w:t>。</w:t>
      </w:r>
    </w:p>
    <w:p w14:paraId="2F704DFC">
      <w:pPr>
        <w:overflowPunct w:val="0"/>
        <w:topLinePunct/>
        <w:spacing w:line="576" w:lineRule="exact"/>
        <w:ind w:firstLine="640" w:firstLineChars="200"/>
        <w:jc w:val="both"/>
        <w:rPr>
          <w:rFonts w:hint="eastAsia" w:ascii="Times New Roman" w:hAnsi="Times New Roman" w:eastAsia="仿宋_GB2312"/>
          <w:b/>
          <w:color w:val="000000"/>
          <w:kern w:val="2"/>
          <w:sz w:val="32"/>
          <w:szCs w:val="24"/>
        </w:rPr>
      </w:pPr>
      <w:r>
        <w:rPr>
          <w:rFonts w:hint="eastAsia" w:ascii="Times New Roman" w:hAnsi="Times New Roman" w:eastAsia="仿宋_GB2312"/>
          <w:color w:val="000000"/>
          <w:kern w:val="2"/>
          <w:sz w:val="32"/>
          <w:szCs w:val="24"/>
          <w:lang w:eastAsia="zh-CN"/>
        </w:rPr>
        <w:drawing>
          <wp:anchor distT="0" distB="0" distL="114300" distR="114300" simplePos="0" relativeHeight="251663360" behindDoc="0" locked="0" layoutInCell="1" allowOverlap="1">
            <wp:simplePos x="0" y="0"/>
            <wp:positionH relativeFrom="column">
              <wp:posOffset>164465</wp:posOffset>
            </wp:positionH>
            <wp:positionV relativeFrom="paragraph">
              <wp:posOffset>151765</wp:posOffset>
            </wp:positionV>
            <wp:extent cx="4412615" cy="2558415"/>
            <wp:effectExtent l="4445" t="4445" r="17780" b="1270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b/>
          <w:color w:val="000000"/>
          <w:kern w:val="2"/>
          <w:sz w:val="32"/>
          <w:szCs w:val="24"/>
        </w:rPr>
        <w:t>（二）一般公共预算财政拨款支出决算结构情况</w:t>
      </w:r>
    </w:p>
    <w:p w14:paraId="605C8949">
      <w:pPr>
        <w:overflowPunct w:val="0"/>
        <w:topLinePunct/>
        <w:spacing w:line="576" w:lineRule="exact"/>
        <w:ind w:firstLine="640" w:firstLineChars="200"/>
        <w:jc w:val="both"/>
        <w:rPr>
          <w:rFonts w:hint="eastAsia" w:ascii="Times New Roman" w:hAnsi="Times New Roman" w:eastAsia="仿宋_GB2312"/>
          <w:color w:val="000000"/>
          <w:kern w:val="2"/>
          <w:sz w:val="32"/>
          <w:szCs w:val="24"/>
          <w:lang w:eastAsia="zh-CN"/>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年度一般公共预算财政拨款支出</w:t>
      </w:r>
      <w:r>
        <w:rPr>
          <w:rFonts w:hint="eastAsia" w:ascii="Times New Roman" w:hAnsi="Times New Roman" w:eastAsia="仿宋_GB2312"/>
          <w:color w:val="000000"/>
          <w:kern w:val="2"/>
          <w:sz w:val="32"/>
          <w:szCs w:val="24"/>
          <w:lang w:val="en-US" w:eastAsia="zh-CN"/>
        </w:rPr>
        <w:t>106.63</w:t>
      </w:r>
      <w:r>
        <w:rPr>
          <w:rFonts w:hint="eastAsia" w:ascii="Times New Roman" w:hAnsi="Times New Roman" w:eastAsia="仿宋_GB2312"/>
          <w:color w:val="000000"/>
          <w:kern w:val="2"/>
          <w:sz w:val="32"/>
          <w:szCs w:val="24"/>
        </w:rPr>
        <w:t>万元，主要用于以下方面: 一般公共服务支出</w:t>
      </w:r>
      <w:r>
        <w:rPr>
          <w:rFonts w:hint="eastAsia" w:ascii="Times New Roman" w:hAnsi="Times New Roman" w:eastAsia="仿宋_GB2312"/>
          <w:color w:val="000000"/>
          <w:kern w:val="2"/>
          <w:sz w:val="32"/>
          <w:szCs w:val="24"/>
          <w:lang w:val="en-US" w:eastAsia="zh-CN"/>
        </w:rPr>
        <w:t>89.59</w:t>
      </w:r>
      <w:r>
        <w:rPr>
          <w:rFonts w:hint="eastAsia" w:ascii="Times New Roman" w:hAnsi="Times New Roman"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84</w:t>
      </w:r>
      <w:r>
        <w:rPr>
          <w:rFonts w:hint="eastAsia" w:ascii="Times New Roman" w:hAnsi="Times New Roman" w:eastAsia="仿宋_GB2312"/>
          <w:color w:val="000000"/>
          <w:kern w:val="2"/>
          <w:sz w:val="32"/>
          <w:szCs w:val="24"/>
        </w:rPr>
        <w:t>%；社会保障和就业支出</w:t>
      </w:r>
      <w:r>
        <w:rPr>
          <w:rFonts w:hint="eastAsia" w:ascii="Times New Roman" w:hAnsi="Times New Roman" w:eastAsia="仿宋_GB2312"/>
          <w:color w:val="000000"/>
          <w:kern w:val="2"/>
          <w:sz w:val="32"/>
          <w:szCs w:val="24"/>
          <w:lang w:val="en-US" w:eastAsia="zh-CN"/>
        </w:rPr>
        <w:t>10.24</w:t>
      </w:r>
      <w:r>
        <w:rPr>
          <w:rFonts w:hint="eastAsia" w:ascii="Times New Roman" w:hAnsi="Times New Roman"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10</w:t>
      </w:r>
      <w:r>
        <w:rPr>
          <w:rFonts w:hint="eastAsia" w:ascii="Times New Roman" w:hAnsi="Times New Roman" w:eastAsia="仿宋_GB2312"/>
          <w:color w:val="000000"/>
          <w:kern w:val="2"/>
          <w:sz w:val="32"/>
          <w:szCs w:val="24"/>
        </w:rPr>
        <w:t>%；卫生健康支出</w:t>
      </w:r>
      <w:r>
        <w:rPr>
          <w:rFonts w:hint="eastAsia" w:ascii="Times New Roman" w:hAnsi="Times New Roman" w:eastAsia="仿宋_GB2312"/>
          <w:color w:val="000000"/>
          <w:kern w:val="2"/>
          <w:sz w:val="32"/>
          <w:szCs w:val="24"/>
          <w:lang w:val="en-US" w:eastAsia="zh-CN"/>
        </w:rPr>
        <w:t>2.15</w:t>
      </w:r>
      <w:r>
        <w:rPr>
          <w:rFonts w:hint="eastAsia" w:ascii="Times New Roman" w:hAnsi="Times New Roman"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2</w:t>
      </w:r>
      <w:r>
        <w:rPr>
          <w:rFonts w:hint="eastAsia" w:ascii="Times New Roman" w:hAnsi="Times New Roman" w:eastAsia="仿宋_GB2312"/>
          <w:color w:val="000000"/>
          <w:kern w:val="2"/>
          <w:sz w:val="32"/>
          <w:szCs w:val="24"/>
        </w:rPr>
        <w:t>%；住房保障支出</w:t>
      </w:r>
      <w:r>
        <w:rPr>
          <w:rFonts w:hint="eastAsia" w:ascii="Times New Roman" w:hAnsi="Times New Roman" w:eastAsia="仿宋_GB2312"/>
          <w:color w:val="000000"/>
          <w:kern w:val="2"/>
          <w:sz w:val="32"/>
          <w:szCs w:val="24"/>
          <w:lang w:val="en-US" w:eastAsia="zh-CN"/>
        </w:rPr>
        <w:t>4.65</w:t>
      </w:r>
      <w:r>
        <w:rPr>
          <w:rFonts w:hint="eastAsia" w:ascii="Times New Roman" w:hAnsi="Times New Roman"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rPr>
        <w:t>%</w:t>
      </w:r>
      <w:r>
        <w:rPr>
          <w:rFonts w:hint="eastAsia" w:ascii="Times New Roman" w:hAnsi="Times New Roman" w:eastAsia="仿宋_GB2312"/>
          <w:color w:val="000000"/>
          <w:kern w:val="2"/>
          <w:sz w:val="32"/>
          <w:szCs w:val="24"/>
          <w:lang w:eastAsia="zh-CN"/>
        </w:rPr>
        <w:t>。</w:t>
      </w:r>
    </w:p>
    <w:p w14:paraId="052F7C87">
      <w:pPr>
        <w:overflowPunct w:val="0"/>
        <w:topLinePunct/>
        <w:spacing w:line="240" w:lineRule="auto"/>
        <w:ind w:firstLine="0" w:firstLineChars="0"/>
        <w:jc w:val="both"/>
        <w:rPr>
          <w:rFonts w:hint="eastAsia" w:ascii="Times New Roman" w:hAnsi="Times New Roman" w:eastAsia="仿宋_GB2312"/>
          <w:color w:val="000000"/>
          <w:kern w:val="2"/>
          <w:sz w:val="32"/>
          <w:szCs w:val="24"/>
          <w:lang w:eastAsia="zh-CN"/>
        </w:rPr>
      </w:pPr>
      <w:r>
        <w:rPr>
          <w:rFonts w:hint="eastAsia" w:ascii="Times New Roman" w:hAnsi="Times New Roman" w:eastAsia="仿宋_GB2312"/>
          <w:color w:val="000000"/>
          <w:kern w:val="2"/>
          <w:sz w:val="32"/>
          <w:szCs w:val="24"/>
          <w:lang w:eastAsia="zh-CN"/>
        </w:rPr>
        <w:drawing>
          <wp:anchor distT="0" distB="0" distL="114300" distR="114300" simplePos="0" relativeHeight="251664384" behindDoc="0" locked="0" layoutInCell="1" allowOverlap="1">
            <wp:simplePos x="0" y="0"/>
            <wp:positionH relativeFrom="column">
              <wp:posOffset>375285</wp:posOffset>
            </wp:positionH>
            <wp:positionV relativeFrom="paragraph">
              <wp:posOffset>41910</wp:posOffset>
            </wp:positionV>
            <wp:extent cx="4123690" cy="2601595"/>
            <wp:effectExtent l="4445" t="4445" r="17145" b="1524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2CD3127">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Times New Roman" w:hAnsi="Times New Roman" w:eastAsia="仿宋_GB2312"/>
          <w:b/>
          <w:color w:val="000000"/>
          <w:kern w:val="2"/>
          <w:sz w:val="32"/>
          <w:szCs w:val="24"/>
        </w:rPr>
      </w:pPr>
      <w:r>
        <w:rPr>
          <w:rFonts w:hint="eastAsia" w:ascii="Times New Roman" w:hAnsi="Times New Roman" w:eastAsia="仿宋_GB2312"/>
          <w:b/>
          <w:color w:val="000000"/>
          <w:kern w:val="2"/>
          <w:sz w:val="32"/>
          <w:szCs w:val="24"/>
        </w:rPr>
        <w:t>（三）一般公共预算财政拨款支出决算具体情况</w:t>
      </w:r>
    </w:p>
    <w:p w14:paraId="74B4536B">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Times New Roman" w:hAnsi="Times New Roman" w:eastAsia="仿宋_GB2312"/>
          <w:b/>
          <w:color w:val="000000"/>
          <w:kern w:val="2"/>
          <w:sz w:val="32"/>
          <w:szCs w:val="24"/>
        </w:rPr>
      </w:pPr>
      <w:r>
        <w:rPr>
          <w:rFonts w:hint="eastAsia" w:ascii="Times New Roman" w:hAnsi="Times New Roman" w:eastAsia="仿宋_GB2312"/>
          <w:b/>
          <w:color w:val="000000"/>
          <w:kern w:val="2"/>
          <w:sz w:val="32"/>
          <w:szCs w:val="24"/>
          <w:lang w:eastAsia="zh-CN"/>
        </w:rPr>
        <w:t>2024</w:t>
      </w:r>
      <w:r>
        <w:rPr>
          <w:rFonts w:hint="eastAsia" w:ascii="Times New Roman" w:hAnsi="Times New Roman" w:eastAsia="仿宋_GB2312"/>
          <w:b/>
          <w:color w:val="000000"/>
          <w:kern w:val="2"/>
          <w:sz w:val="32"/>
          <w:szCs w:val="24"/>
        </w:rPr>
        <w:t>年度一般公共预算支出全年预算数为</w:t>
      </w:r>
      <w:r>
        <w:rPr>
          <w:rFonts w:hint="eastAsia" w:ascii="Times New Roman" w:hAnsi="Times New Roman" w:eastAsia="仿宋_GB2312"/>
          <w:b/>
          <w:color w:val="000000"/>
          <w:kern w:val="2"/>
          <w:sz w:val="32"/>
          <w:szCs w:val="24"/>
          <w:lang w:val="en-US" w:eastAsia="zh-CN"/>
        </w:rPr>
        <w:t>106.63</w:t>
      </w:r>
      <w:r>
        <w:rPr>
          <w:rFonts w:hint="eastAsia" w:ascii="Times New Roman" w:hAnsi="Times New Roman" w:eastAsia="仿宋_GB2312"/>
          <w:b/>
          <w:color w:val="000000"/>
          <w:kern w:val="2"/>
          <w:sz w:val="32"/>
          <w:szCs w:val="24"/>
        </w:rPr>
        <w:t>万元，支出决算数为</w:t>
      </w:r>
      <w:r>
        <w:rPr>
          <w:rFonts w:hint="eastAsia" w:ascii="Times New Roman" w:hAnsi="Times New Roman" w:eastAsia="仿宋_GB2312"/>
          <w:b/>
          <w:color w:val="000000"/>
          <w:kern w:val="2"/>
          <w:sz w:val="32"/>
          <w:szCs w:val="24"/>
          <w:lang w:val="en-US" w:eastAsia="zh-CN"/>
        </w:rPr>
        <w:t>106.63</w:t>
      </w:r>
      <w:r>
        <w:rPr>
          <w:rFonts w:hint="eastAsia" w:ascii="Times New Roman" w:hAnsi="Times New Roman" w:eastAsia="仿宋_GB2312"/>
          <w:b/>
          <w:color w:val="000000"/>
          <w:kern w:val="2"/>
          <w:sz w:val="32"/>
          <w:szCs w:val="24"/>
        </w:rPr>
        <w:t>万元，完成全年预算数的</w:t>
      </w:r>
      <w:r>
        <w:rPr>
          <w:rFonts w:hint="eastAsia" w:ascii="Times New Roman" w:hAnsi="Times New Roman" w:eastAsia="仿宋_GB2312"/>
          <w:b/>
          <w:color w:val="000000"/>
          <w:kern w:val="2"/>
          <w:sz w:val="32"/>
          <w:szCs w:val="24"/>
          <w:lang w:val="en-US" w:eastAsia="zh-CN"/>
        </w:rPr>
        <w:t>100</w:t>
      </w:r>
      <w:r>
        <w:rPr>
          <w:rFonts w:hint="eastAsia" w:ascii="Times New Roman" w:hAnsi="Times New Roman" w:eastAsia="仿宋_GB2312"/>
          <w:b/>
          <w:color w:val="000000"/>
          <w:kern w:val="2"/>
          <w:sz w:val="32"/>
          <w:szCs w:val="24"/>
        </w:rPr>
        <w:t>%。其中：</w:t>
      </w:r>
    </w:p>
    <w:p w14:paraId="779C5B97">
      <w:pPr>
        <w:keepNext w:val="0"/>
        <w:keepLines w:val="0"/>
        <w:pageBreakBefore w:val="0"/>
        <w:widowControl w:val="0"/>
        <w:numPr>
          <w:ilvl w:val="0"/>
          <w:numId w:val="0"/>
        </w:numPr>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lang w:val="en-US" w:eastAsia="zh-CN"/>
        </w:rPr>
        <w:t>1.</w:t>
      </w:r>
      <w:r>
        <w:rPr>
          <w:rFonts w:hint="eastAsia" w:ascii="Times New Roman" w:hAnsi="Times New Roman" w:eastAsia="仿宋_GB2312"/>
          <w:b/>
          <w:color w:val="000000"/>
          <w:kern w:val="2"/>
          <w:sz w:val="32"/>
          <w:szCs w:val="24"/>
        </w:rPr>
        <w:t>一般公共服务支出（类）群众团体支出（款）</w:t>
      </w:r>
      <w:r>
        <w:rPr>
          <w:rFonts w:hint="eastAsia" w:ascii="Times New Roman" w:hAnsi="Times New Roman" w:eastAsia="仿宋_GB2312"/>
          <w:b/>
          <w:color w:val="000000"/>
          <w:kern w:val="2"/>
          <w:sz w:val="32"/>
          <w:szCs w:val="24"/>
          <w:lang w:eastAsia="zh-CN"/>
        </w:rPr>
        <w:t>行政运行</w:t>
      </w:r>
      <w:r>
        <w:rPr>
          <w:rFonts w:hint="eastAsia" w:ascii="Times New Roman" w:hAnsi="Times New Roman" w:eastAsia="仿宋_GB2312"/>
          <w:b/>
          <w:color w:val="000000"/>
          <w:kern w:val="2"/>
          <w:sz w:val="32"/>
          <w:szCs w:val="24"/>
        </w:rPr>
        <w:t>（项）:</w:t>
      </w:r>
      <w:r>
        <w:rPr>
          <w:rFonts w:hint="eastAsia" w:ascii="Times New Roman" w:hAnsi="Times New Roman" w:eastAsia="仿宋_GB2312"/>
          <w:color w:val="000000"/>
          <w:kern w:val="2"/>
          <w:sz w:val="32"/>
          <w:szCs w:val="24"/>
        </w:rPr>
        <w:t>全年预算为</w:t>
      </w:r>
      <w:r>
        <w:rPr>
          <w:rFonts w:hint="eastAsia" w:ascii="Times New Roman" w:hAnsi="Times New Roman" w:eastAsia="仿宋_GB2312"/>
          <w:color w:val="000000"/>
          <w:kern w:val="2"/>
          <w:sz w:val="32"/>
          <w:szCs w:val="24"/>
          <w:lang w:val="en-US" w:eastAsia="zh-CN"/>
        </w:rPr>
        <w:t>42.59</w:t>
      </w:r>
      <w:r>
        <w:rPr>
          <w:rFonts w:hint="eastAsia" w:ascii="Times New Roman" w:hAnsi="Times New Roman" w:eastAsia="仿宋_GB2312"/>
          <w:color w:val="000000"/>
          <w:kern w:val="2"/>
          <w:sz w:val="32"/>
          <w:szCs w:val="24"/>
        </w:rPr>
        <w:t>万元，支出决算为</w:t>
      </w:r>
      <w:r>
        <w:rPr>
          <w:rFonts w:hint="eastAsia" w:ascii="Times New Roman" w:hAnsi="Times New Roman" w:eastAsia="仿宋_GB2312"/>
          <w:color w:val="000000"/>
          <w:kern w:val="2"/>
          <w:sz w:val="32"/>
          <w:szCs w:val="24"/>
          <w:lang w:val="en-US" w:eastAsia="zh-CN"/>
        </w:rPr>
        <w:t>42.59</w:t>
      </w:r>
      <w:r>
        <w:rPr>
          <w:rFonts w:hint="eastAsia" w:ascii="Times New Roman" w:hAnsi="Times New Roman" w:eastAsia="仿宋_GB2312"/>
          <w:color w:val="000000"/>
          <w:kern w:val="2"/>
          <w:sz w:val="32"/>
          <w:szCs w:val="24"/>
        </w:rPr>
        <w:t>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w:t>
      </w:r>
      <w:r>
        <w:rPr>
          <w:rFonts w:hint="eastAsia" w:ascii="Times New Roman" w:hAnsi="Times New Roman" w:eastAsia="仿宋_GB2312"/>
          <w:color w:val="000000"/>
          <w:kern w:val="2"/>
          <w:sz w:val="32"/>
          <w:szCs w:val="24"/>
          <w:lang w:eastAsia="zh-CN"/>
        </w:rPr>
        <w:t>，</w:t>
      </w:r>
      <w:r>
        <w:rPr>
          <w:rFonts w:hint="eastAsia" w:ascii="Times New Roman" w:hAnsi="Times New Roman" w:eastAsia="仿宋_GB2312"/>
          <w:color w:val="000000"/>
          <w:kern w:val="2"/>
          <w:sz w:val="32"/>
          <w:szCs w:val="24"/>
        </w:rPr>
        <w:t>决算数等于全年预算数。</w:t>
      </w:r>
    </w:p>
    <w:p w14:paraId="495889A6">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rPr>
        <w:t>2.一般公共服务支出（类）群众团体支出（款）</w:t>
      </w:r>
      <w:r>
        <w:rPr>
          <w:rFonts w:hint="eastAsia" w:ascii="Times New Roman" w:hAnsi="Times New Roman" w:eastAsia="仿宋_GB2312"/>
          <w:b/>
          <w:color w:val="000000"/>
          <w:kern w:val="2"/>
          <w:sz w:val="32"/>
          <w:szCs w:val="24"/>
          <w:lang w:eastAsia="zh-CN"/>
        </w:rPr>
        <w:t>事业运行</w:t>
      </w:r>
      <w:r>
        <w:rPr>
          <w:rFonts w:hint="eastAsia" w:ascii="Times New Roman" w:hAnsi="Times New Roman" w:eastAsia="仿宋_GB2312"/>
          <w:b/>
          <w:color w:val="000000"/>
          <w:kern w:val="2"/>
          <w:sz w:val="32"/>
          <w:szCs w:val="24"/>
        </w:rPr>
        <w:t>（项）:</w:t>
      </w:r>
      <w:r>
        <w:rPr>
          <w:rFonts w:hint="eastAsia" w:ascii="Times New Roman" w:hAnsi="Times New Roman" w:eastAsia="仿宋_GB2312"/>
          <w:color w:val="000000"/>
          <w:kern w:val="2"/>
          <w:sz w:val="32"/>
          <w:szCs w:val="24"/>
        </w:rPr>
        <w:t>全年预算为</w:t>
      </w:r>
      <w:r>
        <w:rPr>
          <w:rFonts w:hint="eastAsia" w:ascii="Times New Roman" w:hAnsi="Times New Roman" w:eastAsia="仿宋_GB2312"/>
          <w:color w:val="000000"/>
          <w:kern w:val="2"/>
          <w:sz w:val="32"/>
          <w:szCs w:val="24"/>
          <w:lang w:val="en-US" w:eastAsia="zh-CN"/>
        </w:rPr>
        <w:t>13</w:t>
      </w:r>
      <w:r>
        <w:rPr>
          <w:rFonts w:hint="eastAsia" w:ascii="Times New Roman" w:hAnsi="Times New Roman" w:eastAsia="仿宋_GB2312"/>
          <w:color w:val="000000"/>
          <w:kern w:val="2"/>
          <w:sz w:val="32"/>
          <w:szCs w:val="24"/>
        </w:rPr>
        <w:t>万元，支出决算为</w:t>
      </w:r>
      <w:r>
        <w:rPr>
          <w:rFonts w:hint="eastAsia" w:ascii="Times New Roman" w:hAnsi="Times New Roman" w:eastAsia="仿宋_GB2312"/>
          <w:color w:val="000000"/>
          <w:kern w:val="2"/>
          <w:sz w:val="32"/>
          <w:szCs w:val="24"/>
          <w:lang w:val="en-US" w:eastAsia="zh-CN"/>
        </w:rPr>
        <w:t>13</w:t>
      </w:r>
      <w:r>
        <w:rPr>
          <w:rFonts w:hint="eastAsia" w:ascii="Times New Roman" w:hAnsi="Times New Roman" w:eastAsia="仿宋_GB2312"/>
          <w:color w:val="000000"/>
          <w:kern w:val="2"/>
          <w:sz w:val="32"/>
          <w:szCs w:val="24"/>
        </w:rPr>
        <w:t>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w:t>
      </w:r>
      <w:r>
        <w:rPr>
          <w:rFonts w:hint="eastAsia" w:ascii="Times New Roman" w:hAnsi="Times New Roman" w:eastAsia="仿宋_GB2312"/>
          <w:color w:val="000000"/>
          <w:kern w:val="2"/>
          <w:sz w:val="32"/>
          <w:szCs w:val="24"/>
          <w:lang w:eastAsia="zh-CN"/>
        </w:rPr>
        <w:t>，</w:t>
      </w:r>
      <w:r>
        <w:rPr>
          <w:rFonts w:hint="eastAsia" w:ascii="Times New Roman" w:hAnsi="Times New Roman" w:eastAsia="仿宋_GB2312"/>
          <w:color w:val="000000"/>
          <w:kern w:val="2"/>
          <w:sz w:val="32"/>
          <w:szCs w:val="24"/>
        </w:rPr>
        <w:t>决算数等于全年预算数。</w:t>
      </w:r>
    </w:p>
    <w:p w14:paraId="2D690D94">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Times New Roman" w:hAnsi="Times New Roman" w:eastAsia="仿宋_GB2312"/>
          <w:b/>
          <w:color w:val="000000"/>
          <w:kern w:val="2"/>
          <w:sz w:val="32"/>
          <w:szCs w:val="24"/>
          <w:lang w:val="en-US" w:eastAsia="zh-CN"/>
        </w:rPr>
      </w:pPr>
      <w:r>
        <w:rPr>
          <w:rFonts w:hint="eastAsia" w:ascii="Times New Roman" w:hAnsi="Times New Roman" w:eastAsia="仿宋_GB2312"/>
          <w:b/>
          <w:color w:val="000000"/>
          <w:kern w:val="2"/>
          <w:sz w:val="32"/>
          <w:szCs w:val="24"/>
          <w:lang w:val="en-US" w:eastAsia="zh-CN"/>
        </w:rPr>
        <w:t>3.</w:t>
      </w:r>
      <w:r>
        <w:rPr>
          <w:rFonts w:hint="eastAsia" w:ascii="Times New Roman" w:hAnsi="Times New Roman" w:eastAsia="仿宋_GB2312"/>
          <w:b/>
          <w:color w:val="000000"/>
          <w:kern w:val="2"/>
          <w:sz w:val="32"/>
          <w:szCs w:val="24"/>
        </w:rPr>
        <w:t>一般公共服务支出（类）群众团体支出（款）</w:t>
      </w:r>
      <w:r>
        <w:rPr>
          <w:rFonts w:hint="eastAsia" w:ascii="Times New Roman" w:hAnsi="Times New Roman" w:eastAsia="仿宋_GB2312"/>
          <w:b/>
          <w:color w:val="000000"/>
          <w:kern w:val="2"/>
          <w:sz w:val="32"/>
          <w:szCs w:val="24"/>
          <w:lang w:eastAsia="zh-CN"/>
        </w:rPr>
        <w:t>其他群众团体事务支出</w:t>
      </w:r>
      <w:r>
        <w:rPr>
          <w:rFonts w:hint="eastAsia" w:ascii="Times New Roman" w:hAnsi="Times New Roman" w:eastAsia="仿宋_GB2312"/>
          <w:b/>
          <w:color w:val="000000"/>
          <w:kern w:val="2"/>
          <w:sz w:val="32"/>
          <w:szCs w:val="24"/>
        </w:rPr>
        <w:t>（项）:</w:t>
      </w:r>
      <w:r>
        <w:rPr>
          <w:rFonts w:hint="eastAsia" w:ascii="Times New Roman" w:hAnsi="Times New Roman" w:eastAsia="仿宋_GB2312"/>
          <w:color w:val="000000"/>
          <w:kern w:val="2"/>
          <w:sz w:val="32"/>
          <w:szCs w:val="24"/>
        </w:rPr>
        <w:t>全年预算为</w:t>
      </w:r>
      <w:r>
        <w:rPr>
          <w:rFonts w:hint="eastAsia" w:ascii="Times New Roman" w:hAnsi="Times New Roman" w:eastAsia="仿宋_GB2312"/>
          <w:color w:val="000000"/>
          <w:kern w:val="2"/>
          <w:sz w:val="32"/>
          <w:szCs w:val="24"/>
          <w:lang w:val="en-US" w:eastAsia="zh-CN"/>
        </w:rPr>
        <w:t>34</w:t>
      </w:r>
      <w:r>
        <w:rPr>
          <w:rFonts w:hint="eastAsia" w:ascii="Times New Roman" w:hAnsi="Times New Roman" w:eastAsia="仿宋_GB2312"/>
          <w:color w:val="000000"/>
          <w:kern w:val="2"/>
          <w:sz w:val="32"/>
          <w:szCs w:val="24"/>
        </w:rPr>
        <w:t>万元，支出决算为</w:t>
      </w:r>
      <w:r>
        <w:rPr>
          <w:rFonts w:hint="eastAsia" w:ascii="Times New Roman" w:hAnsi="Times New Roman" w:eastAsia="仿宋_GB2312"/>
          <w:color w:val="000000"/>
          <w:kern w:val="2"/>
          <w:sz w:val="32"/>
          <w:szCs w:val="24"/>
          <w:lang w:val="en-US" w:eastAsia="zh-CN"/>
        </w:rPr>
        <w:t>34</w:t>
      </w:r>
      <w:r>
        <w:rPr>
          <w:rFonts w:hint="eastAsia" w:ascii="Times New Roman" w:hAnsi="Times New Roman" w:eastAsia="仿宋_GB2312"/>
          <w:color w:val="000000"/>
          <w:kern w:val="2"/>
          <w:sz w:val="32"/>
          <w:szCs w:val="24"/>
        </w:rPr>
        <w:t>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w:t>
      </w:r>
      <w:r>
        <w:rPr>
          <w:rFonts w:hint="eastAsia" w:ascii="Times New Roman" w:hAnsi="Times New Roman" w:eastAsia="仿宋_GB2312"/>
          <w:color w:val="000000"/>
          <w:kern w:val="2"/>
          <w:sz w:val="32"/>
          <w:szCs w:val="24"/>
          <w:lang w:eastAsia="zh-CN"/>
        </w:rPr>
        <w:t>，</w:t>
      </w:r>
      <w:r>
        <w:rPr>
          <w:rFonts w:hint="eastAsia" w:ascii="Times New Roman" w:hAnsi="Times New Roman" w:eastAsia="仿宋_GB2312"/>
          <w:color w:val="000000"/>
          <w:kern w:val="2"/>
          <w:sz w:val="32"/>
          <w:szCs w:val="24"/>
        </w:rPr>
        <w:t>决算数等于全年预算数。</w:t>
      </w:r>
    </w:p>
    <w:p w14:paraId="232F530E">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lang w:val="en-US" w:eastAsia="zh-CN"/>
        </w:rPr>
        <w:t>4</w:t>
      </w:r>
      <w:r>
        <w:rPr>
          <w:rFonts w:hint="eastAsia" w:ascii="Times New Roman" w:hAnsi="Times New Roman" w:eastAsia="仿宋_GB2312"/>
          <w:b/>
          <w:color w:val="000000"/>
          <w:kern w:val="2"/>
          <w:sz w:val="32"/>
          <w:szCs w:val="24"/>
        </w:rPr>
        <w:t>.社会保障和就业支出（类）</w:t>
      </w:r>
      <w:r>
        <w:rPr>
          <w:rFonts w:hint="eastAsia" w:ascii="Times New Roman" w:hAnsi="Times New Roman" w:eastAsia="仿宋_GB2312"/>
          <w:b/>
          <w:color w:val="000000"/>
          <w:kern w:val="2"/>
          <w:sz w:val="32"/>
          <w:szCs w:val="24"/>
          <w:lang w:eastAsia="zh-CN"/>
        </w:rPr>
        <w:t>养老支出</w:t>
      </w:r>
      <w:r>
        <w:rPr>
          <w:rFonts w:hint="eastAsia" w:ascii="Times New Roman" w:hAnsi="Times New Roman" w:eastAsia="仿宋_GB2312"/>
          <w:b/>
          <w:color w:val="000000"/>
          <w:kern w:val="2"/>
          <w:sz w:val="32"/>
          <w:szCs w:val="24"/>
        </w:rPr>
        <w:t>（款）</w:t>
      </w:r>
      <w:r>
        <w:rPr>
          <w:rFonts w:hint="eastAsia" w:ascii="Times New Roman" w:hAnsi="Times New Roman" w:eastAsia="仿宋_GB2312"/>
          <w:b/>
          <w:color w:val="000000"/>
          <w:kern w:val="2"/>
          <w:sz w:val="32"/>
          <w:szCs w:val="24"/>
          <w:lang w:eastAsia="zh-CN"/>
        </w:rPr>
        <w:t>养老保险缴费</w:t>
      </w:r>
      <w:r>
        <w:rPr>
          <w:rFonts w:hint="eastAsia" w:ascii="Times New Roman" w:hAnsi="Times New Roman" w:eastAsia="仿宋_GB2312"/>
          <w:b/>
          <w:color w:val="000000"/>
          <w:kern w:val="2"/>
          <w:sz w:val="32"/>
          <w:szCs w:val="24"/>
        </w:rPr>
        <w:t>（项）:</w:t>
      </w:r>
      <w:r>
        <w:rPr>
          <w:rFonts w:hint="eastAsia" w:ascii="Times New Roman" w:hAnsi="Times New Roman" w:eastAsia="仿宋_GB2312"/>
          <w:color w:val="000000"/>
          <w:kern w:val="2"/>
          <w:sz w:val="32"/>
          <w:szCs w:val="24"/>
        </w:rPr>
        <w:t>全年预算为</w:t>
      </w:r>
      <w:r>
        <w:rPr>
          <w:rFonts w:hint="eastAsia" w:ascii="Times New Roman" w:hAnsi="Times New Roman" w:eastAsia="仿宋_GB2312"/>
          <w:color w:val="000000"/>
          <w:kern w:val="2"/>
          <w:sz w:val="32"/>
          <w:szCs w:val="24"/>
          <w:lang w:val="en-US" w:eastAsia="zh-CN"/>
        </w:rPr>
        <w:t>10.11</w:t>
      </w:r>
      <w:r>
        <w:rPr>
          <w:rFonts w:hint="eastAsia" w:ascii="Times New Roman" w:hAnsi="Times New Roman" w:eastAsia="仿宋_GB2312"/>
          <w:color w:val="000000"/>
          <w:kern w:val="2"/>
          <w:sz w:val="32"/>
          <w:szCs w:val="24"/>
        </w:rPr>
        <w:t>万元，支出决算为</w:t>
      </w:r>
      <w:r>
        <w:rPr>
          <w:rFonts w:hint="eastAsia" w:ascii="Times New Roman" w:hAnsi="Times New Roman" w:eastAsia="仿宋_GB2312"/>
          <w:color w:val="000000"/>
          <w:kern w:val="2"/>
          <w:sz w:val="32"/>
          <w:szCs w:val="24"/>
          <w:lang w:val="en-US" w:eastAsia="zh-CN"/>
        </w:rPr>
        <w:t>10.11</w:t>
      </w:r>
      <w:r>
        <w:rPr>
          <w:rFonts w:hint="eastAsia" w:ascii="Times New Roman" w:hAnsi="Times New Roman" w:eastAsia="仿宋_GB2312"/>
          <w:color w:val="000000"/>
          <w:kern w:val="2"/>
          <w:sz w:val="32"/>
          <w:szCs w:val="24"/>
        </w:rPr>
        <w:t>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%。决算数等于全年预算数。</w:t>
      </w:r>
    </w:p>
    <w:p w14:paraId="14E3D5E5">
      <w:pPr>
        <w:overflowPunct w:val="0"/>
        <w:topLinePunct/>
        <w:spacing w:line="576" w:lineRule="exact"/>
        <w:ind w:firstLine="643"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lang w:val="en-US" w:eastAsia="zh-CN"/>
        </w:rPr>
        <w:t>4.</w:t>
      </w:r>
      <w:r>
        <w:rPr>
          <w:rFonts w:hint="eastAsia" w:ascii="Times New Roman" w:hAnsi="Times New Roman" w:eastAsia="仿宋_GB2312"/>
          <w:b/>
          <w:color w:val="000000"/>
          <w:kern w:val="2"/>
          <w:sz w:val="32"/>
          <w:szCs w:val="24"/>
        </w:rPr>
        <w:t>社会保障和就业支出（类）</w:t>
      </w:r>
      <w:r>
        <w:rPr>
          <w:rFonts w:hint="eastAsia" w:ascii="Times New Roman" w:hAnsi="Times New Roman" w:eastAsia="仿宋_GB2312"/>
          <w:b/>
          <w:color w:val="000000"/>
          <w:kern w:val="2"/>
          <w:sz w:val="32"/>
          <w:szCs w:val="24"/>
          <w:lang w:eastAsia="zh-CN"/>
        </w:rPr>
        <w:t>其他社会保障和就业支出</w:t>
      </w:r>
      <w:r>
        <w:rPr>
          <w:rFonts w:hint="eastAsia" w:ascii="Times New Roman" w:hAnsi="Times New Roman" w:eastAsia="仿宋_GB2312"/>
          <w:b/>
          <w:color w:val="000000"/>
          <w:kern w:val="2"/>
          <w:sz w:val="32"/>
          <w:szCs w:val="24"/>
        </w:rPr>
        <w:t>（款）</w:t>
      </w:r>
      <w:r>
        <w:rPr>
          <w:rFonts w:hint="eastAsia" w:ascii="Times New Roman" w:hAnsi="Times New Roman" w:eastAsia="仿宋_GB2312"/>
          <w:b/>
          <w:color w:val="000000"/>
          <w:kern w:val="2"/>
          <w:sz w:val="32"/>
          <w:szCs w:val="24"/>
          <w:lang w:eastAsia="zh-CN"/>
        </w:rPr>
        <w:t>其他社会保障和就业</w:t>
      </w:r>
      <w:r>
        <w:rPr>
          <w:rFonts w:hint="eastAsia" w:ascii="Times New Roman" w:hAnsi="Times New Roman" w:eastAsia="仿宋_GB2312"/>
          <w:b/>
          <w:color w:val="000000"/>
          <w:kern w:val="2"/>
          <w:sz w:val="32"/>
          <w:szCs w:val="24"/>
        </w:rPr>
        <w:t>（项）:</w:t>
      </w:r>
      <w:r>
        <w:rPr>
          <w:rFonts w:hint="eastAsia" w:ascii="Times New Roman" w:hAnsi="Times New Roman" w:eastAsia="仿宋_GB2312"/>
          <w:color w:val="000000"/>
          <w:kern w:val="2"/>
          <w:sz w:val="32"/>
          <w:szCs w:val="24"/>
        </w:rPr>
        <w:t>全年预算为</w:t>
      </w:r>
      <w:r>
        <w:rPr>
          <w:rFonts w:hint="eastAsia" w:ascii="Times New Roman" w:hAnsi="Times New Roman" w:eastAsia="仿宋_GB2312"/>
          <w:color w:val="000000"/>
          <w:kern w:val="2"/>
          <w:sz w:val="32"/>
          <w:szCs w:val="24"/>
          <w:lang w:val="en-US" w:eastAsia="zh-CN"/>
        </w:rPr>
        <w:t>0.13</w:t>
      </w:r>
      <w:r>
        <w:rPr>
          <w:rFonts w:hint="eastAsia" w:ascii="Times New Roman" w:hAnsi="Times New Roman" w:eastAsia="仿宋_GB2312"/>
          <w:color w:val="000000"/>
          <w:kern w:val="2"/>
          <w:sz w:val="32"/>
          <w:szCs w:val="24"/>
        </w:rPr>
        <w:t>万元，支出决算为</w:t>
      </w:r>
      <w:r>
        <w:rPr>
          <w:rFonts w:hint="eastAsia" w:ascii="Times New Roman" w:hAnsi="Times New Roman" w:eastAsia="仿宋_GB2312"/>
          <w:color w:val="000000"/>
          <w:kern w:val="2"/>
          <w:sz w:val="32"/>
          <w:szCs w:val="24"/>
          <w:lang w:val="en-US" w:eastAsia="zh-CN"/>
        </w:rPr>
        <w:t>0.13</w:t>
      </w:r>
      <w:r>
        <w:rPr>
          <w:rFonts w:hint="eastAsia" w:ascii="Times New Roman" w:hAnsi="Times New Roman" w:eastAsia="仿宋_GB2312"/>
          <w:color w:val="000000"/>
          <w:kern w:val="2"/>
          <w:sz w:val="32"/>
          <w:szCs w:val="24"/>
        </w:rPr>
        <w:t>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w:t>
      </w:r>
      <w:r>
        <w:rPr>
          <w:rFonts w:hint="eastAsia" w:ascii="Times New Roman" w:hAnsi="Times New Roman" w:eastAsia="仿宋_GB2312"/>
          <w:color w:val="000000"/>
          <w:kern w:val="2"/>
          <w:sz w:val="32"/>
          <w:szCs w:val="24"/>
          <w:lang w:eastAsia="zh-CN"/>
        </w:rPr>
        <w:t>，</w:t>
      </w:r>
      <w:r>
        <w:rPr>
          <w:rFonts w:hint="eastAsia" w:ascii="Times New Roman" w:hAnsi="Times New Roman" w:eastAsia="仿宋_GB2312"/>
          <w:color w:val="000000"/>
          <w:kern w:val="2"/>
          <w:sz w:val="32"/>
          <w:szCs w:val="24"/>
        </w:rPr>
        <w:t>决算数等于全年预算数。</w:t>
      </w:r>
    </w:p>
    <w:p w14:paraId="63B17824">
      <w:pPr>
        <w:numPr>
          <w:ilvl w:val="0"/>
          <w:numId w:val="0"/>
        </w:numPr>
        <w:overflowPunct w:val="0"/>
        <w:topLinePunct/>
        <w:spacing w:line="576" w:lineRule="exact"/>
        <w:ind w:firstLine="643"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lang w:val="en-US" w:eastAsia="zh-CN"/>
        </w:rPr>
        <w:t>5.</w:t>
      </w:r>
      <w:r>
        <w:rPr>
          <w:rFonts w:hint="eastAsia" w:ascii="Times New Roman" w:hAnsi="Times New Roman" w:eastAsia="仿宋_GB2312"/>
          <w:b/>
          <w:color w:val="000000"/>
          <w:kern w:val="2"/>
          <w:sz w:val="32"/>
          <w:szCs w:val="24"/>
        </w:rPr>
        <w:t>卫生健康支出（类）</w:t>
      </w:r>
      <w:r>
        <w:rPr>
          <w:rFonts w:hint="eastAsia" w:ascii="Times New Roman" w:hAnsi="Times New Roman" w:eastAsia="仿宋_GB2312"/>
          <w:b/>
          <w:color w:val="000000"/>
          <w:kern w:val="2"/>
          <w:sz w:val="32"/>
          <w:szCs w:val="24"/>
          <w:lang w:eastAsia="zh-CN"/>
        </w:rPr>
        <w:t>行政事业单位医疗</w:t>
      </w:r>
      <w:r>
        <w:rPr>
          <w:rFonts w:hint="eastAsia" w:ascii="Times New Roman" w:hAnsi="Times New Roman" w:eastAsia="仿宋_GB2312"/>
          <w:b/>
          <w:color w:val="000000"/>
          <w:kern w:val="2"/>
          <w:sz w:val="32"/>
          <w:szCs w:val="24"/>
        </w:rPr>
        <w:t>（款）</w:t>
      </w:r>
      <w:r>
        <w:rPr>
          <w:rFonts w:hint="eastAsia" w:ascii="Times New Roman" w:hAnsi="Times New Roman" w:eastAsia="仿宋_GB2312"/>
          <w:b/>
          <w:color w:val="000000"/>
          <w:kern w:val="2"/>
          <w:sz w:val="32"/>
          <w:szCs w:val="24"/>
          <w:lang w:eastAsia="zh-CN"/>
        </w:rPr>
        <w:t>行政单位医疗</w:t>
      </w:r>
      <w:r>
        <w:rPr>
          <w:rFonts w:hint="eastAsia" w:ascii="Times New Roman" w:hAnsi="Times New Roman" w:eastAsia="仿宋_GB2312"/>
          <w:b/>
          <w:color w:val="000000"/>
          <w:kern w:val="2"/>
          <w:sz w:val="32"/>
          <w:szCs w:val="24"/>
        </w:rPr>
        <w:t>（项）:</w:t>
      </w:r>
      <w:r>
        <w:rPr>
          <w:rFonts w:hint="eastAsia" w:ascii="Times New Roman" w:hAnsi="Times New Roman" w:eastAsia="仿宋_GB2312"/>
          <w:color w:val="000000"/>
          <w:kern w:val="2"/>
          <w:sz w:val="32"/>
          <w:szCs w:val="24"/>
        </w:rPr>
        <w:t>全年预算为</w:t>
      </w:r>
      <w:r>
        <w:rPr>
          <w:rFonts w:hint="eastAsia" w:ascii="Times New Roman" w:hAnsi="Times New Roman" w:eastAsia="仿宋_GB2312"/>
          <w:color w:val="000000"/>
          <w:kern w:val="2"/>
          <w:sz w:val="32"/>
          <w:szCs w:val="24"/>
          <w:lang w:val="en-US" w:eastAsia="zh-CN"/>
        </w:rPr>
        <w:t>1.13</w:t>
      </w:r>
      <w:r>
        <w:rPr>
          <w:rFonts w:hint="eastAsia" w:ascii="Times New Roman" w:hAnsi="Times New Roman" w:eastAsia="仿宋_GB2312"/>
          <w:color w:val="000000"/>
          <w:kern w:val="2"/>
          <w:sz w:val="32"/>
          <w:szCs w:val="24"/>
        </w:rPr>
        <w:t>万元，支出决算为</w:t>
      </w:r>
      <w:r>
        <w:rPr>
          <w:rFonts w:hint="eastAsia" w:ascii="Times New Roman" w:hAnsi="Times New Roman" w:eastAsia="仿宋_GB2312"/>
          <w:color w:val="000000"/>
          <w:kern w:val="2"/>
          <w:sz w:val="32"/>
          <w:szCs w:val="24"/>
          <w:lang w:val="en-US" w:eastAsia="zh-CN"/>
        </w:rPr>
        <w:t>1.13</w:t>
      </w:r>
      <w:r>
        <w:rPr>
          <w:rFonts w:hint="eastAsia" w:ascii="Times New Roman" w:hAnsi="Times New Roman" w:eastAsia="仿宋_GB2312"/>
          <w:color w:val="000000"/>
          <w:kern w:val="2"/>
          <w:sz w:val="32"/>
          <w:szCs w:val="24"/>
        </w:rPr>
        <w:t>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%。决算数等于全年预算数。</w:t>
      </w:r>
    </w:p>
    <w:p w14:paraId="16A856AD">
      <w:pPr>
        <w:numPr>
          <w:ilvl w:val="0"/>
          <w:numId w:val="0"/>
        </w:numPr>
        <w:overflowPunct w:val="0"/>
        <w:topLinePunct/>
        <w:spacing w:line="576" w:lineRule="exact"/>
        <w:ind w:firstLine="643"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lang w:val="en-US" w:eastAsia="zh-CN"/>
        </w:rPr>
        <w:t>6.</w:t>
      </w:r>
      <w:r>
        <w:rPr>
          <w:rFonts w:hint="eastAsia" w:ascii="Times New Roman" w:hAnsi="Times New Roman" w:eastAsia="仿宋_GB2312"/>
          <w:b/>
          <w:color w:val="000000"/>
          <w:kern w:val="2"/>
          <w:sz w:val="32"/>
          <w:szCs w:val="24"/>
        </w:rPr>
        <w:t>卫生健康支出（类）</w:t>
      </w:r>
      <w:r>
        <w:rPr>
          <w:rFonts w:hint="eastAsia" w:ascii="Times New Roman" w:hAnsi="Times New Roman" w:eastAsia="仿宋_GB2312"/>
          <w:b/>
          <w:color w:val="000000"/>
          <w:kern w:val="2"/>
          <w:sz w:val="32"/>
          <w:szCs w:val="24"/>
          <w:lang w:eastAsia="zh-CN"/>
        </w:rPr>
        <w:t>行政事业单位医疗</w:t>
      </w:r>
      <w:r>
        <w:rPr>
          <w:rFonts w:hint="eastAsia" w:ascii="Times New Roman" w:hAnsi="Times New Roman" w:eastAsia="仿宋_GB2312"/>
          <w:b/>
          <w:color w:val="000000"/>
          <w:kern w:val="2"/>
          <w:sz w:val="32"/>
          <w:szCs w:val="24"/>
        </w:rPr>
        <w:t>（款）</w:t>
      </w:r>
      <w:r>
        <w:rPr>
          <w:rFonts w:hint="eastAsia" w:ascii="Times New Roman" w:hAnsi="Times New Roman" w:eastAsia="仿宋_GB2312"/>
          <w:b/>
          <w:color w:val="000000"/>
          <w:kern w:val="2"/>
          <w:sz w:val="32"/>
          <w:szCs w:val="24"/>
          <w:lang w:eastAsia="zh-CN"/>
        </w:rPr>
        <w:t>事业单位医疗</w:t>
      </w:r>
      <w:r>
        <w:rPr>
          <w:rFonts w:hint="eastAsia" w:ascii="Times New Roman" w:hAnsi="Times New Roman" w:eastAsia="仿宋_GB2312"/>
          <w:b/>
          <w:color w:val="000000"/>
          <w:kern w:val="2"/>
          <w:sz w:val="32"/>
          <w:szCs w:val="24"/>
        </w:rPr>
        <w:t>（项）:</w:t>
      </w:r>
      <w:r>
        <w:rPr>
          <w:rFonts w:hint="eastAsia" w:ascii="Times New Roman" w:hAnsi="Times New Roman" w:eastAsia="仿宋_GB2312"/>
          <w:color w:val="000000"/>
          <w:kern w:val="2"/>
          <w:sz w:val="32"/>
          <w:szCs w:val="24"/>
        </w:rPr>
        <w:t>全年预算为</w:t>
      </w:r>
      <w:r>
        <w:rPr>
          <w:rFonts w:hint="eastAsia" w:ascii="Times New Roman" w:hAnsi="Times New Roman" w:eastAsia="仿宋_GB2312"/>
          <w:color w:val="000000"/>
          <w:kern w:val="2"/>
          <w:sz w:val="32"/>
          <w:szCs w:val="24"/>
          <w:lang w:val="en-US" w:eastAsia="zh-CN"/>
        </w:rPr>
        <w:t>1.02</w:t>
      </w:r>
      <w:r>
        <w:rPr>
          <w:rFonts w:hint="eastAsia" w:ascii="Times New Roman" w:hAnsi="Times New Roman" w:eastAsia="仿宋_GB2312"/>
          <w:color w:val="000000"/>
          <w:kern w:val="2"/>
          <w:sz w:val="32"/>
          <w:szCs w:val="24"/>
        </w:rPr>
        <w:t>万元，支出决算为</w:t>
      </w:r>
      <w:r>
        <w:rPr>
          <w:rFonts w:hint="eastAsia" w:ascii="Times New Roman" w:hAnsi="Times New Roman" w:eastAsia="仿宋_GB2312"/>
          <w:color w:val="000000"/>
          <w:kern w:val="2"/>
          <w:sz w:val="32"/>
          <w:szCs w:val="24"/>
          <w:lang w:val="en-US" w:eastAsia="zh-CN"/>
        </w:rPr>
        <w:t>1.02</w:t>
      </w:r>
      <w:r>
        <w:rPr>
          <w:rFonts w:hint="eastAsia" w:ascii="Times New Roman" w:hAnsi="Times New Roman" w:eastAsia="仿宋_GB2312"/>
          <w:color w:val="000000"/>
          <w:kern w:val="2"/>
          <w:sz w:val="32"/>
          <w:szCs w:val="24"/>
        </w:rPr>
        <w:t>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%。决算数等于全年预算数。</w:t>
      </w:r>
    </w:p>
    <w:p w14:paraId="1FDB4AF2">
      <w:pPr>
        <w:numPr>
          <w:ilvl w:val="0"/>
          <w:numId w:val="0"/>
        </w:numPr>
        <w:overflowPunct w:val="0"/>
        <w:topLinePunct/>
        <w:spacing w:line="576" w:lineRule="exact"/>
        <w:ind w:firstLine="643" w:firstLineChars="200"/>
        <w:jc w:val="both"/>
        <w:rPr>
          <w:rFonts w:hint="default" w:ascii="Times New Roman" w:hAnsi="Times New Roman" w:eastAsia="仿宋_GB2312"/>
          <w:color w:val="000000"/>
          <w:kern w:val="2"/>
          <w:sz w:val="32"/>
          <w:szCs w:val="24"/>
          <w:lang w:val="en-US" w:eastAsia="zh-CN"/>
        </w:rPr>
      </w:pPr>
      <w:r>
        <w:rPr>
          <w:rFonts w:hint="eastAsia" w:ascii="Times New Roman" w:hAnsi="Times New Roman" w:eastAsia="仿宋_GB2312" w:cs="Times New Roman"/>
          <w:b/>
          <w:color w:val="000000"/>
          <w:kern w:val="2"/>
          <w:sz w:val="32"/>
          <w:szCs w:val="24"/>
          <w:lang w:val="en-US" w:eastAsia="zh-CN"/>
        </w:rPr>
        <w:t>7.住房保障</w:t>
      </w:r>
      <w:r>
        <w:rPr>
          <w:rFonts w:hint="eastAsia" w:ascii="Times New Roman" w:hAnsi="Times New Roman" w:eastAsia="仿宋_GB2312"/>
          <w:b/>
          <w:color w:val="000000"/>
          <w:kern w:val="2"/>
          <w:sz w:val="32"/>
          <w:szCs w:val="24"/>
        </w:rPr>
        <w:t>支出（类）</w:t>
      </w:r>
      <w:r>
        <w:rPr>
          <w:rFonts w:hint="eastAsia" w:ascii="Times New Roman" w:hAnsi="Times New Roman" w:eastAsia="仿宋_GB2312"/>
          <w:b/>
          <w:color w:val="000000"/>
          <w:kern w:val="2"/>
          <w:sz w:val="32"/>
          <w:szCs w:val="24"/>
          <w:lang w:eastAsia="zh-CN"/>
        </w:rPr>
        <w:t>住房保障</w:t>
      </w:r>
      <w:r>
        <w:rPr>
          <w:rFonts w:hint="eastAsia" w:ascii="Times New Roman" w:hAnsi="Times New Roman" w:eastAsia="仿宋_GB2312"/>
          <w:b/>
          <w:color w:val="000000"/>
          <w:kern w:val="2"/>
          <w:sz w:val="32"/>
          <w:szCs w:val="24"/>
        </w:rPr>
        <w:t>（款）</w:t>
      </w:r>
      <w:r>
        <w:rPr>
          <w:rFonts w:hint="eastAsia" w:ascii="Times New Roman" w:hAnsi="Times New Roman" w:eastAsia="仿宋_GB2312"/>
          <w:b/>
          <w:color w:val="000000"/>
          <w:kern w:val="2"/>
          <w:sz w:val="32"/>
          <w:szCs w:val="24"/>
          <w:lang w:eastAsia="zh-CN"/>
        </w:rPr>
        <w:t>住房公积金</w:t>
      </w:r>
      <w:r>
        <w:rPr>
          <w:rFonts w:hint="eastAsia" w:ascii="Times New Roman" w:hAnsi="Times New Roman" w:eastAsia="仿宋_GB2312"/>
          <w:b/>
          <w:color w:val="000000"/>
          <w:kern w:val="2"/>
          <w:sz w:val="32"/>
          <w:szCs w:val="24"/>
        </w:rPr>
        <w:t>（项）:</w:t>
      </w:r>
      <w:r>
        <w:rPr>
          <w:rFonts w:hint="eastAsia" w:ascii="Times New Roman" w:hAnsi="Times New Roman" w:eastAsia="仿宋_GB2312"/>
          <w:color w:val="000000"/>
          <w:kern w:val="2"/>
          <w:sz w:val="32"/>
          <w:szCs w:val="24"/>
        </w:rPr>
        <w:t>全年预算为</w:t>
      </w:r>
      <w:r>
        <w:rPr>
          <w:rFonts w:hint="eastAsia" w:ascii="Times New Roman" w:hAnsi="Times New Roman" w:eastAsia="仿宋_GB2312"/>
          <w:color w:val="000000"/>
          <w:kern w:val="2"/>
          <w:sz w:val="32"/>
          <w:szCs w:val="24"/>
          <w:lang w:val="en-US" w:eastAsia="zh-CN"/>
        </w:rPr>
        <w:t>4.65</w:t>
      </w:r>
      <w:r>
        <w:rPr>
          <w:rFonts w:hint="eastAsia" w:ascii="Times New Roman" w:hAnsi="Times New Roman" w:eastAsia="仿宋_GB2312"/>
          <w:color w:val="000000"/>
          <w:kern w:val="2"/>
          <w:sz w:val="32"/>
          <w:szCs w:val="24"/>
        </w:rPr>
        <w:t>万元，支出决算为</w:t>
      </w:r>
      <w:r>
        <w:rPr>
          <w:rFonts w:hint="eastAsia" w:ascii="Times New Roman" w:hAnsi="Times New Roman" w:eastAsia="仿宋_GB2312"/>
          <w:color w:val="000000"/>
          <w:kern w:val="2"/>
          <w:sz w:val="32"/>
          <w:szCs w:val="24"/>
          <w:lang w:val="en-US" w:eastAsia="zh-CN"/>
        </w:rPr>
        <w:t>4.65</w:t>
      </w:r>
      <w:r>
        <w:rPr>
          <w:rFonts w:hint="eastAsia" w:ascii="Times New Roman" w:hAnsi="Times New Roman" w:eastAsia="仿宋_GB2312"/>
          <w:color w:val="000000"/>
          <w:kern w:val="2"/>
          <w:sz w:val="32"/>
          <w:szCs w:val="24"/>
        </w:rPr>
        <w:t>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%。决算数等于全年预算数。</w:t>
      </w:r>
    </w:p>
    <w:p w14:paraId="53177CFC">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default" w:ascii="Times New Roman" w:hAnsi="Times New Roman" w:cs="Cambria"/>
          <w:b/>
          <w:kern w:val="2"/>
          <w:sz w:val="32"/>
          <w:szCs w:val="24"/>
        </w:rPr>
      </w:pPr>
      <w:bookmarkStart w:id="9" w:name="_Toc27226"/>
      <w:r>
        <w:rPr>
          <w:rFonts w:hint="eastAsia" w:ascii="Times New Roman" w:hAnsi="Times New Roman" w:eastAsia="黑体" w:cs="Times New Roman"/>
          <w:color w:val="000000"/>
          <w:kern w:val="2"/>
          <w:sz w:val="32"/>
          <w:szCs w:val="32"/>
          <w:lang w:val="en-US" w:eastAsia="zh-CN"/>
        </w:rPr>
        <w:t>六、一般公共预算财政拨款基本支出决算情况说明</w:t>
      </w:r>
      <w:bookmarkEnd w:id="9"/>
    </w:p>
    <w:p w14:paraId="69898064">
      <w:pPr>
        <w:overflowPunct w:val="0"/>
        <w:topLinePunct/>
        <w:spacing w:line="576" w:lineRule="exact"/>
        <w:ind w:firstLine="640"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年度一般公共预算财政拨款基本支出</w:t>
      </w:r>
      <w:r>
        <w:rPr>
          <w:rFonts w:hint="eastAsia" w:ascii="Times New Roman" w:hAnsi="Times New Roman" w:eastAsia="仿宋_GB2312"/>
          <w:color w:val="000000"/>
          <w:kern w:val="2"/>
          <w:sz w:val="32"/>
          <w:szCs w:val="24"/>
          <w:lang w:val="en-US" w:eastAsia="zh-CN"/>
        </w:rPr>
        <w:t>72.63</w:t>
      </w:r>
      <w:r>
        <w:rPr>
          <w:rFonts w:hint="eastAsia" w:ascii="Times New Roman" w:hAnsi="Times New Roman" w:eastAsia="仿宋_GB2312"/>
          <w:color w:val="000000"/>
          <w:kern w:val="2"/>
          <w:sz w:val="32"/>
          <w:szCs w:val="24"/>
        </w:rPr>
        <w:t>万元，其中：</w:t>
      </w:r>
    </w:p>
    <w:p w14:paraId="1EF32DB9">
      <w:pPr>
        <w:overflowPunct w:val="0"/>
        <w:topLinePunct/>
        <w:spacing w:line="576" w:lineRule="exact"/>
        <w:ind w:firstLine="643" w:firstLineChars="200"/>
        <w:jc w:val="both"/>
        <w:rPr>
          <w:rFonts w:hint="eastAsia" w:ascii="Times New Roman" w:hAnsi="Times New Roman" w:eastAsia="仿宋_GB2312"/>
          <w:color w:val="000000"/>
          <w:kern w:val="2"/>
          <w:sz w:val="32"/>
          <w:szCs w:val="24"/>
          <w:lang w:val="en-US" w:eastAsia="zh-CN"/>
        </w:rPr>
      </w:pPr>
      <w:r>
        <w:rPr>
          <w:rFonts w:hint="eastAsia" w:ascii="Times New Roman" w:hAnsi="Times New Roman" w:eastAsia="仿宋_GB2312"/>
          <w:b/>
          <w:color w:val="000000"/>
          <w:kern w:val="2"/>
          <w:sz w:val="32"/>
          <w:szCs w:val="24"/>
        </w:rPr>
        <w:t>人员经费</w:t>
      </w:r>
      <w:r>
        <w:rPr>
          <w:rFonts w:hint="eastAsia" w:ascii="Times New Roman" w:hAnsi="Times New Roman" w:eastAsia="仿宋_GB2312"/>
          <w:color w:val="000000"/>
          <w:kern w:val="2"/>
          <w:sz w:val="32"/>
          <w:szCs w:val="24"/>
          <w:lang w:val="en-US" w:eastAsia="zh-CN"/>
        </w:rPr>
        <w:t>64.51</w:t>
      </w:r>
      <w:r>
        <w:rPr>
          <w:rFonts w:hint="eastAsia" w:ascii="Times New Roman" w:hAnsi="Times New Roman" w:eastAsia="仿宋_GB2312"/>
          <w:color w:val="000000"/>
          <w:kern w:val="2"/>
          <w:sz w:val="32"/>
          <w:szCs w:val="24"/>
        </w:rPr>
        <w:t>万元，主要包括：基本工资</w:t>
      </w:r>
      <w:r>
        <w:rPr>
          <w:rFonts w:hint="eastAsia" w:ascii="Times New Roman" w:hAnsi="Times New Roman" w:eastAsia="仿宋_GB2312"/>
          <w:color w:val="000000"/>
          <w:kern w:val="2"/>
          <w:sz w:val="32"/>
          <w:szCs w:val="24"/>
          <w:lang w:val="en-US" w:eastAsia="zh-CN"/>
        </w:rPr>
        <w:t>28.29</w:t>
      </w:r>
      <w:r>
        <w:rPr>
          <w:rFonts w:hint="eastAsia" w:ascii="Times New Roman" w:hAnsi="Times New Roman" w:eastAsia="仿宋_GB2312"/>
          <w:color w:val="000000"/>
          <w:kern w:val="2"/>
          <w:sz w:val="32"/>
          <w:szCs w:val="24"/>
        </w:rPr>
        <w:t>万元、奖金</w:t>
      </w:r>
      <w:r>
        <w:rPr>
          <w:rFonts w:hint="eastAsia" w:ascii="Times New Roman" w:hAnsi="Times New Roman" w:eastAsia="仿宋_GB2312"/>
          <w:color w:val="000000"/>
          <w:kern w:val="2"/>
          <w:sz w:val="32"/>
          <w:szCs w:val="24"/>
          <w:lang w:val="en-US" w:eastAsia="zh-CN"/>
        </w:rPr>
        <w:t>13.55</w:t>
      </w:r>
      <w:r>
        <w:rPr>
          <w:rFonts w:hint="eastAsia" w:ascii="Times New Roman" w:hAnsi="Times New Roman" w:eastAsia="仿宋_GB2312"/>
          <w:color w:val="000000"/>
          <w:kern w:val="2"/>
          <w:sz w:val="32"/>
          <w:szCs w:val="24"/>
        </w:rPr>
        <w:t>万元、绩效工资</w:t>
      </w:r>
      <w:r>
        <w:rPr>
          <w:rFonts w:hint="eastAsia" w:ascii="Times New Roman" w:hAnsi="Times New Roman" w:eastAsia="仿宋_GB2312"/>
          <w:color w:val="000000"/>
          <w:kern w:val="2"/>
          <w:sz w:val="32"/>
          <w:szCs w:val="24"/>
          <w:lang w:val="en-US" w:eastAsia="zh-CN"/>
        </w:rPr>
        <w:t>5</w:t>
      </w:r>
      <w:r>
        <w:rPr>
          <w:rFonts w:hint="eastAsia" w:ascii="Times New Roman" w:hAnsi="Times New Roman" w:eastAsia="仿宋_GB2312"/>
          <w:color w:val="000000"/>
          <w:kern w:val="2"/>
          <w:sz w:val="32"/>
          <w:szCs w:val="24"/>
        </w:rPr>
        <w:t>万元、机关事业单位基本养老保险缴费</w:t>
      </w:r>
      <w:r>
        <w:rPr>
          <w:rFonts w:hint="eastAsia" w:ascii="Times New Roman" w:hAnsi="Times New Roman" w:eastAsia="仿宋_GB2312"/>
          <w:color w:val="000000"/>
          <w:kern w:val="2"/>
          <w:sz w:val="32"/>
          <w:szCs w:val="24"/>
          <w:lang w:val="en-US" w:eastAsia="zh-CN"/>
        </w:rPr>
        <w:t>8.11</w:t>
      </w:r>
      <w:r>
        <w:rPr>
          <w:rFonts w:hint="eastAsia" w:ascii="Times New Roman" w:hAnsi="Times New Roman" w:eastAsia="仿宋_GB2312"/>
          <w:color w:val="000000"/>
          <w:kern w:val="2"/>
          <w:sz w:val="32"/>
          <w:szCs w:val="24"/>
        </w:rPr>
        <w:t>万元、职工基本医疗保险缴费</w:t>
      </w:r>
      <w:r>
        <w:rPr>
          <w:rFonts w:hint="eastAsia" w:ascii="Times New Roman" w:hAnsi="Times New Roman" w:eastAsia="仿宋_GB2312"/>
          <w:color w:val="000000"/>
          <w:kern w:val="2"/>
          <w:sz w:val="32"/>
          <w:szCs w:val="24"/>
          <w:lang w:val="en-US" w:eastAsia="zh-CN"/>
        </w:rPr>
        <w:t>2.15</w:t>
      </w:r>
      <w:r>
        <w:rPr>
          <w:rFonts w:hint="eastAsia" w:ascii="Times New Roman" w:hAnsi="Times New Roman" w:eastAsia="仿宋_GB2312"/>
          <w:color w:val="000000"/>
          <w:kern w:val="2"/>
          <w:sz w:val="32"/>
          <w:szCs w:val="24"/>
        </w:rPr>
        <w:t>万元、其他社会保障缴费</w:t>
      </w:r>
      <w:r>
        <w:rPr>
          <w:rFonts w:hint="eastAsia" w:ascii="Times New Roman" w:hAnsi="Times New Roman" w:eastAsia="仿宋_GB2312"/>
          <w:color w:val="000000"/>
          <w:kern w:val="2"/>
          <w:sz w:val="32"/>
          <w:szCs w:val="24"/>
          <w:lang w:val="en-US" w:eastAsia="zh-CN"/>
        </w:rPr>
        <w:t>0.13</w:t>
      </w:r>
      <w:r>
        <w:rPr>
          <w:rFonts w:hint="eastAsia" w:ascii="Times New Roman" w:hAnsi="Times New Roman" w:eastAsia="仿宋_GB2312"/>
          <w:color w:val="000000"/>
          <w:kern w:val="2"/>
          <w:sz w:val="32"/>
          <w:szCs w:val="24"/>
        </w:rPr>
        <w:t>万元、住房公积金</w:t>
      </w:r>
      <w:r>
        <w:rPr>
          <w:rFonts w:hint="eastAsia" w:ascii="Times New Roman" w:hAnsi="Times New Roman" w:eastAsia="仿宋_GB2312"/>
          <w:color w:val="000000"/>
          <w:kern w:val="2"/>
          <w:sz w:val="32"/>
          <w:szCs w:val="24"/>
          <w:lang w:val="en-US" w:eastAsia="zh-CN"/>
        </w:rPr>
        <w:t>4.56</w:t>
      </w:r>
      <w:r>
        <w:rPr>
          <w:rFonts w:hint="eastAsia" w:ascii="Times New Roman" w:hAnsi="Times New Roman" w:eastAsia="仿宋_GB2312"/>
          <w:color w:val="000000"/>
          <w:kern w:val="2"/>
          <w:sz w:val="32"/>
          <w:szCs w:val="24"/>
        </w:rPr>
        <w:t>万元</w:t>
      </w:r>
      <w:r>
        <w:rPr>
          <w:rFonts w:hint="eastAsia" w:ascii="Times New Roman" w:hAnsi="Times New Roman" w:eastAsia="仿宋_GB2312"/>
          <w:color w:val="000000"/>
          <w:kern w:val="2"/>
          <w:sz w:val="32"/>
          <w:szCs w:val="24"/>
          <w:lang w:eastAsia="zh-CN"/>
        </w:rPr>
        <w:t>、对个人和家庭的补助</w:t>
      </w:r>
      <w:r>
        <w:rPr>
          <w:rFonts w:hint="eastAsia" w:ascii="Times New Roman" w:hAnsi="Times New Roman" w:eastAsia="仿宋_GB2312"/>
          <w:color w:val="000000"/>
          <w:kern w:val="2"/>
          <w:sz w:val="32"/>
          <w:szCs w:val="24"/>
          <w:lang w:val="en-US" w:eastAsia="zh-CN"/>
        </w:rPr>
        <w:t>2万元</w:t>
      </w:r>
      <w:r>
        <w:rPr>
          <w:rFonts w:hint="eastAsia" w:ascii="Times New Roman" w:hAnsi="Times New Roman" w:eastAsia="仿宋_GB2312"/>
          <w:color w:val="000000"/>
          <w:kern w:val="2"/>
          <w:sz w:val="32"/>
          <w:szCs w:val="24"/>
          <w:lang w:eastAsia="zh-CN"/>
        </w:rPr>
        <w:t>。</w:t>
      </w:r>
    </w:p>
    <w:p w14:paraId="1EAB8C5A">
      <w:pPr>
        <w:overflowPunct w:val="0"/>
        <w:topLinePunct/>
        <w:spacing w:line="576" w:lineRule="exact"/>
        <w:ind w:firstLine="643" w:firstLineChars="200"/>
        <w:jc w:val="both"/>
        <w:rPr>
          <w:rFonts w:hint="default" w:ascii="Times New Roman" w:hAnsi="Times New Roman" w:eastAsia="仿宋_GB2312"/>
          <w:color w:val="000000"/>
          <w:kern w:val="2"/>
          <w:sz w:val="32"/>
          <w:szCs w:val="24"/>
          <w:lang w:val="en-US" w:eastAsia="zh-CN"/>
        </w:rPr>
      </w:pPr>
      <w:r>
        <w:rPr>
          <w:rFonts w:hint="eastAsia" w:ascii="Times New Roman" w:hAnsi="Times New Roman" w:eastAsia="仿宋_GB2312"/>
          <w:b/>
          <w:color w:val="000000"/>
          <w:kern w:val="2"/>
          <w:sz w:val="32"/>
          <w:szCs w:val="24"/>
        </w:rPr>
        <w:t>公用经费</w:t>
      </w:r>
      <w:r>
        <w:rPr>
          <w:rFonts w:hint="eastAsia" w:ascii="Times New Roman" w:hAnsi="Times New Roman" w:eastAsia="仿宋_GB2312"/>
          <w:color w:val="000000"/>
          <w:kern w:val="2"/>
          <w:sz w:val="32"/>
          <w:szCs w:val="24"/>
          <w:lang w:val="en-US" w:eastAsia="zh-CN"/>
        </w:rPr>
        <w:t>8.12</w:t>
      </w:r>
      <w:r>
        <w:rPr>
          <w:rFonts w:hint="eastAsia" w:ascii="Times New Roman" w:hAnsi="Times New Roman" w:eastAsia="仿宋_GB2312"/>
          <w:color w:val="000000"/>
          <w:kern w:val="2"/>
          <w:sz w:val="32"/>
          <w:szCs w:val="24"/>
        </w:rPr>
        <w:t>万元，主要包括：办公费</w:t>
      </w:r>
      <w:r>
        <w:rPr>
          <w:rFonts w:hint="eastAsia" w:ascii="Times New Roman" w:hAnsi="Times New Roman" w:eastAsia="仿宋_GB2312"/>
          <w:color w:val="000000"/>
          <w:kern w:val="2"/>
          <w:sz w:val="32"/>
          <w:szCs w:val="24"/>
          <w:lang w:val="en-US" w:eastAsia="zh-CN"/>
        </w:rPr>
        <w:t>0.6</w:t>
      </w:r>
      <w:r>
        <w:rPr>
          <w:rFonts w:hint="eastAsia" w:ascii="Times New Roman" w:hAnsi="Times New Roman" w:eastAsia="仿宋_GB2312"/>
          <w:color w:val="000000"/>
          <w:kern w:val="2"/>
          <w:sz w:val="32"/>
          <w:szCs w:val="24"/>
        </w:rPr>
        <w:t>万元、印刷费</w:t>
      </w:r>
      <w:r>
        <w:rPr>
          <w:rFonts w:hint="eastAsia" w:ascii="Times New Roman" w:hAnsi="Times New Roman" w:eastAsia="仿宋_GB2312"/>
          <w:color w:val="000000"/>
          <w:kern w:val="2"/>
          <w:sz w:val="32"/>
          <w:szCs w:val="24"/>
          <w:lang w:val="en-US" w:eastAsia="zh-CN"/>
        </w:rPr>
        <w:t>0.47</w:t>
      </w:r>
      <w:r>
        <w:rPr>
          <w:rFonts w:hint="eastAsia" w:ascii="Times New Roman" w:hAnsi="Times New Roman" w:eastAsia="仿宋_GB2312"/>
          <w:color w:val="000000"/>
          <w:kern w:val="2"/>
          <w:sz w:val="32"/>
          <w:szCs w:val="24"/>
        </w:rPr>
        <w:t>万元、电费</w:t>
      </w:r>
      <w:r>
        <w:rPr>
          <w:rFonts w:hint="eastAsia" w:ascii="Times New Roman" w:hAnsi="Times New Roman" w:eastAsia="仿宋_GB2312"/>
          <w:color w:val="000000"/>
          <w:kern w:val="2"/>
          <w:sz w:val="32"/>
          <w:szCs w:val="24"/>
          <w:lang w:val="en-US" w:eastAsia="zh-CN"/>
        </w:rPr>
        <w:t>0.09</w:t>
      </w:r>
      <w:r>
        <w:rPr>
          <w:rFonts w:hint="eastAsia" w:ascii="Times New Roman" w:hAnsi="Times New Roman" w:eastAsia="仿宋_GB2312"/>
          <w:color w:val="000000"/>
          <w:kern w:val="2"/>
          <w:sz w:val="32"/>
          <w:szCs w:val="24"/>
        </w:rPr>
        <w:t>万元、邮电费</w:t>
      </w:r>
      <w:r>
        <w:rPr>
          <w:rFonts w:hint="eastAsia" w:ascii="Times New Roman" w:hAnsi="Times New Roman" w:eastAsia="仿宋_GB2312"/>
          <w:color w:val="000000"/>
          <w:kern w:val="2"/>
          <w:sz w:val="32"/>
          <w:szCs w:val="24"/>
          <w:lang w:val="en-US" w:eastAsia="zh-CN"/>
        </w:rPr>
        <w:t>0.2</w:t>
      </w:r>
      <w:r>
        <w:rPr>
          <w:rFonts w:hint="eastAsia" w:ascii="Times New Roman" w:hAnsi="Times New Roman" w:eastAsia="仿宋_GB2312"/>
          <w:color w:val="000000"/>
          <w:kern w:val="2"/>
          <w:sz w:val="32"/>
          <w:szCs w:val="24"/>
        </w:rPr>
        <w:t>万元、物业管理费</w:t>
      </w:r>
      <w:r>
        <w:rPr>
          <w:rFonts w:hint="eastAsia" w:ascii="Times New Roman" w:hAnsi="Times New Roman" w:eastAsia="仿宋_GB2312"/>
          <w:color w:val="000000"/>
          <w:kern w:val="2"/>
          <w:sz w:val="32"/>
          <w:szCs w:val="24"/>
          <w:lang w:val="en-US" w:eastAsia="zh-CN"/>
        </w:rPr>
        <w:t>0.01</w:t>
      </w:r>
      <w:r>
        <w:rPr>
          <w:rFonts w:hint="eastAsia" w:ascii="Times New Roman" w:hAnsi="Times New Roman" w:eastAsia="仿宋_GB2312"/>
          <w:color w:val="000000"/>
          <w:kern w:val="2"/>
          <w:sz w:val="32"/>
          <w:szCs w:val="24"/>
        </w:rPr>
        <w:t>万元、差旅费</w:t>
      </w:r>
      <w:r>
        <w:rPr>
          <w:rFonts w:hint="eastAsia" w:ascii="Times New Roman" w:hAnsi="Times New Roman" w:eastAsia="仿宋_GB2312"/>
          <w:color w:val="000000"/>
          <w:kern w:val="2"/>
          <w:sz w:val="32"/>
          <w:szCs w:val="24"/>
          <w:lang w:val="en-US" w:eastAsia="zh-CN"/>
        </w:rPr>
        <w:t>1.23</w:t>
      </w:r>
      <w:r>
        <w:rPr>
          <w:rFonts w:hint="eastAsia" w:ascii="Times New Roman" w:hAnsi="Times New Roman" w:eastAsia="仿宋_GB2312"/>
          <w:color w:val="000000"/>
          <w:kern w:val="2"/>
          <w:sz w:val="32"/>
          <w:szCs w:val="24"/>
        </w:rPr>
        <w:t>万元、培训费</w:t>
      </w:r>
      <w:r>
        <w:rPr>
          <w:rFonts w:hint="eastAsia" w:ascii="Times New Roman" w:hAnsi="Times New Roman" w:eastAsia="仿宋_GB2312"/>
          <w:color w:val="000000"/>
          <w:kern w:val="2"/>
          <w:sz w:val="32"/>
          <w:szCs w:val="24"/>
          <w:lang w:val="en-US" w:eastAsia="zh-CN"/>
        </w:rPr>
        <w:t>0.56</w:t>
      </w:r>
      <w:r>
        <w:rPr>
          <w:rFonts w:hint="eastAsia" w:ascii="Times New Roman" w:hAnsi="Times New Roman" w:eastAsia="仿宋_GB2312"/>
          <w:color w:val="000000"/>
          <w:kern w:val="2"/>
          <w:sz w:val="32"/>
          <w:szCs w:val="24"/>
        </w:rPr>
        <w:t>万元、公务接待费</w:t>
      </w:r>
      <w:r>
        <w:rPr>
          <w:rFonts w:hint="eastAsia" w:ascii="Times New Roman" w:hAnsi="Times New Roman" w:eastAsia="仿宋_GB2312"/>
          <w:color w:val="000000"/>
          <w:kern w:val="2"/>
          <w:sz w:val="32"/>
          <w:szCs w:val="24"/>
          <w:lang w:val="en-US" w:eastAsia="zh-CN"/>
        </w:rPr>
        <w:t>0.3</w:t>
      </w:r>
      <w:r>
        <w:rPr>
          <w:rFonts w:hint="eastAsia" w:ascii="Times New Roman" w:hAnsi="Times New Roman" w:eastAsia="仿宋_GB2312"/>
          <w:color w:val="000000"/>
          <w:kern w:val="2"/>
          <w:sz w:val="32"/>
          <w:szCs w:val="24"/>
        </w:rPr>
        <w:t>万元、劳务费</w:t>
      </w:r>
      <w:r>
        <w:rPr>
          <w:rFonts w:hint="eastAsia" w:ascii="Times New Roman" w:hAnsi="Times New Roman" w:eastAsia="仿宋_GB2312"/>
          <w:color w:val="000000"/>
          <w:kern w:val="2"/>
          <w:sz w:val="32"/>
          <w:szCs w:val="24"/>
          <w:lang w:val="en-US" w:eastAsia="zh-CN"/>
        </w:rPr>
        <w:t>0.18</w:t>
      </w:r>
      <w:r>
        <w:rPr>
          <w:rFonts w:hint="eastAsia" w:ascii="Times New Roman" w:hAnsi="Times New Roman" w:eastAsia="仿宋_GB2312"/>
          <w:color w:val="000000"/>
          <w:kern w:val="2"/>
          <w:sz w:val="32"/>
          <w:szCs w:val="24"/>
        </w:rPr>
        <w:t>万元、工会经费</w:t>
      </w:r>
      <w:r>
        <w:rPr>
          <w:rFonts w:hint="eastAsia" w:ascii="Times New Roman" w:hAnsi="Times New Roman" w:eastAsia="仿宋_GB2312"/>
          <w:color w:val="000000"/>
          <w:kern w:val="2"/>
          <w:sz w:val="32"/>
          <w:szCs w:val="24"/>
          <w:lang w:val="en-US" w:eastAsia="zh-CN"/>
        </w:rPr>
        <w:t>1.83</w:t>
      </w:r>
      <w:r>
        <w:rPr>
          <w:rFonts w:hint="eastAsia" w:ascii="Times New Roman" w:hAnsi="Times New Roman" w:eastAsia="仿宋_GB2312"/>
          <w:color w:val="000000"/>
          <w:kern w:val="2"/>
          <w:sz w:val="32"/>
          <w:szCs w:val="24"/>
        </w:rPr>
        <w:t>万元、</w:t>
      </w:r>
      <w:r>
        <w:rPr>
          <w:rFonts w:hint="eastAsia" w:ascii="Times New Roman" w:hAnsi="Times New Roman" w:eastAsia="仿宋_GB2312"/>
          <w:color w:val="000000"/>
          <w:kern w:val="2"/>
          <w:sz w:val="32"/>
          <w:szCs w:val="24"/>
          <w:lang w:eastAsia="zh-CN"/>
        </w:rPr>
        <w:t>福利费</w:t>
      </w:r>
      <w:r>
        <w:rPr>
          <w:rFonts w:hint="eastAsia" w:ascii="Times New Roman" w:hAnsi="Times New Roman" w:eastAsia="仿宋_GB2312"/>
          <w:color w:val="000000"/>
          <w:kern w:val="2"/>
          <w:sz w:val="32"/>
          <w:szCs w:val="24"/>
          <w:lang w:val="en-US" w:eastAsia="zh-CN"/>
        </w:rPr>
        <w:t>0.14万元、</w:t>
      </w:r>
      <w:r>
        <w:rPr>
          <w:rFonts w:hint="eastAsia" w:ascii="Times New Roman" w:hAnsi="Times New Roman" w:eastAsia="仿宋_GB2312"/>
          <w:color w:val="000000"/>
          <w:kern w:val="2"/>
          <w:sz w:val="32"/>
          <w:szCs w:val="24"/>
        </w:rPr>
        <w:t>其他交通费</w:t>
      </w:r>
      <w:r>
        <w:rPr>
          <w:rFonts w:hint="eastAsia" w:ascii="Times New Roman" w:hAnsi="Times New Roman" w:eastAsia="仿宋_GB2312"/>
          <w:color w:val="000000"/>
          <w:kern w:val="2"/>
          <w:sz w:val="32"/>
          <w:szCs w:val="24"/>
          <w:lang w:val="en-US" w:eastAsia="zh-CN"/>
        </w:rPr>
        <w:t>2.02</w:t>
      </w:r>
      <w:r>
        <w:rPr>
          <w:rFonts w:hint="eastAsia" w:ascii="Times New Roman" w:hAnsi="Times New Roman" w:eastAsia="仿宋_GB2312"/>
          <w:color w:val="000000"/>
          <w:kern w:val="2"/>
          <w:sz w:val="32"/>
          <w:szCs w:val="24"/>
        </w:rPr>
        <w:t>万元、其他商品和服务支出</w:t>
      </w:r>
      <w:r>
        <w:rPr>
          <w:rFonts w:hint="eastAsia" w:ascii="Times New Roman" w:hAnsi="Times New Roman" w:eastAsia="仿宋_GB2312"/>
          <w:color w:val="000000"/>
          <w:kern w:val="2"/>
          <w:sz w:val="32"/>
          <w:szCs w:val="24"/>
          <w:lang w:val="en-US" w:eastAsia="zh-CN"/>
        </w:rPr>
        <w:t>0.49</w:t>
      </w:r>
      <w:r>
        <w:rPr>
          <w:rFonts w:hint="eastAsia" w:ascii="Times New Roman" w:hAnsi="Times New Roman" w:eastAsia="仿宋_GB2312"/>
          <w:color w:val="000000"/>
          <w:kern w:val="2"/>
          <w:sz w:val="32"/>
          <w:szCs w:val="24"/>
        </w:rPr>
        <w:t>万元</w:t>
      </w:r>
      <w:r>
        <w:rPr>
          <w:rFonts w:hint="eastAsia" w:ascii="Times New Roman" w:hAnsi="Times New Roman" w:eastAsia="仿宋_GB2312"/>
          <w:color w:val="000000"/>
          <w:kern w:val="2"/>
          <w:sz w:val="32"/>
          <w:szCs w:val="24"/>
          <w:lang w:val="en-US" w:eastAsia="zh-CN"/>
        </w:rPr>
        <w:t>。</w:t>
      </w:r>
    </w:p>
    <w:p w14:paraId="4E06C6BC">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10" w:name="_Toc1546"/>
      <w:r>
        <w:rPr>
          <w:rFonts w:hint="eastAsia" w:ascii="Times New Roman" w:hAnsi="Times New Roman" w:eastAsia="黑体" w:cs="Times New Roman"/>
          <w:color w:val="000000"/>
          <w:kern w:val="2"/>
          <w:sz w:val="32"/>
          <w:szCs w:val="32"/>
          <w:lang w:val="en-US" w:eastAsia="zh-CN"/>
        </w:rPr>
        <w:t>七、财政拨款“三公”经费支出决算情况说明</w:t>
      </w:r>
      <w:bookmarkEnd w:id="10"/>
    </w:p>
    <w:p w14:paraId="0F3C8017">
      <w:pPr>
        <w:overflowPunct w:val="0"/>
        <w:topLinePunct/>
        <w:spacing w:line="576" w:lineRule="exact"/>
        <w:ind w:firstLine="643" w:firstLineChars="200"/>
        <w:jc w:val="both"/>
        <w:rPr>
          <w:rFonts w:hint="eastAsia" w:ascii="Times New Roman" w:hAnsi="Times New Roman" w:eastAsia="仿宋_GB2312"/>
          <w:b/>
          <w:color w:val="000000"/>
          <w:kern w:val="2"/>
          <w:sz w:val="32"/>
          <w:szCs w:val="24"/>
        </w:rPr>
      </w:pPr>
      <w:r>
        <w:rPr>
          <w:rFonts w:hint="eastAsia" w:ascii="Times New Roman" w:hAnsi="Times New Roman" w:eastAsia="仿宋_GB2312"/>
          <w:b/>
          <w:color w:val="000000"/>
          <w:kern w:val="2"/>
          <w:sz w:val="32"/>
          <w:szCs w:val="24"/>
        </w:rPr>
        <w:t>（一）“三公”经费财政拨款支出决算总体情况说明</w:t>
      </w:r>
    </w:p>
    <w:p w14:paraId="35C593A9">
      <w:pPr>
        <w:overflowPunct w:val="0"/>
        <w:topLinePunct/>
        <w:spacing w:line="576" w:lineRule="exact"/>
        <w:ind w:firstLine="640" w:firstLineChars="200"/>
        <w:jc w:val="both"/>
        <w:rPr>
          <w:rFonts w:hint="eastAsia" w:ascii="Times New Roman" w:hAnsi="Times New Roman" w:eastAsia="仿宋_GB2312"/>
          <w:b/>
          <w:color w:val="FF0000"/>
          <w:kern w:val="2"/>
          <w:sz w:val="32"/>
          <w:szCs w:val="24"/>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年度“三公”经费财政拨款支出预算为</w:t>
      </w:r>
      <w:r>
        <w:rPr>
          <w:rFonts w:hint="eastAsia" w:ascii="Times New Roman" w:hAnsi="Times New Roman" w:eastAsia="仿宋_GB2312"/>
          <w:color w:val="000000"/>
          <w:kern w:val="2"/>
          <w:sz w:val="32"/>
          <w:szCs w:val="24"/>
          <w:lang w:val="en-US" w:eastAsia="zh-CN"/>
        </w:rPr>
        <w:t>0.3</w:t>
      </w:r>
      <w:r>
        <w:rPr>
          <w:rFonts w:hint="eastAsia" w:ascii="Times New Roman" w:hAnsi="Times New Roman" w:eastAsia="仿宋_GB2312"/>
          <w:color w:val="000000"/>
          <w:kern w:val="2"/>
          <w:sz w:val="32"/>
          <w:szCs w:val="24"/>
        </w:rPr>
        <w:t>万元，支出决算为</w:t>
      </w:r>
      <w:r>
        <w:rPr>
          <w:rFonts w:hint="eastAsia" w:ascii="Times New Roman" w:hAnsi="Times New Roman" w:eastAsia="仿宋_GB2312"/>
          <w:color w:val="000000"/>
          <w:kern w:val="2"/>
          <w:sz w:val="32"/>
          <w:szCs w:val="24"/>
          <w:lang w:val="en-US" w:eastAsia="zh-CN"/>
        </w:rPr>
        <w:t>0.3</w:t>
      </w:r>
      <w:r>
        <w:rPr>
          <w:rFonts w:hint="eastAsia" w:ascii="Times New Roman" w:hAnsi="Times New Roman" w:eastAsia="仿宋_GB2312"/>
          <w:color w:val="000000"/>
          <w:kern w:val="2"/>
          <w:sz w:val="32"/>
          <w:szCs w:val="24"/>
        </w:rPr>
        <w:t>万元，完成预算的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%；较上年减少</w:t>
      </w:r>
      <w:r>
        <w:rPr>
          <w:rFonts w:hint="eastAsia" w:ascii="Times New Roman" w:hAnsi="Times New Roman" w:eastAsia="仿宋_GB2312"/>
          <w:color w:val="000000"/>
          <w:kern w:val="2"/>
          <w:sz w:val="32"/>
          <w:szCs w:val="24"/>
          <w:lang w:val="en-US" w:eastAsia="zh-CN"/>
        </w:rPr>
        <w:t>0.1</w:t>
      </w:r>
      <w:r>
        <w:rPr>
          <w:rFonts w:hint="eastAsia" w:ascii="Times New Roman" w:hAnsi="Times New Roman" w:eastAsia="仿宋_GB2312"/>
          <w:color w:val="000000"/>
          <w:kern w:val="2"/>
          <w:sz w:val="32"/>
          <w:szCs w:val="24"/>
        </w:rPr>
        <w:t>万元，下降</w:t>
      </w:r>
      <w:r>
        <w:rPr>
          <w:rFonts w:hint="eastAsia" w:ascii="Times New Roman" w:hAnsi="Times New Roman" w:eastAsia="仿宋_GB2312"/>
          <w:color w:val="000000"/>
          <w:kern w:val="2"/>
          <w:sz w:val="32"/>
          <w:szCs w:val="24"/>
          <w:lang w:val="en-US" w:eastAsia="zh-CN"/>
        </w:rPr>
        <w:t>33.3</w:t>
      </w:r>
      <w:r>
        <w:rPr>
          <w:rFonts w:hint="eastAsia" w:ascii="Times New Roman" w:hAnsi="Times New Roman" w:eastAsia="仿宋_GB2312"/>
          <w:color w:val="000000"/>
          <w:kern w:val="2"/>
          <w:sz w:val="32"/>
          <w:szCs w:val="24"/>
        </w:rPr>
        <w:t>%。决算数较上年减少的主要原因是</w:t>
      </w:r>
      <w:r>
        <w:rPr>
          <w:rFonts w:hint="eastAsia" w:ascii="Times New Roman" w:hAnsi="Times New Roman" w:eastAsia="仿宋_GB2312"/>
          <w:color w:val="000000"/>
          <w:kern w:val="2"/>
          <w:sz w:val="32"/>
          <w:szCs w:val="24"/>
          <w:lang w:eastAsia="zh-CN"/>
        </w:rPr>
        <w:t>执行公务接待压缩政策</w:t>
      </w:r>
      <w:r>
        <w:rPr>
          <w:rFonts w:hint="eastAsia" w:ascii="Times New Roman" w:hAnsi="Times New Roman" w:eastAsia="仿宋_GB2312"/>
          <w:color w:val="000000"/>
          <w:kern w:val="2"/>
          <w:sz w:val="32"/>
          <w:szCs w:val="24"/>
        </w:rPr>
        <w:t>。</w:t>
      </w:r>
    </w:p>
    <w:p w14:paraId="4C7CF79D">
      <w:pPr>
        <w:overflowPunct w:val="0"/>
        <w:topLinePunct/>
        <w:spacing w:line="576" w:lineRule="exact"/>
        <w:ind w:firstLine="643" w:firstLineChars="200"/>
        <w:jc w:val="both"/>
        <w:rPr>
          <w:rFonts w:hint="eastAsia" w:ascii="Times New Roman" w:hAnsi="Times New Roman" w:eastAsia="仿宋_GB2312"/>
          <w:b/>
          <w:color w:val="000000"/>
          <w:kern w:val="2"/>
          <w:sz w:val="32"/>
          <w:szCs w:val="24"/>
        </w:rPr>
      </w:pPr>
      <w:r>
        <w:rPr>
          <w:rFonts w:hint="eastAsia" w:ascii="Times New Roman" w:hAnsi="Times New Roman" w:eastAsia="仿宋_GB2312"/>
          <w:b/>
          <w:color w:val="000000"/>
          <w:kern w:val="2"/>
          <w:sz w:val="32"/>
          <w:szCs w:val="24"/>
        </w:rPr>
        <w:t>（二）“三公”经费财政拨款支出决算具体情况说明</w:t>
      </w:r>
    </w:p>
    <w:p w14:paraId="18FDE8DE">
      <w:pPr>
        <w:overflowPunct w:val="0"/>
        <w:topLinePunct/>
        <w:spacing w:beforeLines="0" w:afterLines="0" w:line="576" w:lineRule="exact"/>
        <w:ind w:firstLine="640"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年度“三公”经费财政拨款支出决算中，因公出国（境）费支出决算</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%；公务用车购置及运行维护费支出决算</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%；公务接待费支出决算</w:t>
      </w:r>
      <w:r>
        <w:rPr>
          <w:rFonts w:hint="eastAsia" w:ascii="Times New Roman" w:hAnsi="Times New Roman" w:eastAsia="仿宋_GB2312"/>
          <w:color w:val="000000"/>
          <w:kern w:val="2"/>
          <w:sz w:val="32"/>
          <w:szCs w:val="24"/>
          <w:lang w:val="en-US" w:eastAsia="zh-CN"/>
        </w:rPr>
        <w:t>0.3</w:t>
      </w:r>
      <w:r>
        <w:rPr>
          <w:rFonts w:hint="eastAsia" w:ascii="Times New Roman" w:hAnsi="Times New Roman"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%。具体情况如下：</w:t>
      </w:r>
    </w:p>
    <w:p w14:paraId="793BC40D">
      <w:pPr>
        <w:overflowPunct w:val="0"/>
        <w:topLinePunct/>
        <w:spacing w:line="576" w:lineRule="exact"/>
        <w:ind w:firstLine="640" w:firstLineChars="200"/>
        <w:jc w:val="both"/>
        <w:rPr>
          <w:rFonts w:hint="eastAsia" w:ascii="Times New Roman" w:hAnsi="Times New Roman" w:eastAsia="仿宋_GB2312"/>
          <w:color w:val="000000"/>
          <w:kern w:val="2"/>
          <w:sz w:val="32"/>
          <w:szCs w:val="24"/>
        </w:rPr>
      </w:pPr>
    </w:p>
    <w:p w14:paraId="53AAEB98">
      <w:pPr>
        <w:overflowPunct w:val="0"/>
        <w:topLinePunct/>
        <w:spacing w:line="576" w:lineRule="exact"/>
        <w:ind w:firstLine="640" w:firstLineChars="200"/>
        <w:jc w:val="both"/>
        <w:rPr>
          <w:rFonts w:hint="eastAsia" w:ascii="Times New Roman" w:hAnsi="Times New Roman" w:eastAsia="仿宋_GB2312"/>
          <w:i/>
          <w:color w:val="000000"/>
          <w:kern w:val="2"/>
          <w:sz w:val="32"/>
          <w:szCs w:val="24"/>
        </w:rPr>
      </w:pPr>
      <w:r>
        <w:rPr>
          <w:rFonts w:hint="eastAsia" w:ascii="Times New Roman" w:hAnsi="Times New Roman" w:eastAsia="仿宋_GB2312"/>
          <w:i/>
          <w:color w:val="000000"/>
          <w:kern w:val="2"/>
          <w:sz w:val="32"/>
          <w:szCs w:val="24"/>
          <w:lang w:eastAsia="zh-CN"/>
        </w:rPr>
        <w:drawing>
          <wp:anchor distT="0" distB="0" distL="114300" distR="114300" simplePos="0" relativeHeight="251665408" behindDoc="0" locked="0" layoutInCell="1" allowOverlap="1">
            <wp:simplePos x="0" y="0"/>
            <wp:positionH relativeFrom="column">
              <wp:posOffset>325755</wp:posOffset>
            </wp:positionH>
            <wp:positionV relativeFrom="paragraph">
              <wp:posOffset>99695</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BE09084">
      <w:pPr>
        <w:numPr>
          <w:ilvl w:val="0"/>
          <w:numId w:val="1"/>
        </w:numPr>
        <w:overflowPunct w:val="0"/>
        <w:topLinePunct/>
        <w:spacing w:line="576" w:lineRule="exact"/>
        <w:ind w:firstLine="643" w:firstLineChars="200"/>
        <w:jc w:val="both"/>
        <w:rPr>
          <w:rFonts w:hint="eastAsia" w:ascii="Times New Roman" w:hAnsi="Times New Roman" w:eastAsia="仿宋_GB2312"/>
          <w:b/>
          <w:color w:val="000000"/>
          <w:kern w:val="2"/>
          <w:sz w:val="32"/>
          <w:szCs w:val="24"/>
        </w:rPr>
      </w:pPr>
      <w:r>
        <w:rPr>
          <w:rFonts w:hint="eastAsia" w:ascii="Times New Roman" w:hAnsi="Times New Roman" w:eastAsia="仿宋_GB2312"/>
          <w:b/>
          <w:color w:val="000000"/>
          <w:kern w:val="2"/>
          <w:sz w:val="32"/>
          <w:szCs w:val="24"/>
        </w:rPr>
        <w:t>因公出国（境）经费</w:t>
      </w:r>
      <w:r>
        <w:rPr>
          <w:rFonts w:hint="eastAsia" w:ascii="Times New Roman" w:hAnsi="Times New Roman" w:eastAsia="仿宋_GB2312"/>
          <w:color w:val="000000"/>
          <w:kern w:val="2"/>
          <w:sz w:val="32"/>
          <w:szCs w:val="24"/>
        </w:rPr>
        <w:t>预算为0万元，</w:t>
      </w:r>
      <w:r>
        <w:rPr>
          <w:rFonts w:hint="eastAsia" w:ascii="Times New Roman" w:hAnsi="Times New Roman" w:eastAsia="仿宋_GB2312"/>
          <w:color w:val="000000"/>
          <w:kern w:val="2"/>
          <w:sz w:val="32"/>
          <w:szCs w:val="24"/>
          <w:lang w:eastAsia="zh-CN"/>
        </w:rPr>
        <w:t>年初未安排预算</w:t>
      </w:r>
      <w:r>
        <w:rPr>
          <w:rFonts w:hint="eastAsia" w:ascii="Times New Roman" w:hAnsi="Times New Roman" w:eastAsia="仿宋_GB2312"/>
          <w:color w:val="000000"/>
          <w:kern w:val="2"/>
          <w:sz w:val="32"/>
          <w:szCs w:val="24"/>
        </w:rPr>
        <w:t>。</w:t>
      </w:r>
    </w:p>
    <w:p w14:paraId="3FC3E980">
      <w:pPr>
        <w:overflowPunct w:val="0"/>
        <w:topLinePunct/>
        <w:spacing w:line="576" w:lineRule="exact"/>
        <w:ind w:firstLine="643"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rPr>
        <w:t>2.公务用车购置及运行维护费</w:t>
      </w:r>
      <w:r>
        <w:rPr>
          <w:rFonts w:hint="eastAsia" w:ascii="Times New Roman" w:hAnsi="Times New Roman" w:eastAsia="仿宋_GB2312"/>
          <w:color w:val="000000"/>
          <w:kern w:val="2"/>
          <w:sz w:val="32"/>
          <w:szCs w:val="24"/>
        </w:rPr>
        <w:t>预算为</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万元,</w:t>
      </w:r>
      <w:r>
        <w:rPr>
          <w:rFonts w:hint="eastAsia" w:ascii="Times New Roman" w:hAnsi="Times New Roman" w:eastAsia="仿宋_GB2312"/>
          <w:color w:val="000000"/>
          <w:kern w:val="2"/>
          <w:sz w:val="32"/>
          <w:szCs w:val="24"/>
          <w:lang w:eastAsia="zh-CN"/>
        </w:rPr>
        <w:t>年初未安排预算。</w:t>
      </w:r>
    </w:p>
    <w:p w14:paraId="48651909">
      <w:pPr>
        <w:overflowPunct w:val="0"/>
        <w:topLinePunct/>
        <w:spacing w:line="576" w:lineRule="exact"/>
        <w:ind w:firstLine="640"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color w:val="000000"/>
          <w:kern w:val="2"/>
          <w:sz w:val="32"/>
          <w:szCs w:val="24"/>
        </w:rPr>
        <w:t>其中：</w:t>
      </w:r>
      <w:r>
        <w:rPr>
          <w:rFonts w:hint="eastAsia" w:ascii="Times New Roman" w:hAnsi="Times New Roman" w:eastAsia="仿宋_GB2312"/>
          <w:b/>
          <w:color w:val="000000"/>
          <w:kern w:val="2"/>
          <w:sz w:val="32"/>
          <w:szCs w:val="24"/>
        </w:rPr>
        <w:t>公务用车购置费</w:t>
      </w:r>
      <w:r>
        <w:rPr>
          <w:rFonts w:hint="eastAsia" w:ascii="Times New Roman" w:hAnsi="Times New Roman" w:eastAsia="仿宋_GB2312"/>
          <w:color w:val="000000"/>
          <w:kern w:val="2"/>
          <w:sz w:val="32"/>
          <w:szCs w:val="24"/>
        </w:rPr>
        <w:t>支出0万元。全年按规定更新购置公务用车0辆</w:t>
      </w:r>
      <w:r>
        <w:rPr>
          <w:rFonts w:hint="eastAsia" w:ascii="Times New Roman" w:hAnsi="Times New Roman" w:eastAsia="仿宋_GB2312"/>
          <w:color w:val="000000"/>
          <w:kern w:val="2"/>
          <w:sz w:val="32"/>
          <w:szCs w:val="24"/>
          <w:lang w:eastAsia="zh-CN"/>
        </w:rPr>
        <w:t>，</w:t>
      </w:r>
      <w:r>
        <w:rPr>
          <w:rFonts w:hint="eastAsia" w:ascii="Times New Roman" w:hAnsi="Times New Roman" w:eastAsia="仿宋_GB2312"/>
          <w:color w:val="000000"/>
          <w:kern w:val="2"/>
          <w:sz w:val="32"/>
          <w:szCs w:val="24"/>
        </w:rPr>
        <w:t>其中：轿车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辆、金额</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万元，越野车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辆、金额</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万元，小型客车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辆、金额</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万元，中型客车和大型客车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辆、金额</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万元，其他车型</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辆、金额</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万元，截至</w:t>
      </w: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年12月31日，本部门共有公务用车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辆，其中：轿车0辆、越野车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辆、小型客车0辆、中型客车和大型客车0辆、其他车型0辆。</w:t>
      </w:r>
    </w:p>
    <w:p w14:paraId="184606FE">
      <w:pPr>
        <w:overflowPunct w:val="0"/>
        <w:topLinePunct/>
        <w:spacing w:line="576" w:lineRule="exact"/>
        <w:ind w:firstLine="643"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rPr>
        <w:t>公务用车运行维护费</w:t>
      </w:r>
      <w:r>
        <w:rPr>
          <w:rFonts w:hint="eastAsia" w:ascii="Times New Roman" w:hAnsi="Times New Roman" w:eastAsia="仿宋_GB2312"/>
          <w:color w:val="000000"/>
          <w:kern w:val="2"/>
          <w:sz w:val="32"/>
          <w:szCs w:val="24"/>
        </w:rPr>
        <w:t>支出</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万元。</w:t>
      </w:r>
    </w:p>
    <w:p w14:paraId="53678C54">
      <w:pPr>
        <w:overflowPunct w:val="0"/>
        <w:topLinePunct/>
        <w:spacing w:line="576" w:lineRule="exact"/>
        <w:ind w:firstLine="643"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rPr>
        <w:t>3.公务接待费</w:t>
      </w:r>
      <w:r>
        <w:rPr>
          <w:rFonts w:hint="eastAsia" w:ascii="Times New Roman" w:hAnsi="Times New Roman" w:eastAsia="仿宋_GB2312"/>
          <w:color w:val="000000"/>
          <w:kern w:val="2"/>
          <w:sz w:val="32"/>
          <w:szCs w:val="24"/>
        </w:rPr>
        <w:t>预算为</w:t>
      </w:r>
      <w:r>
        <w:rPr>
          <w:rFonts w:hint="eastAsia" w:ascii="Times New Roman" w:hAnsi="Times New Roman" w:eastAsia="仿宋_GB2312"/>
          <w:color w:val="000000"/>
          <w:kern w:val="2"/>
          <w:sz w:val="32"/>
          <w:szCs w:val="24"/>
          <w:lang w:val="en-US" w:eastAsia="zh-CN"/>
        </w:rPr>
        <w:t>0.3</w:t>
      </w:r>
      <w:r>
        <w:rPr>
          <w:rFonts w:hint="eastAsia" w:ascii="Times New Roman" w:hAnsi="Times New Roman" w:eastAsia="仿宋_GB2312"/>
          <w:color w:val="000000"/>
          <w:kern w:val="2"/>
          <w:sz w:val="32"/>
          <w:szCs w:val="24"/>
        </w:rPr>
        <w:t>万元，支出决算为</w:t>
      </w:r>
      <w:r>
        <w:rPr>
          <w:rFonts w:hint="eastAsia" w:ascii="Times New Roman" w:hAnsi="Times New Roman" w:eastAsia="仿宋_GB2312"/>
          <w:color w:val="000000"/>
          <w:kern w:val="2"/>
          <w:sz w:val="32"/>
          <w:szCs w:val="24"/>
          <w:lang w:val="en-US" w:eastAsia="zh-CN"/>
        </w:rPr>
        <w:t>0.3</w:t>
      </w:r>
      <w:r>
        <w:rPr>
          <w:rFonts w:hint="eastAsia" w:ascii="Times New Roman" w:hAnsi="Times New Roman" w:eastAsia="仿宋_GB2312"/>
          <w:color w:val="000000"/>
          <w:kern w:val="2"/>
          <w:sz w:val="32"/>
          <w:szCs w:val="24"/>
        </w:rPr>
        <w:t>万元，完成预算的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rPr>
        <w:t>%。公务接待费支出决算比</w:t>
      </w:r>
      <w:r>
        <w:rPr>
          <w:rFonts w:hint="eastAsia" w:ascii="Times New Roman" w:hAnsi="Times New Roman" w:eastAsia="仿宋_GB2312"/>
          <w:color w:val="000000"/>
          <w:kern w:val="2"/>
          <w:sz w:val="32"/>
          <w:szCs w:val="24"/>
          <w:lang w:eastAsia="zh-CN"/>
        </w:rPr>
        <w:t>2023</w:t>
      </w:r>
      <w:r>
        <w:rPr>
          <w:rFonts w:hint="eastAsia" w:ascii="Times New Roman" w:hAnsi="Times New Roman" w:eastAsia="仿宋_GB2312"/>
          <w:color w:val="000000"/>
          <w:kern w:val="2"/>
          <w:sz w:val="32"/>
          <w:szCs w:val="24"/>
        </w:rPr>
        <w:t>年度</w:t>
      </w:r>
      <w:r>
        <w:rPr>
          <w:rFonts w:hint="eastAsia" w:ascii="Times New Roman" w:hAnsi="Times New Roman" w:eastAsia="仿宋_GB2312"/>
          <w:color w:val="000000"/>
          <w:kern w:val="2"/>
          <w:sz w:val="32"/>
          <w:szCs w:val="24"/>
          <w:lang w:val="en-US" w:eastAsia="zh-CN"/>
        </w:rPr>
        <w:t>0.4</w:t>
      </w:r>
      <w:r>
        <w:rPr>
          <w:rFonts w:hint="eastAsia" w:ascii="Times New Roman" w:hAnsi="Times New Roman" w:eastAsia="仿宋_GB2312"/>
          <w:color w:val="000000"/>
          <w:kern w:val="2"/>
          <w:sz w:val="32"/>
          <w:szCs w:val="24"/>
        </w:rPr>
        <w:t>万元，下降</w:t>
      </w:r>
      <w:r>
        <w:rPr>
          <w:rFonts w:hint="eastAsia" w:ascii="Times New Roman" w:hAnsi="Times New Roman" w:eastAsia="仿宋_GB2312"/>
          <w:color w:val="000000"/>
          <w:kern w:val="2"/>
          <w:sz w:val="32"/>
          <w:szCs w:val="24"/>
          <w:lang w:val="en-US" w:eastAsia="zh-CN"/>
        </w:rPr>
        <w:t>33.3</w:t>
      </w:r>
      <w:r>
        <w:rPr>
          <w:rFonts w:hint="eastAsia" w:ascii="Times New Roman" w:hAnsi="Times New Roman" w:eastAsia="仿宋_GB2312"/>
          <w:color w:val="000000"/>
          <w:kern w:val="2"/>
          <w:sz w:val="32"/>
          <w:szCs w:val="24"/>
        </w:rPr>
        <w:t>%。决算数较上年减少的主要原因是</w:t>
      </w:r>
      <w:r>
        <w:rPr>
          <w:rFonts w:hint="eastAsia" w:ascii="Times New Roman" w:hAnsi="Times New Roman" w:eastAsia="仿宋_GB2312"/>
          <w:color w:val="000000"/>
          <w:kern w:val="2"/>
          <w:sz w:val="32"/>
          <w:szCs w:val="24"/>
          <w:lang w:eastAsia="zh-CN"/>
        </w:rPr>
        <w:t>执行公务接待压缩政策</w:t>
      </w:r>
      <w:r>
        <w:rPr>
          <w:rFonts w:hint="eastAsia" w:ascii="Times New Roman" w:hAnsi="Times New Roman" w:eastAsia="仿宋_GB2312"/>
          <w:color w:val="000000"/>
          <w:kern w:val="2"/>
          <w:sz w:val="32"/>
          <w:szCs w:val="24"/>
        </w:rPr>
        <w:t>。其中：</w:t>
      </w:r>
    </w:p>
    <w:p w14:paraId="58D248B2">
      <w:pPr>
        <w:overflowPunct w:val="0"/>
        <w:topLinePunct/>
        <w:spacing w:line="576" w:lineRule="exact"/>
        <w:ind w:firstLine="643" w:firstLineChars="200"/>
        <w:jc w:val="both"/>
        <w:rPr>
          <w:rFonts w:hint="eastAsia" w:ascii="Times New Roman" w:hAnsi="Times New Roman" w:eastAsia="仿宋_GB2312"/>
          <w:color w:val="000000"/>
          <w:kern w:val="2"/>
          <w:sz w:val="32"/>
          <w:szCs w:val="24"/>
          <w:highlight w:val="none"/>
        </w:rPr>
      </w:pPr>
      <w:r>
        <w:rPr>
          <w:rFonts w:hint="eastAsia" w:ascii="Times New Roman" w:hAnsi="Times New Roman" w:eastAsia="仿宋_GB2312"/>
          <w:b/>
          <w:color w:val="000000"/>
          <w:kern w:val="2"/>
          <w:sz w:val="32"/>
          <w:szCs w:val="24"/>
        </w:rPr>
        <w:t>国内公务接待</w:t>
      </w:r>
      <w:r>
        <w:rPr>
          <w:rFonts w:hint="eastAsia" w:ascii="Times New Roman" w:hAnsi="Times New Roman" w:eastAsia="仿宋_GB2312"/>
          <w:color w:val="000000"/>
          <w:kern w:val="2"/>
          <w:sz w:val="32"/>
          <w:szCs w:val="24"/>
        </w:rPr>
        <w:t>支出</w:t>
      </w:r>
      <w:r>
        <w:rPr>
          <w:rFonts w:hint="eastAsia" w:ascii="Times New Roman" w:hAnsi="Times New Roman" w:eastAsia="仿宋_GB2312"/>
          <w:color w:val="000000"/>
          <w:kern w:val="2"/>
          <w:sz w:val="32"/>
          <w:szCs w:val="24"/>
          <w:lang w:val="en-US" w:eastAsia="zh-CN"/>
        </w:rPr>
        <w:t>0.3</w:t>
      </w:r>
      <w:r>
        <w:rPr>
          <w:rFonts w:hint="eastAsia" w:ascii="Times New Roman" w:hAnsi="Times New Roman" w:eastAsia="仿宋_GB2312"/>
          <w:color w:val="000000"/>
          <w:kern w:val="2"/>
          <w:sz w:val="32"/>
          <w:szCs w:val="24"/>
        </w:rPr>
        <w:t>万元。</w:t>
      </w:r>
      <w:r>
        <w:rPr>
          <w:rFonts w:hint="eastAsia" w:ascii="Times New Roman" w:hAnsi="Times New Roman" w:eastAsia="仿宋_GB2312"/>
          <w:color w:val="000000"/>
          <w:kern w:val="2"/>
          <w:sz w:val="32"/>
          <w:szCs w:val="24"/>
          <w:highlight w:val="none"/>
        </w:rPr>
        <w:t>主要用于开展业务活动开支的交通费、住宿费、用餐费等。国内公务接待</w:t>
      </w:r>
      <w:r>
        <w:rPr>
          <w:rFonts w:hint="eastAsia" w:ascii="Times New Roman" w:hAnsi="Times New Roman" w:eastAsia="仿宋_GB2312"/>
          <w:color w:val="000000"/>
          <w:kern w:val="2"/>
          <w:sz w:val="32"/>
          <w:szCs w:val="24"/>
          <w:highlight w:val="none"/>
          <w:lang w:val="en-US" w:eastAsia="zh-CN"/>
        </w:rPr>
        <w:t>32</w:t>
      </w:r>
      <w:r>
        <w:rPr>
          <w:rFonts w:hint="eastAsia" w:ascii="Times New Roman" w:hAnsi="Times New Roman" w:eastAsia="仿宋_GB2312"/>
          <w:color w:val="000000"/>
          <w:kern w:val="2"/>
          <w:sz w:val="32"/>
          <w:szCs w:val="24"/>
          <w:highlight w:val="none"/>
        </w:rPr>
        <w:t>人次，共计支出</w:t>
      </w:r>
      <w:r>
        <w:rPr>
          <w:rFonts w:hint="eastAsia" w:ascii="Times New Roman" w:hAnsi="Times New Roman" w:eastAsia="仿宋_GB2312"/>
          <w:color w:val="000000"/>
          <w:kern w:val="2"/>
          <w:sz w:val="32"/>
          <w:szCs w:val="24"/>
          <w:highlight w:val="none"/>
          <w:lang w:val="en-US" w:eastAsia="zh-CN"/>
        </w:rPr>
        <w:t>0.3</w:t>
      </w:r>
      <w:r>
        <w:rPr>
          <w:rFonts w:hint="eastAsia" w:ascii="Times New Roman" w:hAnsi="Times New Roman" w:eastAsia="仿宋_GB2312"/>
          <w:color w:val="000000"/>
          <w:kern w:val="2"/>
          <w:sz w:val="32"/>
          <w:szCs w:val="24"/>
          <w:highlight w:val="none"/>
        </w:rPr>
        <w:t>万元，具体内容包括接待</w:t>
      </w:r>
      <w:r>
        <w:rPr>
          <w:rFonts w:hint="eastAsia" w:ascii="Times New Roman" w:hAnsi="Times New Roman" w:eastAsia="仿宋_GB2312"/>
          <w:color w:val="000000"/>
          <w:kern w:val="2"/>
          <w:sz w:val="32"/>
          <w:szCs w:val="24"/>
          <w:highlight w:val="none"/>
          <w:lang w:eastAsia="zh-CN"/>
        </w:rPr>
        <w:t>市妇联来区</w:t>
      </w:r>
      <w:r>
        <w:rPr>
          <w:rFonts w:hint="eastAsia" w:ascii="Times New Roman" w:hAnsi="Times New Roman"/>
          <w:sz w:val="30"/>
          <w:szCs w:val="24"/>
          <w:highlight w:val="none"/>
        </w:rPr>
        <w:t>检查指导、考察调研</w:t>
      </w:r>
      <w:r>
        <w:rPr>
          <w:rFonts w:hint="eastAsia" w:ascii="Times New Roman" w:hAnsi="Times New Roman"/>
          <w:sz w:val="30"/>
          <w:szCs w:val="24"/>
          <w:highlight w:val="none"/>
          <w:lang w:eastAsia="zh-CN"/>
        </w:rPr>
        <w:t>等服务保障</w:t>
      </w:r>
      <w:r>
        <w:rPr>
          <w:rFonts w:hint="eastAsia" w:ascii="Times New Roman" w:hAnsi="Times New Roman" w:eastAsia="仿宋_GB2312"/>
          <w:color w:val="000000"/>
          <w:kern w:val="2"/>
          <w:sz w:val="32"/>
          <w:szCs w:val="24"/>
          <w:highlight w:val="none"/>
        </w:rPr>
        <w:t>。</w:t>
      </w:r>
    </w:p>
    <w:p w14:paraId="5B39D1D8">
      <w:pPr>
        <w:pStyle w:val="7"/>
        <w:overflowPunct w:val="0"/>
        <w:topLinePunct/>
        <w:spacing w:before="72" w:line="576" w:lineRule="exact"/>
        <w:ind w:firstLine="643"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rPr>
        <w:t>外事接待</w:t>
      </w:r>
      <w:r>
        <w:rPr>
          <w:rFonts w:hint="eastAsia" w:ascii="Times New Roman" w:hAnsi="Times New Roman" w:eastAsia="仿宋_GB2312"/>
          <w:color w:val="000000"/>
          <w:kern w:val="2"/>
          <w:sz w:val="32"/>
          <w:szCs w:val="24"/>
        </w:rPr>
        <w:t>支出0万元，外事接待0批次，0人，共计支出0万元。</w:t>
      </w:r>
    </w:p>
    <w:p w14:paraId="67C6DBA9">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11" w:name="_Toc22866"/>
      <w:r>
        <w:rPr>
          <w:rFonts w:hint="eastAsia" w:ascii="Times New Roman" w:hAnsi="Times New Roman" w:eastAsia="黑体" w:cs="Times New Roman"/>
          <w:color w:val="000000"/>
          <w:kern w:val="2"/>
          <w:sz w:val="32"/>
          <w:szCs w:val="32"/>
          <w:lang w:val="en-US" w:eastAsia="zh-CN"/>
        </w:rPr>
        <w:t>八、政府性基金预算支出决算情况说明</w:t>
      </w:r>
      <w:bookmarkEnd w:id="11"/>
    </w:p>
    <w:p w14:paraId="534CE4EC">
      <w:pPr>
        <w:overflowPunct w:val="0"/>
        <w:topLinePunct/>
        <w:spacing w:line="576" w:lineRule="exact"/>
        <w:ind w:firstLine="640"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年政府性基金预算拨款支出0万元。</w:t>
      </w:r>
    </w:p>
    <w:p w14:paraId="3B416A24">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12" w:name="_Toc10210"/>
      <w:r>
        <w:rPr>
          <w:rFonts w:hint="eastAsia" w:ascii="Times New Roman" w:hAnsi="Times New Roman" w:eastAsia="黑体" w:cs="Times New Roman"/>
          <w:color w:val="000000"/>
          <w:kern w:val="2"/>
          <w:sz w:val="32"/>
          <w:szCs w:val="32"/>
          <w:lang w:val="en-US" w:eastAsia="zh-CN"/>
        </w:rPr>
        <w:t>九、国有资本经营预算支出决算情况说明</w:t>
      </w:r>
      <w:bookmarkEnd w:id="12"/>
    </w:p>
    <w:p w14:paraId="20C17C60">
      <w:pPr>
        <w:overflowPunct w:val="0"/>
        <w:topLinePunct/>
        <w:spacing w:line="576" w:lineRule="exact"/>
        <w:ind w:firstLine="640"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年国有资本经营预算拨款支出0万元。</w:t>
      </w:r>
    </w:p>
    <w:p w14:paraId="394E6CEB">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13" w:name="_Toc28842"/>
      <w:r>
        <w:rPr>
          <w:rFonts w:hint="eastAsia" w:ascii="Times New Roman" w:hAnsi="Times New Roman" w:eastAsia="黑体" w:cs="Times New Roman"/>
          <w:color w:val="000000"/>
          <w:kern w:val="2"/>
          <w:sz w:val="32"/>
          <w:szCs w:val="32"/>
          <w:lang w:val="en-US" w:eastAsia="zh-CN"/>
        </w:rPr>
        <w:t>十、其他重要事项的情况说明</w:t>
      </w:r>
      <w:bookmarkEnd w:id="13"/>
    </w:p>
    <w:p w14:paraId="58957ACA">
      <w:pPr>
        <w:overflowPunct w:val="0"/>
        <w:topLinePunct/>
        <w:spacing w:line="576" w:lineRule="exact"/>
        <w:ind w:firstLine="643"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b/>
          <w:color w:val="000000"/>
          <w:kern w:val="2"/>
          <w:sz w:val="32"/>
          <w:szCs w:val="24"/>
        </w:rPr>
        <w:t>（一）机关运行经费支出情况</w:t>
      </w:r>
    </w:p>
    <w:p w14:paraId="5215FB73">
      <w:pPr>
        <w:spacing w:line="600" w:lineRule="exact"/>
        <w:ind w:firstLine="640" w:firstLineChars="200"/>
        <w:rPr>
          <w:rFonts w:hint="eastAsia" w:ascii="Times New Roman" w:hAnsi="Times New Roman" w:eastAsia="仿宋_GB2312"/>
          <w:color w:val="000000"/>
          <w:kern w:val="2"/>
          <w:sz w:val="32"/>
          <w:szCs w:val="24"/>
        </w:rPr>
      </w:pP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年度，</w:t>
      </w:r>
      <w:r>
        <w:rPr>
          <w:rFonts w:ascii="Times New Roman" w:hAnsi="Times New Roman" w:eastAsia="仿宋_GB2312"/>
          <w:sz w:val="32"/>
          <w:szCs w:val="32"/>
        </w:rPr>
        <w:t>区妇联机关运行经费支出</w:t>
      </w:r>
      <w:r>
        <w:rPr>
          <w:rFonts w:hint="eastAsia" w:ascii="Times New Roman" w:hAnsi="Times New Roman" w:eastAsia="仿宋_GB2312"/>
          <w:sz w:val="32"/>
          <w:szCs w:val="32"/>
          <w:lang w:val="en-US" w:eastAsia="zh-CN"/>
        </w:rPr>
        <w:t>8.12万元</w:t>
      </w:r>
      <w:r>
        <w:rPr>
          <w:rFonts w:hint="eastAsia" w:ascii="Times New Roman" w:hAnsi="Times New Roman" w:eastAsia="仿宋_GB2312"/>
          <w:color w:val="auto"/>
          <w:sz w:val="32"/>
          <w:szCs w:val="32"/>
        </w:rPr>
        <w:t>，比</w:t>
      </w:r>
      <w:r>
        <w:rPr>
          <w:rFonts w:hint="eastAsia" w:ascii="Times New Roman" w:hAnsi="Times New Roman" w:eastAsia="仿宋_GB2312"/>
          <w:color w:val="auto"/>
          <w:sz w:val="32"/>
          <w:szCs w:val="32"/>
          <w:lang w:eastAsia="zh-CN"/>
        </w:rPr>
        <w:t>2023</w:t>
      </w:r>
      <w:r>
        <w:rPr>
          <w:rFonts w:hint="eastAsia" w:ascii="Times New Roman" w:hAnsi="Times New Roman" w:eastAsia="仿宋_GB2312"/>
          <w:color w:val="auto"/>
          <w:sz w:val="32"/>
          <w:szCs w:val="32"/>
        </w:rPr>
        <w:t>年度</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31.75</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39.1</w:t>
      </w:r>
      <w:r>
        <w:rPr>
          <w:rFonts w:hint="eastAsia" w:ascii="Times New Roman" w:hAnsi="Times New Roman" w:eastAsia="仿宋_GB2312"/>
          <w:color w:val="auto"/>
          <w:sz w:val="32"/>
          <w:szCs w:val="32"/>
        </w:rPr>
        <w:t>%。</w:t>
      </w:r>
      <w:r>
        <w:rPr>
          <w:rFonts w:hint="eastAsia" w:ascii="Times New Roman" w:hAnsi="Times New Roman" w:eastAsia="仿宋_GB2312"/>
          <w:color w:val="000000"/>
          <w:kern w:val="2"/>
          <w:sz w:val="32"/>
          <w:szCs w:val="24"/>
        </w:rPr>
        <w:t>主要原因是</w:t>
      </w:r>
      <w:r>
        <w:rPr>
          <w:rFonts w:hint="eastAsia" w:ascii="Times New Roman" w:hAnsi="Times New Roman" w:eastAsia="仿宋_GB2312"/>
          <w:color w:val="000000"/>
          <w:kern w:val="2"/>
          <w:sz w:val="32"/>
          <w:szCs w:val="24"/>
          <w:lang w:eastAsia="zh-CN"/>
        </w:rPr>
        <w:t>经费压缩</w:t>
      </w:r>
      <w:r>
        <w:rPr>
          <w:rFonts w:hint="eastAsia" w:ascii="Times New Roman" w:hAnsi="Times New Roman" w:eastAsia="仿宋_GB2312"/>
          <w:sz w:val="32"/>
          <w:szCs w:val="32"/>
          <w:lang w:eastAsia="zh-CN"/>
        </w:rPr>
        <w:t>项目减少</w:t>
      </w:r>
      <w:r>
        <w:rPr>
          <w:rFonts w:hint="eastAsia" w:ascii="Times New Roman" w:hAnsi="Times New Roman" w:eastAsia="仿宋_GB2312"/>
          <w:color w:val="000000"/>
          <w:kern w:val="2"/>
          <w:sz w:val="32"/>
          <w:szCs w:val="24"/>
        </w:rPr>
        <w:t>。</w:t>
      </w:r>
    </w:p>
    <w:p w14:paraId="56C3C472">
      <w:pPr>
        <w:overflowPunct w:val="0"/>
        <w:topLinePunct/>
        <w:spacing w:line="576" w:lineRule="exact"/>
        <w:ind w:firstLine="643" w:firstLineChars="200"/>
        <w:jc w:val="both"/>
        <w:rPr>
          <w:rFonts w:hint="eastAsia" w:ascii="Times New Roman" w:hAnsi="Times New Roman" w:eastAsia="仿宋_GB2312"/>
          <w:b/>
          <w:color w:val="000000"/>
          <w:kern w:val="2"/>
          <w:sz w:val="32"/>
          <w:szCs w:val="24"/>
        </w:rPr>
      </w:pPr>
      <w:r>
        <w:rPr>
          <w:rFonts w:hint="eastAsia" w:ascii="Times New Roman" w:hAnsi="Times New Roman" w:eastAsia="仿宋_GB2312"/>
          <w:b/>
          <w:color w:val="000000"/>
          <w:kern w:val="2"/>
          <w:sz w:val="32"/>
          <w:szCs w:val="24"/>
        </w:rPr>
        <w:t>（二）政府采购支出情况</w:t>
      </w:r>
    </w:p>
    <w:p w14:paraId="33E3B154">
      <w:pPr>
        <w:pageBreakBefore w:val="0"/>
        <w:widowControl w:val="0"/>
        <w:kinsoku/>
        <w:wordWrap/>
        <w:overflowPunct w:val="0"/>
        <w:topLinePunct/>
        <w:bidi w:val="0"/>
        <w:spacing w:line="576" w:lineRule="exact"/>
        <w:ind w:firstLine="640" w:firstLineChars="200"/>
        <w:jc w:val="both"/>
        <w:rPr>
          <w:rFonts w:hint="eastAsia" w:ascii="Times New Roman" w:hAnsi="Times New Roman" w:eastAsia="仿宋_GB2312"/>
          <w:color w:val="000000"/>
          <w:kern w:val="2"/>
          <w:sz w:val="32"/>
          <w:szCs w:val="24"/>
        </w:rPr>
      </w:pPr>
      <w:r>
        <w:rPr>
          <w:rFonts w:hint="eastAsia" w:ascii="Times New Roman" w:hAnsi="Times New Roman" w:eastAsia="仿宋_GB2312"/>
          <w:color w:val="000000"/>
          <w:kern w:val="2"/>
          <w:sz w:val="32"/>
          <w:szCs w:val="24"/>
        </w:rPr>
        <w:t>2024年，区妇联</w:t>
      </w:r>
      <w:r>
        <w:rPr>
          <w:rFonts w:hint="eastAsia" w:ascii="仿宋_GB2312" w:hAnsi="仿宋_GB2312" w:eastAsia="仿宋_GB2312"/>
          <w:color w:val="000000"/>
          <w:kern w:val="2"/>
          <w:sz w:val="32"/>
          <w:szCs w:val="24"/>
          <w:lang w:val="en-US" w:eastAsia="zh-CN"/>
        </w:rPr>
        <w:t>未发生政府采购支出。</w:t>
      </w:r>
    </w:p>
    <w:p w14:paraId="370A499D">
      <w:pPr>
        <w:overflowPunct w:val="0"/>
        <w:topLinePunct/>
        <w:spacing w:line="576" w:lineRule="exact"/>
        <w:ind w:firstLine="643" w:firstLineChars="200"/>
        <w:jc w:val="both"/>
        <w:rPr>
          <w:rFonts w:hint="eastAsia" w:ascii="Times New Roman" w:hAnsi="Times New Roman" w:eastAsia="仿宋_GB2312"/>
          <w:b/>
          <w:color w:val="000000"/>
          <w:kern w:val="2"/>
          <w:sz w:val="32"/>
          <w:szCs w:val="24"/>
        </w:rPr>
      </w:pPr>
      <w:r>
        <w:rPr>
          <w:rFonts w:hint="eastAsia" w:ascii="Times New Roman" w:hAnsi="Times New Roman" w:eastAsia="仿宋_GB2312"/>
          <w:b/>
          <w:color w:val="000000"/>
          <w:kern w:val="2"/>
          <w:sz w:val="32"/>
          <w:szCs w:val="24"/>
        </w:rPr>
        <w:t>（三）国有资产占有使用情况</w:t>
      </w:r>
    </w:p>
    <w:p w14:paraId="28DD281F">
      <w:pPr>
        <w:overflowPunct w:val="0"/>
        <w:topLinePunct/>
        <w:spacing w:line="576" w:lineRule="exact"/>
        <w:ind w:firstLine="640" w:firstLineChars="200"/>
        <w:jc w:val="both"/>
        <w:rPr>
          <w:rFonts w:hint="eastAsia" w:ascii="Times New Roman" w:hAnsi="Times New Roman" w:eastAsia="仿宋_GB2312"/>
          <w:b/>
          <w:color w:val="FF0000"/>
          <w:kern w:val="2"/>
          <w:sz w:val="32"/>
          <w:szCs w:val="24"/>
          <w:lang w:val="en-US" w:eastAsia="zh-CN"/>
        </w:rPr>
      </w:pPr>
      <w:r>
        <w:rPr>
          <w:rFonts w:hint="eastAsia" w:ascii="Times New Roman" w:hAnsi="Times New Roman" w:eastAsia="仿宋_GB2312"/>
          <w:color w:val="000000"/>
          <w:kern w:val="2"/>
          <w:sz w:val="32"/>
          <w:szCs w:val="24"/>
        </w:rPr>
        <w:t>截至</w:t>
      </w:r>
      <w:r>
        <w:rPr>
          <w:rFonts w:hint="eastAsia" w:ascii="Times New Roman" w:hAnsi="Times New Roman" w:eastAsia="仿宋_GB2312"/>
          <w:color w:val="000000"/>
          <w:kern w:val="2"/>
          <w:sz w:val="32"/>
          <w:szCs w:val="24"/>
          <w:lang w:eastAsia="zh-CN"/>
        </w:rPr>
        <w:t>2024</w:t>
      </w:r>
      <w:r>
        <w:rPr>
          <w:rFonts w:hint="eastAsia" w:ascii="Times New Roman" w:hAnsi="Times New Roman" w:eastAsia="仿宋_GB2312"/>
          <w:color w:val="000000"/>
          <w:kern w:val="2"/>
          <w:sz w:val="32"/>
          <w:szCs w:val="24"/>
        </w:rPr>
        <w:t>年12月31日，</w:t>
      </w:r>
      <w:r>
        <w:rPr>
          <w:rFonts w:hint="eastAsia" w:ascii="Times New Roman" w:hAnsi="Times New Roman" w:eastAsia="仿宋_GB2312"/>
          <w:color w:val="000000"/>
          <w:kern w:val="2"/>
          <w:sz w:val="32"/>
          <w:szCs w:val="24"/>
          <w:lang w:eastAsia="zh-CN"/>
        </w:rPr>
        <w:t>区妇联</w:t>
      </w:r>
      <w:r>
        <w:rPr>
          <w:rFonts w:hint="eastAsia" w:ascii="Times New Roman" w:hAnsi="Times New Roman" w:eastAsia="仿宋_GB2312"/>
          <w:color w:val="000000"/>
          <w:kern w:val="2"/>
          <w:sz w:val="32"/>
          <w:szCs w:val="24"/>
        </w:rPr>
        <w:t>共有车辆</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辆，其中：副部（省）级及以上领导用车0辆、主要负责人用车0辆、机要通信用车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rPr>
        <w:t>辆、应急保障用车0辆、执法执勤用车0辆、特种专业技术用车0辆、离退休干部服务用车0辆、其他用车0辆。单价100万元（含）以上设备0台（套）。</w:t>
      </w:r>
    </w:p>
    <w:p w14:paraId="6B73C3EF">
      <w:pPr>
        <w:overflowPunct w:val="0"/>
        <w:topLinePunct/>
        <w:spacing w:line="576" w:lineRule="exact"/>
        <w:ind w:firstLine="643" w:firstLineChars="200"/>
        <w:jc w:val="both"/>
        <w:rPr>
          <w:rFonts w:hint="eastAsia" w:ascii="Times New Roman" w:hAnsi="Times New Roman" w:eastAsia="仿宋_GB2312"/>
          <w:b/>
          <w:color w:val="000000"/>
          <w:kern w:val="2"/>
          <w:sz w:val="32"/>
          <w:szCs w:val="24"/>
        </w:rPr>
      </w:pPr>
      <w:r>
        <w:rPr>
          <w:rFonts w:hint="eastAsia" w:ascii="Times New Roman" w:hAnsi="Times New Roman" w:eastAsia="仿宋_GB2312"/>
          <w:b/>
          <w:color w:val="000000"/>
          <w:kern w:val="2"/>
          <w:sz w:val="32"/>
          <w:szCs w:val="24"/>
        </w:rPr>
        <w:t>（四）预算绩效管理情况。</w:t>
      </w:r>
    </w:p>
    <w:p w14:paraId="634797D5">
      <w:pPr>
        <w:overflowPunct w:val="0"/>
        <w:topLinePunct/>
        <w:spacing w:line="576" w:lineRule="exact"/>
        <w:ind w:firstLine="640" w:firstLineChars="200"/>
        <w:jc w:val="both"/>
        <w:rPr>
          <w:rFonts w:hint="eastAsia" w:ascii="Times New Roman" w:hAnsi="Times New Roman" w:eastAsia="仿宋_GB2312"/>
          <w:i/>
          <w:kern w:val="2"/>
          <w:sz w:val="32"/>
          <w:szCs w:val="24"/>
          <w:highlight w:val="white"/>
        </w:rPr>
      </w:pPr>
      <w:r>
        <w:rPr>
          <w:rFonts w:hint="eastAsia" w:ascii="Times New Roman" w:hAnsi="Times New Roman" w:eastAsia="仿宋_GB2312"/>
          <w:kern w:val="2"/>
          <w:sz w:val="32"/>
          <w:szCs w:val="24"/>
        </w:rPr>
        <w:t>根据预算绩效管理要求，本单位在</w:t>
      </w:r>
      <w:r>
        <w:rPr>
          <w:rFonts w:hint="eastAsia" w:ascii="Times New Roman" w:hAnsi="Times New Roman" w:eastAsia="仿宋_GB2312"/>
          <w:kern w:val="2"/>
          <w:sz w:val="32"/>
          <w:szCs w:val="24"/>
          <w:lang w:eastAsia="zh-CN"/>
        </w:rPr>
        <w:t>2024</w:t>
      </w:r>
      <w:r>
        <w:rPr>
          <w:rFonts w:hint="eastAsia" w:ascii="Times New Roman" w:hAnsi="Times New Roman" w:eastAsia="仿宋_GB2312"/>
          <w:kern w:val="2"/>
          <w:sz w:val="32"/>
          <w:szCs w:val="24"/>
        </w:rPr>
        <w:t>年度预算编制阶段，组织对</w:t>
      </w:r>
      <w:r>
        <w:rPr>
          <w:rFonts w:hint="eastAsia" w:ascii="Times New Roman" w:hAnsi="Times New Roman" w:eastAsia="仿宋_GB2312"/>
          <w:kern w:val="2"/>
          <w:sz w:val="32"/>
          <w:szCs w:val="24"/>
          <w:lang w:eastAsia="zh-CN"/>
        </w:rPr>
        <w:t>家庭教育工作经费</w:t>
      </w:r>
      <w:r>
        <w:rPr>
          <w:rFonts w:hint="eastAsia" w:ascii="Times New Roman" w:hAnsi="Times New Roman" w:eastAsia="仿宋_GB2312"/>
          <w:kern w:val="2"/>
          <w:sz w:val="32"/>
          <w:szCs w:val="24"/>
        </w:rPr>
        <w:t>项目等</w:t>
      </w:r>
      <w:r>
        <w:rPr>
          <w:rFonts w:hint="eastAsia" w:ascii="Times New Roman" w:hAnsi="Times New Roman" w:eastAsia="仿宋_GB2312"/>
          <w:kern w:val="2"/>
          <w:sz w:val="32"/>
          <w:szCs w:val="24"/>
          <w:lang w:val="en-US" w:eastAsia="zh-CN"/>
        </w:rPr>
        <w:t>7</w:t>
      </w:r>
      <w:r>
        <w:rPr>
          <w:rFonts w:hint="eastAsia" w:ascii="Times New Roman" w:hAnsi="Times New Roman" w:eastAsia="仿宋_GB2312"/>
          <w:kern w:val="2"/>
          <w:sz w:val="32"/>
          <w:szCs w:val="24"/>
        </w:rPr>
        <w:t>个项目开展了预算事前绩效评估，对</w:t>
      </w:r>
      <w:r>
        <w:rPr>
          <w:rFonts w:hint="eastAsia" w:ascii="Times New Roman" w:hAnsi="Times New Roman" w:eastAsia="仿宋_GB2312"/>
          <w:kern w:val="2"/>
          <w:sz w:val="32"/>
          <w:szCs w:val="24"/>
          <w:lang w:val="en-US" w:eastAsia="zh-CN"/>
        </w:rPr>
        <w:t>7</w:t>
      </w:r>
      <w:r>
        <w:rPr>
          <w:rFonts w:hint="eastAsia" w:ascii="Times New Roman" w:hAnsi="Times New Roman" w:eastAsia="仿宋_GB2312"/>
          <w:kern w:val="2"/>
          <w:sz w:val="32"/>
          <w:szCs w:val="24"/>
        </w:rPr>
        <w:t>个项目编制了绩效目标，预算执行过程中，选取</w:t>
      </w:r>
      <w:r>
        <w:rPr>
          <w:rFonts w:hint="eastAsia" w:ascii="Times New Roman" w:hAnsi="Times New Roman" w:eastAsia="仿宋_GB2312"/>
          <w:kern w:val="2"/>
          <w:sz w:val="32"/>
          <w:szCs w:val="24"/>
          <w:lang w:val="en-US" w:eastAsia="zh-CN"/>
        </w:rPr>
        <w:t>7</w:t>
      </w:r>
      <w:r>
        <w:rPr>
          <w:rFonts w:hint="eastAsia" w:ascii="Times New Roman" w:hAnsi="Times New Roman" w:eastAsia="仿宋_GB2312"/>
          <w:kern w:val="2"/>
          <w:sz w:val="32"/>
          <w:szCs w:val="24"/>
        </w:rPr>
        <w:t>个项目开展绩效监控，组织对</w:t>
      </w:r>
      <w:r>
        <w:rPr>
          <w:rFonts w:hint="eastAsia" w:ascii="Times New Roman" w:hAnsi="Times New Roman" w:eastAsia="仿宋_GB2312"/>
          <w:kern w:val="2"/>
          <w:sz w:val="32"/>
          <w:szCs w:val="24"/>
          <w:lang w:val="en-US" w:eastAsia="zh-CN"/>
        </w:rPr>
        <w:t>7</w:t>
      </w:r>
      <w:r>
        <w:rPr>
          <w:rFonts w:hint="eastAsia" w:ascii="Times New Roman" w:hAnsi="Times New Roman" w:eastAsia="仿宋_GB2312"/>
          <w:kern w:val="2"/>
          <w:sz w:val="32"/>
          <w:szCs w:val="24"/>
        </w:rPr>
        <w:t>个项目开展绩效评价，绩效自评报表见第四部分附件。</w:t>
      </w:r>
    </w:p>
    <w:p w14:paraId="33862565">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rPr>
      </w:pPr>
      <w:r>
        <w:rPr>
          <w:rFonts w:hint="eastAsia" w:ascii="Times New Roman" w:hAnsi="Times New Roman" w:eastAsia="黑体"/>
          <w:color w:val="000000"/>
          <w:kern w:val="2"/>
          <w:sz w:val="44"/>
          <w:szCs w:val="24"/>
        </w:rPr>
        <w:br w:type="page"/>
      </w:r>
      <w:bookmarkStart w:id="14" w:name="_Toc4056"/>
      <w:r>
        <w:rPr>
          <w:rFonts w:hint="eastAsia" w:ascii="Times New Roman" w:hAnsi="Times New Roman" w:eastAsia="方正小标宋简体" w:cs="方正小标宋简体"/>
          <w:sz w:val="44"/>
          <w:szCs w:val="44"/>
        </w:rPr>
        <w:t>第三部分 名词解释</w:t>
      </w:r>
      <w:bookmarkEnd w:id="14"/>
    </w:p>
    <w:p w14:paraId="42754317">
      <w:pPr>
        <w:pStyle w:val="7"/>
        <w:spacing w:before="72"/>
        <w:rPr>
          <w:rFonts w:hint="eastAsia" w:ascii="Times New Roman" w:hAnsi="Times New Roman"/>
          <w:sz w:val="30"/>
          <w:szCs w:val="24"/>
        </w:rPr>
      </w:pPr>
    </w:p>
    <w:p w14:paraId="4174E07A">
      <w:pPr>
        <w:overflowPunct w:val="0"/>
        <w:topLinePunct/>
        <w:spacing w:line="576" w:lineRule="exact"/>
        <w:ind w:firstLine="640" w:firstLineChars="200"/>
        <w:jc w:val="both"/>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一、财政拨款收入：指单位从同级财政部门取得的财政预算资金。</w:t>
      </w:r>
    </w:p>
    <w:p w14:paraId="68236652">
      <w:pPr>
        <w:overflowPunct w:val="0"/>
        <w:topLinePunct/>
        <w:spacing w:line="576" w:lineRule="exact"/>
        <w:ind w:firstLine="640" w:firstLineChars="200"/>
        <w:jc w:val="both"/>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二、事业收入：指事业单位开展专业业务活动及辅助活动取得的收入。</w:t>
      </w:r>
    </w:p>
    <w:p w14:paraId="4508707F">
      <w:pPr>
        <w:overflowPunct w:val="0"/>
        <w:topLinePunct/>
        <w:spacing w:line="576" w:lineRule="exact"/>
        <w:ind w:firstLine="640" w:firstLineChars="200"/>
        <w:jc w:val="both"/>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三、经营收入：指事业单位在专业业务活动及其辅助活动之外开展非独立核算经营活动取得的收入。</w:t>
      </w:r>
    </w:p>
    <w:p w14:paraId="4B57B062">
      <w:pPr>
        <w:overflowPunct w:val="0"/>
        <w:topLinePunct/>
        <w:spacing w:line="576" w:lineRule="exact"/>
        <w:ind w:firstLine="640" w:firstLineChars="200"/>
        <w:jc w:val="both"/>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四、其他收入：指单位取得的除上述收入以外的各项收入。</w:t>
      </w:r>
    </w:p>
    <w:p w14:paraId="59811D9B">
      <w:pPr>
        <w:pStyle w:val="16"/>
        <w:spacing w:beforeLines="0" w:afterLines="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kern w:val="2"/>
          <w:sz w:val="32"/>
          <w:szCs w:val="24"/>
        </w:rPr>
        <w:t>五、</w:t>
      </w:r>
      <w:r>
        <w:rPr>
          <w:rFonts w:hint="eastAsia" w:ascii="Times New Roman" w:hAnsi="Times New Roman" w:eastAsia="仿宋_GB2312"/>
          <w:sz w:val="32"/>
          <w:szCs w:val="32"/>
        </w:rPr>
        <w:t>使用非财政拨款结余（含专用结余）</w:t>
      </w:r>
      <w:r>
        <w:rPr>
          <w:rFonts w:hint="eastAsia" w:ascii="Times New Roman" w:hAnsi="Times New Roman" w:eastAsia="仿宋_GB2312"/>
          <w:color w:val="auto"/>
          <w:sz w:val="32"/>
          <w:szCs w:val="32"/>
        </w:rPr>
        <w:t xml:space="preserve">：指事业单位使用以前年度积累的非财政拨款结余弥补当年收支差额的金额。 </w:t>
      </w:r>
    </w:p>
    <w:p w14:paraId="4D2AA7C0">
      <w:pPr>
        <w:overflowPunct w:val="0"/>
        <w:topLinePunct/>
        <w:spacing w:line="576" w:lineRule="exact"/>
        <w:ind w:firstLine="640" w:firstLineChars="200"/>
        <w:jc w:val="both"/>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 xml:space="preserve">六、年初结转和结余：指以前年度尚未完成、结转到本年按有关规定继续使用的资金。 </w:t>
      </w:r>
    </w:p>
    <w:p w14:paraId="6C669D13">
      <w:pPr>
        <w:overflowPunct w:val="0"/>
        <w:topLinePunct/>
        <w:spacing w:line="576" w:lineRule="exact"/>
        <w:ind w:firstLine="640" w:firstLineChars="200"/>
        <w:jc w:val="both"/>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七、结余分配：指事业单位按照会计制度规定缴纳的所得税、提取的专用结余以及转入非财政拨款结余的金额等。</w:t>
      </w:r>
    </w:p>
    <w:p w14:paraId="174297EC">
      <w:pPr>
        <w:overflowPunct w:val="0"/>
        <w:topLinePunct/>
        <w:spacing w:line="576" w:lineRule="exact"/>
        <w:ind w:firstLine="640" w:firstLineChars="200"/>
        <w:jc w:val="both"/>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八、年末结转和结余：指单位按有关规定结转到下年或以后年度继续使用的资金。</w:t>
      </w:r>
    </w:p>
    <w:p w14:paraId="0F3BA9D5">
      <w:pPr>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color w:val="000000"/>
          <w:kern w:val="2"/>
          <w:sz w:val="32"/>
          <w:szCs w:val="24"/>
        </w:rPr>
        <w:t>九、</w:t>
      </w:r>
      <w:r>
        <w:rPr>
          <w:rFonts w:ascii="Times New Roman" w:hAnsi="Times New Roman" w:eastAsia="仿宋_GB2312"/>
          <w:kern w:val="0"/>
          <w:sz w:val="32"/>
          <w:szCs w:val="32"/>
        </w:rPr>
        <w:t>一般公共服务（类）群众团体事务（款）行政运行（项）：指行政单位的基本支出。</w:t>
      </w:r>
    </w:p>
    <w:p w14:paraId="4998E3FC">
      <w:pPr>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十、</w:t>
      </w:r>
      <w:r>
        <w:rPr>
          <w:rFonts w:ascii="Times New Roman" w:hAnsi="Times New Roman" w:eastAsia="仿宋_GB2312"/>
          <w:kern w:val="0"/>
          <w:sz w:val="32"/>
          <w:szCs w:val="32"/>
        </w:rPr>
        <w:t>一般公共服务（类）群众团体事务（款）事业运行（项）: 指事业单位的基本支出，不包括行政单位（包括实行公务员管理的事业单位）后勤服务中心、医务室等附属事业单位。</w:t>
      </w:r>
    </w:p>
    <w:p w14:paraId="50590EB4">
      <w:pPr>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十一、</w:t>
      </w:r>
      <w:r>
        <w:rPr>
          <w:rFonts w:ascii="Times New Roman" w:hAnsi="Times New Roman" w:eastAsia="仿宋_GB2312"/>
          <w:kern w:val="0"/>
          <w:sz w:val="32"/>
          <w:szCs w:val="32"/>
        </w:rPr>
        <w:t>社会保障和就业（类）行政事业单位养老支出（款）机关事业单位基本养老保险缴费支出（项）:指机关事业单位实施养老保险制度由单位缴纳的基本养老保险费支出。</w:t>
      </w:r>
    </w:p>
    <w:p w14:paraId="3F00D24B">
      <w:pPr>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十二、</w:t>
      </w:r>
      <w:r>
        <w:rPr>
          <w:rFonts w:ascii="Times New Roman" w:hAnsi="Times New Roman" w:eastAsia="仿宋_GB2312"/>
          <w:kern w:val="0"/>
          <w:sz w:val="32"/>
          <w:szCs w:val="32"/>
        </w:rPr>
        <w:t>社会保障和就业（类）其他社会保障和就业支出（款）其他社会保障和就业支出（项）:指除上述项目</w:t>
      </w:r>
      <w:r>
        <w:rPr>
          <w:rFonts w:hint="eastAsia" w:ascii="Times New Roman" w:hAnsi="Times New Roman" w:eastAsia="仿宋_GB2312"/>
          <w:kern w:val="0"/>
          <w:sz w:val="32"/>
          <w:szCs w:val="32"/>
          <w:lang w:eastAsia="zh-CN"/>
        </w:rPr>
        <w:t>以外</w:t>
      </w:r>
      <w:r>
        <w:rPr>
          <w:rFonts w:ascii="Times New Roman" w:hAnsi="Times New Roman" w:eastAsia="仿宋_GB2312"/>
          <w:kern w:val="0"/>
          <w:sz w:val="32"/>
          <w:szCs w:val="32"/>
        </w:rPr>
        <w:t>其他用于社会保障和就业方面的支出。</w:t>
      </w:r>
    </w:p>
    <w:p w14:paraId="759D3154">
      <w:pPr>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十三、</w:t>
      </w:r>
      <w:r>
        <w:rPr>
          <w:rFonts w:ascii="Times New Roman" w:hAnsi="Times New Roman" w:eastAsia="仿宋_GB2312"/>
          <w:kern w:val="0"/>
          <w:sz w:val="32"/>
          <w:szCs w:val="32"/>
        </w:rPr>
        <w:t>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32F7C809">
      <w:pPr>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十四、</w:t>
      </w:r>
      <w:r>
        <w:rPr>
          <w:rFonts w:ascii="Times New Roman" w:hAnsi="Times New Roman" w:eastAsia="仿宋_GB2312"/>
          <w:kern w:val="0"/>
          <w:sz w:val="32"/>
          <w:szCs w:val="32"/>
        </w:rPr>
        <w:t>卫生健康（类）行政事业单位医疗（款）事业单位医疗（项）:指财政部门安排的事业单位基本医疗保险缴费经费，未参加医疗保险的事业单位的公费医疗经费，按国家规定享受离休人员待遇的医疗经费。</w:t>
      </w:r>
    </w:p>
    <w:p w14:paraId="1AC17490">
      <w:pPr>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十五、</w:t>
      </w:r>
      <w:r>
        <w:rPr>
          <w:rFonts w:ascii="Times New Roman" w:hAnsi="Times New Roman" w:eastAsia="仿宋_GB2312"/>
          <w:kern w:val="0"/>
          <w:sz w:val="32"/>
          <w:szCs w:val="32"/>
        </w:rPr>
        <w:t>农林水（类）扶贫（款）其他扶贫支出（项）：指除化解债务支出以外其他用于农林水方面的支出。</w:t>
      </w:r>
    </w:p>
    <w:p w14:paraId="6BDA3AC5">
      <w:pPr>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十六、</w:t>
      </w:r>
      <w:r>
        <w:rPr>
          <w:rFonts w:ascii="Times New Roman" w:hAnsi="Times New Roman" w:eastAsia="仿宋_GB2312"/>
          <w:kern w:val="0"/>
          <w:sz w:val="32"/>
          <w:szCs w:val="32"/>
        </w:rPr>
        <w:t>住房保障（类）住房改革（款）住房公积金（项）：指行政事业单位按人力资源和社会保障部、财政部规定的基本工资和津贴补贴以及规定比例为职工缴纳的住房公积金。</w:t>
      </w:r>
    </w:p>
    <w:p w14:paraId="407C3CA5">
      <w:pPr>
        <w:spacing w:line="55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lang w:eastAsia="zh-CN"/>
        </w:rPr>
        <w:t>十七、</w:t>
      </w:r>
      <w:r>
        <w:rPr>
          <w:rFonts w:ascii="Times New Roman" w:hAnsi="Times New Roman" w:eastAsia="仿宋_GB2312"/>
          <w:kern w:val="0"/>
          <w:sz w:val="32"/>
          <w:szCs w:val="32"/>
        </w:rPr>
        <w:t>基本支出：指为保障机构</w:t>
      </w:r>
      <w:r>
        <w:rPr>
          <w:rFonts w:ascii="Times New Roman" w:hAnsi="Times New Roman" w:eastAsia="仿宋_GB2312"/>
          <w:sz w:val="32"/>
          <w:szCs w:val="32"/>
        </w:rPr>
        <w:t>正常运转、完成日常工作任务而发生的人员支出和公用支出。</w:t>
      </w:r>
    </w:p>
    <w:p w14:paraId="7AA65C82">
      <w:pPr>
        <w:spacing w:line="55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十八、</w:t>
      </w:r>
      <w:r>
        <w:rPr>
          <w:rFonts w:ascii="Times New Roman" w:hAnsi="Times New Roman" w:eastAsia="仿宋_GB2312"/>
          <w:sz w:val="32"/>
          <w:szCs w:val="32"/>
        </w:rPr>
        <w:t>项目支出：指在基本支出之外为完成特定行政任务和事业发展目标所发生的支出。</w:t>
      </w:r>
    </w:p>
    <w:p w14:paraId="3957F056">
      <w:pPr>
        <w:pStyle w:val="16"/>
        <w:spacing w:line="55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十九、</w:t>
      </w:r>
      <w:r>
        <w:rPr>
          <w:rFonts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辆购置支出（含车辆购置税）及租用费、燃料费、维修费、过路过桥费、保险费等支出；公务接待费反映单位按规定开支的各类公务接待（含外宾接待）支出。</w:t>
      </w:r>
    </w:p>
    <w:p w14:paraId="2B95577E">
      <w:pPr>
        <w:pStyle w:val="16"/>
        <w:spacing w:line="55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二十、</w:t>
      </w: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10792C6D">
      <w:pPr>
        <w:overflowPunct w:val="0"/>
        <w:topLinePunct/>
        <w:spacing w:line="576" w:lineRule="exact"/>
        <w:ind w:firstLine="880" w:firstLineChars="200"/>
        <w:jc w:val="both"/>
        <w:rPr>
          <w:rFonts w:hint="eastAsia" w:ascii="Times New Roman" w:hAnsi="Times New Roman" w:eastAsia="黑体"/>
          <w:color w:val="000000"/>
          <w:kern w:val="2"/>
          <w:sz w:val="44"/>
          <w:szCs w:val="24"/>
        </w:rPr>
        <w:sectPr>
          <w:footerReference r:id="rId4" w:type="default"/>
          <w:pgSz w:w="12240" w:h="15840"/>
          <w:pgMar w:top="2098" w:right="1474" w:bottom="1984" w:left="1587" w:header="850" w:footer="1474" w:gutter="0"/>
          <w:lnNumType w:countBy="0" w:distance="360"/>
          <w:pgNumType w:fmt="decimal" w:start="1"/>
          <w:cols w:space="0" w:num="1"/>
          <w:rtlGutter w:val="0"/>
          <w:docGrid w:linePitch="0" w:charSpace="0"/>
        </w:sectPr>
      </w:pPr>
    </w:p>
    <w:p w14:paraId="6F051922">
      <w:pPr>
        <w:pStyle w:val="8"/>
        <w:ind w:firstLine="3080" w:firstLineChars="700"/>
        <w:rPr>
          <w:rFonts w:hint="default" w:ascii="Times New Roman" w:hAnsi="Times New Roman" w:eastAsia="宋体"/>
          <w:lang w:val="en-US" w:eastAsia="zh-CN"/>
        </w:rPr>
      </w:pPr>
      <w:r>
        <w:rPr>
          <w:rFonts w:hint="eastAsia" w:ascii="Times New Roman" w:hAnsi="Times New Roman" w:eastAsia="方正小标宋简体" w:cs="方正小标宋简体"/>
          <w:sz w:val="44"/>
          <w:szCs w:val="44"/>
          <w:lang w:val="en-US" w:eastAsia="zh-CN"/>
        </w:rPr>
        <w:t>第</w:t>
      </w:r>
      <w:r>
        <w:rPr>
          <w:rFonts w:hint="eastAsia" w:eastAsia="方正小标宋简体" w:cs="方正小标宋简体"/>
          <w:sz w:val="44"/>
          <w:szCs w:val="44"/>
          <w:lang w:val="en-US" w:eastAsia="zh-CN"/>
        </w:rPr>
        <w:t>四</w:t>
      </w:r>
      <w:r>
        <w:rPr>
          <w:rFonts w:hint="eastAsia" w:ascii="Times New Roman" w:hAnsi="Times New Roman" w:eastAsia="方正小标宋简体" w:cs="方正小标宋简体"/>
          <w:sz w:val="44"/>
          <w:szCs w:val="44"/>
          <w:lang w:val="en-US" w:eastAsia="zh-CN"/>
        </w:rPr>
        <w:t>部分 附</w:t>
      </w:r>
      <w:r>
        <w:rPr>
          <w:rFonts w:hint="eastAsia" w:eastAsia="方正小标宋简体" w:cs="方正小标宋简体"/>
          <w:sz w:val="44"/>
          <w:szCs w:val="44"/>
          <w:lang w:val="en-US" w:eastAsia="zh-CN"/>
        </w:rPr>
        <w:t>件</w:t>
      </w:r>
    </w:p>
    <w:p w14:paraId="7DDFD4E4">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bookmarkStart w:id="15" w:name="_Toc20536"/>
    </w:p>
    <w:p w14:paraId="1FFC0604">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黑体" w:cs="Times New Roman"/>
          <w:color w:val="000000"/>
          <w:kern w:val="2"/>
          <w:sz w:val="32"/>
          <w:szCs w:val="32"/>
          <w:lang w:val="en-US" w:eastAsia="zh-CN" w:bidi="ar-SA"/>
        </w:rPr>
        <w:t>部门预算项目支出绩效自评表</w:t>
      </w:r>
    </w:p>
    <w:p w14:paraId="4EDA6B31">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0D52B74A">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53C5FAD7">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3C85A8B0">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338E9714">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25437A9F">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30B749C4">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50FC8BDA">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11C81287">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50456D6B">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3D5227C3">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6CEC3A36">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252E25D8">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4D84C230">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681F2B98">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256153C8">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27E04E9E">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3B8A4CB2">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5C0A85CB">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p>
    <w:p w14:paraId="44FC7CE3">
      <w:pPr>
        <w:pStyle w:val="4"/>
        <w:pageBreakBefore w:val="0"/>
        <w:widowControl w:val="0"/>
        <w:kinsoku/>
        <w:wordWrap/>
        <w:overflowPunct w:val="0"/>
        <w:bidi w:val="0"/>
        <w:ind w:left="0" w:leftChars="0" w:right="0" w:rightChars="0" w:firstLine="0" w:firstLineChars="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第五部分 附表</w:t>
      </w:r>
      <w:bookmarkEnd w:id="15"/>
    </w:p>
    <w:p w14:paraId="42FB2255">
      <w:pPr>
        <w:pStyle w:val="7"/>
        <w:spacing w:before="72"/>
        <w:rPr>
          <w:rFonts w:hint="eastAsia" w:ascii="Times New Roman" w:hAnsi="Times New Roman"/>
          <w:sz w:val="30"/>
          <w:szCs w:val="24"/>
        </w:rPr>
      </w:pPr>
    </w:p>
    <w:p w14:paraId="1BAA162E">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16" w:name="_Toc3939"/>
      <w:r>
        <w:rPr>
          <w:rFonts w:hint="eastAsia" w:ascii="Times New Roman" w:hAnsi="Times New Roman" w:eastAsia="黑体" w:cs="Times New Roman"/>
          <w:color w:val="000000"/>
          <w:kern w:val="2"/>
          <w:sz w:val="32"/>
          <w:szCs w:val="32"/>
          <w:lang w:val="en-US" w:eastAsia="zh-CN"/>
        </w:rPr>
        <w:t>一、收入支出决算总表</w:t>
      </w:r>
      <w:bookmarkEnd w:id="16"/>
    </w:p>
    <w:p w14:paraId="2799581B">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17" w:name="_Toc19644"/>
      <w:r>
        <w:rPr>
          <w:rFonts w:hint="eastAsia" w:ascii="Times New Roman" w:hAnsi="Times New Roman" w:eastAsia="黑体" w:cs="Times New Roman"/>
          <w:color w:val="000000"/>
          <w:kern w:val="2"/>
          <w:sz w:val="32"/>
          <w:szCs w:val="32"/>
          <w:lang w:val="en-US" w:eastAsia="zh-CN"/>
        </w:rPr>
        <w:t>二、收入决算表</w:t>
      </w:r>
      <w:bookmarkEnd w:id="17"/>
    </w:p>
    <w:p w14:paraId="154ED0B6">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18" w:name="_Toc7765"/>
      <w:r>
        <w:rPr>
          <w:rFonts w:hint="eastAsia" w:ascii="Times New Roman" w:hAnsi="Times New Roman" w:eastAsia="黑体" w:cs="Times New Roman"/>
          <w:color w:val="000000"/>
          <w:kern w:val="2"/>
          <w:sz w:val="32"/>
          <w:szCs w:val="32"/>
          <w:lang w:val="en-US" w:eastAsia="zh-CN"/>
        </w:rPr>
        <w:t>三、支出决算表</w:t>
      </w:r>
      <w:bookmarkEnd w:id="18"/>
    </w:p>
    <w:p w14:paraId="5B24C088">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19" w:name="_Toc24074"/>
      <w:r>
        <w:rPr>
          <w:rFonts w:hint="eastAsia" w:ascii="Times New Roman" w:hAnsi="Times New Roman" w:eastAsia="黑体" w:cs="Times New Roman"/>
          <w:color w:val="000000"/>
          <w:kern w:val="2"/>
          <w:sz w:val="32"/>
          <w:szCs w:val="32"/>
          <w:lang w:val="en-US" w:eastAsia="zh-CN"/>
        </w:rPr>
        <w:t>四、财政拨款收入支出决算总表</w:t>
      </w:r>
      <w:bookmarkEnd w:id="19"/>
    </w:p>
    <w:p w14:paraId="335CB6BF">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20" w:name="_Toc19742"/>
      <w:r>
        <w:rPr>
          <w:rFonts w:hint="eastAsia" w:ascii="Times New Roman" w:hAnsi="Times New Roman" w:eastAsia="黑体" w:cs="Times New Roman"/>
          <w:color w:val="000000"/>
          <w:kern w:val="2"/>
          <w:sz w:val="32"/>
          <w:szCs w:val="32"/>
          <w:lang w:val="en-US" w:eastAsia="zh-CN"/>
        </w:rPr>
        <w:t>五、财政拨款支出决算明细表</w:t>
      </w:r>
      <w:bookmarkEnd w:id="20"/>
    </w:p>
    <w:p w14:paraId="1AE3712F">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21" w:name="_Toc21049"/>
      <w:r>
        <w:rPr>
          <w:rFonts w:hint="eastAsia" w:ascii="Times New Roman" w:hAnsi="Times New Roman" w:eastAsia="黑体" w:cs="Times New Roman"/>
          <w:color w:val="000000"/>
          <w:kern w:val="2"/>
          <w:sz w:val="32"/>
          <w:szCs w:val="32"/>
          <w:lang w:val="en-US" w:eastAsia="zh-CN"/>
        </w:rPr>
        <w:t>六、一般公共预算财政拨款支出决算表</w:t>
      </w:r>
      <w:bookmarkEnd w:id="21"/>
    </w:p>
    <w:p w14:paraId="72CEE4CB">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22" w:name="_Toc29968"/>
      <w:r>
        <w:rPr>
          <w:rFonts w:hint="eastAsia" w:ascii="Times New Roman" w:hAnsi="Times New Roman" w:eastAsia="黑体" w:cs="Times New Roman"/>
          <w:color w:val="000000"/>
          <w:kern w:val="2"/>
          <w:sz w:val="32"/>
          <w:szCs w:val="32"/>
          <w:lang w:val="en-US" w:eastAsia="zh-CN"/>
        </w:rPr>
        <w:t>七、一般公共预算财政拨款支出决算明细表</w:t>
      </w:r>
      <w:bookmarkEnd w:id="22"/>
    </w:p>
    <w:p w14:paraId="662F23ED">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23" w:name="_Toc14982"/>
      <w:r>
        <w:rPr>
          <w:rFonts w:hint="eastAsia" w:ascii="Times New Roman" w:hAnsi="Times New Roman" w:eastAsia="黑体" w:cs="Times New Roman"/>
          <w:color w:val="000000"/>
          <w:kern w:val="2"/>
          <w:sz w:val="32"/>
          <w:szCs w:val="32"/>
          <w:lang w:val="en-US" w:eastAsia="zh-CN"/>
        </w:rPr>
        <w:t>八、一般公共预算财政拨款基本支出决算表</w:t>
      </w:r>
      <w:bookmarkEnd w:id="23"/>
    </w:p>
    <w:p w14:paraId="3DBFB4E4">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24" w:name="_Toc21214"/>
      <w:r>
        <w:rPr>
          <w:rFonts w:hint="eastAsia" w:ascii="Times New Roman" w:hAnsi="Times New Roman" w:eastAsia="黑体" w:cs="Times New Roman"/>
          <w:color w:val="000000"/>
          <w:kern w:val="2"/>
          <w:sz w:val="32"/>
          <w:szCs w:val="32"/>
          <w:lang w:val="en-US" w:eastAsia="zh-CN"/>
        </w:rPr>
        <w:t>九、一般公共预算财政拨款项目支出决算表</w:t>
      </w:r>
      <w:bookmarkEnd w:id="24"/>
    </w:p>
    <w:p w14:paraId="4F882E9A">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25" w:name="_Toc14236"/>
      <w:r>
        <w:rPr>
          <w:rFonts w:hint="eastAsia" w:ascii="Times New Roman" w:hAnsi="Times New Roman" w:eastAsia="黑体" w:cs="Times New Roman"/>
          <w:color w:val="000000"/>
          <w:kern w:val="2"/>
          <w:sz w:val="32"/>
          <w:szCs w:val="32"/>
          <w:lang w:val="en-US" w:eastAsia="zh-CN"/>
        </w:rPr>
        <w:t>十、政府性基金预算财政拨款收入支出决算表</w:t>
      </w:r>
      <w:bookmarkEnd w:id="25"/>
    </w:p>
    <w:p w14:paraId="5C733CD3">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26" w:name="_Toc2115"/>
      <w:r>
        <w:rPr>
          <w:rFonts w:hint="eastAsia" w:ascii="Times New Roman" w:hAnsi="Times New Roman" w:eastAsia="黑体" w:cs="Times New Roman"/>
          <w:color w:val="000000"/>
          <w:kern w:val="2"/>
          <w:sz w:val="32"/>
          <w:szCs w:val="32"/>
          <w:lang w:val="en-US" w:eastAsia="zh-CN"/>
        </w:rPr>
        <w:t>十一、国有资本经营预算财政拨款收入支出决算表</w:t>
      </w:r>
      <w:bookmarkEnd w:id="26"/>
    </w:p>
    <w:p w14:paraId="2F365F25">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27" w:name="_Toc16661"/>
      <w:r>
        <w:rPr>
          <w:rFonts w:hint="eastAsia" w:ascii="Times New Roman" w:hAnsi="Times New Roman" w:eastAsia="黑体" w:cs="Times New Roman"/>
          <w:color w:val="000000"/>
          <w:kern w:val="2"/>
          <w:sz w:val="32"/>
          <w:szCs w:val="32"/>
          <w:lang w:val="en-US" w:eastAsia="zh-CN"/>
        </w:rPr>
        <w:t>十二、国有资本经营预算财政拨款支出决算表</w:t>
      </w:r>
      <w:bookmarkEnd w:id="27"/>
    </w:p>
    <w:p w14:paraId="33418369">
      <w:pPr>
        <w:pStyle w:val="5"/>
        <w:keepNext w:val="0"/>
        <w:keepLines w:val="0"/>
        <w:pageBreakBefore w:val="0"/>
        <w:widowControl w:val="0"/>
        <w:kinsoku/>
        <w:wordWrap/>
        <w:overflowPunct w:val="0"/>
        <w:topLinePunct/>
        <w:bidi w:val="0"/>
        <w:snapToGrid/>
        <w:spacing w:line="580" w:lineRule="exact"/>
        <w:ind w:firstLine="640" w:firstLineChars="200"/>
        <w:jc w:val="both"/>
        <w:textAlignment w:val="auto"/>
        <w:rPr>
          <w:rFonts w:hint="eastAsia" w:ascii="Times New Roman" w:hAnsi="Times New Roman" w:eastAsia="黑体" w:cs="Times New Roman"/>
          <w:color w:val="000000"/>
          <w:kern w:val="2"/>
          <w:sz w:val="32"/>
          <w:szCs w:val="32"/>
          <w:lang w:val="en-US" w:eastAsia="zh-CN"/>
        </w:rPr>
      </w:pPr>
      <w:bookmarkStart w:id="28" w:name="_Toc24570"/>
      <w:r>
        <w:rPr>
          <w:rFonts w:hint="eastAsia" w:ascii="Times New Roman" w:hAnsi="Times New Roman" w:eastAsia="黑体" w:cs="Times New Roman"/>
          <w:color w:val="000000"/>
          <w:kern w:val="2"/>
          <w:sz w:val="32"/>
          <w:szCs w:val="32"/>
          <w:lang w:val="en-US" w:eastAsia="zh-CN"/>
        </w:rPr>
        <w:t>十三、财政拨款“三公”经费支出决算表</w:t>
      </w:r>
      <w:bookmarkEnd w:id="28"/>
    </w:p>
    <w:p w14:paraId="648C72D4">
      <w:pPr>
        <w:overflowPunct w:val="0"/>
        <w:topLinePunct/>
        <w:spacing w:line="576" w:lineRule="exact"/>
        <w:ind w:firstLine="600" w:firstLineChars="200"/>
        <w:jc w:val="both"/>
        <w:rPr>
          <w:rFonts w:hint="eastAsia" w:ascii="Times New Roman" w:hAnsi="Times New Roman" w:eastAsia="方正小标宋简体"/>
          <w:color w:val="000000"/>
          <w:kern w:val="2"/>
          <w:sz w:val="30"/>
          <w:szCs w:val="24"/>
        </w:rPr>
      </w:pPr>
    </w:p>
    <w:sectPr>
      <w:footerReference r:id="rId5" w:type="default"/>
      <w:pgSz w:w="12240" w:h="15840"/>
      <w:pgMar w:top="2098" w:right="1474" w:bottom="1984" w:left="1587" w:header="850" w:footer="1474" w:gutter="0"/>
      <w:lnNumType w:countBy="0" w:distance="36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8D1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B910">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36E4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936E4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907C">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D8741">
                          <w:pPr>
                            <w:pStyle w:val="8"/>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4D8741">
                    <w:pPr>
                      <w:pStyle w:val="8"/>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DA8AF"/>
    <w:multiLevelType w:val="singleLevel"/>
    <w:tmpl w:val="058DA8A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MzQyMDBlY2I2ODNlNjc3ZmJlNWQ1N2IwYmJhMWEifQ=="/>
  </w:docVars>
  <w:rsids>
    <w:rsidRoot w:val="00172A27"/>
    <w:rsid w:val="019D115B"/>
    <w:rsid w:val="03F94827"/>
    <w:rsid w:val="085A6E72"/>
    <w:rsid w:val="08EF15EA"/>
    <w:rsid w:val="08F42253"/>
    <w:rsid w:val="0BCA3494"/>
    <w:rsid w:val="0D8A40B9"/>
    <w:rsid w:val="10BF4D76"/>
    <w:rsid w:val="16805CE6"/>
    <w:rsid w:val="18F2402A"/>
    <w:rsid w:val="199018FA"/>
    <w:rsid w:val="1C3F71D2"/>
    <w:rsid w:val="1F6A2B6C"/>
    <w:rsid w:val="27497439"/>
    <w:rsid w:val="2ADB3660"/>
    <w:rsid w:val="2BC2163A"/>
    <w:rsid w:val="2FFA3A98"/>
    <w:rsid w:val="3002294D"/>
    <w:rsid w:val="325C47ED"/>
    <w:rsid w:val="333568EF"/>
    <w:rsid w:val="378320A3"/>
    <w:rsid w:val="37F444AB"/>
    <w:rsid w:val="385814BF"/>
    <w:rsid w:val="39E60BE9"/>
    <w:rsid w:val="39F17F48"/>
    <w:rsid w:val="39F5707E"/>
    <w:rsid w:val="41614FF9"/>
    <w:rsid w:val="4B4768B8"/>
    <w:rsid w:val="4C6837C2"/>
    <w:rsid w:val="4C7A0505"/>
    <w:rsid w:val="4EB175C0"/>
    <w:rsid w:val="53281E1B"/>
    <w:rsid w:val="540017E8"/>
    <w:rsid w:val="55621614"/>
    <w:rsid w:val="567315FF"/>
    <w:rsid w:val="56FB1D20"/>
    <w:rsid w:val="58A76131"/>
    <w:rsid w:val="595A1D41"/>
    <w:rsid w:val="5B2829B8"/>
    <w:rsid w:val="6E755ABD"/>
    <w:rsid w:val="73CE5A0F"/>
    <w:rsid w:val="74085625"/>
    <w:rsid w:val="75A849CA"/>
    <w:rsid w:val="7A28432B"/>
    <w:rsid w:val="7C4B60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4">
    <w:name w:val="heading 1"/>
    <w:basedOn w:val="1"/>
    <w:link w:val="18"/>
    <w:unhideWhenUsed/>
    <w:qFormat/>
    <w:uiPriority w:val="99"/>
    <w:pPr>
      <w:outlineLvl w:val="0"/>
    </w:pPr>
    <w:rPr>
      <w:rFonts w:hint="eastAsia"/>
      <w:sz w:val="24"/>
      <w:szCs w:val="24"/>
    </w:rPr>
  </w:style>
  <w:style w:type="paragraph" w:styleId="5">
    <w:name w:val="heading 2"/>
    <w:basedOn w:val="1"/>
    <w:link w:val="19"/>
    <w:unhideWhenUsed/>
    <w:qFormat/>
    <w:uiPriority w:val="99"/>
    <w:pPr>
      <w:outlineLvl w:val="1"/>
    </w:pPr>
    <w:rPr>
      <w:rFonts w:hint="eastAsia"/>
      <w:sz w:val="24"/>
      <w:szCs w:val="24"/>
    </w:rPr>
  </w:style>
  <w:style w:type="character" w:default="1" w:styleId="15">
    <w:name w:val="Default Paragraph Font"/>
    <w:unhideWhenUsed/>
    <w:qFormat/>
    <w:uiPriority w:val="99"/>
    <w:rPr>
      <w:rFonts w:hint="default"/>
      <w:sz w:val="24"/>
      <w:szCs w:val="24"/>
    </w:rPr>
  </w:style>
  <w:style w:type="table" w:default="1" w:styleId="14">
    <w:name w:val="Normal Table"/>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hint="eastAsia"/>
      <w:sz w:val="24"/>
      <w:szCs w:val="32"/>
    </w:rPr>
  </w:style>
  <w:style w:type="paragraph" w:styleId="3">
    <w:name w:val="Body Text Indent"/>
    <w:basedOn w:val="1"/>
    <w:unhideWhenUsed/>
    <w:qFormat/>
    <w:uiPriority w:val="0"/>
    <w:pPr>
      <w:spacing w:after="120"/>
      <w:ind w:leftChars="200"/>
    </w:pPr>
    <w:rPr>
      <w:rFonts w:hint="eastAsia" w:ascii="仿宋_GB2312"/>
      <w:sz w:val="24"/>
      <w:szCs w:val="32"/>
    </w:rPr>
  </w:style>
  <w:style w:type="paragraph" w:styleId="6">
    <w:name w:val="annotation text"/>
    <w:basedOn w:val="1"/>
    <w:qFormat/>
    <w:uiPriority w:val="99"/>
    <w:pPr>
      <w:jc w:val="left"/>
    </w:pPr>
  </w:style>
  <w:style w:type="paragraph" w:styleId="7">
    <w:name w:val="Body Text"/>
    <w:basedOn w:val="1"/>
    <w:link w:val="21"/>
    <w:unhideWhenUsed/>
    <w:qFormat/>
    <w:uiPriority w:val="99"/>
    <w:pPr>
      <w:spacing w:beforeLines="30"/>
    </w:pPr>
    <w:rPr>
      <w:rFonts w:hint="eastAsia" w:ascii="仿宋_GB2312" w:eastAsia="仿宋_GB2312"/>
      <w:sz w:val="30"/>
      <w:szCs w:val="24"/>
    </w:rPr>
  </w:style>
  <w:style w:type="paragraph" w:styleId="8">
    <w:name w:val="footer"/>
    <w:basedOn w:val="1"/>
    <w:link w:val="17"/>
    <w:unhideWhenUsed/>
    <w:qFormat/>
    <w:uiPriority w:val="99"/>
    <w:pPr>
      <w:tabs>
        <w:tab w:val="center" w:pos="4153"/>
        <w:tab w:val="right" w:pos="8306"/>
      </w:tabs>
      <w:snapToGrid w:val="0"/>
    </w:pPr>
    <w:rPr>
      <w:rFonts w:hint="eastAsia"/>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rFonts w:hint="eastAsia"/>
      <w:sz w:val="18"/>
      <w:szCs w:val="18"/>
    </w:rPr>
  </w:style>
  <w:style w:type="paragraph" w:styleId="10">
    <w:name w:val="toc 1"/>
    <w:basedOn w:val="1"/>
    <w:next w:val="1"/>
    <w:qFormat/>
    <w:uiPriority w:val="99"/>
  </w:style>
  <w:style w:type="paragraph" w:styleId="11">
    <w:name w:val="footnote text"/>
    <w:basedOn w:val="1"/>
    <w:next w:val="2"/>
    <w:unhideWhenUsed/>
    <w:qFormat/>
    <w:uiPriority w:val="0"/>
    <w:pPr>
      <w:snapToGrid w:val="0"/>
    </w:pPr>
    <w:rPr>
      <w:rFonts w:hint="eastAsia"/>
      <w:sz w:val="18"/>
      <w:szCs w:val="18"/>
    </w:rPr>
  </w:style>
  <w:style w:type="paragraph" w:styleId="12">
    <w:name w:val="toc 2"/>
    <w:basedOn w:val="1"/>
    <w:next w:val="1"/>
    <w:qFormat/>
    <w:uiPriority w:val="99"/>
    <w:pPr>
      <w:ind w:left="420" w:leftChars="200"/>
    </w:pPr>
  </w:style>
  <w:style w:type="paragraph" w:styleId="13">
    <w:name w:val="Normal (Web)"/>
    <w:basedOn w:val="1"/>
    <w:unhideWhenUsed/>
    <w:qFormat/>
    <w:uiPriority w:val="0"/>
    <w:pPr>
      <w:spacing w:before="100" w:beforeAutospacing="1" w:after="100" w:afterAutospacing="1"/>
    </w:pPr>
    <w:rPr>
      <w:rFonts w:hint="eastAsia"/>
      <w:sz w:val="24"/>
      <w:szCs w:val="24"/>
    </w:rPr>
  </w:style>
  <w:style w:type="paragraph" w:customStyle="1" w:styleId="16">
    <w:name w:val="Default"/>
    <w:link w:val="23"/>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7">
    <w:name w:val="页脚 Char"/>
    <w:basedOn w:val="15"/>
    <w:link w:val="8"/>
    <w:unhideWhenUsed/>
    <w:qFormat/>
    <w:locked/>
    <w:uiPriority w:val="99"/>
    <w:rPr>
      <w:rFonts w:hint="default" w:cs="Times New Roman"/>
      <w:sz w:val="18"/>
      <w:szCs w:val="18"/>
    </w:rPr>
  </w:style>
  <w:style w:type="character" w:customStyle="1" w:styleId="18">
    <w:name w:val="标题 1 Char"/>
    <w:basedOn w:val="15"/>
    <w:link w:val="4"/>
    <w:unhideWhenUsed/>
    <w:qFormat/>
    <w:locked/>
    <w:uiPriority w:val="9"/>
    <w:rPr>
      <w:rFonts w:hint="default" w:cs="Times New Roman"/>
      <w:b/>
      <w:kern w:val="44"/>
      <w:sz w:val="44"/>
      <w:szCs w:val="44"/>
    </w:rPr>
  </w:style>
  <w:style w:type="character" w:customStyle="1" w:styleId="19">
    <w:name w:val="标题 2 Char"/>
    <w:basedOn w:val="15"/>
    <w:link w:val="5"/>
    <w:unhideWhenUsed/>
    <w:qFormat/>
    <w:locked/>
    <w:uiPriority w:val="9"/>
    <w:rPr>
      <w:rFonts w:hint="eastAsia" w:ascii="Cambria" w:hAnsi="Cambria" w:eastAsia="宋体" w:cs="Times New Roman"/>
      <w:b/>
      <w:sz w:val="32"/>
      <w:szCs w:val="32"/>
    </w:rPr>
  </w:style>
  <w:style w:type="character" w:customStyle="1" w:styleId="20">
    <w:name w:val="页眉 Char"/>
    <w:basedOn w:val="15"/>
    <w:link w:val="9"/>
    <w:unhideWhenUsed/>
    <w:qFormat/>
    <w:locked/>
    <w:uiPriority w:val="99"/>
    <w:rPr>
      <w:rFonts w:hint="default" w:cs="Times New Roman"/>
      <w:sz w:val="18"/>
      <w:szCs w:val="18"/>
    </w:rPr>
  </w:style>
  <w:style w:type="character" w:customStyle="1" w:styleId="21">
    <w:name w:val="正文文本 Char"/>
    <w:basedOn w:val="15"/>
    <w:link w:val="7"/>
    <w:unhideWhenUsed/>
    <w:qFormat/>
    <w:locked/>
    <w:uiPriority w:val="99"/>
    <w:rPr>
      <w:rFonts w:hint="default" w:cs="Times New Roman"/>
      <w:sz w:val="24"/>
      <w:szCs w:val="24"/>
    </w:rPr>
  </w:style>
  <w:style w:type="paragraph" w:styleId="22">
    <w:name w:val="List Paragraph"/>
    <w:basedOn w:val="1"/>
    <w:unhideWhenUsed/>
    <w:qFormat/>
    <w:uiPriority w:val="99"/>
    <w:pPr>
      <w:tabs>
        <w:tab w:val="left" w:pos="1890"/>
      </w:tabs>
      <w:ind w:firstLine="420"/>
    </w:pPr>
  </w:style>
  <w:style w:type="character" w:customStyle="1" w:styleId="23">
    <w:name w:val="Default Char"/>
    <w:link w:val="16"/>
    <w:qFormat/>
    <w:uiPriority w:val="99"/>
    <w:rPr>
      <w:rFonts w:hint="eastAsia" w:ascii="仿宋" w:hAnsi="Calibri" w:eastAsia="仿宋" w:cs="仿宋"/>
      <w:color w:val="000000"/>
      <w:sz w:val="24"/>
      <w:szCs w:val="24"/>
      <w:lang w:val="en-US" w:eastAsia="zh-CN" w:bidi="ar-SA"/>
    </w:rPr>
  </w:style>
  <w:style w:type="character" w:customStyle="1" w:styleId="24">
    <w:name w:val="font41"/>
    <w:basedOn w:val="15"/>
    <w:qFormat/>
    <w:uiPriority w:val="0"/>
    <w:rPr>
      <w:rFonts w:hint="eastAsia" w:ascii="宋体" w:hAnsi="宋体" w:eastAsia="宋体" w:cs="宋体"/>
      <w:color w:val="000000"/>
      <w:sz w:val="18"/>
      <w:szCs w:val="18"/>
      <w:u w:val="none"/>
    </w:rPr>
  </w:style>
  <w:style w:type="character" w:customStyle="1" w:styleId="25">
    <w:name w:val="font61"/>
    <w:basedOn w:val="15"/>
    <w:qFormat/>
    <w:uiPriority w:val="0"/>
    <w:rPr>
      <w:rFonts w:hint="eastAsia" w:ascii="微软雅黑" w:hAnsi="微软雅黑" w:eastAsia="微软雅黑" w:cs="微软雅黑"/>
      <w:color w:val="000000"/>
      <w:sz w:val="18"/>
      <w:szCs w:val="18"/>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 w:type="character" w:customStyle="1" w:styleId="27">
    <w:name w:val="font71"/>
    <w:basedOn w:val="15"/>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a:t>
                    </a:r>
                    <a:r>
                      <a:rPr lang="en-US" altLang="zh-CN"/>
                      <a:t>6.63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a:t>
                    </a:r>
                    <a:r>
                      <a:rPr lang="en-US" altLang="zh-CN"/>
                      <a:t>6.63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Sheet1!$B$2:$B$3</c:f>
              <c:numCache>
                <c:formatCode>General</c:formatCode>
                <c:ptCount val="2"/>
                <c:pt idx="0">
                  <c:v>106.63</c:v>
                </c:pt>
                <c:pt idx="1">
                  <c:v>106.63</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a:t>
                    </a:r>
                    <a:r>
                      <a:rPr lang="en-US" altLang="zh-CN"/>
                      <a:t>9.95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a:t>
                    </a:r>
                    <a:r>
                      <a:rPr lang="en-US" altLang="zh-CN"/>
                      <a:t>9.95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Sheet1!$C$2:$C$3</c:f>
              <c:numCache>
                <c:formatCode>General</c:formatCode>
                <c:ptCount val="2"/>
                <c:pt idx="0">
                  <c:v>109.95</c:v>
                </c:pt>
                <c:pt idx="1">
                  <c:v>109.95</c:v>
                </c:pt>
              </c:numCache>
            </c:numRef>
          </c:val>
        </c:ser>
        <c:dLbls>
          <c:showLegendKey val="0"/>
          <c:showVal val="1"/>
          <c:showCatName val="0"/>
          <c:showSerName val="0"/>
          <c:showPercent val="0"/>
          <c:showBubbleSize val="0"/>
        </c:dLbls>
        <c:gapWidth val="260"/>
        <c:overlap val="-32"/>
        <c:axId val="563679596"/>
        <c:axId val="765700970"/>
      </c:barChart>
      <c:catAx>
        <c:axId val="5636795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5700970"/>
        <c:crosses val="autoZero"/>
        <c:auto val="1"/>
        <c:lblAlgn val="ctr"/>
        <c:lblOffset val="100"/>
        <c:noMultiLvlLbl val="0"/>
      </c:catAx>
      <c:valAx>
        <c:axId val="76570097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67959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b87f48c-89e7-4316-8637-4757ecdb9c4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106.63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d659992-d5ca-4c4d-8fdf-a55fd515db5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323215052421535"/>
          <c:y val="0.296034472350775"/>
          <c:w val="0.394781348151727"/>
          <c:h val="0.69443263918402"/>
        </c:manualLayout>
      </c:layout>
      <c:pieChart>
        <c:varyColors val="1"/>
        <c:ser>
          <c:idx val="0"/>
          <c:order val="0"/>
          <c:tx>
            <c:strRef>
              <c:f>Sheet1!$B$1</c:f>
              <c:strCache>
                <c:ptCount val="1"/>
                <c:pt idx="0">
                  <c:v>2024年支出（万元）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72.63</c:v>
                </c:pt>
                <c:pt idx="1">
                  <c:v>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1a0024a-0002-4461-ac50-d666e83aaa7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33727953611984"/>
          <c:y val="0.298980025499363"/>
          <c:w val="0.908359507127325"/>
          <c:h val="0.63905652358691"/>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Sheet1!$B$2:$B$3</c:f>
              <c:numCache>
                <c:formatCode>General</c:formatCode>
                <c:ptCount val="2"/>
                <c:pt idx="0">
                  <c:v>109.95</c:v>
                </c:pt>
                <c:pt idx="1">
                  <c:v>109.95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Sheet1!$C$2:$C$3</c:f>
              <c:numCache>
                <c:formatCode>General</c:formatCode>
                <c:ptCount val="2"/>
                <c:pt idx="0">
                  <c:v>106.63</c:v>
                </c:pt>
                <c:pt idx="1">
                  <c:v>106.63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Sheet1!$D$2:$D$3</c:f>
              <c:numCache>
                <c:formatCode>General</c:formatCode>
                <c:ptCount val="2"/>
              </c:numCache>
            </c:numRef>
          </c:val>
        </c:ser>
        <c:dLbls>
          <c:showLegendKey val="0"/>
          <c:showVal val="1"/>
          <c:showCatName val="0"/>
          <c:showSerName val="0"/>
          <c:showPercent val="0"/>
          <c:showBubbleSize val="0"/>
        </c:dLbls>
        <c:gapWidth val="260"/>
        <c:overlap val="-32"/>
        <c:axId val="315534592"/>
        <c:axId val="377524657"/>
      </c:barChart>
      <c:catAx>
        <c:axId val="3155345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7524657"/>
        <c:crosses val="autoZero"/>
        <c:auto val="1"/>
        <c:lblAlgn val="ctr"/>
        <c:lblOffset val="100"/>
        <c:noMultiLvlLbl val="0"/>
      </c:catAx>
      <c:valAx>
        <c:axId val="377524657"/>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5534592"/>
        <c:crosses val="autoZero"/>
        <c:crossBetween val="between"/>
      </c:valAx>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86c7da-f086-4430-ba09-447312fa1f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62279446828803"/>
          <c:y val="0.245614035087719"/>
          <c:w val="0.970195517405818"/>
          <c:h val="0.653488372093023"/>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109.95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106.63</c:v>
                </c:pt>
              </c:numCache>
            </c:numRef>
          </c:val>
        </c:ser>
        <c:dLbls>
          <c:showLegendKey val="0"/>
          <c:showVal val="1"/>
          <c:showCatName val="0"/>
          <c:showSerName val="0"/>
          <c:showPercent val="0"/>
          <c:showBubbleSize val="0"/>
        </c:dLbls>
        <c:gapWidth val="260"/>
        <c:overlap val="-32"/>
        <c:axId val="360710054"/>
        <c:axId val="576293202"/>
      </c:barChart>
      <c:catAx>
        <c:axId val="360710054"/>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293202"/>
        <c:crosses val="autoZero"/>
        <c:auto val="1"/>
        <c:lblAlgn val="ctr"/>
        <c:lblOffset val="100"/>
        <c:noMultiLvlLbl val="0"/>
      </c:catAx>
      <c:valAx>
        <c:axId val="576293202"/>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071005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de36d01-ad00-4db2-9075-d5968f74e6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220973206036341"/>
                      <c:h val="0.155479619233586"/>
                    </c:manualLayout>
                  </c15:layout>
                </c:ext>
              </c:extLst>
            </c:dLbl>
            <c:dLbl>
              <c:idx val="1"/>
              <c:layout>
                <c:manualLayout>
                  <c:x val="-0.00615953187557746"/>
                  <c:y val="0.04881620698071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0831536803202957"/>
                  <c:y val="0.08469611911154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0959347089621189"/>
                      <c:h val="0.205516231388821"/>
                    </c:manualLayout>
                  </c15:layout>
                </c:ext>
              </c:extLst>
            </c:dLbl>
            <c:dLbl>
              <c:idx val="3"/>
              <c:layout>
                <c:manualLayout>
                  <c:x val="0.0717585463504773"/>
                  <c:y val="0.055162313888210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21804742839544"/>
                      <c:h val="0.195997071027581"/>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89.59</c:v>
                </c:pt>
                <c:pt idx="1">
                  <c:v>10.24</c:v>
                </c:pt>
                <c:pt idx="2">
                  <c:v>2.15</c:v>
                </c:pt>
                <c:pt idx="3">
                  <c:v>4.65</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d63738e-6abf-4695-abe0-a9c2c223fe9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c:v>
                </c:pt>
              </c:strCache>
            </c:strRef>
          </c:cat>
          <c:val>
            <c:numRef>
              <c:f>Sheet1!$B$2:$B$5</c:f>
              <c:numCache>
                <c:formatCode>General</c:formatCode>
                <c:ptCount val="4"/>
                <c:pt idx="0">
                  <c:v>0</c:v>
                </c:pt>
                <c:pt idx="1">
                  <c:v>0</c:v>
                </c:pt>
                <c:pt idx="2">
                  <c:v>0.3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0e3748-25e6-4e04-919c-03a736120cf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3458</Words>
  <Characters>3813</Characters>
  <TotalTime>2</TotalTime>
  <ScaleCrop>false</ScaleCrop>
  <LinksUpToDate>false</LinksUpToDate>
  <CharactersWithSpaces>3860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2024-09-12T08:27:00Z</dcterms:created>
  <dc:creator>Administrator</dc:creator>
  <cp:lastModifiedBy>今天很开心</cp:lastModifiedBy>
  <cp:lastPrinted>2024-09-19T03:29:00Z</cp:lastPrinted>
  <dcterms:modified xsi:type="dcterms:W3CDTF">2025-09-18T01:17:57Z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E7B9E90DE8DC474AB2255E81438D930A_13</vt:lpwstr>
  </property>
  <property fmtid="{D5CDD505-2E9C-101B-9397-08002B2CF9AE}" pid="4" name="KSOTemplateDocerSaveRecord">
    <vt:lpwstr>eyJoZGlkIjoiOTdmMDA1YjlkOTNjM2JkZWJjMTYxZWM5NGI4ODM1NTIiLCJ1c2VySWQiOiI2NTE0OTQ1OTEifQ==</vt:lpwstr>
  </property>
</Properties>
</file>