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036B2">
      <w:pPr>
        <w:keepNext w:val="0"/>
        <w:keepLines w:val="0"/>
        <w:pageBreakBefore w:val="0"/>
        <w:widowControl w:val="0"/>
        <w:kinsoku/>
        <w:wordWrap/>
        <w:overflowPunct w:val="0"/>
        <w:topLinePunct/>
        <w:autoSpaceDE w:val="0"/>
        <w:autoSpaceDN w:val="0"/>
        <w:bidi w:val="0"/>
        <w:spacing w:beforeLines="0" w:afterLines="0" w:line="600" w:lineRule="exact"/>
        <w:textAlignment w:val="auto"/>
        <w:rPr>
          <w:rFonts w:hint="eastAsia" w:ascii="方正小标宋简体" w:hAnsi="方正小标宋简体" w:eastAsia="方正小标宋简体"/>
          <w:color w:val="FF0000"/>
          <w:kern w:val="2"/>
          <w:sz w:val="30"/>
          <w:szCs w:val="24"/>
          <w:lang w:val="zh-CN"/>
        </w:rPr>
      </w:pPr>
      <w:bookmarkStart w:id="0" w:name="_Toc15396475"/>
      <w:bookmarkStart w:id="1" w:name="_Toc15378441"/>
      <w:bookmarkStart w:id="2" w:name="_Toc15377425"/>
      <w:bookmarkStart w:id="3" w:name="_Toc15306267"/>
      <w:bookmarkStart w:id="4" w:name="_Toc15377193"/>
      <w:bookmarkStart w:id="5" w:name="_Toc15396597"/>
      <w:bookmarkStart w:id="62" w:name="_GoBack"/>
      <w:bookmarkEnd w:id="62"/>
    </w:p>
    <w:p w14:paraId="616FE6A5">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7DD3D896">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3F4C52C7">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0390BC16">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方正小标宋简体" w:hAnsi="方正小标宋简体" w:eastAsia="方正小标宋简体" w:cs="方正小标宋简体"/>
          <w:color w:val="000000"/>
          <w:kern w:val="2"/>
          <w:sz w:val="52"/>
          <w:szCs w:val="21"/>
          <w:lang w:val="zh-CN"/>
        </w:rPr>
      </w:pPr>
      <w:r>
        <w:rPr>
          <w:rFonts w:hint="eastAsia" w:ascii="方正小标宋简体" w:hAnsi="方正小标宋简体" w:eastAsia="方正小标宋简体" w:cs="方正小标宋简体"/>
          <w:color w:val="000000"/>
          <w:kern w:val="2"/>
          <w:sz w:val="52"/>
          <w:szCs w:val="21"/>
          <w:lang w:val="zh-CN"/>
        </w:rPr>
        <w:t>202</w:t>
      </w:r>
      <w:r>
        <w:rPr>
          <w:rFonts w:hint="eastAsia" w:ascii="方正小标宋简体" w:hAnsi="方正小标宋简体" w:eastAsia="方正小标宋简体" w:cs="方正小标宋简体"/>
          <w:color w:val="000000"/>
          <w:kern w:val="2"/>
          <w:sz w:val="52"/>
          <w:szCs w:val="21"/>
          <w:lang w:val="en-US" w:eastAsia="zh-CN"/>
        </w:rPr>
        <w:t>4</w:t>
      </w:r>
      <w:r>
        <w:rPr>
          <w:rFonts w:hint="eastAsia" w:ascii="方正小标宋简体" w:hAnsi="方正小标宋简体" w:eastAsia="方正小标宋简体" w:cs="方正小标宋简体"/>
          <w:color w:val="000000"/>
          <w:kern w:val="2"/>
          <w:sz w:val="52"/>
          <w:szCs w:val="21"/>
          <w:lang w:val="zh-CN"/>
        </w:rPr>
        <w:t>年度</w:t>
      </w:r>
      <w:r>
        <w:rPr>
          <w:rFonts w:hint="eastAsia" w:ascii="方正小标宋简体" w:hAnsi="方正小标宋简体" w:eastAsia="方正小标宋简体" w:cs="方正小标宋简体"/>
          <w:color w:val="000000"/>
          <w:kern w:val="2"/>
          <w:sz w:val="52"/>
          <w:szCs w:val="21"/>
          <w:lang w:val="en-US" w:eastAsia="zh-CN"/>
        </w:rPr>
        <w:t>广元市昭化区工商业联合会</w:t>
      </w:r>
      <w:r>
        <w:rPr>
          <w:rFonts w:hint="eastAsia" w:ascii="方正小标宋简体" w:hAnsi="方正小标宋简体" w:eastAsia="方正小标宋简体" w:cs="方正小标宋简体"/>
          <w:color w:val="000000"/>
          <w:kern w:val="2"/>
          <w:sz w:val="52"/>
          <w:szCs w:val="21"/>
          <w:lang w:val="zh-CN"/>
        </w:rPr>
        <w:t>部门决算</w:t>
      </w:r>
    </w:p>
    <w:p w14:paraId="4B7ACDF1">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黑体" w:hAnsi="黑体" w:eastAsia="黑体"/>
          <w:color w:val="000000"/>
          <w:kern w:val="2"/>
          <w:sz w:val="72"/>
          <w:szCs w:val="24"/>
          <w:lang w:val="zh-CN"/>
        </w:rPr>
      </w:pPr>
    </w:p>
    <w:p w14:paraId="1E5BC39C">
      <w:pPr>
        <w:keepNext w:val="0"/>
        <w:keepLines w:val="0"/>
        <w:pageBreakBefore w:val="0"/>
        <w:widowControl w:val="0"/>
        <w:kinsoku/>
        <w:wordWrap/>
        <w:overflowPunct w:val="0"/>
        <w:topLinePunct/>
        <w:autoSpaceDE w:val="0"/>
        <w:autoSpaceDN w:val="0"/>
        <w:bidi w:val="0"/>
        <w:spacing w:line="600" w:lineRule="exact"/>
        <w:jc w:val="center"/>
        <w:textAlignment w:val="auto"/>
        <w:outlineLvl w:val="0"/>
        <w:rPr>
          <w:rFonts w:ascii="Times New Roman" w:hAnsi="Times New Roman" w:eastAsia="方正小标宋简体"/>
          <w:color w:val="auto"/>
          <w:sz w:val="72"/>
          <w:szCs w:val="72"/>
          <w:highlight w:val="none"/>
        </w:rPr>
      </w:pPr>
    </w:p>
    <w:p w14:paraId="0BDE6EBE">
      <w:pPr>
        <w:pStyle w:val="23"/>
        <w:keepNext w:val="0"/>
        <w:keepLines w:val="0"/>
        <w:pageBreakBefore w:val="0"/>
        <w:widowControl w:val="0"/>
        <w:kinsoku/>
        <w:wordWrap/>
        <w:overflowPunct w:val="0"/>
        <w:topLinePunct/>
        <w:autoSpaceDE w:val="0"/>
        <w:autoSpaceDN w:val="0"/>
        <w:bidi w:val="0"/>
        <w:textAlignment w:val="auto"/>
        <w:rPr>
          <w:rFonts w:ascii="Times New Roman" w:hAnsi="Times New Roman"/>
        </w:rPr>
        <w:sectPr>
          <w:headerReference r:id="rId3" w:type="default"/>
          <w:footerReference r:id="rId4" w:type="default"/>
          <w:pgSz w:w="11906" w:h="16838"/>
          <w:pgMar w:top="2098" w:right="1474" w:bottom="1984" w:left="1587" w:header="851" w:footer="1304" w:gutter="0"/>
          <w:pgNumType w:fmt="decimal" w:start="1"/>
          <w:cols w:space="0" w:num="1"/>
          <w:titlePg/>
          <w:rtlGutter w:val="0"/>
          <w:docGrid w:type="lines" w:linePitch="312" w:charSpace="0"/>
        </w:sectPr>
      </w:pPr>
    </w:p>
    <w:bookmarkEnd w:id="0"/>
    <w:bookmarkEnd w:id="1"/>
    <w:bookmarkEnd w:id="2"/>
    <w:bookmarkEnd w:id="3"/>
    <w:bookmarkEnd w:id="4"/>
    <w:bookmarkEnd w:id="5"/>
    <w:p w14:paraId="61F0B90C">
      <w:pPr>
        <w:keepNext w:val="0"/>
        <w:keepLines w:val="0"/>
        <w:pageBreakBefore w:val="0"/>
        <w:widowControl w:val="0"/>
        <w:kinsoku/>
        <w:wordWrap/>
        <w:overflowPunct w:val="0"/>
        <w:topLinePunct/>
        <w:autoSpaceDE w:val="0"/>
        <w:autoSpaceDN w:val="0"/>
        <w:bidi w:val="0"/>
        <w:jc w:val="center"/>
        <w:textAlignment w:val="auto"/>
        <w:outlineLvl w:val="2"/>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14:paraId="254AF166">
      <w:pPr>
        <w:pStyle w:val="15"/>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eastAsia" w:ascii="Times New Roman" w:hAnsi="Times New Roman" w:eastAsia="仿宋_GB2312" w:cs="黑体"/>
          <w:color w:val="auto"/>
          <w:sz w:val="32"/>
          <w:szCs w:val="32"/>
          <w:highlight w:val="none"/>
          <w:lang w:val="en-US" w:eastAsia="zh-CN"/>
        </w:rPr>
      </w:pPr>
      <w:bookmarkStart w:id="6" w:name="_Toc15377196"/>
      <w:bookmarkStart w:id="7" w:name="_Toc15396599"/>
      <w:r>
        <w:rPr>
          <w:rFonts w:hint="eastAsia" w:ascii="Times New Roman" w:hAnsi="Times New Roman" w:eastAsia="黑体" w:cs="黑体"/>
          <w:color w:val="auto"/>
          <w:sz w:val="32"/>
          <w:szCs w:val="32"/>
          <w:highlight w:val="none"/>
        </w:rPr>
        <w:t>第一部分 部门概况</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w:t>
      </w:r>
    </w:p>
    <w:p w14:paraId="49FE42F9">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w:t>
      </w:r>
    </w:p>
    <w:p w14:paraId="4BF40278">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7</w:t>
      </w:r>
    </w:p>
    <w:p w14:paraId="70683777">
      <w:pPr>
        <w:pStyle w:val="15"/>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eastAsia"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w:t>
      </w:r>
    </w:p>
    <w:p w14:paraId="41259CED">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w:t>
      </w:r>
    </w:p>
    <w:p w14:paraId="691E1249">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8</w:t>
      </w:r>
    </w:p>
    <w:p w14:paraId="64A977FE">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w:t>
      </w:r>
    </w:p>
    <w:p w14:paraId="789F405D">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10</w:t>
      </w:r>
    </w:p>
    <w:p w14:paraId="515F797D">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10</w:t>
      </w:r>
    </w:p>
    <w:p w14:paraId="6FAE9A13">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13</w:t>
      </w:r>
    </w:p>
    <w:p w14:paraId="25E3A59B">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13</w:t>
      </w:r>
    </w:p>
    <w:p w14:paraId="11F3B5E4">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15</w:t>
      </w:r>
    </w:p>
    <w:p w14:paraId="750E8AAE">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15</w:t>
      </w:r>
    </w:p>
    <w:p w14:paraId="72FD4DAB">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15</w:t>
      </w:r>
    </w:p>
    <w:p w14:paraId="3805CAF5">
      <w:pPr>
        <w:pStyle w:val="15"/>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18</w:t>
      </w:r>
    </w:p>
    <w:p w14:paraId="0035495E">
      <w:pPr>
        <w:pStyle w:val="15"/>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21</w:t>
      </w:r>
    </w:p>
    <w:p w14:paraId="3631F3B8">
      <w:pPr>
        <w:pStyle w:val="15"/>
        <w:keepNext w:val="0"/>
        <w:keepLines w:val="0"/>
        <w:pageBreakBefore w:val="0"/>
        <w:widowControl w:val="0"/>
        <w:kinsoku/>
        <w:wordWrap/>
        <w:overflowPunct w:val="0"/>
        <w:topLinePunct/>
        <w:autoSpaceDE w:val="0"/>
        <w:autoSpaceDN w:val="0"/>
        <w:bidi w:val="0"/>
        <w:adjustRightInd w:val="0"/>
        <w:snapToGrid w:val="0"/>
        <w:spacing w:before="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12BA228B">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42757D18">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78A6015B">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535E9B35">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5BFE6F2D">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03940BD8">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5DCFB2E5">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292F3271">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34148D9A">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2996476C">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6FA10419">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7F4D91AE">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40105B0B">
      <w:pPr>
        <w:pStyle w:val="18"/>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2EEEE9BC">
      <w:pPr>
        <w:keepNext w:val="0"/>
        <w:keepLines w:val="0"/>
        <w:pageBreakBefore w:val="0"/>
        <w:widowControl w:val="0"/>
        <w:kinsoku/>
        <w:wordWrap/>
        <w:overflowPunct w:val="0"/>
        <w:topLinePunct/>
        <w:autoSpaceDE w:val="0"/>
        <w:autoSpaceDN w:val="0"/>
        <w:bidi w:val="0"/>
        <w:spacing w:line="560" w:lineRule="exact"/>
        <w:jc w:val="left"/>
        <w:textAlignment w:val="auto"/>
        <w:rPr>
          <w:rFonts w:hint="eastAsia" w:ascii="Times New Roman" w:hAnsi="Times New Roman" w:eastAsia="仿宋_GB2312" w:cs="仿宋_GB2312"/>
          <w:b/>
          <w:color w:val="auto"/>
          <w:sz w:val="32"/>
          <w:szCs w:val="32"/>
          <w:highlight w:val="none"/>
        </w:rPr>
        <w:sectPr>
          <w:footerReference r:id="rId6" w:type="first"/>
          <w:footerReference r:id="rId5" w:type="default"/>
          <w:pgSz w:w="11906" w:h="16838"/>
          <w:pgMar w:top="2098" w:right="1474" w:bottom="1984" w:left="1587" w:header="851" w:footer="1304" w:gutter="0"/>
          <w:pgNumType w:fmt="decimal" w:start="1"/>
          <w:cols w:space="0" w:num="1"/>
          <w:rtlGutter w:val="0"/>
          <w:docGrid w:type="lines" w:linePitch="312" w:charSpace="0"/>
        </w:sectPr>
      </w:pPr>
      <w:r>
        <w:rPr>
          <w:rFonts w:hint="eastAsia" w:ascii="Times New Roman" w:hAnsi="Times New Roman" w:eastAsia="仿宋_GB2312" w:cs="仿宋_GB2312"/>
          <w:b/>
          <w:color w:val="auto"/>
          <w:sz w:val="32"/>
          <w:szCs w:val="32"/>
          <w:highlight w:val="none"/>
        </w:rPr>
        <w:br w:type="page"/>
      </w:r>
    </w:p>
    <w:p w14:paraId="37F2114D">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第一部分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部门概况</w:t>
      </w:r>
      <w:bookmarkEnd w:id="6"/>
      <w:bookmarkEnd w:id="7"/>
    </w:p>
    <w:p w14:paraId="5BD36952">
      <w:pPr>
        <w:keepNext w:val="0"/>
        <w:keepLines w:val="0"/>
        <w:pageBreakBefore w:val="0"/>
        <w:widowControl w:val="0"/>
        <w:kinsoku/>
        <w:wordWrap/>
        <w:overflowPunct w:val="0"/>
        <w:topLinePunct/>
        <w:autoSpaceDE w:val="0"/>
        <w:autoSpaceDN w:val="0"/>
        <w:bidi w:val="0"/>
        <w:textAlignment w:val="auto"/>
        <w:rPr>
          <w:rFonts w:hint="eastAsia"/>
        </w:rPr>
      </w:pPr>
    </w:p>
    <w:p w14:paraId="1B537537">
      <w:pPr>
        <w:keepNext w:val="0"/>
        <w:keepLines w:val="0"/>
        <w:pageBreakBefore w:val="0"/>
        <w:widowControl w:val="0"/>
        <w:numPr>
          <w:ilvl w:val="0"/>
          <w:numId w:val="1"/>
        </w:numPr>
        <w:kinsoku/>
        <w:wordWrap/>
        <w:overflowPunct w:val="0"/>
        <w:topLinePunct/>
        <w:autoSpaceDE w:val="0"/>
        <w:autoSpaceDN w:val="0"/>
        <w:bidi w:val="0"/>
        <w:adjustRightInd/>
        <w:snapToGrid/>
        <w:spacing w:before="0" w:after="0" w:line="576" w:lineRule="exact"/>
        <w:ind w:firstLine="640" w:firstLineChars="200"/>
        <w:textAlignment w:val="auto"/>
        <w:outlineLvl w:val="9"/>
        <w:rPr>
          <w:rFonts w:hint="eastAsia" w:ascii="Times New Roman" w:hAnsi="Times New Roman" w:eastAsia="黑体"/>
          <w:b w:val="0"/>
          <w:color w:val="auto"/>
          <w:sz w:val="32"/>
          <w:szCs w:val="32"/>
          <w:highlight w:val="none"/>
          <w:lang w:eastAsia="zh-CN"/>
        </w:rPr>
      </w:pPr>
      <w:r>
        <w:rPr>
          <w:rFonts w:hint="eastAsia" w:ascii="Times New Roman" w:hAnsi="Times New Roman" w:eastAsia="黑体"/>
          <w:b w:val="0"/>
          <w:color w:val="auto"/>
          <w:sz w:val="32"/>
          <w:szCs w:val="32"/>
          <w:highlight w:val="none"/>
          <w:lang w:eastAsia="zh-CN"/>
        </w:rPr>
        <w:t>部门职责</w:t>
      </w:r>
    </w:p>
    <w:p w14:paraId="0AF38C06">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（一）主要职能。</w:t>
      </w:r>
    </w:p>
    <w:p w14:paraId="3200B1DC">
      <w:pPr>
        <w:keepNext w:val="0"/>
        <w:keepLines w:val="0"/>
        <w:pageBreakBefore w:val="0"/>
        <w:widowControl/>
        <w:kinsoku/>
        <w:wordWrap/>
        <w:bidi w:val="0"/>
        <w:adjustRightInd/>
        <w:snapToGrid/>
        <w:spacing w:line="576" w:lineRule="exact"/>
        <w:ind w:firstLine="668"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参政议政。参与我区经济、社会事务的重大决策和政治协商，发挥民主监督。做好非公有制经济代表人士的政治安排的推荐工作。对我区重大决策的制定提出建议，并协助贯彻执行。</w:t>
      </w:r>
    </w:p>
    <w:p w14:paraId="7D271183">
      <w:pPr>
        <w:keepNext w:val="0"/>
        <w:keepLines w:val="0"/>
        <w:pageBreakBefore w:val="0"/>
        <w:widowControl/>
        <w:kinsoku/>
        <w:wordWrap/>
        <w:bidi w:val="0"/>
        <w:adjustRightInd/>
        <w:snapToGrid/>
        <w:spacing w:line="576" w:lineRule="exact"/>
        <w:ind w:firstLine="668"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发扬自我教育的优良传统，宣传党和国家的方针政策，加强和改进思想政治工作。对会员进行“团结、帮助、服务、教育”提倡爱国、敬业、守法，提高会员素质，培养骨干分子队伍。</w:t>
      </w:r>
    </w:p>
    <w:p w14:paraId="3F1AAAFD">
      <w:pPr>
        <w:keepNext w:val="0"/>
        <w:keepLines w:val="0"/>
        <w:pageBreakBefore w:val="0"/>
        <w:widowControl/>
        <w:kinsoku/>
        <w:wordWrap/>
        <w:bidi w:val="0"/>
        <w:adjustRightInd/>
        <w:snapToGrid/>
        <w:spacing w:line="576" w:lineRule="exact"/>
        <w:ind w:firstLine="668"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维护会员的合法权益。反映会员的意见、要求和建议，在会员与政府之间发挥桥梁纽带作用，当好政府管理非公有制经济的助手。</w:t>
      </w:r>
    </w:p>
    <w:p w14:paraId="406D2F7D">
      <w:pPr>
        <w:keepNext w:val="0"/>
        <w:keepLines w:val="0"/>
        <w:pageBreakBefore w:val="0"/>
        <w:widowControl/>
        <w:kinsoku/>
        <w:wordWrap/>
        <w:bidi w:val="0"/>
        <w:adjustRightInd/>
        <w:snapToGrid/>
        <w:spacing w:line="576" w:lineRule="exact"/>
        <w:ind w:firstLine="668"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为会员和社会提供市场、技术、商品等信息。按照国家有关规定为会员提供管理、会计、审计、融资等咨询服务。</w:t>
      </w:r>
    </w:p>
    <w:p w14:paraId="61532763">
      <w:pPr>
        <w:keepNext w:val="0"/>
        <w:keepLines w:val="0"/>
        <w:pageBreakBefore w:val="0"/>
        <w:widowControl/>
        <w:kinsoku/>
        <w:wordWrap/>
        <w:bidi w:val="0"/>
        <w:adjustRightInd/>
        <w:snapToGrid/>
        <w:spacing w:line="576" w:lineRule="exact"/>
        <w:ind w:firstLine="668"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对会员开展专业培训。帮助会员改善经营管理，提高生产技术水平和产品质量。</w:t>
      </w:r>
    </w:p>
    <w:p w14:paraId="5A78841E">
      <w:pPr>
        <w:keepNext w:val="0"/>
        <w:keepLines w:val="0"/>
        <w:pageBreakBefore w:val="0"/>
        <w:widowControl/>
        <w:kinsoku/>
        <w:wordWrap/>
        <w:bidi w:val="0"/>
        <w:adjustRightInd/>
        <w:snapToGrid/>
        <w:spacing w:line="576" w:lineRule="exact"/>
        <w:ind w:firstLine="668"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按照国家规定和有关政策，组织会员举办和参加各种展销会、交易会。组织出国考察、访问，帮助会员开拓国内、国际市场。</w:t>
      </w:r>
    </w:p>
    <w:p w14:paraId="586E25A2">
      <w:pPr>
        <w:keepNext w:val="0"/>
        <w:keepLines w:val="0"/>
        <w:pageBreakBefore w:val="0"/>
        <w:widowControl/>
        <w:kinsoku/>
        <w:wordWrap/>
        <w:bidi w:val="0"/>
        <w:adjustRightInd/>
        <w:snapToGrid/>
        <w:spacing w:line="576" w:lineRule="exact"/>
        <w:ind w:firstLine="668"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为会员提供必要的证明，协调会员间的关系，为会员和民间企业调解纠纷。</w:t>
      </w:r>
    </w:p>
    <w:p w14:paraId="05FEA02A">
      <w:pPr>
        <w:keepNext w:val="0"/>
        <w:keepLines w:val="0"/>
        <w:pageBreakBefore w:val="0"/>
        <w:widowControl/>
        <w:kinsoku/>
        <w:wordWrap/>
        <w:bidi w:val="0"/>
        <w:adjustRightInd/>
        <w:snapToGrid/>
        <w:spacing w:line="576" w:lineRule="exact"/>
        <w:ind w:firstLine="668"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增进与台、港、澳地区和世界各国工商社团及工商经济界人士的联系和友谊，促进经济、技术和贸易合作的发展，协助引进资金、技术、人才。</w:t>
      </w:r>
    </w:p>
    <w:p w14:paraId="58E98667">
      <w:pPr>
        <w:keepNext w:val="0"/>
        <w:keepLines w:val="0"/>
        <w:pageBreakBefore w:val="0"/>
        <w:widowControl/>
        <w:kinsoku/>
        <w:wordWrap/>
        <w:bidi w:val="0"/>
        <w:adjustRightInd/>
        <w:snapToGrid/>
        <w:spacing w:line="576" w:lineRule="exact"/>
        <w:ind w:firstLine="668"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积极办好会办服务事业和经济实体。</w:t>
      </w:r>
    </w:p>
    <w:p w14:paraId="080F72EE">
      <w:pPr>
        <w:pStyle w:val="8"/>
        <w:keepNext w:val="0"/>
        <w:keepLines w:val="0"/>
        <w:pageBreakBefore w:val="0"/>
        <w:kinsoku/>
        <w:wordWrap/>
        <w:bidi w:val="0"/>
        <w:adjustRightInd/>
        <w:snapToGrid/>
        <w:spacing w:line="576" w:lineRule="exact"/>
        <w:textAlignment w:val="auto"/>
        <w:rPr>
          <w:rFonts w:hint="eastAsia"/>
          <w:lang w:val="en-US"/>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承办党委或政府交办的其他事项。</w:t>
      </w:r>
    </w:p>
    <w:p w14:paraId="38B7D0DA">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（二）202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lang w:val="en-US"/>
        </w:rPr>
        <w:t>年重点工作完成情况。</w:t>
      </w:r>
    </w:p>
    <w:p w14:paraId="608F0D9E">
      <w:pPr>
        <w:pStyle w:val="17"/>
        <w:keepNext w:val="0"/>
        <w:keepLines w:val="0"/>
        <w:pageBreakBefore w:val="0"/>
        <w:kinsoku/>
        <w:wordWrap/>
        <w:overflowPunct w:val="0"/>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强化思想政治引领，</w:t>
      </w:r>
      <w:r>
        <w:rPr>
          <w:rFonts w:hint="eastAsia" w:ascii="仿宋_GB2312" w:hAnsi="仿宋_GB2312" w:eastAsia="仿宋_GB2312" w:cs="仿宋_GB2312"/>
          <w:bCs/>
          <w:color w:val="000000"/>
          <w:sz w:val="32"/>
          <w:szCs w:val="32"/>
        </w:rPr>
        <w:t>促进“两个健康”持续发展。一是</w:t>
      </w:r>
      <w:r>
        <w:rPr>
          <w:rFonts w:hint="eastAsia" w:ascii="仿宋_GB2312" w:hAnsi="仿宋_GB2312" w:eastAsia="仿宋_GB2312" w:cs="仿宋_GB2312"/>
          <w:color w:val="000000"/>
          <w:sz w:val="32"/>
          <w:szCs w:val="32"/>
        </w:rPr>
        <w:t>深入学习贯彻习近平新时代中国特色社会主义思想和党的二十届三中全会精神。集中开展理论学习10次，专题研讨4次、讲主题党课1次，开展主题党日活动2次。举办非公经济人士培训3次100余人次，组织40余名国企、民营企业家赴浙江大学专题培训，组织召开工商联六届三次执委会，</w:t>
      </w:r>
      <w:r>
        <w:rPr>
          <w:rFonts w:hint="eastAsia" w:ascii="仿宋_GB2312" w:hAnsi="仿宋_GB2312" w:eastAsia="仿宋_GB2312" w:cs="仿宋_GB2312"/>
          <w:color w:val="000000"/>
          <w:kern w:val="0"/>
          <w:sz w:val="32"/>
          <w:szCs w:val="32"/>
          <w:lang w:bidi="ar"/>
        </w:rPr>
        <w:t>邀请市委党校二级调研员文凌云对民营经济人士进行了诚信守法理想信念教育专题培训，坚定非公</w:t>
      </w:r>
      <w:r>
        <w:rPr>
          <w:rFonts w:hint="eastAsia" w:ascii="仿宋_GB2312" w:hAnsi="仿宋_GB2312" w:eastAsia="仿宋_GB2312" w:cs="仿宋_GB2312"/>
          <w:color w:val="000000"/>
          <w:sz w:val="32"/>
          <w:szCs w:val="32"/>
        </w:rPr>
        <w:t>经济人士发展信心。</w:t>
      </w:r>
      <w:r>
        <w:rPr>
          <w:rFonts w:hint="eastAsia" w:ascii="仿宋_GB2312" w:hAnsi="仿宋_GB2312" w:eastAsia="仿宋_GB2312" w:cs="仿宋_GB2312"/>
          <w:bCs/>
          <w:color w:val="000000"/>
          <w:sz w:val="32"/>
          <w:szCs w:val="32"/>
        </w:rPr>
        <w:t>二是</w:t>
      </w:r>
      <w:r>
        <w:rPr>
          <w:rFonts w:hint="eastAsia" w:ascii="仿宋_GB2312" w:hAnsi="仿宋_GB2312" w:eastAsia="仿宋_GB2312" w:cs="仿宋_GB2312"/>
          <w:color w:val="000000"/>
          <w:sz w:val="32"/>
          <w:szCs w:val="32"/>
        </w:rPr>
        <w:t>开展红色理想信念教育。5月底</w:t>
      </w:r>
      <w:r>
        <w:rPr>
          <w:rFonts w:hint="eastAsia" w:ascii="仿宋_GB2312" w:hAnsi="仿宋_GB2312" w:eastAsia="仿宋_GB2312" w:cs="仿宋_GB2312"/>
          <w:color w:val="000000"/>
          <w:kern w:val="0"/>
          <w:sz w:val="32"/>
          <w:szCs w:val="32"/>
          <w:shd w:val="clear" w:color="auto" w:fill="FFFFFF"/>
          <w:lang w:bidi="ar"/>
        </w:rPr>
        <w:t>组织班子成员和</w:t>
      </w:r>
      <w:r>
        <w:rPr>
          <w:rFonts w:hint="eastAsia" w:ascii="仿宋_GB2312" w:hAnsi="仿宋_GB2312" w:eastAsia="仿宋_GB2312" w:cs="仿宋_GB2312"/>
          <w:color w:val="000000"/>
          <w:sz w:val="32"/>
          <w:szCs w:val="32"/>
        </w:rPr>
        <w:t>部分执委企业赴太公红军山开展“追寻红色足迹 传承红色基因”理想信念教育活动。重走红军路，缅怀革命先烈，教育引导民营企业家们发扬党的优良作风、遵纪守法、诚实守信，让党旗在非公企业高高飘扬。</w:t>
      </w:r>
      <w:r>
        <w:rPr>
          <w:rFonts w:hint="eastAsia" w:ascii="仿宋_GB2312" w:hAnsi="仿宋_GB2312" w:eastAsia="仿宋_GB2312" w:cs="仿宋_GB2312"/>
          <w:bCs/>
          <w:color w:val="000000"/>
          <w:sz w:val="32"/>
          <w:szCs w:val="32"/>
        </w:rPr>
        <w:t>三是</w:t>
      </w:r>
      <w:r>
        <w:rPr>
          <w:rFonts w:hint="eastAsia" w:ascii="仿宋_GB2312" w:hAnsi="仿宋_GB2312" w:eastAsia="仿宋_GB2312" w:cs="仿宋_GB2312"/>
          <w:color w:val="000000"/>
          <w:sz w:val="32"/>
          <w:szCs w:val="32"/>
        </w:rPr>
        <w:t>开展法纪廉政教育。6月组织党员干部赴广元市级廉洁文化基地“开展法纪观念记于心•廉洁自律践于行”廉政教育主题党日活动。实地参观广元监狱服刑人员的生产车间、宿舍和食堂，现场聆听两名职务犯罪罪犯的“现身说法”，筑牢拒腐防变的思想防线，为区工商联工作提供坚强的纪律保障。</w:t>
      </w:r>
    </w:p>
    <w:p w14:paraId="5C6DBA81">
      <w:pPr>
        <w:pStyle w:val="17"/>
        <w:keepNext w:val="0"/>
        <w:keepLines w:val="0"/>
        <w:pageBreakBefore w:val="0"/>
        <w:kinsoku/>
        <w:wordWrap/>
        <w:overflowPunct w:val="0"/>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积极引导参政议政，促进经济社会健康发展。</w:t>
      </w:r>
      <w:r>
        <w:rPr>
          <w:rFonts w:hint="eastAsia" w:ascii="仿宋_GB2312" w:hAnsi="仿宋_GB2312" w:eastAsia="仿宋_GB2312" w:cs="仿宋_GB2312"/>
          <w:color w:val="000000"/>
          <w:sz w:val="32"/>
          <w:szCs w:val="32"/>
        </w:rPr>
        <w:t>在区“两会”上，大力引导工商联界人大代表、政协委员参政议政、建言献策，共计提交建议、提案、社情民意等10余件，区工商联作了《关于加强部门协同打造最优营商环境的建议》发言。并在区政协召开“同心共建现代化四川”专项行动会上代表系统委员交流发言，会后庚即组织系统政协委员，协商全力以赴抓好“同心共建现代化四川”广元行动昭化实践工作。积极开展“有事来协商”工作，组织系统“委员之家”积极参与企业发展、产业振兴等议题协商。5月24日，工商联系统委员之家联合“徐丕模委员工作室”部分区政协委员赴太公镇小学开展“六一”慰问活动；6月中旬，区工商联积极向市委统战部推荐广元市光彩事业促进会第五届代表7名，理事5名，为广元市光彩事业促进会第五届代表大会换届提供基础保障。8月底，在我区开展的“金秋助学•筑梦远航”活动中，重庆昭化商会和成都昭化商会部分代表委员向我区家庭困难大学生捐资7.4万元，彰显了民营企业风采。</w:t>
      </w:r>
    </w:p>
    <w:p w14:paraId="7FDCDD2F">
      <w:pPr>
        <w:pStyle w:val="17"/>
        <w:keepNext w:val="0"/>
        <w:keepLines w:val="0"/>
        <w:pageBreakBefore w:val="0"/>
        <w:kinsoku/>
        <w:wordWrap/>
        <w:overflowPunct w:val="0"/>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统筹兼顾，全面提升服务民营经济质效。</w:t>
      </w:r>
      <w:r>
        <w:rPr>
          <w:rFonts w:hint="eastAsia" w:ascii="仿宋_GB2312" w:hAnsi="仿宋_GB2312" w:eastAsia="仿宋_GB2312" w:cs="仿宋_GB2312"/>
          <w:color w:val="000000"/>
          <w:sz w:val="32"/>
          <w:szCs w:val="32"/>
          <w:lang w:bidi="ar"/>
        </w:rPr>
        <w:t>为增强工商联系统的向心力和凝聚力，引导企业对工商联组织作用进一步了解，</w:t>
      </w:r>
      <w:r>
        <w:rPr>
          <w:rFonts w:hint="eastAsia" w:ascii="仿宋_GB2312" w:hAnsi="仿宋_GB2312" w:eastAsia="仿宋_GB2312" w:cs="仿宋_GB2312"/>
          <w:color w:val="000000"/>
          <w:sz w:val="32"/>
          <w:szCs w:val="32"/>
        </w:rPr>
        <w:t>4月开始，工商联持续开展“大走访大调研大服务”活动。累计走访企业40余家，收集问题10余个，就企业目前面临的招工难、销售难、</w:t>
      </w:r>
      <w:r>
        <w:rPr>
          <w:rFonts w:hint="eastAsia" w:ascii="仿宋_GB2312" w:hAnsi="仿宋_GB2312" w:eastAsia="仿宋_GB2312" w:cs="仿宋_GB2312"/>
          <w:color w:val="000000"/>
          <w:sz w:val="32"/>
          <w:szCs w:val="32"/>
          <w:lang w:bidi="ar"/>
        </w:rPr>
        <w:t>销售渠道短缺、资金运转紧张、电商团队缺乏</w:t>
      </w:r>
      <w:r>
        <w:rPr>
          <w:rFonts w:hint="eastAsia" w:ascii="仿宋_GB2312" w:hAnsi="仿宋_GB2312" w:eastAsia="仿宋_GB2312" w:cs="仿宋_GB2312"/>
          <w:color w:val="000000"/>
          <w:sz w:val="32"/>
          <w:szCs w:val="32"/>
        </w:rPr>
        <w:t>等问题深入分析研究，并安排在区工商联公众号、微信群发布企业招工信息，帮助企业多方联系销售渠道，为企业发展强信心、增活力。</w:t>
      </w:r>
      <w:r>
        <w:rPr>
          <w:rFonts w:hint="eastAsia" w:ascii="仿宋_GB2312" w:hAnsi="仿宋_GB2312" w:eastAsia="仿宋_GB2312" w:cs="仿宋_GB2312"/>
          <w:color w:val="000000"/>
          <w:sz w:val="32"/>
          <w:szCs w:val="32"/>
          <w:lang w:bidi="ar"/>
        </w:rPr>
        <w:t>区工商联多方联系金融机构、税务机构，为企业提供个性化、差异化的金融税务服务。利用工商联商会资源好、人脉广的优势寻找拓展发展商机和解决问题的对策，为企业之间牵线搭桥，寻求最大合力。12月，四川香香嘴食品公司非遗牛皮豆干被全国食品行业评为年度消费者喜爱产品。</w:t>
      </w:r>
    </w:p>
    <w:p w14:paraId="02EAD97F">
      <w:pPr>
        <w:pStyle w:val="17"/>
        <w:keepNext w:val="0"/>
        <w:keepLines w:val="0"/>
        <w:pageBreakBefore w:val="0"/>
        <w:kinsoku/>
        <w:wordWrap/>
        <w:overflowPunct w:val="0"/>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高质量发展会员，不断壮大会员队伍。</w:t>
      </w:r>
      <w:r>
        <w:rPr>
          <w:rFonts w:hint="eastAsia" w:ascii="仿宋_GB2312" w:hAnsi="仿宋_GB2312" w:eastAsia="仿宋_GB2312" w:cs="仿宋_GB2312"/>
          <w:color w:val="000000"/>
          <w:sz w:val="32"/>
          <w:szCs w:val="32"/>
          <w:lang w:bidi="ar"/>
        </w:rPr>
        <w:t>严把入口，坚持会员数量与质量并重，主动联系走访辖区重点企业、上规模企业、与企业家座谈交流做朋友，引导企业对工商联组织作用进一步了解，增强工商联系统的吸引力和凝聚力。新发展四川鑫帮克科技有限公司、广元杰诺印务有限公司、广元市达优宝食品有限公司</w:t>
      </w:r>
      <w:r>
        <w:rPr>
          <w:rFonts w:hint="eastAsia" w:ascii="仿宋_GB2312" w:hAnsi="仿宋_GB2312" w:eastAsia="仿宋_GB2312" w:cs="仿宋_GB2312"/>
          <w:color w:val="000000"/>
          <w:sz w:val="32"/>
          <w:szCs w:val="32"/>
          <w:lang w:eastAsia="zh-CN" w:bidi="ar"/>
        </w:rPr>
        <w:t>、四川锐晶饰品有限公司、美好世家（四川）家居有限公司</w:t>
      </w:r>
      <w:r>
        <w:rPr>
          <w:rFonts w:hint="eastAsia" w:ascii="仿宋_GB2312" w:hAnsi="仿宋_GB2312" w:eastAsia="仿宋_GB2312" w:cs="仿宋_GB2312"/>
          <w:color w:val="000000"/>
          <w:sz w:val="32"/>
          <w:szCs w:val="32"/>
          <w:lang w:bidi="ar"/>
        </w:rPr>
        <w:t>等5家会员企业。积极开展新发展平台录入会员工作，累计录入会员390家。畅通出口，不定期梳理清除口袋会员、不作为和懒作为会员，会员数量质量实现持续健康发展。</w:t>
      </w:r>
    </w:p>
    <w:p w14:paraId="569365AE">
      <w:pPr>
        <w:keepNext w:val="0"/>
        <w:keepLines w:val="0"/>
        <w:pageBreakBefore w:val="0"/>
        <w:kinsoku/>
        <w:wordWrap/>
        <w:overflowPunct w:val="0"/>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精准高效，抓实东西部协作“万企兴万村”工作。</w:t>
      </w:r>
      <w:r>
        <w:rPr>
          <w:rFonts w:hint="eastAsia" w:ascii="仿宋_GB2312" w:hAnsi="仿宋_GB2312" w:eastAsia="仿宋_GB2312" w:cs="仿宋_GB2312"/>
          <w:bCs/>
          <w:color w:val="000000"/>
          <w:sz w:val="32"/>
          <w:szCs w:val="32"/>
          <w:lang w:bidi="ar"/>
        </w:rPr>
        <w:t>一是</w:t>
      </w:r>
      <w:r>
        <w:rPr>
          <w:rFonts w:hint="eastAsia" w:ascii="仿宋_GB2312" w:hAnsi="仿宋_GB2312" w:eastAsia="仿宋_GB2312" w:cs="仿宋_GB2312"/>
          <w:color w:val="000000"/>
          <w:sz w:val="32"/>
          <w:szCs w:val="32"/>
          <w:lang w:bidi="ar"/>
        </w:rPr>
        <w:t>开展村企结对。今年共动员拱墅区13家企业与我区13个村签订了村企结对帮扶协议，并向13个村捐赠社会帮扶资金28万元，主要用于产业发展和基础设施改善等方面。先后与拱墅区祥符街道渡驾桥股份经济合作社、数创智联科技产业发展有限公司、浙江西培教育科技有限公司、浙江骨伤医院等现场签订了“万企兴万村”结对帮扶框架协议，并举行现场捐赠仪式及实地到村查看产业。</w:t>
      </w:r>
      <w:r>
        <w:rPr>
          <w:rFonts w:hint="eastAsia" w:ascii="仿宋_GB2312" w:hAnsi="仿宋_GB2312" w:eastAsia="仿宋_GB2312" w:cs="仿宋_GB2312"/>
          <w:bCs/>
          <w:color w:val="000000"/>
          <w:sz w:val="32"/>
          <w:szCs w:val="32"/>
          <w:lang w:bidi="ar"/>
        </w:rPr>
        <w:t>二是</w:t>
      </w:r>
      <w:r>
        <w:rPr>
          <w:rFonts w:hint="eastAsia" w:ascii="仿宋_GB2312" w:hAnsi="仿宋_GB2312" w:eastAsia="仿宋_GB2312" w:cs="仿宋_GB2312"/>
          <w:color w:val="000000"/>
          <w:sz w:val="32"/>
          <w:szCs w:val="32"/>
          <w:lang w:bidi="ar"/>
        </w:rPr>
        <w:t>开展交流互访活动。9月12日，区工商联班子成员及执委一行10余人赴拱墅区和余杭区工商联开展走访交流活动。双方就如何更好发挥工商联的桥梁纽带作用，服务“两个健康”以及“万企兴万村”工作进行了深入交流。实地参观了阿里巴巴（中国）有限公司及杭州中亚机械股份有限公司,就电商运营、智能机械进行了深入学习。</w:t>
      </w:r>
      <w:r>
        <w:rPr>
          <w:rFonts w:hint="eastAsia" w:ascii="仿宋_GB2312" w:hAnsi="仿宋_GB2312" w:eastAsia="仿宋_GB2312" w:cs="仿宋_GB2312"/>
          <w:bCs/>
          <w:color w:val="000000"/>
          <w:sz w:val="32"/>
          <w:szCs w:val="32"/>
          <w:lang w:bidi="ar"/>
        </w:rPr>
        <w:t>三是</w:t>
      </w:r>
      <w:r>
        <w:rPr>
          <w:rFonts w:hint="eastAsia" w:ascii="仿宋_GB2312" w:hAnsi="仿宋_GB2312" w:eastAsia="仿宋_GB2312" w:cs="仿宋_GB2312"/>
          <w:color w:val="000000"/>
          <w:sz w:val="32"/>
          <w:szCs w:val="32"/>
          <w:lang w:bidi="ar"/>
        </w:rPr>
        <w:t>开展商会筹备工作。为更好团结在昭浙江籍企业，充分发挥浙商力量，10月24日，组织召开浙江籍企业家座谈会，10余家浙江籍企业负责人就围绕发展中存在的问题、筹备建立昭化浙江商会、对营商环境的建议等作了交流发言。</w:t>
      </w:r>
    </w:p>
    <w:p w14:paraId="65451DB1">
      <w:pPr>
        <w:keepNext w:val="0"/>
        <w:keepLines w:val="0"/>
        <w:pageBreakBefore w:val="0"/>
        <w:kinsoku/>
        <w:wordWrap/>
        <w:overflowPunct w:val="0"/>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内引外联，积极开展招商引资活动。</w:t>
      </w:r>
      <w:r>
        <w:rPr>
          <w:rFonts w:hint="eastAsia" w:ascii="仿宋_GB2312" w:hAnsi="仿宋_GB2312" w:eastAsia="仿宋_GB2312" w:cs="仿宋_GB2312"/>
          <w:color w:val="000000"/>
          <w:kern w:val="0"/>
          <w:sz w:val="32"/>
          <w:szCs w:val="32"/>
        </w:rPr>
        <w:t>4月22日，区工商联统筹川商总会四十余家青年会员企业走进昭化，开展了青年川商广元行系列活动。围绕绿色</w:t>
      </w:r>
      <w:r>
        <w:rPr>
          <w:rFonts w:hint="eastAsia" w:ascii="仿宋_GB2312" w:hAnsi="仿宋_GB2312" w:eastAsia="仿宋_GB2312" w:cs="仿宋_GB2312"/>
          <w:color w:val="000000"/>
          <w:sz w:val="32"/>
          <w:szCs w:val="32"/>
        </w:rPr>
        <w:t>家居产业、文旅产业、食品饮料产业等开展川商昭商面对面专题推介磋商会及“党旗下的川商——诗意昭化 青年川商之夜”直播访谈节目。</w:t>
      </w:r>
      <w:r>
        <w:rPr>
          <w:rFonts w:hint="eastAsia" w:ascii="仿宋_GB2312" w:hAnsi="仿宋_GB2312" w:eastAsia="仿宋_GB2312" w:cs="仿宋_GB2312"/>
          <w:color w:val="000000"/>
          <w:kern w:val="0"/>
          <w:sz w:val="32"/>
          <w:szCs w:val="32"/>
          <w:shd w:val="clear" w:color="auto" w:fill="FFFFFF"/>
          <w:lang w:bidi="ar"/>
        </w:rPr>
        <w:t>6月28日，区政协党组书记、主席朱永国带领区工商联等部门赴长三角参加2024年嘉善县“东西协作共振兴 消费帮扶促发展”消费帮扶购物季活动，赴浙江部分食品饮料企业开展投资促进工作，并就昭化资源优势以及产业布局进行现场推介，区文旅体局和区经济合作和外事中心作文旅、招商引资项目推介。10月底，区人大常委会主任贾小玲带队赴广州参加商会换届系列活动，就泸州老窖百调猕猴桃蒸馏酒在大会上做了现场推介，同时走访佛山部分家居企业，寻求合作机会。12月下旬，区长辛俊带队赴杭州开展东西部产业合作推介会，区工商联联合拱墅区工商联组织部分企业参加。今年</w:t>
      </w:r>
      <w:r>
        <w:rPr>
          <w:rFonts w:hint="eastAsia" w:ascii="仿宋_GB2312" w:hAnsi="仿宋_GB2312" w:eastAsia="仿宋_GB2312" w:cs="仿宋_GB2312"/>
          <w:color w:val="000000"/>
          <w:sz w:val="32"/>
          <w:szCs w:val="32"/>
          <w:lang w:bidi="ar"/>
        </w:rPr>
        <w:t>区工商联外出开展招商引资活动4次，收集有效信息10个。</w:t>
      </w:r>
    </w:p>
    <w:p w14:paraId="7A7F77E0">
      <w:pPr>
        <w:keepNext w:val="0"/>
        <w:keepLines w:val="0"/>
        <w:pageBreakBefore w:val="0"/>
        <w:kinsoku/>
        <w:wordWrap/>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抓好对外宣传，信息宣传有实效。</w:t>
      </w:r>
      <w:r>
        <w:rPr>
          <w:rFonts w:hint="eastAsia" w:ascii="仿宋_GB2312" w:hAnsi="仿宋_GB2312" w:eastAsia="仿宋_GB2312" w:cs="仿宋_GB2312"/>
          <w:color w:val="000000"/>
          <w:sz w:val="32"/>
          <w:szCs w:val="32"/>
        </w:rPr>
        <w:t>上半年，信息宣传工作注重提高质量和水平，围绕中心，突出重点、难点、热点和亮点，注重反馈性、经验性信息和阶段性成绩信息的编撰与上报。用好昭化区工商联微信公众号，加大信息报送力度，全年共上报各类信息21篇（条），其中市工商联采用11篇（条），市政协网站采用6篇（条），市委统战部网站采用4篇（条）。</w:t>
      </w:r>
    </w:p>
    <w:p w14:paraId="304DAEEE">
      <w:pPr>
        <w:keepNext w:val="0"/>
        <w:keepLines w:val="0"/>
        <w:pageBreakBefore w:val="0"/>
        <w:kinsoku/>
        <w:wordWrap/>
        <w:bidi w:val="0"/>
        <w:adjustRightInd/>
        <w:snapToGrid/>
        <w:spacing w:line="576" w:lineRule="exact"/>
        <w:ind w:firstLine="640" w:firstLineChars="200"/>
        <w:textAlignment w:val="auto"/>
        <w:rPr>
          <w:rFonts w:hint="eastAsia" w:ascii="Times New Roman" w:hAnsi="Times New Roman" w:eastAsia="黑体"/>
          <w:b w:val="0"/>
          <w:color w:val="auto"/>
          <w:sz w:val="32"/>
          <w:szCs w:val="32"/>
          <w:highlight w:val="none"/>
        </w:rPr>
      </w:pP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rPr>
        <w:t>突出关键重点，抓实党风廉政建设工作。</w:t>
      </w:r>
      <w:r>
        <w:rPr>
          <w:rFonts w:hint="eastAsia" w:ascii="仿宋_GB2312" w:hAnsi="仿宋_GB2312" w:eastAsia="仿宋_GB2312" w:cs="仿宋_GB2312"/>
          <w:color w:val="000000"/>
          <w:sz w:val="32"/>
          <w:szCs w:val="32"/>
        </w:rPr>
        <w:t>一是强化责任落实。坚持把党风廉政建设与业务工作同安排、同部署、同考核、同落实，按照“一把手负总责，谁主管，谁负责”原则，开展谈心谈话4人次，将党风廉政建设和反腐败工作贯彻工作始终。健全完善相关制度，建立监督与权力运行“同步同轨同向”机制，从制度上有效防止权力滥用，真正构建“不能腐”的长效机制。二是强化自律意识。组织机关及非公经济系统党员和代表人士学习《中国共产党纪律处分条例》、《中国共产党廉洁自律准则》，组织机关干部职工观看反腐警示片，参观廉政基地，进一步增强党员干部的公仆意识和廉洁自律意识，强化“不想腐”的思想自觉。三是强化制度落实。严格落实民主集中制和“三重一大”集体决策制度，健全党组议事规则，在大额经费支出、先进推荐等重大问题上坚持集体决策，民主商议，不搞一言堂、个人说了算。严格遵守财经纪律，规范管理使用公务经费、公共财物，强化厉行节约意识，严格经费支出管理。实现“不能腐”的行动自觉。四是强化作风转变。深入开展作风纪律整顿活动，召开民主生活会1次。进一步深化首问责任制、限时办结制、服务承诺制、责任追究制。全年来无投诉、无举报、无违纪违法行为发生，干部职工清正廉洁。</w:t>
      </w:r>
      <w:bookmarkStart w:id="8" w:name="_Toc15377200"/>
      <w:bookmarkStart w:id="9" w:name="_Toc15396601"/>
    </w:p>
    <w:p w14:paraId="7CF8C8B0">
      <w:pPr>
        <w:keepNext w:val="0"/>
        <w:keepLines w:val="0"/>
        <w:pageBreakBefore w:val="0"/>
        <w:widowControl w:val="0"/>
        <w:kinsoku/>
        <w:wordWrap/>
        <w:overflowPunct w:val="0"/>
        <w:topLinePunct/>
        <w:autoSpaceDE w:val="0"/>
        <w:autoSpaceDN w:val="0"/>
        <w:bidi w:val="0"/>
        <w:spacing w:before="0" w:after="0" w:line="576" w:lineRule="exact"/>
        <w:ind w:firstLine="640" w:firstLineChars="200"/>
        <w:textAlignment w:val="auto"/>
        <w:outlineLvl w:val="9"/>
        <w:rPr>
          <w:rStyle w:val="32"/>
          <w:rFonts w:ascii="Times New Roman" w:hAnsi="Times New Roman"/>
          <w:b w:val="0"/>
          <w:bCs w:val="0"/>
          <w:color w:val="auto"/>
          <w:sz w:val="32"/>
          <w:szCs w:val="32"/>
          <w:highlight w:val="none"/>
        </w:rPr>
      </w:pPr>
      <w:r>
        <w:rPr>
          <w:rFonts w:hint="eastAsia" w:ascii="Times New Roman" w:hAnsi="Times New Roman" w:eastAsia="黑体"/>
          <w:b w:val="0"/>
          <w:color w:val="auto"/>
          <w:sz w:val="32"/>
          <w:szCs w:val="32"/>
          <w:highlight w:val="none"/>
        </w:rPr>
        <w:t>二、机</w:t>
      </w:r>
      <w:r>
        <w:rPr>
          <w:rStyle w:val="32"/>
          <w:rFonts w:hint="eastAsia" w:ascii="Times New Roman" w:hAnsi="Times New Roman" w:eastAsia="黑体"/>
          <w:b w:val="0"/>
          <w:bCs w:val="0"/>
          <w:color w:val="auto"/>
          <w:sz w:val="32"/>
          <w:szCs w:val="32"/>
          <w:highlight w:val="none"/>
        </w:rPr>
        <w:t>构设置</w:t>
      </w:r>
      <w:bookmarkEnd w:id="8"/>
      <w:bookmarkEnd w:id="9"/>
    </w:p>
    <w:p w14:paraId="459895AD">
      <w:pPr>
        <w:keepNext w:val="0"/>
        <w:keepLines w:val="0"/>
        <w:pageBreakBefore w:val="0"/>
        <w:widowControl w:val="0"/>
        <w:kinsoku/>
        <w:wordWrap/>
        <w:overflowPunct w:val="0"/>
        <w:topLinePunct/>
        <w:autoSpaceDE w:val="0"/>
        <w:autoSpaceDN w:val="0"/>
        <w:bidi w:val="0"/>
        <w:spacing w:line="576"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广元市昭化</w:t>
      </w:r>
      <w:r>
        <w:rPr>
          <w:rFonts w:hint="eastAsia" w:ascii="仿宋_GB2312" w:hAnsi="仿宋_GB2312" w:eastAsia="仿宋_GB2312" w:cs="仿宋_GB2312"/>
          <w:color w:val="auto"/>
          <w:sz w:val="32"/>
          <w:szCs w:val="32"/>
          <w:highlight w:val="none"/>
          <w:lang w:val="en-US" w:eastAsia="zh-CN"/>
        </w:rPr>
        <w:t>区工商业联合</w:t>
      </w:r>
      <w:r>
        <w:rPr>
          <w:rFonts w:hint="eastAsia" w:eastAsia="仿宋_GB2312" w:cs="仿宋_GB2312"/>
          <w:color w:val="auto"/>
          <w:sz w:val="32"/>
          <w:szCs w:val="32"/>
          <w:highlight w:val="none"/>
          <w:lang w:val="en-US" w:eastAsia="zh-CN"/>
        </w:rPr>
        <w:t>会属于一级预算单位</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Times New Roman"/>
          <w:color w:val="000000"/>
          <w:sz w:val="32"/>
          <w:szCs w:val="32"/>
          <w:lang w:val="en-US" w:eastAsia="zh-CN"/>
        </w:rPr>
        <w:t>下属预算单位1个，</w:t>
      </w:r>
      <w:r>
        <w:rPr>
          <w:rFonts w:hint="eastAsia" w:ascii="Times New Roman" w:hAnsi="Times New Roman" w:eastAsia="仿宋_GB2312" w:cs="仿宋_GB2312"/>
          <w:color w:val="auto"/>
          <w:sz w:val="32"/>
          <w:szCs w:val="32"/>
          <w:highlight w:val="none"/>
        </w:rPr>
        <w:t>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21EA349E">
      <w:pPr>
        <w:pStyle w:val="8"/>
        <w:keepNext w:val="0"/>
        <w:keepLines w:val="0"/>
        <w:pageBreakBefore w:val="0"/>
        <w:widowControl w:val="0"/>
        <w:kinsoku/>
        <w:wordWrap/>
        <w:overflowPunct w:val="0"/>
        <w:topLinePunct/>
        <w:autoSpaceDE w:val="0"/>
        <w:autoSpaceDN w:val="0"/>
        <w:bidi w:val="0"/>
        <w:adjustRightInd w:val="0"/>
        <w:snapToGrid w:val="0"/>
        <w:spacing w:beforeLines="0" w:line="576"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573FE356">
      <w:pPr>
        <w:keepNext w:val="0"/>
        <w:keepLines w:val="0"/>
        <w:pageBreakBefore w:val="0"/>
        <w:widowControl w:val="0"/>
        <w:kinsoku/>
        <w:wordWrap/>
        <w:overflowPunct w:val="0"/>
        <w:topLinePunct/>
        <w:autoSpaceDE w:val="0"/>
        <w:autoSpaceDN w:val="0"/>
        <w:bidi w:val="0"/>
        <w:spacing w:line="576" w:lineRule="exact"/>
        <w:ind w:firstLine="640" w:firstLineChars="200"/>
        <w:jc w:val="left"/>
        <w:textAlignment w:val="auto"/>
        <w:rPr>
          <w:rFonts w:ascii="Times New Roman" w:hAnsi="Times New Roman" w:eastAsia="仿宋"/>
          <w:color w:val="auto"/>
          <w:kern w:val="0"/>
          <w:sz w:val="32"/>
          <w:szCs w:val="32"/>
          <w:highlight w:val="none"/>
        </w:rPr>
      </w:pPr>
      <w:r>
        <w:rPr>
          <w:rFonts w:hint="eastAsia" w:eastAsia="仿宋_GB2312" w:cs="仿宋_GB2312"/>
          <w:color w:val="auto"/>
          <w:kern w:val="0"/>
          <w:sz w:val="32"/>
          <w:szCs w:val="32"/>
          <w:highlight w:val="none"/>
          <w:lang w:val="en-US" w:eastAsia="zh-CN" w:bidi="ar-SA"/>
        </w:rPr>
        <w:t>1.</w:t>
      </w:r>
      <w:r>
        <w:rPr>
          <w:rFonts w:hint="eastAsia" w:ascii="Times New Roman" w:hAnsi="Times New Roman" w:eastAsia="仿宋_GB2312" w:cs="仿宋_GB2312"/>
          <w:color w:val="auto"/>
          <w:kern w:val="0"/>
          <w:sz w:val="32"/>
          <w:szCs w:val="32"/>
          <w:highlight w:val="none"/>
          <w:lang w:val="en-US" w:eastAsia="zh-CN" w:bidi="ar-SA"/>
        </w:rPr>
        <w:t>广元市昭化区工商业联合会</w:t>
      </w:r>
      <w:r>
        <w:rPr>
          <w:rFonts w:ascii="Times New Roman" w:hAnsi="Times New Roman" w:eastAsia="仿宋"/>
          <w:color w:val="auto"/>
          <w:sz w:val="32"/>
          <w:szCs w:val="32"/>
          <w:highlight w:val="none"/>
        </w:rPr>
        <w:br w:type="page"/>
      </w:r>
    </w:p>
    <w:p w14:paraId="47F6A9A7">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10" w:name="_Toc15377204"/>
      <w:bookmarkStart w:id="11" w:name="_Toc15396602"/>
      <w:r>
        <w:rPr>
          <w:rFonts w:hint="eastAsia" w:ascii="方正小标宋简体" w:hAnsi="方正小标宋简体" w:eastAsia="方正小标宋简体" w:cs="方正小标宋简体"/>
          <w:color w:val="auto"/>
          <w:sz w:val="44"/>
          <w:szCs w:val="44"/>
          <w:highlight w:val="none"/>
        </w:rPr>
        <w:t>第二部分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lang w:val="en-US" w:eastAsia="zh-CN"/>
        </w:rPr>
        <w:t>2024年度</w:t>
      </w:r>
      <w:r>
        <w:rPr>
          <w:rFonts w:hint="eastAsia" w:ascii="方正小标宋简体" w:hAnsi="方正小标宋简体" w:eastAsia="方正小标宋简体" w:cs="方正小标宋简体"/>
          <w:color w:val="auto"/>
          <w:sz w:val="44"/>
          <w:szCs w:val="44"/>
          <w:highlight w:val="none"/>
        </w:rPr>
        <w:t>部门决算情况说明</w:t>
      </w:r>
      <w:bookmarkEnd w:id="10"/>
      <w:bookmarkEnd w:id="11"/>
    </w:p>
    <w:p w14:paraId="6B2C0E57">
      <w:pPr>
        <w:pStyle w:val="8"/>
        <w:keepNext w:val="0"/>
        <w:keepLines w:val="0"/>
        <w:pageBreakBefore w:val="0"/>
        <w:widowControl w:val="0"/>
        <w:kinsoku/>
        <w:wordWrap/>
        <w:overflowPunct w:val="0"/>
        <w:topLinePunct/>
        <w:autoSpaceDE w:val="0"/>
        <w:autoSpaceDN w:val="0"/>
        <w:bidi w:val="0"/>
        <w:textAlignment w:val="auto"/>
      </w:pPr>
    </w:p>
    <w:p w14:paraId="5CFAAE78">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2"/>
          <w:rFonts w:hint="eastAsia" w:ascii="Times New Roman" w:hAnsi="Times New Roman" w:eastAsia="黑体"/>
          <w:b w:val="0"/>
          <w:color w:val="auto"/>
          <w:sz w:val="32"/>
          <w:szCs w:val="32"/>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sz w:val="32"/>
          <w:szCs w:val="32"/>
          <w:highlight w:val="none"/>
        </w:rPr>
        <w:t>入支出决算总体情况说明</w:t>
      </w:r>
      <w:bookmarkEnd w:id="12"/>
      <w:bookmarkEnd w:id="13"/>
    </w:p>
    <w:p w14:paraId="7922B4D9">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183.54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16.84</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9.2</w:t>
      </w:r>
      <w:r>
        <w:rPr>
          <w:rFonts w:hint="eastAsia" w:ascii="Times New Roman" w:hAnsi="Times New Roman" w:eastAsia="仿宋_GB2312" w:cs="仿宋_GB2312"/>
          <w:color w:val="auto"/>
          <w:sz w:val="32"/>
          <w:szCs w:val="32"/>
          <w:highlight w:val="none"/>
        </w:rPr>
        <w:t>%。主要变动原因是</w:t>
      </w:r>
      <w:r>
        <w:rPr>
          <w:rFonts w:hint="eastAsia" w:ascii="Times New Roman" w:hAnsi="Times New Roman" w:eastAsia="仿宋_GB2312" w:cs="仿宋_GB2312"/>
          <w:color w:val="auto"/>
          <w:sz w:val="32"/>
          <w:szCs w:val="32"/>
          <w:highlight w:val="none"/>
          <w:lang w:val="en-US" w:eastAsia="zh-CN"/>
        </w:rPr>
        <w:t>异地商会经费增加。</w:t>
      </w:r>
    </w:p>
    <w:p w14:paraId="7EEEE69A">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Times New Roman" w:hAnsi="Times New Roman" w:eastAsia="黑体"/>
          <w:color w:val="auto"/>
          <w:sz w:val="32"/>
          <w:szCs w:val="32"/>
          <w:highlight w:val="none"/>
          <w:lang w:eastAsia="zh-CN"/>
        </w:rPr>
      </w:pPr>
      <w:bookmarkStart w:id="14" w:name="_Toc15377206"/>
      <w:bookmarkStart w:id="15" w:name="_Toc15396604"/>
      <w:r>
        <w:drawing>
          <wp:inline distT="0" distB="0" distL="114300" distR="114300">
            <wp:extent cx="4572000" cy="3095625"/>
            <wp:effectExtent l="4445" t="4445" r="14605" b="5080"/>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64D9DB">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黑体"/>
          <w:color w:val="auto"/>
          <w:sz w:val="32"/>
          <w:szCs w:val="32"/>
          <w:highlight w:val="none"/>
          <w:lang w:eastAsia="zh-CN"/>
        </w:rPr>
      </w:pPr>
      <w:r>
        <w:rPr>
          <w:rFonts w:hint="eastAsia" w:ascii="仿宋_GB2312" w:hAnsi="仿宋_GB2312" w:eastAsia="仿宋_GB2312"/>
          <w:color w:val="000000"/>
          <w:kern w:val="2"/>
          <w:sz w:val="32"/>
          <w:szCs w:val="32"/>
          <w:highlight w:val="none"/>
          <w:lang w:val="en-US"/>
        </w:rPr>
        <w:t>图1：收、支决算总计变动情况图</w:t>
      </w:r>
    </w:p>
    <w:p w14:paraId="5540E389">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14"/>
      <w:bookmarkEnd w:id="15"/>
    </w:p>
    <w:p w14:paraId="045C1F3E">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183.54万元，其中：一般公共预算财政拨款收入183.54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sz w:val="32"/>
          <w:szCs w:val="32"/>
          <w:highlight w:val="none"/>
          <w:lang w:eastAsia="zh-CN"/>
        </w:rPr>
        <w:t>。</w:t>
      </w:r>
    </w:p>
    <w:p w14:paraId="59ABD4AE">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仿宋_GB2312" w:hAnsi="仿宋_GB2312" w:eastAsia="仿宋_GB2312" w:cs="仿宋_GB2312"/>
          <w:color w:val="auto"/>
          <w:sz w:val="32"/>
          <w:szCs w:val="32"/>
          <w:highlight w:val="none"/>
          <w:lang w:eastAsia="zh-CN"/>
        </w:rPr>
      </w:pPr>
      <w:r>
        <w:drawing>
          <wp:inline distT="0" distB="0" distL="114300" distR="114300">
            <wp:extent cx="5357495" cy="3220085"/>
            <wp:effectExtent l="0" t="0" r="14605" b="1841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3"/>
                    <a:stretch>
                      <a:fillRect/>
                    </a:stretch>
                  </pic:blipFill>
                  <pic:spPr>
                    <a:xfrm>
                      <a:off x="0" y="0"/>
                      <a:ext cx="5357495" cy="3220085"/>
                    </a:xfrm>
                    <a:prstGeom prst="rect">
                      <a:avLst/>
                    </a:prstGeom>
                    <a:noFill/>
                    <a:ln>
                      <a:noFill/>
                    </a:ln>
                  </pic:spPr>
                </pic:pic>
              </a:graphicData>
            </a:graphic>
          </wp:inline>
        </w:drawing>
      </w:r>
    </w:p>
    <w:p w14:paraId="534B0585">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olor w:val="000000"/>
          <w:kern w:val="2"/>
          <w:sz w:val="32"/>
          <w:szCs w:val="32"/>
          <w:highlight w:val="none"/>
          <w:lang w:val="en-US"/>
        </w:rPr>
        <w:t>图2：收入决算结构图</w:t>
      </w:r>
    </w:p>
    <w:p w14:paraId="3E2460DF">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2"/>
          <w:rFonts w:hint="eastAsia" w:ascii="Times New Roman" w:hAnsi="Times New Roman" w:eastAsia="黑体"/>
          <w:b w:val="0"/>
          <w:color w:val="auto"/>
          <w:sz w:val="32"/>
          <w:szCs w:val="32"/>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sz w:val="32"/>
          <w:szCs w:val="32"/>
          <w:highlight w:val="none"/>
        </w:rPr>
        <w:t>出决算情况说明</w:t>
      </w:r>
      <w:bookmarkEnd w:id="16"/>
      <w:bookmarkEnd w:id="17"/>
    </w:p>
    <w:p w14:paraId="3176E0CD">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183.54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158.54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13.6</w:t>
      </w:r>
      <w:r>
        <w:rPr>
          <w:rFonts w:hint="eastAsia" w:ascii="仿宋_GB2312" w:hAnsi="仿宋_GB2312" w:eastAsia="仿宋_GB2312" w:cs="仿宋_GB2312"/>
          <w:color w:val="auto"/>
          <w:sz w:val="32"/>
          <w:szCs w:val="32"/>
          <w:highlight w:val="none"/>
          <w:lang w:eastAsia="zh-CN"/>
        </w:rPr>
        <w:t>%。</w:t>
      </w:r>
    </w:p>
    <w:p w14:paraId="70CF5570">
      <w:pPr>
        <w:pStyle w:val="30"/>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仿宋_GB2312" w:hAnsi="仿宋_GB2312" w:eastAsia="仿宋_GB2312" w:cs="仿宋_GB2312"/>
          <w:color w:val="auto"/>
          <w:sz w:val="32"/>
          <w:szCs w:val="32"/>
          <w:highlight w:val="none"/>
          <w:lang w:eastAsia="zh-CN"/>
        </w:rPr>
      </w:pPr>
      <w:r>
        <w:drawing>
          <wp:inline distT="0" distB="0" distL="114300" distR="114300">
            <wp:extent cx="4848225" cy="2749550"/>
            <wp:effectExtent l="4445" t="4445" r="5080" b="825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145AFC">
      <w:pPr>
        <w:keepNext w:val="0"/>
        <w:keepLines w:val="0"/>
        <w:pageBreakBefore w:val="0"/>
        <w:widowControl w:val="0"/>
        <w:kinsoku/>
        <w:wordWrap/>
        <w:overflowPunct w:val="0"/>
        <w:topLinePunct/>
        <w:autoSpaceDE w:val="0"/>
        <w:autoSpaceDN w:val="0"/>
        <w:bidi w:val="0"/>
        <w:adjustRightInd/>
        <w:snapToGrid/>
        <w:spacing w:line="576" w:lineRule="exact"/>
        <w:ind w:left="0" w:firstLine="3200" w:firstLineChars="1000"/>
        <w:jc w:val="both"/>
        <w:textAlignment w:val="auto"/>
        <w:outlineLvl w:val="9"/>
        <w:rPr>
          <w:rFonts w:hint="eastAsia" w:ascii="Times New Roman" w:hAnsi="Times New Roman" w:eastAsia="黑体"/>
          <w:color w:val="auto"/>
          <w:sz w:val="32"/>
          <w:szCs w:val="32"/>
          <w:highlight w:val="none"/>
        </w:rPr>
      </w:pPr>
      <w:bookmarkStart w:id="18" w:name="_Toc15396606"/>
      <w:bookmarkStart w:id="19" w:name="_Toc15377208"/>
      <w:r>
        <w:rPr>
          <w:rFonts w:hint="eastAsia" w:ascii="仿宋_GB2312" w:hAnsi="仿宋_GB2312" w:eastAsia="仿宋_GB2312"/>
          <w:color w:val="000000"/>
          <w:kern w:val="2"/>
          <w:sz w:val="32"/>
          <w:szCs w:val="32"/>
          <w:highlight w:val="none"/>
          <w:lang w:val="en-US"/>
        </w:rPr>
        <w:t>图3：支出决算结构图</w:t>
      </w:r>
    </w:p>
    <w:p w14:paraId="7F0A4C3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2"/>
          <w:rFonts w:ascii="Times New Roman" w:hAnsi="Times New Roman" w:eastAsia="黑体"/>
          <w:b w:val="0"/>
          <w:color w:val="auto"/>
          <w:sz w:val="32"/>
          <w:szCs w:val="32"/>
          <w:highlight w:val="none"/>
        </w:rPr>
      </w:pPr>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sz w:val="32"/>
          <w:szCs w:val="32"/>
          <w:highlight w:val="none"/>
        </w:rPr>
        <w:t>政拨款收入支出决算总体情况说明</w:t>
      </w:r>
      <w:bookmarkEnd w:id="18"/>
      <w:bookmarkEnd w:id="19"/>
    </w:p>
    <w:p w14:paraId="0832074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财政拨款收入、支出总计均为</w:t>
      </w:r>
      <w:r>
        <w:rPr>
          <w:rFonts w:hint="eastAsia" w:ascii="仿宋_GB2312" w:hAnsi="仿宋_GB2312" w:eastAsia="仿宋_GB2312" w:cs="仿宋_GB2312"/>
          <w:sz w:val="32"/>
          <w:szCs w:val="32"/>
        </w:rPr>
        <w:t>183.54</w:t>
      </w:r>
      <w:r>
        <w:rPr>
          <w:rFonts w:hint="eastAsia" w:ascii="仿宋_GB2312" w:hAnsi="仿宋_GB2312" w:eastAsia="仿宋_GB2312" w:cs="仿宋_GB2312"/>
          <w:color w:val="auto"/>
          <w:kern w:val="2"/>
          <w:sz w:val="32"/>
          <w:szCs w:val="32"/>
          <w:highlight w:val="none"/>
          <w:lang w:val="en-US" w:eastAsia="zh-CN" w:bidi="ar-SA"/>
        </w:rPr>
        <w:t>万元。与2023年度相比，财政拨款收入总计、支出总计各增加16.84万元，增长9.2%。主要变动原因是异地商会经费增加。</w:t>
      </w:r>
    </w:p>
    <w:p w14:paraId="77CAD04C">
      <w:pPr>
        <w:keepNext w:val="0"/>
        <w:keepLines w:val="0"/>
        <w:pageBreakBefore w:val="0"/>
        <w:widowControl w:val="0"/>
        <w:kinsoku/>
        <w:wordWrap/>
        <w:overflowPunct w:val="0"/>
        <w:topLinePunct/>
        <w:autoSpaceDE w:val="0"/>
        <w:autoSpaceDN w:val="0"/>
        <w:bidi w:val="0"/>
        <w:adjustRightInd/>
        <w:snapToGrid/>
        <w:spacing w:line="240" w:lineRule="auto"/>
        <w:ind w:left="0" w:firstLine="42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3095625"/>
            <wp:effectExtent l="4445" t="4445" r="14605" b="5080"/>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CEE01F">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center"/>
        <w:textAlignment w:val="auto"/>
        <w:outlineLvl w:val="9"/>
        <w:rPr>
          <w:rFonts w:hint="eastAsia" w:ascii="Times New Roman" w:hAnsi="Times New Roman" w:eastAsia="黑体"/>
          <w:color w:val="auto"/>
          <w:sz w:val="32"/>
          <w:szCs w:val="32"/>
          <w:highlight w:val="none"/>
        </w:rPr>
      </w:pPr>
      <w:bookmarkStart w:id="20" w:name="_Toc15377209"/>
      <w:bookmarkStart w:id="21" w:name="_Toc15396607"/>
      <w:r>
        <w:rPr>
          <w:rFonts w:hint="eastAsia" w:ascii="仿宋_GB2312" w:hAnsi="仿宋_GB2312" w:eastAsia="仿宋_GB2312"/>
          <w:color w:val="000000"/>
          <w:kern w:val="2"/>
          <w:sz w:val="32"/>
          <w:szCs w:val="32"/>
          <w:highlight w:val="none"/>
          <w:lang w:val="en-US"/>
        </w:rPr>
        <w:t>图4：财政拨款收、支决算总计变动情况</w:t>
      </w:r>
    </w:p>
    <w:p w14:paraId="425C82E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2"/>
          <w:rFonts w:ascii="Times New Roman" w:hAnsi="Times New Roman" w:eastAsia="黑体"/>
          <w:b w:val="0"/>
          <w:color w:val="auto"/>
          <w:sz w:val="32"/>
          <w:szCs w:val="32"/>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sz w:val="32"/>
          <w:szCs w:val="32"/>
          <w:highlight w:val="none"/>
        </w:rPr>
        <w:t>般公共预算财政拨款支出决算情况说明</w:t>
      </w:r>
      <w:bookmarkEnd w:id="20"/>
      <w:bookmarkEnd w:id="21"/>
    </w:p>
    <w:p w14:paraId="63050439">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5FB2EEC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183.54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%。与2023年度相比，一般公共预算财政拨款支出增加16.84万元，增长9.2%。主要变动原因是</w:t>
      </w:r>
      <w:r>
        <w:rPr>
          <w:rFonts w:hint="eastAsia" w:ascii="Times New Roman" w:hAnsi="Times New Roman" w:eastAsia="仿宋_GB2312" w:cs="仿宋_GB2312"/>
          <w:color w:val="auto"/>
          <w:kern w:val="2"/>
          <w:sz w:val="32"/>
          <w:szCs w:val="32"/>
          <w:highlight w:val="none"/>
          <w:lang w:val="en-US" w:eastAsia="zh-CN" w:bidi="ar-SA"/>
        </w:rPr>
        <w:t>异地商会经费增加。</w:t>
      </w:r>
    </w:p>
    <w:p w14:paraId="345D84E3">
      <w:pPr>
        <w:pStyle w:val="2"/>
        <w:keepNext w:val="0"/>
        <w:keepLines w:val="0"/>
        <w:pageBreakBefore w:val="0"/>
        <w:widowControl w:val="0"/>
        <w:kinsoku/>
        <w:wordWrap/>
        <w:overflowPunct/>
        <w:topLinePunct w:val="0"/>
        <w:autoSpaceDE w:val="0"/>
        <w:autoSpaceDN w:val="0"/>
        <w:bidi w:val="0"/>
        <w:adjustRightInd w:val="0"/>
        <w:snapToGrid/>
        <w:textAlignment w:val="auto"/>
      </w:pPr>
      <w:r>
        <w:drawing>
          <wp:inline distT="0" distB="0" distL="114300" distR="114300">
            <wp:extent cx="4572000" cy="3095625"/>
            <wp:effectExtent l="4445" t="4445" r="14605" b="5080"/>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9EFB9C">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4CC6455E">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0089D61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2024年度一般公共预算财政拨款支出183.54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，主要用于以下方面：一般公共服务支出154.44万元，占84.1%；社会保障和就业支出22.75万元，占12.4%；卫生健康支出2.00万元，占1.1%；住房保障支出4.34万元，占2.4%。</w:t>
      </w:r>
    </w:p>
    <w:p w14:paraId="2DC3624D">
      <w:pPr>
        <w:pStyle w:val="2"/>
        <w:keepNext w:val="0"/>
        <w:keepLines w:val="0"/>
        <w:pageBreakBefore w:val="0"/>
        <w:widowControl w:val="0"/>
        <w:kinsoku/>
        <w:wordWrap/>
        <w:overflowPunct/>
        <w:topLinePunct w:val="0"/>
        <w:autoSpaceDE w:val="0"/>
        <w:autoSpaceDN w:val="0"/>
        <w:bidi w:val="0"/>
        <w:adjustRightInd w:val="0"/>
        <w:snapToGrid/>
        <w:textAlignment w:val="auto"/>
        <w:rPr>
          <w:rFonts w:hint="eastAsia"/>
          <w:lang w:val="en-US" w:eastAsia="zh-CN"/>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D73EA0">
      <w:pPr>
        <w:keepNext w:val="0"/>
        <w:keepLines w:val="0"/>
        <w:pageBreakBefore w:val="0"/>
        <w:widowControl w:val="0"/>
        <w:kinsoku/>
        <w:wordWrap/>
        <w:overflowPunct w:val="0"/>
        <w:topLinePunct/>
        <w:autoSpaceDE w:val="0"/>
        <w:autoSpaceDN w:val="0"/>
        <w:bidi w:val="0"/>
        <w:adjustRightInd/>
        <w:snapToGrid/>
        <w:spacing w:line="576" w:lineRule="exact"/>
        <w:ind w:left="0" w:firstLine="1280" w:firstLineChars="400"/>
        <w:jc w:val="both"/>
        <w:textAlignment w:val="auto"/>
        <w:outlineLvl w:val="9"/>
        <w:rPr>
          <w:rFonts w:hint="eastAsia" w:ascii="Times New Roman" w:hAnsi="Times New Roman" w:eastAsia="楷体_GB2312" w:cs="楷体_GB2312"/>
          <w:b/>
          <w:color w:val="auto"/>
          <w:sz w:val="32"/>
          <w:szCs w:val="32"/>
          <w:highlight w:val="none"/>
        </w:rPr>
      </w:pPr>
      <w:bookmarkStart w:id="24" w:name="_Toc15377212"/>
      <w:r>
        <w:rPr>
          <w:rFonts w:hint="eastAsia" w:ascii="仿宋_GB2312" w:hAnsi="仿宋_GB2312" w:eastAsia="仿宋_GB2312"/>
          <w:color w:val="000000"/>
          <w:kern w:val="2"/>
          <w:sz w:val="32"/>
          <w:szCs w:val="32"/>
          <w:highlight w:val="none"/>
          <w:lang w:val="en-US"/>
        </w:rPr>
        <w:t>图6：一般公共预算财政拨款支出决算结构</w:t>
      </w:r>
    </w:p>
    <w:p w14:paraId="0EFDA705">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7392C12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25" w:name="_Toc15378460"/>
      <w:bookmarkStart w:id="26" w:name="_Toc15377444"/>
      <w:bookmarkStart w:id="2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183.54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0C8FFDE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ascii="仿宋_GB2312" w:hAnsi="仿宋_GB2312" w:eastAsia="仿宋_GB2312" w:cs="仿宋_GB2312"/>
          <w:sz w:val="32"/>
          <w:szCs w:val="32"/>
        </w:rPr>
        <w:t>民主党派及工商联事务</w:t>
      </w:r>
      <w:r>
        <w:rPr>
          <w:rFonts w:hint="eastAsia" w:ascii="仿宋_GB2312" w:hAnsi="仿宋_GB2312" w:eastAsia="仿宋_GB2312" w:cs="仿宋_GB2312"/>
          <w:color w:val="auto"/>
          <w:kern w:val="2"/>
          <w:sz w:val="32"/>
          <w:szCs w:val="32"/>
          <w:highlight w:val="none"/>
          <w:lang w:val="en-US" w:eastAsia="zh-CN" w:bidi="ar-SA"/>
        </w:rPr>
        <w:t>（款）</w:t>
      </w:r>
      <w:r>
        <w:rPr>
          <w:rFonts w:hint="eastAsia" w:ascii="仿宋_GB2312" w:hAnsi="仿宋_GB2312" w:eastAsia="仿宋_GB2312" w:cs="仿宋_GB2312"/>
          <w:sz w:val="32"/>
          <w:szCs w:val="32"/>
        </w:rPr>
        <w:t>行政运行</w:t>
      </w:r>
      <w:r>
        <w:rPr>
          <w:rFonts w:hint="eastAsia" w:ascii="仿宋_GB2312" w:hAnsi="仿宋_GB2312"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129.44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。决算数与全年预算数持平。</w:t>
      </w:r>
    </w:p>
    <w:p w14:paraId="3880C38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w:t>
      </w:r>
      <w:r>
        <w:rPr>
          <w:rFonts w:hint="eastAsia" w:ascii="仿宋_GB2312" w:hAnsi="仿宋_GB2312" w:eastAsia="仿宋_GB2312" w:cs="仿宋_GB2312"/>
          <w:sz w:val="32"/>
          <w:szCs w:val="32"/>
        </w:rPr>
        <w:t>民主党派及工商联事务</w:t>
      </w:r>
      <w:r>
        <w:rPr>
          <w:rFonts w:hint="eastAsia"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rPr>
        <w:t>一般行政管理事务</w:t>
      </w:r>
      <w:r>
        <w:rPr>
          <w:rFonts w:hint="eastAsia" w:ascii="仿宋_GB2312" w:hAnsi="仿宋_GB2312" w:eastAsia="仿宋_GB2312" w:cs="仿宋_GB2312"/>
          <w:sz w:val="32"/>
          <w:szCs w:val="32"/>
          <w:lang w:val="en-US" w:eastAsia="zh-CN"/>
        </w:rPr>
        <w:t>（项）</w:t>
      </w:r>
      <w:r>
        <w:rPr>
          <w:rFonts w:hint="eastAsia" w:ascii="Times New Roman" w:hAnsi="Times New Roman" w:eastAsia="仿宋_GB2312" w:cs="仿宋_GB2312"/>
          <w:color w:val="auto"/>
          <w:kern w:val="2"/>
          <w:sz w:val="32"/>
          <w:szCs w:val="32"/>
          <w:highlight w:val="none"/>
          <w:lang w:val="en-US" w:eastAsia="zh-CN" w:bidi="ar-SA"/>
        </w:rPr>
        <w:t>: 支出决算为</w:t>
      </w: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。决算数与全年预算数持平。</w:t>
      </w:r>
    </w:p>
    <w:p w14:paraId="5022694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。决算数与全年预算数持平。</w:t>
      </w:r>
    </w:p>
    <w:p w14:paraId="2C3443B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支出决算为8.8万元，完成预算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决算数与全年预算数持平。</w:t>
      </w:r>
    </w:p>
    <w:p w14:paraId="3B3BACE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5.社会保障和就业（类）行政事业单位养老支出（款）机关机关事业单位职业年金缴费支出（项）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支出决算为7.46万元，完成预算100%。</w:t>
      </w:r>
      <w:r>
        <w:rPr>
          <w:rFonts w:hint="eastAsia" w:eastAsia="仿宋_GB2312" w:cs="仿宋_GB2312"/>
          <w:color w:val="auto"/>
          <w:kern w:val="2"/>
          <w:sz w:val="32"/>
          <w:szCs w:val="32"/>
          <w:highlight w:val="none"/>
          <w:lang w:val="en-US" w:eastAsia="zh-CN" w:bidi="ar-SA"/>
        </w:rPr>
        <w:t>决算数与全年预算数持平。</w:t>
      </w:r>
    </w:p>
    <w:p w14:paraId="0B57FF9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bookmarkStart w:id="28" w:name="_Toc15377214"/>
      <w:bookmarkStart w:id="29" w:name="_Toc15396608"/>
      <w:r>
        <w:rPr>
          <w:rFonts w:hint="eastAsia" w:eastAsia="仿宋_GB2312" w:cs="仿宋_GB2312"/>
          <w:color w:val="auto"/>
          <w:kern w:val="2"/>
          <w:sz w:val="32"/>
          <w:szCs w:val="32"/>
          <w:highlight w:val="none"/>
          <w:lang w:val="en-US" w:eastAsia="zh-CN" w:bidi="ar-SA"/>
        </w:rPr>
        <w:t>。决算数与全年预算数持平。</w:t>
      </w:r>
    </w:p>
    <w:p w14:paraId="39D36E5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7.住房保障支出（类）住房改革支出（款）住房公积金（项）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支出决算为4.34万元，完成预算100%。</w:t>
      </w:r>
      <w:r>
        <w:rPr>
          <w:rFonts w:hint="eastAsia" w:eastAsia="仿宋_GB2312" w:cs="仿宋_GB2312"/>
          <w:color w:val="auto"/>
          <w:kern w:val="2"/>
          <w:sz w:val="32"/>
          <w:szCs w:val="32"/>
          <w:highlight w:val="none"/>
          <w:lang w:val="en-US" w:eastAsia="zh-CN" w:bidi="ar-SA"/>
        </w:rPr>
        <w:t>决算数与全年预算数持平。</w:t>
      </w:r>
    </w:p>
    <w:p w14:paraId="549781CD">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2"/>
          <w:rFonts w:ascii="Times New Roman" w:hAnsi="Times New Roman"/>
          <w:color w:val="auto"/>
          <w:sz w:val="32"/>
          <w:szCs w:val="32"/>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sz w:val="32"/>
          <w:szCs w:val="32"/>
          <w:highlight w:val="none"/>
        </w:rPr>
        <w:t>般公共预算财政拨款基本支出决算情况说明</w:t>
      </w:r>
      <w:bookmarkEnd w:id="28"/>
      <w:bookmarkEnd w:id="29"/>
      <w:r>
        <w:rPr>
          <w:rStyle w:val="32"/>
          <w:rFonts w:ascii="Times New Roman" w:hAnsi="Times New Roman" w:eastAsia="黑体"/>
          <w:b w:val="0"/>
          <w:color w:val="auto"/>
          <w:sz w:val="32"/>
          <w:szCs w:val="32"/>
          <w:highlight w:val="none"/>
        </w:rPr>
        <w:tab/>
      </w:r>
    </w:p>
    <w:p w14:paraId="48177544">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158.54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AB5A367">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86.3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元，主要包括：基本工资26.14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元、津贴补贴12.2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元、奖金17.64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元、机关事业单位基本养老保险缴费8.80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元、职业年金缴费7.46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元、职工基本医疗保险缴费2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生活补助</w:t>
      </w:r>
      <w:r>
        <w:rPr>
          <w:rFonts w:hint="eastAsia" w:eastAsia="仿宋_GB2312" w:cs="仿宋_GB2312"/>
          <w:color w:val="auto"/>
          <w:kern w:val="2"/>
          <w:sz w:val="32"/>
          <w:szCs w:val="32"/>
          <w:highlight w:val="none"/>
          <w:lang w:val="en-US" w:eastAsia="zh-CN" w:bidi="ar-SA"/>
        </w:rPr>
        <w:t>7.72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元、住房公积金4.34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kern w:val="2"/>
          <w:sz w:val="32"/>
          <w:szCs w:val="32"/>
          <w:highlight w:val="none"/>
          <w:lang w:val="en-US" w:eastAsia="zh-CN" w:bidi="ar-SA"/>
        </w:rPr>
        <w:t>72.24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元，主要包括：办公费6.41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元、印刷费12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元、差旅费</w:t>
      </w:r>
      <w:r>
        <w:rPr>
          <w:rFonts w:hint="eastAsia"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元、会议费</w:t>
      </w:r>
      <w:r>
        <w:rPr>
          <w:rFonts w:hint="eastAsia" w:eastAsia="仿宋_GB2312" w:cs="仿宋_GB2312"/>
          <w:color w:val="auto"/>
          <w:kern w:val="2"/>
          <w:sz w:val="32"/>
          <w:szCs w:val="32"/>
          <w:highlight w:val="none"/>
          <w:lang w:val="en-US" w:eastAsia="zh-CN" w:bidi="ar-SA"/>
        </w:rPr>
        <w:t>44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元、公务接待费</w:t>
      </w:r>
      <w:r>
        <w:rPr>
          <w:rFonts w:hint="eastAsia" w:eastAsia="仿宋_GB2312" w:cs="仿宋_GB2312"/>
          <w:color w:val="auto"/>
          <w:kern w:val="2"/>
          <w:sz w:val="32"/>
          <w:szCs w:val="32"/>
          <w:highlight w:val="none"/>
          <w:lang w:val="en-US" w:eastAsia="zh-CN" w:bidi="ar-SA"/>
        </w:rPr>
        <w:t>1.12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元、工会经费</w:t>
      </w:r>
      <w:r>
        <w:rPr>
          <w:rFonts w:hint="eastAsia" w:eastAsia="仿宋_GB2312" w:cs="仿宋_GB2312"/>
          <w:color w:val="auto"/>
          <w:kern w:val="2"/>
          <w:sz w:val="32"/>
          <w:szCs w:val="32"/>
          <w:highlight w:val="none"/>
          <w:lang w:val="en-US" w:eastAsia="zh-CN" w:bidi="ar-SA"/>
        </w:rPr>
        <w:t>1.12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其他交通费</w:t>
      </w:r>
      <w:r>
        <w:rPr>
          <w:rFonts w:hint="eastAsia" w:eastAsia="仿宋_GB2312" w:cs="仿宋_GB2312"/>
          <w:color w:val="auto"/>
          <w:kern w:val="2"/>
          <w:sz w:val="32"/>
          <w:szCs w:val="32"/>
          <w:highlight w:val="none"/>
          <w:lang w:val="en-US" w:eastAsia="zh-CN" w:bidi="ar-SA"/>
        </w:rPr>
        <w:t>3.35万元</w:t>
      </w:r>
      <w:r>
        <w:rPr>
          <w:rFonts w:hint="eastAsia" w:ascii="Times New Roman" w:hAnsi="Times New Roman" w:eastAsia="仿宋_GB2312" w:cs="仿宋_GB2312"/>
          <w:color w:val="auto"/>
          <w:kern w:val="2"/>
          <w:sz w:val="32"/>
          <w:szCs w:val="32"/>
          <w:highlight w:val="none"/>
          <w:lang w:val="en-US" w:eastAsia="zh-CN" w:bidi="ar-SA"/>
        </w:rPr>
        <w:t>。</w:t>
      </w:r>
    </w:p>
    <w:p w14:paraId="774077B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2"/>
          <w:rFonts w:ascii="Times New Roman" w:hAnsi="Times New Roman" w:eastAsia="黑体"/>
          <w:b w:val="0"/>
          <w:color w:val="auto"/>
          <w:sz w:val="32"/>
          <w:szCs w:val="32"/>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sz w:val="32"/>
          <w:szCs w:val="32"/>
          <w:highlight w:val="none"/>
        </w:rPr>
        <w:t>财政拨款</w:t>
      </w:r>
      <w:r>
        <w:rPr>
          <w:rStyle w:val="32"/>
          <w:rFonts w:hint="eastAsia" w:ascii="Times New Roman" w:hAnsi="Times New Roman" w:eastAsia="黑体"/>
          <w:color w:val="auto"/>
          <w:sz w:val="32"/>
          <w:szCs w:val="32"/>
          <w:highlight w:val="none"/>
        </w:rPr>
        <w:t>“</w:t>
      </w:r>
      <w:r>
        <w:rPr>
          <w:rStyle w:val="32"/>
          <w:rFonts w:hint="eastAsia" w:ascii="Times New Roman" w:hAnsi="Times New Roman" w:eastAsia="黑体"/>
          <w:b w:val="0"/>
          <w:color w:val="auto"/>
          <w:sz w:val="32"/>
          <w:szCs w:val="32"/>
          <w:highlight w:val="none"/>
        </w:rPr>
        <w:t>三公”经费支出决算情况说明</w:t>
      </w:r>
      <w:bookmarkEnd w:id="30"/>
      <w:bookmarkEnd w:id="31"/>
    </w:p>
    <w:p w14:paraId="30D8331C">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232E5764">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无变化</w:t>
      </w:r>
      <w:r>
        <w:rPr>
          <w:rFonts w:hint="eastAsia" w:ascii="Times New Roman" w:hAnsi="Times New Roman" w:eastAsia="仿宋_GB2312" w:cs="仿宋_GB2312"/>
          <w:color w:val="auto"/>
          <w:kern w:val="2"/>
          <w:sz w:val="32"/>
          <w:szCs w:val="32"/>
          <w:highlight w:val="none"/>
          <w:lang w:val="en-US" w:eastAsia="zh-CN" w:bidi="ar-SA"/>
        </w:rPr>
        <w:t>。决算数与预算数持平的主要原因是</w:t>
      </w:r>
      <w:r>
        <w:rPr>
          <w:rFonts w:hint="eastAsia" w:eastAsia="仿宋_GB2312" w:cs="仿宋_GB2312"/>
          <w:color w:val="auto"/>
          <w:kern w:val="2"/>
          <w:sz w:val="32"/>
          <w:szCs w:val="32"/>
          <w:highlight w:val="none"/>
          <w:lang w:val="en-US" w:eastAsia="zh-CN" w:bidi="ar-SA"/>
        </w:rPr>
        <w:t>厉行节约，严控三公经费支出。</w:t>
      </w:r>
    </w:p>
    <w:p w14:paraId="482EBB37">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67CB5E9B">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7134EC1F">
      <w:pPr>
        <w:pStyle w:val="2"/>
        <w:keepNext w:val="0"/>
        <w:keepLines w:val="0"/>
        <w:pageBreakBefore w:val="0"/>
        <w:widowControl w:val="0"/>
        <w:kinsoku/>
        <w:wordWrap/>
        <w:overflowPunct/>
        <w:topLinePunct w:val="0"/>
        <w:autoSpaceDE w:val="0"/>
        <w:autoSpaceDN w:val="0"/>
        <w:bidi w:val="0"/>
        <w:adjustRightInd w:val="0"/>
        <w:snapToGrid/>
        <w:textAlignment w:val="auto"/>
        <w:rPr>
          <w:rFonts w:hint="eastAsia"/>
          <w:lang w:val="en-US" w:eastAsia="zh-CN"/>
        </w:rPr>
      </w:pPr>
      <w:r>
        <w:drawing>
          <wp:inline distT="0" distB="0" distL="114300" distR="114300">
            <wp:extent cx="4572000" cy="2743200"/>
            <wp:effectExtent l="4445" t="4445" r="14605" b="14605"/>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955C29A">
      <w:pPr>
        <w:keepNext w:val="0"/>
        <w:keepLines w:val="0"/>
        <w:pageBreakBefore w:val="0"/>
        <w:widowControl w:val="0"/>
        <w:kinsoku/>
        <w:wordWrap/>
        <w:overflowPunct w:val="0"/>
        <w:topLinePunct/>
        <w:autoSpaceDE w:val="0"/>
        <w:autoSpaceDN w:val="0"/>
        <w:bidi w:val="0"/>
        <w:adjustRightInd/>
        <w:snapToGrid/>
        <w:spacing w:line="576" w:lineRule="exact"/>
        <w:ind w:left="0" w:firstLine="1280" w:firstLineChars="4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06506A9A">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年初未安排预算</w:t>
      </w:r>
      <w:r>
        <w:rPr>
          <w:rFonts w:hint="eastAsia" w:ascii="仿宋_GB2312" w:hAnsi="仿宋_GB2312" w:eastAsia="仿宋_GB2312"/>
          <w:color w:val="000000"/>
          <w:kern w:val="2"/>
          <w:sz w:val="32"/>
          <w:szCs w:val="24"/>
          <w:lang w:val="en-US"/>
        </w:rPr>
        <w:t>。因公出国（境）支出决算与202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年持平</w:t>
      </w:r>
      <w:r>
        <w:rPr>
          <w:rFonts w:hint="eastAsia" w:ascii="仿宋_GB2312" w:hAnsi="仿宋_GB2312" w:eastAsia="仿宋_GB2312"/>
          <w:color w:val="000000"/>
          <w:kern w:val="2"/>
          <w:sz w:val="32"/>
          <w:szCs w:val="24"/>
          <w:lang w:val="en-US" w:eastAsia="zh-CN"/>
        </w:rPr>
        <w:t>，因公出国（境）支出决算较2023年度无变化。</w:t>
      </w:r>
    </w:p>
    <w:p w14:paraId="3CF2309E">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仿宋_GB2312" w:hAnsi="仿宋_GB2312" w:eastAsia="仿宋_GB2312"/>
          <w:color w:val="000000"/>
          <w:kern w:val="2"/>
          <w:sz w:val="32"/>
          <w:szCs w:val="24"/>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w:t>
      </w:r>
      <w:r>
        <w:rPr>
          <w:rFonts w:hint="eastAsia" w:ascii="仿宋_GB2312" w:hAnsi="仿宋_GB2312" w:eastAsia="仿宋_GB2312"/>
          <w:color w:val="000000"/>
          <w:kern w:val="2"/>
          <w:sz w:val="32"/>
          <w:szCs w:val="24"/>
          <w:lang w:val="en-US"/>
        </w:rPr>
        <w:t>预算为0万元,支出决算为0万元，完成预算的0%。公务用车购置及运行维护费支出决算与202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年度持平</w:t>
      </w:r>
      <w:r>
        <w:rPr>
          <w:rFonts w:hint="eastAsia" w:eastAsia="仿宋_GB2312" w:cs="仿宋_GB2312"/>
          <w:color w:val="auto"/>
          <w:kern w:val="2"/>
          <w:sz w:val="32"/>
          <w:szCs w:val="32"/>
          <w:highlight w:val="none"/>
          <w:lang w:val="en-US" w:eastAsia="zh-CN" w:bidi="ar-SA"/>
        </w:rPr>
        <w:t>。</w:t>
      </w:r>
    </w:p>
    <w:p w14:paraId="10458874">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仿宋_GB2312" w:cs="仿宋_GB2312"/>
          <w:b/>
          <w:bCs/>
          <w:color w:val="auto"/>
          <w:kern w:val="2"/>
          <w:sz w:val="32"/>
          <w:szCs w:val="32"/>
          <w:highlight w:val="none"/>
          <w:lang w:val="en-US" w:eastAsia="zh-CN" w:bidi="ar-SA"/>
        </w:rPr>
      </w:pPr>
    </w:p>
    <w:p w14:paraId="0EBF2AEF">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其中：</w:t>
      </w:r>
      <w:r>
        <w:rPr>
          <w:rFonts w:hint="eastAsia" w:ascii="仿宋_GB2312" w:hAnsi="仿宋_GB2312" w:eastAsia="仿宋_GB2312"/>
          <w:b/>
          <w:color w:val="000000"/>
          <w:kern w:val="2"/>
          <w:sz w:val="32"/>
          <w:szCs w:val="24"/>
          <w:lang w:val="en-US"/>
        </w:rPr>
        <w:t>公务用车购置费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万元。全年按规定更新购置公务用车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万元。截至202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年12月31日，本部门共有公务用车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w:t>
      </w:r>
    </w:p>
    <w:p w14:paraId="24F90854">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b/>
          <w:bCs/>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公务用车运行维护费支</w:t>
      </w:r>
      <w:r>
        <w:rPr>
          <w:rFonts w:hint="eastAsia" w:ascii="仿宋_GB2312" w:hAnsi="仿宋_GB2312" w:eastAsia="仿宋_GB2312" w:cs="仿宋_GB2312"/>
          <w:b/>
          <w:bCs/>
          <w:color w:val="auto"/>
          <w:kern w:val="2"/>
          <w:sz w:val="32"/>
          <w:szCs w:val="32"/>
          <w:highlight w:val="none"/>
          <w:lang w:val="en-US" w:eastAsia="zh-CN" w:bidi="ar-SA"/>
        </w:rPr>
        <w:t>出0</w:t>
      </w:r>
      <w:r>
        <w:rPr>
          <w:rFonts w:hint="eastAsia" w:ascii="Times New Roman" w:hAnsi="Times New Roman" w:eastAsia="仿宋_GB2312" w:cs="仿宋_GB2312"/>
          <w:b/>
          <w:bCs/>
          <w:color w:val="auto"/>
          <w:kern w:val="2"/>
          <w:sz w:val="32"/>
          <w:szCs w:val="32"/>
          <w:highlight w:val="none"/>
          <w:lang w:val="en-US" w:eastAsia="zh-CN" w:bidi="ar-SA"/>
        </w:rPr>
        <w:t>万元。</w:t>
      </w:r>
    </w:p>
    <w:p w14:paraId="66AAEDE4">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2.</w:t>
      </w: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eastAsia="仿宋_GB2312" w:cs="仿宋_GB2312"/>
          <w:b/>
          <w:bCs/>
          <w:color w:val="auto"/>
          <w:kern w:val="2"/>
          <w:sz w:val="32"/>
          <w:szCs w:val="32"/>
          <w:highlight w:val="none"/>
          <w:lang w:val="en-US" w:eastAsia="zh-CN" w:bidi="ar-SA"/>
        </w:rPr>
        <w:t>1.12</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厉行节约，严控三公经费支出</w:t>
      </w:r>
      <w:r>
        <w:rPr>
          <w:rFonts w:hint="eastAsia" w:ascii="Times New Roman" w:hAnsi="Times New Roman" w:eastAsia="仿宋_GB2312" w:cs="仿宋_GB2312"/>
          <w:color w:val="auto"/>
          <w:kern w:val="2"/>
          <w:sz w:val="32"/>
          <w:szCs w:val="32"/>
          <w:highlight w:val="none"/>
          <w:lang w:val="en-US" w:eastAsia="zh-CN" w:bidi="ar-SA"/>
        </w:rPr>
        <w:t>。其中：</w:t>
      </w:r>
    </w:p>
    <w:p w14:paraId="5553E864">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80</w:t>
      </w:r>
      <w:r>
        <w:rPr>
          <w:rFonts w:hint="eastAsia" w:ascii="Times New Roman" w:hAnsi="Times New Roman" w:eastAsia="仿宋_GB2312" w:cs="仿宋_GB2312"/>
          <w:color w:val="auto"/>
          <w:kern w:val="2"/>
          <w:sz w:val="32"/>
          <w:szCs w:val="32"/>
          <w:highlight w:val="none"/>
          <w:lang w:val="en-US" w:eastAsia="zh-CN" w:bidi="ar-SA"/>
        </w:rPr>
        <w:t>人次，共计支出</w:t>
      </w:r>
      <w:r>
        <w:rPr>
          <w:rFonts w:hint="eastAsia" w:eastAsia="仿宋_GB2312" w:cs="仿宋_GB2312"/>
          <w:color w:val="auto"/>
          <w:kern w:val="2"/>
          <w:sz w:val="32"/>
          <w:szCs w:val="32"/>
          <w:highlight w:val="none"/>
          <w:lang w:val="en-US" w:eastAsia="zh-CN" w:bidi="ar-SA"/>
        </w:rPr>
        <w:t>1.12</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浙江昭化商会带商考察区内农业、种植业，重庆昭化商会带客商考察商贸业，成都昭化商会带客商考察区内文旅产业以及东西部协作浙江企业帮村结对。</w:t>
      </w:r>
    </w:p>
    <w:p w14:paraId="50C8E818">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人次，共计支出0万</w:t>
      </w:r>
      <w:r>
        <w:rPr>
          <w:rFonts w:hint="eastAsia" w:ascii="Times New Roman" w:hAnsi="Times New Roman" w:eastAsia="仿宋_GB2312" w:cs="仿宋_GB2312"/>
          <w:color w:val="auto"/>
          <w:kern w:val="2"/>
          <w:sz w:val="32"/>
          <w:szCs w:val="32"/>
          <w:highlight w:val="none"/>
          <w:lang w:val="en-US" w:eastAsia="zh-CN" w:bidi="ar-SA"/>
        </w:rPr>
        <w:t>元。</w:t>
      </w:r>
    </w:p>
    <w:p w14:paraId="31C37471">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Style w:val="32"/>
          <w:rFonts w:ascii="Times New Roman" w:hAnsi="Times New Roman" w:eastAsia="黑体"/>
          <w:color w:val="auto"/>
          <w:sz w:val="32"/>
          <w:szCs w:val="32"/>
          <w:highlight w:val="none"/>
        </w:rPr>
      </w:pPr>
      <w:bookmarkStart w:id="34" w:name="_Toc15396610"/>
      <w:bookmarkStart w:id="35" w:name="_Toc15377218"/>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sz w:val="32"/>
          <w:szCs w:val="32"/>
          <w:highlight w:val="none"/>
        </w:rPr>
        <w:t>政府性基金预算支出决算情况说明</w:t>
      </w:r>
      <w:bookmarkEnd w:id="34"/>
      <w:bookmarkEnd w:id="35"/>
    </w:p>
    <w:p w14:paraId="5D0A3A2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36" w:name="_Toc15377219"/>
      <w:bookmarkStart w:id="37" w:name="_Toc15396611"/>
      <w:r>
        <w:rPr>
          <w:rFonts w:hint="eastAsia" w:ascii="仿宋_GB2312" w:hAnsi="仿宋_GB2312" w:eastAsia="仿宋_GB2312"/>
          <w:color w:val="000000"/>
          <w:kern w:val="2"/>
          <w:sz w:val="32"/>
          <w:szCs w:val="24"/>
          <w:lang w:val="en-US"/>
        </w:rPr>
        <w:t>2024年度政府性基金预算财政拨款支出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。与2023年度相比，政府性基金预算财政拨款支出数与上年持平。</w:t>
      </w:r>
    </w:p>
    <w:p w14:paraId="7299C713">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9"/>
        <w:rPr>
          <w:rStyle w:val="32"/>
          <w:rFonts w:ascii="Times New Roman" w:hAnsi="Times New Roman" w:eastAsia="黑体"/>
          <w:b w:val="0"/>
          <w:color w:val="auto"/>
          <w:sz w:val="32"/>
          <w:szCs w:val="32"/>
          <w:highlight w:val="none"/>
        </w:rPr>
      </w:pPr>
      <w:r>
        <w:rPr>
          <w:rStyle w:val="32"/>
          <w:rFonts w:hint="eastAsia" w:ascii="Times New Roman" w:hAnsi="Times New Roman" w:eastAsia="黑体"/>
          <w:b w:val="0"/>
          <w:color w:val="auto"/>
          <w:sz w:val="32"/>
          <w:szCs w:val="32"/>
          <w:highlight w:val="none"/>
          <w:lang w:eastAsia="zh-CN"/>
        </w:rPr>
        <w:t>九、</w:t>
      </w:r>
      <w:r>
        <w:rPr>
          <w:rStyle w:val="32"/>
          <w:rFonts w:hint="eastAsia" w:ascii="Times New Roman" w:hAnsi="Times New Roman" w:eastAsia="黑体"/>
          <w:b w:val="0"/>
          <w:color w:val="auto"/>
          <w:sz w:val="32"/>
          <w:szCs w:val="32"/>
          <w:highlight w:val="none"/>
        </w:rPr>
        <w:t>国有资本经营预算支出决算情况说明</w:t>
      </w:r>
      <w:bookmarkEnd w:id="36"/>
      <w:bookmarkEnd w:id="37"/>
    </w:p>
    <w:p w14:paraId="5FEB455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38" w:name="_Toc15377221"/>
      <w:bookmarkStart w:id="39" w:name="_Toc15396612"/>
      <w:r>
        <w:rPr>
          <w:rFonts w:hint="eastAsia" w:ascii="仿宋_GB2312" w:hAnsi="仿宋_GB2312" w:eastAsia="仿宋_GB2312"/>
          <w:color w:val="000000"/>
          <w:kern w:val="2"/>
          <w:sz w:val="32"/>
          <w:szCs w:val="24"/>
          <w:lang w:val="en-US"/>
        </w:rPr>
        <w:t>2024年度国有资本经营预算财政拨款支出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。与2023年度相比，国有资本经营预算财政拨款支出数与上年持平</w:t>
      </w:r>
      <w:r>
        <w:rPr>
          <w:rFonts w:hint="eastAsia" w:ascii="仿宋_GB2312" w:hAnsi="仿宋_GB2312" w:eastAsia="仿宋_GB2312"/>
          <w:color w:val="000000"/>
          <w:kern w:val="2"/>
          <w:sz w:val="32"/>
          <w:szCs w:val="24"/>
          <w:lang w:val="en-US" w:eastAsia="zh-CN"/>
        </w:rPr>
        <w:t>。</w:t>
      </w:r>
    </w:p>
    <w:p w14:paraId="41B1DC78">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leftChars="0" w:firstLine="640" w:firstLineChars="200"/>
        <w:jc w:val="both"/>
        <w:textAlignment w:val="auto"/>
        <w:outlineLvl w:val="9"/>
        <w:rPr>
          <w:rStyle w:val="32"/>
          <w:rFonts w:hint="eastAsia" w:ascii="Times New Roman" w:hAnsi="Times New Roman" w:eastAsia="黑体"/>
          <w:b w:val="0"/>
          <w:color w:val="auto"/>
          <w:sz w:val="32"/>
          <w:szCs w:val="32"/>
          <w:highlight w:val="none"/>
        </w:rPr>
      </w:pPr>
      <w:r>
        <w:rPr>
          <w:rStyle w:val="32"/>
          <w:rFonts w:hint="eastAsia" w:ascii="Times New Roman" w:hAnsi="Times New Roman" w:eastAsia="黑体"/>
          <w:b w:val="0"/>
          <w:color w:val="auto"/>
          <w:sz w:val="32"/>
          <w:szCs w:val="32"/>
          <w:highlight w:val="none"/>
          <w:lang w:eastAsia="zh-CN"/>
        </w:rPr>
        <w:t>十、</w:t>
      </w:r>
      <w:r>
        <w:rPr>
          <w:rStyle w:val="32"/>
          <w:rFonts w:hint="eastAsia" w:ascii="Times New Roman" w:hAnsi="Times New Roman" w:eastAsia="黑体"/>
          <w:b w:val="0"/>
          <w:color w:val="auto"/>
          <w:sz w:val="32"/>
          <w:szCs w:val="32"/>
          <w:highlight w:val="none"/>
        </w:rPr>
        <w:t>其他重要事项的情况说明</w:t>
      </w:r>
      <w:bookmarkEnd w:id="38"/>
      <w:bookmarkEnd w:id="39"/>
    </w:p>
    <w:p w14:paraId="7821E8F5">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4D2C056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，广元市昭化区工商业联合会机关运行经费支出72.24万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59.74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477.9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2024年省内外</w:t>
      </w:r>
      <w:r>
        <w:rPr>
          <w:rFonts w:hint="eastAsia" w:ascii="Times New Roman" w:hAnsi="Times New Roman" w:eastAsia="仿宋_GB2312" w:cs="仿宋_GB2312"/>
          <w:color w:val="auto"/>
          <w:kern w:val="2"/>
          <w:sz w:val="32"/>
          <w:szCs w:val="32"/>
          <w:highlight w:val="none"/>
          <w:lang w:val="en-US" w:eastAsia="zh-CN" w:bidi="ar-SA"/>
        </w:rPr>
        <w:t>昭化商会工作经费。</w:t>
      </w:r>
    </w:p>
    <w:p w14:paraId="608ECD14">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43BF6DB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2024年度，广元市昭化区工商业联合会未发生政府采购支出。</w:t>
      </w:r>
    </w:p>
    <w:p w14:paraId="077CC207">
      <w:pPr>
        <w:keepNext w:val="0"/>
        <w:keepLines w:val="0"/>
        <w:pageBreakBefore w:val="0"/>
        <w:widowControl w:val="0"/>
        <w:numPr>
          <w:ilvl w:val="0"/>
          <w:numId w:val="2"/>
        </w:numPr>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42" w:name="_Toc15377224"/>
      <w:r>
        <w:rPr>
          <w:rFonts w:hint="eastAsia" w:ascii="Times New Roman" w:hAnsi="Times New Roman" w:eastAsia="楷体_GB2312" w:cs="楷体_GB2312"/>
          <w:b/>
          <w:color w:val="auto"/>
          <w:sz w:val="32"/>
          <w:szCs w:val="32"/>
          <w:highlight w:val="none"/>
        </w:rPr>
        <w:t>国有资产占有使用情况</w:t>
      </w:r>
      <w:bookmarkEnd w:id="42"/>
    </w:p>
    <w:p w14:paraId="2FB7CB1F">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截至2024年12月31日，</w:t>
      </w:r>
      <w:r>
        <w:rPr>
          <w:rFonts w:hint="eastAsia" w:ascii="仿宋_GB2312" w:hAnsi="仿宋_GB2312" w:eastAsia="仿宋_GB2312"/>
          <w:color w:val="000000"/>
          <w:kern w:val="2"/>
          <w:sz w:val="32"/>
          <w:szCs w:val="24"/>
          <w:lang w:val="en-US" w:eastAsia="zh-CN"/>
        </w:rPr>
        <w:t>中共广元市昭化区委组织部</w:t>
      </w:r>
      <w:r>
        <w:rPr>
          <w:rFonts w:hint="eastAsia" w:ascii="仿宋_GB2312" w:hAnsi="仿宋_GB2312" w:eastAsia="仿宋_GB2312"/>
          <w:color w:val="000000"/>
          <w:kern w:val="2"/>
          <w:sz w:val="32"/>
          <w:szCs w:val="24"/>
          <w:lang w:val="en-US"/>
        </w:rPr>
        <w:t>共有车辆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辆，其中：主要负责人用车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辆、机要通信用车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辆、应急保障用车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辆、其他用车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辆。单价100万元（含）以上设备（不含车辆）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台（套）。</w:t>
      </w:r>
    </w:p>
    <w:p w14:paraId="4D61AE55">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F49133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color w:val="auto"/>
          <w:kern w:val="2"/>
          <w:sz w:val="32"/>
          <w:szCs w:val="32"/>
          <w:highlight w:val="none"/>
          <w:lang w:val="en-US" w:eastAsia="zh-CN" w:bidi="ar-SA"/>
        </w:rPr>
        <w:t>广元市昭化区工商业联合会</w:t>
      </w:r>
      <w:r>
        <w:rPr>
          <w:rFonts w:hint="eastAsia" w:ascii="Times New Roman" w:hAnsi="Times New Roman" w:eastAsia="仿宋_GB2312" w:cs="仿宋_GB2312"/>
          <w:color w:val="auto"/>
          <w:kern w:val="2"/>
          <w:sz w:val="32"/>
          <w:szCs w:val="32"/>
          <w:highlight w:val="none"/>
          <w:lang w:val="en-US" w:eastAsia="zh-CN" w:bidi="ar-SA"/>
        </w:rPr>
        <w:t>在2024年度预算编制阶段，组织对工商企业联席经费</w:t>
      </w:r>
      <w:r>
        <w:rPr>
          <w:rFonts w:hint="eastAsia" w:eastAsia="仿宋_GB2312" w:cs="仿宋_GB2312"/>
          <w:color w:val="auto"/>
          <w:kern w:val="2"/>
          <w:sz w:val="32"/>
          <w:szCs w:val="32"/>
          <w:highlight w:val="none"/>
          <w:lang w:val="en-US" w:eastAsia="zh-CN" w:bidi="ar-SA"/>
        </w:rPr>
        <w:t>、企业家座谈会经费、驻外商会经费、在嘉善举办昭化区城市成果推介会</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3B34D01">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kern w:val="2"/>
          <w:sz w:val="32"/>
          <w:szCs w:val="32"/>
          <w:highlight w:val="none"/>
          <w:lang w:val="en-US" w:eastAsia="zh-CN" w:bidi="ar-SA"/>
        </w:rPr>
        <w:t>广元市昭化区工商业联合会</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部门整体（含部门预算项目）绩效自评报告，其中，</w:t>
      </w:r>
      <w:r>
        <w:rPr>
          <w:rFonts w:hint="eastAsia" w:ascii="仿宋_GB2312" w:hAnsi="仿宋_GB2312" w:eastAsia="仿宋_GB2312" w:cs="仿宋_GB2312"/>
          <w:color w:val="auto"/>
          <w:kern w:val="2"/>
          <w:sz w:val="32"/>
          <w:szCs w:val="32"/>
          <w:highlight w:val="none"/>
          <w:lang w:val="en-US" w:eastAsia="zh-CN" w:bidi="ar-SA"/>
        </w:rPr>
        <w:t>广元市昭化区工商业联合会</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88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我部门2024年严格按照年初预算批复认真组织实施,严格执行财经纪律相关管理规定，做到各项收支安排使用符合单位年初计划和财政政策的要求，确保了单位正常运行和项目的实施，较好地完成了2024年部门预算编制和决算汇总工作, 2024年目标任务基本完成，预算执行情况较好。绩效自评报告详见附件。</w:t>
      </w:r>
    </w:p>
    <w:p w14:paraId="294EFC02">
      <w:pPr>
        <w:keepNext w:val="0"/>
        <w:keepLines w:val="0"/>
        <w:pageBreakBefore w:val="0"/>
        <w:widowControl w:val="0"/>
        <w:kinsoku/>
        <w:wordWrap/>
        <w:overflowPunct w:val="0"/>
        <w:topLinePunct/>
        <w:autoSpaceDE w:val="0"/>
        <w:autoSpaceDN w:val="0"/>
        <w:bidi w:val="0"/>
        <w:adjustRightInd/>
        <w:snapToGrid/>
        <w:spacing w:line="576" w:lineRule="exac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1B0A6B6B">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43" w:name="_Toc15396613"/>
      <w:bookmarkStart w:id="44" w:name="_Toc15377225"/>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43"/>
      <w:bookmarkEnd w:id="44"/>
    </w:p>
    <w:p w14:paraId="08DFE634">
      <w:pPr>
        <w:keepNext w:val="0"/>
        <w:keepLines w:val="0"/>
        <w:pageBreakBefore w:val="0"/>
        <w:widowControl w:val="0"/>
        <w:kinsoku/>
        <w:wordWrap/>
        <w:overflowPunct w:val="0"/>
        <w:topLinePunct/>
        <w:autoSpaceDE w:val="0"/>
        <w:autoSpaceDN w:val="0"/>
        <w:bidi w:val="0"/>
        <w:adjustRightInd/>
        <w:snapToGrid/>
        <w:spacing w:line="576" w:lineRule="exact"/>
        <w:jc w:val="left"/>
        <w:textAlignment w:val="auto"/>
        <w:rPr>
          <w:rFonts w:ascii="Times New Roman" w:hAnsi="Times New Roman"/>
          <w:b/>
          <w:color w:val="auto"/>
          <w:sz w:val="44"/>
          <w:szCs w:val="44"/>
          <w:highlight w:val="none"/>
        </w:rPr>
      </w:pPr>
    </w:p>
    <w:p w14:paraId="7D44A1DB">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一、财政拨款收入：指单位从同级财政部门取得的财政预算资金。</w:t>
      </w:r>
    </w:p>
    <w:p w14:paraId="55C472CF">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二、事业收入：指事业单位开展专业业务活动及辅助活动取得的收入。</w:t>
      </w:r>
    </w:p>
    <w:p w14:paraId="5584EB37">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三、经营收入：指事业单位在专业业务活动及其辅助活动之外开展非独立核算经营活动取得的收入。</w:t>
      </w:r>
    </w:p>
    <w:p w14:paraId="5A1EFE53">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textAlignment w:val="auto"/>
        <w:rPr>
          <w:rFonts w:hint="eastAsia"/>
          <w:lang w:val="en-US"/>
        </w:rPr>
      </w:pPr>
      <w:r>
        <w:rPr>
          <w:rFonts w:hint="eastAsia" w:ascii="仿宋_GB2312" w:hAnsi="仿宋_GB2312" w:eastAsia="仿宋_GB2312"/>
          <w:color w:val="000000"/>
          <w:sz w:val="32"/>
          <w:szCs w:val="24"/>
          <w:lang w:val="en-US"/>
        </w:rPr>
        <w:t>四、其他收入：指单位取得的除上述收入以外的各项收入。</w:t>
      </w:r>
    </w:p>
    <w:p w14:paraId="5EFDAFC7">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textAlignment w:val="auto"/>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 xml:space="preserve">五、使用非财政拨款结余（含专用结余）：指事业单位使用以前年度积累的非财政拨款结余弥补当年收支差额的金额。 </w:t>
      </w:r>
    </w:p>
    <w:p w14:paraId="20EC21CA">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六、年初结转和结余：指以前年度尚未完成、结转到本年按有关规定继续使用的资金。 </w:t>
      </w:r>
    </w:p>
    <w:p w14:paraId="66978E1F">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七、结余分配：指事业单位按照会计制度规定缴纳的所得税、提取的专用结余以及转入非财政拨款结余的金额等。</w:t>
      </w:r>
    </w:p>
    <w:p w14:paraId="7586ADC2">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八、年末结转和结余：指单位按有关规定结转到下年或以后年度继续使用的资金。</w:t>
      </w:r>
    </w:p>
    <w:p w14:paraId="747719A7">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九、</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ascii="仿宋_GB2312" w:hAnsi="仿宋_GB2312" w:eastAsia="仿宋_GB2312" w:cs="仿宋_GB2312"/>
          <w:sz w:val="32"/>
          <w:szCs w:val="32"/>
        </w:rPr>
        <w:t>民主党派及工商联事务</w:t>
      </w:r>
      <w:r>
        <w:rPr>
          <w:rFonts w:hint="eastAsia" w:ascii="仿宋_GB2312" w:hAnsi="仿宋_GB2312" w:eastAsia="仿宋_GB2312" w:cs="仿宋_GB2312"/>
          <w:color w:val="auto"/>
          <w:kern w:val="2"/>
          <w:sz w:val="32"/>
          <w:szCs w:val="32"/>
          <w:highlight w:val="none"/>
          <w:lang w:val="en-US" w:eastAsia="zh-CN" w:bidi="ar-SA"/>
        </w:rPr>
        <w:t>（款）</w:t>
      </w:r>
      <w:r>
        <w:rPr>
          <w:rFonts w:hint="eastAsia" w:ascii="仿宋_GB2312" w:hAnsi="仿宋_GB2312" w:eastAsia="仿宋_GB2312" w:cs="仿宋_GB2312"/>
          <w:sz w:val="32"/>
          <w:szCs w:val="32"/>
        </w:rPr>
        <w:t>行政运行</w:t>
      </w:r>
      <w:r>
        <w:rPr>
          <w:rFonts w:hint="eastAsia" w:ascii="仿宋_GB2312" w:hAnsi="仿宋_GB2312" w:eastAsia="仿宋_GB2312" w:cs="仿宋_GB2312"/>
          <w:color w:val="auto"/>
          <w:kern w:val="2"/>
          <w:sz w:val="32"/>
          <w:szCs w:val="32"/>
          <w:highlight w:val="none"/>
          <w:lang w:val="en-US" w:eastAsia="zh-CN" w:bidi="ar-SA"/>
        </w:rPr>
        <w:t>（项）</w:t>
      </w:r>
      <w:r>
        <w:rPr>
          <w:rFonts w:hint="eastAsia" w:ascii="仿宋_GB2312" w:hAnsi="仿宋_GB2312" w:eastAsia="仿宋_GB2312"/>
          <w:color w:val="000000"/>
          <w:kern w:val="2"/>
          <w:sz w:val="32"/>
          <w:szCs w:val="24"/>
          <w:lang w:val="en-US"/>
        </w:rPr>
        <w:t>：指</w:t>
      </w:r>
      <w:r>
        <w:rPr>
          <w:rFonts w:hint="eastAsia" w:ascii="仿宋_GB2312" w:hAnsi="仿宋_GB2312" w:eastAsia="仿宋_GB2312"/>
          <w:color w:val="000000"/>
          <w:sz w:val="32"/>
          <w:szCs w:val="24"/>
          <w:lang w:val="en-US"/>
        </w:rPr>
        <w:t>反映行政单位的基本支出</w:t>
      </w:r>
      <w:r>
        <w:rPr>
          <w:rFonts w:hint="eastAsia" w:ascii="仿宋_GB2312" w:hAnsi="仿宋_GB2312" w:eastAsia="仿宋_GB2312"/>
          <w:color w:val="000000"/>
          <w:kern w:val="2"/>
          <w:sz w:val="32"/>
          <w:szCs w:val="24"/>
          <w:lang w:val="en-US"/>
        </w:rPr>
        <w:t>。</w:t>
      </w:r>
    </w:p>
    <w:p w14:paraId="3E8D2BD7">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ascii="仿宋_GB2312" w:hAnsi="仿宋_GB2312" w:eastAsia="仿宋_GB2312" w:cs="仿宋_GB2312"/>
          <w:sz w:val="32"/>
          <w:szCs w:val="32"/>
        </w:rPr>
        <w:t>民主党派及工商联事务</w:t>
      </w:r>
      <w:r>
        <w:rPr>
          <w:rFonts w:hint="eastAsia"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rPr>
        <w:t>一般行政管理事务</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olor w:val="000000"/>
          <w:kern w:val="2"/>
          <w:sz w:val="32"/>
          <w:szCs w:val="24"/>
          <w:lang w:val="en-US"/>
        </w:rPr>
        <w:t>：指</w:t>
      </w:r>
      <w:r>
        <w:rPr>
          <w:rFonts w:hint="eastAsia" w:ascii="仿宋_GB2312" w:hAnsi="仿宋_GB2312" w:eastAsia="仿宋_GB2312"/>
          <w:color w:val="000000"/>
          <w:kern w:val="2"/>
          <w:sz w:val="32"/>
          <w:szCs w:val="24"/>
          <w:lang w:val="en-US" w:eastAsia="zh-CN"/>
        </w:rPr>
        <w:t>反映行政单位未单独设置项级科目的其他项目支出</w:t>
      </w:r>
      <w:r>
        <w:rPr>
          <w:rFonts w:hint="eastAsia" w:ascii="仿宋_GB2312" w:hAnsi="仿宋_GB2312" w:eastAsia="仿宋_GB2312"/>
          <w:color w:val="000000"/>
          <w:kern w:val="2"/>
          <w:sz w:val="32"/>
          <w:szCs w:val="24"/>
          <w:lang w:val="en-US"/>
        </w:rPr>
        <w:t>。</w:t>
      </w:r>
    </w:p>
    <w:p w14:paraId="7F90DD2A">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十一、</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社会保障和就业（类）行政事业单位养老支出（款）行政单位离退休（项）</w:t>
      </w:r>
      <w:r>
        <w:rPr>
          <w:rFonts w:hint="eastAsia" w:ascii="仿宋_GB2312" w:hAnsi="仿宋_GB2312" w:eastAsia="仿宋_GB2312"/>
          <w:color w:val="000000"/>
          <w:kern w:val="2"/>
          <w:sz w:val="32"/>
          <w:szCs w:val="24"/>
          <w:lang w:val="en-US"/>
        </w:rPr>
        <w:t>：指</w:t>
      </w:r>
      <w:r>
        <w:rPr>
          <w:rFonts w:hint="eastAsia" w:ascii="仿宋_GB2312" w:hAnsi="仿宋_GB2312" w:eastAsia="仿宋_GB2312"/>
          <w:color w:val="000000"/>
          <w:kern w:val="2"/>
          <w:sz w:val="32"/>
          <w:szCs w:val="24"/>
          <w:lang w:val="en-US" w:eastAsia="zh-CN"/>
        </w:rPr>
        <w:t>反映行政单位开支的离退休经费</w:t>
      </w:r>
      <w:r>
        <w:rPr>
          <w:rFonts w:hint="eastAsia" w:ascii="仿宋_GB2312" w:hAnsi="仿宋_GB2312" w:eastAsia="仿宋_GB2312"/>
          <w:color w:val="000000"/>
          <w:kern w:val="2"/>
          <w:sz w:val="32"/>
          <w:szCs w:val="24"/>
          <w:lang w:val="en-US"/>
        </w:rPr>
        <w:t>。</w:t>
      </w:r>
    </w:p>
    <w:p w14:paraId="0861119A">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十二、</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sz w:val="32"/>
          <w:szCs w:val="24"/>
          <w:lang w:val="en-US"/>
        </w:rPr>
        <w:t>指反映机关事业单位实施养老保险制度由单位缴纳的基本养老保险费支出</w:t>
      </w:r>
      <w:r>
        <w:rPr>
          <w:rFonts w:hint="eastAsia" w:ascii="仿宋_GB2312" w:hAnsi="仿宋_GB2312" w:eastAsia="仿宋_GB2312"/>
          <w:color w:val="000000"/>
          <w:kern w:val="2"/>
          <w:sz w:val="32"/>
          <w:szCs w:val="24"/>
          <w:lang w:val="en-US"/>
        </w:rPr>
        <w:t>。</w:t>
      </w:r>
    </w:p>
    <w:p w14:paraId="138F3FEA">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十三、</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ascii="仿宋_GB2312" w:hAnsi="仿宋_GB2312" w:eastAsia="仿宋_GB2312"/>
          <w:color w:val="000000"/>
          <w:kern w:val="2"/>
          <w:sz w:val="32"/>
          <w:szCs w:val="24"/>
          <w:lang w:val="en-US"/>
        </w:rPr>
        <w:t>：指</w:t>
      </w:r>
      <w:r>
        <w:rPr>
          <w:rFonts w:hint="eastAsia" w:ascii="仿宋_GB2312" w:hAnsi="仿宋_GB2312" w:eastAsia="仿宋_GB2312"/>
          <w:color w:val="000000"/>
          <w:kern w:val="2"/>
          <w:sz w:val="32"/>
          <w:szCs w:val="24"/>
          <w:lang w:val="en-US" w:eastAsia="zh-CN"/>
        </w:rPr>
        <w:t>反映机关事业单位实施养老保险制度由单位实际缴纳的职业年金支出（含职业年金补记支出）</w:t>
      </w:r>
      <w:r>
        <w:rPr>
          <w:rFonts w:hint="eastAsia" w:ascii="仿宋_GB2312" w:hAnsi="仿宋_GB2312" w:eastAsia="仿宋_GB2312"/>
          <w:color w:val="000000"/>
          <w:kern w:val="2"/>
          <w:sz w:val="32"/>
          <w:szCs w:val="24"/>
          <w:lang w:val="en-US"/>
        </w:rPr>
        <w:t>。</w:t>
      </w:r>
    </w:p>
    <w:p w14:paraId="7743464E">
      <w:pPr>
        <w:keepNext w:val="0"/>
        <w:keepLines w:val="0"/>
        <w:pageBreakBefore w:val="0"/>
        <w:widowControl w:val="0"/>
        <w:kinsoku/>
        <w:wordWrap/>
        <w:overflowPunct w:val="0"/>
        <w:topLinePunct/>
        <w:autoSpaceDE w:val="0"/>
        <w:autoSpaceDN w:val="0"/>
        <w:bidi w:val="0"/>
        <w:adjustRightInd/>
        <w:snapToGrid/>
        <w:spacing w:line="576" w:lineRule="exact"/>
        <w:ind w:firstLine="640" w:firstLineChars="200"/>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十四、</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ascii="仿宋_GB2312" w:hAnsi="仿宋_GB2312" w:eastAsia="仿宋_GB2312"/>
          <w:color w:val="000000"/>
          <w:kern w:val="2"/>
          <w:sz w:val="32"/>
          <w:szCs w:val="24"/>
          <w:lang w:val="en-US"/>
        </w:rPr>
        <w:t>：指</w:t>
      </w:r>
      <w:r>
        <w:rPr>
          <w:rFonts w:hint="eastAsia" w:ascii="仿宋_GB2312" w:hAnsi="仿宋_GB2312" w:eastAsia="仿宋_GB2312"/>
          <w:color w:val="000000"/>
          <w:sz w:val="32"/>
          <w:szCs w:val="24"/>
          <w:lang w:val="en-US"/>
        </w:rPr>
        <w:t>反映财政部门安排的行政单位（包括实行公务员管理的事业单位，下同）基本医疗保险缴费经费，未参加医疗保险的行政单位的公费医疗缴费，按国家规定享受离休人员、红军老战士待遇人员的医疗经费。</w:t>
      </w:r>
    </w:p>
    <w:p w14:paraId="48094169">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w:t>
      </w:r>
      <w:r>
        <w:rPr>
          <w:rFonts w:hint="eastAsia" w:ascii="仿宋_GB2312" w:hAnsi="仿宋_GB2312" w:eastAsia="仿宋_GB2312"/>
          <w:color w:val="000000"/>
          <w:kern w:val="2"/>
          <w:sz w:val="32"/>
          <w:szCs w:val="24"/>
          <w:lang w:val="en-US" w:eastAsia="zh-CN"/>
        </w:rPr>
        <w:t>五</w:t>
      </w:r>
      <w:r>
        <w:rPr>
          <w:rFonts w:hint="eastAsia" w:ascii="仿宋_GB2312" w:hAnsi="仿宋_GB2312" w:eastAsia="仿宋_GB2312"/>
          <w:color w:val="000000"/>
          <w:kern w:val="2"/>
          <w:sz w:val="32"/>
          <w:szCs w:val="24"/>
          <w:lang w:val="en-US"/>
        </w:rPr>
        <w:t>、</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ascii="仿宋_GB2312" w:hAnsi="仿宋_GB2312" w:eastAsia="仿宋_GB2312"/>
          <w:color w:val="000000"/>
          <w:kern w:val="2"/>
          <w:sz w:val="32"/>
          <w:szCs w:val="24"/>
          <w:lang w:val="en-US"/>
        </w:rPr>
        <w:t>：指</w:t>
      </w:r>
      <w:r>
        <w:rPr>
          <w:rFonts w:hint="eastAsia" w:ascii="仿宋_GB2312" w:hAnsi="仿宋_GB2312" w:eastAsia="仿宋_GB2312"/>
          <w:color w:val="000000"/>
          <w:sz w:val="32"/>
          <w:szCs w:val="24"/>
          <w:lang w:val="en-US"/>
        </w:rPr>
        <w:t>行政事业单位按人力资源和社会保障部、财政部规定的基本工资和津贴补贴以及规定比例为职工缴纳的住房公积金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lang w:val="en-US"/>
        </w:rPr>
        <w:t>。</w:t>
      </w:r>
    </w:p>
    <w:p w14:paraId="513957E2">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w:t>
      </w:r>
      <w:r>
        <w:rPr>
          <w:rFonts w:hint="eastAsia" w:ascii="仿宋_GB2312" w:hAnsi="仿宋_GB2312" w:eastAsia="仿宋_GB2312"/>
          <w:color w:val="000000"/>
          <w:kern w:val="2"/>
          <w:sz w:val="32"/>
          <w:szCs w:val="24"/>
          <w:lang w:val="en-US" w:eastAsia="zh-CN"/>
        </w:rPr>
        <w:t>六</w:t>
      </w:r>
      <w:r>
        <w:rPr>
          <w:rFonts w:hint="eastAsia" w:ascii="仿宋_GB2312" w:hAnsi="仿宋_GB2312" w:eastAsia="仿宋_GB2312"/>
          <w:color w:val="000000"/>
          <w:kern w:val="2"/>
          <w:sz w:val="32"/>
          <w:szCs w:val="24"/>
          <w:lang w:val="en-US"/>
        </w:rPr>
        <w:t>、基本支出：指为保障机构正常运转、完成日常工作任务而发生的人员支出和公用支出。</w:t>
      </w:r>
    </w:p>
    <w:p w14:paraId="50C30D09">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w:t>
      </w:r>
      <w:r>
        <w:rPr>
          <w:rFonts w:hint="eastAsia" w:ascii="仿宋_GB2312" w:hAnsi="仿宋_GB2312" w:eastAsia="仿宋_GB2312"/>
          <w:color w:val="000000"/>
          <w:kern w:val="2"/>
          <w:sz w:val="32"/>
          <w:szCs w:val="24"/>
          <w:lang w:val="en-US" w:eastAsia="zh-CN"/>
        </w:rPr>
        <w:t>七</w:t>
      </w:r>
      <w:r>
        <w:rPr>
          <w:rFonts w:hint="eastAsia" w:ascii="仿宋_GB2312" w:hAnsi="仿宋_GB2312" w:eastAsia="仿宋_GB2312"/>
          <w:color w:val="000000"/>
          <w:kern w:val="2"/>
          <w:sz w:val="32"/>
          <w:szCs w:val="24"/>
          <w:lang w:val="en-US"/>
        </w:rPr>
        <w:t xml:space="preserve">、项目支出：指在基本支出之外为完成特定行政任务和事业发展目标所发生的支出。 </w:t>
      </w:r>
    </w:p>
    <w:p w14:paraId="2F469597">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eastAsia="zh-CN"/>
        </w:rPr>
        <w:t>十八</w:t>
      </w:r>
      <w:r>
        <w:rPr>
          <w:rFonts w:hint="eastAsia"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67AA110">
      <w:pPr>
        <w:keepNext w:val="0"/>
        <w:keepLines w:val="0"/>
        <w:pageBreakBefore w:val="0"/>
        <w:widowControl w:val="0"/>
        <w:kinsoku/>
        <w:wordWrap/>
        <w:overflowPunct w:val="0"/>
        <w:topLinePunct/>
        <w:autoSpaceDE w:val="0"/>
        <w:autoSpaceDN w:val="0"/>
        <w:bidi w:val="0"/>
        <w:adjustRightInd/>
        <w:snapToGrid/>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eastAsia="zh-CN"/>
        </w:rPr>
        <w:t>十九、</w:t>
      </w:r>
      <w:r>
        <w:rPr>
          <w:rFonts w:hint="eastAsia" w:ascii="仿宋_GB2312" w:hAnsi="仿宋_GB2312" w:eastAsia="仿宋_GB2312"/>
          <w:color w:val="000000"/>
          <w:sz w:val="32"/>
          <w:szCs w:val="24"/>
          <w:lang w:val="en-US"/>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A72D31">
      <w:pPr>
        <w:keepNext w:val="0"/>
        <w:keepLines w:val="0"/>
        <w:pageBreakBefore w:val="0"/>
        <w:widowControl w:val="0"/>
        <w:kinsoku/>
        <w:wordWrap/>
        <w:overflowPunct w:val="0"/>
        <w:topLinePunct/>
        <w:autoSpaceDE w:val="0"/>
        <w:autoSpaceDN w:val="0"/>
        <w:bidi w:val="0"/>
        <w:adjustRightInd/>
        <w:snapToGrid/>
        <w:spacing w:line="576" w:lineRule="exact"/>
        <w:textAlignment w:val="auto"/>
        <w:rPr>
          <w:rFonts w:hint="eastAsia" w:ascii="Times New Roman" w:hAnsi="Times New Roman" w:eastAsia="黑体"/>
          <w:color w:val="auto"/>
          <w:sz w:val="44"/>
          <w:szCs w:val="44"/>
          <w:highlight w:val="none"/>
        </w:rPr>
      </w:pPr>
      <w:bookmarkStart w:id="45" w:name="_Toc15396614"/>
      <w:bookmarkStart w:id="46" w:name="_Toc15377226"/>
      <w:r>
        <w:rPr>
          <w:rFonts w:hint="eastAsia" w:ascii="Times New Roman" w:hAnsi="Times New Roman" w:eastAsia="黑体"/>
          <w:color w:val="auto"/>
          <w:sz w:val="44"/>
          <w:szCs w:val="44"/>
          <w:highlight w:val="none"/>
        </w:rPr>
        <w:br w:type="page"/>
      </w:r>
    </w:p>
    <w:bookmarkEnd w:id="45"/>
    <w:p w14:paraId="7CF4FAA6">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lang w:eastAsia="zh-CN"/>
        </w:rPr>
      </w:pPr>
      <w:bookmarkStart w:id="47" w:name="_Toc15396618"/>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p>
    <w:p w14:paraId="296549AC">
      <w:pPr>
        <w:keepNext w:val="0"/>
        <w:keepLines w:val="0"/>
        <w:pageBreakBefore w:val="0"/>
        <w:widowControl w:val="0"/>
        <w:kinsoku/>
        <w:wordWrap/>
        <w:overflowPunct w:val="0"/>
        <w:topLinePunct/>
        <w:autoSpaceDE w:val="0"/>
        <w:autoSpaceDN w:val="0"/>
        <w:bidi w:val="0"/>
        <w:spacing w:line="576"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BF1F0F9">
      <w:pPr>
        <w:keepNext w:val="0"/>
        <w:keepLines w:val="0"/>
        <w:pageBreakBefore w:val="0"/>
        <w:widowControl w:val="0"/>
        <w:kinsoku/>
        <w:wordWrap/>
        <w:overflowPunct w:val="0"/>
        <w:topLinePunct/>
        <w:autoSpaceDE w:val="0"/>
        <w:autoSpaceDN w:val="0"/>
        <w:bidi w:val="0"/>
        <w:spacing w:line="576"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104AFC2">
      <w:pPr>
        <w:keepNext w:val="0"/>
        <w:keepLines w:val="0"/>
        <w:pageBreakBefore w:val="0"/>
        <w:widowControl w:val="0"/>
        <w:kinsoku/>
        <w:wordWrap/>
        <w:overflowPunct w:val="0"/>
        <w:topLinePunct/>
        <w:autoSpaceDE w:val="0"/>
        <w:autoSpaceDN w:val="0"/>
        <w:bidi w:val="0"/>
        <w:spacing w:line="576"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52782E59">
      <w:pPr>
        <w:keepNext w:val="0"/>
        <w:keepLines w:val="0"/>
        <w:pageBreakBefore w:val="0"/>
        <w:widowControl w:val="0"/>
        <w:kinsoku/>
        <w:wordWrap/>
        <w:overflowPunct w:val="0"/>
        <w:topLinePunct/>
        <w:autoSpaceDE w:val="0"/>
        <w:autoSpaceDN w:val="0"/>
        <w:bidi w:val="0"/>
        <w:adjustRightInd w:val="0"/>
        <w:snapToGrid w:val="0"/>
        <w:spacing w:line="576"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8F07D8B">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071D0730">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16BA65D2">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s="仿宋_GB2312"/>
          <w:color w:val="000000"/>
          <w:sz w:val="32"/>
          <w:szCs w:val="32"/>
          <w:highlight w:val="yellow"/>
          <w:lang w:val="zh-CN"/>
        </w:rPr>
      </w:pPr>
      <w:r>
        <w:rPr>
          <w:rFonts w:hint="eastAsia" w:ascii="仿宋_GB2312" w:hAnsi="仿宋_GB2312" w:eastAsia="仿宋_GB2312" w:cs="仿宋_GB2312"/>
          <w:sz w:val="32"/>
          <w:szCs w:val="32"/>
        </w:rPr>
        <w:t>区工商联是区级直属的独立预算机构，内设办公室、会员部、经济联络部。</w:t>
      </w:r>
    </w:p>
    <w:p w14:paraId="2EA219C8">
      <w:pPr>
        <w:keepNext w:val="0"/>
        <w:keepLines w:val="0"/>
        <w:pageBreakBefore w:val="0"/>
        <w:widowControl w:val="0"/>
        <w:numPr>
          <w:ilvl w:val="0"/>
          <w:numId w:val="3"/>
        </w:numPr>
        <w:kinsoku/>
        <w:wordWrap/>
        <w:overflowPunct w:val="0"/>
        <w:topLinePunct/>
        <w:autoSpaceDE w:val="0"/>
        <w:autoSpaceDN w:val="0"/>
        <w:bidi w:val="0"/>
        <w:adjustRightInd w:val="0"/>
        <w:snapToGrid w:val="0"/>
        <w:spacing w:line="576"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36EE9347">
      <w:pPr>
        <w:pStyle w:val="2"/>
        <w:keepNext w:val="0"/>
        <w:keepLines w:val="0"/>
        <w:pageBreakBefore w:val="0"/>
        <w:kinsoku/>
        <w:wordWrap/>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1.参政议政。参与我区经济、社会事务的重大决策和政治协商，发挥民主监督。做好非公有制经济代表人士的政治安排的推荐工作。对我区重大决策的制定提出建议，并协助贯彻执行。</w:t>
      </w:r>
    </w:p>
    <w:p w14:paraId="69C5D934">
      <w:pPr>
        <w:pStyle w:val="2"/>
        <w:keepNext w:val="0"/>
        <w:keepLines w:val="0"/>
        <w:pageBreakBefore w:val="0"/>
        <w:kinsoku/>
        <w:wordWrap/>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2.发扬自我教育的优良传统，宣传党和国家的方针政策，加强和改进思想政治工作。对会员进行“团结、帮助、服务、教育”提倡爱国、敬业、守法，提高会员素质，培养骨干分子队伍。</w:t>
      </w:r>
    </w:p>
    <w:p w14:paraId="73FD80E0">
      <w:pPr>
        <w:pStyle w:val="2"/>
        <w:keepNext w:val="0"/>
        <w:keepLines w:val="0"/>
        <w:pageBreakBefore w:val="0"/>
        <w:kinsoku/>
        <w:wordWrap/>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3.维护会员的合法权益。反映会员的意见、要求和建议，在会员与政府之间发挥桥梁纽带作用，当好政府管理非公有制经济的助手。</w:t>
      </w:r>
    </w:p>
    <w:p w14:paraId="30C96324">
      <w:pPr>
        <w:keepNext w:val="0"/>
        <w:keepLines w:val="0"/>
        <w:pageBreakBefore w:val="0"/>
        <w:widowControl/>
        <w:kinsoku/>
        <w:wordWrap/>
        <w:bidi w:val="0"/>
        <w:spacing w:line="576" w:lineRule="exact"/>
        <w:ind w:firstLine="668"/>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4.为会员和社会提供市场、技术、商品等信息。按照国家有关规定为会员提供管理、会计、审计、融资等咨询服务。</w:t>
      </w:r>
    </w:p>
    <w:p w14:paraId="74286864">
      <w:pPr>
        <w:keepNext w:val="0"/>
        <w:keepLines w:val="0"/>
        <w:pageBreakBefore w:val="0"/>
        <w:widowControl/>
        <w:kinsoku/>
        <w:wordWrap/>
        <w:bidi w:val="0"/>
        <w:spacing w:line="576" w:lineRule="exact"/>
        <w:ind w:firstLine="668"/>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5.对会员开展专业培训。帮助会员改善经营管理，提高生产技术水平和产品质量。</w:t>
      </w:r>
    </w:p>
    <w:p w14:paraId="35E5E5E2">
      <w:pPr>
        <w:keepNext w:val="0"/>
        <w:keepLines w:val="0"/>
        <w:pageBreakBefore w:val="0"/>
        <w:widowControl/>
        <w:kinsoku/>
        <w:wordWrap/>
        <w:bidi w:val="0"/>
        <w:spacing w:line="576" w:lineRule="exact"/>
        <w:ind w:firstLine="668"/>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6.按照国家规定和有关政策，组织会员举办和参加各种展销会、交易会。组织出国考察、访问，帮助会员开拓国内、国际市场。</w:t>
      </w:r>
    </w:p>
    <w:p w14:paraId="74B48914">
      <w:pPr>
        <w:keepNext w:val="0"/>
        <w:keepLines w:val="0"/>
        <w:pageBreakBefore w:val="0"/>
        <w:widowControl/>
        <w:kinsoku/>
        <w:wordWrap/>
        <w:bidi w:val="0"/>
        <w:spacing w:line="576" w:lineRule="exact"/>
        <w:ind w:firstLine="668"/>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7.为会员提供必要的证明，协调会员间的关系，为会员和民间企业调解纠纷。</w:t>
      </w:r>
    </w:p>
    <w:p w14:paraId="15045B8B">
      <w:pPr>
        <w:keepNext w:val="0"/>
        <w:keepLines w:val="0"/>
        <w:pageBreakBefore w:val="0"/>
        <w:widowControl/>
        <w:kinsoku/>
        <w:wordWrap/>
        <w:bidi w:val="0"/>
        <w:spacing w:line="576" w:lineRule="exact"/>
        <w:ind w:firstLine="668"/>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8.增进与台、港、澳地区和世界各国工商社团及工商经济界人士的联系和友谊，促进经济、技术和贸易合作的发展，协助引进资金、技术、人才。</w:t>
      </w:r>
    </w:p>
    <w:p w14:paraId="0D9CA067">
      <w:pPr>
        <w:keepNext w:val="0"/>
        <w:keepLines w:val="0"/>
        <w:pageBreakBefore w:val="0"/>
        <w:widowControl/>
        <w:kinsoku/>
        <w:wordWrap/>
        <w:bidi w:val="0"/>
        <w:spacing w:line="576" w:lineRule="exact"/>
        <w:ind w:firstLine="668"/>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9.积极办好会办服务事业和经济实体。</w:t>
      </w:r>
    </w:p>
    <w:p w14:paraId="587D9493">
      <w:pPr>
        <w:keepNext w:val="0"/>
        <w:keepLines w:val="0"/>
        <w:pageBreakBefore w:val="0"/>
        <w:widowControl/>
        <w:kinsoku/>
        <w:wordWrap/>
        <w:bidi w:val="0"/>
        <w:spacing w:line="576" w:lineRule="exact"/>
        <w:ind w:firstLine="668"/>
        <w:textAlignment w:val="auto"/>
        <w:rPr>
          <w:rFonts w:hint="eastAsia" w:ascii="仿宋_GB2312" w:hAnsi="仿宋_GB2312" w:eastAsia="仿宋_GB2312" w:cs="仿宋_GB2312"/>
          <w:b/>
          <w:color w:val="000000"/>
          <w:sz w:val="32"/>
          <w:szCs w:val="32"/>
          <w:lang w:val="zh-CN"/>
        </w:rPr>
      </w:pPr>
      <w:r>
        <w:rPr>
          <w:rFonts w:hint="eastAsia" w:ascii="仿宋_GB2312" w:hAnsi="仿宋_GB2312" w:eastAsia="仿宋_GB2312" w:cs="仿宋_GB2312"/>
          <w:color w:val="000000"/>
          <w:kern w:val="0"/>
          <w:sz w:val="32"/>
          <w:szCs w:val="32"/>
        </w:rPr>
        <w:t>10.承办党委或政府交办的其他事项。</w:t>
      </w:r>
    </w:p>
    <w:p w14:paraId="2BA97F2F">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Chars="200"/>
        <w:textAlignment w:val="auto"/>
        <w:rPr>
          <w:rFonts w:hint="eastAsia" w:ascii="仿宋_GB2312" w:hAnsi="仿宋_GB2312" w:eastAsia="仿宋_GB2312"/>
          <w:b/>
          <w:color w:val="000000"/>
          <w:sz w:val="32"/>
          <w:szCs w:val="32"/>
          <w:lang w:val="zh-CN"/>
        </w:rPr>
      </w:pPr>
      <w:r>
        <w:rPr>
          <w:rFonts w:hint="eastAsia" w:ascii="仿宋_GB2312" w:hAnsi="仿宋_GB2312" w:eastAsia="仿宋_GB2312"/>
          <w:b/>
          <w:color w:val="000000"/>
          <w:sz w:val="32"/>
          <w:szCs w:val="32"/>
          <w:lang w:val="zh-CN"/>
        </w:rPr>
        <w:t>（三）人员概况。</w:t>
      </w:r>
    </w:p>
    <w:p w14:paraId="1C0071ED">
      <w:pPr>
        <w:keepNext w:val="0"/>
        <w:keepLines w:val="0"/>
        <w:pageBreakBefore w:val="0"/>
        <w:widowControl/>
        <w:kinsoku/>
        <w:wordWrap/>
        <w:bidi w:val="0"/>
        <w:spacing w:line="576" w:lineRule="exact"/>
        <w:ind w:firstLine="668"/>
        <w:textAlignment w:val="auto"/>
        <w:rPr>
          <w:rFonts w:hint="default"/>
        </w:rPr>
      </w:pPr>
      <w:r>
        <w:rPr>
          <w:rFonts w:hint="eastAsia" w:ascii="仿宋_GB2312" w:hAnsi="仿宋_GB2312" w:eastAsia="仿宋_GB2312" w:cs="仿宋_GB2312"/>
          <w:color w:val="000000"/>
          <w:kern w:val="0"/>
          <w:sz w:val="32"/>
          <w:szCs w:val="32"/>
        </w:rPr>
        <w:t>2024年末单位实有在职人员4人、退休人员4人。</w:t>
      </w:r>
    </w:p>
    <w:p w14:paraId="71FE9BE6">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1C820580">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32"/>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5D4E7B7B">
      <w:pPr>
        <w:keepNext w:val="0"/>
        <w:keepLines w:val="0"/>
        <w:pageBreakBefore w:val="0"/>
        <w:widowControl/>
        <w:kinsoku/>
        <w:wordWrap/>
        <w:bidi w:val="0"/>
        <w:spacing w:line="576" w:lineRule="exact"/>
        <w:ind w:firstLine="668"/>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工商联2024年年初预算收入179.65万元：一般公共</w:t>
      </w:r>
      <w:r>
        <w:rPr>
          <w:rFonts w:hint="eastAsia" w:ascii="仿宋_GB2312" w:hAnsi="仿宋_GB2312" w:eastAsia="仿宋_GB2312" w:cs="仿宋_GB2312"/>
          <w:color w:val="000000"/>
          <w:kern w:val="0"/>
          <w:sz w:val="32"/>
          <w:szCs w:val="32"/>
          <w:lang w:eastAsia="zh-CN"/>
        </w:rPr>
        <w:t>服务</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48</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87</w:t>
      </w:r>
      <w:r>
        <w:rPr>
          <w:rFonts w:hint="eastAsia" w:ascii="仿宋_GB2312" w:hAnsi="仿宋_GB2312" w:eastAsia="仿宋_GB2312" w:cs="仿宋_GB2312"/>
          <w:color w:val="000000"/>
          <w:kern w:val="0"/>
          <w:sz w:val="32"/>
          <w:szCs w:val="32"/>
        </w:rPr>
        <w:t>，社会保障</w:t>
      </w:r>
      <w:r>
        <w:rPr>
          <w:rFonts w:hint="eastAsia" w:ascii="仿宋_GB2312" w:hAnsi="仿宋_GB2312" w:eastAsia="仿宋_GB2312" w:cs="仿宋_GB2312"/>
          <w:color w:val="000000"/>
          <w:kern w:val="0"/>
          <w:sz w:val="32"/>
          <w:szCs w:val="32"/>
          <w:lang w:eastAsia="zh-CN"/>
        </w:rPr>
        <w:t>和就业</w:t>
      </w:r>
      <w:r>
        <w:rPr>
          <w:rFonts w:hint="eastAsia" w:ascii="仿宋_GB2312" w:hAnsi="仿宋_GB2312" w:eastAsia="仿宋_GB2312" w:cs="仿宋_GB2312"/>
          <w:color w:val="000000"/>
          <w:kern w:val="0"/>
          <w:sz w:val="32"/>
          <w:szCs w:val="32"/>
          <w:lang w:val="en-US" w:eastAsia="zh-CN"/>
        </w:rPr>
        <w:t>21.99</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卫生健康支出2.77万元、住房保障支出6.02万元。</w:t>
      </w:r>
    </w:p>
    <w:p w14:paraId="0183606B">
      <w:pPr>
        <w:keepNext w:val="0"/>
        <w:keepLines w:val="0"/>
        <w:pageBreakBefore w:val="0"/>
        <w:widowControl/>
        <w:kinsoku/>
        <w:wordWrap/>
        <w:bidi w:val="0"/>
        <w:spacing w:line="576" w:lineRule="exact"/>
        <w:ind w:firstLine="668"/>
        <w:textAlignment w:val="auto"/>
        <w:rPr>
          <w:rFonts w:hint="default"/>
          <w:sz w:val="32"/>
          <w:szCs w:val="32"/>
          <w:lang w:val="en-US"/>
        </w:rPr>
      </w:pPr>
      <w:r>
        <w:rPr>
          <w:rFonts w:hint="eastAsia" w:ascii="仿宋_GB2312" w:hAnsi="仿宋_GB2312" w:eastAsia="仿宋_GB2312" w:cs="仿宋_GB2312"/>
          <w:color w:val="000000"/>
          <w:kern w:val="0"/>
          <w:sz w:val="32"/>
          <w:szCs w:val="32"/>
        </w:rPr>
        <w:t xml:space="preserve"> 工商联2024年决算收入183.54万元：一般公共154.44，社会保障</w:t>
      </w:r>
      <w:r>
        <w:rPr>
          <w:rFonts w:hint="eastAsia" w:ascii="仿宋_GB2312" w:hAnsi="仿宋_GB2312" w:eastAsia="仿宋_GB2312" w:cs="仿宋_GB2312"/>
          <w:color w:val="000000"/>
          <w:kern w:val="0"/>
          <w:sz w:val="32"/>
          <w:szCs w:val="32"/>
          <w:lang w:eastAsia="zh-CN"/>
        </w:rPr>
        <w:t>和就业</w:t>
      </w:r>
      <w:r>
        <w:rPr>
          <w:rFonts w:hint="eastAsia" w:ascii="仿宋_GB2312" w:hAnsi="仿宋_GB2312" w:eastAsia="仿宋_GB2312" w:cs="仿宋_GB2312"/>
          <w:color w:val="000000"/>
          <w:kern w:val="0"/>
          <w:sz w:val="32"/>
          <w:szCs w:val="32"/>
          <w:lang w:val="en-US" w:eastAsia="zh-CN"/>
        </w:rPr>
        <w:t>22.75</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卫生健康支出2万元、住房保障支出4.34万元。</w:t>
      </w:r>
      <w:r>
        <w:rPr>
          <w:rFonts w:hint="eastAsia" w:ascii="仿宋_GB2312" w:hAnsi="仿宋_GB2312" w:eastAsia="仿宋_GB2312" w:cs="仿宋_GB2312"/>
          <w:color w:val="000000"/>
          <w:kern w:val="0"/>
          <w:sz w:val="32"/>
          <w:szCs w:val="32"/>
        </w:rPr>
        <w:t xml:space="preserve"> </w:t>
      </w:r>
    </w:p>
    <w:p w14:paraId="297412B7">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leftChars="200"/>
        <w:contextualSpacing/>
        <w:jc w:val="left"/>
        <w:textAlignment w:val="auto"/>
        <w:outlineLvl w:val="9"/>
        <w:rPr>
          <w:rFonts w:hint="default" w:ascii="Times New Roman" w:hAnsi="Times New Roman" w:cs="Times New Roman"/>
          <w:sz w:val="32"/>
          <w:szCs w:val="32"/>
          <w:lang w:val="zh-CN" w:eastAsia="zh-CN"/>
        </w:rPr>
      </w:pPr>
      <w:r>
        <w:rPr>
          <w:rFonts w:hint="eastAsia" w:ascii="楷体_GB2312" w:hAnsi="楷体_GB2312" w:eastAsia="楷体_GB2312"/>
          <w:b/>
          <w:color w:val="000000"/>
          <w:sz w:val="32"/>
          <w:szCs w:val="32"/>
          <w:lang w:val="en-US"/>
        </w:rPr>
        <w:t>（二）支出情况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794A2992">
      <w:pPr>
        <w:keepNext w:val="0"/>
        <w:keepLines w:val="0"/>
        <w:pageBreakBefore w:val="0"/>
        <w:widowControl/>
        <w:kinsoku/>
        <w:wordWrap/>
        <w:bidi w:val="0"/>
        <w:spacing w:line="576" w:lineRule="exact"/>
        <w:ind w:firstLine="668"/>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工商联2024年年初预算支出179.65万元：一般公共</w:t>
      </w:r>
      <w:r>
        <w:rPr>
          <w:rFonts w:hint="eastAsia" w:ascii="仿宋_GB2312" w:hAnsi="仿宋_GB2312" w:eastAsia="仿宋_GB2312" w:cs="仿宋_GB2312"/>
          <w:color w:val="000000"/>
          <w:kern w:val="0"/>
          <w:sz w:val="32"/>
          <w:szCs w:val="32"/>
          <w:lang w:eastAsia="zh-CN"/>
        </w:rPr>
        <w:t>服务支出</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48</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87</w:t>
      </w:r>
      <w:r>
        <w:rPr>
          <w:rFonts w:hint="eastAsia" w:ascii="仿宋_GB2312" w:hAnsi="仿宋_GB2312" w:eastAsia="仿宋_GB2312" w:cs="仿宋_GB2312"/>
          <w:color w:val="000000"/>
          <w:kern w:val="0"/>
          <w:sz w:val="32"/>
          <w:szCs w:val="32"/>
        </w:rPr>
        <w:t>，社会保障</w:t>
      </w:r>
      <w:r>
        <w:rPr>
          <w:rFonts w:hint="eastAsia" w:ascii="仿宋_GB2312" w:hAnsi="仿宋_GB2312" w:eastAsia="仿宋_GB2312" w:cs="仿宋_GB2312"/>
          <w:color w:val="000000"/>
          <w:kern w:val="0"/>
          <w:sz w:val="32"/>
          <w:szCs w:val="32"/>
          <w:lang w:eastAsia="zh-CN"/>
        </w:rPr>
        <w:t>和就业支出</w:t>
      </w:r>
      <w:r>
        <w:rPr>
          <w:rFonts w:hint="eastAsia" w:ascii="仿宋_GB2312" w:hAnsi="仿宋_GB2312" w:eastAsia="仿宋_GB2312" w:cs="仿宋_GB2312"/>
          <w:color w:val="000000"/>
          <w:kern w:val="0"/>
          <w:sz w:val="32"/>
          <w:szCs w:val="32"/>
          <w:lang w:val="en-US" w:eastAsia="zh-CN"/>
        </w:rPr>
        <w:t>21.99</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卫生健康支出2.77万元、住房保障支出6.02万元。</w:t>
      </w:r>
    </w:p>
    <w:p w14:paraId="719FF346">
      <w:pPr>
        <w:keepNext w:val="0"/>
        <w:keepLines w:val="0"/>
        <w:pageBreakBefore w:val="0"/>
        <w:widowControl/>
        <w:kinsoku/>
        <w:wordWrap/>
        <w:bidi w:val="0"/>
        <w:spacing w:line="576" w:lineRule="exact"/>
        <w:ind w:firstLine="668"/>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rPr>
        <w:t xml:space="preserve"> 工商联2024年决算支出183.54万元：一般公共154.44，社会保障</w:t>
      </w:r>
      <w:r>
        <w:rPr>
          <w:rFonts w:hint="eastAsia" w:ascii="仿宋_GB2312" w:hAnsi="仿宋_GB2312" w:eastAsia="仿宋_GB2312" w:cs="仿宋_GB2312"/>
          <w:color w:val="000000"/>
          <w:kern w:val="0"/>
          <w:sz w:val="32"/>
          <w:szCs w:val="32"/>
          <w:lang w:eastAsia="zh-CN"/>
        </w:rPr>
        <w:t>和就业</w:t>
      </w:r>
      <w:r>
        <w:rPr>
          <w:rFonts w:hint="eastAsia" w:ascii="仿宋_GB2312" w:hAnsi="仿宋_GB2312" w:eastAsia="仿宋_GB2312" w:cs="仿宋_GB2312"/>
          <w:color w:val="000000"/>
          <w:kern w:val="0"/>
          <w:sz w:val="32"/>
          <w:szCs w:val="32"/>
          <w:lang w:val="en-US" w:eastAsia="zh-CN"/>
        </w:rPr>
        <w:t>22.75</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卫生健康支出2万元、住房保障支出4.34万元。</w:t>
      </w:r>
      <w:r>
        <w:rPr>
          <w:rFonts w:hint="eastAsia" w:ascii="仿宋_GB2312" w:hAnsi="仿宋_GB2312" w:eastAsia="仿宋_GB2312" w:cs="仿宋_GB2312"/>
          <w:color w:val="000000"/>
          <w:kern w:val="0"/>
          <w:sz w:val="32"/>
          <w:szCs w:val="32"/>
        </w:rPr>
        <w:t xml:space="preserve"> </w:t>
      </w:r>
    </w:p>
    <w:p w14:paraId="1AE6B158">
      <w:pPr>
        <w:keepNext w:val="0"/>
        <w:keepLines w:val="0"/>
        <w:pageBreakBefore w:val="0"/>
        <w:widowControl w:val="0"/>
        <w:kinsoku/>
        <w:wordWrap/>
        <w:overflowPunct w:val="0"/>
        <w:topLinePunct/>
        <w:autoSpaceDE w:val="0"/>
        <w:autoSpaceDN w:val="0"/>
        <w:bidi w:val="0"/>
        <w:adjustRightInd w:val="0"/>
        <w:snapToGrid w:val="0"/>
        <w:spacing w:line="576"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602287CB">
      <w:pPr>
        <w:keepNext w:val="0"/>
        <w:keepLines w:val="0"/>
        <w:pageBreakBefore w:val="0"/>
        <w:widowControl/>
        <w:kinsoku/>
        <w:wordWrap/>
        <w:bidi w:val="0"/>
        <w:spacing w:line="576" w:lineRule="exact"/>
        <w:ind w:firstLine="668"/>
        <w:textAlignment w:val="auto"/>
        <w:rPr>
          <w:rFonts w:hint="default"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rPr>
        <w:t>2024年决算报表无结转。</w:t>
      </w:r>
    </w:p>
    <w:p w14:paraId="067235DB">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61D52FC9">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yellow"/>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3847B1C8">
      <w:pPr>
        <w:keepNext w:val="0"/>
        <w:keepLines w:val="0"/>
        <w:pageBreakBefore w:val="0"/>
        <w:widowControl/>
        <w:kinsoku/>
        <w:wordWrap/>
        <w:bidi w:val="0"/>
        <w:spacing w:line="576" w:lineRule="exact"/>
        <w:ind w:firstLine="66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1.目标管理情况。</w:t>
      </w:r>
    </w:p>
    <w:p w14:paraId="3FB2533A">
      <w:pPr>
        <w:pStyle w:val="2"/>
        <w:keepNext w:val="0"/>
        <w:keepLines w:val="0"/>
        <w:pageBreakBefore w:val="0"/>
        <w:kinsoku/>
        <w:wordWrap/>
        <w:bidi w:val="0"/>
        <w:spacing w:line="576" w:lineRule="exact"/>
        <w:ind w:firstLine="480" w:firstLineChars="1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（1）目标制定：区工商联根据单位实际情况制定年初部门预算绩效目标，目标编制指向明确，符合区工商联部门职能，目标包括产出和要达到的效果，要素完整，绩效指标细化绩效目标纳入了集体决策。</w:t>
      </w:r>
    </w:p>
    <w:p w14:paraId="25B5D656">
      <w:pPr>
        <w:pStyle w:val="2"/>
        <w:keepNext w:val="0"/>
        <w:keepLines w:val="0"/>
        <w:pageBreakBefore w:val="0"/>
        <w:kinsoku/>
        <w:wordWrap/>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（2）目标实现：其中人员类：数量指标：按月保障在职人员工资保险，质量指标：人员工资发放率等于100%，成本指标：工资保险及公用经费等于</w:t>
      </w:r>
      <w:r>
        <w:rPr>
          <w:rFonts w:hint="eastAsia" w:ascii="仿宋_GB2312" w:hAnsi="仿宋_GB2312" w:eastAsia="仿宋_GB2312" w:cs="仿宋_GB2312"/>
          <w:color w:val="auto"/>
          <w:sz w:val="32"/>
          <w:szCs w:val="32"/>
        </w:rPr>
        <w:t>89.89万元，时效指标：人员工资保险等发放缴纳时间等于1年；其他运转类：数量指标：外出招商4次，收集有效信息10个，驻外商会开展招商6次数，完成召开企业家座谈会12次，召开企业联席会议6次，专题培训2次，。质量指标：及时解决企业经营管里存在的问题、树立企业发展信心。成本指标：完成企业家座谈会、企业家联系、驻外商会所用经费等于62万元，时效指标：解决企业发展存在</w:t>
      </w:r>
      <w:r>
        <w:rPr>
          <w:rFonts w:hint="eastAsia" w:ascii="仿宋_GB2312" w:hAnsi="仿宋_GB2312" w:eastAsia="仿宋_GB2312" w:cs="仿宋_GB2312"/>
          <w:sz w:val="32"/>
          <w:szCs w:val="32"/>
        </w:rPr>
        <w:t>的问题、未完成招商任务。</w:t>
      </w:r>
    </w:p>
    <w:p w14:paraId="78DA04DC">
      <w:pPr>
        <w:keepNext w:val="0"/>
        <w:keepLines w:val="0"/>
        <w:pageBreakBefore w:val="0"/>
        <w:kinsoku/>
        <w:wordWrap/>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2.过程管控情况</w:t>
      </w:r>
    </w:p>
    <w:p w14:paraId="274545B5">
      <w:pPr>
        <w:keepNext w:val="0"/>
        <w:keepLines w:val="0"/>
        <w:pageBreakBefore w:val="0"/>
        <w:kinsoku/>
        <w:wordWrap/>
        <w:bidi w:val="0"/>
        <w:snapToGrid w:val="0"/>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kern w:val="0"/>
          <w:sz w:val="32"/>
          <w:szCs w:val="32"/>
        </w:rPr>
        <w:t>严控一般支出</w:t>
      </w:r>
      <w:r>
        <w:rPr>
          <w:rFonts w:hint="eastAsia" w:ascii="仿宋_GB2312" w:hAnsi="仿宋_GB2312" w:eastAsia="仿宋_GB2312" w:cs="仿宋_GB2312"/>
          <w:kern w:val="0"/>
          <w:sz w:val="32"/>
          <w:szCs w:val="32"/>
        </w:rPr>
        <w:t>。① “三公”经费支出情况：2024年度我联没有出国（境）事项发生，此项费用不存在；本年度公务接待费支出11200元，与上年11200元持平。②会议费支出情况：本年度会议费支出52万元较上年支出增加13万元。原因是本年异地商会会议次数增加费用。③培训费支出情况：本年度没有产生培训费。 ④差旅费支出情况：本年度差旅费支出11万元较上年支出减少1万元。原因是本年异地商会出差费用减少。</w:t>
      </w:r>
    </w:p>
    <w:p w14:paraId="54EBEB21">
      <w:pPr>
        <w:keepNext w:val="0"/>
        <w:keepLines w:val="0"/>
        <w:pageBreakBefore w:val="0"/>
        <w:kinsoku/>
        <w:wordWrap/>
        <w:bidi w:val="0"/>
        <w:snapToGrid w:val="0"/>
        <w:spacing w:line="576" w:lineRule="exact"/>
        <w:ind w:firstLine="480" w:firstLineChars="1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（2）执行进度，部门预算执行进度在6月、9月、11月预算执行进度分别占预算38.</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%、51.0%、63.9%，本部门预算项目年终12月预算执行进度达到100%。部门</w:t>
      </w:r>
      <w:r>
        <w:rPr>
          <w:rFonts w:hint="eastAsia" w:ascii="仿宋_GB2312" w:hAnsi="仿宋_GB2312" w:eastAsia="仿宋_GB2312" w:cs="仿宋_GB2312"/>
          <w:color w:val="000000"/>
          <w:kern w:val="0"/>
          <w:sz w:val="32"/>
          <w:szCs w:val="32"/>
        </w:rPr>
        <w:t>预算项目资金无结余。</w:t>
      </w:r>
    </w:p>
    <w:p w14:paraId="5D80D045">
      <w:pPr>
        <w:keepNext w:val="0"/>
        <w:keepLines w:val="0"/>
        <w:pageBreakBefore w:val="0"/>
        <w:kinsoku/>
        <w:wordWrap/>
        <w:bidi w:val="0"/>
        <w:snapToGrid w:val="0"/>
        <w:spacing w:line="576" w:lineRule="exact"/>
        <w:ind w:firstLine="480" w:firstLineChars="1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（3）项目调整，预算调整和绩效目标调整同步实现情况。</w:t>
      </w:r>
    </w:p>
    <w:p w14:paraId="1E6CD1B6">
      <w:pPr>
        <w:keepNext w:val="0"/>
        <w:keepLines w:val="0"/>
        <w:pageBreakBefore w:val="0"/>
        <w:kinsoku/>
        <w:wordWrap/>
        <w:bidi w:val="0"/>
        <w:snapToGrid w:val="0"/>
        <w:spacing w:line="576" w:lineRule="exact"/>
        <w:ind w:firstLine="480" w:firstLineChars="1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（4）资金使用规范，单位资金使用符合相关财务管理制度规定。</w:t>
      </w:r>
    </w:p>
    <w:p w14:paraId="634D7F64">
      <w:pPr>
        <w:keepNext w:val="0"/>
        <w:keepLines w:val="0"/>
        <w:pageBreakBefore w:val="0"/>
        <w:kinsoku/>
        <w:wordWrap/>
        <w:bidi w:val="0"/>
        <w:snapToGrid w:val="0"/>
        <w:spacing w:line="576" w:lineRule="exact"/>
        <w:ind w:firstLine="480" w:firstLineChars="15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rPr>
        <w:t>（5）执行结果，完成预算执行。</w:t>
      </w:r>
    </w:p>
    <w:p w14:paraId="05F3C3F4">
      <w:pPr>
        <w:keepNext w:val="0"/>
        <w:keepLines w:val="0"/>
        <w:pageBreakBefore w:val="0"/>
        <w:widowControl w:val="0"/>
        <w:kinsoku/>
        <w:wordWrap/>
        <w:overflowPunct w:val="0"/>
        <w:topLinePunct/>
        <w:autoSpaceDE w:val="0"/>
        <w:autoSpaceDN w:val="0"/>
        <w:bidi w:val="0"/>
        <w:snapToGrid w:val="0"/>
        <w:spacing w:line="576" w:lineRule="exact"/>
        <w:ind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5298FC03">
      <w:pPr>
        <w:keepNext w:val="0"/>
        <w:keepLines w:val="0"/>
        <w:pageBreakBefore w:val="0"/>
        <w:kinsoku/>
        <w:wordWrap/>
        <w:bidi w:val="0"/>
        <w:snapToGrid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项目绩效分析。2024年编制部门预算整体支出绩效一个，编制预算项目目标4个，包括保障在职人员工资待遇、外出招商、召开会议次数及驻外商会开展招商次数，涉及预算总金额183.54万元，1-12月预算执行总体进度为100%，其中：无预算结余率大于10%的项目。</w:t>
      </w:r>
    </w:p>
    <w:p w14:paraId="3267B2E5">
      <w:pPr>
        <w:keepNext w:val="0"/>
        <w:keepLines w:val="0"/>
        <w:pageBreakBefore w:val="0"/>
        <w:kinsoku/>
        <w:wordWrap/>
        <w:bidi w:val="0"/>
        <w:snapToGrid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2.实施部门预算项目。</w:t>
      </w:r>
    </w:p>
    <w:p w14:paraId="0F11143F">
      <w:pPr>
        <w:keepNext w:val="0"/>
        <w:keepLines w:val="0"/>
        <w:pageBreakBefore w:val="0"/>
        <w:kinsoku/>
        <w:wordWrap/>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（1）保障在职人员工资待遇人数，年初预算保障5人工资待遇支付，实际完成4人待遇支付，年中退休1人。</w:t>
      </w:r>
    </w:p>
    <w:p w14:paraId="63394042">
      <w:pPr>
        <w:keepNext w:val="0"/>
        <w:keepLines w:val="0"/>
        <w:pageBreakBefore w:val="0"/>
        <w:kinsoku/>
        <w:wordWrap/>
        <w:bidi w:val="0"/>
        <w:spacing w:line="576" w:lineRule="exact"/>
        <w:ind w:firstLine="63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（2）外出招商次数，年初预算外出开展招商引资6次，实际外出开展招商引资活动4次，收集有效信息10个。未完成绩效目标。</w:t>
      </w:r>
    </w:p>
    <w:p w14:paraId="5148A4F9">
      <w:pPr>
        <w:keepNext w:val="0"/>
        <w:keepLines w:val="0"/>
        <w:pageBreakBefore w:val="0"/>
        <w:kinsoku/>
        <w:wordWrap/>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（3）预算在6月、9月、11月执行进度，预算执行进度分别占预算38.</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%、51.0%、63.9%，未完成预算执行进度绩效目标。</w:t>
      </w:r>
    </w:p>
    <w:p w14:paraId="16D895D7">
      <w:pPr>
        <w:pStyle w:val="2"/>
        <w:keepNext w:val="0"/>
        <w:keepLines w:val="0"/>
        <w:pageBreakBefore w:val="0"/>
        <w:kinsoku/>
        <w:wordWrap/>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（4）驻外商会开展招商次数，年初预算驻外商会招商18次数，实际招商6次，未完成目标任务。</w:t>
      </w:r>
    </w:p>
    <w:p w14:paraId="6389FE19">
      <w:pPr>
        <w:keepNext w:val="0"/>
        <w:keepLines w:val="0"/>
        <w:pageBreakBefore w:val="0"/>
        <w:widowControl w:val="0"/>
        <w:kinsoku/>
        <w:wordWrap/>
        <w:overflowPunct w:val="0"/>
        <w:topLinePunct/>
        <w:autoSpaceDE w:val="0"/>
        <w:autoSpaceDN w:val="0"/>
        <w:bidi w:val="0"/>
        <w:snapToGrid w:val="0"/>
        <w:spacing w:line="576"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4896DAA4">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eastAsia" w:ascii="仿宋_GB2312" w:hAnsi="仿宋_GB2312" w:eastAsia="仿宋_GB2312" w:cs="仿宋_GB2312"/>
          <w:sz w:val="32"/>
          <w:szCs w:val="32"/>
        </w:rPr>
        <w:t>我联严格执行预决算公开制度，年初预算和年终决算均按照法定要求，在昭化区门户网站上进行了公开，以接受广大人民群众的监督。在内部应用方面，将单位绩效自评纳入考核体系，建立单位预算与绩效挂钩机制。按要求将相关绩效信息随同决算一起公开。本部门针对绩效管理过程中（包括绩效目标核查、绩效监控核查、重点自评抽查和重点绩效评价）提出的问题进行整改并完善政策、改进管理。在结果应用反馈方面，本部门在规定时间内向财政局反馈应用绩效结果报告。</w:t>
      </w:r>
    </w:p>
    <w:p w14:paraId="26F12023">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E67C7D6">
      <w:pPr>
        <w:keepNext w:val="0"/>
        <w:keepLines w:val="0"/>
        <w:pageBreakBefore w:val="0"/>
        <w:widowControl w:val="0"/>
        <w:kinsoku/>
        <w:wordWrap/>
        <w:overflowPunct w:val="0"/>
        <w:topLinePunct/>
        <w:autoSpaceDE w:val="0"/>
        <w:autoSpaceDN w:val="0"/>
        <w:bidi w:val="0"/>
        <w:adjustRightInd w:val="0"/>
        <w:snapToGrid w:val="0"/>
        <w:spacing w:line="576"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1A204988">
      <w:pPr>
        <w:pStyle w:val="2"/>
        <w:keepNext w:val="0"/>
        <w:keepLines w:val="0"/>
        <w:pageBreakBefore w:val="0"/>
        <w:kinsoku/>
        <w:wordWrap/>
        <w:bidi w:val="0"/>
        <w:spacing w:line="576" w:lineRule="exact"/>
        <w:ind w:firstLine="640" w:firstLineChars="200"/>
        <w:jc w:val="both"/>
        <w:textAlignment w:val="auto"/>
        <w:rPr>
          <w:rFonts w:hint="default"/>
          <w:lang w:val="zh-CN"/>
        </w:rPr>
      </w:pPr>
      <w:r>
        <w:rPr>
          <w:rFonts w:hint="eastAsia" w:ascii="仿宋_GB2312" w:hAnsi="仿宋_GB2312" w:eastAsia="仿宋_GB2312" w:cs="仿宋_GB2312"/>
          <w:sz w:val="32"/>
          <w:szCs w:val="32"/>
        </w:rPr>
        <w:t>区工商联在项目实施过程中，建立健全相关制度、机制，并严格执行，推进干部培训等工作。项目资金管理实行专项管理，严格执行资金审批制度制度，真正做到了专款专用，确保项目资金有效利用。总体来说项目审核严格，管理到位，完成及时，社会评价良好，自评得分为88分。</w:t>
      </w:r>
    </w:p>
    <w:p w14:paraId="4568626D">
      <w:pPr>
        <w:keepNext w:val="0"/>
        <w:keepLines w:val="0"/>
        <w:pageBreakBefore w:val="0"/>
        <w:widowControl w:val="0"/>
        <w:kinsoku/>
        <w:wordWrap/>
        <w:overflowPunct w:val="0"/>
        <w:topLinePunct/>
        <w:autoSpaceDE w:val="0"/>
        <w:autoSpaceDN w:val="0"/>
        <w:bidi w:val="0"/>
        <w:adjustRightInd w:val="0"/>
        <w:snapToGrid w:val="0"/>
        <w:spacing w:line="576"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665B4677">
      <w:pPr>
        <w:pStyle w:val="2"/>
        <w:keepNext w:val="0"/>
        <w:keepLines w:val="0"/>
        <w:pageBreakBefore w:val="0"/>
        <w:kinsoku/>
        <w:wordWrap/>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1.预算目标与实际完成目标偏离超过30%以上，一是外出招商完成4次，预算目标招商6次；二是驻外商会仅开展招商6次，预算目标18次。</w:t>
      </w:r>
    </w:p>
    <w:p w14:paraId="709A35DA">
      <w:pPr>
        <w:pStyle w:val="2"/>
        <w:keepNext w:val="0"/>
        <w:keepLines w:val="0"/>
        <w:pageBreakBefore w:val="0"/>
        <w:kinsoku/>
        <w:wordWrap/>
        <w:bidi w:val="0"/>
        <w:spacing w:line="576"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2．部门预算项目预算执行进度在6、9、11月执行进度38.</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%、51.0%、63.9%，均未达到40%、67.5%、82.5%，年中进度执行滞后。</w:t>
      </w:r>
    </w:p>
    <w:p w14:paraId="76C0CE8C">
      <w:pPr>
        <w:keepNext w:val="0"/>
        <w:keepLines w:val="0"/>
        <w:pageBreakBefore w:val="0"/>
        <w:widowControl w:val="0"/>
        <w:kinsoku/>
        <w:wordWrap/>
        <w:overflowPunct w:val="0"/>
        <w:topLinePunct/>
        <w:autoSpaceDE w:val="0"/>
        <w:autoSpaceDN w:val="0"/>
        <w:bidi w:val="0"/>
        <w:adjustRightInd w:val="0"/>
        <w:snapToGrid w:val="0"/>
        <w:spacing w:line="576" w:lineRule="exact"/>
        <w:ind w:firstLine="643" w:firstLineChars="200"/>
        <w:contextualSpacing/>
        <w:jc w:val="left"/>
        <w:textAlignment w:val="auto"/>
        <w:outlineLvl w:val="9"/>
        <w:rPr>
          <w:rFonts w:hint="eastAsia" w:ascii="Times New Roman" w:hAnsi="Times New Roman" w:eastAsia="仿宋_GB2312" w:cs="Times New Roman"/>
          <w:sz w:val="32"/>
          <w:szCs w:val="32"/>
          <w:highlight w:val="yellow"/>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48" w:name="_Hlk110546638"/>
    </w:p>
    <w:bookmarkEnd w:id="48"/>
    <w:p w14:paraId="4FD5B7B6">
      <w:pPr>
        <w:keepNext w:val="0"/>
        <w:keepLines w:val="0"/>
        <w:pageBreakBefore w:val="0"/>
        <w:kinsoku/>
        <w:wordWrap/>
        <w:bidi w:val="0"/>
        <w:spacing w:line="576" w:lineRule="exact"/>
        <w:ind w:firstLine="800" w:firstLineChars="25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1.优化预算目标，结合实际情况合理制定目标预算。</w:t>
      </w:r>
    </w:p>
    <w:p w14:paraId="2F38F7D0">
      <w:pPr>
        <w:pStyle w:val="2"/>
        <w:keepNext w:val="0"/>
        <w:keepLines w:val="0"/>
        <w:pageBreakBefore w:val="0"/>
        <w:kinsoku/>
        <w:wordWrap/>
        <w:bidi w:val="0"/>
        <w:spacing w:line="576" w:lineRule="exact"/>
        <w:textAlignment w:val="auto"/>
        <w:rPr>
          <w:rFonts w:hint="eastAsia" w:ascii="Times New Roman" w:hAnsi="Times New Roman" w:eastAsia="仿宋_GB2312" w:cs="Times New Roman"/>
          <w:kern w:val="2"/>
          <w:sz w:val="32"/>
          <w:szCs w:val="32"/>
          <w:u w:val="none"/>
          <w:lang w:val="zh-CN" w:eastAsia="zh-CN" w:bidi="ar"/>
        </w:rPr>
      </w:pPr>
      <w:r>
        <w:rPr>
          <w:rFonts w:hint="eastAsia" w:ascii="仿宋_GB2312" w:hAnsi="仿宋_GB2312" w:eastAsia="仿宋_GB2312" w:cs="仿宋_GB2312"/>
          <w:sz w:val="32"/>
          <w:szCs w:val="32"/>
        </w:rPr>
        <w:t xml:space="preserve">     2.加强预算年中执行力度，对预算进行合理分解，以便于预算合理执行。</w:t>
      </w:r>
    </w:p>
    <w:p w14:paraId="449C9E51">
      <w:pPr>
        <w:pStyle w:val="2"/>
        <w:keepNext w:val="0"/>
        <w:keepLines w:val="0"/>
        <w:pageBreakBefore w:val="0"/>
        <w:kinsoku/>
        <w:wordWrap/>
        <w:bidi w:val="0"/>
        <w:spacing w:line="576" w:lineRule="exact"/>
        <w:ind w:firstLine="640" w:firstLineChars="200"/>
        <w:textAlignment w:val="auto"/>
        <w:rPr>
          <w:rFonts w:hint="eastAsia" w:ascii="黑体" w:hAnsi="黑体" w:eastAsia="黑体" w:cs="黑体"/>
          <w:color w:val="auto"/>
          <w:kern w:val="0"/>
          <w:sz w:val="32"/>
          <w:szCs w:val="32"/>
          <w:highlight w:val="none"/>
          <w:shd w:val="clear" w:color="auto" w:fill="FFFFFF"/>
          <w:lang w:val="zh-CN"/>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12D359FA">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both"/>
        <w:textAlignment w:val="auto"/>
        <w:outlineLvl w:val="0"/>
        <w:rPr>
          <w:rFonts w:hint="eastAsia" w:ascii="方正小标宋简体" w:hAnsi="方正小标宋简体" w:eastAsia="方正小标宋简体" w:cs="方正小标宋简体"/>
          <w:color w:val="auto"/>
          <w:sz w:val="44"/>
          <w:szCs w:val="44"/>
          <w:highlight w:val="none"/>
        </w:rPr>
        <w:sectPr>
          <w:footerReference r:id="rId8" w:type="first"/>
          <w:footerReference r:id="rId7" w:type="default"/>
          <w:pgSz w:w="11906" w:h="16838"/>
          <w:pgMar w:top="2098" w:right="1474" w:bottom="1984" w:left="1531" w:header="851" w:footer="1304" w:gutter="0"/>
          <w:pgNumType w:fmt="decimal" w:start="1"/>
          <w:cols w:space="0" w:num="1"/>
          <w:titlePg/>
          <w:rtlGutter w:val="0"/>
          <w:docGrid w:type="lines" w:linePitch="312" w:charSpace="0"/>
        </w:sectPr>
      </w:pPr>
    </w:p>
    <w:tbl>
      <w:tblPr>
        <w:tblStyle w:val="19"/>
        <w:tblW w:w="14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5"/>
        <w:gridCol w:w="1770"/>
        <w:gridCol w:w="2256"/>
        <w:gridCol w:w="520"/>
        <w:gridCol w:w="1671"/>
        <w:gridCol w:w="520"/>
        <w:gridCol w:w="1090"/>
        <w:gridCol w:w="505"/>
        <w:gridCol w:w="486"/>
        <w:gridCol w:w="2764"/>
      </w:tblGrid>
      <w:tr w14:paraId="27FC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143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B4060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6738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AF5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94FE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51081124Y000011414822-工商企业联席经费</w:t>
            </w:r>
          </w:p>
        </w:tc>
      </w:tr>
      <w:tr w14:paraId="1705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505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BE3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广元市昭化区工商业联合会部门</w:t>
            </w:r>
          </w:p>
        </w:tc>
        <w:tc>
          <w:tcPr>
            <w:tcW w:w="1091" w:type="dxa"/>
            <w:tcBorders>
              <w:top w:val="nil"/>
              <w:left w:val="nil"/>
              <w:bottom w:val="nil"/>
              <w:right w:val="nil"/>
            </w:tcBorders>
            <w:shd w:val="clear" w:color="auto" w:fill="auto"/>
            <w:vAlign w:val="center"/>
          </w:tcPr>
          <w:p w14:paraId="2A06C45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81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广元市昭化区工商业联合会</w:t>
            </w:r>
          </w:p>
        </w:tc>
      </w:tr>
      <w:tr w14:paraId="6FD5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2D6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E24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B5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041CA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701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CD3E2">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02F1">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B5D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联席企业，召开座谈会、专题培训会、引导非公有制经济人士健康成长，提升企业家素质，助力企业发展，吸引新企业落户，解决就业。</w:t>
            </w:r>
          </w:p>
        </w:tc>
        <w:tc>
          <w:tcPr>
            <w:tcW w:w="4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3B2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新发展四川鑫帮克科技有限公司、广元杰诺印务有限公司、广元市达优宝食品有限公司等5家会员企业。积极开展新发展平台录入会员工作，累计录入会员390家。</w:t>
            </w:r>
          </w:p>
        </w:tc>
      </w:tr>
      <w:tr w14:paraId="72A6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B5775">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3C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625D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新发展四川鑫帮克科技有限公司、广元杰诺印务有限公司、广元市达优宝食品有限公司等5家会员企业。积极开展新发展平台录入会员工作，累计录入会员390家</w:t>
            </w:r>
          </w:p>
        </w:tc>
      </w:tr>
      <w:tr w14:paraId="5424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C8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1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D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A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D5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0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7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3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B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B3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9D7B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7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5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9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BB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9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1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7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E2A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w:t>
            </w:r>
          </w:p>
        </w:tc>
      </w:tr>
      <w:tr w14:paraId="64AE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BC1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7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9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B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88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E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1F8B">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39CC">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79EF">
            <w:pPr>
              <w:rPr>
                <w:rFonts w:hint="eastAsia" w:ascii="黑体" w:hAnsi="黑体" w:eastAsia="黑体" w:cs="黑体"/>
                <w:i w:val="0"/>
                <w:iCs w:val="0"/>
                <w:color w:val="000000"/>
                <w:sz w:val="18"/>
                <w:szCs w:val="18"/>
                <w:u w:val="none"/>
              </w:rPr>
            </w:pPr>
          </w:p>
        </w:tc>
      </w:tr>
      <w:tr w14:paraId="6CE5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D7F5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0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4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F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14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9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3E97">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158B">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30A77">
            <w:pPr>
              <w:rPr>
                <w:rFonts w:hint="eastAsia" w:ascii="黑体" w:hAnsi="黑体" w:eastAsia="黑体" w:cs="黑体"/>
                <w:i w:val="0"/>
                <w:iCs w:val="0"/>
                <w:color w:val="000000"/>
                <w:sz w:val="18"/>
                <w:szCs w:val="18"/>
                <w:u w:val="none"/>
              </w:rPr>
            </w:pPr>
          </w:p>
        </w:tc>
      </w:tr>
      <w:tr w14:paraId="44E5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51EE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9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F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8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3A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8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5961">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7A67">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FDDF1">
            <w:pPr>
              <w:rPr>
                <w:rFonts w:hint="eastAsia" w:ascii="黑体" w:hAnsi="黑体" w:eastAsia="黑体" w:cs="黑体"/>
                <w:i w:val="0"/>
                <w:iCs w:val="0"/>
                <w:color w:val="000000"/>
                <w:sz w:val="18"/>
                <w:szCs w:val="18"/>
                <w:u w:val="none"/>
              </w:rPr>
            </w:pPr>
          </w:p>
        </w:tc>
      </w:tr>
      <w:tr w14:paraId="4EE7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DD8F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F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1AB6">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99E6">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5DE18">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926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CC19">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3AB5">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306EB">
            <w:pPr>
              <w:rPr>
                <w:rFonts w:hint="eastAsia" w:ascii="黑体" w:hAnsi="黑体" w:eastAsia="黑体" w:cs="黑体"/>
                <w:i w:val="0"/>
                <w:iCs w:val="0"/>
                <w:color w:val="000000"/>
                <w:sz w:val="18"/>
                <w:szCs w:val="18"/>
                <w:u w:val="none"/>
              </w:rPr>
            </w:pPr>
          </w:p>
        </w:tc>
      </w:tr>
      <w:tr w14:paraId="0763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6C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3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1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B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3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9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4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8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4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2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8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20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CACFD">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FC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F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E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联席企业数量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B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B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2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B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3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1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880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0BA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A20C7">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EDD51">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9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C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树立企业发展信心，助推企业发展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5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2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DE54">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D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C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B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897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AFB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EF919">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7DEB3">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C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2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完成工作时限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4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8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8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7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0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D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31B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D7D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06B67">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64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E3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0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影响带动企业发展个数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0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A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0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9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B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1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646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B60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858F">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C74B7">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8162A">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9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吸引新企业落户</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3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C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4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6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A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B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067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C19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5D2DF">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84A4C">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5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3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解决就业人数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6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F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5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D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6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4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3A7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DCC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CC11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F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4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1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企业满意率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F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4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2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5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A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4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9EB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8B4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73F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0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9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6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召开会议，印发资料费用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6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6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E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5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9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A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CD6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2C6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5CA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2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C2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B885">
            <w:pPr>
              <w:rPr>
                <w:rFonts w:hint="eastAsia" w:ascii="宋体" w:hAnsi="宋体" w:eastAsia="宋体" w:cs="宋体"/>
                <w:i w:val="0"/>
                <w:iCs w:val="0"/>
                <w:color w:val="000000"/>
                <w:sz w:val="18"/>
                <w:szCs w:val="18"/>
                <w:u w:val="none"/>
              </w:rPr>
            </w:pPr>
          </w:p>
        </w:tc>
      </w:tr>
      <w:tr w14:paraId="3C2D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7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0DFAE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坚持会员数量与质量并重，主动联系走访辖区重点企业、上规模企业、与企业家座谈交流做朋友，引导企业对工商联组织作用进一步了解，增强工商联系统的吸引力和凝聚力</w:t>
            </w:r>
          </w:p>
        </w:tc>
      </w:tr>
      <w:tr w14:paraId="512C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C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91E6F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定期与企业联系，联系企业不足</w:t>
            </w:r>
          </w:p>
        </w:tc>
      </w:tr>
      <w:tr w14:paraId="48B1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2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EB0EF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畅通出口，不定期梳理清除口袋会员、不作为和懒作为会员，会员数量质量实现持续健康发展。</w:t>
            </w:r>
          </w:p>
        </w:tc>
      </w:tr>
      <w:tr w14:paraId="6A8B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36B9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项目负责人：赵冰清</w:t>
            </w:r>
          </w:p>
        </w:tc>
        <w:tc>
          <w:tcPr>
            <w:tcW w:w="7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DEDA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财务负责人：朱建军</w:t>
            </w:r>
          </w:p>
        </w:tc>
      </w:tr>
    </w:tbl>
    <w:p w14:paraId="26FDD4C6">
      <w:pPr>
        <w:pStyle w:val="2"/>
        <w:rPr>
          <w:rFonts w:hint="eastAsia"/>
        </w:rPr>
        <w:sectPr>
          <w:pgSz w:w="16838" w:h="11906" w:orient="landscape"/>
          <w:pgMar w:top="1440" w:right="1800" w:bottom="1440" w:left="1800" w:header="851" w:footer="1304" w:gutter="0"/>
          <w:pgNumType w:fmt="decimal"/>
          <w:cols w:space="0" w:num="1"/>
          <w:titlePg/>
          <w:rtlGutter w:val="0"/>
          <w:docGrid w:type="lines" w:linePitch="312" w:charSpace="0"/>
        </w:sectPr>
      </w:pPr>
    </w:p>
    <w:tbl>
      <w:tblPr>
        <w:tblStyle w:val="19"/>
        <w:tblW w:w="14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5"/>
        <w:gridCol w:w="1770"/>
        <w:gridCol w:w="2256"/>
        <w:gridCol w:w="520"/>
        <w:gridCol w:w="1671"/>
        <w:gridCol w:w="520"/>
        <w:gridCol w:w="1089"/>
        <w:gridCol w:w="505"/>
        <w:gridCol w:w="487"/>
        <w:gridCol w:w="2764"/>
      </w:tblGrid>
      <w:tr w14:paraId="22B5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143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F8957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43BF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54F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18EF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51081124Y000011414842-企业家座谈会经费</w:t>
            </w:r>
          </w:p>
        </w:tc>
      </w:tr>
      <w:tr w14:paraId="65B1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93A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BD7C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广元市昭化区工商业联合会部门</w:t>
            </w:r>
          </w:p>
        </w:tc>
        <w:tc>
          <w:tcPr>
            <w:tcW w:w="1091" w:type="dxa"/>
            <w:tcBorders>
              <w:top w:val="nil"/>
              <w:left w:val="nil"/>
              <w:bottom w:val="nil"/>
              <w:right w:val="nil"/>
            </w:tcBorders>
            <w:shd w:val="clear" w:color="auto" w:fill="auto"/>
            <w:vAlign w:val="center"/>
          </w:tcPr>
          <w:p w14:paraId="3F13645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06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广元市昭化区工商业联合会</w:t>
            </w:r>
          </w:p>
        </w:tc>
      </w:tr>
      <w:tr w14:paraId="22D0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FFC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341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3A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9581D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E1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ED62">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DB89D">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0CB0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全年召开企业家座谈会12次，协调解决企业发展的问题24个，促进经济发展。</w:t>
            </w:r>
          </w:p>
        </w:tc>
        <w:tc>
          <w:tcPr>
            <w:tcW w:w="4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8B9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工商联持续开展“大走访大调研大服务”活动。累计走访企业40余家，收集问题10余个，</w:t>
            </w:r>
          </w:p>
        </w:tc>
      </w:tr>
      <w:tr w14:paraId="6B6E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9F05A">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47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D8E2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累计走访企业40余家，收集问题10余个，就企业目前面临的招工难、销售难、销售渠道短缺、资金运转紧张、电商团队缺乏等问题深入分析研究，并安排在区工商联公众号、微信群发布企业招工信息，帮助企业多方联系销售渠道，为企业发展强信心、增活力</w:t>
            </w:r>
          </w:p>
        </w:tc>
      </w:tr>
      <w:tr w14:paraId="55BE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38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2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4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5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4F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D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7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2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B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F8C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1289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C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1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9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3C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2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E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8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FA6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w:t>
            </w:r>
          </w:p>
        </w:tc>
      </w:tr>
      <w:tr w14:paraId="263F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9855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9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0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1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6B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B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9482">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F719">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CC355">
            <w:pPr>
              <w:rPr>
                <w:rFonts w:hint="eastAsia" w:ascii="黑体" w:hAnsi="黑体" w:eastAsia="黑体" w:cs="黑体"/>
                <w:i w:val="0"/>
                <w:iCs w:val="0"/>
                <w:color w:val="000000"/>
                <w:sz w:val="18"/>
                <w:szCs w:val="18"/>
                <w:u w:val="none"/>
              </w:rPr>
            </w:pPr>
          </w:p>
        </w:tc>
      </w:tr>
      <w:tr w14:paraId="4E35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567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8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6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9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C7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3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6839">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C923">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9AF10">
            <w:pPr>
              <w:rPr>
                <w:rFonts w:hint="eastAsia" w:ascii="黑体" w:hAnsi="黑体" w:eastAsia="黑体" w:cs="黑体"/>
                <w:i w:val="0"/>
                <w:iCs w:val="0"/>
                <w:color w:val="000000"/>
                <w:sz w:val="18"/>
                <w:szCs w:val="18"/>
                <w:u w:val="none"/>
              </w:rPr>
            </w:pPr>
          </w:p>
        </w:tc>
      </w:tr>
      <w:tr w14:paraId="154A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09A6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A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9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2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56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6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08FC">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830">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6BEF6">
            <w:pPr>
              <w:rPr>
                <w:rFonts w:hint="eastAsia" w:ascii="黑体" w:hAnsi="黑体" w:eastAsia="黑体" w:cs="黑体"/>
                <w:i w:val="0"/>
                <w:iCs w:val="0"/>
                <w:color w:val="000000"/>
                <w:sz w:val="18"/>
                <w:szCs w:val="18"/>
                <w:u w:val="none"/>
              </w:rPr>
            </w:pPr>
          </w:p>
        </w:tc>
      </w:tr>
      <w:tr w14:paraId="394B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94F2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6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3580">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5316">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74680">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AAF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0038">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9870">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EDE37">
            <w:pPr>
              <w:rPr>
                <w:rFonts w:hint="eastAsia" w:ascii="黑体" w:hAnsi="黑体" w:eastAsia="黑体" w:cs="黑体"/>
                <w:i w:val="0"/>
                <w:iCs w:val="0"/>
                <w:color w:val="000000"/>
                <w:sz w:val="18"/>
                <w:szCs w:val="18"/>
                <w:u w:val="none"/>
              </w:rPr>
            </w:pPr>
          </w:p>
        </w:tc>
      </w:tr>
      <w:tr w14:paraId="0E42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8E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1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9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D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4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8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2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7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6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A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D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A5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F7067">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F4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A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5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全年召开会议次数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6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9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F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E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F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7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8B6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7E8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AE11">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3EAB1">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8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3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解决问题及时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9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4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7CDC">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B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2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3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E1A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7C3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8B51">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83F6">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0B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9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F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6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D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4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D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A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42A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8D1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526BD">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2F1E7">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E499F">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1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限时解决企业发展问题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3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9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1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C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C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17A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D67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4CBF">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2C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B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9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增加税收，促进经济发展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9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5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9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E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9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C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89D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673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224E0">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BD9A3">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8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C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企业健康发展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A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6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B51B">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5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E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4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926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D67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5D3A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0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3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C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企业满意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7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F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B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7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C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7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079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AEA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53F6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B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D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A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会议费，资料费等费用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3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8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E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D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7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1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52B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F40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C95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6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CF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6A36">
            <w:pPr>
              <w:rPr>
                <w:rFonts w:hint="eastAsia" w:ascii="宋体" w:hAnsi="宋体" w:eastAsia="宋体" w:cs="宋体"/>
                <w:i w:val="0"/>
                <w:iCs w:val="0"/>
                <w:color w:val="000000"/>
                <w:sz w:val="18"/>
                <w:szCs w:val="18"/>
                <w:u w:val="none"/>
              </w:rPr>
            </w:pPr>
          </w:p>
        </w:tc>
      </w:tr>
      <w:tr w14:paraId="0450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0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180FB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企业家座谈会重大，现场协调解决企业发展的问题，促进经济发展，四川香香嘴食品公司非遗牛皮豆干被全国食品行业评为年度消费者喜爱产品</w:t>
            </w:r>
          </w:p>
        </w:tc>
      </w:tr>
      <w:tr w14:paraId="6B42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0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38568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问题多样，联系范围广，协调慢</w:t>
            </w:r>
          </w:p>
        </w:tc>
      </w:tr>
      <w:tr w14:paraId="313C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B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5EF90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多深入企业，为企业解决实际问题</w:t>
            </w:r>
          </w:p>
        </w:tc>
      </w:tr>
      <w:tr w14:paraId="30E3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6C5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项目负责人：赵冰清</w:t>
            </w:r>
          </w:p>
        </w:tc>
        <w:tc>
          <w:tcPr>
            <w:tcW w:w="7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6E02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财务负责人：朱建军</w:t>
            </w:r>
          </w:p>
        </w:tc>
      </w:tr>
    </w:tbl>
    <w:p w14:paraId="59DEACB7">
      <w:pPr>
        <w:pStyle w:val="2"/>
        <w:rPr>
          <w:rFonts w:hint="eastAsia"/>
        </w:rPr>
        <w:sectPr>
          <w:pgSz w:w="16838" w:h="11906" w:orient="landscape"/>
          <w:pgMar w:top="1531" w:right="2098" w:bottom="1474" w:left="1984" w:header="851" w:footer="1304" w:gutter="0"/>
          <w:pgNumType w:fmt="decimal"/>
          <w:cols w:space="0" w:num="1"/>
          <w:titlePg/>
          <w:rtlGutter w:val="0"/>
          <w:docGrid w:type="lines" w:linePitch="312" w:charSpace="0"/>
        </w:sectPr>
      </w:pPr>
    </w:p>
    <w:tbl>
      <w:tblPr>
        <w:tblStyle w:val="19"/>
        <w:tblW w:w="14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50"/>
        <w:gridCol w:w="1774"/>
        <w:gridCol w:w="2262"/>
        <w:gridCol w:w="521"/>
        <w:gridCol w:w="1675"/>
        <w:gridCol w:w="521"/>
        <w:gridCol w:w="1091"/>
        <w:gridCol w:w="505"/>
        <w:gridCol w:w="456"/>
        <w:gridCol w:w="2772"/>
      </w:tblGrid>
      <w:tr w14:paraId="1654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143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9A8BC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7F55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3F3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685C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51081124Y000011414859-驻外商会经费</w:t>
            </w:r>
          </w:p>
        </w:tc>
      </w:tr>
      <w:tr w14:paraId="1AE2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489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AEAC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广元市昭化区工商业联合会部门</w:t>
            </w:r>
          </w:p>
        </w:tc>
        <w:tc>
          <w:tcPr>
            <w:tcW w:w="1091" w:type="dxa"/>
            <w:tcBorders>
              <w:top w:val="nil"/>
              <w:left w:val="nil"/>
              <w:bottom w:val="nil"/>
              <w:right w:val="nil"/>
            </w:tcBorders>
            <w:shd w:val="clear" w:color="auto" w:fill="auto"/>
            <w:vAlign w:val="center"/>
          </w:tcPr>
          <w:p w14:paraId="3A6016B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DF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广元市昭化区工商业联合会</w:t>
            </w:r>
          </w:p>
        </w:tc>
      </w:tr>
      <w:tr w14:paraId="15A8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AA5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CA7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3A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B409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72D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705FE">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FAEC9">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0B6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指导驻外商会认真开展工作，全年开展招商引资推介会18场，完成签约项目6个，提供有效招商信息12条。</w:t>
            </w:r>
          </w:p>
        </w:tc>
        <w:tc>
          <w:tcPr>
            <w:tcW w:w="4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A934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外出招商6次，未签约项目</w:t>
            </w:r>
          </w:p>
        </w:tc>
      </w:tr>
      <w:tr w14:paraId="4E28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314B">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C9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087B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外出招商6次，未签约项目</w:t>
            </w:r>
          </w:p>
        </w:tc>
      </w:tr>
      <w:tr w14:paraId="36F4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33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F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2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4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70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9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C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1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3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1E8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C91D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0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9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4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09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5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2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3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AAFC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部分商会作用发挥不好</w:t>
            </w:r>
          </w:p>
        </w:tc>
      </w:tr>
      <w:tr w14:paraId="639D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B4F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D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D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E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99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0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9175">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EFA4">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9F38">
            <w:pPr>
              <w:rPr>
                <w:rFonts w:hint="eastAsia" w:ascii="黑体" w:hAnsi="黑体" w:eastAsia="黑体" w:cs="黑体"/>
                <w:i w:val="0"/>
                <w:iCs w:val="0"/>
                <w:color w:val="000000"/>
                <w:sz w:val="18"/>
                <w:szCs w:val="18"/>
                <w:u w:val="none"/>
              </w:rPr>
            </w:pPr>
          </w:p>
        </w:tc>
      </w:tr>
      <w:tr w14:paraId="7953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AE6F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1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D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B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F3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1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4919">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17CB">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8A404">
            <w:pPr>
              <w:rPr>
                <w:rFonts w:hint="eastAsia" w:ascii="黑体" w:hAnsi="黑体" w:eastAsia="黑体" w:cs="黑体"/>
                <w:i w:val="0"/>
                <w:iCs w:val="0"/>
                <w:color w:val="000000"/>
                <w:sz w:val="18"/>
                <w:szCs w:val="18"/>
                <w:u w:val="none"/>
              </w:rPr>
            </w:pPr>
          </w:p>
        </w:tc>
      </w:tr>
      <w:tr w14:paraId="6EDC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1379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D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3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2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14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C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76DC">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522C">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1C844">
            <w:pPr>
              <w:rPr>
                <w:rFonts w:hint="eastAsia" w:ascii="黑体" w:hAnsi="黑体" w:eastAsia="黑体" w:cs="黑体"/>
                <w:i w:val="0"/>
                <w:iCs w:val="0"/>
                <w:color w:val="000000"/>
                <w:sz w:val="18"/>
                <w:szCs w:val="18"/>
                <w:u w:val="none"/>
              </w:rPr>
            </w:pPr>
          </w:p>
        </w:tc>
      </w:tr>
      <w:tr w14:paraId="10AD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B73C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7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1D3C">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4A08">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7A46C">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FFA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D8A5">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6536">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A9E19">
            <w:pPr>
              <w:rPr>
                <w:rFonts w:hint="eastAsia" w:ascii="黑体" w:hAnsi="黑体" w:eastAsia="黑体" w:cs="黑体"/>
                <w:i w:val="0"/>
                <w:iCs w:val="0"/>
                <w:color w:val="000000"/>
                <w:sz w:val="18"/>
                <w:szCs w:val="18"/>
                <w:u w:val="none"/>
              </w:rPr>
            </w:pPr>
          </w:p>
        </w:tc>
      </w:tr>
      <w:tr w14:paraId="051B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5F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6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9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E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C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9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8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2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F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5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1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038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DE8D4">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13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C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8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开展宣传推介会场次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C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4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5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0" w:type="auto"/>
            <w:tcBorders>
              <w:top w:val="nil"/>
              <w:left w:val="nil"/>
              <w:bottom w:val="nil"/>
              <w:right w:val="nil"/>
            </w:tcBorders>
            <w:shd w:val="clear" w:color="auto" w:fill="auto"/>
            <w:noWrap/>
            <w:vAlign w:val="center"/>
          </w:tcPr>
          <w:p w14:paraId="46019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C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B5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86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部分商会作用发挥不好</w:t>
            </w:r>
          </w:p>
        </w:tc>
      </w:tr>
      <w:tr w14:paraId="3A94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C3D1">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2217">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E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8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提供招商信息的质量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E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D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5444">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C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0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38F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5FD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部分商会作用发挥不好</w:t>
            </w:r>
          </w:p>
        </w:tc>
      </w:tr>
      <w:tr w14:paraId="57F2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D700F">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8C07E">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C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6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完成项目推介时限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4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F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0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4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0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22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83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部分商会作用发挥不好</w:t>
            </w:r>
          </w:p>
        </w:tc>
      </w:tr>
      <w:tr w14:paraId="2F78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656C4">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34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A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C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宣传家乡的成效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C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1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B2A5">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1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F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3F2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D95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部分商会作用发挥不好</w:t>
            </w:r>
          </w:p>
        </w:tc>
      </w:tr>
      <w:tr w14:paraId="5CCD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42C35">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A9C25">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B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0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回馈家乡的成效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8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6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D55D">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6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3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16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ACC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部分商会作用发挥不好</w:t>
            </w:r>
          </w:p>
        </w:tc>
      </w:tr>
      <w:tr w14:paraId="5CF5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8C4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F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A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1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在外非公经济人士满意度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9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E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E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7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8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1F3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B1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部分商会作用发挥不好</w:t>
            </w:r>
          </w:p>
        </w:tc>
      </w:tr>
      <w:tr w14:paraId="2EF9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69D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1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9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A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每个商会的费用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6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9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8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A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B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225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9CA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部分商会作用发挥不好</w:t>
            </w:r>
          </w:p>
        </w:tc>
      </w:tr>
      <w:tr w14:paraId="60BC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602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F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1D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F04F">
            <w:pPr>
              <w:rPr>
                <w:rFonts w:hint="eastAsia" w:ascii="宋体" w:hAnsi="宋体" w:eastAsia="宋体" w:cs="宋体"/>
                <w:i w:val="0"/>
                <w:iCs w:val="0"/>
                <w:color w:val="000000"/>
                <w:sz w:val="18"/>
                <w:szCs w:val="18"/>
                <w:u w:val="none"/>
              </w:rPr>
            </w:pPr>
          </w:p>
        </w:tc>
      </w:tr>
      <w:tr w14:paraId="3D35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A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E1FF0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外出招商6次，未签约项目</w:t>
            </w:r>
          </w:p>
        </w:tc>
      </w:tr>
      <w:tr w14:paraId="4593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C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646F3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未完成年初计划</w:t>
            </w:r>
          </w:p>
        </w:tc>
      </w:tr>
      <w:tr w14:paraId="6C68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D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02533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多督促驻外商会参加招商会，已寻求优质商机</w:t>
            </w:r>
          </w:p>
        </w:tc>
      </w:tr>
      <w:tr w14:paraId="51BF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9586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项目负责人：赵冰清</w:t>
            </w:r>
          </w:p>
        </w:tc>
        <w:tc>
          <w:tcPr>
            <w:tcW w:w="7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69E1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财务负责人：朱建军</w:t>
            </w:r>
          </w:p>
        </w:tc>
      </w:tr>
    </w:tbl>
    <w:p w14:paraId="29E4E55D">
      <w:pPr>
        <w:pStyle w:val="2"/>
        <w:rPr>
          <w:rFonts w:hint="eastAsia"/>
        </w:rPr>
        <w:sectPr>
          <w:pgSz w:w="16838" w:h="11906" w:orient="landscape"/>
          <w:pgMar w:top="1531" w:right="2098" w:bottom="1474" w:left="1984" w:header="851" w:footer="1304" w:gutter="0"/>
          <w:pgNumType w:fmt="decimal"/>
          <w:cols w:space="0" w:num="1"/>
          <w:titlePg/>
          <w:rtlGutter w:val="0"/>
          <w:docGrid w:type="lines" w:linePitch="312" w:charSpace="0"/>
        </w:sectPr>
      </w:pPr>
    </w:p>
    <w:tbl>
      <w:tblPr>
        <w:tblStyle w:val="19"/>
        <w:tblW w:w="14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5"/>
        <w:gridCol w:w="1769"/>
        <w:gridCol w:w="2256"/>
        <w:gridCol w:w="520"/>
        <w:gridCol w:w="1671"/>
        <w:gridCol w:w="520"/>
        <w:gridCol w:w="1090"/>
        <w:gridCol w:w="505"/>
        <w:gridCol w:w="486"/>
        <w:gridCol w:w="2765"/>
      </w:tblGrid>
      <w:tr w14:paraId="1655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43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88A20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0E019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B43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07E8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51081125T000012271915-在嘉善举办昭化区城市成果推介会</w:t>
            </w:r>
          </w:p>
        </w:tc>
      </w:tr>
      <w:tr w14:paraId="567C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0AB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F316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广元市昭化区工商业联合会部门</w:t>
            </w:r>
          </w:p>
        </w:tc>
        <w:tc>
          <w:tcPr>
            <w:tcW w:w="1091" w:type="dxa"/>
            <w:tcBorders>
              <w:top w:val="nil"/>
              <w:left w:val="nil"/>
              <w:bottom w:val="nil"/>
              <w:right w:val="nil"/>
            </w:tcBorders>
            <w:shd w:val="clear" w:color="auto" w:fill="auto"/>
            <w:vAlign w:val="center"/>
          </w:tcPr>
          <w:p w14:paraId="657474E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66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广元市昭化区工商业联合会</w:t>
            </w:r>
          </w:p>
        </w:tc>
      </w:tr>
      <w:tr w14:paraId="1EDC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3D8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676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A0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F33F6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EADD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BAAAD">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E230E">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557CB">
            <w:pPr>
              <w:rPr>
                <w:rFonts w:hint="eastAsia" w:ascii="宋体" w:hAnsi="宋体" w:eastAsia="宋体" w:cs="宋体"/>
                <w:i w:val="0"/>
                <w:iCs w:val="0"/>
                <w:color w:val="000000"/>
                <w:sz w:val="18"/>
                <w:szCs w:val="18"/>
                <w:u w:val="none"/>
              </w:rPr>
            </w:pPr>
          </w:p>
        </w:tc>
        <w:tc>
          <w:tcPr>
            <w:tcW w:w="4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C342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1F2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2C48E">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BB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C26A75">
            <w:pPr>
              <w:rPr>
                <w:rFonts w:hint="eastAsia" w:ascii="宋体" w:hAnsi="宋体" w:eastAsia="宋体" w:cs="宋体"/>
                <w:i w:val="0"/>
                <w:iCs w:val="0"/>
                <w:color w:val="000000"/>
                <w:sz w:val="18"/>
                <w:szCs w:val="18"/>
                <w:u w:val="none"/>
              </w:rPr>
            </w:pPr>
          </w:p>
        </w:tc>
      </w:tr>
      <w:tr w14:paraId="465F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CC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5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6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3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F4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0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F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8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5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32D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3B77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B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E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2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10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E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6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F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F38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无</w:t>
            </w:r>
          </w:p>
        </w:tc>
      </w:tr>
      <w:tr w14:paraId="0543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104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A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E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7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7A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0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E701">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B425">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080B">
            <w:pPr>
              <w:rPr>
                <w:rFonts w:hint="eastAsia" w:ascii="黑体" w:hAnsi="黑体" w:eastAsia="黑体" w:cs="黑体"/>
                <w:i w:val="0"/>
                <w:iCs w:val="0"/>
                <w:color w:val="000000"/>
                <w:sz w:val="18"/>
                <w:szCs w:val="18"/>
                <w:u w:val="none"/>
              </w:rPr>
            </w:pPr>
          </w:p>
        </w:tc>
      </w:tr>
      <w:tr w14:paraId="3A47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2785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0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F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D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59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C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3EA3">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E488">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DA48F">
            <w:pPr>
              <w:rPr>
                <w:rFonts w:hint="eastAsia" w:ascii="黑体" w:hAnsi="黑体" w:eastAsia="黑体" w:cs="黑体"/>
                <w:i w:val="0"/>
                <w:iCs w:val="0"/>
                <w:color w:val="000000"/>
                <w:sz w:val="18"/>
                <w:szCs w:val="18"/>
                <w:u w:val="none"/>
              </w:rPr>
            </w:pPr>
          </w:p>
        </w:tc>
      </w:tr>
      <w:tr w14:paraId="3417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6725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4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9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4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AE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D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C778">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7EC3">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6CBF">
            <w:pPr>
              <w:rPr>
                <w:rFonts w:hint="eastAsia" w:ascii="黑体" w:hAnsi="黑体" w:eastAsia="黑体" w:cs="黑体"/>
                <w:i w:val="0"/>
                <w:iCs w:val="0"/>
                <w:color w:val="000000"/>
                <w:sz w:val="18"/>
                <w:szCs w:val="18"/>
                <w:u w:val="none"/>
              </w:rPr>
            </w:pPr>
          </w:p>
        </w:tc>
      </w:tr>
      <w:tr w14:paraId="0514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EBA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8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E499">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82A2">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E26DD">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A84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6A88">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B009">
            <w:pPr>
              <w:jc w:val="center"/>
              <w:rPr>
                <w:rFonts w:hint="eastAsia" w:ascii="宋体" w:hAnsi="宋体" w:eastAsia="宋体" w:cs="宋体"/>
                <w:i w:val="0"/>
                <w:iCs w:val="0"/>
                <w:color w:val="000000"/>
                <w:sz w:val="18"/>
                <w:szCs w:val="18"/>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26B65">
            <w:pPr>
              <w:rPr>
                <w:rFonts w:hint="eastAsia" w:ascii="黑体" w:hAnsi="黑体" w:eastAsia="黑体" w:cs="黑体"/>
                <w:i w:val="0"/>
                <w:iCs w:val="0"/>
                <w:color w:val="000000"/>
                <w:sz w:val="18"/>
                <w:szCs w:val="18"/>
                <w:u w:val="none"/>
              </w:rPr>
            </w:pPr>
          </w:p>
        </w:tc>
      </w:tr>
      <w:tr w14:paraId="64B9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C1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C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2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9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F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C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5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7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8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8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9E5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B0D6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AEFF">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B3C4">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0163">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B057">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A811">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B4FC">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41C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CC3C">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9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59A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969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19F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8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31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B904">
            <w:pPr>
              <w:rPr>
                <w:rFonts w:hint="eastAsia" w:ascii="宋体" w:hAnsi="宋体" w:eastAsia="宋体" w:cs="宋体"/>
                <w:i w:val="0"/>
                <w:iCs w:val="0"/>
                <w:color w:val="000000"/>
                <w:sz w:val="18"/>
                <w:szCs w:val="18"/>
                <w:u w:val="none"/>
              </w:rPr>
            </w:pPr>
          </w:p>
        </w:tc>
      </w:tr>
      <w:tr w14:paraId="53D3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9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E405D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810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7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C2F46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7A5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5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C2651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D50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AFD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项目负责人：赵冰清</w:t>
            </w:r>
          </w:p>
        </w:tc>
        <w:tc>
          <w:tcPr>
            <w:tcW w:w="7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6CF3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财务负责人：朱建军</w:t>
            </w:r>
          </w:p>
        </w:tc>
      </w:tr>
    </w:tbl>
    <w:p w14:paraId="62E92500">
      <w:pPr>
        <w:pStyle w:val="2"/>
        <w:rPr>
          <w:rFonts w:hint="eastAsia"/>
        </w:rPr>
        <w:sectPr>
          <w:pgSz w:w="16838" w:h="11906" w:orient="landscape"/>
          <w:pgMar w:top="1531" w:right="2098" w:bottom="1474" w:left="1984" w:header="851" w:footer="1304" w:gutter="0"/>
          <w:pgNumType w:fmt="decimal"/>
          <w:cols w:space="0" w:num="1"/>
          <w:titlePg/>
          <w:rtlGutter w:val="0"/>
          <w:docGrid w:type="lines" w:linePitch="312" w:charSpace="0"/>
        </w:sectPr>
      </w:pPr>
    </w:p>
    <w:bookmarkEnd w:id="46"/>
    <w:bookmarkEnd w:id="47"/>
    <w:p w14:paraId="18A2EBFA">
      <w:pPr>
        <w:pStyle w:val="37"/>
        <w:keepNext w:val="0"/>
        <w:keepLines w:val="0"/>
        <w:pageBreakBefore w:val="0"/>
        <w:widowControl w:val="0"/>
        <w:kinsoku/>
        <w:wordWrap/>
        <w:overflowPunct w:val="0"/>
        <w:topLinePunct/>
        <w:autoSpaceDE w:val="0"/>
        <w:autoSpaceDN w:val="0"/>
        <w:bidi w:val="0"/>
        <w:spacing w:line="576"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22497D51">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 xml:space="preserve">第五部分 </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附表</w:t>
      </w:r>
      <w:bookmarkStart w:id="49" w:name="_Toc15396619"/>
    </w:p>
    <w:p w14:paraId="69EF04DC">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p>
    <w:p w14:paraId="5B266111">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9"/>
    </w:p>
    <w:p w14:paraId="1F83B217">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50" w:name="_Toc15396620"/>
      <w:r>
        <w:rPr>
          <w:rFonts w:hint="eastAsia" w:ascii="Times New Roman" w:hAnsi="Times New Roman" w:eastAsia="仿宋_GB2312" w:cs="仿宋_GB2312"/>
          <w:color w:val="auto"/>
          <w:sz w:val="32"/>
          <w:szCs w:val="32"/>
          <w:highlight w:val="none"/>
        </w:rPr>
        <w:t>二、收入决算表</w:t>
      </w:r>
      <w:bookmarkEnd w:id="50"/>
    </w:p>
    <w:p w14:paraId="79951BB1">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51" w:name="_Toc15396621"/>
      <w:r>
        <w:rPr>
          <w:rFonts w:hint="eastAsia" w:ascii="Times New Roman" w:hAnsi="Times New Roman" w:eastAsia="仿宋_GB2312" w:cs="仿宋_GB2312"/>
          <w:color w:val="auto"/>
          <w:sz w:val="32"/>
          <w:szCs w:val="32"/>
          <w:highlight w:val="none"/>
        </w:rPr>
        <w:t>三、支出决算表</w:t>
      </w:r>
      <w:bookmarkEnd w:id="51"/>
    </w:p>
    <w:p w14:paraId="41FEB5DA">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52" w:name="_Toc15396622"/>
      <w:r>
        <w:rPr>
          <w:rFonts w:hint="eastAsia" w:ascii="Times New Roman" w:hAnsi="Times New Roman" w:eastAsia="仿宋_GB2312" w:cs="仿宋_GB2312"/>
          <w:color w:val="auto"/>
          <w:sz w:val="32"/>
          <w:szCs w:val="32"/>
          <w:highlight w:val="none"/>
        </w:rPr>
        <w:t>四、财政拨款收入支出决算总表</w:t>
      </w:r>
      <w:bookmarkEnd w:id="52"/>
    </w:p>
    <w:p w14:paraId="547B560F">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53" w:name="_Toc15396623"/>
      <w:r>
        <w:rPr>
          <w:rFonts w:hint="eastAsia" w:ascii="Times New Roman" w:hAnsi="Times New Roman" w:eastAsia="仿宋_GB2312" w:cs="仿宋_GB2312"/>
          <w:color w:val="auto"/>
          <w:sz w:val="32"/>
          <w:szCs w:val="32"/>
          <w:highlight w:val="none"/>
        </w:rPr>
        <w:t>五、财政拨款支出决算明细表</w:t>
      </w:r>
      <w:bookmarkEnd w:id="53"/>
      <w:bookmarkStart w:id="54" w:name="_Toc15396624"/>
    </w:p>
    <w:p w14:paraId="0896C8D8">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4"/>
    </w:p>
    <w:p w14:paraId="79D4DF83">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55" w:name="_Toc15396625"/>
      <w:r>
        <w:rPr>
          <w:rFonts w:hint="eastAsia" w:ascii="Times New Roman" w:hAnsi="Times New Roman" w:eastAsia="仿宋_GB2312" w:cs="仿宋_GB2312"/>
          <w:color w:val="auto"/>
          <w:sz w:val="32"/>
          <w:szCs w:val="32"/>
          <w:highlight w:val="none"/>
        </w:rPr>
        <w:t>七、一般公共预算财政拨款支出决算明细表</w:t>
      </w:r>
      <w:bookmarkEnd w:id="55"/>
    </w:p>
    <w:p w14:paraId="1CA1E606">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56" w:name="_Toc15396626"/>
      <w:r>
        <w:rPr>
          <w:rFonts w:hint="eastAsia" w:ascii="Times New Roman" w:hAnsi="Times New Roman" w:eastAsia="仿宋_GB2312" w:cs="仿宋_GB2312"/>
          <w:color w:val="auto"/>
          <w:sz w:val="32"/>
          <w:szCs w:val="32"/>
          <w:highlight w:val="none"/>
        </w:rPr>
        <w:t>八、一般公共预算财政拨款基本支出决算表</w:t>
      </w:r>
      <w:bookmarkEnd w:id="56"/>
    </w:p>
    <w:p w14:paraId="28CB7161">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57" w:name="_Toc15396627"/>
      <w:r>
        <w:rPr>
          <w:rFonts w:hint="eastAsia" w:ascii="Times New Roman" w:hAnsi="Times New Roman" w:eastAsia="仿宋_GB2312" w:cs="仿宋_GB2312"/>
          <w:color w:val="auto"/>
          <w:sz w:val="32"/>
          <w:szCs w:val="32"/>
          <w:highlight w:val="none"/>
        </w:rPr>
        <w:t>九、一般公共预算财政拨款项目支出决算表</w:t>
      </w:r>
      <w:bookmarkEnd w:id="57"/>
    </w:p>
    <w:p w14:paraId="2FB785A3">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58" w:name="_Toc15396628"/>
      <w:r>
        <w:rPr>
          <w:rFonts w:hint="eastAsia" w:ascii="Times New Roman" w:hAnsi="Times New Roman" w:eastAsia="仿宋_GB2312" w:cs="仿宋_GB2312"/>
          <w:color w:val="auto"/>
          <w:sz w:val="32"/>
          <w:szCs w:val="32"/>
          <w:highlight w:val="none"/>
        </w:rPr>
        <w:t>十、</w:t>
      </w:r>
      <w:bookmarkEnd w:id="58"/>
      <w:r>
        <w:rPr>
          <w:rFonts w:hint="eastAsia" w:ascii="Times New Roman" w:hAnsi="Times New Roman" w:eastAsia="仿宋_GB2312" w:cs="仿宋_GB2312"/>
          <w:color w:val="auto"/>
          <w:sz w:val="32"/>
          <w:szCs w:val="32"/>
          <w:highlight w:val="none"/>
        </w:rPr>
        <w:t>政府性基金预算财政拨款收入支出决算表</w:t>
      </w:r>
    </w:p>
    <w:p w14:paraId="44FB8090">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59" w:name="_Toc15396629"/>
      <w:r>
        <w:rPr>
          <w:rFonts w:hint="eastAsia" w:ascii="Times New Roman" w:hAnsi="Times New Roman" w:eastAsia="仿宋_GB2312" w:cs="仿宋_GB2312"/>
          <w:color w:val="auto"/>
          <w:sz w:val="32"/>
          <w:szCs w:val="32"/>
          <w:highlight w:val="none"/>
        </w:rPr>
        <w:t>十一、</w:t>
      </w:r>
      <w:bookmarkEnd w:id="5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B69CE75">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eastAsia="仿宋_GB2312" w:cs="仿宋_GB2312"/>
          <w:color w:val="auto"/>
          <w:sz w:val="32"/>
          <w:szCs w:val="32"/>
          <w:highlight w:val="none"/>
        </w:rPr>
      </w:pPr>
      <w:bookmarkStart w:id="60" w:name="_Toc15396630"/>
      <w:r>
        <w:rPr>
          <w:rFonts w:hint="eastAsia" w:ascii="Times New Roman" w:hAnsi="Times New Roman" w:eastAsia="仿宋_GB2312" w:cs="仿宋_GB2312"/>
          <w:color w:val="auto"/>
          <w:sz w:val="32"/>
          <w:szCs w:val="32"/>
          <w:highlight w:val="none"/>
        </w:rPr>
        <w:t>十二、</w:t>
      </w:r>
      <w:bookmarkEnd w:id="60"/>
      <w:r>
        <w:rPr>
          <w:rFonts w:hint="eastAsia" w:ascii="Times New Roman" w:hAnsi="Times New Roman" w:eastAsia="仿宋_GB2312" w:cs="仿宋_GB2312"/>
          <w:color w:val="auto"/>
          <w:sz w:val="32"/>
          <w:szCs w:val="32"/>
          <w:highlight w:val="none"/>
          <w:lang w:eastAsia="zh-CN"/>
        </w:rPr>
        <w:t>国有资本经营预算财政拨款支出决算表</w:t>
      </w:r>
    </w:p>
    <w:p w14:paraId="518DD2E9">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sz w:val="32"/>
          <w:szCs w:val="32"/>
          <w:lang w:eastAsia="zh-CN"/>
        </w:rPr>
      </w:pPr>
      <w:bookmarkStart w:id="61" w:name="_Toc15396631"/>
      <w:r>
        <w:rPr>
          <w:rFonts w:hint="eastAsia" w:ascii="Times New Roman" w:hAnsi="Times New Roman" w:eastAsia="仿宋_GB2312" w:cs="仿宋_GB2312"/>
          <w:color w:val="auto"/>
          <w:sz w:val="32"/>
          <w:szCs w:val="32"/>
          <w:highlight w:val="none"/>
        </w:rPr>
        <w:t>十三、</w:t>
      </w:r>
      <w:bookmarkEnd w:id="61"/>
      <w:r>
        <w:rPr>
          <w:rFonts w:hint="eastAsia" w:ascii="Times New Roman" w:hAnsi="Times New Roman" w:eastAsia="仿宋_GB2312" w:cs="仿宋_GB2312"/>
          <w:color w:val="auto"/>
          <w:sz w:val="32"/>
          <w:szCs w:val="32"/>
          <w:highlight w:val="none"/>
          <w:lang w:eastAsia="zh-CN"/>
        </w:rPr>
        <w:t>财政拨款“三公”经费支出决算表</w:t>
      </w:r>
    </w:p>
    <w:p w14:paraId="54112C6B">
      <w:pPr>
        <w:pStyle w:val="18"/>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rPr>
          <w:rFonts w:hint="eastAsia" w:ascii="Times New Roman" w:hAnsi="Times New Roman"/>
          <w:sz w:val="32"/>
          <w:szCs w:val="32"/>
          <w:lang w:eastAsia="zh-CN"/>
        </w:rPr>
      </w:pPr>
    </w:p>
    <w:sectPr>
      <w:footerReference r:id="rId10" w:type="first"/>
      <w:footerReference r:id="rId9" w:type="default"/>
      <w:pgSz w:w="11906" w:h="16838"/>
      <w:pgMar w:top="2098" w:right="1474" w:bottom="1984" w:left="1587"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0617">
    <w:pPr>
      <w:pStyle w:val="13"/>
      <w:jc w:val="center"/>
    </w:pPr>
  </w:p>
  <w:p w14:paraId="4782497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5A69">
    <w:pPr>
      <w:pStyle w:val="13"/>
      <w:jc w:val="center"/>
    </w:pPr>
  </w:p>
  <w:p w14:paraId="7108096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B56B">
    <w:pPr>
      <w:pStyle w:val="13"/>
    </w:pPr>
    <w:r>
      <w:rPr>
        <w:sz w:val="18"/>
      </w:rPr>
      <mc:AlternateContent>
        <mc:Choice Requires="wps">
          <w:drawing>
            <wp:anchor distT="0" distB="0" distL="114300" distR="114300" simplePos="0" relativeHeight="251661312" behindDoc="0" locked="0" layoutInCell="1" allowOverlap="1">
              <wp:simplePos x="0" y="0"/>
              <wp:positionH relativeFrom="margin">
                <wp:posOffset>5140325</wp:posOffset>
              </wp:positionH>
              <wp:positionV relativeFrom="paragraph">
                <wp:posOffset>-106045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93949">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4.75pt;margin-top:-8.35pt;height:144pt;width:144pt;mso-position-horizontal-relative:margin;mso-wrap-style:none;z-index:251661312;mso-width-relative:page;mso-height-relative:page;" filled="f" stroked="f" coordsize="21600,21600" o:gfxdata="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Ni5c2QAAAAwBAAAPAAAAAAAAAAEAIAAAACIAAABkcnMvZG93bnJldi54&#10;bWxQSwECFAAUAAAACACHTuJA5lNNmTICAABjBAAADgAAAAAAAAABACAAAAAoAQAAZHJzL2Uyb0Rv&#10;Yy54bWxQSwUGAAAAAAYABgBZAQAAzAUAAAAA&#10;">
              <v:fill on="f" focussize="0,0"/>
              <v:stroke on="f" weight="0.5pt"/>
              <v:imagedata o:title=""/>
              <o:lock v:ext="edit" aspectratio="f"/>
              <v:textbox inset="0mm,0mm,0mm,0mm" style="mso-fit-shape-to-text:t;">
                <w:txbxContent>
                  <w:p w14:paraId="65993949">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0ACC5">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-106045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B14C4">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35pt;height:144pt;width:144pt;mso-position-horizontal:outside;mso-position-horizontal-relative:margin;mso-wrap-style:none;z-index:251662336;mso-width-relative:page;mso-height-relative:page;" filled="f" stroked="f" coordsize="21600,21600" o:gfxdata="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WMzTnWAAAACAEAAA8AAAAAAAAAAQAgAAAAIgAAAGRycy9kb3ducmV2LnhtbFBL&#10;AQIUABQAAAAIAIdO4kC989aEMQIAAGMEAAAOAAAAAAAAAAEAIAAAACUBAABkcnMvZTJvRG9jLnht&#10;bFBLBQYAAAAABgAGAFkBAADIBQAAAAA=&#10;">
              <v:fill on="f" focussize="0,0"/>
              <v:stroke on="f" weight="0.5pt"/>
              <v:imagedata o:title=""/>
              <o:lock v:ext="edit" aspectratio="f"/>
              <v:textbox inset="0mm,0mm,0mm,0mm" style="mso-fit-shape-to-text:t;">
                <w:txbxContent>
                  <w:p w14:paraId="6D5B14C4">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6CB2AF33">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BAD8">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-106045</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B4B8F">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35pt;height:144pt;width:144pt;mso-position-horizontal:outside;mso-position-horizontal-relative:margin;mso-wrap-style:none;z-index:251663360;mso-width-relative:page;mso-height-relative:page;" filled="f" stroked="f" coordsize="21600,21600" o:gfxdata="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Ni5c2QAAAAwBAAAPAAAAAAAAAAEAIAAAACIAAABkcnMvZG93bnJldi54&#10;bWxQSwECFAAUAAAACACHTuJA/1tBazICAABjBAAADgAAAAAAAAABACAAAAAoAQAAZHJzL2Uyb0Rv&#10;Yy54bWxQSwUGAAAAAAYABgBZAQAAzAUAAAAA&#10;">
              <v:fill on="f" focussize="0,0"/>
              <v:stroke on="f" weight="0.5pt"/>
              <v:imagedata o:title=""/>
              <o:lock v:ext="edit" aspectratio="f"/>
              <v:textbox inset="0mm,0mm,0mm,0mm" style="mso-fit-shape-to-text:t;">
                <w:txbxContent>
                  <w:p w14:paraId="5EBB4B8F">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2EB8">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-106045</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6796F">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35pt;height:144pt;width:144pt;mso-position-horizontal:outside;mso-position-horizontal-relative:margin;mso-wrap-style:none;z-index:251659264;mso-width-relative:page;mso-height-relative:page;" filled="f" stroked="f" coordsize="21600,21600" o:gfxdata="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YzNOdYAAAAIAQAADwAAAAAAAAABACAAAAAiAAAAZHJzL2Rvd25yZXYueG1s&#10;UEsBAhQAFAAAAAgAh07iQBxyswEzAgAAYwQAAA4AAAAAAAAAAQAgAAAAJQEAAGRycy9lMm9Eb2Mu&#10;eG1sUEsFBgAAAAAGAAYAWQEAAMoFAAAAAA==&#10;">
              <v:fill on="f" focussize="0,0"/>
              <v:stroke on="f" weight="0.5pt"/>
              <v:imagedata o:title=""/>
              <o:lock v:ext="edit" aspectratio="f"/>
              <v:textbox inset="0mm,0mm,0mm,0mm" style="mso-fit-shape-to-text:t;">
                <w:txbxContent>
                  <w:p w14:paraId="63F6796F">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63EB5693">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28AD6">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-106045</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135C3">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35pt;height:144pt;width:144pt;mso-position-horizontal:outside;mso-position-horizontal-relative:margin;mso-wrap-style:none;z-index:251660288;mso-width-relative:page;mso-height-relative:page;" filled="f" stroked="f" coordsize="21600,21600" o:gfxdata="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Ni5c2QAAAAwBAAAPAAAAAAAAAAEAIAAAACIAAABkcnMvZG93bnJldi54&#10;bWxQSwECFAAUAAAACACHTuJAm4x66jICAABjBAAADgAAAAAAAAABACAAAAAoAQAAZHJzL2Uyb0Rv&#10;Yy54bWxQSwUGAAAAAAYABgBZAQAAzAUAAAAA&#10;">
              <v:fill on="f" focussize="0,0"/>
              <v:stroke on="f" weight="0.5pt"/>
              <v:imagedata o:title=""/>
              <o:lock v:ext="edit" aspectratio="f"/>
              <v:textbox inset="0mm,0mm,0mm,0mm" style="mso-fit-shape-to-text:t;">
                <w:txbxContent>
                  <w:p w14:paraId="4E5135C3">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CC7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E4603"/>
    <w:multiLevelType w:val="singleLevel"/>
    <w:tmpl w:val="13DE4603"/>
    <w:lvl w:ilvl="0" w:tentative="0">
      <w:start w:val="1"/>
      <w:numFmt w:val="chineseCounting"/>
      <w:suff w:val="nothing"/>
      <w:lvlText w:val="%1、"/>
      <w:lvlJc w:val="left"/>
      <w:rPr>
        <w:rFonts w:hint="eastAsia"/>
      </w:rPr>
    </w:lvl>
  </w:abstractNum>
  <w:abstractNum w:abstractNumId="1">
    <w:nsid w:val="2ED0D9DF"/>
    <w:multiLevelType w:val="singleLevel"/>
    <w:tmpl w:val="2ED0D9DF"/>
    <w:lvl w:ilvl="0" w:tentative="0">
      <w:start w:val="3"/>
      <w:numFmt w:val="chineseCounting"/>
      <w:suff w:val="nothing"/>
      <w:lvlText w:val="（%1）"/>
      <w:lvlJc w:val="left"/>
      <w:rPr>
        <w:rFonts w:hint="eastAsia"/>
      </w:rPr>
    </w:lvl>
  </w:abstractNum>
  <w:abstractNum w:abstractNumId="2">
    <w:nsid w:val="631B6E6E"/>
    <w:multiLevelType w:val="singleLevel"/>
    <w:tmpl w:val="631B6E6E"/>
    <w:lvl w:ilvl="0" w:tentative="0">
      <w:start w:val="2"/>
      <w:numFmt w:val="chineseCounting"/>
      <w:suff w:val="nothing"/>
      <w:lvlText w:val="（%1）"/>
      <w:lvlJc w:val="left"/>
      <w:rPr>
        <w:rFonts w:hint="eastAsia"/>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M2M5MDRiMmZhZGE2YjRmNzZjOTJlNmI4ZTA1MT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360BD"/>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06A"/>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EC2E82"/>
    <w:rsid w:val="02FEBE30"/>
    <w:rsid w:val="03B15391"/>
    <w:rsid w:val="04273641"/>
    <w:rsid w:val="04916F1E"/>
    <w:rsid w:val="052B3A59"/>
    <w:rsid w:val="057C377D"/>
    <w:rsid w:val="05923DAF"/>
    <w:rsid w:val="05EB4483"/>
    <w:rsid w:val="06041631"/>
    <w:rsid w:val="061E35DE"/>
    <w:rsid w:val="066E0107"/>
    <w:rsid w:val="06BC02D5"/>
    <w:rsid w:val="07501ECD"/>
    <w:rsid w:val="07996F6E"/>
    <w:rsid w:val="07DFD8BA"/>
    <w:rsid w:val="084F2ED5"/>
    <w:rsid w:val="09727371"/>
    <w:rsid w:val="09867E8F"/>
    <w:rsid w:val="09930631"/>
    <w:rsid w:val="0A2032A3"/>
    <w:rsid w:val="0A2148F3"/>
    <w:rsid w:val="0A9E6FA0"/>
    <w:rsid w:val="0AC30636"/>
    <w:rsid w:val="0B331380"/>
    <w:rsid w:val="0CA8290A"/>
    <w:rsid w:val="0D35B1ED"/>
    <w:rsid w:val="0D375B72"/>
    <w:rsid w:val="0D516797"/>
    <w:rsid w:val="0E254B6B"/>
    <w:rsid w:val="0E5F4D59"/>
    <w:rsid w:val="0F22032E"/>
    <w:rsid w:val="0F98263C"/>
    <w:rsid w:val="1007166D"/>
    <w:rsid w:val="101860EC"/>
    <w:rsid w:val="101F47CC"/>
    <w:rsid w:val="10610445"/>
    <w:rsid w:val="10C055FF"/>
    <w:rsid w:val="10EC5C5A"/>
    <w:rsid w:val="11257D82"/>
    <w:rsid w:val="112C24FB"/>
    <w:rsid w:val="11694EBD"/>
    <w:rsid w:val="11772AA4"/>
    <w:rsid w:val="118107EC"/>
    <w:rsid w:val="12B75DF4"/>
    <w:rsid w:val="12D15108"/>
    <w:rsid w:val="12E24EE2"/>
    <w:rsid w:val="13D50BC4"/>
    <w:rsid w:val="140F0033"/>
    <w:rsid w:val="14B17F78"/>
    <w:rsid w:val="15BF20F0"/>
    <w:rsid w:val="16547E52"/>
    <w:rsid w:val="165E0673"/>
    <w:rsid w:val="16B831D5"/>
    <w:rsid w:val="16BB723D"/>
    <w:rsid w:val="17BC3C60"/>
    <w:rsid w:val="17E50567"/>
    <w:rsid w:val="182F1FA9"/>
    <w:rsid w:val="186504BB"/>
    <w:rsid w:val="19A445FC"/>
    <w:rsid w:val="1A266374"/>
    <w:rsid w:val="1B0D6EF9"/>
    <w:rsid w:val="1BA96D36"/>
    <w:rsid w:val="1BBF0F0E"/>
    <w:rsid w:val="1BE8440E"/>
    <w:rsid w:val="1C1A0824"/>
    <w:rsid w:val="1CE63CF9"/>
    <w:rsid w:val="1D021C88"/>
    <w:rsid w:val="1D155CEE"/>
    <w:rsid w:val="1D1638FE"/>
    <w:rsid w:val="1DFD5613"/>
    <w:rsid w:val="1E312DEB"/>
    <w:rsid w:val="1E740ACF"/>
    <w:rsid w:val="1E8303E4"/>
    <w:rsid w:val="1EBE52E4"/>
    <w:rsid w:val="1EF04B68"/>
    <w:rsid w:val="1F7C367A"/>
    <w:rsid w:val="1F7C464D"/>
    <w:rsid w:val="1F8B4EC7"/>
    <w:rsid w:val="1FF35744"/>
    <w:rsid w:val="1FF6BC77"/>
    <w:rsid w:val="201D2648"/>
    <w:rsid w:val="20FF73BB"/>
    <w:rsid w:val="2186353C"/>
    <w:rsid w:val="23860B96"/>
    <w:rsid w:val="240371BF"/>
    <w:rsid w:val="244F3473"/>
    <w:rsid w:val="24B10EA9"/>
    <w:rsid w:val="24C97D99"/>
    <w:rsid w:val="25A718F0"/>
    <w:rsid w:val="25BB59F6"/>
    <w:rsid w:val="260F557C"/>
    <w:rsid w:val="26970054"/>
    <w:rsid w:val="281408E2"/>
    <w:rsid w:val="29FD04D3"/>
    <w:rsid w:val="2B8B30E0"/>
    <w:rsid w:val="2BB974A6"/>
    <w:rsid w:val="2BBD05CD"/>
    <w:rsid w:val="2BFF7BC6"/>
    <w:rsid w:val="2C595B11"/>
    <w:rsid w:val="2C7D5DC7"/>
    <w:rsid w:val="2C8A61B5"/>
    <w:rsid w:val="2CC73FC4"/>
    <w:rsid w:val="2D9477AB"/>
    <w:rsid w:val="2DA80DA1"/>
    <w:rsid w:val="2DF04E50"/>
    <w:rsid w:val="2E586DFA"/>
    <w:rsid w:val="2F040D46"/>
    <w:rsid w:val="2F065CE2"/>
    <w:rsid w:val="2F6B035B"/>
    <w:rsid w:val="2FAE5751"/>
    <w:rsid w:val="2FB1A395"/>
    <w:rsid w:val="2FD9A7D8"/>
    <w:rsid w:val="2FDBF714"/>
    <w:rsid w:val="30A864ED"/>
    <w:rsid w:val="30AB6865"/>
    <w:rsid w:val="30F46B5D"/>
    <w:rsid w:val="319F7F4E"/>
    <w:rsid w:val="31B772F8"/>
    <w:rsid w:val="31D54993"/>
    <w:rsid w:val="32103C84"/>
    <w:rsid w:val="32BD1EF1"/>
    <w:rsid w:val="32CC6842"/>
    <w:rsid w:val="3304709D"/>
    <w:rsid w:val="33A773CB"/>
    <w:rsid w:val="349D6851"/>
    <w:rsid w:val="34EB1C02"/>
    <w:rsid w:val="35C97A69"/>
    <w:rsid w:val="36AA5135"/>
    <w:rsid w:val="36BE0DA7"/>
    <w:rsid w:val="36D938F2"/>
    <w:rsid w:val="376B6AA6"/>
    <w:rsid w:val="376D39B2"/>
    <w:rsid w:val="37E16F03"/>
    <w:rsid w:val="37F53A3B"/>
    <w:rsid w:val="389B6C89"/>
    <w:rsid w:val="38D469F0"/>
    <w:rsid w:val="39627CCD"/>
    <w:rsid w:val="397BAF1F"/>
    <w:rsid w:val="3AB79AF3"/>
    <w:rsid w:val="3ABE7B4D"/>
    <w:rsid w:val="3AE834C0"/>
    <w:rsid w:val="3B7EF35A"/>
    <w:rsid w:val="3B9FDB6C"/>
    <w:rsid w:val="3BF5BC2F"/>
    <w:rsid w:val="3C2522DF"/>
    <w:rsid w:val="3CEBA265"/>
    <w:rsid w:val="3D98207C"/>
    <w:rsid w:val="3DEE7CF3"/>
    <w:rsid w:val="3E740A63"/>
    <w:rsid w:val="3E78745D"/>
    <w:rsid w:val="3E854E75"/>
    <w:rsid w:val="3EE17838"/>
    <w:rsid w:val="3F55381A"/>
    <w:rsid w:val="3F762A0F"/>
    <w:rsid w:val="3F7F7599"/>
    <w:rsid w:val="3FDF05B5"/>
    <w:rsid w:val="3FF4CAE0"/>
    <w:rsid w:val="3FF7B227"/>
    <w:rsid w:val="40692863"/>
    <w:rsid w:val="410450ED"/>
    <w:rsid w:val="41AD7188"/>
    <w:rsid w:val="430B6CF0"/>
    <w:rsid w:val="43CB28AC"/>
    <w:rsid w:val="44E268DA"/>
    <w:rsid w:val="450D13D7"/>
    <w:rsid w:val="452463AD"/>
    <w:rsid w:val="45506656"/>
    <w:rsid w:val="45B47580"/>
    <w:rsid w:val="45D00592"/>
    <w:rsid w:val="46331225"/>
    <w:rsid w:val="46353A70"/>
    <w:rsid w:val="466B37D3"/>
    <w:rsid w:val="46EB1637"/>
    <w:rsid w:val="47757B3D"/>
    <w:rsid w:val="48291A5A"/>
    <w:rsid w:val="486A6C7A"/>
    <w:rsid w:val="48743F1A"/>
    <w:rsid w:val="487C210A"/>
    <w:rsid w:val="4A19137E"/>
    <w:rsid w:val="4A627F82"/>
    <w:rsid w:val="4B0E749A"/>
    <w:rsid w:val="4B2477C4"/>
    <w:rsid w:val="4B4F25DA"/>
    <w:rsid w:val="4B903C5B"/>
    <w:rsid w:val="4B9A61AB"/>
    <w:rsid w:val="4BB75CD8"/>
    <w:rsid w:val="4BE068DB"/>
    <w:rsid w:val="4BE551A5"/>
    <w:rsid w:val="4D372C3B"/>
    <w:rsid w:val="4D577224"/>
    <w:rsid w:val="4DBF1CEB"/>
    <w:rsid w:val="4DF0007C"/>
    <w:rsid w:val="4E5722CC"/>
    <w:rsid w:val="4EAB630A"/>
    <w:rsid w:val="4ECE2238"/>
    <w:rsid w:val="4F5973E7"/>
    <w:rsid w:val="4F833267"/>
    <w:rsid w:val="4FE9BD67"/>
    <w:rsid w:val="4FFB052F"/>
    <w:rsid w:val="51455348"/>
    <w:rsid w:val="51864D34"/>
    <w:rsid w:val="51E563AB"/>
    <w:rsid w:val="51E97071"/>
    <w:rsid w:val="537E6D0A"/>
    <w:rsid w:val="53F74C96"/>
    <w:rsid w:val="5467028A"/>
    <w:rsid w:val="55170BA8"/>
    <w:rsid w:val="553218C9"/>
    <w:rsid w:val="553A1364"/>
    <w:rsid w:val="56116BDA"/>
    <w:rsid w:val="567E1AA5"/>
    <w:rsid w:val="56B7277E"/>
    <w:rsid w:val="56E47B74"/>
    <w:rsid w:val="57175D52"/>
    <w:rsid w:val="571B7984"/>
    <w:rsid w:val="57AD7A56"/>
    <w:rsid w:val="57BD3DD4"/>
    <w:rsid w:val="57C41DCA"/>
    <w:rsid w:val="57DE66E3"/>
    <w:rsid w:val="588D62E6"/>
    <w:rsid w:val="588F74CA"/>
    <w:rsid w:val="592C545B"/>
    <w:rsid w:val="5AF92295"/>
    <w:rsid w:val="5B250254"/>
    <w:rsid w:val="5BDD79E6"/>
    <w:rsid w:val="5BF561CA"/>
    <w:rsid w:val="5BFC4C54"/>
    <w:rsid w:val="5BFF5DFC"/>
    <w:rsid w:val="5C202D8B"/>
    <w:rsid w:val="5CD71FC4"/>
    <w:rsid w:val="5D1F11B5"/>
    <w:rsid w:val="5D695134"/>
    <w:rsid w:val="5D724260"/>
    <w:rsid w:val="5DAE1B18"/>
    <w:rsid w:val="5DE7D9E5"/>
    <w:rsid w:val="5ECEC941"/>
    <w:rsid w:val="5EDF3926"/>
    <w:rsid w:val="5F177DFA"/>
    <w:rsid w:val="5F3E2D64"/>
    <w:rsid w:val="5F5B3D91"/>
    <w:rsid w:val="5FBF9FF3"/>
    <w:rsid w:val="5FCD4E2C"/>
    <w:rsid w:val="5FEF394A"/>
    <w:rsid w:val="5FF67715"/>
    <w:rsid w:val="60441C12"/>
    <w:rsid w:val="623D18A4"/>
    <w:rsid w:val="62BF3928"/>
    <w:rsid w:val="63B3701E"/>
    <w:rsid w:val="64747EFF"/>
    <w:rsid w:val="647F5392"/>
    <w:rsid w:val="65E66580"/>
    <w:rsid w:val="664B1D71"/>
    <w:rsid w:val="664B4E8E"/>
    <w:rsid w:val="66840416"/>
    <w:rsid w:val="67277B67"/>
    <w:rsid w:val="67443F2E"/>
    <w:rsid w:val="67AA3209"/>
    <w:rsid w:val="68FB795E"/>
    <w:rsid w:val="698D0931"/>
    <w:rsid w:val="699833FF"/>
    <w:rsid w:val="6A7FE5F3"/>
    <w:rsid w:val="6A89220C"/>
    <w:rsid w:val="6AD30E33"/>
    <w:rsid w:val="6B053271"/>
    <w:rsid w:val="6B587842"/>
    <w:rsid w:val="6B633598"/>
    <w:rsid w:val="6BDD78B3"/>
    <w:rsid w:val="6BEC5C84"/>
    <w:rsid w:val="6C3D590C"/>
    <w:rsid w:val="6C4A05C8"/>
    <w:rsid w:val="6C8742B8"/>
    <w:rsid w:val="6D804A59"/>
    <w:rsid w:val="6DBF5E93"/>
    <w:rsid w:val="6DFF077E"/>
    <w:rsid w:val="6E714EF0"/>
    <w:rsid w:val="6E7E3605"/>
    <w:rsid w:val="6E7FDCC7"/>
    <w:rsid w:val="6EBB3371"/>
    <w:rsid w:val="6ED6A62E"/>
    <w:rsid w:val="6EE00B15"/>
    <w:rsid w:val="6F6FB3EB"/>
    <w:rsid w:val="6F8731EA"/>
    <w:rsid w:val="6FCE6052"/>
    <w:rsid w:val="6FD57C00"/>
    <w:rsid w:val="6FEFFFD8"/>
    <w:rsid w:val="6FF5CC65"/>
    <w:rsid w:val="6FFB47EC"/>
    <w:rsid w:val="6FFF034A"/>
    <w:rsid w:val="70484440"/>
    <w:rsid w:val="7078567F"/>
    <w:rsid w:val="70AE4D5E"/>
    <w:rsid w:val="70C77B9F"/>
    <w:rsid w:val="712A28F1"/>
    <w:rsid w:val="715C0E4B"/>
    <w:rsid w:val="71982548"/>
    <w:rsid w:val="71992E7C"/>
    <w:rsid w:val="71C6774D"/>
    <w:rsid w:val="72084BA9"/>
    <w:rsid w:val="72233669"/>
    <w:rsid w:val="72734D90"/>
    <w:rsid w:val="728338D6"/>
    <w:rsid w:val="72DA6468"/>
    <w:rsid w:val="73160E6D"/>
    <w:rsid w:val="7332FE48"/>
    <w:rsid w:val="73336616"/>
    <w:rsid w:val="73AB61DA"/>
    <w:rsid w:val="73AD73D5"/>
    <w:rsid w:val="73B6EB34"/>
    <w:rsid w:val="73F12089"/>
    <w:rsid w:val="73FA497D"/>
    <w:rsid w:val="744731E5"/>
    <w:rsid w:val="747814CB"/>
    <w:rsid w:val="748430EE"/>
    <w:rsid w:val="74BBD01D"/>
    <w:rsid w:val="74ED5379"/>
    <w:rsid w:val="75DEEEC2"/>
    <w:rsid w:val="75E32345"/>
    <w:rsid w:val="76E3355F"/>
    <w:rsid w:val="76FF5125"/>
    <w:rsid w:val="776F6FFA"/>
    <w:rsid w:val="778769C8"/>
    <w:rsid w:val="77A75DCA"/>
    <w:rsid w:val="77DC22F5"/>
    <w:rsid w:val="78302628"/>
    <w:rsid w:val="783E271A"/>
    <w:rsid w:val="78616DE9"/>
    <w:rsid w:val="78E875D7"/>
    <w:rsid w:val="79086DAD"/>
    <w:rsid w:val="79D7FD79"/>
    <w:rsid w:val="79EE5BA4"/>
    <w:rsid w:val="7A212F9C"/>
    <w:rsid w:val="7A894339"/>
    <w:rsid w:val="7AB80E65"/>
    <w:rsid w:val="7AD284E8"/>
    <w:rsid w:val="7AD7365B"/>
    <w:rsid w:val="7AFF7572"/>
    <w:rsid w:val="7B6C7DFB"/>
    <w:rsid w:val="7BBFBED0"/>
    <w:rsid w:val="7BC3E394"/>
    <w:rsid w:val="7BF91591"/>
    <w:rsid w:val="7C1F3737"/>
    <w:rsid w:val="7CBFC87B"/>
    <w:rsid w:val="7CFE0F48"/>
    <w:rsid w:val="7D272ABC"/>
    <w:rsid w:val="7D7EC23E"/>
    <w:rsid w:val="7D9922DC"/>
    <w:rsid w:val="7E717883"/>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Salutation"/>
    <w:basedOn w:val="1"/>
    <w:next w:val="1"/>
    <w:qFormat/>
    <w:uiPriority w:val="0"/>
    <w:rPr>
      <w:rFonts w:ascii="Times New Roman" w:hAnsi="Times New Roman"/>
    </w:rPr>
  </w:style>
  <w:style w:type="paragraph" w:styleId="8">
    <w:name w:val="Body Text"/>
    <w:basedOn w:val="1"/>
    <w:link w:val="29"/>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4"/>
    <w:semiHidden/>
    <w:unhideWhenUsed/>
    <w:qFormat/>
    <w:uiPriority w:val="99"/>
    <w:rPr>
      <w:sz w:val="18"/>
      <w:szCs w:val="18"/>
    </w:rPr>
  </w:style>
  <w:style w:type="paragraph" w:styleId="13">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able of figures"/>
    <w:basedOn w:val="1"/>
    <w:next w:val="1"/>
    <w:qFormat/>
    <w:uiPriority w:val="0"/>
    <w:pPr>
      <w:ind w:leftChars="0" w:firstLine="0" w:firstLineChars="0"/>
    </w:pPr>
    <w:rPr>
      <w:rFonts w:ascii="Times New Roman" w:hAnsi="Times New Roman"/>
    </w:rPr>
  </w:style>
  <w:style w:type="paragraph" w:styleId="18">
    <w:name w:val="toc 2"/>
    <w:basedOn w:val="1"/>
    <w:next w:val="1"/>
    <w:unhideWhenUsed/>
    <w:qFormat/>
    <w:uiPriority w:val="39"/>
    <w:pPr>
      <w:tabs>
        <w:tab w:val="right" w:leader="dot" w:pos="8296"/>
      </w:tabs>
      <w:ind w:left="420" w:leftChars="200"/>
    </w:p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4"/>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3"/>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8"/>
    <w:qFormat/>
    <w:locked/>
    <w:uiPriority w:val="99"/>
    <w:rPr>
      <w:rFonts w:ascii="仿宋_GB2312" w:hAnsi="Times New Roman" w:eastAsia="仿宋_GB2312"/>
      <w:sz w:val="24"/>
    </w:rPr>
  </w:style>
  <w:style w:type="paragraph" w:styleId="30">
    <w:name w:val="List Paragraph"/>
    <w:basedOn w:val="1"/>
    <w:qFormat/>
    <w:uiPriority w:val="34"/>
    <w:pPr>
      <w:ind w:firstLine="420" w:firstLineChars="200"/>
    </w:pPr>
  </w:style>
  <w:style w:type="character" w:customStyle="1" w:styleId="31">
    <w:name w:val="标题 1 Char"/>
    <w:basedOn w:val="20"/>
    <w:link w:val="3"/>
    <w:qFormat/>
    <w:uiPriority w:val="9"/>
    <w:rPr>
      <w:rFonts w:ascii="Times New Roman" w:hAnsi="Times New Roman"/>
      <w:b/>
      <w:bCs/>
      <w:kern w:val="44"/>
      <w:sz w:val="44"/>
      <w:szCs w:val="44"/>
    </w:rPr>
  </w:style>
  <w:style w:type="character" w:customStyle="1" w:styleId="32">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0"/>
    <w:link w:val="12"/>
    <w:semiHidden/>
    <w:qFormat/>
    <w:uiPriority w:val="99"/>
    <w:rPr>
      <w:rFonts w:ascii="Times New Roman" w:hAnsi="Times New Roman"/>
      <w:kern w:val="2"/>
      <w:sz w:val="18"/>
      <w:szCs w:val="18"/>
    </w:rPr>
  </w:style>
  <w:style w:type="character" w:customStyle="1" w:styleId="35">
    <w:name w:val="标题 3 Char"/>
    <w:basedOn w:val="20"/>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image" Target="media/image1.png"/><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6157;&#21270;&#24037;&#21830;&#32852;\&#24037;&#20316;&#31807;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26157;&#21270;&#24037;&#21830;&#32852;\&#24037;&#20316;&#31807;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6157;&#21270;&#24037;&#21830;&#32852;\&#24037;&#20316;&#31807;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26157;&#21270;&#24037;&#21830;&#32852;\&#24037;&#20316;&#31807;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26157;&#21270;&#24037;&#21830;&#32852;\&#24037;&#20316;&#31807;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26157;&#21270;&#24037;&#21830;&#32852;\&#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[工作簿1.xlsx]Sheet1!$D$9</c:f>
              <c:strCache>
                <c:ptCount val="1"/>
                <c:pt idx="0">
                  <c:v>单元：万元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[工作簿1.xlsx]Sheet1!$D$7:$D$8</c:f>
              <c:strCache>
                <c:ptCount val="2"/>
                <c:pt idx="0">
                  <c:v>2023年</c:v>
                </c:pt>
                <c:pt idx="1">
                  <c:v>2024年</c:v>
                </c:pt>
              </c:strCache>
            </c:strRef>
          </c:cat>
          <c:val>
            <c:numRef>
              <c:f>[工作簿1.xlsx]Sheet1!$E$7:$E$8</c:f>
              <c:numCache>
                <c:formatCode>0.00_ </c:formatCode>
                <c:ptCount val="2"/>
                <c:pt idx="0">
                  <c:v>166.7</c:v>
                </c:pt>
                <c:pt idx="1" c:formatCode="General">
                  <c:v>183.54</c:v>
                </c:pt>
              </c:numCache>
            </c:numRef>
          </c:val>
        </c:ser>
        <c:dLbls>
          <c:showLegendKey val="0"/>
          <c:showVal val="1"/>
          <c:showCatName val="0"/>
          <c:showSerName val="0"/>
          <c:showPercent val="0"/>
          <c:showBubbleSize val="0"/>
        </c:dLbls>
        <c:gapWidth val="219"/>
        <c:overlap val="-27"/>
        <c:axId val="604634744"/>
        <c:axId val="334598311"/>
      </c:barChart>
      <c:catAx>
        <c:axId val="6046347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4598311"/>
        <c:crosses val="autoZero"/>
        <c:auto val="1"/>
        <c:lblAlgn val="ctr"/>
        <c:lblOffset val="100"/>
        <c:noMultiLvlLbl val="0"/>
      </c:catAx>
      <c:valAx>
        <c:axId val="334598311"/>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46347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9027bda-72b3-4911-82d2-5af4991a1d8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[工作簿1.xlsx]Sheet1!$D$36:$D$37</c:f>
              <c:strCache>
                <c:ptCount val="2"/>
                <c:pt idx="0">
                  <c:v>基本支出</c:v>
                </c:pt>
                <c:pt idx="1">
                  <c:v>项目支出</c:v>
                </c:pt>
              </c:strCache>
            </c:strRef>
          </c:cat>
          <c:val>
            <c:numRef>
              <c:f>[工作簿1.xlsx]Sheet1!$E$36:$E$37</c:f>
              <c:numCache>
                <c:formatCode>0.0%</c:formatCode>
                <c:ptCount val="2"/>
                <c:pt idx="0">
                  <c:v>0.864</c:v>
                </c:pt>
                <c:pt idx="1">
                  <c:v>0.136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ccfc5f0-1dae-4e9d-b4d2-3154905f3a5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[工作簿1.xlsx]Sheet1!$D$9</c:f>
              <c:strCache>
                <c:ptCount val="1"/>
                <c:pt idx="0">
                  <c:v>单元：万元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[工作簿1.xlsx]Sheet1!$D$7:$D$8</c:f>
              <c:strCache>
                <c:ptCount val="2"/>
                <c:pt idx="0">
                  <c:v>2023年</c:v>
                </c:pt>
                <c:pt idx="1">
                  <c:v>2024年</c:v>
                </c:pt>
              </c:strCache>
            </c:strRef>
          </c:cat>
          <c:val>
            <c:numRef>
              <c:f>[工作簿1.xlsx]Sheet1!$E$7:$E$8</c:f>
              <c:numCache>
                <c:formatCode>0.00_ </c:formatCode>
                <c:ptCount val="2"/>
                <c:pt idx="0">
                  <c:v>166.7</c:v>
                </c:pt>
                <c:pt idx="1" c:formatCode="General">
                  <c:v>183.54</c:v>
                </c:pt>
              </c:numCache>
            </c:numRef>
          </c:val>
        </c:ser>
        <c:dLbls>
          <c:showLegendKey val="0"/>
          <c:showVal val="1"/>
          <c:showCatName val="0"/>
          <c:showSerName val="0"/>
          <c:showPercent val="0"/>
          <c:showBubbleSize val="0"/>
        </c:dLbls>
        <c:gapWidth val="219"/>
        <c:overlap val="-27"/>
        <c:axId val="604634744"/>
        <c:axId val="334598311"/>
      </c:barChart>
      <c:catAx>
        <c:axId val="6046347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4598311"/>
        <c:crosses val="autoZero"/>
        <c:auto val="1"/>
        <c:lblAlgn val="ctr"/>
        <c:lblOffset val="100"/>
        <c:noMultiLvlLbl val="0"/>
      </c:catAx>
      <c:valAx>
        <c:axId val="334598311"/>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46347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558867d-a811-4990-a6c2-37dff292e34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[工作簿1.xlsx]Sheet1!$D$9</c:f>
              <c:strCache>
                <c:ptCount val="1"/>
                <c:pt idx="0">
                  <c:v>单元：万元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[工作簿1.xlsx]Sheet1!$D$7:$D$8</c:f>
              <c:strCache>
                <c:ptCount val="2"/>
                <c:pt idx="0">
                  <c:v>2023年</c:v>
                </c:pt>
                <c:pt idx="1">
                  <c:v>2024年</c:v>
                </c:pt>
              </c:strCache>
            </c:strRef>
          </c:cat>
          <c:val>
            <c:numRef>
              <c:f>[工作簿1.xlsx]Sheet1!$E$7:$E$8</c:f>
              <c:numCache>
                <c:formatCode>0.00_ </c:formatCode>
                <c:ptCount val="2"/>
                <c:pt idx="0">
                  <c:v>166.7</c:v>
                </c:pt>
                <c:pt idx="1" c:formatCode="General">
                  <c:v>183.54</c:v>
                </c:pt>
              </c:numCache>
            </c:numRef>
          </c:val>
        </c:ser>
        <c:dLbls>
          <c:showLegendKey val="0"/>
          <c:showVal val="1"/>
          <c:showCatName val="0"/>
          <c:showSerName val="0"/>
          <c:showPercent val="0"/>
          <c:showBubbleSize val="0"/>
        </c:dLbls>
        <c:gapWidth val="219"/>
        <c:overlap val="-27"/>
        <c:axId val="604634744"/>
        <c:axId val="334598311"/>
      </c:barChart>
      <c:catAx>
        <c:axId val="6046347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4598311"/>
        <c:crosses val="autoZero"/>
        <c:auto val="1"/>
        <c:lblAlgn val="ctr"/>
        <c:lblOffset val="100"/>
        <c:noMultiLvlLbl val="0"/>
      </c:catAx>
      <c:valAx>
        <c:axId val="334598311"/>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46347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a173093-6775-49d8-b9b0-b3bcda9fc7e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152340384631741"/>
                  <c:y val="0.0014327347167731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69328103877843"/>
                  <c:y val="0.01882897647723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[工作簿1.xlsx]Sheet1!$D$44:$D$47</c:f>
              <c:strCache>
                <c:ptCount val="4"/>
                <c:pt idx="0">
                  <c:v>一般公共服务支出</c:v>
                </c:pt>
                <c:pt idx="1">
                  <c:v>社会保障和就业支出</c:v>
                </c:pt>
                <c:pt idx="2">
                  <c:v>卫生健康支出</c:v>
                </c:pt>
                <c:pt idx="3">
                  <c:v>住房保障支出</c:v>
                </c:pt>
              </c:strCache>
            </c:strRef>
          </c:cat>
          <c:val>
            <c:numRef>
              <c:f>[工作簿1.xlsx]Sheet1!$E$44:$E$47</c:f>
              <c:numCache>
                <c:formatCode>0.0%</c:formatCode>
                <c:ptCount val="4"/>
                <c:pt idx="0">
                  <c:v>0.841</c:v>
                </c:pt>
                <c:pt idx="1">
                  <c:v>0.124</c:v>
                </c:pt>
                <c:pt idx="2">
                  <c:v>0.0109</c:v>
                </c:pt>
                <c:pt idx="3">
                  <c:v>0.0236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c0db963-6bc7-46f5-a6aa-822c6bd9d6e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4375"/>
                  <c:y val="0.006944444444444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[工作簿1.xlsx]Sheet1!$D$62:$D$64</c:f>
              <c:strCache>
                <c:ptCount val="3"/>
                <c:pt idx="0">
                  <c:v>因公出国（境）费支出</c:v>
                </c:pt>
                <c:pt idx="1">
                  <c:v>公务用车购置及运行维护费支出</c:v>
                </c:pt>
                <c:pt idx="2">
                  <c:v>公务接待费</c:v>
                </c:pt>
              </c:strCache>
            </c:strRef>
          </c:cat>
          <c:val>
            <c:numRef>
              <c:f>[工作簿1.xlsx]Sheet1!$E$62:$E$64</c:f>
              <c:numCache>
                <c:formatCode>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2694135-ca83-4307-b59d-80764ece3d2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495</Words>
  <Characters>524</Characters>
  <Lines>61</Lines>
  <Paragraphs>17</Paragraphs>
  <TotalTime>6</TotalTime>
  <ScaleCrop>false</ScaleCrop>
  <LinksUpToDate>false</LinksUpToDate>
  <CharactersWithSpaces>566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WPS_1744335008</cp:lastModifiedBy>
  <cp:lastPrinted>2025-08-06T17:34:00Z</cp:lastPrinted>
  <dcterms:modified xsi:type="dcterms:W3CDTF">2025-09-22T09:42:30Z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62BF221860ED418F84EEFDAE87D48C71_13</vt:lpwstr>
  </property>
  <property fmtid="{D5CDD505-2E9C-101B-9397-08002B2CF9AE}" pid="4" name="KSOTemplateDocerSaveRecord">
    <vt:lpwstr>eyJoZGlkIjoiMGVhZjUyZjRlN2E5ODY5MTNlOGE4NDRkNmE5OWRmZGYiLCJ1c2VySWQiOiIxNjkyMzAzOTM2In0=</vt:lpwstr>
  </property>
</Properties>
</file>