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D886C4">
      <w:pPr>
        <w:jc w:val="center"/>
        <w:outlineLvl w:val="0"/>
        <w:rPr>
          <w:rFonts w:hint="eastAsia" w:ascii="方正小标宋简体" w:hAnsi="方正小标宋简体" w:eastAsia="方正小标宋简体" w:cs="方正小标宋简体"/>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bookmarkStart w:id="0" w:name="_Toc19340"/>
      <w:r>
        <w:rPr>
          <w:rFonts w:hint="eastAsia" w:ascii="方正小标宋简体" w:hAnsi="方正小标宋简体" w:eastAsia="方正小标宋简体" w:cs="方正小标宋简体"/>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中国人民政治协商会议广元市昭化区委员会</w:t>
      </w:r>
      <w:bookmarkEnd w:id="0"/>
    </w:p>
    <w:p w14:paraId="2B374703">
      <w:pPr>
        <w:jc w:val="center"/>
        <w:rPr>
          <w:rFonts w:hint="eastAsia" w:ascii="方正小标宋简体" w:hAnsi="方正小标宋简体" w:eastAsia="方正小标宋简体" w:cs="方正小标宋简体"/>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r>
        <w:rPr>
          <w:rFonts w:hint="eastAsia" w:ascii="方正小标宋简体" w:hAnsi="方正小标宋简体" w:eastAsia="方正小标宋简体" w:cs="方正小标宋简体"/>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办公室</w:t>
      </w:r>
    </w:p>
    <w:p w14:paraId="74F7517C">
      <w:pPr>
        <w:jc w:val="center"/>
        <w:rPr>
          <w:rFonts w:hint="eastAsia" w:ascii="方正小标宋简体" w:hAnsi="方正小标宋简体" w:eastAsia="方正小标宋简体" w:cs="方正小标宋简体"/>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r>
        <w:rPr>
          <w:rFonts w:hint="eastAsia" w:ascii="方正小标宋简体" w:hAnsi="方正小标宋简体" w:eastAsia="方正小标宋简体" w:cs="方正小标宋简体"/>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2025年部门预算编制说明</w:t>
      </w:r>
    </w:p>
    <w:p w14:paraId="3444A9AC">
      <w:pPr>
        <w:jc w:val="center"/>
        <w:rPr>
          <w:rFonts w:hint="eastAsia" w:ascii="黑体" w:hAnsi="黑体" w:eastAsia="黑体" w:cs="黑体"/>
          <w:b/>
          <w:bCs/>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目   录</w:t>
      </w:r>
    </w:p>
    <w:sdt>
      <w:sdtPr>
        <w:rPr>
          <w:rFonts w:ascii="宋体" w:hAnsi="宋体" w:eastAsia="宋体" w:cs="Times New Roman"/>
          <w:color w:val="auto"/>
          <w:kern w:val="2"/>
          <w:sz w:val="21"/>
          <w:szCs w:val="24"/>
          <w:lang w:val="en-US" w:eastAsia="zh-CN" w:bidi="ar-SA"/>
        </w:rPr>
        <w:id w:val="147481015"/>
        <w15:color w:val="DBDBDB"/>
        <w:docPartObj>
          <w:docPartGallery w:val="Table of Contents"/>
          <w:docPartUnique/>
        </w:docPartObj>
      </w:sdtPr>
      <w:sdtEndPr>
        <w:rPr>
          <w:rFonts w:hint="eastAsia" w:ascii="仿宋_GB2312" w:hAnsi="仿宋_GB2312" w:eastAsia="仿宋_GB2312" w:cs="仿宋_GB2312"/>
          <w:b/>
          <w:color w:val="auto"/>
          <w:kern w:val="2"/>
          <w:sz w:val="32"/>
          <w:szCs w:val="32"/>
          <w:lang w:val="en-US" w:eastAsia="zh-CN" w:bidi="ar-SA"/>
        </w:rPr>
      </w:sdtEndPr>
      <w:sdtContent>
        <w:p w14:paraId="40A3790C">
          <w:pPr>
            <w:spacing w:before="0" w:beforeLines="0" w:after="0" w:afterLines="0" w:line="240" w:lineRule="auto"/>
            <w:ind w:left="0" w:leftChars="0" w:right="0" w:rightChars="0" w:firstLine="0" w:firstLineChars="0"/>
            <w:jc w:val="center"/>
          </w:pPr>
        </w:p>
        <w:p w14:paraId="5CC8FAE7">
          <w:pPr>
            <w:pStyle w:val="15"/>
            <w:tabs>
              <w:tab w:val="right" w:leader="dot" w:pos="8845"/>
            </w:tabs>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TOC \o "1-2" \h \u </w:instrText>
          </w:r>
          <w:r>
            <w:rPr>
              <w:rFonts w:hint="eastAsia" w:ascii="仿宋_GB2312" w:hAnsi="仿宋_GB2312" w:eastAsia="仿宋_GB2312" w:cs="仿宋_GB2312"/>
              <w:sz w:val="32"/>
              <w:szCs w:val="32"/>
              <w:lang w:val="en-US" w:eastAsia="zh-CN"/>
            </w:rPr>
            <w:fldChar w:fldCharType="separate"/>
          </w:r>
        </w:p>
        <w:p w14:paraId="7F129B27">
          <w:pPr>
            <w:pStyle w:val="15"/>
            <w:tabs>
              <w:tab w:val="right" w:leader="dot" w:pos="8845"/>
            </w:tabs>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fldChar w:fldCharType="begin"/>
          </w:r>
          <w:r>
            <w:rPr>
              <w:rFonts w:hint="eastAsia" w:ascii="仿宋_GB2312" w:hAnsi="仿宋_GB2312" w:eastAsia="仿宋_GB2312" w:cs="仿宋_GB2312"/>
              <w:b/>
              <w:sz w:val="32"/>
              <w:szCs w:val="32"/>
              <w:lang w:val="en-US" w:eastAsia="zh-CN"/>
            </w:rPr>
            <w:instrText xml:space="preserve"> HYPERLINK \l _Toc10837 </w:instrText>
          </w:r>
          <w:r>
            <w:rPr>
              <w:rFonts w:hint="eastAsia" w:ascii="仿宋_GB2312" w:hAnsi="仿宋_GB2312" w:eastAsia="仿宋_GB2312" w:cs="仿宋_GB2312"/>
              <w:b/>
              <w:sz w:val="32"/>
              <w:szCs w:val="32"/>
              <w:lang w:val="en-US" w:eastAsia="zh-CN"/>
            </w:rPr>
            <w:fldChar w:fldCharType="separate"/>
          </w:r>
          <w:r>
            <w:rPr>
              <w:rFonts w:hint="eastAsia" w:ascii="仿宋_GB2312" w:hAnsi="仿宋_GB2312" w:eastAsia="仿宋_GB2312" w:cs="仿宋_GB2312"/>
              <w:b/>
              <w:sz w:val="32"/>
              <w:szCs w:val="32"/>
              <w:lang w:val="en-US" w:eastAsia="zh-CN"/>
            </w:rPr>
            <w:t>一、基本职能及主要工作</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_Toc10837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1</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lang w:val="en-US" w:eastAsia="zh-CN"/>
            </w:rPr>
            <w:fldChar w:fldCharType="end"/>
          </w:r>
        </w:p>
        <w:p w14:paraId="6EDC11D1">
          <w:pPr>
            <w:pStyle w:val="16"/>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_Toc16730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rPr>
            <w:t>（一）职能简介</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_Toc16730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14:paraId="6ABF2CB3">
          <w:pPr>
            <w:pStyle w:val="16"/>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_Toc11099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val="en-US"/>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年重点工作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_Toc11099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14:paraId="4E7F9AD4">
          <w:pPr>
            <w:pStyle w:val="15"/>
            <w:tabs>
              <w:tab w:val="right" w:leader="dot" w:pos="8845"/>
            </w:tabs>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fldChar w:fldCharType="begin"/>
          </w:r>
          <w:r>
            <w:rPr>
              <w:rFonts w:hint="eastAsia" w:ascii="仿宋_GB2312" w:hAnsi="仿宋_GB2312" w:eastAsia="仿宋_GB2312" w:cs="仿宋_GB2312"/>
              <w:b/>
              <w:sz w:val="32"/>
              <w:szCs w:val="32"/>
              <w:lang w:val="en-US" w:eastAsia="zh-CN"/>
            </w:rPr>
            <w:instrText xml:space="preserve"> HYPERLINK \l _Toc17564 </w:instrText>
          </w:r>
          <w:r>
            <w:rPr>
              <w:rFonts w:hint="eastAsia" w:ascii="仿宋_GB2312" w:hAnsi="仿宋_GB2312" w:eastAsia="仿宋_GB2312" w:cs="仿宋_GB2312"/>
              <w:b/>
              <w:sz w:val="32"/>
              <w:szCs w:val="32"/>
              <w:lang w:val="en-US" w:eastAsia="zh-CN"/>
            </w:rPr>
            <w:fldChar w:fldCharType="separate"/>
          </w:r>
          <w:r>
            <w:rPr>
              <w:rFonts w:hint="eastAsia" w:ascii="仿宋_GB2312" w:hAnsi="仿宋_GB2312" w:eastAsia="仿宋_GB2312" w:cs="仿宋_GB2312"/>
              <w:b/>
              <w:sz w:val="32"/>
              <w:szCs w:val="32"/>
              <w:lang w:val="en-US" w:eastAsia="zh-CN"/>
            </w:rPr>
            <w:t>二、部门预算单位构成</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_Toc17564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4</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lang w:val="en-US" w:eastAsia="zh-CN"/>
            </w:rPr>
            <w:fldChar w:fldCharType="end"/>
          </w:r>
        </w:p>
        <w:p w14:paraId="6E96DE66">
          <w:pPr>
            <w:pStyle w:val="15"/>
            <w:tabs>
              <w:tab w:val="right" w:leader="dot" w:pos="8845"/>
            </w:tabs>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fldChar w:fldCharType="begin"/>
          </w:r>
          <w:r>
            <w:rPr>
              <w:rFonts w:hint="eastAsia" w:ascii="仿宋_GB2312" w:hAnsi="仿宋_GB2312" w:eastAsia="仿宋_GB2312" w:cs="仿宋_GB2312"/>
              <w:b/>
              <w:sz w:val="32"/>
              <w:szCs w:val="32"/>
              <w:lang w:val="en-US" w:eastAsia="zh-CN"/>
            </w:rPr>
            <w:instrText xml:space="preserve"> HYPERLINK \l _Toc1467 </w:instrText>
          </w:r>
          <w:r>
            <w:rPr>
              <w:rFonts w:hint="eastAsia" w:ascii="仿宋_GB2312" w:hAnsi="仿宋_GB2312" w:eastAsia="仿宋_GB2312" w:cs="仿宋_GB2312"/>
              <w:b/>
              <w:sz w:val="32"/>
              <w:szCs w:val="32"/>
              <w:lang w:val="en-US" w:eastAsia="zh-CN"/>
            </w:rPr>
            <w:fldChar w:fldCharType="separate"/>
          </w:r>
          <w:r>
            <w:rPr>
              <w:rFonts w:hint="eastAsia" w:ascii="仿宋_GB2312" w:hAnsi="仿宋_GB2312" w:eastAsia="仿宋_GB2312" w:cs="仿宋_GB2312"/>
              <w:b/>
              <w:sz w:val="32"/>
              <w:szCs w:val="32"/>
              <w:lang w:val="en-US" w:eastAsia="zh-CN"/>
            </w:rPr>
            <w:t>三、收支预算情况说明</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_Toc1467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5</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lang w:val="en-US" w:eastAsia="zh-CN"/>
            </w:rPr>
            <w:fldChar w:fldCharType="end"/>
          </w:r>
        </w:p>
        <w:p w14:paraId="27EAE351">
          <w:pPr>
            <w:pStyle w:val="16"/>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_Toc9132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（一）收入预算情况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_Toc9132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14:paraId="5D3ECF15">
          <w:pPr>
            <w:pStyle w:val="16"/>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_Toc20004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（二）支出预算情况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_Toc20004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14:paraId="4BC3C385">
          <w:pPr>
            <w:pStyle w:val="15"/>
            <w:tabs>
              <w:tab w:val="right" w:leader="dot" w:pos="8845"/>
            </w:tabs>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fldChar w:fldCharType="begin"/>
          </w:r>
          <w:r>
            <w:rPr>
              <w:rFonts w:hint="eastAsia" w:ascii="仿宋_GB2312" w:hAnsi="仿宋_GB2312" w:eastAsia="仿宋_GB2312" w:cs="仿宋_GB2312"/>
              <w:b/>
              <w:sz w:val="32"/>
              <w:szCs w:val="32"/>
              <w:lang w:val="en-US" w:eastAsia="zh-CN"/>
            </w:rPr>
            <w:instrText xml:space="preserve"> HYPERLINK \l _Toc2378 </w:instrText>
          </w:r>
          <w:r>
            <w:rPr>
              <w:rFonts w:hint="eastAsia" w:ascii="仿宋_GB2312" w:hAnsi="仿宋_GB2312" w:eastAsia="仿宋_GB2312" w:cs="仿宋_GB2312"/>
              <w:b/>
              <w:sz w:val="32"/>
              <w:szCs w:val="32"/>
              <w:lang w:val="en-US" w:eastAsia="zh-CN"/>
            </w:rPr>
            <w:fldChar w:fldCharType="separate"/>
          </w:r>
          <w:r>
            <w:rPr>
              <w:rFonts w:hint="eastAsia" w:ascii="仿宋_GB2312" w:hAnsi="仿宋_GB2312" w:eastAsia="仿宋_GB2312" w:cs="仿宋_GB2312"/>
              <w:b/>
              <w:sz w:val="32"/>
              <w:szCs w:val="32"/>
              <w:lang w:val="en-US" w:eastAsia="zh-CN"/>
            </w:rPr>
            <w:t>四、财政拨款收支预算情况说明</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_Toc2378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5</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lang w:val="en-US" w:eastAsia="zh-CN"/>
            </w:rPr>
            <w:fldChar w:fldCharType="end"/>
          </w:r>
        </w:p>
        <w:p w14:paraId="152A3043">
          <w:pPr>
            <w:pStyle w:val="15"/>
            <w:tabs>
              <w:tab w:val="right" w:leader="dot" w:pos="8845"/>
            </w:tabs>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fldChar w:fldCharType="begin"/>
          </w:r>
          <w:r>
            <w:rPr>
              <w:rFonts w:hint="eastAsia" w:ascii="仿宋_GB2312" w:hAnsi="仿宋_GB2312" w:eastAsia="仿宋_GB2312" w:cs="仿宋_GB2312"/>
              <w:b/>
              <w:sz w:val="32"/>
              <w:szCs w:val="32"/>
              <w:lang w:val="en-US" w:eastAsia="zh-CN"/>
            </w:rPr>
            <w:instrText xml:space="preserve"> HYPERLINK \l _Toc4571 </w:instrText>
          </w:r>
          <w:r>
            <w:rPr>
              <w:rFonts w:hint="eastAsia" w:ascii="仿宋_GB2312" w:hAnsi="仿宋_GB2312" w:eastAsia="仿宋_GB2312" w:cs="仿宋_GB2312"/>
              <w:b/>
              <w:sz w:val="32"/>
              <w:szCs w:val="32"/>
              <w:lang w:val="en-US" w:eastAsia="zh-CN"/>
            </w:rPr>
            <w:fldChar w:fldCharType="separate"/>
          </w:r>
          <w:r>
            <w:rPr>
              <w:rFonts w:hint="eastAsia" w:ascii="仿宋_GB2312" w:hAnsi="仿宋_GB2312" w:eastAsia="仿宋_GB2312" w:cs="仿宋_GB2312"/>
              <w:b/>
              <w:sz w:val="32"/>
              <w:szCs w:val="32"/>
              <w:lang w:val="en-US" w:eastAsia="zh-CN"/>
            </w:rPr>
            <w:t>五、一般公共预算当年拨款情况说明</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_Toc4571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5</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lang w:val="en-US" w:eastAsia="zh-CN"/>
            </w:rPr>
            <w:fldChar w:fldCharType="end"/>
          </w:r>
        </w:p>
        <w:p w14:paraId="6DFD5D3A">
          <w:pPr>
            <w:pStyle w:val="16"/>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_Toc19724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（一）一般公共预算当年拨款规模变化情况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_Toc19724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14:paraId="60BBC257">
          <w:pPr>
            <w:pStyle w:val="16"/>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_Toc21500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（二）一般公共预算当年拨款结构情况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_Toc21500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14:paraId="2E63AEF9">
          <w:pPr>
            <w:pStyle w:val="16"/>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_Toc12304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（三）一般公共预算当年拨款具体使用情况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_Toc12304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14:paraId="0A3AE858">
          <w:pPr>
            <w:pStyle w:val="15"/>
            <w:tabs>
              <w:tab w:val="right" w:leader="dot" w:pos="8845"/>
            </w:tabs>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fldChar w:fldCharType="begin"/>
          </w:r>
          <w:r>
            <w:rPr>
              <w:rFonts w:hint="eastAsia" w:ascii="仿宋_GB2312" w:hAnsi="仿宋_GB2312" w:eastAsia="仿宋_GB2312" w:cs="仿宋_GB2312"/>
              <w:b/>
              <w:sz w:val="32"/>
              <w:szCs w:val="32"/>
              <w:lang w:val="en-US" w:eastAsia="zh-CN"/>
            </w:rPr>
            <w:instrText xml:space="preserve"> HYPERLINK \l _Toc14807 </w:instrText>
          </w:r>
          <w:r>
            <w:rPr>
              <w:rFonts w:hint="eastAsia" w:ascii="仿宋_GB2312" w:hAnsi="仿宋_GB2312" w:eastAsia="仿宋_GB2312" w:cs="仿宋_GB2312"/>
              <w:b/>
              <w:sz w:val="32"/>
              <w:szCs w:val="32"/>
              <w:lang w:val="en-US" w:eastAsia="zh-CN"/>
            </w:rPr>
            <w:fldChar w:fldCharType="separate"/>
          </w:r>
          <w:r>
            <w:rPr>
              <w:rFonts w:hint="eastAsia" w:ascii="仿宋_GB2312" w:hAnsi="仿宋_GB2312" w:eastAsia="仿宋_GB2312" w:cs="仿宋_GB2312"/>
              <w:b/>
              <w:sz w:val="32"/>
              <w:szCs w:val="32"/>
              <w:lang w:val="en-US" w:eastAsia="zh-CN"/>
            </w:rPr>
            <w:t>六、一般公共预算基本支出情况说明</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_Toc14807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8</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lang w:val="en-US" w:eastAsia="zh-CN"/>
            </w:rPr>
            <w:fldChar w:fldCharType="end"/>
          </w:r>
        </w:p>
        <w:p w14:paraId="6FA3648A">
          <w:pPr>
            <w:pStyle w:val="15"/>
            <w:tabs>
              <w:tab w:val="right" w:leader="dot" w:pos="8845"/>
            </w:tabs>
            <w:rPr>
              <w:rFonts w:hint="eastAsia" w:ascii="仿宋_GB2312" w:hAnsi="仿宋_GB2312" w:eastAsia="仿宋_GB2312" w:cs="仿宋_GB2312"/>
              <w:b/>
              <w:sz w:val="32"/>
              <w:szCs w:val="32"/>
              <w:lang w:val="en-US" w:eastAsia="zh-CN"/>
            </w:rPr>
            <w:sectPr>
              <w:pgSz w:w="11906" w:h="16838"/>
              <w:pgMar w:top="2098" w:right="1474" w:bottom="1984" w:left="1587" w:header="720" w:footer="1559" w:gutter="0"/>
              <w:pgNumType w:fmt="decimal" w:start="1"/>
              <w:cols w:space="720" w:num="1"/>
              <w:docGrid w:type="lines" w:linePitch="312" w:charSpace="0"/>
            </w:sectPr>
          </w:pPr>
        </w:p>
        <w:p w14:paraId="11FD131D">
          <w:pPr>
            <w:pStyle w:val="15"/>
            <w:tabs>
              <w:tab w:val="right" w:leader="dot" w:pos="8845"/>
            </w:tabs>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fldChar w:fldCharType="begin"/>
          </w:r>
          <w:r>
            <w:rPr>
              <w:rFonts w:hint="eastAsia" w:ascii="仿宋_GB2312" w:hAnsi="仿宋_GB2312" w:eastAsia="仿宋_GB2312" w:cs="仿宋_GB2312"/>
              <w:b/>
              <w:sz w:val="32"/>
              <w:szCs w:val="32"/>
              <w:lang w:val="en-US" w:eastAsia="zh-CN"/>
            </w:rPr>
            <w:instrText xml:space="preserve"> HYPERLINK \l _Toc12393 </w:instrText>
          </w:r>
          <w:r>
            <w:rPr>
              <w:rFonts w:hint="eastAsia" w:ascii="仿宋_GB2312" w:hAnsi="仿宋_GB2312" w:eastAsia="仿宋_GB2312" w:cs="仿宋_GB2312"/>
              <w:b/>
              <w:sz w:val="32"/>
              <w:szCs w:val="32"/>
              <w:lang w:val="en-US" w:eastAsia="zh-CN"/>
            </w:rPr>
            <w:fldChar w:fldCharType="separate"/>
          </w:r>
          <w:r>
            <w:rPr>
              <w:rFonts w:hint="eastAsia" w:ascii="仿宋_GB2312" w:hAnsi="仿宋_GB2312" w:eastAsia="仿宋_GB2312" w:cs="仿宋_GB2312"/>
              <w:b/>
              <w:sz w:val="32"/>
              <w:szCs w:val="32"/>
              <w:lang w:val="en-US" w:eastAsia="zh-CN"/>
            </w:rPr>
            <w:t>七、“三公”经费财政拨款预算安排情况说明</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_Toc12393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8</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lang w:val="en-US" w:eastAsia="zh-CN"/>
            </w:rPr>
            <w:fldChar w:fldCharType="end"/>
          </w:r>
        </w:p>
        <w:p w14:paraId="37379F79">
          <w:pPr>
            <w:pStyle w:val="16"/>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_Toc1837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（一）公务接待费</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_Toc1837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14:paraId="6DD0E466">
          <w:pPr>
            <w:pStyle w:val="16"/>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_Toc12520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（二） 公务用车购置及运行维护费</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_Toc12520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14:paraId="58DD689E">
          <w:pPr>
            <w:pStyle w:val="16"/>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_Toc20819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（三）因公出国（境）经费</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_Toc20819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14:paraId="07DE78D4">
          <w:pPr>
            <w:pStyle w:val="15"/>
            <w:tabs>
              <w:tab w:val="right" w:leader="dot" w:pos="8845"/>
            </w:tabs>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fldChar w:fldCharType="begin"/>
          </w:r>
          <w:r>
            <w:rPr>
              <w:rFonts w:hint="eastAsia" w:ascii="仿宋_GB2312" w:hAnsi="仿宋_GB2312" w:eastAsia="仿宋_GB2312" w:cs="仿宋_GB2312"/>
              <w:b/>
              <w:sz w:val="32"/>
              <w:szCs w:val="32"/>
              <w:lang w:val="en-US" w:eastAsia="zh-CN"/>
            </w:rPr>
            <w:instrText xml:space="preserve"> HYPERLINK \l _Toc24617 </w:instrText>
          </w:r>
          <w:r>
            <w:rPr>
              <w:rFonts w:hint="eastAsia" w:ascii="仿宋_GB2312" w:hAnsi="仿宋_GB2312" w:eastAsia="仿宋_GB2312" w:cs="仿宋_GB2312"/>
              <w:b/>
              <w:sz w:val="32"/>
              <w:szCs w:val="32"/>
              <w:lang w:val="en-US" w:eastAsia="zh-CN"/>
            </w:rPr>
            <w:fldChar w:fldCharType="separate"/>
          </w:r>
          <w:r>
            <w:rPr>
              <w:rFonts w:hint="eastAsia" w:ascii="仿宋_GB2312" w:hAnsi="仿宋_GB2312" w:eastAsia="仿宋_GB2312" w:cs="仿宋_GB2312"/>
              <w:b/>
              <w:sz w:val="32"/>
              <w:szCs w:val="32"/>
              <w:lang w:val="en-US" w:eastAsia="zh-CN"/>
            </w:rPr>
            <w:t>八、政府性基金预算支出情况说明</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_Toc24617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9</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lang w:val="en-US" w:eastAsia="zh-CN"/>
            </w:rPr>
            <w:fldChar w:fldCharType="end"/>
          </w:r>
        </w:p>
        <w:p w14:paraId="12661E69">
          <w:pPr>
            <w:pStyle w:val="15"/>
            <w:tabs>
              <w:tab w:val="right" w:leader="dot" w:pos="8845"/>
            </w:tabs>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fldChar w:fldCharType="begin"/>
          </w:r>
          <w:r>
            <w:rPr>
              <w:rFonts w:hint="eastAsia" w:ascii="仿宋_GB2312" w:hAnsi="仿宋_GB2312" w:eastAsia="仿宋_GB2312" w:cs="仿宋_GB2312"/>
              <w:b/>
              <w:sz w:val="32"/>
              <w:szCs w:val="32"/>
              <w:lang w:val="en-US" w:eastAsia="zh-CN"/>
            </w:rPr>
            <w:instrText xml:space="preserve"> HYPERLINK \l _Toc18577 </w:instrText>
          </w:r>
          <w:r>
            <w:rPr>
              <w:rFonts w:hint="eastAsia" w:ascii="仿宋_GB2312" w:hAnsi="仿宋_GB2312" w:eastAsia="仿宋_GB2312" w:cs="仿宋_GB2312"/>
              <w:b/>
              <w:sz w:val="32"/>
              <w:szCs w:val="32"/>
              <w:lang w:val="en-US" w:eastAsia="zh-CN"/>
            </w:rPr>
            <w:fldChar w:fldCharType="separate"/>
          </w:r>
          <w:r>
            <w:rPr>
              <w:rFonts w:hint="eastAsia" w:ascii="仿宋_GB2312" w:hAnsi="仿宋_GB2312" w:eastAsia="仿宋_GB2312" w:cs="仿宋_GB2312"/>
              <w:b/>
              <w:sz w:val="32"/>
              <w:szCs w:val="32"/>
              <w:lang w:val="en-US" w:eastAsia="zh-CN"/>
            </w:rPr>
            <w:t>九、国有资本经营预算支出情况说明</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_Toc18577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9</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lang w:val="en-US" w:eastAsia="zh-CN"/>
            </w:rPr>
            <w:fldChar w:fldCharType="end"/>
          </w:r>
        </w:p>
        <w:p w14:paraId="42DB8222">
          <w:pPr>
            <w:pStyle w:val="15"/>
            <w:tabs>
              <w:tab w:val="right" w:leader="dot" w:pos="8845"/>
            </w:tabs>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fldChar w:fldCharType="begin"/>
          </w:r>
          <w:r>
            <w:rPr>
              <w:rFonts w:hint="eastAsia" w:ascii="仿宋_GB2312" w:hAnsi="仿宋_GB2312" w:eastAsia="仿宋_GB2312" w:cs="仿宋_GB2312"/>
              <w:b/>
              <w:sz w:val="32"/>
              <w:szCs w:val="32"/>
              <w:lang w:val="en-US" w:eastAsia="zh-CN"/>
            </w:rPr>
            <w:instrText xml:space="preserve"> HYPERLINK \l _Toc24847 </w:instrText>
          </w:r>
          <w:r>
            <w:rPr>
              <w:rFonts w:hint="eastAsia" w:ascii="仿宋_GB2312" w:hAnsi="仿宋_GB2312" w:eastAsia="仿宋_GB2312" w:cs="仿宋_GB2312"/>
              <w:b/>
              <w:sz w:val="32"/>
              <w:szCs w:val="32"/>
              <w:lang w:val="en-US" w:eastAsia="zh-CN"/>
            </w:rPr>
            <w:fldChar w:fldCharType="separate"/>
          </w:r>
          <w:r>
            <w:rPr>
              <w:rFonts w:hint="eastAsia" w:ascii="仿宋_GB2312" w:hAnsi="仿宋_GB2312" w:eastAsia="仿宋_GB2312" w:cs="仿宋_GB2312"/>
              <w:b/>
              <w:sz w:val="32"/>
              <w:szCs w:val="32"/>
              <w:lang w:val="en-US" w:eastAsia="zh-CN"/>
            </w:rPr>
            <w:t>十、其他重要事项的情况说明</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_Toc24847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9</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lang w:val="en-US" w:eastAsia="zh-CN"/>
            </w:rPr>
            <w:fldChar w:fldCharType="end"/>
          </w:r>
        </w:p>
        <w:p w14:paraId="57E48354">
          <w:pPr>
            <w:pStyle w:val="16"/>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_Toc12584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（一）机关运行经费</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_Toc12584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14:paraId="41CE70CC">
          <w:pPr>
            <w:pStyle w:val="16"/>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_Toc2065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（二）政府采购情况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_Toc2065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14:paraId="2699F0D4">
          <w:pPr>
            <w:pStyle w:val="16"/>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_Toc12780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（三）国有资产占有使用情况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_Toc12780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14:paraId="33488510">
          <w:pPr>
            <w:pStyle w:val="16"/>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_Toc23561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（四）绩效目标设置情况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_Toc23561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14:paraId="595830FC">
          <w:pPr>
            <w:pStyle w:val="15"/>
            <w:tabs>
              <w:tab w:val="right" w:leader="dot" w:pos="8845"/>
            </w:tabs>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fldChar w:fldCharType="begin"/>
          </w:r>
          <w:r>
            <w:rPr>
              <w:rFonts w:hint="eastAsia" w:ascii="仿宋_GB2312" w:hAnsi="仿宋_GB2312" w:eastAsia="仿宋_GB2312" w:cs="仿宋_GB2312"/>
              <w:b/>
              <w:sz w:val="32"/>
              <w:szCs w:val="32"/>
              <w:lang w:val="en-US" w:eastAsia="zh-CN"/>
            </w:rPr>
            <w:instrText xml:space="preserve"> HYPERLINK \l _Toc3160 </w:instrText>
          </w:r>
          <w:r>
            <w:rPr>
              <w:rFonts w:hint="eastAsia" w:ascii="仿宋_GB2312" w:hAnsi="仿宋_GB2312" w:eastAsia="仿宋_GB2312" w:cs="仿宋_GB2312"/>
              <w:b/>
              <w:sz w:val="32"/>
              <w:szCs w:val="32"/>
              <w:lang w:val="en-US" w:eastAsia="zh-CN"/>
            </w:rPr>
            <w:fldChar w:fldCharType="separate"/>
          </w:r>
          <w:r>
            <w:rPr>
              <w:rFonts w:hint="eastAsia" w:ascii="仿宋_GB2312" w:hAnsi="仿宋_GB2312" w:eastAsia="仿宋_GB2312" w:cs="仿宋_GB2312"/>
              <w:b/>
              <w:sz w:val="32"/>
              <w:szCs w:val="32"/>
              <w:lang w:val="en-US" w:eastAsia="zh-CN"/>
            </w:rPr>
            <w:t>十一、名词解释</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_Toc3160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10</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lang w:val="en-US" w:eastAsia="zh-CN"/>
            </w:rPr>
            <w:fldChar w:fldCharType="end"/>
          </w:r>
        </w:p>
        <w:p w14:paraId="39AD5EF4">
          <w:pPr>
            <w:pStyle w:val="2"/>
            <w:rPr>
              <w:rFonts w:hint="eastAsia" w:ascii="仿宋_GB2312" w:hAnsi="仿宋_GB2312" w:eastAsia="仿宋_GB2312" w:cs="仿宋_GB2312"/>
              <w:b/>
              <w:color w:val="auto"/>
              <w:kern w:val="2"/>
              <w:sz w:val="32"/>
              <w:szCs w:val="32"/>
              <w:lang w:val="en-US" w:eastAsia="zh-CN" w:bidi="ar-SA"/>
            </w:rPr>
          </w:pPr>
          <w:r>
            <w:rPr>
              <w:rFonts w:hint="eastAsia" w:ascii="仿宋_GB2312" w:hAnsi="仿宋_GB2312" w:eastAsia="仿宋_GB2312" w:cs="仿宋_GB2312"/>
              <w:b/>
              <w:sz w:val="32"/>
              <w:szCs w:val="32"/>
              <w:lang w:val="en-US" w:eastAsia="zh-CN"/>
            </w:rPr>
            <w:fldChar w:fldCharType="end"/>
          </w:r>
        </w:p>
      </w:sdtContent>
    </w:sdt>
    <w:p w14:paraId="079CD761">
      <w:pPr>
        <w:rPr>
          <w:rFonts w:hint="eastAsia" w:ascii="仿宋_GB2312" w:hAnsi="仿宋_GB2312" w:eastAsia="仿宋_GB2312" w:cs="仿宋_GB2312"/>
          <w:sz w:val="32"/>
          <w:szCs w:val="32"/>
          <w:lang w:val="en-US" w:eastAsia="zh-CN"/>
        </w:rPr>
      </w:pPr>
    </w:p>
    <w:p w14:paraId="6BBFF0A7">
      <w:pPr>
        <w:rPr>
          <w:rFonts w:hint="eastAsia" w:ascii="仿宋_GB2312" w:hAnsi="仿宋_GB2312" w:eastAsia="仿宋_GB2312" w:cs="仿宋_GB2312"/>
          <w:sz w:val="32"/>
          <w:szCs w:val="32"/>
          <w:lang w:val="en-US" w:eastAsia="zh-CN"/>
        </w:rPr>
      </w:pPr>
    </w:p>
    <w:p w14:paraId="3F9F0538">
      <w:pPr>
        <w:pStyle w:val="2"/>
        <w:rPr>
          <w:rFonts w:hint="eastAsia" w:ascii="仿宋_GB2312" w:hAnsi="仿宋_GB2312" w:eastAsia="仿宋_GB2312" w:cs="仿宋_GB2312"/>
          <w:sz w:val="32"/>
          <w:szCs w:val="32"/>
          <w:lang w:val="en-US" w:eastAsia="zh-CN"/>
        </w:rPr>
      </w:pPr>
    </w:p>
    <w:p w14:paraId="40D7734E">
      <w:pPr>
        <w:rPr>
          <w:rFonts w:hint="eastAsia" w:ascii="仿宋_GB2312" w:hAnsi="仿宋_GB2312" w:eastAsia="仿宋_GB2312" w:cs="仿宋_GB2312"/>
          <w:sz w:val="32"/>
          <w:szCs w:val="32"/>
          <w:lang w:val="en-US" w:eastAsia="zh-CN"/>
        </w:rPr>
      </w:pPr>
    </w:p>
    <w:p w14:paraId="6637AF61">
      <w:pPr>
        <w:pStyle w:val="2"/>
        <w:rPr>
          <w:rFonts w:hint="eastAsia" w:ascii="仿宋_GB2312" w:hAnsi="仿宋_GB2312" w:eastAsia="仿宋_GB2312" w:cs="仿宋_GB2312"/>
          <w:sz w:val="32"/>
          <w:szCs w:val="32"/>
          <w:lang w:val="en-US" w:eastAsia="zh-CN"/>
        </w:rPr>
      </w:pPr>
    </w:p>
    <w:p w14:paraId="7FC26103">
      <w:pPr>
        <w:rPr>
          <w:rFonts w:hint="eastAsia" w:ascii="仿宋_GB2312" w:hAnsi="仿宋_GB2312" w:eastAsia="仿宋_GB2312" w:cs="仿宋_GB2312"/>
          <w:sz w:val="32"/>
          <w:szCs w:val="32"/>
          <w:lang w:val="en-US" w:eastAsia="zh-CN"/>
        </w:rPr>
      </w:pPr>
    </w:p>
    <w:p w14:paraId="522F45DA">
      <w:pPr>
        <w:pStyle w:val="2"/>
        <w:rPr>
          <w:rFonts w:hint="eastAsia" w:ascii="仿宋_GB2312" w:hAnsi="仿宋_GB2312" w:eastAsia="仿宋_GB2312" w:cs="仿宋_GB2312"/>
          <w:sz w:val="32"/>
          <w:szCs w:val="32"/>
          <w:lang w:val="en-US" w:eastAsia="zh-CN"/>
        </w:rPr>
      </w:pPr>
    </w:p>
    <w:p w14:paraId="2992DB6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sectPr>
          <w:footerReference r:id="rId3" w:type="default"/>
          <w:pgSz w:w="11906" w:h="16838"/>
          <w:pgMar w:top="2098" w:right="1474" w:bottom="1984" w:left="1587" w:header="720" w:footer="1559" w:gutter="0"/>
          <w:pgNumType w:fmt="decimal" w:start="1"/>
          <w:cols w:space="720" w:num="1"/>
          <w:docGrid w:type="lines" w:linePitch="312" w:charSpace="0"/>
        </w:sectPr>
      </w:pPr>
      <w:bookmarkStart w:id="1" w:name="_Toc10837"/>
    </w:p>
    <w:bookmarkEnd w:id="1"/>
    <w:p w14:paraId="79D15F5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lang w:val="en-US" w:eastAsia="zh-CN"/>
        </w:rPr>
        <w:t>一、基本职能及主要工作</w:t>
      </w:r>
    </w:p>
    <w:p w14:paraId="6D708E8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rPr>
      </w:pPr>
      <w:bookmarkStart w:id="2" w:name="_Toc16730"/>
      <w:r>
        <w:rPr>
          <w:rFonts w:hint="eastAsia" w:ascii="楷体_GB2312" w:hAnsi="楷体_GB2312" w:eastAsia="楷体_GB2312" w:cs="楷体_GB2312"/>
          <w:sz w:val="32"/>
          <w:szCs w:val="32"/>
        </w:rPr>
        <w:t>（一）职能简介</w:t>
      </w:r>
      <w:bookmarkEnd w:id="2"/>
    </w:p>
    <w:p w14:paraId="067C7AA7">
      <w:pPr>
        <w:pStyle w:val="4"/>
        <w:keepNext w:val="0"/>
        <w:keepLines w:val="0"/>
        <w:pageBreakBefore w:val="0"/>
        <w:widowControl w:val="0"/>
        <w:kinsoku/>
        <w:wordWrap/>
        <w:overflowPunct/>
        <w:topLinePunct w:val="0"/>
        <w:autoSpaceDE/>
        <w:autoSpaceDN/>
        <w:bidi w:val="0"/>
        <w:adjustRightInd/>
        <w:snapToGrid/>
        <w:spacing w:before="0" w:beforeLines="0" w:line="580" w:lineRule="exact"/>
        <w:ind w:firstLine="640" w:firstLineChars="200"/>
        <w:textAlignment w:val="auto"/>
        <w:rPr>
          <w:rFonts w:hint="default" w:ascii="Times New Roman" w:hAnsi="Times New Roman" w:eastAsia="仿宋_GB2312" w:cs="Times New Roman"/>
          <w:bCs/>
          <w:color w:val="000000"/>
          <w:kern w:val="0"/>
          <w:sz w:val="32"/>
          <w:szCs w:val="32"/>
          <w:lang w:val="en-US" w:eastAsia="zh-CN" w:bidi="ar-SA"/>
        </w:rPr>
      </w:pPr>
      <w:r>
        <w:rPr>
          <w:rFonts w:hint="eastAsia" w:ascii="Times New Roman" w:hAnsi="Times New Roman" w:cs="Times New Roman"/>
          <w:bCs/>
          <w:color w:val="000000"/>
          <w:kern w:val="0"/>
          <w:sz w:val="32"/>
          <w:szCs w:val="32"/>
          <w:highlight w:val="none"/>
          <w:lang w:val="en-US" w:eastAsia="zh-CN" w:bidi="ar-SA"/>
        </w:rPr>
        <w:t>1.</w:t>
      </w:r>
      <w:r>
        <w:rPr>
          <w:rFonts w:hint="default" w:ascii="Times New Roman" w:hAnsi="Times New Roman" w:eastAsia="仿宋_GB2312" w:cs="Times New Roman"/>
          <w:bCs/>
          <w:color w:val="000000"/>
          <w:kern w:val="0"/>
          <w:sz w:val="32"/>
          <w:szCs w:val="32"/>
          <w:lang w:val="en-US" w:eastAsia="zh-CN" w:bidi="ar-SA"/>
        </w:rPr>
        <w:t>认真组织各个层次的协商议政活动。抓住关系全区经济社会发展中的全局性问题建言献策，积极促进区委、区政府决策的科学化、民主化，富有成效地履行政治协商职能。</w:t>
      </w:r>
    </w:p>
    <w:p w14:paraId="2E1AC273">
      <w:pPr>
        <w:pStyle w:val="4"/>
        <w:keepNext w:val="0"/>
        <w:keepLines w:val="0"/>
        <w:pageBreakBefore w:val="0"/>
        <w:widowControl w:val="0"/>
        <w:kinsoku/>
        <w:wordWrap/>
        <w:overflowPunct/>
        <w:topLinePunct w:val="0"/>
        <w:autoSpaceDE/>
        <w:autoSpaceDN/>
        <w:bidi w:val="0"/>
        <w:adjustRightInd/>
        <w:snapToGrid/>
        <w:spacing w:before="0" w:beforeLines="0" w:line="580" w:lineRule="exact"/>
        <w:ind w:firstLine="640" w:firstLineChars="200"/>
        <w:textAlignment w:val="auto"/>
        <w:rPr>
          <w:rFonts w:hint="default" w:ascii="Times New Roman" w:hAnsi="Times New Roman" w:eastAsia="仿宋_GB2312" w:cs="Times New Roman"/>
          <w:bCs/>
          <w:color w:val="000000"/>
          <w:kern w:val="0"/>
          <w:sz w:val="32"/>
          <w:szCs w:val="32"/>
          <w:lang w:val="en-US" w:eastAsia="zh-CN" w:bidi="ar-SA"/>
        </w:rPr>
      </w:pPr>
      <w:r>
        <w:rPr>
          <w:rFonts w:hint="eastAsia" w:ascii="Times New Roman" w:hAnsi="Times New Roman" w:cs="Times New Roman"/>
          <w:bCs/>
          <w:color w:val="000000"/>
          <w:kern w:val="0"/>
          <w:sz w:val="32"/>
          <w:szCs w:val="32"/>
          <w:highlight w:val="none"/>
          <w:lang w:val="en-US" w:eastAsia="zh-CN" w:bidi="ar-SA"/>
        </w:rPr>
        <w:t>2.</w:t>
      </w:r>
      <w:r>
        <w:rPr>
          <w:rFonts w:hint="default" w:ascii="Times New Roman" w:hAnsi="Times New Roman" w:eastAsia="仿宋_GB2312" w:cs="Times New Roman"/>
          <w:bCs/>
          <w:color w:val="000000"/>
          <w:kern w:val="0"/>
          <w:sz w:val="32"/>
          <w:szCs w:val="32"/>
          <w:lang w:val="en-US" w:eastAsia="zh-CN" w:bidi="ar-SA"/>
        </w:rPr>
        <w:t>结合我区实际，积极履行民主监督职能。通过各种例会听取区政府及有关部门的情况通报，就有关问题提出建议；通过调研和视察对政府部门的工作开展民主监督；通过提案开展民主监督；通过反映社情民意或其他形式开展民主监督。</w:t>
      </w:r>
    </w:p>
    <w:p w14:paraId="4144128C">
      <w:pPr>
        <w:pStyle w:val="4"/>
        <w:keepNext w:val="0"/>
        <w:keepLines w:val="0"/>
        <w:pageBreakBefore w:val="0"/>
        <w:widowControl w:val="0"/>
        <w:kinsoku/>
        <w:wordWrap/>
        <w:overflowPunct/>
        <w:topLinePunct w:val="0"/>
        <w:autoSpaceDE/>
        <w:autoSpaceDN/>
        <w:bidi w:val="0"/>
        <w:adjustRightInd/>
        <w:snapToGrid/>
        <w:spacing w:before="0" w:beforeLines="0" w:line="580" w:lineRule="exact"/>
        <w:ind w:firstLine="640" w:firstLineChars="200"/>
        <w:textAlignment w:val="auto"/>
        <w:rPr>
          <w:rFonts w:hint="default" w:ascii="Times New Roman" w:hAnsi="Times New Roman" w:eastAsia="仿宋_GB2312" w:cs="Times New Roman"/>
          <w:bCs/>
          <w:color w:val="000000"/>
          <w:kern w:val="0"/>
          <w:sz w:val="32"/>
          <w:szCs w:val="32"/>
          <w:lang w:val="en-US" w:eastAsia="zh-CN" w:bidi="ar-SA"/>
        </w:rPr>
      </w:pPr>
      <w:r>
        <w:rPr>
          <w:rFonts w:hint="eastAsia" w:ascii="Times New Roman" w:hAnsi="Times New Roman" w:cs="Times New Roman"/>
          <w:bCs/>
          <w:color w:val="000000"/>
          <w:kern w:val="0"/>
          <w:sz w:val="32"/>
          <w:szCs w:val="32"/>
          <w:lang w:val="en-US" w:eastAsia="zh-CN" w:bidi="ar-SA"/>
        </w:rPr>
        <w:t>3.</w:t>
      </w:r>
      <w:r>
        <w:rPr>
          <w:rFonts w:hint="default" w:ascii="Times New Roman" w:hAnsi="Times New Roman" w:eastAsia="仿宋_GB2312" w:cs="Times New Roman"/>
          <w:bCs/>
          <w:color w:val="000000"/>
          <w:kern w:val="0"/>
          <w:sz w:val="32"/>
          <w:szCs w:val="32"/>
          <w:lang w:val="en-US" w:eastAsia="zh-CN" w:bidi="ar-SA"/>
        </w:rPr>
        <w:t>围绕区委、区政府的中心工作，积极组织委员开展多层次多形式的参政议政活动，为促进我区经济社会发展服务。</w:t>
      </w:r>
    </w:p>
    <w:p w14:paraId="6B13CD27">
      <w:pPr>
        <w:pStyle w:val="4"/>
        <w:keepNext w:val="0"/>
        <w:keepLines w:val="0"/>
        <w:pageBreakBefore w:val="0"/>
        <w:widowControl w:val="0"/>
        <w:kinsoku/>
        <w:wordWrap/>
        <w:overflowPunct/>
        <w:topLinePunct w:val="0"/>
        <w:autoSpaceDE/>
        <w:autoSpaceDN/>
        <w:bidi w:val="0"/>
        <w:adjustRightInd/>
        <w:snapToGrid/>
        <w:spacing w:before="0" w:beforeLines="0" w:line="580" w:lineRule="exact"/>
        <w:ind w:firstLine="640" w:firstLineChars="200"/>
        <w:textAlignment w:val="auto"/>
        <w:rPr>
          <w:rFonts w:hint="default" w:ascii="Times New Roman" w:hAnsi="Times New Roman" w:eastAsia="仿宋_GB2312" w:cs="Times New Roman"/>
          <w:bCs/>
          <w:color w:val="000000"/>
          <w:kern w:val="0"/>
          <w:sz w:val="32"/>
          <w:szCs w:val="32"/>
          <w:lang w:val="en-US" w:eastAsia="zh-CN" w:bidi="ar-SA"/>
        </w:rPr>
      </w:pPr>
      <w:r>
        <w:rPr>
          <w:rFonts w:hint="eastAsia" w:ascii="Times New Roman" w:hAnsi="Times New Roman" w:cs="Times New Roman"/>
          <w:bCs/>
          <w:color w:val="000000"/>
          <w:kern w:val="0"/>
          <w:sz w:val="32"/>
          <w:szCs w:val="32"/>
          <w:lang w:val="en-US" w:eastAsia="zh-CN" w:bidi="ar-SA"/>
        </w:rPr>
        <w:t>4.</w:t>
      </w:r>
      <w:r>
        <w:rPr>
          <w:rFonts w:hint="default" w:ascii="Times New Roman" w:hAnsi="Times New Roman" w:eastAsia="仿宋_GB2312" w:cs="Times New Roman"/>
          <w:bCs/>
          <w:color w:val="000000"/>
          <w:kern w:val="0"/>
          <w:sz w:val="32"/>
          <w:szCs w:val="32"/>
          <w:lang w:val="en-US" w:eastAsia="zh-CN" w:bidi="ar-SA"/>
        </w:rPr>
        <w:t>牢牢把握团结和民主两大主题，调动一切积极因素为加快我区经济社会发展服务。</w:t>
      </w:r>
    </w:p>
    <w:p w14:paraId="6B115D1E">
      <w:pPr>
        <w:pStyle w:val="4"/>
        <w:keepNext w:val="0"/>
        <w:keepLines w:val="0"/>
        <w:pageBreakBefore w:val="0"/>
        <w:widowControl w:val="0"/>
        <w:kinsoku/>
        <w:wordWrap/>
        <w:overflowPunct/>
        <w:topLinePunct w:val="0"/>
        <w:autoSpaceDE/>
        <w:autoSpaceDN/>
        <w:bidi w:val="0"/>
        <w:adjustRightInd/>
        <w:snapToGrid/>
        <w:spacing w:before="0" w:beforeLines="0" w:line="580" w:lineRule="exact"/>
        <w:ind w:firstLine="640" w:firstLineChars="200"/>
        <w:textAlignment w:val="auto"/>
        <w:rPr>
          <w:rFonts w:hint="default" w:ascii="Times New Roman" w:hAnsi="Times New Roman" w:eastAsia="仿宋_GB2312" w:cs="Times New Roman"/>
          <w:lang w:val="en-US" w:eastAsia="zh-CN"/>
        </w:rPr>
      </w:pPr>
      <w:r>
        <w:rPr>
          <w:rFonts w:hint="eastAsia" w:ascii="Times New Roman" w:hAnsi="Times New Roman" w:cs="Times New Roman"/>
          <w:bCs/>
          <w:color w:val="000000"/>
          <w:kern w:val="0"/>
          <w:sz w:val="32"/>
          <w:szCs w:val="32"/>
          <w:lang w:val="en-US" w:eastAsia="zh-CN" w:bidi="ar-SA"/>
        </w:rPr>
        <w:t>5.</w:t>
      </w:r>
      <w:r>
        <w:rPr>
          <w:rFonts w:hint="default" w:ascii="Times New Roman" w:hAnsi="Times New Roman" w:eastAsia="仿宋_GB2312" w:cs="Times New Roman"/>
          <w:bCs/>
          <w:color w:val="000000"/>
          <w:kern w:val="0"/>
          <w:sz w:val="32"/>
          <w:szCs w:val="32"/>
          <w:lang w:val="en-US" w:eastAsia="zh-CN" w:bidi="ar-SA"/>
        </w:rPr>
        <w:t>切实加强自身建设，推进政协工作不断取得新进展。</w:t>
      </w:r>
    </w:p>
    <w:p w14:paraId="63C5BF04">
      <w:pPr>
        <w:keepNext w:val="0"/>
        <w:keepLines w:val="0"/>
        <w:pageBreakBefore w:val="0"/>
        <w:widowControl w:val="0"/>
        <w:kinsoku/>
        <w:wordWrap/>
        <w:overflowPunct/>
        <w:topLinePunct w:val="0"/>
        <w:autoSpaceDE/>
        <w:autoSpaceDN/>
        <w:bidi w:val="0"/>
        <w:adjustRightInd/>
        <w:snapToGrid/>
        <w:spacing w:line="576" w:lineRule="exact"/>
        <w:ind w:firstLine="320" w:firstLineChars="100"/>
        <w:textAlignment w:val="auto"/>
        <w:outlineLvl w:val="1"/>
        <w:rPr>
          <w:rFonts w:hint="eastAsia" w:ascii="楷体_GB2312" w:hAnsi="楷体_GB2312" w:eastAsia="楷体_GB2312" w:cs="楷体_GB2312"/>
          <w:sz w:val="32"/>
          <w:szCs w:val="32"/>
        </w:rPr>
      </w:pPr>
      <w:bookmarkStart w:id="3" w:name="_Toc11099"/>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val="en-US"/>
        </w:rPr>
        <w:t>202</w:t>
      </w:r>
      <w:r>
        <w:rPr>
          <w:rFonts w:hint="eastAsia" w:ascii="楷体_GB2312" w:hAnsi="楷体_GB2312" w:eastAsia="楷体_GB2312" w:cs="楷体_GB2312"/>
          <w:sz w:val="32"/>
          <w:szCs w:val="32"/>
          <w:lang w:val="en-US" w:eastAsia="zh-CN"/>
        </w:rPr>
        <w:t>5</w:t>
      </w:r>
      <w:r>
        <w:rPr>
          <w:rFonts w:hint="eastAsia" w:ascii="楷体_GB2312" w:hAnsi="楷体_GB2312" w:eastAsia="楷体_GB2312" w:cs="楷体_GB2312"/>
          <w:sz w:val="32"/>
          <w:szCs w:val="32"/>
        </w:rPr>
        <w:t>年重点工作</w:t>
      </w:r>
      <w:bookmarkEnd w:id="3"/>
    </w:p>
    <w:p w14:paraId="6E6E5CD8">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604" w:lineRule="exact"/>
        <w:ind w:firstLine="640" w:firstLineChars="200"/>
        <w:jc w:val="both"/>
        <w:textAlignment w:val="auto"/>
        <w:rPr>
          <w:rFonts w:hint="eastAsia" w:ascii="仿宋_GB2312" w:hAnsi="仿宋_GB2312" w:eastAsia="仿宋_GB2312" w:cs="仿宋_GB2312"/>
          <w:b w:val="0"/>
          <w:bCs/>
          <w:kern w:val="2"/>
          <w:sz w:val="32"/>
          <w:szCs w:val="32"/>
          <w:lang w:val="en-US" w:eastAsia="zh-CN" w:bidi="ar-SA"/>
        </w:rPr>
      </w:pPr>
      <w:r>
        <w:rPr>
          <w:rStyle w:val="11"/>
          <w:rFonts w:hint="eastAsia" w:ascii="黑体" w:hAnsi="黑体" w:eastAsia="黑体" w:cs="黑体"/>
          <w:b w:val="0"/>
          <w:bCs/>
          <w:spacing w:val="0"/>
          <w:kern w:val="0"/>
          <w:sz w:val="32"/>
          <w:szCs w:val="32"/>
          <w:u w:val="none"/>
          <w:lang w:val="en-US" w:eastAsia="zh-CN"/>
        </w:rPr>
        <w:t>1.坚守政协初心，夯实思想政治基础。</w:t>
      </w:r>
      <w:r>
        <w:rPr>
          <w:rFonts w:hint="eastAsia" w:ascii="仿宋_GB2312" w:hAnsi="仿宋_GB2312" w:eastAsia="仿宋_GB2312" w:cs="仿宋_GB2312"/>
          <w:b w:val="0"/>
          <w:bCs/>
          <w:kern w:val="2"/>
          <w:sz w:val="32"/>
          <w:szCs w:val="32"/>
          <w:lang w:val="en-US" w:eastAsia="zh-CN" w:bidi="ar-SA"/>
        </w:rPr>
        <w:t>一是严格落实“第一议题”制度。把深入学习贯彻习近平新时代中国特色社会主义思想作为最大政治任务，把全面贯彻党的</w:t>
      </w:r>
      <w:r>
        <w:rPr>
          <w:rFonts w:hint="eastAsia" w:ascii="仿宋_GB2312" w:hAnsi="仿宋_GB2312" w:eastAsia="仿宋_GB2312" w:cs="仿宋_GB2312"/>
          <w:b w:val="0"/>
          <w:bCs/>
          <w:color w:val="000000" w:themeColor="text1"/>
          <w:kern w:val="2"/>
          <w:sz w:val="32"/>
          <w:szCs w:val="32"/>
          <w:highlight w:val="none"/>
          <w:shd w:val="clear"/>
          <w:lang w:val="en-US" w:eastAsia="zh-CN" w:bidi="ar-SA"/>
          <w14:textFill>
            <w14:solidFill>
              <w14:schemeClr w14:val="tx1"/>
            </w14:solidFill>
          </w14:textFill>
        </w:rPr>
        <w:t>二十届三中全会</w:t>
      </w:r>
      <w:r>
        <w:rPr>
          <w:rFonts w:hint="eastAsia" w:ascii="仿宋_GB2312" w:hAnsi="仿宋_GB2312" w:eastAsia="仿宋_GB2312" w:cs="仿宋_GB2312"/>
          <w:b w:val="0"/>
          <w:bCs/>
          <w:kern w:val="2"/>
          <w:sz w:val="32"/>
          <w:szCs w:val="32"/>
          <w:lang w:val="en-US" w:eastAsia="zh-CN" w:bidi="ar-SA"/>
        </w:rPr>
        <w:t>和习近平总书记在庆祝人民政协成立</w:t>
      </w:r>
      <w:r>
        <w:rPr>
          <w:rFonts w:hint="eastAsia" w:ascii="Times New Roman" w:hAnsi="Times New Roman" w:eastAsia="仿宋_GB2312" w:cs="仿宋_GB2312"/>
          <w:b w:val="0"/>
          <w:bCs/>
          <w:kern w:val="2"/>
          <w:sz w:val="32"/>
          <w:szCs w:val="32"/>
          <w:lang w:val="en-US" w:eastAsia="zh-CN" w:bidi="ar-SA"/>
        </w:rPr>
        <w:t>75</w:t>
      </w:r>
      <w:r>
        <w:rPr>
          <w:rFonts w:hint="eastAsia" w:ascii="仿宋_GB2312" w:hAnsi="仿宋_GB2312" w:eastAsia="仿宋_GB2312" w:cs="仿宋_GB2312"/>
          <w:b w:val="0"/>
          <w:bCs/>
          <w:kern w:val="2"/>
          <w:sz w:val="32"/>
          <w:szCs w:val="32"/>
          <w:lang w:val="en-US" w:eastAsia="zh-CN" w:bidi="ar-SA"/>
        </w:rPr>
        <w:t>周年大会重要讲话精神作为政协工作重要遵循，把贯彻落实省委、市委、区委经济工作会议精神作为协商议政的行动指南。二是坚持党的全面领导。认真落实区委对政协工作的新要求，始终保持政协工作与党建工作目标同向、工作同频、节奏同步。三是以新理论凝聚共识。持续推进“书香政协”建设，举办“委员讲堂”，抓实抓好政治意识形态和宣传思想工作，始终坚持不懈用党的创新理论凝心铸魂。</w:t>
      </w:r>
    </w:p>
    <w:p w14:paraId="3ED3BD4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604" w:lineRule="exact"/>
        <w:ind w:firstLine="640" w:firstLineChars="200"/>
        <w:jc w:val="left"/>
        <w:textAlignment w:val="auto"/>
        <w:rPr>
          <w:rFonts w:hint="eastAsia" w:ascii="仿宋_GB2312" w:hAnsi="仿宋_GB2312" w:eastAsia="仿宋_GB2312" w:cs="仿宋_GB2312"/>
          <w:b w:val="0"/>
          <w:bCs/>
          <w:kern w:val="2"/>
          <w:sz w:val="32"/>
          <w:szCs w:val="32"/>
          <w:lang w:val="en-US" w:eastAsia="zh-CN" w:bidi="ar-SA"/>
        </w:rPr>
      </w:pPr>
      <w:r>
        <w:rPr>
          <w:rStyle w:val="11"/>
          <w:rFonts w:hint="eastAsia" w:ascii="黑体" w:hAnsi="黑体" w:eastAsia="黑体" w:cs="黑体"/>
          <w:b w:val="0"/>
          <w:bCs/>
          <w:spacing w:val="0"/>
          <w:kern w:val="0"/>
          <w:sz w:val="32"/>
          <w:szCs w:val="32"/>
          <w:u w:val="none"/>
          <w:lang w:val="en-US" w:eastAsia="zh-CN"/>
        </w:rPr>
        <w:t>2.强化政协使命，助推经济社会发展。</w:t>
      </w:r>
      <w:r>
        <w:rPr>
          <w:rFonts w:hint="eastAsia" w:ascii="仿宋_GB2312" w:hAnsi="仿宋_GB2312" w:eastAsia="仿宋_GB2312" w:cs="仿宋_GB2312"/>
          <w:b w:val="0"/>
          <w:bCs/>
          <w:kern w:val="2"/>
          <w:sz w:val="32"/>
          <w:szCs w:val="32"/>
          <w:lang w:val="en-US" w:eastAsia="zh-CN" w:bidi="ar-SA"/>
        </w:rPr>
        <w:t>一是紧紧围绕区委“</w:t>
      </w:r>
      <w:r>
        <w:rPr>
          <w:rFonts w:hint="eastAsia" w:ascii="Times New Roman" w:hAnsi="Times New Roman" w:eastAsia="仿宋_GB2312" w:cs="仿宋_GB2312"/>
          <w:b w:val="0"/>
          <w:bCs/>
          <w:kern w:val="2"/>
          <w:sz w:val="32"/>
          <w:szCs w:val="32"/>
          <w:lang w:val="en-US" w:eastAsia="zh-CN" w:bidi="ar-SA"/>
        </w:rPr>
        <w:t>1456</w:t>
      </w:r>
      <w:r>
        <w:rPr>
          <w:rFonts w:hint="eastAsia" w:ascii="仿宋_GB2312" w:hAnsi="仿宋_GB2312" w:eastAsia="仿宋_GB2312" w:cs="仿宋_GB2312"/>
          <w:b w:val="0"/>
          <w:bCs/>
          <w:kern w:val="2"/>
          <w:sz w:val="32"/>
          <w:szCs w:val="32"/>
          <w:lang w:val="en-US" w:eastAsia="zh-CN" w:bidi="ar-SA"/>
        </w:rPr>
        <w:t>”发展战略实施、区委八届八次全会部署，制定实施年度协商计划和调研课题，开展协商议政，推动重点工作落地落实，不断提升政协服务中心大局的贡献率。二是聚焦加快构建现代化产业体系，就深化经济体制改革、加快绿色家居首位产业突破发展、推进科技创新助力工业制造业发展等方面开展专题议政性常委会协商。三是聚焦社会领域关注重点，就进一步提升服务水平助力农民工就业增收、壮大村集体经济助力乡村振兴、推动涉改老旧小区规范化管理、支持全民健身计划落实、推进农村黑臭水体治理等开展专题协商。四是聚焦重点产业成势集群发展，助力三产融合发展，就深度挖掘资源优势、建成嘉陵江上游白酒优势产区、加强重要农业生产资料储备助力农业增收、推动蜀道昭化段文物保护利用等开展对口协商。五是围绕推动乡村全面振兴长效机制建设、社会工作开展情况等开展视察监督，以协商促改进、以监督促落实。</w:t>
      </w:r>
    </w:p>
    <w:p w14:paraId="3AB1D12C">
      <w:pPr>
        <w:keepNext w:val="0"/>
        <w:keepLines w:val="0"/>
        <w:pageBreakBefore w:val="0"/>
        <w:widowControl w:val="0"/>
        <w:suppressLineNumbers w:val="0"/>
        <w:kinsoku/>
        <w:wordWrap/>
        <w:overflowPunct w:val="0"/>
        <w:topLinePunct w:val="0"/>
        <w:autoSpaceDE/>
        <w:autoSpaceDN/>
        <w:bidi w:val="0"/>
        <w:adjustRightInd/>
        <w:snapToGrid/>
        <w:spacing w:line="604" w:lineRule="exact"/>
        <w:ind w:firstLine="640" w:firstLineChars="200"/>
        <w:jc w:val="both"/>
        <w:textAlignment w:val="auto"/>
        <w:rPr>
          <w:rFonts w:hint="eastAsia" w:ascii="仿宋_GB2312" w:hAnsi="仿宋_GB2312" w:eastAsia="仿宋_GB2312" w:cs="仿宋_GB2312"/>
          <w:b w:val="0"/>
          <w:bCs/>
          <w:kern w:val="2"/>
          <w:sz w:val="32"/>
          <w:szCs w:val="32"/>
          <w:lang w:val="en-US" w:eastAsia="zh-CN" w:bidi="ar-SA"/>
        </w:rPr>
      </w:pPr>
      <w:r>
        <w:rPr>
          <w:rStyle w:val="11"/>
          <w:rFonts w:hint="eastAsia" w:ascii="黑体" w:hAnsi="黑体" w:eastAsia="黑体" w:cs="黑体"/>
          <w:b w:val="0"/>
          <w:bCs/>
          <w:spacing w:val="0"/>
          <w:kern w:val="0"/>
          <w:sz w:val="32"/>
          <w:szCs w:val="32"/>
          <w:u w:val="none"/>
          <w:lang w:val="en-US" w:eastAsia="zh-CN"/>
        </w:rPr>
        <w:t>3.展现政协担当，树牢履职为民情怀。</w:t>
      </w:r>
      <w:r>
        <w:rPr>
          <w:rFonts w:hint="eastAsia" w:ascii="仿宋_GB2312" w:hAnsi="仿宋_GB2312" w:eastAsia="仿宋_GB2312" w:cs="仿宋_GB2312"/>
          <w:b w:val="0"/>
          <w:bCs/>
          <w:kern w:val="2"/>
          <w:sz w:val="32"/>
          <w:szCs w:val="32"/>
          <w:lang w:val="en-US" w:eastAsia="zh-CN" w:bidi="ar-SA"/>
        </w:rPr>
        <w:t>一是认真落实委员联系界别群众工作方法，召开反映社情民意信息工作座谈会，支持委员运用调研视察、提交提案、反映社情民意信息等多种方式，倾听群众呼声，反映群众愿望，当好联系群众的贴心人。二是着眼促进年度民生实事落实，围绕昭化高质量教育体系建设、居民养老事业发展等党政关注、群众关心、社会关切的热点问题积极建言，助推实事办实。三是持续发挥“有事来协商”平台作用，不断规范“委员工作室”“协商议事室”等工作载体，解决民生问题，助推化解矛盾纠纷，促进社会和谐稳定。四是深入开展委员履职“服务为民”活动，引导委员参与乡村振兴、产业帮扶、稳岗就业等实践行动，开展捐资助学、扶弱济困等公益活动，不断提升人民群众的获得感、幸福感、安全感。</w:t>
      </w:r>
    </w:p>
    <w:p w14:paraId="02C16EAB">
      <w:pPr>
        <w:keepNext w:val="0"/>
        <w:keepLines w:val="0"/>
        <w:pageBreakBefore w:val="0"/>
        <w:widowControl w:val="0"/>
        <w:suppressLineNumbers w:val="0"/>
        <w:kinsoku/>
        <w:wordWrap/>
        <w:overflowPunct w:val="0"/>
        <w:topLinePunct w:val="0"/>
        <w:autoSpaceDE/>
        <w:autoSpaceDN/>
        <w:bidi w:val="0"/>
        <w:adjustRightInd/>
        <w:snapToGrid/>
        <w:spacing w:line="604" w:lineRule="exact"/>
        <w:ind w:firstLine="640" w:firstLineChars="200"/>
        <w:jc w:val="left"/>
        <w:textAlignment w:val="auto"/>
        <w:rPr>
          <w:rFonts w:hint="eastAsia" w:ascii="仿宋_GB2312" w:hAnsi="仿宋_GB2312" w:eastAsia="仿宋_GB2312" w:cs="仿宋_GB2312"/>
          <w:b w:val="0"/>
          <w:bCs/>
          <w:kern w:val="2"/>
          <w:sz w:val="32"/>
          <w:szCs w:val="32"/>
          <w:lang w:val="en-US" w:eastAsia="zh-CN" w:bidi="ar-SA"/>
        </w:rPr>
      </w:pPr>
      <w:r>
        <w:rPr>
          <w:rStyle w:val="11"/>
          <w:rFonts w:hint="eastAsia" w:ascii="黑体" w:hAnsi="黑体" w:eastAsia="黑体" w:cs="黑体"/>
          <w:b w:val="0"/>
          <w:bCs/>
          <w:spacing w:val="0"/>
          <w:kern w:val="0"/>
          <w:sz w:val="32"/>
          <w:szCs w:val="32"/>
          <w:u w:val="none"/>
          <w:lang w:val="en-US" w:eastAsia="zh-CN"/>
        </w:rPr>
        <w:t>4.凝聚政协力量，提升双向发力质效。</w:t>
      </w:r>
      <w:r>
        <w:rPr>
          <w:rFonts w:hint="eastAsia" w:ascii="仿宋_GB2312" w:hAnsi="仿宋_GB2312" w:eastAsia="仿宋_GB2312" w:cs="仿宋_GB2312"/>
          <w:b w:val="0"/>
          <w:bCs/>
          <w:kern w:val="2"/>
          <w:sz w:val="32"/>
          <w:szCs w:val="32"/>
          <w:lang w:val="en-US" w:eastAsia="zh-CN" w:bidi="ar-SA"/>
        </w:rPr>
        <w:t>一是探索加强政协组织与委员密切联系举措，常态做好走访委员、开展谈心谈话等工作，协助解决困难问题，加强委员履职宣传，多角度展示委员风采，多方位展现履职成效，不断增强政协委员的责任感和荣誉感。二是制定与各民主党派联合履职计划，联动开展课题调研、民主监督等活动，为各民主党派、工商联和无党派人士在政协履职搭建平台、创造条件。三是开展“铸牢中华民族共同体意识·永远跟党走”主题活动，加强联系看望宗教界代表人士，促进民族团结、宗教和顺。四是举办重点情况通报会、委员联系走访民营企业等活动，多做政策宣传、解疑释惑、引导预期、提振信心的工作，汇聚团结奋进力量。五是在扩大社会影响中凝聚人心，引导委员当好界别群众的贴心人，在一些敏感点、风险点、关切点上，传递好声音、弘扬主旋律、传播正能量，把更多的人、更多的力量团结在党的周围。</w:t>
      </w:r>
    </w:p>
    <w:p w14:paraId="6A0AB1CD">
      <w:pPr>
        <w:keepNext w:val="0"/>
        <w:keepLines w:val="0"/>
        <w:pageBreakBefore w:val="0"/>
        <w:widowControl w:val="0"/>
        <w:kinsoku/>
        <w:wordWrap/>
        <w:overflowPunct w:val="0"/>
        <w:topLinePunct w:val="0"/>
        <w:autoSpaceDE/>
        <w:autoSpaceDN/>
        <w:bidi w:val="0"/>
        <w:adjustRightInd/>
        <w:snapToGrid/>
        <w:spacing w:line="604" w:lineRule="exact"/>
        <w:ind w:firstLine="640" w:firstLineChars="200"/>
        <w:textAlignment w:val="auto"/>
        <w:rPr>
          <w:rFonts w:hint="eastAsia" w:ascii="仿宋_GB2312" w:hAnsi="仿宋_GB2312" w:eastAsia="仿宋_GB2312" w:cs="仿宋_GB2312"/>
          <w:b w:val="0"/>
          <w:bCs/>
          <w:kern w:val="2"/>
          <w:sz w:val="32"/>
          <w:szCs w:val="32"/>
          <w:lang w:val="en-US" w:eastAsia="zh-CN" w:bidi="ar-SA"/>
        </w:rPr>
      </w:pPr>
      <w:r>
        <w:rPr>
          <w:rStyle w:val="11"/>
          <w:rFonts w:hint="eastAsia" w:ascii="黑体" w:hAnsi="黑体" w:eastAsia="黑体" w:cs="黑体"/>
          <w:b w:val="0"/>
          <w:bCs/>
          <w:spacing w:val="0"/>
          <w:kern w:val="0"/>
          <w:sz w:val="32"/>
          <w:szCs w:val="32"/>
          <w:u w:val="none"/>
          <w:lang w:val="en-US" w:eastAsia="zh-CN"/>
        </w:rPr>
        <w:t>5.塑造政协形象，持续加强自身建设。</w:t>
      </w:r>
      <w:r>
        <w:rPr>
          <w:rFonts w:hint="eastAsia" w:ascii="仿宋_GB2312" w:hAnsi="仿宋_GB2312" w:eastAsia="仿宋_GB2312" w:cs="仿宋_GB2312"/>
          <w:b w:val="0"/>
          <w:bCs/>
          <w:kern w:val="2"/>
          <w:sz w:val="32"/>
          <w:szCs w:val="32"/>
          <w:lang w:val="en-US" w:eastAsia="zh-CN" w:bidi="ar-SA"/>
        </w:rPr>
        <w:t>切实对标“两个走在前、三个作示范”工作部署，夯实“三支队伍”的责任担当。一是进一步强化专委会基础作用。推动各专委会深学理论政策，以课题为纽带，以界别为桥梁，培育“一委一品牌”，着力做好“专”的文章，提高能干事、干成事的本领。二是进一步提升委员履职能力。持续加强委员履职培训，全面提升委员履职能力，创新履职考评评价机制，坚持激励约束并重、服务管理并行，激发委员履职热情。三是改进政协机关服务。加强联系服务群众和反映社情民意机制建设，完成《广元市昭化政协志》和《蜀道昭化》编纂工作。持续推动破解“两个薄弱”问题，不断优化区镇两级上下协同履职，就共同关心的课题开展联合调研、联动协商，更好地发挥政协系统整体效能。持续纠治形式主义、官僚主义，推动政协机关政治更强、作风更实、效能更高、保障更优。</w:t>
      </w:r>
    </w:p>
    <w:p w14:paraId="6462C9BF">
      <w:pPr>
        <w:keepNext w:val="0"/>
        <w:keepLines w:val="0"/>
        <w:pageBreakBefore w:val="0"/>
        <w:widowControl/>
        <w:kinsoku/>
        <w:wordWrap/>
        <w:topLinePunct w:val="0"/>
        <w:autoSpaceDE/>
        <w:autoSpaceDN/>
        <w:bidi w:val="0"/>
        <w:adjustRightInd/>
        <w:snapToGrid/>
        <w:spacing w:line="240" w:lineRule="auto"/>
        <w:ind w:firstLine="640" w:firstLineChars="200"/>
        <w:textAlignment w:val="auto"/>
        <w:outlineLvl w:val="0"/>
        <w:rPr>
          <w:rFonts w:hint="eastAsia" w:ascii="黑体" w:hAnsi="黑体" w:eastAsia="黑体" w:cs="黑体"/>
          <w:sz w:val="32"/>
          <w:szCs w:val="32"/>
          <w:lang w:val="en-US" w:eastAsia="zh-CN"/>
        </w:rPr>
      </w:pPr>
      <w:bookmarkStart w:id="4" w:name="_Toc17564"/>
      <w:r>
        <w:rPr>
          <w:rFonts w:hint="eastAsia" w:ascii="黑体" w:hAnsi="黑体" w:eastAsia="黑体" w:cs="黑体"/>
          <w:sz w:val="32"/>
          <w:szCs w:val="32"/>
          <w:lang w:val="en-US" w:eastAsia="zh-CN"/>
        </w:rPr>
        <w:t>二、部门预算单位构成</w:t>
      </w:r>
      <w:bookmarkEnd w:id="4"/>
    </w:p>
    <w:p w14:paraId="423EC521">
      <w:pPr>
        <w:keepNext w:val="0"/>
        <w:keepLines w:val="0"/>
        <w:pageBreakBefore w:val="0"/>
        <w:widowControl w:val="0"/>
        <w:kinsoku/>
        <w:wordWrap/>
        <w:overflowPunct w:val="0"/>
        <w:topLinePunct w:val="0"/>
        <w:autoSpaceDE/>
        <w:autoSpaceDN/>
        <w:bidi w:val="0"/>
        <w:adjustRightInd/>
        <w:snapToGrid/>
        <w:spacing w:line="604" w:lineRule="exact"/>
        <w:ind w:firstLine="640" w:firstLineChars="200"/>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昭化区政协办为一级预算单位，无下属二级预算单位。内设6委1室，分别为：办公室、提案法制委、经济委、农业农村委、人口资源环境委、教科医卫体育委、文化文史和学习联谊委。</w:t>
      </w:r>
    </w:p>
    <w:p w14:paraId="0BCC43B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5" w:name="_Toc1467"/>
      <w:r>
        <w:rPr>
          <w:rFonts w:hint="eastAsia" w:ascii="黑体" w:hAnsi="黑体" w:eastAsia="黑体" w:cs="黑体"/>
          <w:sz w:val="32"/>
          <w:szCs w:val="32"/>
          <w:lang w:val="en-US" w:eastAsia="zh-CN"/>
        </w:rPr>
        <w:t>三、收支预算情况说明</w:t>
      </w:r>
      <w:bookmarkEnd w:id="5"/>
    </w:p>
    <w:p w14:paraId="4F82321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按照综合预算的原则，区政协办所有收入和支出均纳入部门预算管理。收入包括：一般公共预算拨款收入；支出包括：一般公共服务支出、社会保障和就业支出、卫生健康支出、住房保障支出。</w:t>
      </w:r>
      <w:r>
        <w:rPr>
          <w:rFonts w:hint="eastAsia" w:ascii="仿宋_GB2312" w:hAnsi="仿宋_GB2312" w:eastAsia="仿宋_GB2312" w:cs="仿宋_GB2312"/>
          <w:b w:val="0"/>
          <w:bCs w:val="0"/>
          <w:sz w:val="32"/>
          <w:szCs w:val="32"/>
          <w:lang w:val="en-US" w:eastAsia="zh-CN"/>
        </w:rPr>
        <w:t>区政协办</w:t>
      </w:r>
      <w:r>
        <w:rPr>
          <w:rFonts w:hint="eastAsia" w:ascii="仿宋_GB2312" w:hAnsi="仿宋_GB2312" w:eastAsia="仿宋_GB2312" w:cs="仿宋_GB2312"/>
          <w:sz w:val="32"/>
          <w:szCs w:val="32"/>
          <w:lang w:val="en-US" w:eastAsia="zh-CN"/>
        </w:rPr>
        <w:t>2025年收支预算总数1010.62万元,比2024年收支预算总数减少86.86万元，主要原因是人员减少。</w:t>
      </w:r>
    </w:p>
    <w:p w14:paraId="5DC5D79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6" w:name="_Toc9132"/>
      <w:r>
        <w:rPr>
          <w:rFonts w:hint="eastAsia" w:ascii="楷体_GB2312" w:hAnsi="楷体_GB2312" w:eastAsia="楷体_GB2312" w:cs="楷体_GB2312"/>
          <w:sz w:val="32"/>
          <w:szCs w:val="32"/>
          <w:lang w:val="en-US" w:eastAsia="zh-CN"/>
        </w:rPr>
        <w:t>（一）收入预算情况</w:t>
      </w:r>
      <w:bookmarkEnd w:id="6"/>
    </w:p>
    <w:p w14:paraId="50C477E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区政协办2025年收入预算1010.62万元，其中：一般公共预算拨款收入1010.62万元，占100%。</w:t>
      </w:r>
    </w:p>
    <w:p w14:paraId="1461A28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7" w:name="_Toc20004"/>
      <w:r>
        <w:rPr>
          <w:rFonts w:hint="eastAsia" w:ascii="楷体_GB2312" w:hAnsi="楷体_GB2312" w:eastAsia="楷体_GB2312" w:cs="楷体_GB2312"/>
          <w:sz w:val="32"/>
          <w:szCs w:val="32"/>
          <w:lang w:val="en-US" w:eastAsia="zh-CN"/>
        </w:rPr>
        <w:t>（二）支出预算情况</w:t>
      </w:r>
      <w:bookmarkEnd w:id="7"/>
    </w:p>
    <w:p w14:paraId="2F86218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val="en-US" w:eastAsia="zh-CN"/>
        </w:rPr>
        <w:t>区政协办2025年支出预算1010.62万元，其中：基本支出730.81万元，占72.31%；项目支出279.81万元，占27.69%</w:t>
      </w:r>
      <w:r>
        <w:rPr>
          <w:rFonts w:hint="eastAsia" w:ascii="仿宋_GB2312" w:hAnsi="仿宋_GB2312" w:eastAsia="仿宋_GB2312" w:cs="仿宋_GB2312"/>
          <w:b w:val="0"/>
          <w:bCs w:val="0"/>
          <w:sz w:val="32"/>
          <w:szCs w:val="32"/>
          <w:lang w:val="en-US" w:eastAsia="zh-CN"/>
        </w:rPr>
        <w:t xml:space="preserve">。  </w:t>
      </w:r>
    </w:p>
    <w:p w14:paraId="36839EB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8" w:name="_Toc2378"/>
      <w:r>
        <w:rPr>
          <w:rFonts w:hint="eastAsia" w:ascii="黑体" w:hAnsi="黑体" w:eastAsia="黑体" w:cs="黑体"/>
          <w:sz w:val="32"/>
          <w:szCs w:val="32"/>
          <w:lang w:val="en-US" w:eastAsia="zh-CN"/>
        </w:rPr>
        <w:t>四、财政拨款收支预算情况说明</w:t>
      </w:r>
      <w:bookmarkEnd w:id="8"/>
    </w:p>
    <w:p w14:paraId="27C670A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区政协办2025年财政拨款收支预算总数1010.62万元,比2024年财政拨款收支预算总数减少86.86万元，主要原因是人员减少。</w:t>
      </w:r>
    </w:p>
    <w:p w14:paraId="49C4B3E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收入包括：本年一般公共预算拨款收入1010.62万元；支出包括：一般公共服务支出796.67万元、社会保障和就业支出137.26万元、卫生健康支出24.26万元、住房保障支出52.44万元。</w:t>
      </w:r>
    </w:p>
    <w:p w14:paraId="53A0315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bookmarkStart w:id="9" w:name="_Toc4571"/>
      <w:r>
        <w:rPr>
          <w:rFonts w:hint="eastAsia" w:ascii="黑体" w:hAnsi="黑体" w:eastAsia="黑体" w:cs="黑体"/>
          <w:sz w:val="32"/>
          <w:szCs w:val="32"/>
          <w:lang w:val="en-US" w:eastAsia="zh-CN"/>
        </w:rPr>
        <w:t>五、一般公共预算当年拨款情况说明</w:t>
      </w:r>
      <w:bookmarkEnd w:id="9"/>
    </w:p>
    <w:p w14:paraId="201ED7EA">
      <w:pPr>
        <w:keepNext w:val="0"/>
        <w:keepLines w:val="0"/>
        <w:pageBreakBefore w:val="0"/>
        <w:widowControl w:val="0"/>
        <w:kinsoku/>
        <w:wordWrap/>
        <w:overflowPunct/>
        <w:topLinePunct w:val="0"/>
        <w:autoSpaceDE/>
        <w:autoSpaceDN/>
        <w:bidi w:val="0"/>
        <w:adjustRightInd/>
        <w:snapToGrid/>
        <w:spacing w:line="576" w:lineRule="exact"/>
        <w:ind w:firstLine="320" w:firstLineChars="100"/>
        <w:textAlignment w:val="auto"/>
        <w:outlineLvl w:val="1"/>
        <w:rPr>
          <w:rFonts w:hint="eastAsia" w:ascii="楷体_GB2312" w:hAnsi="楷体_GB2312" w:eastAsia="楷体_GB2312" w:cs="楷体_GB2312"/>
          <w:sz w:val="32"/>
          <w:szCs w:val="32"/>
          <w:lang w:val="en-US" w:eastAsia="zh-CN"/>
        </w:rPr>
      </w:pPr>
      <w:bookmarkStart w:id="10" w:name="_Toc19724"/>
      <w:r>
        <w:rPr>
          <w:rFonts w:hint="eastAsia" w:ascii="楷体_GB2312" w:hAnsi="楷体_GB2312" w:eastAsia="楷体_GB2312" w:cs="楷体_GB2312"/>
          <w:sz w:val="32"/>
          <w:szCs w:val="32"/>
          <w:lang w:val="en-US" w:eastAsia="zh-CN"/>
        </w:rPr>
        <w:t>（一）一般公共预算当年拨款规模变化情况</w:t>
      </w:r>
      <w:bookmarkEnd w:id="10"/>
    </w:p>
    <w:p w14:paraId="7F440BB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区政协办2025年一般公共预算当年拨款1010.62万元，比2024年预算数减少86.86万元，主要原因是人员减少。</w:t>
      </w:r>
    </w:p>
    <w:p w14:paraId="5BBECEB6">
      <w:pPr>
        <w:keepNext w:val="0"/>
        <w:keepLines w:val="0"/>
        <w:pageBreakBefore w:val="0"/>
        <w:widowControl w:val="0"/>
        <w:kinsoku/>
        <w:wordWrap/>
        <w:overflowPunct/>
        <w:topLinePunct w:val="0"/>
        <w:autoSpaceDE/>
        <w:autoSpaceDN/>
        <w:bidi w:val="0"/>
        <w:adjustRightInd/>
        <w:snapToGrid/>
        <w:spacing w:line="576" w:lineRule="exact"/>
        <w:ind w:firstLine="320" w:firstLineChars="100"/>
        <w:textAlignment w:val="auto"/>
        <w:outlineLvl w:val="1"/>
        <w:rPr>
          <w:rFonts w:hint="eastAsia" w:ascii="楷体_GB2312" w:hAnsi="楷体_GB2312" w:eastAsia="楷体_GB2312" w:cs="楷体_GB2312"/>
          <w:sz w:val="32"/>
          <w:szCs w:val="32"/>
          <w:lang w:val="en-US" w:eastAsia="zh-CN"/>
        </w:rPr>
      </w:pPr>
      <w:bookmarkStart w:id="11" w:name="_Toc21500"/>
      <w:r>
        <w:rPr>
          <w:rFonts w:hint="eastAsia" w:ascii="楷体_GB2312" w:hAnsi="楷体_GB2312" w:eastAsia="楷体_GB2312" w:cs="楷体_GB2312"/>
          <w:sz w:val="32"/>
          <w:szCs w:val="32"/>
          <w:lang w:val="en-US" w:eastAsia="zh-CN"/>
        </w:rPr>
        <w:t>（二）一般公共预算当年拨款结构情况</w:t>
      </w:r>
      <w:bookmarkEnd w:id="11"/>
    </w:p>
    <w:p w14:paraId="7D47846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一般公共服务支出796.67万元，占78.83%；社会保障和就业支出137.26万元，占13.58%；卫生健康支出24.26万元，占2.4%；住房保障支出52.44万元，占5.19%。</w:t>
      </w:r>
    </w:p>
    <w:p w14:paraId="1C828A33">
      <w:pPr>
        <w:keepNext w:val="0"/>
        <w:keepLines w:val="0"/>
        <w:pageBreakBefore w:val="0"/>
        <w:widowControl w:val="0"/>
        <w:kinsoku/>
        <w:wordWrap/>
        <w:overflowPunct/>
        <w:topLinePunct w:val="0"/>
        <w:autoSpaceDE/>
        <w:autoSpaceDN/>
        <w:bidi w:val="0"/>
        <w:adjustRightInd/>
        <w:snapToGrid/>
        <w:spacing w:line="576" w:lineRule="exact"/>
        <w:ind w:firstLine="320" w:firstLineChars="100"/>
        <w:textAlignment w:val="auto"/>
        <w:outlineLvl w:val="1"/>
        <w:rPr>
          <w:rFonts w:hint="eastAsia" w:ascii="楷体_GB2312" w:hAnsi="楷体_GB2312" w:eastAsia="楷体_GB2312" w:cs="楷体_GB2312"/>
          <w:sz w:val="32"/>
          <w:szCs w:val="32"/>
          <w:lang w:val="en-US" w:eastAsia="zh-CN"/>
        </w:rPr>
      </w:pPr>
      <w:bookmarkStart w:id="12" w:name="_Toc12304"/>
      <w:r>
        <w:rPr>
          <w:rFonts w:hint="eastAsia" w:ascii="楷体_GB2312" w:hAnsi="楷体_GB2312" w:eastAsia="楷体_GB2312" w:cs="楷体_GB2312"/>
          <w:sz w:val="32"/>
          <w:szCs w:val="32"/>
          <w:lang w:val="en-US" w:eastAsia="zh-CN"/>
        </w:rPr>
        <w:t>（三）一般公共预算当年拨款具体使用情况</w:t>
      </w:r>
      <w:bookmarkEnd w:id="12"/>
    </w:p>
    <w:p w14:paraId="72035A75">
      <w:pPr>
        <w:pStyle w:val="8"/>
        <w:keepNext w:val="0"/>
        <w:keepLines w:val="0"/>
        <w:pageBreakBefore w:val="0"/>
        <w:widowControl w:val="0"/>
        <w:numPr>
          <w:ilvl w:val="0"/>
          <w:numId w:val="0"/>
        </w:numPr>
        <w:kinsoku/>
        <w:wordWrap/>
        <w:overflowPunct/>
        <w:topLinePunct w:val="0"/>
        <w:autoSpaceDE w:val="0"/>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default"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t>一般公共服务（类）政协事务（款）行政运行（项）2025年预算数为515.69万元，主要用于：</w:t>
      </w:r>
      <w:r>
        <w:rPr>
          <w:rFonts w:hint="eastAsia" w:ascii="仿宋_GB2312" w:hAnsi="仿宋_GB2312" w:eastAsia="仿宋_GB2312" w:cs="仿宋_GB2312"/>
          <w:color w:val="000000" w:themeColor="text1"/>
          <w:sz w:val="32"/>
          <w:szCs w:val="32"/>
          <w14:textFill>
            <w14:solidFill>
              <w14:schemeClr w14:val="tx1"/>
            </w14:solidFill>
          </w14:textFill>
        </w:rPr>
        <w:t>保障政协机关正常运转的基本支出，包括基本工资、津贴补贴等人员经费以及办公费、印刷费、差旅费、水电费、劳务费、维护费、其它交通费用等日常公用经费。</w:t>
      </w:r>
    </w:p>
    <w:p w14:paraId="5E04FA3C">
      <w:pPr>
        <w:pStyle w:val="8"/>
        <w:keepNext w:val="0"/>
        <w:keepLines w:val="0"/>
        <w:pageBreakBefore w:val="0"/>
        <w:widowControl w:val="0"/>
        <w:numPr>
          <w:ilvl w:val="0"/>
          <w:numId w:val="0"/>
        </w:numPr>
        <w:kinsoku/>
        <w:wordWrap/>
        <w:overflowPunct/>
        <w:topLinePunct w:val="0"/>
        <w:autoSpaceDE w:val="0"/>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eastAsia="zh-CN"/>
        </w:rPr>
        <w:t>一般公共服务（类）政协事务（款）政协会议2025年预算数为67.06万元，主要用于：</w:t>
      </w:r>
      <w:r>
        <w:rPr>
          <w:rFonts w:hint="eastAsia" w:ascii="仿宋_GB2312" w:hAnsi="仿宋_GB2312" w:eastAsia="仿宋_GB2312" w:cs="仿宋_GB2312"/>
          <w:color w:val="000000" w:themeColor="text1"/>
          <w:sz w:val="32"/>
          <w:szCs w:val="32"/>
          <w14:textFill>
            <w14:solidFill>
              <w14:schemeClr w14:val="tx1"/>
            </w14:solidFill>
          </w14:textFill>
        </w:rPr>
        <w:t>政协全委会、政协常</w:t>
      </w:r>
      <w:r>
        <w:rPr>
          <w:rFonts w:hint="eastAsia" w:ascii="仿宋_GB2312" w:hAnsi="仿宋_GB2312" w:eastAsia="仿宋_GB2312" w:cs="仿宋_GB2312"/>
          <w:color w:val="000000" w:themeColor="text1"/>
          <w:sz w:val="32"/>
          <w:szCs w:val="32"/>
          <w:lang w:eastAsia="zh-CN"/>
          <w14:textFill>
            <w14:solidFill>
              <w14:schemeClr w14:val="tx1"/>
            </w14:solidFill>
          </w14:textFill>
        </w:rPr>
        <w:t>务</w:t>
      </w:r>
      <w:r>
        <w:rPr>
          <w:rFonts w:hint="eastAsia" w:ascii="仿宋_GB2312" w:hAnsi="仿宋_GB2312" w:eastAsia="仿宋_GB2312" w:cs="仿宋_GB2312"/>
          <w:color w:val="000000" w:themeColor="text1"/>
          <w:sz w:val="32"/>
          <w:szCs w:val="32"/>
          <w14:textFill>
            <w14:solidFill>
              <w14:schemeClr w14:val="tx1"/>
            </w14:solidFill>
          </w14:textFill>
        </w:rPr>
        <w:t>委员会和委员联谊、约谈会议会议支出。</w:t>
      </w:r>
    </w:p>
    <w:p w14:paraId="0EFF806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default"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en-US" w:eastAsia="zh-CN"/>
        </w:rPr>
        <w:t>一般公共服务（类）政协事务（款）委员视察（项）2025年预算数为37.10万元，主要用于：</w:t>
      </w:r>
      <w:r>
        <w:rPr>
          <w:rFonts w:hint="eastAsia" w:ascii="仿宋_GB2312" w:hAnsi="仿宋_GB2312" w:eastAsia="仿宋_GB2312" w:cs="仿宋_GB2312"/>
          <w:color w:val="000000" w:themeColor="text1"/>
          <w:sz w:val="32"/>
          <w:szCs w:val="32"/>
          <w14:textFill>
            <w14:solidFill>
              <w14:schemeClr w14:val="tx1"/>
            </w14:solidFill>
          </w14:textFill>
        </w:rPr>
        <w:t>政协委员视察活动支出。</w:t>
      </w:r>
    </w:p>
    <w:p w14:paraId="3C6CCEF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eastAsia="仿宋_GB2312"/>
          <w:lang w:val="en-US"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sz w:val="32"/>
          <w:szCs w:val="32"/>
          <w:lang w:val="en-US" w:eastAsia="zh-CN"/>
        </w:rPr>
        <w:t>一般公共服务（类）政协事务（款）参政议政（项）2025年预算数为50万元，主要用于：</w:t>
      </w:r>
      <w:r>
        <w:rPr>
          <w:rFonts w:hint="eastAsia" w:ascii="仿宋_GB2312" w:hAnsi="仿宋_GB2312" w:eastAsia="仿宋_GB2312" w:cs="仿宋_GB2312"/>
          <w:color w:val="000000" w:themeColor="text1"/>
          <w:sz w:val="32"/>
          <w:szCs w:val="32"/>
          <w14:textFill>
            <w14:solidFill>
              <w14:schemeClr w14:val="tx1"/>
            </w14:solidFill>
          </w14:textFill>
        </w:rPr>
        <w:t>政协委员</w:t>
      </w:r>
      <w:r>
        <w:rPr>
          <w:rFonts w:hint="eastAsia" w:ascii="仿宋_GB2312" w:hAnsi="仿宋_GB2312" w:eastAsia="仿宋_GB2312" w:cs="仿宋_GB2312"/>
          <w:color w:val="000000" w:themeColor="text1"/>
          <w:sz w:val="32"/>
          <w:szCs w:val="32"/>
          <w:lang w:eastAsia="zh-CN"/>
          <w14:textFill>
            <w14:solidFill>
              <w14:schemeClr w14:val="tx1"/>
            </w14:solidFill>
          </w14:textFill>
        </w:rPr>
        <w:t>参政议政</w:t>
      </w:r>
      <w:r>
        <w:rPr>
          <w:rFonts w:hint="eastAsia" w:ascii="仿宋_GB2312" w:hAnsi="仿宋_GB2312" w:eastAsia="仿宋_GB2312" w:cs="仿宋_GB2312"/>
          <w:color w:val="000000" w:themeColor="text1"/>
          <w:sz w:val="32"/>
          <w:szCs w:val="32"/>
          <w14:textFill>
            <w14:solidFill>
              <w14:schemeClr w14:val="tx1"/>
            </w14:solidFill>
          </w14:textFill>
        </w:rPr>
        <w:t>活动支出。</w:t>
      </w:r>
    </w:p>
    <w:p w14:paraId="5C2C75FC">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lang w:val="en-US" w:eastAsia="zh-CN"/>
        </w:rPr>
        <w:t>5.一般公共服务（类）政协事务（款）事业运行（项）2025年预算数为11.83万元，主要用于：</w:t>
      </w:r>
      <w:r>
        <w:rPr>
          <w:rFonts w:hint="eastAsia" w:ascii="仿宋_GB2312" w:hAnsi="仿宋_GB2312" w:eastAsia="仿宋_GB2312" w:cs="仿宋_GB2312"/>
          <w:color w:val="000000" w:themeColor="text1"/>
          <w:sz w:val="32"/>
          <w:szCs w:val="32"/>
          <w:lang w:eastAsia="zh-CN"/>
          <w14:textFill>
            <w14:solidFill>
              <w14:schemeClr w14:val="tx1"/>
            </w14:solidFill>
          </w14:textFill>
        </w:rPr>
        <w:t>事业人员的人员经费和日常公用支出</w:t>
      </w:r>
      <w:r>
        <w:rPr>
          <w:rFonts w:hint="eastAsia" w:ascii="仿宋_GB2312" w:hAnsi="仿宋_GB2312" w:eastAsia="仿宋_GB2312" w:cs="仿宋_GB2312"/>
          <w:color w:val="000000" w:themeColor="text1"/>
          <w:sz w:val="32"/>
          <w:szCs w:val="32"/>
          <w14:textFill>
            <w14:solidFill>
              <w14:schemeClr w14:val="tx1"/>
            </w14:solidFill>
          </w14:textFill>
        </w:rPr>
        <w:t>。</w:t>
      </w:r>
    </w:p>
    <w:p w14:paraId="77001E68">
      <w:pPr>
        <w:pStyle w:val="2"/>
        <w:numPr>
          <w:ilvl w:val="0"/>
          <w:numId w:val="0"/>
        </w:numPr>
        <w:ind w:leftChars="0"/>
        <w:rPr>
          <w:rFonts w:hint="eastAsia"/>
          <w:lang w:val="en-US" w:eastAsia="zh-CN"/>
        </w:rPr>
      </w:pPr>
      <w:r>
        <w:rPr>
          <w:rFonts w:hint="eastAsia"/>
          <w:lang w:val="en-US" w:eastAsia="zh-CN"/>
        </w:rPr>
        <w:t xml:space="preserve">      </w:t>
      </w:r>
    </w:p>
    <w:p w14:paraId="0CE44078">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lang w:val="en-US" w:eastAsia="zh-CN"/>
        </w:rPr>
        <w:t>6.一般公共服务（类）政协事务（款）其他政协事务支出（项）2025年预算数为115万元，主要用于：信息平台、文史资料编印及书香政协工作经费38万元；有事来协商工作经费31万元；委室工作经费21万元；其它政协事务及退休干部活动工作经费25万元</w:t>
      </w:r>
      <w:r>
        <w:rPr>
          <w:rFonts w:hint="eastAsia" w:ascii="仿宋_GB2312" w:hAnsi="仿宋_GB2312" w:eastAsia="仿宋_GB2312" w:cs="仿宋_GB2312"/>
          <w:color w:val="000000" w:themeColor="text1"/>
          <w:sz w:val="32"/>
          <w:szCs w:val="32"/>
          <w14:textFill>
            <w14:solidFill>
              <w14:schemeClr w14:val="tx1"/>
            </w14:solidFill>
          </w14:textFill>
        </w:rPr>
        <w:t>。</w:t>
      </w:r>
    </w:p>
    <w:p w14:paraId="65417767">
      <w:pPr>
        <w:pStyle w:val="2"/>
        <w:numPr>
          <w:ilvl w:val="0"/>
          <w:numId w:val="0"/>
        </w:numPr>
        <w:rPr>
          <w:rFonts w:hint="eastAsia" w:ascii="仿宋_GB2312" w:hAnsi="仿宋_GB2312" w:eastAsia="仿宋_GB2312" w:cs="仿宋_GB2312"/>
          <w:sz w:val="32"/>
          <w:szCs w:val="32"/>
        </w:rPr>
      </w:pPr>
      <w:r>
        <w:rPr>
          <w:rFonts w:hint="eastAsia"/>
          <w:lang w:val="en-US" w:eastAsia="zh-CN"/>
        </w:rPr>
        <w:t xml:space="preserve">      </w:t>
      </w:r>
      <w:r>
        <w:rPr>
          <w:rFonts w:hint="eastAsia" w:ascii="仿宋_GB2312" w:hAnsi="仿宋_GB2312" w:eastAsia="仿宋_GB2312" w:cs="仿宋_GB2312"/>
          <w:sz w:val="32"/>
          <w:szCs w:val="32"/>
          <w:lang w:val="en-US" w:eastAsia="zh-CN"/>
        </w:rPr>
        <w:t>7.社会保障和就业（类）行政事业单位养老支出（款）行政单位离退休（项）2025年预算数为56万元，主要用于：机关退休人员目标奖支出。</w:t>
      </w:r>
    </w:p>
    <w:p w14:paraId="4F3E95E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8.社会保障和就业（类）行政事业单位养老支出（款）机关事业单位基本养老保险缴费支出（项）2025年预算数为69.92万元，主要用于：实施养老保险制度由单位缴纳的基本养老保险支出。</w:t>
      </w:r>
    </w:p>
    <w:p w14:paraId="79F6D1D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9.社会保障和就业（类）行政事业单位养老支出（款）机关事业单位职业年金缴费支出（项）2025年预算数为10.65万元，主要用于：实施养老保险制度由单位缴纳的职业年金支出。</w:t>
      </w:r>
    </w:p>
    <w:p w14:paraId="73B3C7EF">
      <w:pPr>
        <w:pStyle w:val="2"/>
        <w:ind w:left="0" w:leftChars="0" w:firstLine="640" w:firstLineChars="200"/>
        <w:jc w:val="both"/>
        <w:rPr>
          <w:rFonts w:hint="default"/>
          <w:lang w:val="en-US"/>
        </w:rPr>
      </w:pPr>
      <w:r>
        <w:rPr>
          <w:rFonts w:hint="eastAsia" w:ascii="仿宋_GB2312" w:hAnsi="仿宋_GB2312" w:eastAsia="仿宋_GB2312" w:cs="仿宋_GB2312"/>
          <w:sz w:val="32"/>
          <w:szCs w:val="32"/>
          <w:lang w:val="en-US" w:eastAsia="zh-CN"/>
        </w:rPr>
        <w:t>10.社会保障和就业（类）其它社会保障和就业支出0.69万元，主要用于：按规定由单位缴纳的失业保险、工伤保险等支出。</w:t>
      </w:r>
    </w:p>
    <w:p w14:paraId="406735E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11.卫生健康（类）行政事业单位医疗（款）行政单位医疗（项）2025年预算数为23.68万元，主要用于：机关及参公管理事业单位按规定由单位缴纳的基本医疗保险支出。</w:t>
      </w:r>
    </w:p>
    <w:p w14:paraId="5018711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12.卫生健康（类）行政事业单位医疗（款）事业单位医疗（项）2025年预算数为0.57万元，主要用于：事业单位按规定由单位缴纳的基本医疗保险支出。</w:t>
      </w:r>
    </w:p>
    <w:p w14:paraId="2D4FC33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13.住房保障（类）住房改革支出（款）住房公积金（项）2025年预算数为52.44万元，主要用于：部门按规定为职工缴纳的住房公积金支出。</w:t>
      </w:r>
    </w:p>
    <w:p w14:paraId="0A990DA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13" w:name="_Toc14807"/>
      <w:r>
        <w:rPr>
          <w:rFonts w:hint="eastAsia" w:ascii="黑体" w:hAnsi="黑体" w:eastAsia="黑体" w:cs="黑体"/>
          <w:sz w:val="32"/>
          <w:szCs w:val="32"/>
          <w:lang w:val="en-US" w:eastAsia="zh-CN"/>
        </w:rPr>
        <w:t>六、一般公共预算基本支出情况说明</w:t>
      </w:r>
      <w:bookmarkEnd w:id="13"/>
    </w:p>
    <w:p w14:paraId="1F95205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区政协办2025年一般公共预算基本支出1010.62万元，其中：</w:t>
      </w:r>
    </w:p>
    <w:p w14:paraId="02F7B8A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人员经费641.44万元，主要包括：基本工资、津贴补贴、奖金、社会保险缴费、住房公积金等支出。</w:t>
      </w:r>
    </w:p>
    <w:p w14:paraId="4F8E7CA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公用经费89.38万元，主要包括：办公费、印刷费、水费、邮电费、差旅费、维修（护）费、培训费、公务接待费、劳务费、工会经费、其他交通费用等支出。</w:t>
      </w:r>
    </w:p>
    <w:p w14:paraId="5F57E54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14" w:name="_Toc12393"/>
      <w:r>
        <w:rPr>
          <w:rFonts w:hint="eastAsia" w:ascii="黑体" w:hAnsi="黑体" w:eastAsia="黑体" w:cs="黑体"/>
          <w:sz w:val="32"/>
          <w:szCs w:val="32"/>
          <w:lang w:val="en-US" w:eastAsia="zh-CN"/>
        </w:rPr>
        <w:t>七、“三公”经费财政拨款预算安排情况说明</w:t>
      </w:r>
      <w:bookmarkEnd w:id="14"/>
    </w:p>
    <w:p w14:paraId="4E284B4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区政协2025年“三公”经费财政拨款预算数10.60万元，其中：公务接待费10.60万元，公务用车购置及运行维护费0万元，因公出国（境）经费0万元。</w:t>
      </w:r>
    </w:p>
    <w:p w14:paraId="333CE5D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15" w:name="_Toc1837"/>
      <w:r>
        <w:rPr>
          <w:rFonts w:hint="eastAsia" w:ascii="楷体_GB2312" w:hAnsi="楷体_GB2312" w:eastAsia="楷体_GB2312" w:cs="楷体_GB2312"/>
          <w:sz w:val="32"/>
          <w:szCs w:val="32"/>
          <w:lang w:val="en-US" w:eastAsia="zh-CN"/>
        </w:rPr>
        <w:t>（一）公务接待费</w:t>
      </w:r>
      <w:bookmarkEnd w:id="15"/>
    </w:p>
    <w:p w14:paraId="209BB3E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公务接待费与2024年预算相比持平。</w:t>
      </w:r>
    </w:p>
    <w:p w14:paraId="4A0C345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2025年公务接待费计划用于执行接待考察调研、检查指导等公务活动开支的交通费、住宿费、用餐费等。</w:t>
      </w:r>
    </w:p>
    <w:p w14:paraId="109A285E">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16" w:name="_Toc12520"/>
      <w:r>
        <w:rPr>
          <w:rFonts w:hint="eastAsia" w:ascii="楷体_GB2312" w:hAnsi="楷体_GB2312" w:eastAsia="楷体_GB2312" w:cs="楷体_GB2312"/>
          <w:sz w:val="32"/>
          <w:szCs w:val="32"/>
          <w:lang w:val="en-US" w:eastAsia="zh-CN"/>
        </w:rPr>
        <w:t>公务用车购置及运行维护费</w:t>
      </w:r>
      <w:bookmarkEnd w:id="16"/>
    </w:p>
    <w:p w14:paraId="3B3ECE2F">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公务用车购置及运行维护费与2024年预算相比持平。</w:t>
      </w:r>
    </w:p>
    <w:p w14:paraId="554D9C5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单位现有公务用车0辆，其中：轿车0辆，旅行车（含商务车）0辆，越野车0辆。</w:t>
      </w:r>
    </w:p>
    <w:p w14:paraId="6D42DD5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2025年未安排公务用车购置费。</w:t>
      </w:r>
    </w:p>
    <w:p w14:paraId="2ACB9C1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2025年未安排公务用车运行维护费。</w:t>
      </w:r>
    </w:p>
    <w:p w14:paraId="0F960215">
      <w:pPr>
        <w:keepNext w:val="0"/>
        <w:keepLines w:val="0"/>
        <w:pageBreakBefore w:val="0"/>
        <w:widowControl w:val="0"/>
        <w:kinsoku/>
        <w:wordWrap/>
        <w:overflowPunct/>
        <w:topLinePunct w:val="0"/>
        <w:autoSpaceDE/>
        <w:autoSpaceDN/>
        <w:bidi w:val="0"/>
        <w:adjustRightInd/>
        <w:snapToGrid/>
        <w:spacing w:line="576" w:lineRule="exact"/>
        <w:textAlignment w:val="auto"/>
        <w:outlineLvl w:val="1"/>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bookmarkStart w:id="17" w:name="_Toc20819"/>
      <w:r>
        <w:rPr>
          <w:rFonts w:hint="eastAsia" w:ascii="仿宋_GB2312" w:hAnsi="仿宋_GB2312" w:eastAsia="仿宋_GB2312" w:cs="仿宋_GB2312"/>
          <w:sz w:val="32"/>
          <w:szCs w:val="32"/>
          <w:lang w:val="en-US" w:eastAsia="zh-CN"/>
        </w:rPr>
        <w:t>（</w:t>
      </w:r>
      <w:r>
        <w:rPr>
          <w:rFonts w:hint="eastAsia" w:ascii="楷体_GB2312" w:hAnsi="楷体_GB2312" w:eastAsia="楷体_GB2312" w:cs="楷体_GB2312"/>
          <w:sz w:val="32"/>
          <w:szCs w:val="32"/>
          <w:lang w:val="en-US" w:eastAsia="zh-CN"/>
        </w:rPr>
        <w:t>三）因公出国（境）经费</w:t>
      </w:r>
      <w:bookmarkEnd w:id="17"/>
    </w:p>
    <w:p w14:paraId="3032AC9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因公出国（境）经费与2024年预算相比持平。</w:t>
      </w:r>
    </w:p>
    <w:p w14:paraId="1C4EFDF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bookmarkStart w:id="18" w:name="_Toc24617"/>
      <w:r>
        <w:rPr>
          <w:rFonts w:hint="eastAsia" w:ascii="黑体" w:hAnsi="黑体" w:eastAsia="黑体" w:cs="黑体"/>
          <w:sz w:val="32"/>
          <w:szCs w:val="32"/>
          <w:lang w:val="en-US" w:eastAsia="zh-CN"/>
        </w:rPr>
        <w:t>八、政府性基金预算支出情况说明</w:t>
      </w:r>
      <w:bookmarkEnd w:id="18"/>
    </w:p>
    <w:p w14:paraId="0CB1949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区政协办2025年无政府性基金预算拨款安排的支出。</w:t>
      </w:r>
    </w:p>
    <w:p w14:paraId="4D8BC6C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bookmarkStart w:id="19" w:name="_Toc18577"/>
      <w:r>
        <w:rPr>
          <w:rFonts w:hint="eastAsia" w:ascii="黑体" w:hAnsi="黑体" w:eastAsia="黑体" w:cs="黑体"/>
          <w:sz w:val="32"/>
          <w:szCs w:val="32"/>
          <w:lang w:val="en-US" w:eastAsia="zh-CN"/>
        </w:rPr>
        <w:t>九、国有资本经营预算支出情况说明</w:t>
      </w:r>
      <w:bookmarkEnd w:id="19"/>
    </w:p>
    <w:p w14:paraId="5F31366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区政协办2025年无国有资本经营预算拨款安排的支出。</w:t>
      </w:r>
    </w:p>
    <w:p w14:paraId="33E8547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20" w:name="_Toc24847"/>
      <w:r>
        <w:rPr>
          <w:rFonts w:hint="eastAsia" w:ascii="黑体" w:hAnsi="黑体" w:eastAsia="黑体" w:cs="黑体"/>
          <w:sz w:val="32"/>
          <w:szCs w:val="32"/>
          <w:lang w:val="en-US" w:eastAsia="zh-CN"/>
        </w:rPr>
        <w:t>十、其他重要事项的情况说明</w:t>
      </w:r>
      <w:bookmarkEnd w:id="20"/>
    </w:p>
    <w:p w14:paraId="48733CF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21" w:name="_Toc12584"/>
      <w:r>
        <w:rPr>
          <w:rFonts w:hint="eastAsia" w:ascii="楷体_GB2312" w:hAnsi="楷体_GB2312" w:eastAsia="楷体_GB2312" w:cs="楷体_GB2312"/>
          <w:sz w:val="32"/>
          <w:szCs w:val="32"/>
          <w:lang w:val="en-US" w:eastAsia="zh-CN"/>
        </w:rPr>
        <w:t>（一）机关运行经费</w:t>
      </w:r>
      <w:bookmarkEnd w:id="21"/>
    </w:p>
    <w:p w14:paraId="77ACAA0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2025年，区政协办机关运行经费财政拨款预算为330.81万元，比2024年预算增加26.65万元，增加8.05%。主要原因机关运行经费增加。</w:t>
      </w:r>
    </w:p>
    <w:p w14:paraId="7F2D5A7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22" w:name="_Toc2065"/>
      <w:r>
        <w:rPr>
          <w:rFonts w:hint="eastAsia" w:ascii="楷体_GB2312" w:hAnsi="楷体_GB2312" w:eastAsia="楷体_GB2312" w:cs="楷体_GB2312"/>
          <w:sz w:val="32"/>
          <w:szCs w:val="32"/>
          <w:lang w:val="en-US" w:eastAsia="zh-CN"/>
        </w:rPr>
        <w:t>（二）政府采购情况</w:t>
      </w:r>
      <w:bookmarkEnd w:id="22"/>
    </w:p>
    <w:p w14:paraId="58CAC66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本单位本年度无政府采购预算。</w:t>
      </w:r>
    </w:p>
    <w:p w14:paraId="5A9113A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23" w:name="_Toc12780"/>
      <w:r>
        <w:rPr>
          <w:rFonts w:hint="eastAsia" w:ascii="楷体_GB2312" w:hAnsi="楷体_GB2312" w:eastAsia="楷体_GB2312" w:cs="楷体_GB2312"/>
          <w:sz w:val="32"/>
          <w:szCs w:val="32"/>
          <w:lang w:val="en-US" w:eastAsia="zh-CN"/>
        </w:rPr>
        <w:t>（三）国有资产占有使用情况</w:t>
      </w:r>
      <w:bookmarkEnd w:id="23"/>
    </w:p>
    <w:p w14:paraId="776BD4C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截至2024年底，区政协办公室共有车辆0辆，其中，领导干部用车0辆、定向保障用车0辆、执法执勤用车0辆。单位无价值200万元以上的大型设备。</w:t>
      </w:r>
    </w:p>
    <w:p w14:paraId="797988B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2025年部门预算安排车辆购置经费0万元。其中，财政拨款预算安排0万元，非财政拨款安排0万元。拟购置定向保障用车0车辆、执法执勤用车0辆。2025年部门预算未安排购置车辆及单位价值200万元以上大型设备。</w:t>
      </w:r>
    </w:p>
    <w:p w14:paraId="47A922F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rPr>
      </w:pPr>
      <w:bookmarkStart w:id="24" w:name="_Toc23561"/>
      <w:r>
        <w:rPr>
          <w:rFonts w:hint="eastAsia" w:ascii="楷体_GB2312" w:hAnsi="楷体_GB2312" w:eastAsia="楷体_GB2312" w:cs="楷体_GB2312"/>
          <w:sz w:val="32"/>
          <w:szCs w:val="32"/>
          <w:lang w:val="en-US" w:eastAsia="zh-CN"/>
        </w:rPr>
        <w:t>（四）绩效目标设置情况</w:t>
      </w:r>
      <w:bookmarkEnd w:id="24"/>
    </w:p>
    <w:p w14:paraId="22B3127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2025年区政协办开展绩效目标管理的项目8个，涉及预算369.18万元。其中其中：人员类项目(定额公用经费行政事业人员、公务交通补贴）3个，涉及预算 89.38万元；运转类项目7个，涉及预算279.8万元。特定目标类项目0个。因部分项目内容涉密，不予公开。</w:t>
      </w:r>
    </w:p>
    <w:p w14:paraId="64DBF56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25" w:name="_Toc3160"/>
      <w:r>
        <w:rPr>
          <w:rFonts w:hint="eastAsia" w:ascii="黑体" w:hAnsi="黑体" w:eastAsia="黑体" w:cs="黑体"/>
          <w:sz w:val="32"/>
          <w:szCs w:val="32"/>
          <w:lang w:val="en-US" w:eastAsia="zh-CN"/>
        </w:rPr>
        <w:t>十一、名词解释</w:t>
      </w:r>
      <w:bookmarkEnd w:id="25"/>
    </w:p>
    <w:p w14:paraId="79C52240">
      <w:pPr>
        <w:pStyle w:val="8"/>
        <w:keepNext w:val="0"/>
        <w:keepLines w:val="0"/>
        <w:pageBreakBefore w:val="0"/>
        <w:widowControl w:val="0"/>
        <w:kinsoku/>
        <w:wordWrap/>
        <w:overflowPunct/>
        <w:topLinePunct w:val="0"/>
        <w:autoSpaceDE w:val="0"/>
        <w:autoSpaceDN/>
        <w:bidi w:val="0"/>
        <w:adjustRightInd/>
        <w:snapToGrid/>
        <w:spacing w:line="576" w:lineRule="exact"/>
        <w:ind w:firstLine="640" w:firstLineChars="200"/>
        <w:jc w:val="both"/>
        <w:textAlignment w:val="auto"/>
        <w:outlineLvl w:val="1"/>
        <w:rPr>
          <w:rFonts w:hint="eastAsia" w:ascii="仿宋_GB2312" w:hAnsi="仿宋_GB2312" w:eastAsia="仿宋_GB2312"/>
          <w:color w:val="000000" w:themeColor="text1"/>
          <w:sz w:val="32"/>
          <w:szCs w:val="32"/>
          <w:lang w:eastAsia="zh-CN"/>
          <w14:textFill>
            <w14:solidFill>
              <w14:schemeClr w14:val="tx1"/>
            </w14:solidFill>
          </w14:textFill>
        </w:rPr>
      </w:pPr>
      <w:bookmarkStart w:id="26" w:name="_Toc15973"/>
      <w:r>
        <w:rPr>
          <w:rFonts w:hint="eastAsia" w:ascii="仿宋_GB2312" w:hAnsi="Times New Roman" w:eastAsia="仿宋_GB2312" w:cs="仿宋_GB2312"/>
          <w:i w:val="0"/>
          <w:caps w:val="0"/>
          <w:color w:val="333333"/>
          <w:spacing w:val="0"/>
          <w:kern w:val="0"/>
          <w:sz w:val="32"/>
          <w:szCs w:val="32"/>
          <w:shd w:val="clear" w:color="auto" w:fill="FFFFFF"/>
          <w:lang w:val="en-US" w:eastAsia="zh-CN"/>
        </w:rPr>
        <w:t>（一）</w:t>
      </w:r>
      <w:r>
        <w:rPr>
          <w:rFonts w:ascii="仿宋_GB2312" w:hAnsi="仿宋_GB2312" w:eastAsia="仿宋_GB2312"/>
          <w:color w:val="000000" w:themeColor="text1"/>
          <w:sz w:val="32"/>
          <w:szCs w:val="32"/>
          <w14:textFill>
            <w14:solidFill>
              <w14:schemeClr w14:val="tx1"/>
            </w14:solidFill>
          </w14:textFill>
        </w:rPr>
        <w:t>一般公共预算拨款收入：指区级财政当年拨付的资金。</w:t>
      </w:r>
      <w:bookmarkEnd w:id="26"/>
    </w:p>
    <w:p w14:paraId="07F12AED">
      <w:pPr>
        <w:pStyle w:val="8"/>
        <w:keepNext w:val="0"/>
        <w:keepLines w:val="0"/>
        <w:pageBreakBefore w:val="0"/>
        <w:widowControl w:val="0"/>
        <w:kinsoku/>
        <w:wordWrap/>
        <w:overflowPunct/>
        <w:topLinePunct w:val="0"/>
        <w:autoSpaceDE w:val="0"/>
        <w:autoSpaceDN/>
        <w:bidi w:val="0"/>
        <w:adjustRightInd/>
        <w:snapToGrid/>
        <w:spacing w:line="576" w:lineRule="exact"/>
        <w:ind w:firstLine="640" w:firstLineChars="200"/>
        <w:jc w:val="both"/>
        <w:textAlignment w:val="auto"/>
        <w:rPr>
          <w:rFonts w:hint="eastAsia" w:ascii="仿宋_GB2312" w:hAnsi="仿宋_GB2312" w:eastAsia="仿宋_GB2312"/>
          <w:color w:val="000000" w:themeColor="text1"/>
          <w:sz w:val="32"/>
          <w:szCs w:val="32"/>
          <w:lang w:eastAsia="zh-CN"/>
          <w14:textFill>
            <w14:solidFill>
              <w14:schemeClr w14:val="tx1"/>
            </w14:solidFill>
          </w14:textFill>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rPr>
        <w:t>（二）</w:t>
      </w:r>
      <w:r>
        <w:rPr>
          <w:rFonts w:ascii="仿宋_GB2312" w:hAnsi="仿宋_GB2312" w:eastAsia="仿宋_GB2312"/>
          <w:color w:val="000000" w:themeColor="text1"/>
          <w:sz w:val="32"/>
          <w:szCs w:val="32"/>
          <w14:textFill>
            <w14:solidFill>
              <w14:schemeClr w14:val="tx1"/>
            </w14:solidFill>
          </w14:textFill>
        </w:rPr>
        <w:t>一般公共服务（类）政协事务（款）行政运行：指机关及参公管理事业单位用于保障机构正常运行、开展日常工作的基本支出。</w:t>
      </w:r>
    </w:p>
    <w:p w14:paraId="6BEB6CCF">
      <w:pPr>
        <w:pStyle w:val="8"/>
        <w:keepNext w:val="0"/>
        <w:keepLines w:val="0"/>
        <w:pageBreakBefore w:val="0"/>
        <w:widowControl w:val="0"/>
        <w:kinsoku/>
        <w:wordWrap/>
        <w:overflowPunct/>
        <w:topLinePunct w:val="0"/>
        <w:autoSpaceDE w:val="0"/>
        <w:autoSpaceDN/>
        <w:bidi w:val="0"/>
        <w:adjustRightInd/>
        <w:snapToGrid/>
        <w:spacing w:line="576" w:lineRule="exact"/>
        <w:ind w:firstLine="640" w:firstLineChars="200"/>
        <w:jc w:val="both"/>
        <w:textAlignment w:val="auto"/>
        <w:rPr>
          <w:rFonts w:ascii="Times New Roman" w:hAnsi="Times New Roman"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lang w:eastAsia="zh-CN"/>
          <w14:textFill>
            <w14:solidFill>
              <w14:schemeClr w14:val="tx1"/>
            </w14:solidFill>
          </w14:textFill>
        </w:rPr>
        <w:t>（</w:t>
      </w:r>
      <w:r>
        <w:rPr>
          <w:rFonts w:hint="eastAsia" w:ascii="仿宋_GB2312" w:hAnsi="仿宋_GB2312" w:eastAsia="仿宋_GB2312"/>
          <w:color w:val="000000" w:themeColor="text1"/>
          <w:sz w:val="32"/>
          <w:szCs w:val="32"/>
          <w:lang w:val="en-US" w:eastAsia="zh-CN"/>
          <w14:textFill>
            <w14:solidFill>
              <w14:schemeClr w14:val="tx1"/>
            </w14:solidFill>
          </w14:textFill>
        </w:rPr>
        <w:t>三</w:t>
      </w:r>
      <w:r>
        <w:rPr>
          <w:rFonts w:hint="eastAsia" w:ascii="仿宋_GB2312" w:hAnsi="仿宋_GB2312" w:eastAsia="仿宋_GB2312"/>
          <w:color w:val="000000" w:themeColor="text1"/>
          <w:sz w:val="32"/>
          <w:szCs w:val="32"/>
          <w:lang w:eastAsia="zh-CN"/>
          <w14:textFill>
            <w14:solidFill>
              <w14:schemeClr w14:val="tx1"/>
            </w14:solidFill>
          </w14:textFill>
        </w:rPr>
        <w:t>）</w:t>
      </w:r>
      <w:r>
        <w:rPr>
          <w:rFonts w:ascii="仿宋_GB2312" w:hAnsi="仿宋_GB2312" w:eastAsia="仿宋_GB2312"/>
          <w:color w:val="000000" w:themeColor="text1"/>
          <w:sz w:val="32"/>
          <w:szCs w:val="32"/>
          <w14:textFill>
            <w14:solidFill>
              <w14:schemeClr w14:val="tx1"/>
            </w14:solidFill>
          </w14:textFill>
        </w:rPr>
        <w:t>社会保障和就业（类）行政事业单位养老支出（款）机关事业单位基本养老保险缴费支出（项）：指部门实施养老保险制度由单位缴纳的养老保险费的支出</w:t>
      </w:r>
      <w:r>
        <w:rPr>
          <w:rFonts w:hint="eastAsia" w:ascii="宋体" w:hAnsi="宋体" w:cs="宋体"/>
          <w:color w:val="000000" w:themeColor="text1"/>
          <w:sz w:val="32"/>
          <w:szCs w:val="32"/>
          <w14:textFill>
            <w14:solidFill>
              <w14:schemeClr w14:val="tx1"/>
            </w14:solidFill>
          </w14:textFill>
        </w:rPr>
        <w:t>。</w:t>
      </w:r>
    </w:p>
    <w:p w14:paraId="012BF681">
      <w:pPr>
        <w:pStyle w:val="8"/>
        <w:keepNext w:val="0"/>
        <w:keepLines w:val="0"/>
        <w:pageBreakBefore w:val="0"/>
        <w:widowControl w:val="0"/>
        <w:kinsoku/>
        <w:wordWrap/>
        <w:overflowPunct/>
        <w:topLinePunct w:val="0"/>
        <w:autoSpaceDE w:val="0"/>
        <w:autoSpaceDN/>
        <w:bidi w:val="0"/>
        <w:adjustRightInd/>
        <w:snapToGrid/>
        <w:spacing w:line="576" w:lineRule="exact"/>
        <w:ind w:firstLine="620"/>
        <w:jc w:val="both"/>
        <w:textAlignment w:val="auto"/>
        <w:rPr>
          <w:rFonts w:hint="eastAsia" w:ascii="仿宋_GB2312" w:hAnsi="仿宋_GB2312" w:eastAsia="仿宋_GB2312"/>
          <w:color w:val="000000" w:themeColor="text1"/>
          <w:sz w:val="32"/>
          <w:szCs w:val="32"/>
          <w:lang w:eastAsia="zh-CN"/>
          <w14:textFill>
            <w14:solidFill>
              <w14:schemeClr w14:val="tx1"/>
            </w14:solidFill>
          </w14:textFill>
        </w:rPr>
      </w:pP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hint="eastAsia" w:ascii="Times New Roman" w:hAnsi="Times New Roman" w:eastAsia="仿宋_GB2312"/>
          <w:color w:val="000000" w:themeColor="text1"/>
          <w:sz w:val="32"/>
          <w:szCs w:val="32"/>
          <w:lang w:val="en-US" w:eastAsia="zh-CN"/>
          <w14:textFill>
            <w14:solidFill>
              <w14:schemeClr w14:val="tx1"/>
            </w14:solidFill>
          </w14:textFill>
        </w:rPr>
        <w:t>四</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ascii="仿宋_GB2312" w:hAnsi="仿宋_GB2312" w:eastAsia="仿宋_GB2312"/>
          <w:color w:val="000000" w:themeColor="text1"/>
          <w:sz w:val="32"/>
          <w:szCs w:val="32"/>
          <w14:textFill>
            <w14:solidFill>
              <w14:schemeClr w14:val="tx1"/>
            </w14:solidFill>
          </w14:textFill>
        </w:rPr>
        <w:t>卫生健康（类）行政事业单位医疗（款）行政单位医疗（项）：指机关及参公管理事业单位用于单位应缴纳基本医疗保险支出。</w:t>
      </w:r>
    </w:p>
    <w:p w14:paraId="6EB76140">
      <w:pPr>
        <w:pStyle w:val="8"/>
        <w:keepNext w:val="0"/>
        <w:keepLines w:val="0"/>
        <w:pageBreakBefore w:val="0"/>
        <w:widowControl w:val="0"/>
        <w:kinsoku/>
        <w:wordWrap/>
        <w:overflowPunct/>
        <w:topLinePunct w:val="0"/>
        <w:autoSpaceDE w:val="0"/>
        <w:autoSpaceDN/>
        <w:bidi w:val="0"/>
        <w:adjustRightInd/>
        <w:snapToGrid/>
        <w:spacing w:line="576" w:lineRule="exact"/>
        <w:ind w:firstLine="620"/>
        <w:jc w:val="both"/>
        <w:textAlignment w:val="auto"/>
        <w:rPr>
          <w:rFonts w:hint="eastAsia" w:ascii="仿宋_GB2312" w:hAnsi="仿宋_GB2312" w:eastAsia="仿宋_GB2312"/>
          <w:color w:val="000000" w:themeColor="text1"/>
          <w:sz w:val="32"/>
          <w:szCs w:val="32"/>
          <w:lang w:eastAsia="zh-CN"/>
          <w14:textFill>
            <w14:solidFill>
              <w14:schemeClr w14:val="tx1"/>
            </w14:solidFill>
          </w14:textFill>
        </w:rPr>
      </w:pPr>
      <w:r>
        <w:rPr>
          <w:rFonts w:hint="eastAsia" w:ascii="仿宋_GB2312" w:hAnsi="仿宋_GB2312" w:eastAsia="仿宋_GB2312"/>
          <w:color w:val="000000" w:themeColor="text1"/>
          <w:sz w:val="32"/>
          <w:szCs w:val="32"/>
          <w:lang w:eastAsia="zh-CN"/>
          <w14:textFill>
            <w14:solidFill>
              <w14:schemeClr w14:val="tx1"/>
            </w14:solidFill>
          </w14:textFill>
        </w:rPr>
        <w:t>（</w:t>
      </w:r>
      <w:r>
        <w:rPr>
          <w:rFonts w:hint="eastAsia" w:ascii="仿宋_GB2312" w:hAnsi="仿宋_GB2312" w:eastAsia="仿宋_GB2312"/>
          <w:color w:val="000000" w:themeColor="text1"/>
          <w:sz w:val="32"/>
          <w:szCs w:val="32"/>
          <w:lang w:val="en-US" w:eastAsia="zh-CN"/>
          <w14:textFill>
            <w14:solidFill>
              <w14:schemeClr w14:val="tx1"/>
            </w14:solidFill>
          </w14:textFill>
        </w:rPr>
        <w:t>五</w:t>
      </w:r>
      <w:r>
        <w:rPr>
          <w:rFonts w:hint="eastAsia" w:ascii="仿宋_GB2312" w:hAnsi="仿宋_GB2312" w:eastAsia="仿宋_GB2312"/>
          <w:color w:val="000000" w:themeColor="text1"/>
          <w:sz w:val="32"/>
          <w:szCs w:val="32"/>
          <w:lang w:eastAsia="zh-CN"/>
          <w14:textFill>
            <w14:solidFill>
              <w14:schemeClr w14:val="tx1"/>
            </w14:solidFill>
          </w14:textFill>
        </w:rPr>
        <w:t>）</w:t>
      </w:r>
      <w:r>
        <w:rPr>
          <w:rFonts w:ascii="仿宋_GB2312" w:hAnsi="仿宋_GB2312" w:eastAsia="仿宋_GB2312"/>
          <w:color w:val="000000" w:themeColor="text1"/>
          <w:sz w:val="32"/>
          <w:szCs w:val="32"/>
          <w14:textFill>
            <w14:solidFill>
              <w14:schemeClr w14:val="tx1"/>
            </w14:solidFill>
          </w14:textFill>
        </w:rPr>
        <w:t>卫生健康（类）行政事业单位医疗（款）事业单位医疗（项）：指事业单位用于单位应缴纳基本医疗保险支出。</w:t>
      </w:r>
    </w:p>
    <w:p w14:paraId="55D2CDE1">
      <w:pPr>
        <w:pStyle w:val="8"/>
        <w:keepNext w:val="0"/>
        <w:keepLines w:val="0"/>
        <w:pageBreakBefore w:val="0"/>
        <w:widowControl w:val="0"/>
        <w:kinsoku/>
        <w:wordWrap/>
        <w:overflowPunct/>
        <w:topLinePunct w:val="0"/>
        <w:autoSpaceDE w:val="0"/>
        <w:autoSpaceDN/>
        <w:bidi w:val="0"/>
        <w:adjustRightInd/>
        <w:snapToGrid/>
        <w:spacing w:line="576" w:lineRule="exact"/>
        <w:ind w:firstLine="620"/>
        <w:jc w:val="both"/>
        <w:textAlignment w:val="auto"/>
        <w:rPr>
          <w:rFonts w:ascii="Times New Roman" w:hAnsi="Times New Roman"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lang w:eastAsia="zh-CN"/>
          <w14:textFill>
            <w14:solidFill>
              <w14:schemeClr w14:val="tx1"/>
            </w14:solidFill>
          </w14:textFill>
        </w:rPr>
        <w:t>（</w:t>
      </w:r>
      <w:r>
        <w:rPr>
          <w:rFonts w:hint="eastAsia" w:ascii="仿宋_GB2312" w:hAnsi="仿宋_GB2312" w:eastAsia="仿宋_GB2312"/>
          <w:color w:val="000000" w:themeColor="text1"/>
          <w:sz w:val="32"/>
          <w:szCs w:val="32"/>
          <w:lang w:val="en-US" w:eastAsia="zh-CN"/>
          <w14:textFill>
            <w14:solidFill>
              <w14:schemeClr w14:val="tx1"/>
            </w14:solidFill>
          </w14:textFill>
        </w:rPr>
        <w:t>六</w:t>
      </w:r>
      <w:r>
        <w:rPr>
          <w:rFonts w:hint="eastAsia" w:ascii="仿宋_GB2312" w:hAnsi="仿宋_GB2312" w:eastAsia="仿宋_GB2312"/>
          <w:color w:val="000000" w:themeColor="text1"/>
          <w:sz w:val="32"/>
          <w:szCs w:val="32"/>
          <w:lang w:eastAsia="zh-CN"/>
          <w14:textFill>
            <w14:solidFill>
              <w14:schemeClr w14:val="tx1"/>
            </w14:solidFill>
          </w14:textFill>
        </w:rPr>
        <w:t>）</w:t>
      </w:r>
      <w:r>
        <w:rPr>
          <w:rFonts w:ascii="仿宋_GB2312" w:hAnsi="仿宋_GB2312" w:eastAsia="仿宋_GB2312"/>
          <w:color w:val="000000" w:themeColor="text1"/>
          <w:sz w:val="32"/>
          <w:szCs w:val="32"/>
          <w14:textFill>
            <w14:solidFill>
              <w14:schemeClr w14:val="tx1"/>
            </w14:solidFill>
          </w14:textFill>
        </w:rPr>
        <w:t>卫生健康（类）行政事业单位医疗（款）其他社会保障和就业支出（项）：指机关及参公管理事业单位用于集中缴纳公务员其他社会保障和就业支出</w:t>
      </w:r>
      <w:r>
        <w:rPr>
          <w:rFonts w:hint="eastAsia" w:ascii="宋体" w:hAnsi="宋体" w:cs="宋体"/>
          <w:color w:val="000000" w:themeColor="text1"/>
          <w:sz w:val="32"/>
          <w:szCs w:val="32"/>
          <w14:textFill>
            <w14:solidFill>
              <w14:schemeClr w14:val="tx1"/>
            </w14:solidFill>
          </w14:textFill>
        </w:rPr>
        <w:t>。</w:t>
      </w:r>
    </w:p>
    <w:p w14:paraId="02CD1B87">
      <w:pPr>
        <w:pStyle w:val="8"/>
        <w:keepNext w:val="0"/>
        <w:keepLines w:val="0"/>
        <w:pageBreakBefore w:val="0"/>
        <w:widowControl w:val="0"/>
        <w:kinsoku/>
        <w:wordWrap/>
        <w:overflowPunct/>
        <w:topLinePunct w:val="0"/>
        <w:autoSpaceDE w:val="0"/>
        <w:autoSpaceDN/>
        <w:bidi w:val="0"/>
        <w:adjustRightInd/>
        <w:snapToGrid/>
        <w:spacing w:line="576" w:lineRule="exact"/>
        <w:ind w:firstLine="640" w:firstLineChars="200"/>
        <w:jc w:val="both"/>
        <w:textAlignment w:val="auto"/>
        <w:rPr>
          <w:rFonts w:hint="eastAsia" w:ascii="仿宋_GB2312" w:hAnsi="仿宋_GB2312" w:eastAsia="仿宋_GB2312"/>
          <w:color w:val="000000" w:themeColor="text1"/>
          <w:sz w:val="32"/>
          <w:szCs w:val="32"/>
          <w:lang w:eastAsia="zh-CN"/>
          <w14:textFill>
            <w14:solidFill>
              <w14:schemeClr w14:val="tx1"/>
            </w14:solidFill>
          </w14:textFill>
        </w:rPr>
      </w:pPr>
      <w:r>
        <w:rPr>
          <w:rFonts w:hint="eastAsia" w:ascii="仿宋_GB2312" w:hAnsi="仿宋_GB2312" w:eastAsia="仿宋_GB2312"/>
          <w:color w:val="000000" w:themeColor="text1"/>
          <w:sz w:val="32"/>
          <w:szCs w:val="32"/>
          <w:lang w:eastAsia="zh-CN"/>
          <w14:textFill>
            <w14:solidFill>
              <w14:schemeClr w14:val="tx1"/>
            </w14:solidFill>
          </w14:textFill>
        </w:rPr>
        <w:t>（</w:t>
      </w:r>
      <w:r>
        <w:rPr>
          <w:rFonts w:hint="eastAsia" w:ascii="仿宋_GB2312" w:hAnsi="仿宋_GB2312" w:eastAsia="仿宋_GB2312"/>
          <w:color w:val="000000" w:themeColor="text1"/>
          <w:sz w:val="32"/>
          <w:szCs w:val="32"/>
          <w:lang w:val="en-US" w:eastAsia="zh-CN"/>
          <w14:textFill>
            <w14:solidFill>
              <w14:schemeClr w14:val="tx1"/>
            </w14:solidFill>
          </w14:textFill>
        </w:rPr>
        <w:t>七</w:t>
      </w:r>
      <w:r>
        <w:rPr>
          <w:rFonts w:hint="eastAsia" w:ascii="仿宋_GB2312" w:hAnsi="仿宋_GB2312" w:eastAsia="仿宋_GB2312"/>
          <w:color w:val="000000" w:themeColor="text1"/>
          <w:sz w:val="32"/>
          <w:szCs w:val="32"/>
          <w:lang w:eastAsia="zh-CN"/>
          <w14:textFill>
            <w14:solidFill>
              <w14:schemeClr w14:val="tx1"/>
            </w14:solidFill>
          </w14:textFill>
        </w:rPr>
        <w:t>）</w:t>
      </w:r>
      <w:r>
        <w:rPr>
          <w:rFonts w:ascii="仿宋_GB2312" w:hAnsi="仿宋_GB2312" w:eastAsia="仿宋_GB2312"/>
          <w:color w:val="000000" w:themeColor="text1"/>
          <w:sz w:val="32"/>
          <w:szCs w:val="32"/>
          <w14:textFill>
            <w14:solidFill>
              <w14:schemeClr w14:val="tx1"/>
            </w14:solidFill>
          </w14:textFill>
        </w:rPr>
        <w:t>住房保障（类）住房改革支出（款）住房公积金（项）：指按照《住房公积金管理条例》的规定，由单位及其在职职工缴存的长期住房储金。</w:t>
      </w:r>
    </w:p>
    <w:p w14:paraId="10CC9599">
      <w:pPr>
        <w:pStyle w:val="8"/>
        <w:keepNext w:val="0"/>
        <w:keepLines w:val="0"/>
        <w:pageBreakBefore w:val="0"/>
        <w:widowControl w:val="0"/>
        <w:kinsoku/>
        <w:wordWrap/>
        <w:overflowPunct/>
        <w:topLinePunct w:val="0"/>
        <w:autoSpaceDE w:val="0"/>
        <w:autoSpaceDN/>
        <w:bidi w:val="0"/>
        <w:adjustRightInd/>
        <w:snapToGrid/>
        <w:spacing w:line="576" w:lineRule="exact"/>
        <w:ind w:firstLine="640" w:firstLineChars="200"/>
        <w:jc w:val="both"/>
        <w:textAlignment w:val="auto"/>
        <w:rPr>
          <w:rFonts w:hint="eastAsia" w:ascii="仿宋_GB2312" w:hAnsi="仿宋_GB2312" w:eastAsia="仿宋_GB2312"/>
          <w:color w:val="000000" w:themeColor="text1"/>
          <w:sz w:val="32"/>
          <w:szCs w:val="32"/>
          <w:lang w:eastAsia="zh-CN"/>
          <w14:textFill>
            <w14:solidFill>
              <w14:schemeClr w14:val="tx1"/>
            </w14:solidFill>
          </w14:textFill>
        </w:rPr>
      </w:pPr>
      <w:r>
        <w:rPr>
          <w:rFonts w:hint="eastAsia" w:ascii="仿宋_GB2312" w:hAnsi="仿宋_GB2312" w:eastAsia="仿宋_GB2312"/>
          <w:color w:val="000000" w:themeColor="text1"/>
          <w:sz w:val="32"/>
          <w:szCs w:val="32"/>
          <w:lang w:eastAsia="zh-CN"/>
          <w14:textFill>
            <w14:solidFill>
              <w14:schemeClr w14:val="tx1"/>
            </w14:solidFill>
          </w14:textFill>
        </w:rPr>
        <w:t>（</w:t>
      </w:r>
      <w:r>
        <w:rPr>
          <w:rFonts w:hint="eastAsia" w:ascii="仿宋_GB2312" w:hAnsi="仿宋_GB2312" w:eastAsia="仿宋_GB2312"/>
          <w:color w:val="000000" w:themeColor="text1"/>
          <w:sz w:val="32"/>
          <w:szCs w:val="32"/>
          <w:lang w:val="en-US" w:eastAsia="zh-CN"/>
          <w14:textFill>
            <w14:solidFill>
              <w14:schemeClr w14:val="tx1"/>
            </w14:solidFill>
          </w14:textFill>
        </w:rPr>
        <w:t>八</w:t>
      </w:r>
      <w:r>
        <w:rPr>
          <w:rFonts w:hint="eastAsia" w:ascii="仿宋_GB2312" w:hAnsi="仿宋_GB2312" w:eastAsia="仿宋_GB2312"/>
          <w:color w:val="000000" w:themeColor="text1"/>
          <w:sz w:val="32"/>
          <w:szCs w:val="32"/>
          <w:lang w:eastAsia="zh-CN"/>
          <w14:textFill>
            <w14:solidFill>
              <w14:schemeClr w14:val="tx1"/>
            </w14:solidFill>
          </w14:textFill>
        </w:rPr>
        <w:t>）</w:t>
      </w:r>
      <w:r>
        <w:rPr>
          <w:rFonts w:ascii="仿宋_GB2312" w:hAnsi="仿宋_GB2312" w:eastAsia="仿宋_GB2312"/>
          <w:color w:val="000000" w:themeColor="text1"/>
          <w:sz w:val="32"/>
          <w:szCs w:val="32"/>
          <w14:textFill>
            <w14:solidFill>
              <w14:schemeClr w14:val="tx1"/>
            </w14:solidFill>
          </w14:textFill>
        </w:rPr>
        <w:t>基本支出：指为保证机构正常运转，完成日常工作任务而发生的人员支出和公用支出。</w:t>
      </w:r>
    </w:p>
    <w:p w14:paraId="6074B024">
      <w:pPr>
        <w:pStyle w:val="8"/>
        <w:keepNext w:val="0"/>
        <w:keepLines w:val="0"/>
        <w:pageBreakBefore w:val="0"/>
        <w:widowControl w:val="0"/>
        <w:kinsoku/>
        <w:wordWrap/>
        <w:overflowPunct/>
        <w:topLinePunct w:val="0"/>
        <w:autoSpaceDE w:val="0"/>
        <w:autoSpaceDN/>
        <w:bidi w:val="0"/>
        <w:adjustRightInd/>
        <w:snapToGrid/>
        <w:spacing w:line="576" w:lineRule="exact"/>
        <w:ind w:firstLine="640" w:firstLineChars="200"/>
        <w:jc w:val="both"/>
        <w:textAlignment w:val="auto"/>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lang w:eastAsia="zh-CN"/>
          <w14:textFill>
            <w14:solidFill>
              <w14:schemeClr w14:val="tx1"/>
            </w14:solidFill>
          </w14:textFill>
        </w:rPr>
        <w:t>（</w:t>
      </w:r>
      <w:r>
        <w:rPr>
          <w:rFonts w:hint="eastAsia" w:ascii="仿宋_GB2312" w:hAnsi="仿宋_GB2312" w:eastAsia="仿宋_GB2312"/>
          <w:color w:val="000000" w:themeColor="text1"/>
          <w:sz w:val="32"/>
          <w:szCs w:val="32"/>
          <w:lang w:val="en-US" w:eastAsia="zh-CN"/>
          <w14:textFill>
            <w14:solidFill>
              <w14:schemeClr w14:val="tx1"/>
            </w14:solidFill>
          </w14:textFill>
        </w:rPr>
        <w:t>九</w:t>
      </w:r>
      <w:r>
        <w:rPr>
          <w:rFonts w:hint="eastAsia" w:ascii="仿宋_GB2312" w:hAnsi="仿宋_GB2312" w:eastAsia="仿宋_GB2312"/>
          <w:color w:val="000000" w:themeColor="text1"/>
          <w:sz w:val="32"/>
          <w:szCs w:val="32"/>
          <w:lang w:eastAsia="zh-CN"/>
          <w14:textFill>
            <w14:solidFill>
              <w14:schemeClr w14:val="tx1"/>
            </w14:solidFill>
          </w14:textFill>
        </w:rPr>
        <w:t>）</w:t>
      </w:r>
      <w:r>
        <w:rPr>
          <w:rFonts w:ascii="仿宋_GB2312" w:hAnsi="仿宋_GB2312" w:eastAsia="仿宋_GB2312"/>
          <w:color w:val="000000" w:themeColor="text1"/>
          <w:sz w:val="32"/>
          <w:szCs w:val="32"/>
          <w14:textFill>
            <w14:solidFill>
              <w14:schemeClr w14:val="tx1"/>
            </w14:solidFill>
          </w14:textFill>
        </w:rPr>
        <w:t>机关运行经费：是指各部门的公用经费，包括办公及印刷费、邮电费、差旅费、会议费、福利费、日常维修费、一般设备购置费等</w:t>
      </w:r>
      <w:r>
        <w:rPr>
          <w:rFonts w:hint="eastAsia" w:ascii="仿宋_GB2312" w:hAnsi="仿宋_GB2312" w:eastAsia="仿宋_GB2312"/>
          <w:color w:val="000000" w:themeColor="text1"/>
          <w:sz w:val="32"/>
          <w:szCs w:val="32"/>
          <w14:textFill>
            <w14:solidFill>
              <w14:schemeClr w14:val="tx1"/>
            </w14:solidFill>
          </w14:textFill>
        </w:rPr>
        <w:t>。</w:t>
      </w:r>
    </w:p>
    <w:p w14:paraId="4099EF15">
      <w:pPr>
        <w:pStyle w:val="8"/>
        <w:keepNext w:val="0"/>
        <w:keepLines w:val="0"/>
        <w:pageBreakBefore w:val="0"/>
        <w:widowControl w:val="0"/>
        <w:kinsoku/>
        <w:wordWrap/>
        <w:overflowPunct/>
        <w:topLinePunct w:val="0"/>
        <w:autoSpaceDE w:val="0"/>
        <w:autoSpaceDN/>
        <w:bidi w:val="0"/>
        <w:adjustRightInd/>
        <w:snapToGrid/>
        <w:spacing w:line="576" w:lineRule="exact"/>
        <w:ind w:firstLine="640" w:firstLineChars="200"/>
        <w:jc w:val="both"/>
        <w:textAlignment w:val="auto"/>
        <w:rPr>
          <w:rFonts w:hint="eastAsia" w:ascii="仿宋_GB2312" w:hAnsi="仿宋_GB2312" w:eastAsia="仿宋_GB2312"/>
          <w:color w:val="000000" w:themeColor="text1"/>
          <w:sz w:val="32"/>
          <w:szCs w:val="32"/>
          <w:lang w:eastAsia="zh-CN"/>
          <w14:textFill>
            <w14:solidFill>
              <w14:schemeClr w14:val="tx1"/>
            </w14:solidFill>
          </w14:textFill>
        </w:rPr>
      </w:pPr>
      <w:r>
        <w:rPr>
          <w:rFonts w:hint="eastAsia" w:ascii="仿宋_GB2312" w:hAnsi="仿宋_GB2312" w:eastAsia="仿宋_GB2312"/>
          <w:color w:val="000000" w:themeColor="text1"/>
          <w:sz w:val="32"/>
          <w:szCs w:val="32"/>
          <w:lang w:eastAsia="zh-CN"/>
          <w14:textFill>
            <w14:solidFill>
              <w14:schemeClr w14:val="tx1"/>
            </w14:solidFill>
          </w14:textFill>
        </w:rPr>
        <w:t>（</w:t>
      </w:r>
      <w:r>
        <w:rPr>
          <w:rFonts w:hint="eastAsia" w:ascii="仿宋_GB2312" w:hAnsi="仿宋_GB2312" w:eastAsia="仿宋_GB2312"/>
          <w:color w:val="000000" w:themeColor="text1"/>
          <w:sz w:val="32"/>
          <w:szCs w:val="32"/>
          <w:lang w:val="en-US" w:eastAsia="zh-CN"/>
          <w14:textFill>
            <w14:solidFill>
              <w14:schemeClr w14:val="tx1"/>
            </w14:solidFill>
          </w14:textFill>
        </w:rPr>
        <w:t>十</w:t>
      </w:r>
      <w:r>
        <w:rPr>
          <w:rFonts w:hint="eastAsia" w:ascii="仿宋_GB2312" w:hAnsi="仿宋_GB2312" w:eastAsia="仿宋_GB2312"/>
          <w:color w:val="000000" w:themeColor="text1"/>
          <w:sz w:val="32"/>
          <w:szCs w:val="32"/>
          <w:lang w:eastAsia="zh-CN"/>
          <w14:textFill>
            <w14:solidFill>
              <w14:schemeClr w14:val="tx1"/>
            </w14:solidFill>
          </w14:textFill>
        </w:rPr>
        <w:t>）</w:t>
      </w:r>
      <w:r>
        <w:rPr>
          <w:rFonts w:ascii="仿宋_GB2312" w:hAnsi="仿宋_GB2312" w:eastAsia="仿宋_GB2312"/>
          <w:color w:val="000000" w:themeColor="text1"/>
          <w:sz w:val="32"/>
          <w:szCs w:val="32"/>
          <w14:textFill>
            <w14:solidFill>
              <w14:schemeClr w14:val="tx1"/>
            </w14:solidFill>
          </w14:textFill>
        </w:rPr>
        <w:t>“三公”经费：纳入区财政预算管理的“三公“经费，是指用一般公共预算拨款安排的公务接待费、公务用车购置及运行维护费和因公出国（境）费。务接待费反映单位按规定开支的各类公务接待支出；公务用车购置及运行费反映单位公务用车车辆购置支出（含</w:t>
      </w:r>
      <w:r>
        <w:rPr>
          <w:rFonts w:hint="eastAsia" w:ascii="仿宋_GB2312" w:hAnsi="仿宋_GB2312" w:eastAsia="仿宋_GB2312"/>
          <w:color w:val="000000" w:themeColor="text1"/>
          <w:sz w:val="32"/>
          <w:szCs w:val="32"/>
          <w:lang w:eastAsia="zh-CN"/>
          <w14:textFill>
            <w14:solidFill>
              <w14:schemeClr w14:val="tx1"/>
            </w14:solidFill>
          </w14:textFill>
        </w:rPr>
        <w:t>车辆</w:t>
      </w:r>
      <w:r>
        <w:rPr>
          <w:rFonts w:ascii="仿宋_GB2312" w:hAnsi="仿宋_GB2312" w:eastAsia="仿宋_GB2312"/>
          <w:color w:val="000000" w:themeColor="text1"/>
          <w:sz w:val="32"/>
          <w:szCs w:val="32"/>
          <w14:textFill>
            <w14:solidFill>
              <w14:schemeClr w14:val="tx1"/>
            </w14:solidFill>
          </w14:textFill>
        </w:rPr>
        <w:t>购置税），及</w:t>
      </w:r>
      <w:r>
        <w:rPr>
          <w:rFonts w:hint="eastAsia" w:ascii="仿宋_GB2312" w:hAnsi="仿宋_GB2312" w:eastAsia="仿宋_GB2312"/>
          <w:color w:val="000000" w:themeColor="text1"/>
          <w:sz w:val="32"/>
          <w:szCs w:val="32"/>
          <w:lang w:eastAsia="zh-CN"/>
          <w14:textFill>
            <w14:solidFill>
              <w14:schemeClr w14:val="tx1"/>
            </w14:solidFill>
          </w14:textFill>
        </w:rPr>
        <w:t>租用费、</w:t>
      </w:r>
      <w:r>
        <w:rPr>
          <w:rFonts w:ascii="仿宋_GB2312" w:hAnsi="仿宋_GB2312" w:eastAsia="仿宋_GB2312"/>
          <w:color w:val="000000" w:themeColor="text1"/>
          <w:sz w:val="32"/>
          <w:szCs w:val="32"/>
          <w14:textFill>
            <w14:solidFill>
              <w14:schemeClr w14:val="tx1"/>
            </w14:solidFill>
          </w14:textFill>
        </w:rPr>
        <w:t>燃料费、维修费、</w:t>
      </w:r>
      <w:r>
        <w:rPr>
          <w:rFonts w:hint="eastAsia" w:ascii="仿宋_GB2312" w:hAnsi="仿宋_GB2312" w:eastAsia="仿宋_GB2312"/>
          <w:color w:val="000000" w:themeColor="text1"/>
          <w:sz w:val="32"/>
          <w:szCs w:val="32"/>
          <w:lang w:eastAsia="zh-CN"/>
          <w14:textFill>
            <w14:solidFill>
              <w14:schemeClr w14:val="tx1"/>
            </w14:solidFill>
          </w14:textFill>
        </w:rPr>
        <w:t>过路过桥费、</w:t>
      </w:r>
      <w:r>
        <w:rPr>
          <w:rFonts w:ascii="仿宋_GB2312" w:hAnsi="仿宋_GB2312" w:eastAsia="仿宋_GB2312"/>
          <w:color w:val="000000" w:themeColor="text1"/>
          <w:sz w:val="32"/>
          <w:szCs w:val="32"/>
          <w14:textFill>
            <w14:solidFill>
              <w14:schemeClr w14:val="tx1"/>
            </w14:solidFill>
          </w14:textFill>
        </w:rPr>
        <w:t>保险费等支出；</w:t>
      </w:r>
      <w:r>
        <w:rPr>
          <w:rFonts w:hint="eastAsia" w:ascii="仿宋_GB2312" w:hAnsi="仿宋_GB2312" w:eastAsia="仿宋_GB2312"/>
          <w:color w:val="000000" w:themeColor="text1"/>
          <w:sz w:val="32"/>
          <w:szCs w:val="32"/>
          <w:lang w:eastAsia="zh-CN"/>
          <w14:textFill>
            <w14:solidFill>
              <w14:schemeClr w14:val="tx1"/>
            </w14:solidFill>
          </w14:textFill>
        </w:rPr>
        <w:t>公务接待费反映单位按规定开支的各类公务接待（含外宾接待）支出。</w:t>
      </w:r>
    </w:p>
    <w:p w14:paraId="25E46B14">
      <w:pPr>
        <w:pStyle w:val="8"/>
        <w:keepNext w:val="0"/>
        <w:keepLines w:val="0"/>
        <w:pageBreakBefore w:val="0"/>
        <w:widowControl w:val="0"/>
        <w:kinsoku/>
        <w:wordWrap/>
        <w:overflowPunct/>
        <w:topLinePunct w:val="0"/>
        <w:autoSpaceDE w:val="0"/>
        <w:autoSpaceDN/>
        <w:bidi w:val="0"/>
        <w:adjustRightInd/>
        <w:snapToGrid/>
        <w:spacing w:line="576" w:lineRule="exact"/>
        <w:ind w:firstLine="640" w:firstLineChars="200"/>
        <w:jc w:val="both"/>
        <w:textAlignment w:val="auto"/>
        <w:rPr>
          <w:rFonts w:hint="eastAsia" w:ascii="仿宋_GB2312" w:hAnsi="仿宋_GB2312" w:eastAsia="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olor w:val="000000" w:themeColor="text1"/>
          <w:sz w:val="32"/>
          <w:szCs w:val="32"/>
          <w:lang w:eastAsia="zh-CN"/>
          <w14:textFill>
            <w14:solidFill>
              <w14:schemeClr w14:val="tx1"/>
            </w14:solidFill>
          </w14:textFill>
        </w:rPr>
        <w:t>（</w:t>
      </w:r>
      <w:r>
        <w:rPr>
          <w:rFonts w:hint="eastAsia" w:ascii="仿宋_GB2312" w:hAnsi="仿宋_GB2312" w:eastAsia="仿宋_GB2312"/>
          <w:color w:val="000000" w:themeColor="text1"/>
          <w:sz w:val="32"/>
          <w:szCs w:val="32"/>
          <w:lang w:val="en-US" w:eastAsia="zh-CN"/>
          <w14:textFill>
            <w14:solidFill>
              <w14:schemeClr w14:val="tx1"/>
            </w14:solidFill>
          </w14:textFill>
        </w:rPr>
        <w:t>十一</w:t>
      </w:r>
      <w:r>
        <w:rPr>
          <w:rFonts w:hint="eastAsia" w:ascii="仿宋_GB2312" w:hAnsi="仿宋_GB2312" w:eastAsia="仿宋_GB2312"/>
          <w:color w:val="000000" w:themeColor="text1"/>
          <w:sz w:val="32"/>
          <w:szCs w:val="32"/>
          <w:lang w:eastAsia="zh-CN"/>
          <w14:textFill>
            <w14:solidFill>
              <w14:schemeClr w14:val="tx1"/>
            </w14:solidFill>
          </w14:textFill>
        </w:rPr>
        <w:t>）</w:t>
      </w:r>
      <w:r>
        <w:rPr>
          <w:rFonts w:hint="eastAsia" w:ascii="仿宋_GB2312" w:hAnsi="仿宋_GB2312" w:eastAsia="仿宋_GB2312"/>
          <w:color w:val="000000" w:themeColor="text1"/>
          <w:sz w:val="32"/>
          <w:szCs w:val="32"/>
          <w:lang w:val="en-US" w:eastAsia="zh-CN"/>
          <w14:textFill>
            <w14:solidFill>
              <w14:schemeClr w14:val="tx1"/>
            </w14:solidFill>
          </w14:textFill>
        </w:rPr>
        <w:t>机关运行经费：为保障行政单位（包括参照公务员法管理的事业单位）运行用于购买货物和服务的各项资金，包括办公及印刷费、邮电费、差旅费、会议费、培训费、日常维修费、专用材料及一般设备购置费、办公用房水电费、办公用房物业管理费、公务用车运行维护费以及其他费用。</w:t>
      </w:r>
    </w:p>
    <w:p w14:paraId="5D0C4E59">
      <w:pPr>
        <w:pStyle w:val="8"/>
        <w:keepNext w:val="0"/>
        <w:keepLines w:val="0"/>
        <w:pageBreakBefore w:val="0"/>
        <w:widowControl w:val="0"/>
        <w:kinsoku/>
        <w:wordWrap/>
        <w:overflowPunct/>
        <w:topLinePunct w:val="0"/>
        <w:autoSpaceDE w:val="0"/>
        <w:autoSpaceDN/>
        <w:bidi w:val="0"/>
        <w:adjustRightInd/>
        <w:snapToGrid/>
        <w:spacing w:line="576" w:lineRule="exact"/>
        <w:ind w:firstLine="640" w:firstLineChars="200"/>
        <w:jc w:val="both"/>
        <w:textAlignment w:val="auto"/>
        <w:rPr>
          <w:rFonts w:hint="eastAsia" w:ascii="仿宋_GB2312" w:hAnsi="仿宋_GB2312" w:eastAsia="仿宋_GB2312"/>
          <w:color w:val="000000" w:themeColor="text1"/>
          <w:sz w:val="32"/>
          <w:szCs w:val="32"/>
          <w:lang w:val="en-US" w:eastAsia="zh-CN"/>
          <w14:textFill>
            <w14:solidFill>
              <w14:schemeClr w14:val="tx1"/>
            </w14:solidFill>
          </w14:textFill>
        </w:rPr>
      </w:pPr>
      <w:bookmarkStart w:id="27" w:name="_GoBack"/>
      <w:bookmarkEnd w:id="27"/>
    </w:p>
    <w:p w14:paraId="65363E6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附件：1.部门预算公开表</w:t>
      </w:r>
    </w:p>
    <w:p w14:paraId="115DF829">
      <w:pPr>
        <w:keepNext w:val="0"/>
        <w:keepLines w:val="0"/>
        <w:pageBreakBefore w:val="0"/>
        <w:widowControl w:val="0"/>
        <w:numPr>
          <w:numId w:val="0"/>
        </w:numPr>
        <w:kinsoku/>
        <w:wordWrap/>
        <w:overflowPunct/>
        <w:topLinePunct w:val="0"/>
        <w:autoSpaceDE/>
        <w:autoSpaceDN/>
        <w:bidi w:val="0"/>
        <w:adjustRightInd/>
        <w:snapToGrid/>
        <w:spacing w:line="576" w:lineRule="exact"/>
        <w:ind w:left="1600" w:lef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2.项目支出绩效目标表</w:t>
      </w:r>
    </w:p>
    <w:p w14:paraId="16E24E62">
      <w:pPr>
        <w:keepNext w:val="0"/>
        <w:keepLines w:val="0"/>
        <w:pageBreakBefore w:val="0"/>
        <w:widowControl w:val="0"/>
        <w:numPr>
          <w:numId w:val="0"/>
        </w:numPr>
        <w:kinsoku/>
        <w:wordWrap/>
        <w:overflowPunct/>
        <w:topLinePunct w:val="0"/>
        <w:autoSpaceDE/>
        <w:autoSpaceDN/>
        <w:bidi w:val="0"/>
        <w:adjustRightInd/>
        <w:snapToGrid/>
        <w:spacing w:line="576" w:lineRule="exact"/>
        <w:ind w:left="1600" w:leftChars="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3.部门整体支出绩效目标表</w:t>
      </w:r>
    </w:p>
    <w:p w14:paraId="57461B05">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eastAsia="zh-CN"/>
        </w:rPr>
      </w:pPr>
    </w:p>
    <w:p w14:paraId="7F7B15E3">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eastAsia="zh-CN"/>
        </w:rPr>
      </w:pPr>
    </w:p>
    <w:sectPr>
      <w:footerReference r:id="rId4" w:type="default"/>
      <w:pgSz w:w="11906" w:h="16838"/>
      <w:pgMar w:top="2098" w:right="1474" w:bottom="1984" w:left="1587" w:header="720" w:footer="1559"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iberation Sans">
    <w:altName w:val="Vijaya"/>
    <w:panose1 w:val="020B0604020202020204"/>
    <w:charset w:val="00"/>
    <w:family w:val="swiss"/>
    <w:pitch w:val="default"/>
    <w:sig w:usb0="00000000" w:usb1="00000000" w:usb2="00000000" w:usb3="00000000" w:csb0="6000009F" w:csb1="DFD70000"/>
  </w:font>
  <w:font w:name="Vijaya">
    <w:panose1 w:val="020B0604020202020204"/>
    <w:charset w:val="00"/>
    <w:family w:val="auto"/>
    <w:pitch w:val="default"/>
    <w:sig w:usb0="00100003" w:usb1="00000000" w:usb2="00000000" w:usb3="00000000" w:csb0="00000001" w:csb1="00000000"/>
  </w:font>
  <w:font w:name="Noto Sans CJK SC Regular">
    <w:altName w:val="宋体"/>
    <w:panose1 w:val="020B0500000000000000"/>
    <w:charset w:val="86"/>
    <w:family w:val="auto"/>
    <w:pitch w:val="default"/>
    <w:sig w:usb0="00000000" w:usb1="00000000" w:usb2="00000016" w:usb3="00000000" w:csb0="602E0107"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31E3E">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0FBF4">
    <w:pPr>
      <w:pStyle w:val="5"/>
    </w:pPr>
  </w:p>
  <w:p w14:paraId="7D7CBF6D">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2" name="文本框 5"/>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376FD062">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anchor="t" upright="0">
                      <a:spAutoFit/>
                    </wps:bodyPr>
                  </wps:wsp>
                </a:graphicData>
              </a:graphic>
            </wp:anchor>
          </w:drawing>
        </mc:Choice>
        <mc:Fallback>
          <w:pict>
            <v:rect id="文本框 5"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uXW5UtAAAAAFAQAADwAAAAAAAAABACAAAAAiAAAAZHJzL2Rvd25yZXYueG1sUEsB&#10;AhQAFAAAAAgAh07iQGvRrUn9AQAA/wMAAA4AAAAAAAAAAQAgAAAAHwEAAGRycy9lMm9Eb2MueG1s&#10;UEsFBgAAAAAGAAYAWQEAAI4FAAAAAA==&#10;">
              <v:fill on="f" focussize="0,0"/>
              <v:stroke on="f"/>
              <v:imagedata o:title=""/>
              <o:lock v:ext="edit" aspectratio="f"/>
              <v:textbox inset="0mm,0mm,0mm,0mm" style="mso-fit-shape-to-text:t;">
                <w:txbxContent>
                  <w:p w14:paraId="376FD062">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BA8125"/>
    <w:multiLevelType w:val="singleLevel"/>
    <w:tmpl w:val="31BA812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1"/>
  <w:displayVerticalDrawingGridEvery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wYmQ3N2FhZmE1Yjg0OGFkNTU5NTg3M2QzNjJlMDgifQ=="/>
  </w:docVars>
  <w:rsids>
    <w:rsidRoot w:val="00000000"/>
    <w:rsid w:val="00031537"/>
    <w:rsid w:val="012352D1"/>
    <w:rsid w:val="04A15693"/>
    <w:rsid w:val="04B769D7"/>
    <w:rsid w:val="09EA6080"/>
    <w:rsid w:val="0AC215FD"/>
    <w:rsid w:val="0B5C0D2B"/>
    <w:rsid w:val="14C47677"/>
    <w:rsid w:val="1E197963"/>
    <w:rsid w:val="1F7BF06F"/>
    <w:rsid w:val="1FEE4B73"/>
    <w:rsid w:val="212C091B"/>
    <w:rsid w:val="21BD0110"/>
    <w:rsid w:val="21C11050"/>
    <w:rsid w:val="23CE9849"/>
    <w:rsid w:val="23EA060A"/>
    <w:rsid w:val="26763ED2"/>
    <w:rsid w:val="2FB86C08"/>
    <w:rsid w:val="2FDE015F"/>
    <w:rsid w:val="314C327A"/>
    <w:rsid w:val="32BF4A56"/>
    <w:rsid w:val="347B3A3F"/>
    <w:rsid w:val="35710A2A"/>
    <w:rsid w:val="368D0E6A"/>
    <w:rsid w:val="39F304DD"/>
    <w:rsid w:val="39FA1169"/>
    <w:rsid w:val="3C757B8C"/>
    <w:rsid w:val="3CF947C0"/>
    <w:rsid w:val="3DDB38EC"/>
    <w:rsid w:val="41604069"/>
    <w:rsid w:val="45237196"/>
    <w:rsid w:val="4AAE529A"/>
    <w:rsid w:val="4B2D4F9B"/>
    <w:rsid w:val="4B745D1B"/>
    <w:rsid w:val="50E533B8"/>
    <w:rsid w:val="52C74B96"/>
    <w:rsid w:val="54244390"/>
    <w:rsid w:val="54662A63"/>
    <w:rsid w:val="569A46AD"/>
    <w:rsid w:val="56D86E01"/>
    <w:rsid w:val="579A05DF"/>
    <w:rsid w:val="58064E12"/>
    <w:rsid w:val="5BFEE015"/>
    <w:rsid w:val="5DFD5D8C"/>
    <w:rsid w:val="60792333"/>
    <w:rsid w:val="634E5D0D"/>
    <w:rsid w:val="63EDCF55"/>
    <w:rsid w:val="63FBFBCF"/>
    <w:rsid w:val="669360FD"/>
    <w:rsid w:val="68FF6A83"/>
    <w:rsid w:val="6D3E5CF7"/>
    <w:rsid w:val="6FBBC9CF"/>
    <w:rsid w:val="72BDE561"/>
    <w:rsid w:val="72C15369"/>
    <w:rsid w:val="78462278"/>
    <w:rsid w:val="78CC398B"/>
    <w:rsid w:val="7997EA6C"/>
    <w:rsid w:val="7AAA0E55"/>
    <w:rsid w:val="7AEAE675"/>
    <w:rsid w:val="7BAFCE5D"/>
    <w:rsid w:val="7C262C5D"/>
    <w:rsid w:val="7C523723"/>
    <w:rsid w:val="7D46598C"/>
    <w:rsid w:val="7DFB240B"/>
    <w:rsid w:val="7E0935ED"/>
    <w:rsid w:val="7E7C63DB"/>
    <w:rsid w:val="7FCF2AF7"/>
    <w:rsid w:val="9FEF033D"/>
    <w:rsid w:val="A27FF1E5"/>
    <w:rsid w:val="AFDEB5A7"/>
    <w:rsid w:val="AFEA7FBF"/>
    <w:rsid w:val="B83F4767"/>
    <w:rsid w:val="BF930F07"/>
    <w:rsid w:val="BFCE8436"/>
    <w:rsid w:val="C3F7EB7A"/>
    <w:rsid w:val="CFF5FEEC"/>
    <w:rsid w:val="D3DD9064"/>
    <w:rsid w:val="D6F76A0C"/>
    <w:rsid w:val="D7ECE8D2"/>
    <w:rsid w:val="DFDD4FB5"/>
    <w:rsid w:val="E7F748B5"/>
    <w:rsid w:val="EE5F3713"/>
    <w:rsid w:val="EFC9D62C"/>
    <w:rsid w:val="F6BE9755"/>
    <w:rsid w:val="F6FFA89B"/>
    <w:rsid w:val="FAE4EFE1"/>
    <w:rsid w:val="FB9B6F12"/>
    <w:rsid w:val="FBB66A4A"/>
    <w:rsid w:val="FDEE6989"/>
    <w:rsid w:val="FF5E7DB8"/>
    <w:rsid w:val="FF77E367"/>
    <w:rsid w:val="FFD576EB"/>
    <w:rsid w:val="FFFBE8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0">
    <w:name w:val="Default Paragraph Font"/>
    <w:autoRedefine/>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table of figures"/>
    <w:basedOn w:val="1"/>
    <w:next w:val="1"/>
    <w:qFormat/>
    <w:uiPriority w:val="0"/>
    <w:pPr>
      <w:ind w:left="200" w:leftChars="200" w:hanging="200" w:hangingChars="200"/>
    </w:pPr>
  </w:style>
  <w:style w:type="paragraph" w:styleId="3">
    <w:name w:val="caption"/>
    <w:basedOn w:val="1"/>
    <w:autoRedefine/>
    <w:qFormat/>
    <w:uiPriority w:val="0"/>
    <w:pPr>
      <w:widowControl w:val="0"/>
      <w:suppressLineNumbers/>
      <w:suppressAutoHyphens/>
      <w:spacing w:before="120" w:after="120"/>
    </w:pPr>
    <w:rPr>
      <w:i/>
      <w:iCs/>
      <w:sz w:val="24"/>
      <w:szCs w:val="24"/>
    </w:rPr>
  </w:style>
  <w:style w:type="paragraph" w:styleId="4">
    <w:name w:val="Body Text"/>
    <w:basedOn w:val="1"/>
    <w:next w:val="1"/>
    <w:autoRedefine/>
    <w:qFormat/>
    <w:uiPriority w:val="0"/>
    <w:pPr>
      <w:spacing w:before="0" w:after="140" w:line="276" w:lineRule="auto"/>
    </w:p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List"/>
    <w:basedOn w:val="4"/>
    <w:autoRedefine/>
    <w:qFormat/>
    <w:uiPriority w:val="0"/>
  </w:style>
  <w:style w:type="paragraph" w:styleId="8">
    <w:name w:val="Normal (Web)"/>
    <w:basedOn w:val="1"/>
    <w:autoRedefine/>
    <w:qFormat/>
    <w:uiPriority w:val="0"/>
    <w:rPr>
      <w:sz w:val="24"/>
    </w:rPr>
  </w:style>
  <w:style w:type="character" w:styleId="11">
    <w:name w:val="Strong"/>
    <w:basedOn w:val="10"/>
    <w:qFormat/>
    <w:uiPriority w:val="0"/>
    <w:rPr>
      <w:b/>
    </w:rPr>
  </w:style>
  <w:style w:type="character" w:customStyle="1" w:styleId="12">
    <w:name w:val="默认段落字体1"/>
    <w:autoRedefine/>
    <w:qFormat/>
    <w:uiPriority w:val="0"/>
  </w:style>
  <w:style w:type="paragraph" w:customStyle="1" w:styleId="13">
    <w:name w:val="Heading"/>
    <w:basedOn w:val="1"/>
    <w:next w:val="4"/>
    <w:autoRedefine/>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4">
    <w:name w:val="Index"/>
    <w:basedOn w:val="1"/>
    <w:autoRedefine/>
    <w:qFormat/>
    <w:uiPriority w:val="0"/>
    <w:pPr>
      <w:widowControl w:val="0"/>
      <w:suppressLineNumbers/>
      <w:suppressAutoHyphens/>
    </w:pPr>
  </w:style>
  <w:style w:type="paragraph" w:customStyle="1" w:styleId="15">
    <w:name w:val="WPSOffice手动目录 1"/>
    <w:qFormat/>
    <w:uiPriority w:val="0"/>
    <w:pPr>
      <w:ind w:leftChars="0"/>
    </w:pPr>
    <w:rPr>
      <w:rFonts w:ascii="Times New Roman" w:hAnsi="Times New Roman" w:eastAsia="宋体" w:cs="Times New Roman"/>
      <w:sz w:val="20"/>
      <w:szCs w:val="20"/>
    </w:rPr>
  </w:style>
  <w:style w:type="paragraph" w:customStyle="1" w:styleId="16">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5714</Words>
  <Characters>6095</Characters>
  <TotalTime>2</TotalTime>
  <ScaleCrop>false</ScaleCrop>
  <LinksUpToDate>false</LinksUpToDate>
  <CharactersWithSpaces>6193</CharactersWithSpaces>
  <Application>WPS Office_12.1.0.19302_F1E327BC-269C-435d-A152-05C5408002CA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2018-11-29T09:47:00Z</dcterms:created>
  <dc:creator>admin</dc:creator>
  <cp:lastModifiedBy>Administrator</cp:lastModifiedBy>
  <cp:lastPrinted>2025-02-06T07:35:00Z</cp:lastPrinted>
  <dcterms:modified xsi:type="dcterms:W3CDTF">2025-02-11T07:37:11Z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6E2CF50ECDE047D9B2982AD21422CAA7_13</vt:lpwstr>
  </property>
  <property fmtid="{D5CDD505-2E9C-101B-9397-08002B2CF9AE}" pid="4" name="KSOTemplateDocerSaveRecord">
    <vt:lpwstr>eyJoZGlkIjoiOTdmMDA1YjlkOTNjM2JkZWJjMTYxZWM5NGI4ODM1NTIifQ==</vt:lpwstr>
  </property>
</Properties>
</file>