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1DE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rPr>
        <w:t>中共广元市昭化区委政法委员会</w:t>
      </w:r>
    </w:p>
    <w:p w14:paraId="50E434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79E65480">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15A21744">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707CC02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740261C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6807C11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73F528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15B69B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58FC2E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4F60C4D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57EED8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726A79E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50F7F94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724BC5C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56E33C8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7A2B292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ABE144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8)</w:t>
      </w:r>
    </w:p>
    <w:p w14:paraId="3E2A3C5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E6541D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p>
    <w:p w14:paraId="482B567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F25F85C">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10)</w:t>
      </w:r>
    </w:p>
    <w:p w14:paraId="69AD0E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3F1C09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45BDD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A41C5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8041E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31584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2F045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9B831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B6EF0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FEA15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CB626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3B97F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74EC1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9D3F5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29EF6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96392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F7D73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i w:val="0"/>
          <w:caps w:val="0"/>
          <w:color w:val="333333"/>
          <w:spacing w:val="0"/>
          <w:sz w:val="32"/>
          <w:szCs w:val="32"/>
          <w:shd w:val="clear" w:color="auto" w:fill="FFFFFF"/>
        </w:rPr>
      </w:pPr>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lang w:val="en-US" w:eastAsia="zh-CN"/>
        </w:rPr>
        <w:t>区委政法委</w:t>
      </w:r>
      <w:r>
        <w:rPr>
          <w:rFonts w:hint="eastAsia" w:ascii="楷体_GB2312" w:eastAsia="楷体_GB2312" w:cs="楷体_GB2312"/>
          <w:b/>
          <w:i w:val="0"/>
          <w:caps w:val="0"/>
          <w:color w:val="333333"/>
          <w:spacing w:val="0"/>
          <w:sz w:val="32"/>
          <w:szCs w:val="32"/>
          <w:shd w:val="clear" w:color="auto" w:fill="FFFFFF"/>
        </w:rPr>
        <w:t>职能简介</w:t>
      </w:r>
    </w:p>
    <w:p w14:paraId="06E16F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深入贯彻执行党的路线方针政策和决策部署，统一政法单位思想和行动，坚持党对政法工作的绝对领导，坚决维护党中央权威和集中统一领导。</w:t>
      </w:r>
    </w:p>
    <w:p w14:paraId="40BF6B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14:paraId="5ADD97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了解掌握和分析研判全区政治安全、反邪教形势动态，协调和指导政法单位、相关部门和乡镇（街道）做好政治安全、反邪教工作。</w:t>
      </w:r>
    </w:p>
    <w:p w14:paraId="2AF18E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４</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了解掌握和分析研判全区社会稳定形势，协调指导政法单位、相关部门和乡镇（街道）开展社会稳定风险评估，协调推动预防、化解影响稳定的各类风险，协调应对和完善处置重大突发事件。</w:t>
      </w:r>
    </w:p>
    <w:p w14:paraId="3B8541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14:paraId="126BD8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加强对政法工作的督查，统筹协调全区维护政治安全、社会治安综合治理、维护社会稳定、反邪教有关法律法规政策的实施工作。</w:t>
      </w:r>
    </w:p>
    <w:p w14:paraId="576BEF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14:paraId="3AA0C3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掌握分析政法舆情动态，指导协调政法单位媒体网络宣传工作，指导政法单位做好涉及政法工作的重大宣传和舆论引导工作，指导政法单位网络安全和智能化建设工作，统筹政法宣传和舆情引导工作。</w:t>
      </w:r>
    </w:p>
    <w:p w14:paraId="76774E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组织开展政法领域调查研究，研究拟定全区政法工作的政策措施，及时向区委提出建议；组织研究政法改革中带有方向性、倾向性和普遍性的重大问题，深化政法改革。</w:t>
      </w:r>
    </w:p>
    <w:p w14:paraId="4F18FF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指导推动政法系统党的建设和政法队伍建设，协助区级有关职能部门管理监督政法领导干部，代管广元市昭化区法学会。</w:t>
      </w:r>
    </w:p>
    <w:p w14:paraId="511831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4"/>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完成区委交办的其他任务。</w:t>
      </w:r>
    </w:p>
    <w:p w14:paraId="27A9DD01">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i w:val="0"/>
          <w:caps w:val="0"/>
          <w:color w:val="auto"/>
          <w:spacing w:val="0"/>
          <w:sz w:val="32"/>
          <w:szCs w:val="32"/>
          <w:shd w:val="clear" w:color="auto" w:fill="FFFFFF"/>
        </w:rPr>
      </w:pPr>
      <w:r>
        <w:rPr>
          <w:rFonts w:hint="eastAsia" w:ascii="楷体_GB2312" w:eastAsia="楷体_GB2312" w:cs="楷体_GB2312"/>
          <w:b/>
          <w:i w:val="0"/>
          <w:caps w:val="0"/>
          <w:color w:val="auto"/>
          <w:spacing w:val="0"/>
          <w:sz w:val="32"/>
          <w:szCs w:val="32"/>
          <w:shd w:val="clear" w:color="auto" w:fill="FFFFFF"/>
          <w:lang w:val="en-US" w:eastAsia="zh-CN"/>
        </w:rPr>
        <w:t>区委政法委</w:t>
      </w:r>
      <w:r>
        <w:rPr>
          <w:rFonts w:hint="eastAsia" w:ascii="楷体_GB2312" w:eastAsia="楷体_GB2312" w:cs="楷体_GB2312"/>
          <w:b/>
          <w:i w:val="0"/>
          <w:caps w:val="0"/>
          <w:color w:val="auto"/>
          <w:spacing w:val="0"/>
          <w:sz w:val="32"/>
          <w:szCs w:val="32"/>
          <w:shd w:val="clear" w:color="auto" w:fill="FFFFFF"/>
        </w:rPr>
        <w:t>20</w:t>
      </w:r>
      <w:r>
        <w:rPr>
          <w:rFonts w:hint="eastAsia" w:ascii="楷体_GB2312" w:eastAsia="楷体_GB2312" w:cs="楷体_GB2312"/>
          <w:b/>
          <w:i w:val="0"/>
          <w:caps w:val="0"/>
          <w:color w:val="auto"/>
          <w:spacing w:val="0"/>
          <w:sz w:val="32"/>
          <w:szCs w:val="32"/>
          <w:shd w:val="clear" w:color="auto" w:fill="FFFFFF"/>
          <w:lang w:val="en-US" w:eastAsia="zh-CN"/>
        </w:rPr>
        <w:t>25</w:t>
      </w:r>
      <w:r>
        <w:rPr>
          <w:rFonts w:hint="eastAsia" w:ascii="楷体_GB2312" w:eastAsia="楷体_GB2312" w:cs="楷体_GB2312"/>
          <w:b/>
          <w:i w:val="0"/>
          <w:caps w:val="0"/>
          <w:color w:val="auto"/>
          <w:spacing w:val="0"/>
          <w:sz w:val="32"/>
          <w:szCs w:val="32"/>
          <w:shd w:val="clear" w:color="auto" w:fill="FFFFFF"/>
        </w:rPr>
        <w:t>年重点工作</w:t>
      </w:r>
    </w:p>
    <w:p w14:paraId="441094F5">
      <w:pPr>
        <w:spacing w:line="576" w:lineRule="exact"/>
        <w:ind w:firstLine="643"/>
        <w:rPr>
          <w:rFonts w:hint="eastAsia" w:ascii="仿宋_GB2312" w:hAnsi="仿宋_GB2312" w:eastAsia="仿宋_GB2312" w:cs="仿宋_GB2312"/>
          <w:color w:val="000000"/>
          <w:sz w:val="32"/>
          <w:szCs w:val="32"/>
          <w:lang w:val="zh-CN" w:bidi="zh-CN"/>
        </w:rPr>
      </w:pPr>
      <w:r>
        <w:rPr>
          <w:rFonts w:hint="eastAsia" w:ascii="楷体_GB2312" w:hAnsi="楷体_GB2312" w:eastAsia="楷体_GB2312" w:cs="楷体_GB2312"/>
          <w:color w:val="000000"/>
          <w:sz w:val="32"/>
          <w:szCs w:val="32"/>
        </w:rPr>
        <w:t>（一）坚决筑牢安全稳定防线</w:t>
      </w:r>
      <w:r>
        <w:rPr>
          <w:rFonts w:hint="eastAsia" w:ascii="楷体_GB2312" w:hAnsi="楷体_GB2312" w:eastAsia="楷体_GB2312" w:cs="楷体_GB2312"/>
          <w:color w:val="000000"/>
          <w:sz w:val="32"/>
          <w:szCs w:val="32"/>
          <w:lang w:val="zh-CN"/>
        </w:rPr>
        <w:t>。</w:t>
      </w:r>
      <w:r>
        <w:rPr>
          <w:rFonts w:hint="eastAsia" w:ascii="仿宋_GB2312" w:hAnsi="仿宋_GB2312" w:eastAsia="仿宋_GB2312" w:cs="仿宋_GB2312"/>
          <w:color w:val="000000"/>
          <w:sz w:val="32"/>
          <w:szCs w:val="32"/>
          <w:lang w:val="zh-CN" w:bidi="zh-CN"/>
        </w:rPr>
        <w:t>深入贯彻落实总体国家安全观，严格落实《维护社会稳定责任制规定》，</w:t>
      </w:r>
      <w:r>
        <w:rPr>
          <w:rFonts w:hint="eastAsia" w:ascii="仿宋_GB2312" w:hAnsi="仿宋_GB2312" w:eastAsia="仿宋_GB2312" w:cs="仿宋_GB2312"/>
          <w:color w:val="000000"/>
          <w:sz w:val="32"/>
          <w:szCs w:val="32"/>
          <w:lang w:bidi="zh-CN"/>
        </w:rPr>
        <w:t>督促各镇、各部门</w:t>
      </w:r>
      <w:r>
        <w:rPr>
          <w:rFonts w:hint="eastAsia" w:ascii="仿宋_GB2312" w:hAnsi="仿宋_GB2312" w:eastAsia="仿宋_GB2312" w:cs="仿宋_GB2312"/>
          <w:color w:val="000000"/>
          <w:sz w:val="32"/>
          <w:szCs w:val="32"/>
          <w:lang w:val="zh-CN" w:bidi="zh-CN"/>
        </w:rPr>
        <w:t>扛牢政治责任，深化国家安全人民防线建设，坚决防范打击敌对势力渗透破坏活动，持续开展特殊群体、欠薪欠债、投资理财等涉民生领域问题专项整治，及时消除安全稳定风险隐患，严防极端案事件发生。</w:t>
      </w:r>
    </w:p>
    <w:p w14:paraId="3B5D3D09">
      <w:pPr>
        <w:spacing w:line="576" w:lineRule="exact"/>
        <w:ind w:firstLine="643"/>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（二）进一步深化平安建设成果。</w:t>
      </w:r>
      <w:r>
        <w:rPr>
          <w:rFonts w:hint="eastAsia" w:ascii="仿宋_GB2312" w:hAnsi="仿宋_GB2312" w:eastAsia="仿宋_GB2312" w:cs="仿宋_GB2312"/>
          <w:color w:val="000000"/>
          <w:sz w:val="32"/>
          <w:szCs w:val="32"/>
          <w:lang w:bidi="zh-CN"/>
        </w:rPr>
        <w:t>严格执行</w:t>
      </w:r>
      <w:r>
        <w:rPr>
          <w:rFonts w:hint="eastAsia" w:ascii="仿宋_GB2312" w:hAnsi="仿宋_GB2312" w:eastAsia="仿宋_GB2312" w:cs="仿宋_GB2312"/>
          <w:color w:val="000000"/>
          <w:sz w:val="32"/>
          <w:szCs w:val="32"/>
          <w:lang w:val="zh-CN" w:bidi="zh-CN"/>
        </w:rPr>
        <w:t>《健全落实社会治安综合治理领导责任制规定》，发挥好统筹协调作用，汇聚起各镇、相关部门推进平安昭化建设</w:t>
      </w:r>
      <w:bookmarkStart w:id="0" w:name="_GoBack"/>
      <w:bookmarkEnd w:id="0"/>
      <w:r>
        <w:rPr>
          <w:rFonts w:hint="eastAsia" w:ascii="仿宋_GB2312" w:hAnsi="仿宋_GB2312" w:eastAsia="仿宋_GB2312" w:cs="仿宋_GB2312"/>
          <w:color w:val="000000"/>
          <w:sz w:val="32"/>
          <w:szCs w:val="32"/>
          <w:lang w:val="zh-CN" w:bidi="zh-CN"/>
        </w:rPr>
        <w:t>的强大合力；</w:t>
      </w:r>
      <w:r>
        <w:rPr>
          <w:rFonts w:hint="eastAsia" w:ascii="仿宋_GB2312" w:hAnsi="仿宋_GB2312" w:eastAsia="仿宋_GB2312" w:cs="仿宋_GB2312"/>
          <w:color w:val="000000"/>
          <w:sz w:val="32"/>
          <w:szCs w:val="32"/>
        </w:rPr>
        <w:t>强化综治中心实体化实战化运行，一体推进矛调中心2.0升级版功能发挥，健全矛盾纠纷多元化解机制，打造“访、调、仲、诉、执”全链条定分止争平台，提升“一地办”服务质效。</w:t>
      </w:r>
    </w:p>
    <w:p w14:paraId="681BA1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（三）进一步抓实政法队伍建设</w:t>
      </w:r>
      <w:r>
        <w:rPr>
          <w:rFonts w:hint="eastAsia" w:ascii="楷体_GB2312" w:hAnsi="楷体_GB2312" w:eastAsia="楷体_GB2312" w:cs="楷体_GB2312"/>
          <w:color w:val="000000"/>
          <w:sz w:val="32"/>
          <w:szCs w:val="32"/>
          <w:lang w:val="zh-CN" w:bidi="zh-CN"/>
        </w:rPr>
        <w:t>。</w:t>
      </w:r>
      <w:r>
        <w:rPr>
          <w:rFonts w:hint="eastAsia" w:ascii="仿宋_GB2312" w:hAnsi="仿宋_GB2312" w:eastAsia="仿宋_GB2312" w:cs="仿宋_GB2312"/>
          <w:color w:val="000000"/>
          <w:sz w:val="32"/>
          <w:szCs w:val="32"/>
          <w:lang w:val="zh-CN" w:bidi="zh-CN"/>
        </w:rPr>
        <w:t>严格贯彻落实《</w:t>
      </w:r>
      <w:r>
        <w:rPr>
          <w:rFonts w:hint="eastAsia" w:ascii="仿宋_GB2312" w:hAnsi="仿宋_GB2312" w:eastAsia="仿宋_GB2312" w:cs="仿宋_GB2312"/>
          <w:color w:val="000000"/>
          <w:sz w:val="32"/>
          <w:szCs w:val="32"/>
          <w:lang w:bidi="zh-CN"/>
        </w:rPr>
        <w:t>中国共产党政法工作</w:t>
      </w:r>
      <w:r>
        <w:rPr>
          <w:rFonts w:hint="eastAsia" w:ascii="仿宋_GB2312" w:hAnsi="仿宋_GB2312" w:eastAsia="仿宋_GB2312" w:cs="仿宋_GB2312"/>
          <w:color w:val="000000"/>
          <w:sz w:val="32"/>
          <w:szCs w:val="32"/>
          <w:lang w:val="zh-CN" w:bidi="zh-CN"/>
        </w:rPr>
        <w:t>条例》</w:t>
      </w:r>
      <w:r>
        <w:rPr>
          <w:rFonts w:hint="eastAsia" w:ascii="仿宋_GB2312" w:hAnsi="仿宋_GB2312" w:eastAsia="仿宋_GB2312" w:cs="仿宋_GB2312"/>
          <w:color w:val="000000"/>
          <w:sz w:val="32"/>
          <w:szCs w:val="32"/>
          <w:lang w:bidi="zh-CN"/>
        </w:rPr>
        <w:t>和四川省实施细则</w:t>
      </w:r>
      <w:r>
        <w:rPr>
          <w:rFonts w:hint="eastAsia" w:ascii="仿宋_GB2312" w:hAnsi="仿宋_GB2312" w:eastAsia="仿宋_GB2312" w:cs="仿宋_GB2312"/>
          <w:color w:val="000000"/>
          <w:sz w:val="32"/>
          <w:szCs w:val="32"/>
          <w:lang w:val="zh-CN" w:bidi="zh-CN"/>
        </w:rPr>
        <w:t>要求，逗硬执行政治巡察、综治督导、执法监督、请示报告等制度机制，压紧压实政法单位全面从严管党治警政治责任。不断巩固拓展主题教育和党纪学习教育成果，扎实推进干警思想建设、政治建设、能力建设、作风</w:t>
      </w:r>
      <w:r>
        <w:rPr>
          <w:rFonts w:hint="eastAsia" w:ascii="仿宋_GB2312" w:hAnsi="仿宋_GB2312" w:eastAsia="仿宋_GB2312" w:cs="仿宋_GB2312"/>
          <w:color w:val="000000"/>
          <w:sz w:val="32"/>
          <w:szCs w:val="32"/>
        </w:rPr>
        <w:t>建设、廉政建设，持续强化暖警励警举措，提升队伍活力，切实以过硬能力和务实担当护航昭化经济社会高质量发展。</w:t>
      </w:r>
    </w:p>
    <w:p w14:paraId="6B56C2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0ED02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区委政法委为一级预算单位，下属二级预算单位0个</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。设有内设机构6个。</w:t>
      </w:r>
    </w:p>
    <w:p w14:paraId="6DF14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7218FEC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按照综合预算的原则，区委政法委所有收入和支出均纳入部门预算管理。收入包括：一般公共预算拨款收入；支出包括：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一般公共服务支出、社会保障和就业支出、卫生健康支出、住房保障支出。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区委政法委2025年收支总预算</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651.47</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万元比2024年收支预算总数减少602.85万元，主</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要原因是</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雪亮工程运维费用还在进行财政评审，待评审后再按财评金额预算。</w:t>
      </w:r>
    </w:p>
    <w:p w14:paraId="01E24E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（一）收入预算情况</w:t>
      </w:r>
    </w:p>
    <w:p w14:paraId="43ADAE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区委政法委2025年收入预算651.47万元，其中：</w:t>
      </w:r>
      <w:r>
        <w:rPr>
          <w:rFonts w:hint="eastAsia" w:ascii="仿宋_GB2312" w:hAnsi="仿宋_GB2312" w:eastAsia="仿宋_GB2312" w:cs="仿宋_GB2312"/>
          <w:sz w:val="32"/>
          <w:szCs w:val="32"/>
          <w:lang w:val="en-US" w:eastAsia="zh-CN"/>
        </w:rPr>
        <w:t>一般公共预算拨款收入651.47万元，占100%.</w:t>
      </w:r>
    </w:p>
    <w:p w14:paraId="135BD4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419D40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区委政法委</w:t>
      </w:r>
      <w:r>
        <w:rPr>
          <w:rFonts w:hint="eastAsia" w:ascii="仿宋_GB2312" w:hAnsi="仿宋_GB2312" w:eastAsia="仿宋_GB2312" w:cs="仿宋_GB2312"/>
          <w:sz w:val="32"/>
          <w:szCs w:val="32"/>
          <w:lang w:val="en-US" w:eastAsia="zh-CN"/>
        </w:rPr>
        <w:t>2025年支出预算651.47万元，其中：基本支出337.34万元，占51.78%；项目支出314.13万元，占48.22%</w:t>
      </w:r>
      <w:r>
        <w:rPr>
          <w:rFonts w:hint="eastAsia" w:ascii="仿宋_GB2312" w:hAnsi="仿宋_GB2312" w:eastAsia="仿宋_GB2312" w:cs="仿宋_GB2312"/>
          <w:b w:val="0"/>
          <w:bCs w:val="0"/>
          <w:sz w:val="32"/>
          <w:szCs w:val="32"/>
          <w:lang w:val="en-US" w:eastAsia="zh-CN"/>
        </w:rPr>
        <w:t>。</w:t>
      </w:r>
    </w:p>
    <w:p w14:paraId="4DB97D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2A30EA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区委政法委</w:t>
      </w:r>
      <w:r>
        <w:rPr>
          <w:rFonts w:hint="eastAsia" w:ascii="仿宋_GB2312" w:hAnsi="仿宋_GB2312" w:eastAsia="仿宋_GB2312" w:cs="仿宋_GB2312"/>
          <w:sz w:val="32"/>
          <w:szCs w:val="32"/>
          <w:lang w:val="en-US" w:eastAsia="zh-CN"/>
        </w:rPr>
        <w:t>2025年财政拨款收支预算总数651.47万元,比2024年财政拨款收支预算总数减少602.85万元，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主</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要原因是</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雪亮工程运维费用还在进行财政评审，待评审后再按财评金额预算。</w:t>
      </w:r>
    </w:p>
    <w:p w14:paraId="0CD539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收入包括：本年一般公共预算拨款收入651.47万元；支出包括：</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一般公共服务支出</w:t>
      </w:r>
      <w:r>
        <w:rPr>
          <w:rFonts w:hint="eastAsia" w:ascii="Times New Roman" w:hAnsi="Times New Roman" w:cs="Times New Roman"/>
          <w:i w:val="0"/>
          <w:caps w:val="0"/>
          <w:color w:val="auto"/>
          <w:spacing w:val="0"/>
          <w:kern w:val="0"/>
          <w:sz w:val="32"/>
          <w:szCs w:val="32"/>
          <w:shd w:val="clear" w:color="auto" w:fill="FFFFFF"/>
          <w:lang w:val="en-US" w:eastAsia="zh-CN"/>
        </w:rPr>
        <w:t>575.91</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万元、卫生健康支出11.29万元、社会保障和就业支出</w:t>
      </w:r>
      <w:r>
        <w:rPr>
          <w:rFonts w:hint="eastAsia" w:ascii="Times New Roman" w:hAnsi="Times New Roman" w:cs="Times New Roman"/>
          <w:i w:val="0"/>
          <w:caps w:val="0"/>
          <w:color w:val="auto"/>
          <w:spacing w:val="0"/>
          <w:kern w:val="0"/>
          <w:sz w:val="32"/>
          <w:szCs w:val="32"/>
          <w:shd w:val="clear" w:color="auto" w:fill="FFFFFF"/>
          <w:lang w:val="en-US" w:eastAsia="zh-CN"/>
        </w:rPr>
        <w:t>38.7</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万元、住房保障支出25.57。</w:t>
      </w:r>
    </w:p>
    <w:p w14:paraId="7F9974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70EBA3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218F38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区委政法委2025年一般公共预算当年拨款651.47万元，比2024年预算数减少602.85万元，主要原因是雪亮工程运维费用还在进行财政评审，待评审后再按财评金额预算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w:t>
      </w:r>
    </w:p>
    <w:p w14:paraId="24C411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31D42A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一般公共服务支出575.91万元，占88.4%；</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卫生健康支出11.29万元</w:t>
      </w:r>
      <w:r>
        <w:rPr>
          <w:rFonts w:hint="eastAsia" w:ascii="仿宋_GB2312" w:hAnsi="Times New Roman" w:eastAsia="仿宋_GB2312" w:cs="仿宋_GB2312"/>
          <w:i w:val="0"/>
          <w:caps w:val="0"/>
          <w:color w:val="auto"/>
          <w:spacing w:val="0"/>
          <w:kern w:val="0"/>
          <w:sz w:val="32"/>
          <w:szCs w:val="32"/>
          <w:highlight w:val="none"/>
          <w:shd w:val="clear" w:color="auto" w:fill="FFFFFF"/>
          <w:lang w:val="en-US" w:eastAsia="zh-CN"/>
        </w:rPr>
        <w:t>，占1.73%；</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社会保障和就业支出</w:t>
      </w:r>
      <w:r>
        <w:rPr>
          <w:rFonts w:hint="eastAsia" w:ascii="Times New Roman" w:hAnsi="Times New Roman" w:cs="Times New Roman"/>
          <w:i w:val="0"/>
          <w:caps w:val="0"/>
          <w:color w:val="auto"/>
          <w:spacing w:val="0"/>
          <w:kern w:val="0"/>
          <w:sz w:val="32"/>
          <w:szCs w:val="32"/>
          <w:shd w:val="clear" w:color="auto" w:fill="FFFFFF"/>
          <w:lang w:val="en-US" w:eastAsia="zh-CN"/>
        </w:rPr>
        <w:t>38.7</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万元，占5.94%；住房保障支出25.57，占3.93%</w:t>
      </w:r>
      <w:r>
        <w:rPr>
          <w:rFonts w:hint="eastAsia" w:ascii="仿宋_GB2312" w:hAnsi="Times New Roman" w:eastAsia="仿宋_GB2312" w:cs="仿宋_GB2312"/>
          <w:i w:val="0"/>
          <w:caps w:val="0"/>
          <w:color w:val="auto"/>
          <w:spacing w:val="0"/>
          <w:kern w:val="0"/>
          <w:sz w:val="32"/>
          <w:szCs w:val="32"/>
          <w:highlight w:val="none"/>
          <w:shd w:val="clear" w:color="auto" w:fill="FFFFFF"/>
          <w:lang w:val="en-US" w:eastAsia="zh-CN"/>
        </w:rPr>
        <w:t>。</w:t>
      </w:r>
    </w:p>
    <w:p w14:paraId="15082C3C">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74" w:firstLineChars="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一般公共预算当年拨款具体使用情况 </w:t>
      </w:r>
    </w:p>
    <w:p w14:paraId="4B7B94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党委办公厅及相关机构事务</w:t>
      </w:r>
      <w:r>
        <w:rPr>
          <w:rFonts w:hint="eastAsia" w:ascii="仿宋_GB2312" w:hAnsi="仿宋_GB2312" w:eastAsia="仿宋_GB2312" w:cs="仿宋_GB2312"/>
          <w:sz w:val="32"/>
          <w:szCs w:val="32"/>
          <w:lang w:val="en-US" w:eastAsia="zh-CN"/>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行政运行</w:t>
      </w:r>
      <w:r>
        <w:rPr>
          <w:rFonts w:hint="eastAsia" w:ascii="仿宋_GB2312" w:hAnsi="仿宋_GB2312" w:eastAsia="仿宋_GB2312" w:cs="仿宋_GB2312"/>
          <w:sz w:val="32"/>
          <w:szCs w:val="32"/>
          <w:lang w:val="en-US" w:eastAsia="zh-CN"/>
        </w:rPr>
        <w:t>（项）2025年预算数为314.13万元，主要用于：机关项目支出。</w:t>
      </w:r>
    </w:p>
    <w:p w14:paraId="2808E30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2.一般公共服务（类）党委办公厅及相关机构事务（款）行政运行（项）2025年预算数为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213.11</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xml:space="preserve">万元，主要用于：公务员基本工资、津贴补贴等人员经费    </w:t>
      </w:r>
    </w:p>
    <w:p w14:paraId="570CDDD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3.一般公共服务（类）党委办公厅及相关机构事务（款）一般行政事务管理（项）2025年预算数为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48.67</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万元，主要用于：机关正常运转的基本支出，包括办公费、印刷费、水电费等日常公用经费，保证部门正常运转。</w:t>
      </w:r>
    </w:p>
    <w:p w14:paraId="05FA4B7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4.社会保障和就业（类）行政事业单位养老支出（款）机关事业单位基本养老保险缴费支出（项）2025年预算数为32.02万元，主要用于：实施养老保险制度由单位缴纳的基本养老保险支出。</w:t>
      </w:r>
    </w:p>
    <w:p w14:paraId="2E275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5.卫生健康（类）行政事业单位医疗（款）行政单位医疗（项）2025年预算数为5.87万元，主要用于：机关及参公管理事业单位按规定由单位缴纳的基本医疗保险支出。</w:t>
      </w:r>
    </w:p>
    <w:p w14:paraId="3628F8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6.卫生健康（类）行政事业单位医疗（款）事业单位医疗（项）2025年预算数为5.41万元，主要用于：事业单位按规定由单位缴纳的基本医疗保险支出。</w:t>
      </w:r>
    </w:p>
    <w:p w14:paraId="5287EC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7.住房保障（类）住房改革支出（款）住房公积金（项）2025年预算数为25.57万元，主要用于：部门按规定为职工缴纳的住房公积金支出。</w:t>
      </w:r>
    </w:p>
    <w:p w14:paraId="7DEC9E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8.社会保障和就业（类）行政事业单位养老支出（款）行政单位离退休（项）2025年预算数为6万元，主要用于：机关及参公管理事业单位离退休人员经费支出。</w:t>
      </w:r>
    </w:p>
    <w:p w14:paraId="6030AF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9.社会保障和就业（类）行政事业单位养老支出（款）机关事业单位职业年金缴费支出（项）2025年预算数为0.69万元，主要用于：实施养老保险制度由单位缴纳的职业年金支出。</w:t>
      </w:r>
    </w:p>
    <w:p w14:paraId="5A83B6B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14:paraId="0343780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区委政法委2025年一般公共预算基本支出337.34万元，其中：人员经费288.66万元，主要包括：基本工资、津贴补贴、奖金、社会保险缴费、住房公积金等支出。</w:t>
      </w:r>
    </w:p>
    <w:p w14:paraId="6FFF1F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公用经费48.67万元，主要包括：办公费、印刷费、水费、电费、公务接待费、工会经费、其他交通费用等支出。</w:t>
      </w:r>
    </w:p>
    <w:p w14:paraId="1B9551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386141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区委政法委2025年“三公”经费财政拨款预算数8.44万元，其中：公务接待费6.5万元，公务用车购置及运行维护费1.94万元，因公出国（境）经费0万元。</w:t>
      </w:r>
    </w:p>
    <w:p w14:paraId="49584B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7F07FE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公务接待费与2024年预算相比下降3.5万元，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主要原因是</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41A2F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20E3687F">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4B31ADD">
      <w:pPr>
        <w:spacing w:line="576" w:lineRule="exact"/>
        <w:ind w:firstLine="640" w:firstLineChars="200"/>
        <w:rPr>
          <w:rFonts w:ascii="Times New Roman" w:hAnsi="Times New Roman" w:eastAsia="仿宋_GB2312"/>
          <w:b/>
          <w:bCs/>
          <w:sz w:val="32"/>
          <w:szCs w:val="32"/>
          <w:highlight w:val="none"/>
        </w:rPr>
      </w:pPr>
      <w:r>
        <w:rPr>
          <w:rFonts w:ascii="Times New Roman" w:hAnsi="Times New Roman" w:eastAsia="仿宋_GB2312"/>
          <w:sz w:val="32"/>
          <w:szCs w:val="32"/>
          <w:highlight w:val="none"/>
        </w:rPr>
        <w:t>公务用车购置及运行维护费与202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年预算相比持平。</w:t>
      </w:r>
    </w:p>
    <w:p w14:paraId="015F5F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470325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43C333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2025年安排公务用车运行维护费1.94万元。主要用于保障安全维稳工作运行。</w:t>
      </w:r>
    </w:p>
    <w:p w14:paraId="7D8FA56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526BF9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601612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6E9948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区委政法委2025年无政府性基金预算拨款安排的支出。</w:t>
      </w:r>
    </w:p>
    <w:p w14:paraId="6D176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587D6F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区委政法委2025年无国有资本经营预算拨款安排的支出。</w:t>
      </w:r>
    </w:p>
    <w:p w14:paraId="75E0C8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1D8640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6D3EF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2025年，区委政法委的机关运行经费财政拨款预算为651.47万元，比2024年预算增加21.85万元，增长13.4%。主要原因人员增加。</w:t>
      </w:r>
    </w:p>
    <w:p w14:paraId="670CE1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483114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2025年，区委政法委无政府采购预算。</w:t>
      </w:r>
    </w:p>
    <w:p w14:paraId="51465C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36443F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截至2025年底，区委政法委公室共有车辆0辆，其中，领导干部用车0辆、定向保障用车0辆、执法执勤用车0辆。单位无价值200万元以上的大型设备。</w:t>
      </w:r>
    </w:p>
    <w:p w14:paraId="071DF7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56F71C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49EFE2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2025年区委政法委开展绩效目标管理的项目8个，</w:t>
      </w:r>
      <w:r>
        <w:rPr>
          <w:rFonts w:hint="default" w:ascii="Times New Roman" w:hAnsi="Times New Roman" w:eastAsia="FangSong_GB2312" w:cs="Times New Roman"/>
          <w:color w:val="auto"/>
          <w:sz w:val="32"/>
          <w:szCs w:val="32"/>
          <w:lang w:val="en-US" w:eastAsia="zh-CN"/>
        </w:rPr>
        <w:t>涉及预算资金</w:t>
      </w:r>
      <w:r>
        <w:rPr>
          <w:rFonts w:hint="eastAsia" w:ascii="Times New Roman" w:hAnsi="Times New Roman" w:eastAsia="FangSong_GB2312" w:cs="Times New Roman"/>
          <w:color w:val="auto"/>
          <w:sz w:val="32"/>
          <w:szCs w:val="32"/>
          <w:lang w:val="en-US" w:eastAsia="zh-CN"/>
        </w:rPr>
        <w:t>362.8</w:t>
      </w:r>
      <w:r>
        <w:rPr>
          <w:rFonts w:hint="default" w:ascii="Times New Roman" w:hAnsi="Times New Roman" w:eastAsia="FangSong_GB2312" w:cs="Times New Roman"/>
          <w:color w:val="auto"/>
          <w:sz w:val="32"/>
          <w:szCs w:val="32"/>
          <w:lang w:val="en-US" w:eastAsia="zh-CN"/>
        </w:rPr>
        <w:t>万元。 其中：定额日常公用经费、其他公用经费（公务交通补贴）项目2个，涉及预算48.</w:t>
      </w:r>
      <w:r>
        <w:rPr>
          <w:rFonts w:hint="eastAsia" w:ascii="Times New Roman" w:hAnsi="Times New Roman" w:eastAsia="FangSong_GB2312" w:cs="Times New Roman"/>
          <w:color w:val="auto"/>
          <w:sz w:val="32"/>
          <w:szCs w:val="32"/>
          <w:lang w:val="en-US" w:eastAsia="zh-CN"/>
        </w:rPr>
        <w:t>67</w:t>
      </w:r>
      <w:r>
        <w:rPr>
          <w:rFonts w:hint="default" w:ascii="Times New Roman" w:hAnsi="Times New Roman" w:eastAsia="FangSong_GB2312" w:cs="Times New Roman"/>
          <w:color w:val="auto"/>
          <w:sz w:val="32"/>
          <w:szCs w:val="32"/>
          <w:lang w:val="en-US" w:eastAsia="zh-CN"/>
        </w:rPr>
        <w:t>万元；</w:t>
      </w:r>
      <w:r>
        <w:rPr>
          <w:rFonts w:hint="eastAsia" w:ascii="Times New Roman" w:hAnsi="Times New Roman" w:eastAsia="FangSong_GB2312" w:cs="Times New Roman"/>
          <w:color w:val="auto"/>
          <w:sz w:val="32"/>
          <w:szCs w:val="32"/>
          <w:lang w:val="en-US" w:eastAsia="zh-CN"/>
        </w:rPr>
        <w:t>运转类</w:t>
      </w:r>
      <w:r>
        <w:rPr>
          <w:rFonts w:hint="default" w:ascii="Times New Roman" w:hAnsi="Times New Roman" w:eastAsia="FangSong_GB2312" w:cs="Times New Roman"/>
          <w:color w:val="auto"/>
          <w:sz w:val="32"/>
          <w:szCs w:val="32"/>
          <w:lang w:val="en-US" w:eastAsia="zh-CN"/>
        </w:rPr>
        <w:t>项目</w:t>
      </w:r>
      <w:r>
        <w:rPr>
          <w:rFonts w:hint="eastAsia" w:ascii="Times New Roman" w:hAnsi="Times New Roman" w:eastAsia="FangSong_GB2312" w:cs="Times New Roman"/>
          <w:color w:val="auto"/>
          <w:sz w:val="32"/>
          <w:szCs w:val="32"/>
          <w:lang w:val="en-US" w:eastAsia="zh-CN"/>
        </w:rPr>
        <w:t>3</w:t>
      </w:r>
      <w:r>
        <w:rPr>
          <w:rFonts w:hint="default" w:ascii="Times New Roman" w:hAnsi="Times New Roman" w:eastAsia="FangSong_GB2312" w:cs="Times New Roman"/>
          <w:color w:val="auto"/>
          <w:sz w:val="32"/>
          <w:szCs w:val="32"/>
          <w:lang w:val="en-US" w:eastAsia="zh-CN"/>
        </w:rPr>
        <w:t>个，涉及预算</w:t>
      </w:r>
      <w:r>
        <w:rPr>
          <w:rFonts w:hint="eastAsia" w:ascii="Times New Roman" w:hAnsi="Times New Roman" w:eastAsia="FangSong_GB2312" w:cs="Times New Roman"/>
          <w:color w:val="auto"/>
          <w:sz w:val="32"/>
          <w:szCs w:val="32"/>
          <w:lang w:val="en-US" w:eastAsia="zh-CN"/>
        </w:rPr>
        <w:t>281.13</w:t>
      </w:r>
      <w:r>
        <w:rPr>
          <w:rFonts w:hint="default" w:ascii="Times New Roman" w:hAnsi="Times New Roman" w:eastAsia="FangSong_GB2312" w:cs="Times New Roman"/>
          <w:color w:val="auto"/>
          <w:sz w:val="32"/>
          <w:szCs w:val="32"/>
          <w:lang w:val="en-US" w:eastAsia="zh-CN"/>
        </w:rPr>
        <w:t xml:space="preserve"> 万元</w:t>
      </w:r>
      <w:r>
        <w:rPr>
          <w:rFonts w:hint="eastAsia" w:ascii="仿宋_GB2312" w:hAnsi="仿宋_GB2312" w:eastAsia="仿宋_GB2312" w:cs="仿宋_GB2312"/>
          <w:sz w:val="32"/>
          <w:szCs w:val="32"/>
          <w:lang w:val="en-US" w:eastAsia="zh-CN"/>
        </w:rPr>
        <w:t>；特定项目两个，涉及预算33万元。因部分项目内容涉密，不予公开。</w:t>
      </w:r>
    </w:p>
    <w:p w14:paraId="690A82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66168D4B">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default" w:ascii="仿宋_GB2312" w:hAnsi="微软雅黑" w:eastAsia="仿宋_GB2312" w:cs="仿宋_GB2312"/>
          <w:color w:val="auto"/>
          <w:sz w:val="31"/>
          <w:szCs w:val="31"/>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一般公共预算拨款收入：指区级财政当年拨付的资金。</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（二）</w:t>
      </w:r>
      <w:r>
        <w:rPr>
          <w:rFonts w:hint="eastAsia" w:ascii="仿宋_GB2312" w:hAnsi="微软雅黑" w:eastAsia="仿宋_GB2312" w:cs="仿宋_GB2312"/>
          <w:color w:val="auto"/>
          <w:sz w:val="31"/>
          <w:szCs w:val="31"/>
          <w:lang w:val="en-US" w:eastAsia="zh-CN"/>
        </w:rPr>
        <w:t>一般</w:t>
      </w:r>
      <w:r>
        <w:rPr>
          <w:rFonts w:hint="default" w:ascii="仿宋_GB2312" w:hAnsi="微软雅黑" w:eastAsia="仿宋_GB2312" w:cs="仿宋_GB2312"/>
          <w:color w:val="auto"/>
          <w:sz w:val="31"/>
          <w:szCs w:val="31"/>
        </w:rPr>
        <w:t>公共</w:t>
      </w:r>
      <w:r>
        <w:rPr>
          <w:rFonts w:hint="eastAsia" w:ascii="仿宋_GB2312" w:hAnsi="微软雅黑" w:eastAsia="仿宋_GB2312" w:cs="仿宋_GB2312"/>
          <w:color w:val="auto"/>
          <w:sz w:val="31"/>
          <w:szCs w:val="31"/>
          <w:lang w:eastAsia="zh-CN"/>
        </w:rPr>
        <w:t>服务</w:t>
      </w:r>
      <w:r>
        <w:rPr>
          <w:rFonts w:hint="default" w:ascii="仿宋_GB2312" w:hAnsi="微软雅黑" w:eastAsia="仿宋_GB2312" w:cs="仿宋_GB2312"/>
          <w:color w:val="auto"/>
          <w:sz w:val="31"/>
          <w:szCs w:val="31"/>
        </w:rPr>
        <w:t>（类）</w:t>
      </w:r>
      <w:r>
        <w:rPr>
          <w:rFonts w:hint="eastAsia" w:ascii="仿宋_GB2312" w:hAnsi="微软雅黑" w:eastAsia="仿宋_GB2312" w:cs="仿宋_GB2312"/>
          <w:color w:val="auto"/>
          <w:sz w:val="31"/>
          <w:szCs w:val="31"/>
          <w:lang w:eastAsia="zh-CN"/>
        </w:rPr>
        <w:t>党委办公厅（室）及相关机构事务</w:t>
      </w:r>
      <w:r>
        <w:rPr>
          <w:rFonts w:hint="default" w:ascii="仿宋_GB2312" w:hAnsi="微软雅黑" w:eastAsia="仿宋_GB2312" w:cs="仿宋_GB2312"/>
          <w:color w:val="auto"/>
          <w:sz w:val="31"/>
          <w:szCs w:val="31"/>
        </w:rPr>
        <w:t>（款）行政运行（项）</w:t>
      </w:r>
      <w:r>
        <w:rPr>
          <w:rFonts w:hint="eastAsia" w:ascii="仿宋_GB2312" w:hAnsi="微软雅黑" w:eastAsia="仿宋_GB2312" w:cs="仿宋_GB2312"/>
          <w:color w:val="auto"/>
          <w:sz w:val="31"/>
          <w:szCs w:val="31"/>
          <w:lang w:eastAsia="zh-CN"/>
        </w:rPr>
        <w:t>：</w:t>
      </w:r>
      <w:r>
        <w:rPr>
          <w:rFonts w:hint="default" w:ascii="仿宋_GB2312" w:hAnsi="微软雅黑" w:eastAsia="仿宋_GB2312" w:cs="仿宋_GB2312"/>
          <w:color w:val="auto"/>
          <w:sz w:val="31"/>
          <w:szCs w:val="31"/>
        </w:rPr>
        <w:t>指机关用于保障机构正常运行、开展日常工作的基本支出。</w:t>
      </w:r>
    </w:p>
    <w:p w14:paraId="11C1AD8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（三）公共安全支出（类）其他公共安全支出（款）其他公共安全支出（项）：主要指用于保障雪亮工程建设及运维的项目支出。　</w:t>
      </w:r>
    </w:p>
    <w:p w14:paraId="41FC2D6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（四）社会保障和就业（类）行政事业单位养老支出（款）事业单位离退休（项）：指事业单位离退休人员的支出。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（五）社会保障和就业（类）行政事业单位养老支出（款）行政单位离退休（项）：指行政及参公管理事业单位离退休人员的支出。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（六）社会保障和就业（类）行政事业单位养老支出（款）机关事业单位基本养老保险缴费支出（项）：指部门实施养老保险制度由单位缴纳的养老保险的支出。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（七）社会保障和就业（类）行政事业单位养老支出（款）机关事业单位职业年金缴费支出（项）：指部门实施养老保险制度由单位缴纳的职业年金的支出。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（八）基本支出：指为保证机构正常运转，完成日常工作任务而发生的人员支出和公用支出。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（九）项目支出：指在基本支出之外为完成特定行政任务和事业发展目标所发生的支出。</w:t>
      </w:r>
    </w:p>
    <w:p w14:paraId="77B4BF6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十）“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　　（十一）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27F6BD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060411A2">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179BBEE7">
      <w:pPr>
        <w:keepNext w:val="0"/>
        <w:keepLines w:val="0"/>
        <w:pageBreakBefore w:val="0"/>
        <w:widowControl w:val="0"/>
        <w:numPr>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6FA647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79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237431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PXJdTb9AQAA/wMAAA4AAAAAAAAAAQAgAAAAHwEAAGRycy9lMm9Eb2MueG1s&#10;UEsFBgAAAAAGAAYAWQEAAI4FAAAAAA==&#10;">
              <v:fill on="f" focussize="0,0"/>
              <v:stroke on="f"/>
              <v:imagedata o:title=""/>
              <o:lock v:ext="edit" aspectratio="f"/>
              <v:textbox inset="0mm,0mm,0mm,0mm" style="mso-fit-shape-to-text:t;">
                <w:txbxContent>
                  <w:p w14:paraId="1237431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mU5YjE4NTZkNDZhZGJhYzYzNWFjYzQ3ZWQ2MjgifQ=="/>
  </w:docVars>
  <w:rsids>
    <w:rsidRoot w:val="00000000"/>
    <w:rsid w:val="48F05493"/>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widowControl w:val="0"/>
      <w:ind w:left="2940"/>
      <w:jc w:val="both"/>
    </w:pPr>
    <w:rPr>
      <w:rFonts w:ascii="Calibri" w:hAnsi="Calibri" w:eastAsia="宋体" w:cs="黑体"/>
      <w:kern w:val="2"/>
      <w:sz w:val="21"/>
      <w:szCs w:val="22"/>
      <w:lang w:val="en-US" w:eastAsia="zh-CN" w:bidi="ar-SA"/>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2"/>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table of figures"/>
    <w:basedOn w:val="1"/>
    <w:next w:val="1"/>
    <w:autoRedefine/>
    <w:qFormat/>
    <w:uiPriority w:val="0"/>
    <w:pPr>
      <w:ind w:left="400" w:leftChars="200" w:hanging="200" w:hangingChars="200"/>
    </w:pPr>
    <w:rPr>
      <w:rFonts w:ascii="Times New Roman" w:hAnsi="Times New Roman" w:cs="Calibri"/>
      <w:szCs w:val="21"/>
    </w:rPr>
  </w:style>
  <w:style w:type="paragraph" w:styleId="9">
    <w:name w:val="Normal (Web)"/>
    <w:basedOn w:val="1"/>
    <w:autoRedefine/>
    <w:qFormat/>
    <w:uiPriority w:val="0"/>
    <w:rPr>
      <w:sz w:val="24"/>
    </w:rPr>
  </w:style>
  <w:style w:type="table" w:styleId="11">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Comment Text"/>
    <w:basedOn w:val="1"/>
    <w:autoRedefine/>
    <w:qFormat/>
    <w:uiPriority w:val="0"/>
    <w:pPr>
      <w:jc w:val="left"/>
    </w:pPr>
  </w:style>
  <w:style w:type="character" w:customStyle="1" w:styleId="14">
    <w:name w:val="默认段落字体1"/>
    <w:autoRedefine/>
    <w:qFormat/>
    <w:uiPriority w:val="0"/>
  </w:style>
  <w:style w:type="paragraph" w:customStyle="1" w:styleId="15">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4831</Words>
  <Characters>5634</Characters>
  <TotalTime>6</TotalTime>
  <ScaleCrop>false</ScaleCrop>
  <LinksUpToDate>false</LinksUpToDate>
  <CharactersWithSpaces>5687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2025-02-12T01:23:32Z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7E00D6C4C7234A158E64770539AB0549_13</vt:lpwstr>
  </property>
  <property fmtid="{D5CDD505-2E9C-101B-9397-08002B2CF9AE}" pid="4" name="KSOTemplateDocerSaveRecord">
    <vt:lpwstr>eyJoZGlkIjoiOTdmMDA1YjlkOTNjM2JkZWJjMTYxZWM5NGI4ODM1NTIifQ==</vt:lpwstr>
  </property>
</Properties>
</file>