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26382">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29487"/>
      <w:bookmarkStart w:id="27" w:name="_GoBack"/>
      <w:bookmarkEnd w:id="27"/>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中国共产主义青年团广元市昭化区委员会</w:t>
      </w:r>
      <w:bookmarkEnd w:id="0"/>
    </w:p>
    <w:p w14:paraId="5993C216">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2E9F70A0">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75107"/>
        <w15:color w:val="DBDBDB"/>
        <w:docPartObj>
          <w:docPartGallery w:val="Table of Contents"/>
          <w:docPartUnique/>
        </w:docPartObj>
      </w:sdtPr>
      <w:sdtEndPr>
        <w:rPr>
          <w:rFonts w:hint="eastAsia" w:ascii="仿宋_GB2312" w:hAnsi="仿宋_GB2312" w:eastAsia="仿宋_GB2312" w:cs="仿宋_GB2312"/>
          <w:b/>
          <w:color w:val="auto"/>
          <w:kern w:val="2"/>
          <w:sz w:val="32"/>
          <w:szCs w:val="32"/>
          <w:lang w:val="en-US" w:eastAsia="zh-CN" w:bidi="ar-SA"/>
        </w:rPr>
      </w:sdtEndPr>
      <w:sdtContent>
        <w:p w14:paraId="740E63FA">
          <w:pPr>
            <w:spacing w:before="0" w:beforeLines="0" w:after="0" w:afterLines="0" w:line="240" w:lineRule="auto"/>
            <w:ind w:left="0" w:leftChars="0" w:right="0" w:rightChars="0" w:firstLine="0" w:firstLineChars="0"/>
            <w:jc w:val="center"/>
          </w:pPr>
        </w:p>
        <w:p w14:paraId="13454552">
          <w:pPr>
            <w:pStyle w:val="16"/>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w:instrText>
          </w:r>
          <w:r>
            <w:rPr>
              <w:rFonts w:hint="eastAsia" w:ascii="仿宋_GB2312" w:hAnsi="仿宋_GB2312" w:eastAsia="仿宋_GB2312" w:cs="仿宋_GB2312"/>
              <w:sz w:val="32"/>
              <w:szCs w:val="32"/>
              <w:lang w:val="en-US" w:eastAsia="zh-CN"/>
            </w:rPr>
            <w:fldChar w:fldCharType="separate"/>
          </w:r>
          <w:r>
            <w:fldChar w:fldCharType="begin"/>
          </w:r>
          <w:r>
            <w:instrText xml:space="preserve"> HYPERLINK \l "_Toc18982"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_Toc18982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E78E946">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"_Toc8153"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9C38F5">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"_Toc20391"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EBCEC6">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"_Toc11131"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_Toc11131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70BADCF">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"_Toc7290"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_Toc7290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F4000E0">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"_Toc10614"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999367">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"_Toc23109"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C247F7">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"_Toc6533"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_Toc6533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D9EE754">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"_Toc7154"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_Toc7154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9811045">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"_Toc29842"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6C8B6D">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"_Toc10665"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07EA54">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"_Toc29036"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851936">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"_Toc14652"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_Toc14652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313308E">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"_Toc18414"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_Toc18414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9D030D3">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"_Toc24355"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6FBE3F">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"_Toc11923"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763C3C">
          <w:pPr>
            <w:pStyle w:val="17"/>
            <w:tabs>
              <w:tab w:val="right" w:leader="dot" w:pos="8845"/>
            </w:tabs>
            <w:rPr>
              <w:rFonts w:hint="eastAsia" w:ascii="仿宋_GB2312" w:hAnsi="仿宋_GB2312" w:eastAsia="仿宋_GB2312" w:cs="仿宋_GB2312"/>
              <w:sz w:val="32"/>
              <w:szCs w:val="32"/>
              <w:lang w:val="en-US" w:eastAsia="zh-CN"/>
            </w:rPr>
            <w:sectPr>
              <w:pgSz w:w="11906" w:h="16838"/>
              <w:pgMar w:top="2098" w:right="1474" w:bottom="1984" w:left="1587" w:header="720" w:footer="1559" w:gutter="0"/>
              <w:pgNumType w:fmt="decimal" w:start="1"/>
              <w:cols w:space="720" w:num="1"/>
              <w:docGrid w:type="lines" w:linePitch="312" w:charSpace="0"/>
            </w:sectPr>
          </w:pPr>
        </w:p>
      </w:sdtContent>
    </w:sdt>
    <w:p w14:paraId="720B862C">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"_Toc9286"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68654C">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"_Toc28053"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_Toc28053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C5F7E14">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"_Toc20257"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_Toc20257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14F0F04">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"_Toc31744"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_Toc31744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1D2F560">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"_Toc8972"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9140A1">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"_Toc32354"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3CFADE">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"_Toc11939"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BBFFFF">
      <w:pPr>
        <w:pStyle w:val="17"/>
        <w:tabs>
          <w:tab w:val="right" w:leader="dot" w:pos="8845"/>
        </w:tabs>
        <w:rPr>
          <w:rFonts w:hint="eastAsia" w:ascii="仿宋_GB2312" w:hAnsi="仿宋_GB2312" w:eastAsia="仿宋_GB2312" w:cs="仿宋_GB2312"/>
          <w:sz w:val="32"/>
          <w:szCs w:val="32"/>
        </w:rPr>
      </w:pPr>
      <w:r>
        <w:fldChar w:fldCharType="begin"/>
      </w:r>
      <w:r>
        <w:instrText xml:space="preserve"> HYPERLINK \l "_Toc31746"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2C36B7">
      <w:pPr>
        <w:pStyle w:val="16"/>
        <w:tabs>
          <w:tab w:val="right" w:leader="dot" w:pos="8845"/>
        </w:tabs>
        <w:rPr>
          <w:rFonts w:hint="eastAsia" w:ascii="仿宋_GB2312" w:hAnsi="仿宋_GB2312" w:eastAsia="仿宋_GB2312" w:cs="仿宋_GB2312"/>
          <w:b/>
          <w:sz w:val="32"/>
          <w:szCs w:val="32"/>
        </w:rPr>
      </w:pPr>
      <w:r>
        <w:fldChar w:fldCharType="begin"/>
      </w:r>
      <w:r>
        <w:instrText xml:space="preserve"> HYPERLINK \l "_Toc19118"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_Toc19118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F07B6B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sz w:val="32"/>
          <w:szCs w:val="32"/>
          <w:lang w:val="en-US" w:eastAsia="zh-CN"/>
        </w:rPr>
        <w:fldChar w:fldCharType="end"/>
      </w:r>
    </w:p>
    <w:p w14:paraId="1A014BA7">
      <w:pPr>
        <w:pStyle w:val="2"/>
        <w:rPr>
          <w:rFonts w:hint="eastAsia" w:ascii="仿宋_GB2312" w:hAnsi="仿宋_GB2312" w:eastAsia="仿宋_GB2312" w:cs="仿宋_GB2312"/>
          <w:sz w:val="32"/>
          <w:szCs w:val="32"/>
          <w:lang w:val="en-US" w:eastAsia="zh-CN"/>
        </w:rPr>
      </w:pPr>
    </w:p>
    <w:p w14:paraId="707610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03CB8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D5C26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61785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7C93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FEA1E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FE127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6F804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BBFB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7AFE9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375AD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1" w:name="_Toc18982"/>
    </w:p>
    <w:p w14:paraId="7AB27A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1"/>
    </w:p>
    <w:p w14:paraId="38C81D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8153"/>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团区委</w:t>
      </w:r>
      <w:r>
        <w:rPr>
          <w:rFonts w:hint="eastAsia" w:ascii="楷体_GB2312" w:hAnsi="楷体_GB2312" w:eastAsia="楷体_GB2312" w:cs="楷体_GB2312"/>
          <w:sz w:val="32"/>
          <w:szCs w:val="32"/>
        </w:rPr>
        <w:t>职能简介</w:t>
      </w:r>
      <w:bookmarkEnd w:id="2"/>
    </w:p>
    <w:p w14:paraId="25D34E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团区委负责制定全区团的建设规划，分类指导区直机关、农村以及企事业单位团的思想、组织、作风建设和团员的教育管理工作</w:t>
      </w:r>
      <w:r>
        <w:rPr>
          <w:rFonts w:hint="default" w:ascii="Times New Roman" w:hAnsi="Times New Roman" w:eastAsia="仿宋_GB2312" w:cs="Times New Roman"/>
          <w:color w:val="auto"/>
          <w:sz w:val="32"/>
          <w:szCs w:val="32"/>
          <w:lang w:eastAsia="zh-CN"/>
        </w:rPr>
        <w:t>。</w:t>
      </w:r>
    </w:p>
    <w:p w14:paraId="0A9896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负责加强团的领导班子、领导干部的思想政治作风建设；指导各级团组织抓好团员和青年的理论学习、党的路线、方针、政策以及科学文化、专业知识和法律知识的学习</w:t>
      </w:r>
      <w:r>
        <w:rPr>
          <w:rFonts w:hint="default" w:ascii="Times New Roman" w:hAnsi="Times New Roman" w:eastAsia="仿宋_GB2312" w:cs="Times New Roman"/>
          <w:color w:val="auto"/>
          <w:sz w:val="32"/>
          <w:szCs w:val="32"/>
          <w:lang w:eastAsia="zh-CN"/>
        </w:rPr>
        <w:t>。</w:t>
      </w:r>
    </w:p>
    <w:p w14:paraId="7B1B4D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指导各级团组织配合行政领导做好思想政治工作的统战工作</w:t>
      </w:r>
      <w:r>
        <w:rPr>
          <w:rFonts w:hint="default" w:ascii="Times New Roman" w:hAnsi="Times New Roman" w:eastAsia="仿宋_GB2312" w:cs="Times New Roman"/>
          <w:color w:val="auto"/>
          <w:sz w:val="32"/>
          <w:szCs w:val="32"/>
          <w:lang w:eastAsia="zh-CN"/>
        </w:rPr>
        <w:t>。</w:t>
      </w:r>
    </w:p>
    <w:p w14:paraId="16B70E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指导各级团组织发扬“全团带队”的传统，做好少先队工作和希望工程工作；完成区委和上级主管部门交办的其他工作。</w:t>
      </w:r>
    </w:p>
    <w:p w14:paraId="637DC1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20391"/>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团区委</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668D028A">
      <w:pPr>
        <w:keepNext w:val="0"/>
        <w:keepLines w:val="0"/>
        <w:pageBreakBefore w:val="0"/>
        <w:widowControl/>
        <w:suppressLineNumbers w:val="0"/>
        <w:tabs>
          <w:tab w:val="left" w:pos="1890"/>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SA"/>
        </w:rPr>
      </w:pPr>
      <w:r>
        <w:rPr>
          <w:rFonts w:hint="eastAsia" w:ascii="楷体_GB2312" w:hAnsi="楷体_GB2312" w:eastAsia="楷体_GB2312" w:cs="楷体_GB2312"/>
          <w:b w:val="0"/>
          <w:bCs w:val="0"/>
          <w:color w:val="auto"/>
          <w:spacing w:val="0"/>
          <w:kern w:val="2"/>
          <w:sz w:val="32"/>
          <w:szCs w:val="32"/>
          <w:lang w:val="en-US" w:eastAsia="zh-CN" w:bidi="ar-SA"/>
        </w:rPr>
        <w:t>一是坚持</w:t>
      </w:r>
      <w:r>
        <w:rPr>
          <w:rFonts w:hint="default" w:ascii="楷体_GB2312" w:hAnsi="楷体_GB2312" w:eastAsia="楷体_GB2312" w:cs="楷体_GB2312"/>
          <w:b w:val="0"/>
          <w:bCs w:val="0"/>
          <w:color w:val="auto"/>
          <w:spacing w:val="0"/>
          <w:kern w:val="2"/>
          <w:sz w:val="32"/>
          <w:szCs w:val="32"/>
          <w:lang w:val="en-US" w:eastAsia="zh-CN" w:bidi="ar-SA"/>
        </w:rPr>
        <w:t>强化</w:t>
      </w:r>
      <w:r>
        <w:rPr>
          <w:rFonts w:hint="eastAsia" w:ascii="楷体_GB2312" w:hAnsi="楷体_GB2312" w:eastAsia="楷体_GB2312" w:cs="楷体_GB2312"/>
          <w:b w:val="0"/>
          <w:bCs w:val="0"/>
          <w:color w:val="auto"/>
          <w:spacing w:val="0"/>
          <w:kern w:val="2"/>
          <w:sz w:val="32"/>
          <w:szCs w:val="32"/>
          <w:lang w:val="en-US" w:eastAsia="zh-CN" w:bidi="ar-SA"/>
        </w:rPr>
        <w:t>党建带团建</w:t>
      </w:r>
      <w:r>
        <w:rPr>
          <w:rFonts w:hint="default" w:ascii="楷体_GB2312" w:hAnsi="楷体_GB2312" w:eastAsia="楷体_GB2312" w:cs="楷体_GB2312"/>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000000"/>
          <w:kern w:val="0"/>
          <w:sz w:val="32"/>
          <w:szCs w:val="32"/>
          <w:u w:val="none"/>
          <w:lang w:val="en-US" w:eastAsia="zh-CN"/>
        </w:rPr>
        <w:t>坚持不懈用习近平新时代中国特色社会主义思想凝心铸魂，推动青年深入学习党的二十届三中全会精神，</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SA"/>
        </w:rPr>
        <w:t>利用主题党日活动带主题团日、主题队日活动，为青少年学生成长打造“党团队”一体化育人链条</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SA"/>
        </w:rPr>
        <w:t>，加强共青团系统党的建设。</w:t>
      </w:r>
      <w:r>
        <w:rPr>
          <w:rFonts w:hint="eastAsia" w:ascii="仿宋_GB2312" w:hAnsi="宋体" w:eastAsia="仿宋_GB2312" w:cs="仿宋_GB2312"/>
          <w:b w:val="0"/>
          <w:bCs w:val="0"/>
          <w:color w:val="000000"/>
          <w:kern w:val="0"/>
          <w:sz w:val="32"/>
          <w:szCs w:val="32"/>
          <w:u w:val="none"/>
          <w:lang w:val="en-US" w:eastAsia="zh-CN"/>
        </w:rPr>
        <w:t>稳步推进“两企三新”组织建设，扩大团组织有效覆盖，着力提升团的组织力，严格团员发展标准，积极树立推优入党导向，源源不断为党输送新鲜血液。</w:t>
      </w:r>
    </w:p>
    <w:p w14:paraId="5DF7D79C">
      <w:pPr>
        <w:keepNext w:val="0"/>
        <w:keepLines w:val="0"/>
        <w:pageBreakBefore w:val="0"/>
        <w:widowControl/>
        <w:suppressLineNumbers w:val="0"/>
        <w:tabs>
          <w:tab w:val="left" w:pos="1890"/>
        </w:tabs>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楷体_GB2312" w:hAnsi="楷体_GB2312" w:eastAsia="楷体_GB2312" w:cs="楷体_GB2312"/>
          <w:b w:val="0"/>
          <w:bCs w:val="0"/>
          <w:color w:val="auto"/>
          <w:spacing w:val="0"/>
          <w:kern w:val="2"/>
          <w:sz w:val="32"/>
          <w:szCs w:val="32"/>
          <w:lang w:val="en-US" w:eastAsia="zh-CN" w:bidi="ar-SA"/>
        </w:rPr>
        <w:t>二是加快推进青年发展型县域建设</w:t>
      </w:r>
      <w:r>
        <w:rPr>
          <w:rFonts w:hint="default" w:ascii="楷体_GB2312" w:hAnsi="楷体_GB2312" w:eastAsia="楷体_GB2312" w:cs="楷体_GB2312"/>
          <w:b w:val="0"/>
          <w:bCs w:val="0"/>
          <w:color w:val="auto"/>
          <w:spacing w:val="0"/>
          <w:kern w:val="2"/>
          <w:sz w:val="32"/>
          <w:szCs w:val="32"/>
          <w:lang w:val="en-US" w:eastAsia="zh-CN" w:bidi="ar-SA"/>
        </w:rPr>
        <w:t>。</w:t>
      </w:r>
      <w:r>
        <w:rPr>
          <w:rFonts w:hint="default" w:ascii="Times New Roman" w:hAnsi="Times New Roman" w:eastAsia="仿宋_GB2312" w:cs="Times New Roman"/>
          <w:b w:val="0"/>
          <w:bCs w:val="0"/>
          <w:color w:val="000000"/>
          <w:kern w:val="0"/>
          <w:sz w:val="32"/>
          <w:szCs w:val="32"/>
          <w:u w:val="none"/>
          <w:lang w:val="en-US" w:eastAsia="zh-CN"/>
        </w:rPr>
        <w:t>聚焦四川省中长期青年发展规划收官之年，召开昭化区落实《四川省中长期青年发展规划（2017—2025年）》工作联席会议第七次全体会议暨建设青年发展型县域推进会，</w:t>
      </w:r>
      <w:r>
        <w:rPr>
          <w:rFonts w:hint="eastAsia" w:ascii="Times New Roman" w:hAnsi="Times New Roman" w:eastAsia="仿宋_GB2312" w:cs="仿宋_GB2312"/>
          <w:b w:val="0"/>
          <w:bCs w:val="0"/>
          <w:sz w:val="32"/>
          <w:szCs w:val="32"/>
          <w:lang w:val="en-US" w:eastAsia="zh-CN"/>
        </w:rPr>
        <w:t>积极推动青年发展型县域建设，结合《广元市昭化区青年发展型县域建设实施方案》，持续实施“青春铸魂”等六大工程，联合区住建局打造青年发展型主题公园、青年发展型街区等，持续深化“葭萌有约·缘来是你”</w:t>
      </w:r>
      <w:r>
        <w:rPr>
          <w:rFonts w:hint="eastAsia" w:ascii="仿宋_GB2312" w:hAnsi="宋体" w:eastAsia="仿宋_GB2312" w:cs="仿宋_GB2312"/>
          <w:color w:val="000000"/>
          <w:kern w:val="0"/>
          <w:sz w:val="31"/>
          <w:szCs w:val="31"/>
          <w:u w:val="none"/>
          <w:lang w:val="en-US" w:eastAsia="zh-CN"/>
        </w:rPr>
        <w:t>“青创计划”“逐梦计划”等工作品牌，</w:t>
      </w:r>
      <w:r>
        <w:rPr>
          <w:rFonts w:hint="eastAsia" w:ascii="仿宋_GB2312" w:hAnsi="宋体" w:eastAsia="仿宋_GB2312" w:cs="仿宋_GB2312"/>
          <w:b w:val="0"/>
          <w:bCs w:val="0"/>
          <w:color w:val="000000"/>
          <w:kern w:val="0"/>
          <w:sz w:val="32"/>
          <w:szCs w:val="32"/>
          <w:u w:val="none"/>
          <w:lang w:val="en-US" w:eastAsia="zh-CN"/>
        </w:rPr>
        <w:t>增强青年的幸福感、归属感、获得感。</w:t>
      </w:r>
    </w:p>
    <w:p w14:paraId="61549EBF">
      <w:pPr>
        <w:pStyle w:val="15"/>
        <w:keepNext w:val="0"/>
        <w:keepLines w:val="0"/>
        <w:pageBreakBefore w:val="0"/>
        <w:widowControl w:val="0"/>
        <w:kinsoku/>
        <w:wordWrap/>
        <w:overflowPunct w:val="0"/>
        <w:topLinePunct w:val="0"/>
        <w:bidi w:val="0"/>
        <w:snapToGrid/>
        <w:spacing w:line="576" w:lineRule="exact"/>
        <w:ind w:firstLine="640" w:firstLineChars="200"/>
        <w:jc w:val="both"/>
        <w:textAlignment w:val="auto"/>
        <w:rPr>
          <w:rFonts w:hint="eastAsia"/>
        </w:rPr>
      </w:pPr>
      <w:r>
        <w:rPr>
          <w:rFonts w:hint="eastAsia" w:ascii="楷体_GB2312" w:hAnsi="楷体_GB2312" w:eastAsia="楷体_GB2312" w:cs="楷体_GB2312"/>
          <w:b w:val="0"/>
          <w:bCs w:val="0"/>
          <w:color w:val="auto"/>
          <w:spacing w:val="0"/>
          <w:kern w:val="2"/>
          <w:sz w:val="32"/>
          <w:szCs w:val="32"/>
          <w:lang w:val="en-US" w:eastAsia="zh-CN" w:bidi="ar-SA"/>
        </w:rPr>
        <w:t>三是持续做好困境青少年关心关爱。</w:t>
      </w:r>
      <w:r>
        <w:rPr>
          <w:rFonts w:hint="eastAsia" w:ascii="Times New Roman" w:hAnsi="Times New Roman" w:eastAsia="仿宋_GB2312" w:cs="仿宋_GB2312"/>
          <w:b w:val="0"/>
          <w:bCs w:val="0"/>
          <w:sz w:val="32"/>
          <w:szCs w:val="32"/>
          <w:lang w:val="en-US" w:eastAsia="zh-CN"/>
        </w:rPr>
        <w:t>积极向上争取资金，结合春节、元旦、六一等时间节点，常态化开展“金秋助学”“暖冬行动”“小海星”等</w:t>
      </w:r>
      <w:r>
        <w:rPr>
          <w:rFonts w:hint="default" w:ascii="Times New Roman" w:hAnsi="Times New Roman" w:eastAsia="仿宋_GB2312" w:cs="Times New Roman"/>
          <w:color w:val="000000"/>
          <w:w w:val="100"/>
          <w:kern w:val="0"/>
          <w:sz w:val="32"/>
          <w:szCs w:val="32"/>
          <w:highlight w:val="none"/>
          <w:u w:val="none"/>
          <w:lang w:val="en-US" w:eastAsia="zh-CN"/>
        </w:rPr>
        <w:t>重点青少年群体关心关爱工作。</w:t>
      </w:r>
    </w:p>
    <w:p w14:paraId="78514E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11131"/>
      <w:r>
        <w:rPr>
          <w:rFonts w:hint="eastAsia" w:ascii="黑体" w:hAnsi="黑体" w:eastAsia="黑体" w:cs="黑体"/>
          <w:sz w:val="32"/>
          <w:szCs w:val="32"/>
          <w:lang w:val="en-US" w:eastAsia="zh-CN"/>
        </w:rPr>
        <w:t>二、部门预算单位构成</w:t>
      </w:r>
      <w:bookmarkEnd w:id="4"/>
    </w:p>
    <w:p w14:paraId="234D4F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团区委为属一级预算单位，本单位无下属二级预算单位</w:t>
      </w:r>
      <w:r>
        <w:rPr>
          <w:rFonts w:hint="eastAsia" w:ascii="仿宋_GB2312" w:hAnsi="仿宋_GB2312" w:eastAsia="仿宋_GB2312" w:cs="仿宋_GB2312"/>
          <w:sz w:val="32"/>
          <w:szCs w:val="32"/>
          <w:highlight w:val="none"/>
          <w:lang w:val="en-US" w:eastAsia="zh-CN"/>
        </w:rPr>
        <w:t>。设有内设机构1个。</w:t>
      </w:r>
    </w:p>
    <w:p w14:paraId="692DEF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7290"/>
      <w:r>
        <w:rPr>
          <w:rFonts w:hint="eastAsia" w:ascii="黑体" w:hAnsi="黑体" w:eastAsia="黑体" w:cs="黑体"/>
          <w:sz w:val="32"/>
          <w:szCs w:val="32"/>
          <w:lang w:val="en-US" w:eastAsia="zh-CN"/>
        </w:rPr>
        <w:t>三、收支预算情况说明</w:t>
      </w:r>
      <w:bookmarkEnd w:id="5"/>
    </w:p>
    <w:p w14:paraId="74F016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团区委所有收入和支出均纳入部门预算管理。收入包括：一般公共预算拨款收入；支出包括：一般公共服务支出、社会保障和就业支出、卫生健康支出、住房保障支出。团区委2025年收支预算总数214.1万元,比2024年收支预算总数增加20万元，主要原因是在岗西部计划志愿者总人数增加。</w:t>
      </w:r>
    </w:p>
    <w:p w14:paraId="7EBA98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10614"/>
      <w:r>
        <w:rPr>
          <w:rFonts w:hint="eastAsia" w:ascii="楷体_GB2312" w:hAnsi="楷体_GB2312" w:eastAsia="楷体_GB2312" w:cs="楷体_GB2312"/>
          <w:sz w:val="32"/>
          <w:szCs w:val="32"/>
          <w:lang w:val="en-US" w:eastAsia="zh-CN"/>
        </w:rPr>
        <w:t>（一）收入预算情况</w:t>
      </w:r>
      <w:bookmarkEnd w:id="6"/>
    </w:p>
    <w:p w14:paraId="53C52D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团区委2025年收入预算214.1万元；一般公共预算拨款收入214.1万元，占100%。</w:t>
      </w:r>
    </w:p>
    <w:p w14:paraId="5ABA9A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3109"/>
      <w:r>
        <w:rPr>
          <w:rFonts w:hint="eastAsia" w:ascii="楷体_GB2312" w:hAnsi="楷体_GB2312" w:eastAsia="楷体_GB2312" w:cs="楷体_GB2312"/>
          <w:sz w:val="32"/>
          <w:szCs w:val="32"/>
          <w:lang w:val="en-US" w:eastAsia="zh-CN"/>
        </w:rPr>
        <w:t>（二）支出预算情况</w:t>
      </w:r>
      <w:bookmarkEnd w:id="7"/>
    </w:p>
    <w:p w14:paraId="20C3E9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团区委2025年支出预算214.1万元，其中：基本支出55.69万元，占26%；项目支出158.41万元，占74%</w:t>
      </w:r>
      <w:r>
        <w:rPr>
          <w:rFonts w:hint="eastAsia" w:ascii="仿宋_GB2312" w:hAnsi="仿宋_GB2312" w:eastAsia="仿宋_GB2312" w:cs="仿宋_GB2312"/>
          <w:b w:val="0"/>
          <w:bCs w:val="0"/>
          <w:sz w:val="32"/>
          <w:szCs w:val="32"/>
          <w:lang w:val="en-US" w:eastAsia="zh-CN"/>
        </w:rPr>
        <w:t>。</w:t>
      </w:r>
    </w:p>
    <w:p w14:paraId="217672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6533"/>
      <w:r>
        <w:rPr>
          <w:rFonts w:hint="eastAsia" w:ascii="黑体" w:hAnsi="黑体" w:eastAsia="黑体" w:cs="黑体"/>
          <w:sz w:val="32"/>
          <w:szCs w:val="32"/>
          <w:lang w:val="en-US" w:eastAsia="zh-CN"/>
        </w:rPr>
        <w:t>四、财政拨款收支预算情况说明</w:t>
      </w:r>
      <w:bookmarkEnd w:id="8"/>
    </w:p>
    <w:p w14:paraId="4CF835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团区委2025年财政拨款收支预算总数214.1万元,比2024年财政拨款收支预算总数增加20万元，主要原因是在岗西部计划志愿者总人数增加。</w:t>
      </w:r>
    </w:p>
    <w:p w14:paraId="74A8D7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收入包括：本年一般公共预算拨款收入214.1万元；支出包括：一般公共服务支出201.7万元、社会保障和就业支出5.9万元、卫生健康支出2.17万元、住房保障支出4.34万元。</w:t>
      </w:r>
    </w:p>
    <w:p w14:paraId="284B36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7154"/>
      <w:r>
        <w:rPr>
          <w:rFonts w:hint="eastAsia" w:ascii="黑体" w:hAnsi="黑体" w:eastAsia="黑体" w:cs="黑体"/>
          <w:sz w:val="32"/>
          <w:szCs w:val="32"/>
          <w:lang w:val="en-US" w:eastAsia="zh-CN"/>
        </w:rPr>
        <w:t>五、一般公共预算当年拨款情况说明</w:t>
      </w:r>
      <w:bookmarkEnd w:id="9"/>
    </w:p>
    <w:p w14:paraId="4C54E8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9842"/>
      <w:r>
        <w:rPr>
          <w:rFonts w:hint="eastAsia" w:ascii="楷体_GB2312" w:hAnsi="楷体_GB2312" w:eastAsia="楷体_GB2312" w:cs="楷体_GB2312"/>
          <w:sz w:val="32"/>
          <w:szCs w:val="32"/>
          <w:lang w:val="en-US" w:eastAsia="zh-CN"/>
        </w:rPr>
        <w:t>（一）一般公共预算当年拨款规模变化情况</w:t>
      </w:r>
      <w:bookmarkEnd w:id="10"/>
    </w:p>
    <w:p w14:paraId="5B7962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团区委2025年一般公共预算当年拨款214.1万元，比2024年预算数增加20万元，主要原因是在岗西部计划志愿者总人数增加。</w:t>
      </w:r>
    </w:p>
    <w:p w14:paraId="2614F7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10665"/>
      <w:r>
        <w:rPr>
          <w:rFonts w:hint="eastAsia" w:ascii="楷体_GB2312" w:hAnsi="楷体_GB2312" w:eastAsia="楷体_GB2312" w:cs="楷体_GB2312"/>
          <w:sz w:val="32"/>
          <w:szCs w:val="32"/>
          <w:lang w:val="en-US" w:eastAsia="zh-CN"/>
        </w:rPr>
        <w:t>（二）一般公共预算当年拨款结构情况</w:t>
      </w:r>
      <w:bookmarkEnd w:id="11"/>
    </w:p>
    <w:p w14:paraId="00BC43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一般公共服务支出201.7万元，占94.21%；社会保障和就业支出5.9万元，占2.76%；卫生健康支出2.17万元，占1.01%；住房保障支出4.34万元，占2.02%。</w:t>
      </w:r>
    </w:p>
    <w:p w14:paraId="141767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29036"/>
      <w:r>
        <w:rPr>
          <w:rFonts w:hint="eastAsia" w:ascii="楷体_GB2312" w:hAnsi="楷体_GB2312" w:eastAsia="楷体_GB2312" w:cs="楷体_GB2312"/>
          <w:sz w:val="32"/>
          <w:szCs w:val="32"/>
          <w:lang w:val="en-US" w:eastAsia="zh-CN"/>
        </w:rPr>
        <w:t>（三）一般公共预算当年拨款具体使用情况</w:t>
      </w:r>
      <w:bookmarkEnd w:id="12"/>
    </w:p>
    <w:p w14:paraId="438EFC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w:t>
      </w:r>
      <w:r>
        <w:rPr>
          <w:rFonts w:hint="default" w:ascii="Times New Roman" w:hAnsi="Times New Roman" w:eastAsia="仿宋_GB2312" w:cs="Times New Roman"/>
          <w:sz w:val="32"/>
          <w:szCs w:val="32"/>
          <w:lang w:val="en-US" w:eastAsia="zh-CN"/>
        </w:rPr>
        <w:t>）群众团体事务（款）行政运行（项）</w:t>
      </w:r>
      <w:r>
        <w:rPr>
          <w:rFonts w:hint="eastAsia" w:ascii="仿宋_GB2312" w:hAnsi="仿宋_GB2312" w:eastAsia="仿宋_GB2312" w:cs="仿宋_GB2312"/>
          <w:sz w:val="32"/>
          <w:szCs w:val="32"/>
          <w:lang w:val="en-US" w:eastAsia="zh-CN"/>
        </w:rPr>
        <w:t>2025年预算数为62.01万元，主要用于：</w:t>
      </w:r>
      <w:r>
        <w:rPr>
          <w:rFonts w:hint="default" w:ascii="Times New Roman" w:hAnsi="Times New Roman" w:eastAsia="仿宋_GB2312" w:cs="Times New Roman"/>
          <w:sz w:val="32"/>
          <w:szCs w:val="32"/>
          <w:lang w:val="en-US" w:eastAsia="zh-CN"/>
        </w:rPr>
        <w:t>单位正常运转的基本支出，包括行政人员基本工资、津贴补贴等人员经费、办公费、印刷费、水电费等日常公用经费,保障部门正常运转</w:t>
      </w:r>
      <w:r>
        <w:rPr>
          <w:rFonts w:hint="eastAsia" w:ascii="仿宋_GB2312" w:hAnsi="仿宋_GB2312" w:eastAsia="仿宋_GB2312" w:cs="仿宋_GB2312"/>
          <w:sz w:val="32"/>
          <w:szCs w:val="32"/>
          <w:lang w:val="en-US" w:eastAsia="zh-CN"/>
        </w:rPr>
        <w:t>。</w:t>
      </w:r>
    </w:p>
    <w:p w14:paraId="5CF3A5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w:t>
      </w:r>
      <w:r>
        <w:rPr>
          <w:rFonts w:hint="default" w:ascii="Times New Roman" w:hAnsi="Times New Roman" w:eastAsia="仿宋_GB2312" w:cs="Times New Roman"/>
          <w:sz w:val="32"/>
          <w:szCs w:val="32"/>
          <w:lang w:val="en-US" w:eastAsia="zh-CN"/>
        </w:rPr>
        <w:t>群众团体事务（款） 事业运行（项）</w:t>
      </w:r>
      <w:r>
        <w:rPr>
          <w:rFonts w:hint="eastAsia" w:ascii="仿宋_GB2312" w:hAnsi="仿宋_GB2312" w:eastAsia="仿宋_GB2312" w:cs="仿宋_GB2312"/>
          <w:sz w:val="32"/>
          <w:szCs w:val="32"/>
          <w:lang w:val="en-US" w:eastAsia="zh-CN"/>
        </w:rPr>
        <w:t>2025年预算数为19.17万元，主要用于：</w:t>
      </w:r>
      <w:r>
        <w:rPr>
          <w:rFonts w:hint="default" w:ascii="Times New Roman" w:hAnsi="Times New Roman" w:eastAsia="仿宋_GB2312" w:cs="Times New Roman"/>
          <w:sz w:val="32"/>
          <w:szCs w:val="32"/>
          <w:lang w:val="en-US" w:eastAsia="zh-CN"/>
        </w:rPr>
        <w:t>单位正常运转的基本支出，包括</w:t>
      </w:r>
      <w:r>
        <w:rPr>
          <w:rFonts w:hint="eastAsia" w:ascii="Times New Roman" w:hAnsi="Times New Roman" w:eastAsia="仿宋_GB2312" w:cs="Times New Roman"/>
          <w:sz w:val="32"/>
          <w:szCs w:val="32"/>
          <w:lang w:val="en-US" w:eastAsia="zh-CN"/>
        </w:rPr>
        <w:t>事业</w:t>
      </w:r>
      <w:r>
        <w:rPr>
          <w:rFonts w:hint="default" w:ascii="Times New Roman" w:hAnsi="Times New Roman" w:eastAsia="仿宋_GB2312" w:cs="Times New Roman"/>
          <w:sz w:val="32"/>
          <w:szCs w:val="32"/>
          <w:lang w:val="en-US" w:eastAsia="zh-CN"/>
        </w:rPr>
        <w:t>人员基本工资、津贴补贴等人员经费</w:t>
      </w:r>
      <w:r>
        <w:rPr>
          <w:rFonts w:hint="eastAsia" w:ascii="仿宋_GB2312" w:hAnsi="仿宋_GB2312" w:eastAsia="仿宋_GB2312" w:cs="仿宋_GB2312"/>
          <w:sz w:val="32"/>
          <w:szCs w:val="32"/>
          <w:lang w:val="en-US" w:eastAsia="zh-CN"/>
        </w:rPr>
        <w:t>。</w:t>
      </w:r>
    </w:p>
    <w:p w14:paraId="5E8740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w:t>
      </w:r>
      <w:r>
        <w:rPr>
          <w:rFonts w:hint="default" w:ascii="Times New Roman" w:hAnsi="Times New Roman" w:eastAsia="仿宋_GB2312" w:cs="Times New Roman"/>
          <w:sz w:val="32"/>
          <w:szCs w:val="32"/>
          <w:lang w:val="en-US" w:eastAsia="zh-CN"/>
        </w:rPr>
        <w:t>群众团体事务（款）</w:t>
      </w:r>
      <w:r>
        <w:rPr>
          <w:rFonts w:hint="eastAsia" w:ascii="仿宋_GB2312" w:hAnsi="仿宋_GB2312" w:eastAsia="仿宋_GB2312" w:cs="仿宋_GB2312"/>
          <w:sz w:val="32"/>
          <w:szCs w:val="32"/>
          <w:lang w:val="en-US" w:eastAsia="zh-CN"/>
        </w:rPr>
        <w:t> 其他群众团体事务支出（项）2025年预算数为120.51万元，主要用于：</w:t>
      </w:r>
      <w:r>
        <w:rPr>
          <w:rFonts w:hint="default" w:ascii="Times New Roman" w:hAnsi="Times New Roman" w:eastAsia="仿宋_GB2312" w:cs="Times New Roman"/>
          <w:sz w:val="32"/>
          <w:szCs w:val="32"/>
          <w:lang w:val="en-US" w:eastAsia="zh-CN"/>
        </w:rPr>
        <w:t>西部计划志愿者岗位补贴、生活补贴、目标奖的发放及社会保险的购买。</w:t>
      </w:r>
    </w:p>
    <w:p w14:paraId="69A8BE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4.社会保障和就业（类）行政事业单位养老支出（款）机关事业单位基本养老保险缴费支出（项）2025年预算数为5.78万元，主要用于：实施养老保险制度由单位缴纳的基本养老保险支出。</w:t>
      </w:r>
    </w:p>
    <w:p w14:paraId="1DECC6D6">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社会保障和就业（类）行政事业单位养老支出（款）其他社会保障和就业支出（项）：202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年预算数为0.1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万元，主要用于：由单位缴纳的其他社会保险支出。</w:t>
      </w:r>
    </w:p>
    <w:p w14:paraId="3C05EF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6.卫生健康（类）行政事业单位医疗（款）行政单位医疗（项）2025年预算数为1.08万元，主要用于：机关及参公管理事业单位按规定由单位缴纳的基本医疗保险支出。</w:t>
      </w:r>
    </w:p>
    <w:p w14:paraId="177DA5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7.卫生健康（类）行政事业单位医疗（款）事业单位医疗（项）2025年预算数为1.08万元，主要用于：事业单位按规定由单位缴纳的基本医疗保险支出。</w:t>
      </w:r>
    </w:p>
    <w:p w14:paraId="6E22F8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8.住房保障（类）住房改革支出（款）住房公积金（项）2025年预算数为4.34万元，主要用于：部门按规定为职工缴纳的住房公积金支出。</w:t>
      </w:r>
    </w:p>
    <w:p w14:paraId="2605D0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4652"/>
      <w:r>
        <w:rPr>
          <w:rFonts w:hint="eastAsia" w:ascii="黑体" w:hAnsi="黑体" w:eastAsia="黑体" w:cs="黑体"/>
          <w:sz w:val="32"/>
          <w:szCs w:val="32"/>
          <w:lang w:val="en-US" w:eastAsia="zh-CN"/>
        </w:rPr>
        <w:t>六、一般公共预算基本支出情况说明</w:t>
      </w:r>
      <w:bookmarkEnd w:id="13"/>
    </w:p>
    <w:p w14:paraId="54C8D4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团区委2025年一般公共预算基本支出55.69万元，其中：</w:t>
      </w:r>
    </w:p>
    <w:p w14:paraId="428B59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人员经费48.53万元，主要包括：基本工资、津贴补贴、奖金、社会保险缴费、住房公积金等支出。</w:t>
      </w:r>
    </w:p>
    <w:p w14:paraId="404038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公用经费7.16万元，主要包括：办公费、印刷费、水费、电费、培训费、公务接待费、劳务费、工会经费等支出。</w:t>
      </w:r>
    </w:p>
    <w:p w14:paraId="7FA9ED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18414"/>
      <w:r>
        <w:rPr>
          <w:rFonts w:hint="eastAsia" w:ascii="黑体" w:hAnsi="黑体" w:eastAsia="黑体" w:cs="黑体"/>
          <w:sz w:val="32"/>
          <w:szCs w:val="32"/>
          <w:lang w:val="en-US" w:eastAsia="zh-CN"/>
        </w:rPr>
        <w:t>七、“三公”经费财政拨款预算安排情况说明</w:t>
      </w:r>
      <w:bookmarkEnd w:id="14"/>
    </w:p>
    <w:p w14:paraId="27381D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团区委2025年“三公”经费财政拨款预算数0.8万元，其中：公务接待费0.8万元，公务用车购置及运行维护费0万元，因公出国（境）经费0万元。</w:t>
      </w:r>
    </w:p>
    <w:p w14:paraId="094729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24355"/>
      <w:r>
        <w:rPr>
          <w:rFonts w:hint="eastAsia" w:ascii="楷体_GB2312" w:hAnsi="楷体_GB2312" w:eastAsia="楷体_GB2312" w:cs="楷体_GB2312"/>
          <w:sz w:val="32"/>
          <w:szCs w:val="32"/>
          <w:lang w:val="en-US" w:eastAsia="zh-CN"/>
        </w:rPr>
        <w:t>（一）公务接待费</w:t>
      </w:r>
      <w:bookmarkEnd w:id="15"/>
    </w:p>
    <w:p w14:paraId="5434E2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公务接待费与2024年预算相比下降0.1万元</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主要原因是</w:t>
      </w:r>
      <w:r>
        <w:rPr>
          <w:rFonts w:hint="default" w:ascii="Times New Roman" w:hAnsi="Times New Roman" w:eastAsia="仿宋_GB2312" w:cs="Times New Roman"/>
          <w:color w:val="000000" w:themeColor="text1"/>
          <w:sz w:val="32"/>
          <w:szCs w:val="32"/>
          <w14:textFill>
            <w14:solidFill>
              <w14:schemeClr w14:val="tx1"/>
            </w14:solidFill>
          </w14:textFill>
        </w:rPr>
        <w:t>认真落实区委区政府关于《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广元市昭化区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 “过紧日子”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条措施》精神，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压减“三公”经费</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790A2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16CD0C1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11923"/>
      <w:r>
        <w:rPr>
          <w:rFonts w:hint="eastAsia" w:ascii="楷体_GB2312" w:hAnsi="楷体_GB2312" w:eastAsia="楷体_GB2312" w:cs="楷体_GB2312"/>
          <w:sz w:val="32"/>
          <w:szCs w:val="32"/>
          <w:lang w:val="en-US" w:eastAsia="zh-CN"/>
        </w:rPr>
        <w:t>公务用车购置及运行维护费</w:t>
      </w:r>
      <w:bookmarkEnd w:id="16"/>
    </w:p>
    <w:p w14:paraId="1D9804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19CB91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121B33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2CBAF4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54AAC830">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9286"/>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453968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5CCDA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28053"/>
      <w:r>
        <w:rPr>
          <w:rFonts w:hint="eastAsia" w:ascii="黑体" w:hAnsi="黑体" w:eastAsia="黑体" w:cs="黑体"/>
          <w:sz w:val="32"/>
          <w:szCs w:val="32"/>
          <w:lang w:val="en-US" w:eastAsia="zh-CN"/>
        </w:rPr>
        <w:t>八、政府性基金预算支出情况说明</w:t>
      </w:r>
      <w:bookmarkEnd w:id="18"/>
    </w:p>
    <w:p w14:paraId="390B19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团区委2025年无政府性基金预算拨款安排的支出。</w:t>
      </w:r>
    </w:p>
    <w:p w14:paraId="267A72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20257"/>
      <w:r>
        <w:rPr>
          <w:rFonts w:hint="eastAsia" w:ascii="黑体" w:hAnsi="黑体" w:eastAsia="黑体" w:cs="黑体"/>
          <w:sz w:val="32"/>
          <w:szCs w:val="32"/>
          <w:lang w:val="en-US" w:eastAsia="zh-CN"/>
        </w:rPr>
        <w:t>九、国有资本经营预算支出情况说明</w:t>
      </w:r>
      <w:bookmarkEnd w:id="19"/>
    </w:p>
    <w:p w14:paraId="46588B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团区委2025年无国有资本经营预算拨款安排的支出。</w:t>
      </w:r>
    </w:p>
    <w:p w14:paraId="3CA62D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31744"/>
      <w:r>
        <w:rPr>
          <w:rFonts w:hint="eastAsia" w:ascii="黑体" w:hAnsi="黑体" w:eastAsia="黑体" w:cs="黑体"/>
          <w:sz w:val="32"/>
          <w:szCs w:val="32"/>
          <w:lang w:val="en-US" w:eastAsia="zh-CN"/>
        </w:rPr>
        <w:t>十、其他重要事项的情况说明</w:t>
      </w:r>
      <w:bookmarkEnd w:id="20"/>
    </w:p>
    <w:p w14:paraId="4FF5BE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8972"/>
      <w:r>
        <w:rPr>
          <w:rFonts w:hint="eastAsia" w:ascii="楷体_GB2312" w:hAnsi="楷体_GB2312" w:eastAsia="楷体_GB2312" w:cs="楷体_GB2312"/>
          <w:sz w:val="32"/>
          <w:szCs w:val="32"/>
          <w:lang w:val="en-US" w:eastAsia="zh-CN"/>
        </w:rPr>
        <w:t>（一）机关运行经费</w:t>
      </w:r>
      <w:bookmarkEnd w:id="21"/>
    </w:p>
    <w:p w14:paraId="3638CD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2025年，团区委机关运行经费财政拨款预算为7.16万元，与2024年预算相比持平。</w:t>
      </w:r>
    </w:p>
    <w:p w14:paraId="7F73B5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32354"/>
      <w:r>
        <w:rPr>
          <w:rFonts w:hint="eastAsia" w:ascii="楷体_GB2312" w:hAnsi="楷体_GB2312" w:eastAsia="楷体_GB2312" w:cs="楷体_GB2312"/>
          <w:sz w:val="32"/>
          <w:szCs w:val="32"/>
          <w:lang w:val="en-US" w:eastAsia="zh-CN"/>
        </w:rPr>
        <w:t>（二）政府采购情况</w:t>
      </w:r>
      <w:bookmarkEnd w:id="22"/>
    </w:p>
    <w:p w14:paraId="70888F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本单位本年度无政府采购预算</w:t>
      </w:r>
      <w:r>
        <w:rPr>
          <w:rFonts w:hint="eastAsia" w:ascii="楷体_GB2312" w:hAnsi="楷体_GB2312" w:eastAsia="楷体_GB2312" w:cs="楷体_GB2312"/>
          <w:sz w:val="32"/>
          <w:szCs w:val="32"/>
          <w:lang w:val="en-US" w:eastAsia="zh-CN"/>
        </w:rPr>
        <w:t>。</w:t>
      </w:r>
    </w:p>
    <w:p w14:paraId="16C355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1939"/>
      <w:r>
        <w:rPr>
          <w:rFonts w:hint="eastAsia" w:ascii="楷体_GB2312" w:hAnsi="楷体_GB2312" w:eastAsia="楷体_GB2312" w:cs="楷体_GB2312"/>
          <w:sz w:val="32"/>
          <w:szCs w:val="32"/>
          <w:lang w:val="en-US" w:eastAsia="zh-CN"/>
        </w:rPr>
        <w:t>（三）国有资产占有使用情况</w:t>
      </w:r>
      <w:bookmarkEnd w:id="23"/>
    </w:p>
    <w:p w14:paraId="758CA0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截至2024年底，团区委共有车辆0辆，其中，领导干部用车0辆、定向保障用车0辆、执法执勤用车0辆。单位无价值200万元以上的大型设备。</w:t>
      </w:r>
    </w:p>
    <w:p w14:paraId="49367A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4AD62D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31746"/>
      <w:r>
        <w:rPr>
          <w:rFonts w:hint="eastAsia" w:ascii="楷体_GB2312" w:hAnsi="楷体_GB2312" w:eastAsia="楷体_GB2312" w:cs="楷体_GB2312"/>
          <w:sz w:val="32"/>
          <w:szCs w:val="32"/>
          <w:lang w:val="en-US" w:eastAsia="zh-CN"/>
        </w:rPr>
        <w:t>（四）绩效目标设置情况</w:t>
      </w:r>
      <w:bookmarkEnd w:id="24"/>
    </w:p>
    <w:p w14:paraId="7839D1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团区委开展绩效目标管理的项目8个，涉及预算214.1万元。其中：人员类项目1个，涉及预算55.69万元；运转类项目6个，涉及预算150.4万元；特定目标类项目1个，涉及预算8万元。因部分项目内容涉密，不予公开。</w:t>
      </w:r>
    </w:p>
    <w:p w14:paraId="0DDBE4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19118"/>
      <w:r>
        <w:rPr>
          <w:rFonts w:hint="eastAsia" w:ascii="黑体" w:hAnsi="黑体" w:eastAsia="黑体" w:cs="黑体"/>
          <w:sz w:val="32"/>
          <w:szCs w:val="32"/>
          <w:lang w:val="en-US" w:eastAsia="zh-CN"/>
        </w:rPr>
        <w:t>十一、名词解释</w:t>
      </w:r>
      <w:bookmarkEnd w:id="25"/>
    </w:p>
    <w:p w14:paraId="24A056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6" w:name="_Toc1730"/>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color w:val="auto"/>
          <w:sz w:val="32"/>
          <w:szCs w:val="32"/>
          <w:lang w:val="en-US" w:eastAsia="zh-CN"/>
        </w:rPr>
        <w:t>指区级财政当年拨付的资金。</w:t>
      </w:r>
      <w:bookmarkEnd w:id="26"/>
    </w:p>
    <w:p w14:paraId="4A548D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（二）一般公共服务（类）群众团体支出（款）行政运行（项）：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（三）一般公共服务（类）群众团体支出（款）事业运行（项）：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（四）一般公共服务（类）群众团体事务（款）其他群众团体事务支出（项）：</w:t>
      </w:r>
      <w:r>
        <w:rPr>
          <w:rFonts w:hint="eastAsia" w:ascii="仿宋_GB2312" w:hAnsi="仿宋_GB2312" w:eastAsia="仿宋_GB2312" w:cs="仿宋_GB2312"/>
          <w:sz w:val="32"/>
          <w:szCs w:val="32"/>
          <w:lang w:val="en-US" w:eastAsia="zh-CN"/>
        </w:rPr>
        <w:t>指机关单位开展工作的项目支出。</w:t>
      </w:r>
    </w:p>
    <w:p w14:paraId="17CBB74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3CE0CC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78A826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19D091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77E74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355D0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53E06E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68DFF8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5A24511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583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798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4A02D3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CNdf+AQAA/wMAAA4AAABkcnMvZTJvRG9jLnhtbK1TwW7bMAy9D9g/&#10;CLovdlJsCIw4xbAgw4BiDdD1AxRZjgVIokApsbMP2P5gp11233flO0bZTrp1PfTQi0xS9CPfI7W4&#10;7qxhB4VBgyv5dJJzppyESrtdye+/rN/MOQtRuEoYcKrkRxX49fL1q0XrCzWDBkylkBGIC0XrS97E&#10;6IssC7JRVoQJeOXosga0IpKLu6xC0RK6Ndksz99lLWDlEaQKgaKr4ZKPiPgcQKhrLdUK5N4qFwdU&#10;VEZEohQa7QNf9t3WtZLxtq6DisyUnJjG/qQiZG/TmS0Xotih8I2WYwviOS084mSFdlT0ArUSUbA9&#10;6v+grJYIAeo4kWCzgUivCLGY5o+0uWuEVz0Xkjr4i+jh5WDl58MGma5KfvWWMycsTfz04/vp5+/T&#10;r2/sKunT+lBQ2p3f4OgFMhPZrkabvkSDdb2mx4umqotMUnA6n83nOckt6e7sEE728LvHED8qsCwZ&#10;JUcaWq+lONyEOKSeU1I1B2ttDMVFYdw/AcJMkSx1PPSYrNhtu7HxLVRHoosw7EHwcq2p5o0IcSOQ&#10;Bk990tOIt3TUBtqSw2hx1gB+fSqe8mkedMtZS4tUckfvhjPzydGc0s6dDTwb27Ph9vYD0GZOORNO&#10;EkbJI2d7j3rX9C0mesG/30fi3EuRCA0sRp60F72Y4w6nxfvb77Me3u3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B0wjXX/gEAAP8DAAAOAAAAAAAAAAEAIAAAAB8BAABkcnMvZTJvRG9jLnht&#10;bFBLBQYAAAAABgAGAFkBAACPBQAAAAA=&#10;">
              <v:fill on="f" focussize="0,0"/>
              <v:stroke on="f"/>
              <v:imagedata o:title=""/>
              <o:lock v:ext="edit" aspectratio="f"/>
              <v:textbox inset="0mm,0mm,0mm,0mm" style="mso-fit-shape-to-text:t;">
                <w:txbxContent>
                  <w:p w14:paraId="54A02D3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81407"/>
    <w:multiLevelType w:val="singleLevel"/>
    <w:tmpl w:val="292814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FBF133B"/>
    <w:rsid w:val="6AE36FE7"/>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4152</Words>
  <Characters>4432</Characters>
  <TotalTime>1</TotalTime>
  <ScaleCrop>false</ScaleCrop>
  <LinksUpToDate>false</LinksUpToDate>
  <CharactersWithSpaces>4542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2025-02-11T07:15:32Z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0F38373FD3CE4DB3A4511563B185B4DB_13</vt:lpwstr>
  </property>
  <property fmtid="{D5CDD505-2E9C-101B-9397-08002B2CF9AE}" pid="4" name="KSOTemplateDocerSaveRecord">
    <vt:lpwstr>eyJoZGlkIjoiM2Q4NmRiZmQ1NmM3ZTQzNjRkYzViYTY1MWRhNTNiZjMiLCJ1c2VySWQiOiI1NDgzNjI1MDAifQ==</vt:lpwstr>
  </property>
</Properties>
</file>