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79EA8">
      <w:pPr>
        <w:pStyle w:val="19"/>
        <w:spacing w:before="0" w:line="576" w:lineRule="exact"/>
        <w:jc w:val="both"/>
      </w:pPr>
      <w:bookmarkStart w:id="50" w:name="_GoBack"/>
      <w:bookmarkEnd w:id="50"/>
    </w:p>
    <w:p w14:paraId="0741B1DC">
      <w:pPr>
        <w:spacing w:line="576" w:lineRule="exact"/>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bookmarkStart w:id="0" w:name="_Toc28053"/>
      <w:r>
        <w:rPr>
          <w:rFonts w:ascii="Times New Roman" w:hAnsi="Times New Roman" w:eastAsia="方正小标宋简体" w:cs="Times New Roman"/>
          <w:color w:val="000000" w:themeColor="text1"/>
          <w:sz w:val="44"/>
          <w:szCs w:val="44"/>
          <w14:textFill>
            <w14:solidFill>
              <w14:schemeClr w14:val="tx1"/>
            </w14:solidFill>
          </w14:textFill>
        </w:rPr>
        <w:t>广元市昭化区工商业联合会</w:t>
      </w:r>
      <w:bookmarkEnd w:id="0"/>
    </w:p>
    <w:p w14:paraId="5A8C5AF4">
      <w:pPr>
        <w:spacing w:line="576"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2025年部门综合预算编制情况说明</w:t>
      </w:r>
    </w:p>
    <w:sdt>
      <w:sdtPr>
        <w:rPr>
          <w:rFonts w:ascii="宋体" w:hAnsi="宋体" w:eastAsia="宋体"/>
          <w:b/>
          <w:bCs/>
          <w:kern w:val="0"/>
          <w:sz w:val="20"/>
          <w:szCs w:val="20"/>
        </w:rPr>
        <w:id w:val="147466786"/>
        <w:docPartObj>
          <w:docPartGallery w:val="Table of Contents"/>
          <w:docPartUnique/>
        </w:docPartObj>
      </w:sdtPr>
      <w:sdtEndPr>
        <w:rPr>
          <w:rFonts w:hint="eastAsia" w:ascii="仿宋_GB2312" w:hAnsi="仿宋_GB2312" w:eastAsia="仿宋_GB2312" w:cs="仿宋_GB2312"/>
          <w:b/>
          <w:bCs/>
          <w:color w:val="000000" w:themeColor="text1"/>
          <w:kern w:val="0"/>
          <w:sz w:val="32"/>
          <w:szCs w:val="32"/>
          <w14:textFill>
            <w14:solidFill>
              <w14:schemeClr w14:val="tx1"/>
            </w14:solidFill>
          </w14:textFill>
        </w:rPr>
      </w:sdtEndPr>
      <w:sdtContent>
        <w:p w14:paraId="77EE1F6E">
          <w:pPr>
            <w:jc w:val="center"/>
            <w:rPr>
              <w:rFonts w:ascii="宋体" w:hAnsi="宋体" w:eastAsia="宋体"/>
              <w:b/>
              <w:bCs/>
            </w:rPr>
          </w:pPr>
        </w:p>
        <w:p w14:paraId="25167946">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目  录</w:t>
          </w:r>
        </w:p>
        <w:p w14:paraId="24AB9A99">
          <w:pPr>
            <w:pStyle w:val="21"/>
            <w:tabs>
              <w:tab w:val="right" w:leader="dot" w:pos="8844"/>
            </w:tabs>
            <w:rPr>
              <w:rFonts w:ascii="仿宋_GB2312" w:hAnsi="仿宋_GB2312" w:eastAsia="仿宋_GB2312" w:cs="仿宋_GB2312"/>
              <w:b/>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TOC \o "1-2" \h \u</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fldChar w:fldCharType="begin"/>
          </w:r>
          <w:r>
            <w:instrText xml:space="preserve"> HYPERLINK \l "_Toc20397" </w:instrText>
          </w:r>
          <w:r>
            <w:fldChar w:fldCharType="separate"/>
          </w:r>
          <w:r>
            <w:rPr>
              <w:rFonts w:hint="eastAsia" w:ascii="仿宋_GB2312" w:hAnsi="仿宋_GB2312" w:eastAsia="仿宋_GB2312" w:cs="仿宋_GB2312"/>
              <w:b/>
              <w:sz w:val="32"/>
              <w:szCs w:val="32"/>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_Toc20397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4AC8AEC">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"_Toc4382" </w:instrText>
          </w:r>
          <w:r>
            <w:fldChar w:fldCharType="separate"/>
          </w:r>
          <w:r>
            <w:rPr>
              <w:rFonts w:hint="eastAsia" w:ascii="仿宋_GB2312" w:hAnsi="仿宋_GB2312" w:eastAsia="仿宋_GB2312" w:cs="仿宋_GB2312"/>
              <w:sz w:val="32"/>
              <w:szCs w:val="32"/>
            </w:rPr>
            <w:t>（一）单位职能简介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_Toc4382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1BD8CD">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"_Toc22098" </w:instrText>
          </w:r>
          <w:r>
            <w:fldChar w:fldCharType="separate"/>
          </w:r>
          <w:r>
            <w:rPr>
              <w:rFonts w:hint="eastAsia" w:ascii="仿宋_GB2312" w:hAnsi="仿宋_GB2312" w:eastAsia="仿宋_GB2312" w:cs="仿宋_GB2312"/>
              <w:sz w:val="32"/>
              <w:szCs w:val="32"/>
            </w:rPr>
            <w:t>（二）单位2025年重点工作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_Toc22098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3EC8FF9">
          <w:pPr>
            <w:pStyle w:val="21"/>
            <w:tabs>
              <w:tab w:val="right" w:leader="dot" w:pos="8844"/>
            </w:tabs>
            <w:rPr>
              <w:rFonts w:ascii="仿宋_GB2312" w:hAnsi="仿宋_GB2312" w:eastAsia="仿宋_GB2312" w:cs="仿宋_GB2312"/>
              <w:b/>
              <w:sz w:val="32"/>
              <w:szCs w:val="32"/>
            </w:rPr>
          </w:pPr>
          <w:r>
            <w:fldChar w:fldCharType="begin"/>
          </w:r>
          <w:r>
            <w:instrText xml:space="preserve"> HYPERLINK \l "_Toc26641" </w:instrText>
          </w:r>
          <w:r>
            <w:fldChar w:fldCharType="separate"/>
          </w:r>
          <w:r>
            <w:rPr>
              <w:rFonts w:hint="eastAsia" w:ascii="仿宋_GB2312" w:hAnsi="仿宋_GB2312" w:eastAsia="仿宋_GB2312" w:cs="仿宋_GB2312"/>
              <w:b/>
              <w:sz w:val="32"/>
              <w:szCs w:val="32"/>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_Toc26641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38E79A7">
          <w:pPr>
            <w:pStyle w:val="21"/>
            <w:tabs>
              <w:tab w:val="right" w:leader="dot" w:pos="8844"/>
            </w:tabs>
            <w:rPr>
              <w:rFonts w:ascii="仿宋_GB2312" w:hAnsi="仿宋_GB2312" w:eastAsia="仿宋_GB2312" w:cs="仿宋_GB2312"/>
              <w:b/>
              <w:sz w:val="32"/>
              <w:szCs w:val="32"/>
            </w:rPr>
          </w:pPr>
          <w:r>
            <w:fldChar w:fldCharType="begin"/>
          </w:r>
          <w:r>
            <w:instrText xml:space="preserve"> HYPERLINK \l "_Toc21744" </w:instrText>
          </w:r>
          <w:r>
            <w:fldChar w:fldCharType="separate"/>
          </w:r>
          <w:r>
            <w:rPr>
              <w:rFonts w:hint="eastAsia" w:ascii="仿宋_GB2312" w:hAnsi="仿宋_GB2312" w:eastAsia="仿宋_GB2312" w:cs="仿宋_GB2312"/>
              <w:b/>
              <w:sz w:val="32"/>
              <w:szCs w:val="32"/>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_Toc21744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2412E52">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"_Toc5486" </w:instrText>
          </w:r>
          <w:r>
            <w:fldChar w:fldCharType="separate"/>
          </w:r>
          <w:r>
            <w:rPr>
              <w:rFonts w:hint="eastAsia" w:ascii="仿宋_GB2312" w:hAnsi="仿宋_GB2312" w:eastAsia="仿宋_GB2312" w:cs="仿宋_GB2312"/>
              <w:sz w:val="32"/>
              <w:szCs w:val="32"/>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_Toc5486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51B8BE1">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"_Toc13910" </w:instrText>
          </w:r>
          <w:r>
            <w:fldChar w:fldCharType="separate"/>
          </w:r>
          <w:r>
            <w:rPr>
              <w:rFonts w:hint="eastAsia" w:ascii="仿宋_GB2312" w:hAnsi="仿宋_GB2312" w:eastAsia="仿宋_GB2312" w:cs="仿宋_GB2312"/>
              <w:sz w:val="32"/>
              <w:szCs w:val="32"/>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_Toc13910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8E16E4E">
          <w:pPr>
            <w:pStyle w:val="21"/>
            <w:tabs>
              <w:tab w:val="right" w:leader="dot" w:pos="8844"/>
            </w:tabs>
            <w:rPr>
              <w:rFonts w:ascii="仿宋_GB2312" w:hAnsi="仿宋_GB2312" w:eastAsia="仿宋_GB2312" w:cs="仿宋_GB2312"/>
              <w:b/>
              <w:sz w:val="32"/>
              <w:szCs w:val="32"/>
            </w:rPr>
          </w:pPr>
          <w:r>
            <w:fldChar w:fldCharType="begin"/>
          </w:r>
          <w:r>
            <w:instrText xml:space="preserve"> HYPERLINK \l "_Toc1385" </w:instrText>
          </w:r>
          <w:r>
            <w:fldChar w:fldCharType="separate"/>
          </w:r>
          <w:r>
            <w:rPr>
              <w:rFonts w:hint="eastAsia" w:ascii="仿宋_GB2312" w:hAnsi="仿宋_GB2312" w:eastAsia="仿宋_GB2312" w:cs="仿宋_GB2312"/>
              <w:b/>
              <w:sz w:val="32"/>
              <w:szCs w:val="32"/>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_Toc1385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FADC70C">
          <w:pPr>
            <w:pStyle w:val="21"/>
            <w:tabs>
              <w:tab w:val="right" w:leader="dot" w:pos="8844"/>
            </w:tabs>
            <w:rPr>
              <w:rFonts w:ascii="仿宋_GB2312" w:hAnsi="仿宋_GB2312" w:eastAsia="仿宋_GB2312" w:cs="仿宋_GB2312"/>
              <w:b/>
              <w:sz w:val="32"/>
              <w:szCs w:val="32"/>
            </w:rPr>
          </w:pPr>
          <w:r>
            <w:fldChar w:fldCharType="begin"/>
          </w:r>
          <w:r>
            <w:instrText xml:space="preserve"> HYPERLINK \l "_Toc14332" </w:instrText>
          </w:r>
          <w:r>
            <w:fldChar w:fldCharType="separate"/>
          </w:r>
          <w:r>
            <w:rPr>
              <w:rFonts w:hint="eastAsia" w:ascii="仿宋_GB2312" w:hAnsi="仿宋_GB2312" w:eastAsia="仿宋_GB2312" w:cs="仿宋_GB2312"/>
              <w:b/>
              <w:sz w:val="32"/>
              <w:szCs w:val="32"/>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_Toc14332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4ED359A">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"_Toc24907" </w:instrText>
          </w:r>
          <w:r>
            <w:fldChar w:fldCharType="separate"/>
          </w:r>
          <w:r>
            <w:rPr>
              <w:rFonts w:hint="eastAsia" w:ascii="仿宋_GB2312" w:hAnsi="仿宋_GB2312" w:eastAsia="仿宋_GB2312" w:cs="仿宋_GB2312"/>
              <w:sz w:val="32"/>
              <w:szCs w:val="32"/>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_Toc24907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A53815">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"_Toc246" </w:instrText>
          </w:r>
          <w:r>
            <w:fldChar w:fldCharType="separate"/>
          </w:r>
          <w:r>
            <w:rPr>
              <w:rFonts w:hint="eastAsia" w:ascii="仿宋_GB2312" w:hAnsi="仿宋_GB2312" w:eastAsia="仿宋_GB2312" w:cs="仿宋_GB2312"/>
              <w:sz w:val="32"/>
              <w:szCs w:val="32"/>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20A5EA8">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"_Toc29469" </w:instrText>
          </w:r>
          <w:r>
            <w:fldChar w:fldCharType="separate"/>
          </w:r>
          <w:r>
            <w:rPr>
              <w:rFonts w:hint="eastAsia" w:ascii="仿宋_GB2312" w:hAnsi="仿宋_GB2312" w:eastAsia="仿宋_GB2312" w:cs="仿宋_GB2312"/>
              <w:sz w:val="32"/>
              <w:szCs w:val="32"/>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_Toc29469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0AD7DEB">
          <w:pPr>
            <w:pStyle w:val="21"/>
            <w:tabs>
              <w:tab w:val="right" w:leader="dot" w:pos="8844"/>
            </w:tabs>
            <w:rPr>
              <w:rFonts w:ascii="仿宋_GB2312" w:hAnsi="仿宋_GB2312" w:eastAsia="仿宋_GB2312" w:cs="仿宋_GB2312"/>
              <w:b/>
              <w:sz w:val="32"/>
              <w:szCs w:val="32"/>
            </w:rPr>
          </w:pPr>
          <w:r>
            <w:fldChar w:fldCharType="begin"/>
          </w:r>
          <w:r>
            <w:instrText xml:space="preserve"> HYPERLINK \l "_Toc32097" </w:instrText>
          </w:r>
          <w:r>
            <w:fldChar w:fldCharType="separate"/>
          </w:r>
          <w:r>
            <w:rPr>
              <w:rFonts w:hint="eastAsia" w:ascii="仿宋_GB2312" w:hAnsi="仿宋_GB2312" w:eastAsia="仿宋_GB2312" w:cs="仿宋_GB2312"/>
              <w:b/>
              <w:sz w:val="32"/>
              <w:szCs w:val="32"/>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_Toc32097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5BE7A24">
          <w:pPr>
            <w:pStyle w:val="21"/>
            <w:tabs>
              <w:tab w:val="right" w:leader="dot" w:pos="8844"/>
            </w:tabs>
            <w:rPr>
              <w:rFonts w:ascii="仿宋_GB2312" w:hAnsi="仿宋_GB2312" w:eastAsia="仿宋_GB2312" w:cs="仿宋_GB2312"/>
              <w:b/>
              <w:sz w:val="32"/>
              <w:szCs w:val="32"/>
            </w:rPr>
          </w:pPr>
          <w:r>
            <w:fldChar w:fldCharType="begin"/>
          </w:r>
          <w:r>
            <w:instrText xml:space="preserve"> HYPERLINK \l "_Toc32727" </w:instrText>
          </w:r>
          <w:r>
            <w:fldChar w:fldCharType="separate"/>
          </w:r>
          <w:r>
            <w:rPr>
              <w:rFonts w:hint="eastAsia" w:ascii="仿宋_GB2312" w:hAnsi="仿宋_GB2312" w:eastAsia="仿宋_GB2312" w:cs="仿宋_GB2312"/>
              <w:b/>
              <w:sz w:val="32"/>
              <w:szCs w:val="32"/>
            </w:rPr>
            <w:t>七、 “三公”经费财政拨款预算安排情况说明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_Toc32727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42DABE7">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"_Toc2658" </w:instrText>
          </w:r>
          <w:r>
            <w:fldChar w:fldCharType="separate"/>
          </w:r>
          <w:r>
            <w:rPr>
              <w:rFonts w:hint="eastAsia" w:ascii="仿宋_GB2312" w:hAnsi="仿宋_GB2312" w:eastAsia="仿宋_GB2312" w:cs="仿宋_GB2312"/>
              <w:sz w:val="32"/>
              <w:szCs w:val="32"/>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_Toc2658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510A21">
          <w:pPr>
            <w:pStyle w:val="22"/>
            <w:tabs>
              <w:tab w:val="right" w:leader="dot" w:pos="8844"/>
            </w:tabs>
            <w:ind w:left="420"/>
            <w:rPr>
              <w:rFonts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2098" w:right="1474" w:bottom="1985" w:left="1588" w:header="851" w:footer="1531" w:gutter="0"/>
              <w:pgNumType w:start="1"/>
              <w:cols w:space="425" w:num="1"/>
              <w:docGrid w:type="linesAndChars" w:linePitch="312" w:charSpace="0"/>
            </w:sectPr>
          </w:pPr>
          <w:r>
            <w:fldChar w:fldCharType="begin"/>
          </w:r>
          <w:r>
            <w:instrText xml:space="preserve"> HYPERLINK \l "_Toc5103" </w:instrText>
          </w:r>
          <w:r>
            <w:fldChar w:fldCharType="separate"/>
          </w:r>
          <w:r>
            <w:rPr>
              <w:rFonts w:hint="eastAsia" w:ascii="仿宋_GB2312" w:hAnsi="仿宋_GB2312" w:eastAsia="仿宋_GB2312" w:cs="仿宋_GB2312"/>
              <w:sz w:val="32"/>
              <w:szCs w:val="32"/>
            </w:rPr>
            <w:t>（二）公务用车购置及运行维护费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_Toc5103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sdtContent>
    </w:sdt>
    <w:p w14:paraId="4FDBBB79">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"_Toc7916" </w:instrText>
      </w:r>
      <w:r>
        <w:fldChar w:fldCharType="separate"/>
      </w:r>
      <w:r>
        <w:rPr>
          <w:rFonts w:hint="eastAsia" w:ascii="仿宋_GB2312" w:hAnsi="仿宋_GB2312" w:eastAsia="仿宋_GB2312" w:cs="仿宋_GB2312"/>
          <w:sz w:val="32"/>
          <w:szCs w:val="32"/>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_Toc7916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AA305E">
      <w:pPr>
        <w:pStyle w:val="21"/>
        <w:tabs>
          <w:tab w:val="right" w:leader="dot" w:pos="8844"/>
        </w:tabs>
        <w:rPr>
          <w:rFonts w:ascii="仿宋_GB2312" w:hAnsi="仿宋_GB2312" w:eastAsia="仿宋_GB2312" w:cs="仿宋_GB2312"/>
          <w:b/>
          <w:sz w:val="32"/>
          <w:szCs w:val="32"/>
        </w:rPr>
      </w:pPr>
      <w:r>
        <w:fldChar w:fldCharType="begin"/>
      </w:r>
      <w:r>
        <w:instrText xml:space="preserve"> HYPERLINK \l "_Toc23931" </w:instrText>
      </w:r>
      <w:r>
        <w:fldChar w:fldCharType="separate"/>
      </w:r>
      <w:r>
        <w:rPr>
          <w:rFonts w:hint="eastAsia" w:ascii="仿宋_GB2312" w:hAnsi="仿宋_GB2312" w:eastAsia="仿宋_GB2312" w:cs="仿宋_GB2312"/>
          <w:b/>
          <w:sz w:val="32"/>
          <w:szCs w:val="32"/>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_Toc23931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B4905C9">
      <w:pPr>
        <w:pStyle w:val="21"/>
        <w:tabs>
          <w:tab w:val="right" w:leader="dot" w:pos="8844"/>
        </w:tabs>
        <w:rPr>
          <w:rFonts w:ascii="仿宋_GB2312" w:hAnsi="仿宋_GB2312" w:eastAsia="仿宋_GB2312" w:cs="仿宋_GB2312"/>
          <w:b/>
          <w:sz w:val="32"/>
          <w:szCs w:val="32"/>
        </w:rPr>
      </w:pPr>
      <w:r>
        <w:fldChar w:fldCharType="begin"/>
      </w:r>
      <w:r>
        <w:instrText xml:space="preserve"> HYPERLINK \l "_Toc16360" </w:instrText>
      </w:r>
      <w:r>
        <w:fldChar w:fldCharType="separate"/>
      </w:r>
      <w:r>
        <w:rPr>
          <w:rFonts w:hint="eastAsia" w:ascii="仿宋_GB2312" w:hAnsi="仿宋_GB2312" w:eastAsia="仿宋_GB2312" w:cs="仿宋_GB2312"/>
          <w:b/>
          <w:sz w:val="32"/>
          <w:szCs w:val="32"/>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_Toc16360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6564086">
      <w:pPr>
        <w:pStyle w:val="21"/>
        <w:tabs>
          <w:tab w:val="right" w:leader="dot" w:pos="8844"/>
        </w:tabs>
        <w:rPr>
          <w:rFonts w:ascii="仿宋_GB2312" w:hAnsi="仿宋_GB2312" w:eastAsia="仿宋_GB2312" w:cs="仿宋_GB2312"/>
          <w:b/>
          <w:sz w:val="32"/>
          <w:szCs w:val="32"/>
        </w:rPr>
      </w:pPr>
      <w:r>
        <w:fldChar w:fldCharType="begin"/>
      </w:r>
      <w:r>
        <w:instrText xml:space="preserve"> HYPERLINK \l "_Toc18500" </w:instrText>
      </w:r>
      <w:r>
        <w:fldChar w:fldCharType="separate"/>
      </w:r>
      <w:r>
        <w:rPr>
          <w:rFonts w:hint="eastAsia" w:ascii="仿宋_GB2312" w:hAnsi="仿宋_GB2312" w:eastAsia="仿宋_GB2312" w:cs="仿宋_GB2312"/>
          <w:b/>
          <w:sz w:val="32"/>
          <w:szCs w:val="32"/>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_Toc18500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3265F87C">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"_Toc17017" </w:instrText>
      </w:r>
      <w:r>
        <w:fldChar w:fldCharType="separate"/>
      </w:r>
      <w:r>
        <w:rPr>
          <w:rFonts w:hint="eastAsia" w:ascii="仿宋_GB2312" w:hAnsi="仿宋_GB2312" w:eastAsia="仿宋_GB2312" w:cs="仿宋_GB2312"/>
          <w:sz w:val="32"/>
          <w:szCs w:val="32"/>
        </w:rPr>
        <w:t>（一）国有资产占有使用情况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_Toc17017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93D6F3D">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"_Toc29555" </w:instrText>
      </w:r>
      <w:r>
        <w:fldChar w:fldCharType="separate"/>
      </w:r>
      <w:r>
        <w:rPr>
          <w:rFonts w:hint="eastAsia" w:ascii="仿宋_GB2312" w:hAnsi="仿宋_GB2312" w:eastAsia="仿宋_GB2312" w:cs="仿宋_GB2312"/>
          <w:sz w:val="32"/>
          <w:szCs w:val="32"/>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_Toc29555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5194586">
      <w:pPr>
        <w:pStyle w:val="22"/>
        <w:tabs>
          <w:tab w:val="right" w:leader="dot" w:pos="8844"/>
        </w:tabs>
        <w:ind w:left="420"/>
        <w:rPr>
          <w:rFonts w:ascii="仿宋_GB2312" w:hAnsi="仿宋_GB2312" w:eastAsia="仿宋_GB2312" w:cs="仿宋_GB2312"/>
          <w:sz w:val="32"/>
          <w:szCs w:val="32"/>
        </w:rPr>
      </w:pPr>
      <w:r>
        <w:fldChar w:fldCharType="begin"/>
      </w:r>
      <w:r>
        <w:instrText xml:space="preserve"> HYPERLINK \l "_Toc13672" </w:instrText>
      </w:r>
      <w:r>
        <w:fldChar w:fldCharType="separate"/>
      </w:r>
      <w:r>
        <w:rPr>
          <w:rFonts w:hint="eastAsia" w:ascii="仿宋_GB2312" w:hAnsi="仿宋_GB2312" w:eastAsia="仿宋_GB2312" w:cs="仿宋_GB2312"/>
          <w:sz w:val="32"/>
          <w:szCs w:val="32"/>
        </w:rPr>
        <w:t>（三）绩效目标设置情况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_Toc13672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5978A0">
      <w:pPr>
        <w:pStyle w:val="21"/>
        <w:tabs>
          <w:tab w:val="right" w:leader="dot" w:pos="8844"/>
        </w:tabs>
        <w:rPr>
          <w:rFonts w:ascii="仿宋_GB2312" w:hAnsi="仿宋_GB2312" w:eastAsia="仿宋_GB2312" w:cs="仿宋_GB2312"/>
          <w:b/>
          <w:sz w:val="32"/>
          <w:szCs w:val="32"/>
        </w:rPr>
      </w:pPr>
      <w:r>
        <w:fldChar w:fldCharType="begin"/>
      </w:r>
      <w:r>
        <w:instrText xml:space="preserve"> HYPERLINK \l "_Toc5580" </w:instrText>
      </w:r>
      <w:r>
        <w:fldChar w:fldCharType="separate"/>
      </w:r>
      <w:r>
        <w:rPr>
          <w:rFonts w:hint="eastAsia" w:ascii="仿宋_GB2312" w:hAnsi="仿宋_GB2312" w:eastAsia="仿宋_GB2312" w:cs="仿宋_GB2312"/>
          <w:b/>
          <w:sz w:val="32"/>
          <w:szCs w:val="32"/>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_Toc5580 \h </w:instrText>
      </w:r>
      <w:r>
        <w:rPr>
          <w:rFonts w:hint="eastAsia" w:ascii="仿宋_GB2312" w:hAnsi="仿宋_GB2312" w:eastAsia="仿宋_GB2312" w:cs="仿宋_GB2312"/>
          <w:b/>
          <w:sz w:val="32"/>
          <w:szCs w:val="32"/>
        </w:rPr>
        <w:fldChar w:fldCharType="separate"/>
      </w:r>
      <w:r>
        <w:rPr>
          <w:rFonts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78DC45F">
      <w:pPr>
        <w:spacing w:line="576" w:lineRule="exact"/>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fldChar w:fldCharType="end"/>
      </w:r>
    </w:p>
    <w:p w14:paraId="0B1037BF">
      <w:pPr>
        <w:pStyle w:val="2"/>
        <w:ind w:left="1060" w:hanging="640"/>
        <w:rPr>
          <w:rFonts w:ascii="仿宋_GB2312" w:hAnsi="仿宋_GB2312" w:eastAsia="仿宋_GB2312" w:cs="仿宋_GB2312"/>
          <w:sz w:val="32"/>
          <w:szCs w:val="32"/>
        </w:rPr>
      </w:pPr>
    </w:p>
    <w:p w14:paraId="2BB1B645">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bookmarkStart w:id="1" w:name="_Toc189672148"/>
    </w:p>
    <w:p w14:paraId="4122C11D">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67EAFD55">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56AA723C">
      <w:pPr>
        <w:spacing w:line="576"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3571DB96">
      <w:pPr>
        <w:spacing w:line="576" w:lineRule="exact"/>
        <w:ind w:firstLine="640" w:firstLineChars="200"/>
        <w:rPr>
          <w:rFonts w:ascii="Times New Roman" w:hAnsi="黑体" w:eastAsia="黑体" w:cs="Times New Roman"/>
          <w:color w:val="000000" w:themeColor="text1"/>
          <w:sz w:val="32"/>
          <w:szCs w:val="32"/>
          <w14:textFill>
            <w14:solidFill>
              <w14:schemeClr w14:val="tx1"/>
            </w14:solidFill>
          </w14:textFill>
        </w:rPr>
      </w:pPr>
    </w:p>
    <w:p w14:paraId="38FB854E">
      <w:pPr>
        <w:spacing w:line="576" w:lineRule="exact"/>
        <w:ind w:firstLine="640" w:firstLineChars="200"/>
        <w:rPr>
          <w:rFonts w:ascii="Times New Roman" w:hAnsi="黑体" w:eastAsia="黑体" w:cs="Times New Roman"/>
          <w:color w:val="000000" w:themeColor="text1"/>
          <w:sz w:val="32"/>
          <w:szCs w:val="32"/>
          <w14:textFill>
            <w14:solidFill>
              <w14:schemeClr w14:val="tx1"/>
            </w14:solidFill>
          </w14:textFill>
        </w:rPr>
      </w:pPr>
    </w:p>
    <w:p w14:paraId="650C6104">
      <w:pPr>
        <w:spacing w:line="576" w:lineRule="exact"/>
        <w:ind w:firstLine="640" w:firstLineChars="200"/>
        <w:rPr>
          <w:rFonts w:ascii="Times New Roman" w:hAnsi="黑体" w:eastAsia="黑体" w:cs="Times New Roman"/>
          <w:color w:val="000000" w:themeColor="text1"/>
          <w:sz w:val="32"/>
          <w:szCs w:val="32"/>
          <w14:textFill>
            <w14:solidFill>
              <w14:schemeClr w14:val="tx1"/>
            </w14:solidFill>
          </w14:textFill>
        </w:rPr>
      </w:pPr>
    </w:p>
    <w:p w14:paraId="34F85E81">
      <w:pPr>
        <w:spacing w:line="576" w:lineRule="exact"/>
        <w:ind w:firstLine="640" w:firstLineChars="200"/>
        <w:rPr>
          <w:rFonts w:ascii="Times New Roman" w:hAnsi="黑体" w:eastAsia="黑体" w:cs="Times New Roman"/>
          <w:color w:val="000000" w:themeColor="text1"/>
          <w:sz w:val="32"/>
          <w:szCs w:val="32"/>
          <w14:textFill>
            <w14:solidFill>
              <w14:schemeClr w14:val="tx1"/>
            </w14:solidFill>
          </w14:textFill>
        </w:rPr>
      </w:pPr>
    </w:p>
    <w:p w14:paraId="446599A6">
      <w:pPr>
        <w:spacing w:line="576" w:lineRule="exact"/>
        <w:ind w:firstLine="640" w:firstLineChars="200"/>
        <w:rPr>
          <w:rFonts w:ascii="Times New Roman" w:hAnsi="黑体" w:eastAsia="黑体" w:cs="Times New Roman"/>
          <w:color w:val="000000" w:themeColor="text1"/>
          <w:sz w:val="32"/>
          <w:szCs w:val="32"/>
          <w14:textFill>
            <w14:solidFill>
              <w14:schemeClr w14:val="tx1"/>
            </w14:solidFill>
          </w14:textFill>
        </w:rPr>
      </w:pPr>
    </w:p>
    <w:p w14:paraId="528D6E13">
      <w:pPr>
        <w:spacing w:line="576" w:lineRule="exact"/>
        <w:ind w:firstLine="640" w:firstLineChars="200"/>
        <w:rPr>
          <w:rFonts w:ascii="Times New Roman" w:hAnsi="黑体" w:eastAsia="黑体" w:cs="Times New Roman"/>
          <w:color w:val="000000" w:themeColor="text1"/>
          <w:sz w:val="32"/>
          <w:szCs w:val="32"/>
          <w14:textFill>
            <w14:solidFill>
              <w14:schemeClr w14:val="tx1"/>
            </w14:solidFill>
          </w14:textFill>
        </w:rPr>
      </w:pPr>
    </w:p>
    <w:p w14:paraId="1AA57977">
      <w:pPr>
        <w:spacing w:line="576" w:lineRule="exact"/>
        <w:rPr>
          <w:rFonts w:ascii="Times New Roman" w:hAnsi="黑体" w:eastAsia="黑体" w:cs="Times New Roman"/>
          <w:color w:val="000000" w:themeColor="text1"/>
          <w:sz w:val="32"/>
          <w:szCs w:val="32"/>
          <w14:textFill>
            <w14:solidFill>
              <w14:schemeClr w14:val="tx1"/>
            </w14:solidFill>
          </w14:textFill>
        </w:rPr>
      </w:pPr>
    </w:p>
    <w:p w14:paraId="2639346E">
      <w:pPr>
        <w:spacing w:line="576" w:lineRule="exact"/>
        <w:ind w:firstLine="640" w:firstLineChars="200"/>
        <w:outlineLvl w:val="0"/>
        <w:rPr>
          <w:rFonts w:ascii="Times New Roman" w:hAnsi="黑体" w:eastAsia="黑体" w:cs="Times New Roman"/>
          <w:color w:val="000000" w:themeColor="text1"/>
          <w:sz w:val="32"/>
          <w:szCs w:val="32"/>
          <w14:textFill>
            <w14:solidFill>
              <w14:schemeClr w14:val="tx1"/>
            </w14:solidFill>
          </w14:textFill>
        </w:rPr>
        <w:sectPr>
          <w:footerReference r:id="rId4" w:type="default"/>
          <w:pgSz w:w="11906" w:h="16838"/>
          <w:pgMar w:top="2098" w:right="1474" w:bottom="1985" w:left="1588" w:header="851" w:footer="1531" w:gutter="0"/>
          <w:pgNumType w:start="1"/>
          <w:cols w:space="425" w:num="1"/>
          <w:docGrid w:type="linesAndChars" w:linePitch="312" w:charSpace="0"/>
        </w:sectPr>
      </w:pPr>
      <w:bookmarkStart w:id="2" w:name="_Toc20397"/>
    </w:p>
    <w:p w14:paraId="345AAAAB">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一、基本职能及主要工作</w:t>
      </w:r>
      <w:bookmarkEnd w:id="1"/>
      <w:bookmarkEnd w:id="2"/>
    </w:p>
    <w:p w14:paraId="3D6E9F2D">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3" w:name="_Toc189672149"/>
      <w:bookmarkStart w:id="4" w:name="_Toc4382"/>
      <w:r>
        <w:rPr>
          <w:rFonts w:ascii="Times New Roman" w:hAnsi="Times New Roman" w:eastAsia="楷体_GB2312" w:cs="Times New Roman"/>
          <w:b/>
          <w:color w:val="000000" w:themeColor="text1"/>
          <w:sz w:val="32"/>
          <w:szCs w:val="32"/>
          <w14:textFill>
            <w14:solidFill>
              <w14:schemeClr w14:val="tx1"/>
            </w14:solidFill>
          </w14:textFill>
        </w:rPr>
        <w:t>（一）单位职能简介</w:t>
      </w:r>
      <w:bookmarkEnd w:id="3"/>
      <w:bookmarkEnd w:id="4"/>
    </w:p>
    <w:p w14:paraId="73A6AD03">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sz w:val="32"/>
          <w:szCs w:val="32"/>
        </w:rPr>
        <w:t>（1）参政议政。参与我区经济、社会事务的重大决策和政治协商，发挥民主监督。做好</w:t>
      </w:r>
      <w:r>
        <w:rPr>
          <w:rFonts w:ascii="Times New Roman" w:hAnsi="Times New Roman" w:eastAsia="仿宋_GB2312" w:cs="Times New Roman"/>
          <w:color w:val="000000" w:themeColor="text1"/>
          <w:sz w:val="32"/>
          <w:szCs w:val="32"/>
          <w14:textFill>
            <w14:solidFill>
              <w14:schemeClr w14:val="tx1"/>
            </w14:solidFill>
          </w14:textFill>
        </w:rPr>
        <w:t>非公有制经济人士</w:t>
      </w:r>
      <w:r>
        <w:rPr>
          <w:rFonts w:ascii="Times New Roman" w:hAnsi="Times New Roman" w:eastAsia="仿宋_GB2312" w:cs="Times New Roman"/>
          <w:color w:val="000000"/>
          <w:sz w:val="32"/>
          <w:szCs w:val="32"/>
        </w:rPr>
        <w:t>的政治安排的推荐工作。对我区重大决策的制定提出建议，并协助贯彻执行。</w:t>
      </w:r>
    </w:p>
    <w:p w14:paraId="05DA1F3E">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（2）发扬自我教育的优良传统，宣传党和国家的方针政策，加强和改进思想政治工作。对会员进行“团结、帮助、服务、教育”提倡爱国、敬业、守法，提高会员素质，培养骨干分子队伍。</w:t>
      </w:r>
    </w:p>
    <w:p w14:paraId="5EBDA098">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（3）维护会员的合法权益。反映会员的意见、要求和建议，在会员与政府之间发挥桥梁纽带作用，当好政府管理非公有制经济的助手。</w:t>
      </w:r>
    </w:p>
    <w:p w14:paraId="1FE5B31F">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（4）为会员和社会提供市场、技术、商品等信息。按照国家有关规定为会员提供管理、会计、审计、融资等咨询服务。</w:t>
      </w:r>
    </w:p>
    <w:p w14:paraId="4F25E666">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（5）对会员开展专业培训。帮助会员改善经营管理，提高生产技术水平和产品质量。</w:t>
      </w:r>
    </w:p>
    <w:p w14:paraId="23C858B1">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（6）按照国家规定和有关政策，组织会员举办和参加各种展销会、交易会。组织出国考察、访问，帮助会员开拓国内、国际市场。</w:t>
      </w:r>
    </w:p>
    <w:p w14:paraId="76214B12">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（7）为会员提供必要的证明，协调会员间的关系，为会员和民间企业调解纠纷。</w:t>
      </w:r>
    </w:p>
    <w:p w14:paraId="5B6559F1">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（8）增进与台、港、澳地区和世界各国工商社团及工商经济界人士的联系和友谊，促进经济、技术和贸易合作的发展，协助引进资金、技术、人才。</w:t>
      </w:r>
    </w:p>
    <w:p w14:paraId="622FC505">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（9）积极办好会办服务事业和经济实体。</w:t>
      </w:r>
    </w:p>
    <w:p w14:paraId="2CA075D6">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（10）承办党委或政府交办的其他事项。</w:t>
      </w:r>
    </w:p>
    <w:p w14:paraId="4B59E128">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5" w:name="_Toc22098"/>
      <w:bookmarkStart w:id="6" w:name="_Toc189672150"/>
      <w:r>
        <w:rPr>
          <w:rFonts w:ascii="Times New Roman" w:hAnsi="Times New Roman" w:eastAsia="楷体_GB2312" w:cs="Times New Roman"/>
          <w:b/>
          <w:color w:val="000000" w:themeColor="text1"/>
          <w:sz w:val="32"/>
          <w:szCs w:val="32"/>
          <w14:textFill>
            <w14:solidFill>
              <w14:schemeClr w14:val="tx1"/>
            </w14:solidFill>
          </w14:textFill>
        </w:rPr>
        <w:t>（二）单位2025年重点工作</w:t>
      </w:r>
      <w:bookmarkEnd w:id="5"/>
      <w:bookmarkEnd w:id="6"/>
    </w:p>
    <w:p w14:paraId="17770785">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（1）加强政治引领，扎实抓好民营经济统战工作。 围绕思想建设、组织建设、制度建设、文化建设，切实加强商协会党的建设，以此促进商协会建设，把牢商协会和民营企业正确政治方向，壮大商协会党组织和会员队伍，规范商协会管理，打造商协会文化，全面加强新时代民营经济统战工作。引领民营经济人士听党话、跟党走。大力弘扬和选树民营企业和民营经济人士拼经济比发展的先进典型，引导广大民营经济人士争做新时代“四个典范”和合格的中国特色社会主义事业建设者。</w:t>
      </w:r>
    </w:p>
    <w:p w14:paraId="283DA286">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sz w:val="32"/>
          <w:szCs w:val="32"/>
        </w:rPr>
        <w:t>（2）注重会员质量，规范推进商协会建设。继续壮大商协会会员队伍。加快会员发展，重点在创新型企业、新兴产业企业中</w:t>
      </w:r>
      <w:r>
        <w:rPr>
          <w:rFonts w:ascii="Times New Roman" w:hAnsi="Times New Roman" w:eastAsia="仿宋_GB2312" w:cs="Times New Roman"/>
          <w:color w:val="000000" w:themeColor="text1"/>
          <w:sz w:val="32"/>
          <w:szCs w:val="32"/>
          <w14:textFill>
            <w14:solidFill>
              <w14:schemeClr w14:val="tx1"/>
            </w14:solidFill>
          </w14:textFill>
        </w:rPr>
        <w:t>发展</w:t>
      </w:r>
      <w:r>
        <w:rPr>
          <w:rFonts w:hint="eastAsia" w:ascii="Times New Roman" w:hAnsi="Times New Roman" w:eastAsia="仿宋_GB2312" w:cs="Times New Roman"/>
          <w:color w:val="000000" w:themeColor="text1"/>
          <w:sz w:val="32"/>
          <w:szCs w:val="32"/>
          <w14:textFill>
            <w14:solidFill>
              <w14:schemeClr w14:val="tx1"/>
            </w14:solidFill>
          </w14:textFill>
        </w:rPr>
        <w:t>商会</w:t>
      </w:r>
      <w:r>
        <w:rPr>
          <w:rFonts w:ascii="Times New Roman" w:hAnsi="Times New Roman" w:eastAsia="仿宋_GB2312" w:cs="Times New Roman"/>
          <w:color w:val="000000" w:themeColor="text1"/>
          <w:sz w:val="32"/>
          <w:szCs w:val="32"/>
          <w14:textFill>
            <w14:solidFill>
              <w14:schemeClr w14:val="tx1"/>
            </w14:solidFill>
          </w14:textFill>
        </w:rPr>
        <w:t>会员</w:t>
      </w:r>
      <w:r>
        <w:rPr>
          <w:rFonts w:ascii="Times New Roman" w:hAnsi="Times New Roman" w:eastAsia="仿宋_GB2312" w:cs="Times New Roman"/>
          <w:color w:val="000000"/>
          <w:sz w:val="32"/>
          <w:szCs w:val="32"/>
        </w:rPr>
        <w:t>，全年新增会员5%以上；加强基层镇商会建设，规范管理，完善会员管理制度，加强动态管理，实现稳妥发展，努力发挥作用。</w:t>
      </w:r>
    </w:p>
    <w:p w14:paraId="46635DEA">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做优经济服务，助力民营企业纾困解难。梳理14个产业专班，排好时间表任务图，常态化召开企业家座谈会，推动企业困难问题化解。大力开展“大走访大调研大服务”活动，持续走访商协会和民营企业，收集整理企业问题和建议，健全民营经济问题处理机制，及时处置回应企业诉求呼声。</w:t>
      </w:r>
    </w:p>
    <w:p w14:paraId="7AF02D5E">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加大招商引资，促进民营企业对外交流合作。加强与区外工商联、商会、商务机构合作，组织企业外出考察学习，举办投资推介、经贸洽谈等交流活动。深化与新疆、重庆、杭州等地工商联（商会）已建立的合作机制，组织企业开展交流对接。积极对接四川省工商联、杭州市区工商联，组织开展“四川民营企业昭化行”和“浙江民营企业昭化行”活动，努力推动项目签约落地。</w:t>
      </w:r>
    </w:p>
    <w:p w14:paraId="5E092DEE">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加强东西协作，积极推进乡村振兴。持续抓好东西部协作“万企兴万村”工作，借助浙广合作契机，与拱墅工商联建立协作机制，搭建交流合作平台，组织企业参与我区乡村振兴行动。加强产业合作和人才交流；积极筹备建立昭化浙江商会，团结在昭浙江企业，努力发挥浙商作用。</w:t>
      </w:r>
    </w:p>
    <w:p w14:paraId="19964491">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强化自身建设，充分发挥各级组织作用。继续抓好“五好”县级工商联建设，以“四好”商会创建为抓手，抓好异地商会班子队伍建设、招商引资、流动人才、退役军人和农民工等工作，配合相关部门举办项目推介会，大力实施“引老乡，建家乡”活动，组织引导企业参加各类投资促进及商贸活动，充分发挥以商招商作用，推动我联工作不断创新开展。</w:t>
      </w:r>
    </w:p>
    <w:p w14:paraId="37B2D4C5">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7" w:name="_Toc26641"/>
      <w:bookmarkStart w:id="8" w:name="_Toc189672151"/>
      <w:r>
        <w:rPr>
          <w:rFonts w:ascii="Times New Roman" w:hAnsi="黑体" w:eastAsia="黑体" w:cs="Times New Roman"/>
          <w:color w:val="000000" w:themeColor="text1"/>
          <w:sz w:val="32"/>
          <w:szCs w:val="32"/>
          <w14:textFill>
            <w14:solidFill>
              <w14:schemeClr w14:val="tx1"/>
            </w14:solidFill>
          </w14:textFill>
        </w:rPr>
        <w:t>二、部门预算单位构成</w:t>
      </w:r>
      <w:bookmarkEnd w:id="7"/>
      <w:bookmarkEnd w:id="8"/>
    </w:p>
    <w:p w14:paraId="043D9DA6">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我单位为一级预算单位，本单位无下属</w:t>
      </w:r>
      <w:r>
        <w:rPr>
          <w:rFonts w:hint="eastAsia" w:ascii="Times New Roman" w:hAnsi="Times New Roman" w:eastAsia="仿宋_GB2312" w:cs="Times New Roman"/>
          <w:color w:val="000000" w:themeColor="text1"/>
          <w:sz w:val="32"/>
          <w:szCs w:val="32"/>
          <w14:textFill>
            <w14:solidFill>
              <w14:schemeClr w14:val="tx1"/>
            </w14:solidFill>
          </w14:textFill>
        </w:rPr>
        <w:t>二级预算单位</w:t>
      </w:r>
      <w:r>
        <w:rPr>
          <w:rFonts w:ascii="Times New Roman" w:hAnsi="Times New Roman" w:eastAsia="仿宋_GB2312" w:cs="Times New Roman"/>
          <w:color w:val="000000" w:themeColor="text1"/>
          <w:sz w:val="32"/>
          <w:szCs w:val="32"/>
          <w14:textFill>
            <w14:solidFill>
              <w14:schemeClr w14:val="tx1"/>
            </w14:solidFill>
          </w14:textFill>
        </w:rPr>
        <w:t>。</w:t>
      </w:r>
    </w:p>
    <w:p w14:paraId="542D8445">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9" w:name="_Toc21744"/>
      <w:bookmarkStart w:id="10" w:name="_Toc189672152"/>
      <w:r>
        <w:rPr>
          <w:rFonts w:ascii="Times New Roman" w:hAnsi="黑体" w:eastAsia="黑体" w:cs="Times New Roman"/>
          <w:color w:val="000000" w:themeColor="text1"/>
          <w:sz w:val="32"/>
          <w:szCs w:val="32"/>
          <w14:textFill>
            <w14:solidFill>
              <w14:schemeClr w14:val="tx1"/>
            </w14:solidFill>
          </w14:textFill>
        </w:rPr>
        <w:t>三、收支预算情况说明</w:t>
      </w:r>
      <w:bookmarkEnd w:id="9"/>
      <w:bookmarkEnd w:id="10"/>
    </w:p>
    <w:p w14:paraId="675761CA">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按照综合预算的原则，区工商联所有收入和支出均纳入部门预算管理。收入包括：一般公共预算拨款收入。支出包括：一般公共服务支出、社会保障和就业支出、卫生健康支出、住房保障支出。2025年收支预算总数159.32万元,比2024年收支预算总数减少20.33万元，主要原因是项目和人员减少。</w:t>
      </w:r>
    </w:p>
    <w:p w14:paraId="2BEF6B9E">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11" w:name="_Toc5486"/>
      <w:bookmarkStart w:id="12" w:name="_Toc189672153"/>
      <w:r>
        <w:rPr>
          <w:rFonts w:ascii="Times New Roman" w:hAnsi="Times New Roman" w:eastAsia="楷体_GB2312" w:cs="Times New Roman"/>
          <w:b/>
          <w:color w:val="000000" w:themeColor="text1"/>
          <w:sz w:val="32"/>
          <w:szCs w:val="32"/>
          <w14:textFill>
            <w14:solidFill>
              <w14:schemeClr w14:val="tx1"/>
            </w14:solidFill>
          </w14:textFill>
        </w:rPr>
        <w:t>（一）收入预算情况</w:t>
      </w:r>
      <w:bookmarkEnd w:id="11"/>
      <w:bookmarkEnd w:id="12"/>
    </w:p>
    <w:p w14:paraId="330559E0">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区工商联2025年部门预算收入总数 159.32万元，较2024年部门预算收入总数179.65万元减少20.33万元，减少11%，主要原因是项目减少。</w:t>
      </w:r>
    </w:p>
    <w:p w14:paraId="67954708">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13" w:name="_Toc189672154"/>
      <w:bookmarkStart w:id="14" w:name="_Toc13910"/>
      <w:r>
        <w:rPr>
          <w:rFonts w:ascii="Times New Roman" w:hAnsi="Times New Roman" w:eastAsia="楷体_GB2312" w:cs="Times New Roman"/>
          <w:b/>
          <w:color w:val="000000" w:themeColor="text1"/>
          <w:sz w:val="32"/>
          <w:szCs w:val="32"/>
          <w14:textFill>
            <w14:solidFill>
              <w14:schemeClr w14:val="tx1"/>
            </w14:solidFill>
          </w14:textFill>
        </w:rPr>
        <w:t>（二）支出预算情况</w:t>
      </w:r>
      <w:bookmarkEnd w:id="13"/>
      <w:bookmarkEnd w:id="14"/>
    </w:p>
    <w:p w14:paraId="7187D732">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2025年部门预算支出预算 159.32万元，部门基本支出预算75.27万元，占47%，部门专项项目预算84.05万元，占53%。</w:t>
      </w:r>
    </w:p>
    <w:p w14:paraId="0313BC5A">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15" w:name="_Toc189672155"/>
      <w:bookmarkStart w:id="16" w:name="_Toc1385"/>
      <w:r>
        <w:rPr>
          <w:rFonts w:ascii="Times New Roman" w:hAnsi="黑体" w:eastAsia="黑体" w:cs="Times New Roman"/>
          <w:color w:val="000000" w:themeColor="text1"/>
          <w:sz w:val="32"/>
          <w:szCs w:val="32"/>
          <w14:textFill>
            <w14:solidFill>
              <w14:schemeClr w14:val="tx1"/>
            </w14:solidFill>
          </w14:textFill>
        </w:rPr>
        <w:t>四、财政拨款收支预算情况说明</w:t>
      </w:r>
      <w:bookmarkEnd w:id="15"/>
      <w:bookmarkEnd w:id="16"/>
    </w:p>
    <w:p w14:paraId="7E2F65A1">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2025年部门预算支出预算 159.32万元，较2024年部门预算支出总数179.65万元减少20.33万元，减少11%，主要原因是项目减少。</w:t>
      </w:r>
    </w:p>
    <w:p w14:paraId="0F8C0531">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收入包括：本年一般公共预算拨款收入159.32万元；支出包括：一般公共服务支出117.85万元、社会保障和就业支出33.99万元、卫生健康支出2.32万元、住房保障支出5.16万元。</w:t>
      </w:r>
    </w:p>
    <w:p w14:paraId="6350DDA9">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17" w:name="_Toc189672156"/>
      <w:bookmarkStart w:id="18" w:name="_Toc14332"/>
      <w:r>
        <w:rPr>
          <w:rFonts w:ascii="Times New Roman" w:hAnsi="黑体" w:eastAsia="黑体" w:cs="Times New Roman"/>
          <w:color w:val="000000" w:themeColor="text1"/>
          <w:sz w:val="32"/>
          <w:szCs w:val="32"/>
          <w14:textFill>
            <w14:solidFill>
              <w14:schemeClr w14:val="tx1"/>
            </w14:solidFill>
          </w14:textFill>
        </w:rPr>
        <w:t>五、一般公共预算当年拨款情况说明</w:t>
      </w:r>
      <w:bookmarkEnd w:id="17"/>
      <w:bookmarkEnd w:id="18"/>
    </w:p>
    <w:p w14:paraId="054CC047">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19" w:name="_Toc24907"/>
      <w:bookmarkStart w:id="20" w:name="_Toc189672157"/>
      <w:r>
        <w:rPr>
          <w:rFonts w:ascii="Times New Roman" w:hAnsi="Times New Roman" w:eastAsia="楷体_GB2312" w:cs="Times New Roman"/>
          <w:b/>
          <w:color w:val="000000" w:themeColor="text1"/>
          <w:sz w:val="32"/>
          <w:szCs w:val="32"/>
          <w14:textFill>
            <w14:solidFill>
              <w14:schemeClr w14:val="tx1"/>
            </w14:solidFill>
          </w14:textFill>
        </w:rPr>
        <w:t>（一）一般公共预算当年拨款规模变化情况</w:t>
      </w:r>
      <w:bookmarkEnd w:id="19"/>
      <w:bookmarkEnd w:id="20"/>
    </w:p>
    <w:p w14:paraId="726321A0">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区工商联2025年一般公共预算当年拨款159.32万元，比2024年预算数减少20.33万元，主要原因是项目减少。</w:t>
      </w:r>
    </w:p>
    <w:p w14:paraId="2C13E6F4">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21" w:name="_Toc189672158"/>
      <w:bookmarkStart w:id="22" w:name="_Toc246"/>
      <w:r>
        <w:rPr>
          <w:rFonts w:ascii="Times New Roman" w:hAnsi="Times New Roman" w:eastAsia="楷体_GB2312" w:cs="Times New Roman"/>
          <w:b/>
          <w:color w:val="000000" w:themeColor="text1"/>
          <w:sz w:val="32"/>
          <w:szCs w:val="32"/>
          <w14:textFill>
            <w14:solidFill>
              <w14:schemeClr w14:val="tx1"/>
            </w14:solidFill>
          </w14:textFill>
        </w:rPr>
        <w:t>（二）一般公共预算当年拨款结构情况</w:t>
      </w:r>
      <w:bookmarkEnd w:id="21"/>
      <w:bookmarkEnd w:id="22"/>
    </w:p>
    <w:p w14:paraId="3C9DBE9A">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一般公共服务支出117.85万元，占74%；社会保障和就业支出33.99万元，占21.3%；卫生健康支出2.32万元，占1.5%；住房保障支出5.16万元，占3.2%。</w:t>
      </w:r>
    </w:p>
    <w:p w14:paraId="0E78B7C1">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23" w:name="_Toc189672159"/>
      <w:bookmarkStart w:id="24" w:name="_Toc29469"/>
      <w:r>
        <w:rPr>
          <w:rFonts w:ascii="Times New Roman" w:hAnsi="Times New Roman" w:eastAsia="楷体_GB2312" w:cs="Times New Roman"/>
          <w:b/>
          <w:color w:val="000000" w:themeColor="text1"/>
          <w:sz w:val="32"/>
          <w:szCs w:val="32"/>
          <w14:textFill>
            <w14:solidFill>
              <w14:schemeClr w14:val="tx1"/>
            </w14:solidFill>
          </w14:textFill>
        </w:rPr>
        <w:t>（三）一般公共预算当年拨款具体使用情况</w:t>
      </w:r>
      <w:bookmarkEnd w:id="23"/>
      <w:bookmarkEnd w:id="24"/>
    </w:p>
    <w:p w14:paraId="3A1CF54A">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1.一般公共服务（201）民主党派及工商联事务（28）行政运行（01）2025年预算数为</w:t>
      </w:r>
      <w:r>
        <w:rPr>
          <w:rFonts w:hint="eastAsia" w:ascii="Times New Roman" w:hAnsi="Times New Roman" w:eastAsia="仿宋_GB2312" w:cs="Times New Roman"/>
          <w:color w:val="000000" w:themeColor="text1"/>
          <w:sz w:val="32"/>
          <w:szCs w:val="32"/>
          <w14:textFill>
            <w14:solidFill>
              <w14:schemeClr w14:val="tx1"/>
            </w14:solidFill>
          </w14:textFill>
        </w:rPr>
        <w:t>52.85</w:t>
      </w:r>
      <w:r>
        <w:rPr>
          <w:rFonts w:ascii="Times New Roman" w:hAnsi="Times New Roman" w:eastAsia="仿宋_GB2312" w:cs="Times New Roman"/>
          <w:color w:val="000000" w:themeColor="text1"/>
          <w:sz w:val="32"/>
          <w:szCs w:val="32"/>
          <w14:textFill>
            <w14:solidFill>
              <w14:schemeClr w14:val="tx1"/>
            </w14:solidFill>
          </w14:textFill>
        </w:rPr>
        <w:t>万元，主要用于：机关正常运转的基本支出，包括基本工资、津补贴、养老、医疗、住房公积金等人员经费以及办公费、印刷费、水电费等日常公用经费和项目工作经费，保障部门正常运转。</w:t>
      </w:r>
    </w:p>
    <w:p w14:paraId="5CDFDDD7">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2.一般公共服务（201）民主党派及工商联事务（28）一般行政管理事务（02）2025年预算数为</w:t>
      </w:r>
      <w:r>
        <w:rPr>
          <w:rFonts w:hint="eastAsia" w:ascii="Times New Roman" w:hAnsi="Times New Roman" w:eastAsia="仿宋_GB2312" w:cs="Times New Roman"/>
          <w:color w:val="000000" w:themeColor="text1"/>
          <w:sz w:val="32"/>
          <w:szCs w:val="32"/>
          <w14:textFill>
            <w14:solidFill>
              <w14:schemeClr w14:val="tx1"/>
            </w14:solidFill>
          </w14:textFill>
        </w:rPr>
        <w:t>65</w:t>
      </w:r>
      <w:r>
        <w:rPr>
          <w:rFonts w:ascii="Times New Roman" w:hAnsi="Times New Roman" w:eastAsia="仿宋_GB2312" w:cs="Times New Roman"/>
          <w:color w:val="000000" w:themeColor="text1"/>
          <w:sz w:val="32"/>
          <w:szCs w:val="32"/>
          <w14:textFill>
            <w14:solidFill>
              <w14:schemeClr w14:val="tx1"/>
            </w14:solidFill>
          </w14:textFill>
        </w:rPr>
        <w:t>万元，主要用于：职业年金做实、驻外商会工作经费、企业家联席和企业家座谈会费用支出。</w:t>
      </w:r>
    </w:p>
    <w:p w14:paraId="3D8E9F19">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3.社会保障和就业（208）行政事业单位养老支出（05）行政单位离退休（01）2025年预算数为8万元，主要用于：退休人员目标奖支出。</w:t>
      </w:r>
    </w:p>
    <w:p w14:paraId="7E636BAA">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4.社会保障和就业（208）行政事业单位养老支出（05）机关事业单位职业年金缴费支出（06）2025年预算数为19.05万元，主要用于：实施养老保险制度由单位缴纳的职业年金支出</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1CB055DC">
      <w:pPr>
        <w:overflowPunct w:val="0"/>
        <w:spacing w:line="576"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.社会保障和就业（类）行政事业单位养老支出（款）机关事业单位基本养老保险缴费支出（项）</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年预算数为</w:t>
      </w:r>
      <w:r>
        <w:rPr>
          <w:rFonts w:hint="eastAsia" w:ascii="Times New Roman" w:hAnsi="Times New Roman" w:eastAsia="仿宋_GB2312" w:cs="仿宋_GB2312"/>
          <w:sz w:val="32"/>
          <w:szCs w:val="32"/>
        </w:rPr>
        <w:t>6.94</w:t>
      </w:r>
      <w:r>
        <w:rPr>
          <w:rFonts w:hint="eastAsia" w:ascii="仿宋_GB2312" w:hAnsi="仿宋_GB2312" w:eastAsia="仿宋_GB2312" w:cs="仿宋_GB2312"/>
          <w:sz w:val="32"/>
          <w:szCs w:val="32"/>
        </w:rPr>
        <w:t>万元，主要用于：实施养老保险制度由单位缴纳的基本养老保险支出。</w:t>
      </w:r>
    </w:p>
    <w:p w14:paraId="3A03FD24">
      <w:pPr>
        <w:overflowPunct w:val="0"/>
        <w:spacing w:line="576"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.卫生健康（类）行政事业单位医疗（款）行政单位医疗（项）</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年预算数为</w:t>
      </w:r>
      <w:r>
        <w:rPr>
          <w:rFonts w:hint="eastAsia" w:ascii="Times New Roman" w:hAnsi="Times New Roman" w:eastAsia="仿宋_GB2312" w:cs="仿宋_GB2312"/>
          <w:sz w:val="32"/>
          <w:szCs w:val="32"/>
        </w:rPr>
        <w:t>2.32</w:t>
      </w:r>
      <w:r>
        <w:rPr>
          <w:rFonts w:hint="eastAsia" w:ascii="仿宋_GB2312" w:hAnsi="仿宋_GB2312" w:eastAsia="仿宋_GB2312" w:cs="仿宋_GB2312"/>
          <w:sz w:val="32"/>
          <w:szCs w:val="32"/>
        </w:rPr>
        <w:t>万元，主要用于：机关及参公管理事业单位按规定由单位缴纳的基本医疗保险支出。</w:t>
      </w:r>
    </w:p>
    <w:p w14:paraId="63BE0880">
      <w:pPr>
        <w:overflowPunct w:val="0"/>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.住房保障（类）住房改革支出（款）住房公积金（项）</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年预算数为5.16万元，主要用于：部门按规定为职工缴纳的住房公积金支出。</w:t>
      </w:r>
    </w:p>
    <w:p w14:paraId="09F7EA33">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25" w:name="_Toc32097"/>
      <w:bookmarkStart w:id="26" w:name="_Toc189672160"/>
      <w:r>
        <w:rPr>
          <w:rFonts w:ascii="Times New Roman" w:hAnsi="黑体" w:eastAsia="黑体" w:cs="Times New Roman"/>
          <w:color w:val="000000" w:themeColor="text1"/>
          <w:sz w:val="32"/>
          <w:szCs w:val="32"/>
          <w14:textFill>
            <w14:solidFill>
              <w14:schemeClr w14:val="tx1"/>
            </w14:solidFill>
          </w14:textFill>
        </w:rPr>
        <w:t>六、一般公共预算基本支出情况说明</w:t>
      </w:r>
      <w:bookmarkEnd w:id="25"/>
      <w:bookmarkEnd w:id="26"/>
    </w:p>
    <w:p w14:paraId="63C8FA5C">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区工商联2025年一般公共预算基本支出75.27万元，其中：</w:t>
      </w:r>
    </w:p>
    <w:p w14:paraId="6DAC3C5A">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人员经费66.</w:t>
      </w:r>
      <w:r>
        <w:rPr>
          <w:rFonts w:hint="eastAsia" w:ascii="Times New Roman" w:hAnsi="Times New Roman" w:eastAsia="仿宋_GB2312" w:cs="Times New Roman"/>
          <w:color w:val="000000" w:themeColor="text1"/>
          <w:sz w:val="32"/>
          <w:szCs w:val="32"/>
          <w14:textFill>
            <w14:solidFill>
              <w14:schemeClr w14:val="tx1"/>
            </w14:solidFill>
          </w14:textFill>
        </w:rPr>
        <w:t>55</w:t>
      </w:r>
      <w:r>
        <w:rPr>
          <w:rFonts w:ascii="Times New Roman" w:hAnsi="Times New Roman" w:eastAsia="仿宋_GB2312" w:cs="Times New Roman"/>
          <w:color w:val="000000" w:themeColor="text1"/>
          <w:sz w:val="32"/>
          <w:szCs w:val="32"/>
          <w14:textFill>
            <w14:solidFill>
              <w14:schemeClr w14:val="tx1"/>
            </w14:solidFill>
          </w14:textFill>
        </w:rPr>
        <w:t>万元，主要包括：基本工资、津贴补贴、奖金、社会保险缴费、住房公积金等支出。</w:t>
      </w:r>
    </w:p>
    <w:p w14:paraId="35643EF0">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公用经费8.</w:t>
      </w:r>
      <w:r>
        <w:rPr>
          <w:rFonts w:hint="eastAsia" w:ascii="Times New Roman" w:hAnsi="Times New Roman" w:eastAsia="仿宋_GB2312" w:cs="Times New Roman"/>
          <w:color w:val="000000" w:themeColor="text1"/>
          <w:sz w:val="32"/>
          <w:szCs w:val="32"/>
          <w14:textFill>
            <w14:solidFill>
              <w14:schemeClr w14:val="tx1"/>
            </w14:solidFill>
          </w14:textFill>
        </w:rPr>
        <w:t>72</w:t>
      </w:r>
      <w:r>
        <w:rPr>
          <w:rFonts w:ascii="Times New Roman" w:hAnsi="Times New Roman" w:eastAsia="仿宋_GB2312" w:cs="Times New Roman"/>
          <w:color w:val="000000" w:themeColor="text1"/>
          <w:sz w:val="32"/>
          <w:szCs w:val="32"/>
          <w14:textFill>
            <w14:solidFill>
              <w14:schemeClr w14:val="tx1"/>
            </w14:solidFill>
          </w14:textFill>
        </w:rPr>
        <w:t>万元，主要包括：办公费、印刷费、水费、电费、邮电费、差旅费、会议费、培训费、公务接待费、工会经费、其他交通费用等支出。</w:t>
      </w:r>
    </w:p>
    <w:p w14:paraId="4B666090">
      <w:pPr>
        <w:numPr>
          <w:ilvl w:val="0"/>
          <w:numId w:val="1"/>
        </w:numPr>
        <w:spacing w:line="576" w:lineRule="exact"/>
        <w:ind w:firstLine="640" w:firstLineChars="200"/>
        <w:outlineLvl w:val="0"/>
        <w:rPr>
          <w:rFonts w:ascii="Times New Roman" w:hAnsi="黑体" w:eastAsia="黑体" w:cs="Times New Roman"/>
          <w:color w:val="000000" w:themeColor="text1"/>
          <w:sz w:val="32"/>
          <w:szCs w:val="32"/>
          <w14:textFill>
            <w14:solidFill>
              <w14:schemeClr w14:val="tx1"/>
            </w14:solidFill>
          </w14:textFill>
        </w:rPr>
      </w:pPr>
      <w:bookmarkStart w:id="27" w:name="_Toc32727"/>
      <w:bookmarkStart w:id="28" w:name="_Toc189672161"/>
      <w:r>
        <w:rPr>
          <w:rFonts w:ascii="Times New Roman" w:hAnsi="Times New Roman" w:eastAsia="黑体" w:cs="Times New Roman"/>
          <w:color w:val="000000" w:themeColor="text1"/>
          <w:sz w:val="32"/>
          <w:szCs w:val="32"/>
          <w14:textFill>
            <w14:solidFill>
              <w14:schemeClr w14:val="tx1"/>
            </w14:solidFill>
          </w14:textFill>
        </w:rPr>
        <w:t>“</w:t>
      </w:r>
      <w:r>
        <w:rPr>
          <w:rFonts w:ascii="Times New Roman" w:hAnsi="黑体" w:eastAsia="黑体" w:cs="Times New Roman"/>
          <w:color w:val="000000" w:themeColor="text1"/>
          <w:sz w:val="32"/>
          <w:szCs w:val="32"/>
          <w14:textFill>
            <w14:solidFill>
              <w14:schemeClr w14:val="tx1"/>
            </w14:solidFill>
          </w14:textFill>
        </w:rPr>
        <w:t>三公</w:t>
      </w:r>
      <w:r>
        <w:rPr>
          <w:rFonts w:ascii="Times New Roman" w:hAnsi="Times New Roman" w:eastAsia="黑体" w:cs="Times New Roman"/>
          <w:color w:val="000000" w:themeColor="text1"/>
          <w:sz w:val="32"/>
          <w:szCs w:val="32"/>
          <w14:textFill>
            <w14:solidFill>
              <w14:schemeClr w14:val="tx1"/>
            </w14:solidFill>
          </w14:textFill>
        </w:rPr>
        <w:t>”</w:t>
      </w:r>
      <w:r>
        <w:rPr>
          <w:rFonts w:ascii="Times New Roman" w:hAnsi="黑体" w:eastAsia="黑体" w:cs="Times New Roman"/>
          <w:color w:val="000000" w:themeColor="text1"/>
          <w:sz w:val="32"/>
          <w:szCs w:val="32"/>
          <w14:textFill>
            <w14:solidFill>
              <w14:schemeClr w14:val="tx1"/>
            </w14:solidFill>
          </w14:textFill>
        </w:rPr>
        <w:t>经费财政拨款预算安排情况说明</w:t>
      </w:r>
      <w:bookmarkEnd w:id="27"/>
      <w:bookmarkEnd w:id="28"/>
    </w:p>
    <w:p w14:paraId="48DF4ABE">
      <w:pPr>
        <w:overflowPunct w:val="0"/>
        <w:spacing w:line="576" w:lineRule="exact"/>
        <w:ind w:firstLine="640" w:firstLineChars="200"/>
      </w:pPr>
      <w:r>
        <w:rPr>
          <w:rFonts w:ascii="Times New Roman" w:hAnsi="Times New Roman" w:eastAsia="仿宋_GB2312" w:cs="Times New Roman"/>
          <w:color w:val="000000" w:themeColor="text1"/>
          <w:sz w:val="32"/>
          <w:szCs w:val="32"/>
          <w14:textFill>
            <w14:solidFill>
              <w14:schemeClr w14:val="tx1"/>
            </w14:solidFill>
          </w14:textFill>
        </w:rPr>
        <w:t>区工商联</w:t>
      </w:r>
      <w:r>
        <w:rPr>
          <w:rFonts w:hint="eastAsia" w:ascii="Times New Roman" w:hAnsi="Times New Roman" w:eastAsia="仿宋_GB2312" w:cs="仿宋_GB2312"/>
          <w:sz w:val="32"/>
          <w:szCs w:val="32"/>
        </w:rPr>
        <w:t>2025</w:t>
      </w:r>
      <w:r>
        <w:rPr>
          <w:rFonts w:hint="eastAsia" w:ascii="仿宋_GB2312" w:hAnsi="仿宋_GB2312" w:eastAsia="仿宋_GB2312" w:cs="仿宋_GB2312"/>
          <w:sz w:val="32"/>
          <w:szCs w:val="32"/>
        </w:rPr>
        <w:t>年“三公”经费财政拨款预算数</w:t>
      </w:r>
      <w:r>
        <w:rPr>
          <w:rFonts w:hint="eastAsia" w:ascii="Times New Roman" w:hAnsi="Times New Roman" w:eastAsia="仿宋_GB2312" w:cs="仿宋_GB2312"/>
          <w:sz w:val="32"/>
          <w:szCs w:val="32"/>
        </w:rPr>
        <w:t>1.12</w:t>
      </w:r>
      <w:r>
        <w:rPr>
          <w:rFonts w:hint="eastAsia" w:ascii="仿宋_GB2312" w:hAnsi="仿宋_GB2312" w:eastAsia="仿宋_GB2312" w:cs="仿宋_GB2312"/>
          <w:sz w:val="32"/>
          <w:szCs w:val="32"/>
        </w:rPr>
        <w:t>万元，其中：公务接待费</w:t>
      </w:r>
      <w:r>
        <w:rPr>
          <w:rFonts w:hint="eastAsia" w:ascii="Times New Roman" w:hAnsi="Times New Roman" w:eastAsia="仿宋_GB2312" w:cs="仿宋_GB2312"/>
          <w:sz w:val="32"/>
          <w:szCs w:val="32"/>
        </w:rPr>
        <w:t>1.12</w:t>
      </w:r>
      <w:r>
        <w:rPr>
          <w:rFonts w:hint="eastAsia" w:ascii="仿宋_GB2312" w:hAnsi="仿宋_GB2312" w:eastAsia="仿宋_GB2312" w:cs="仿宋_GB2312"/>
          <w:sz w:val="32"/>
          <w:szCs w:val="32"/>
        </w:rPr>
        <w:t>元，公务用车购置及运行维护费</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万元，因公出国（境）经费</w:t>
      </w:r>
      <w:r>
        <w:rPr>
          <w:rFonts w:hint="eastAsia" w:ascii="Times New Roman" w:hAnsi="Times New Roman" w:eastAsia="仿宋_GB2312" w:cs="仿宋_GB2312"/>
          <w:sz w:val="32"/>
          <w:szCs w:val="32"/>
        </w:rPr>
        <w:t>0</w:t>
      </w:r>
      <w:r>
        <w:rPr>
          <w:rFonts w:hint="eastAsia" w:ascii="仿宋_GB2312" w:hAnsi="仿宋_GB2312" w:eastAsia="仿宋_GB2312" w:cs="仿宋_GB2312"/>
          <w:sz w:val="32"/>
          <w:szCs w:val="32"/>
        </w:rPr>
        <w:t>万元。</w:t>
      </w:r>
    </w:p>
    <w:p w14:paraId="352729FA">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29" w:name="_Toc189672162"/>
      <w:bookmarkStart w:id="30" w:name="_Toc2658"/>
      <w:r>
        <w:rPr>
          <w:rFonts w:ascii="Times New Roman" w:hAnsi="Times New Roman" w:eastAsia="楷体_GB2312" w:cs="Times New Roman"/>
          <w:b/>
          <w:color w:val="000000" w:themeColor="text1"/>
          <w:sz w:val="32"/>
          <w:szCs w:val="32"/>
          <w14:textFill>
            <w14:solidFill>
              <w14:schemeClr w14:val="tx1"/>
            </w14:solidFill>
          </w14:textFill>
        </w:rPr>
        <w:t>（一）公务接待费</w:t>
      </w:r>
      <w:bookmarkEnd w:id="29"/>
      <w:bookmarkEnd w:id="30"/>
    </w:p>
    <w:p w14:paraId="5F79BBDB">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公务接待费与2024年预算相比持平。</w:t>
      </w:r>
    </w:p>
    <w:p w14:paraId="3BFA422F">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2025年公务接待费计划用于执行接待考察调研、检查指导等公务活动开支的交通费、住宿费、用餐费等。</w:t>
      </w:r>
    </w:p>
    <w:p w14:paraId="7CDFF5EA">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31" w:name="_Toc189672163"/>
      <w:bookmarkStart w:id="32" w:name="_Toc5103"/>
      <w:r>
        <w:rPr>
          <w:rFonts w:ascii="Times New Roman" w:hAnsi="Times New Roman" w:eastAsia="楷体_GB2312" w:cs="Times New Roman"/>
          <w:b/>
          <w:color w:val="000000" w:themeColor="text1"/>
          <w:sz w:val="32"/>
          <w:szCs w:val="32"/>
          <w14:textFill>
            <w14:solidFill>
              <w14:schemeClr w14:val="tx1"/>
            </w14:solidFill>
          </w14:textFill>
        </w:rPr>
        <w:t>（二）公务用车购置及运行维护费</w:t>
      </w:r>
      <w:bookmarkEnd w:id="31"/>
      <w:bookmarkEnd w:id="32"/>
    </w:p>
    <w:p w14:paraId="116F3624">
      <w:pPr>
        <w:spacing w:line="576" w:lineRule="exact"/>
        <w:ind w:firstLine="640" w:firstLineChars="200"/>
        <w:rPr>
          <w:rFonts w:ascii="仿宋_GB2312" w:hAnsi="仿宋_GB2312" w:eastAsia="仿宋_GB2312" w:cs="仿宋_GB2312"/>
          <w:sz w:val="32"/>
          <w:szCs w:val="32"/>
        </w:rPr>
      </w:pPr>
      <w:bookmarkStart w:id="33" w:name="_Toc189672164"/>
      <w:r>
        <w:rPr>
          <w:rFonts w:hint="eastAsia" w:ascii="仿宋_GB2312" w:hAnsi="仿宋_GB2312" w:eastAsia="仿宋_GB2312" w:cs="仿宋_GB2312"/>
          <w:sz w:val="32"/>
          <w:szCs w:val="32"/>
        </w:rPr>
        <w:t>单位现有公务用车0辆。</w:t>
      </w:r>
    </w:p>
    <w:p w14:paraId="664E0772">
      <w:pPr>
        <w:spacing w:line="576"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2025年安排公务用车购置费0万元。</w:t>
      </w:r>
    </w:p>
    <w:p w14:paraId="5ABA6809">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2025年安排公务用车运行维护费0万元。</w:t>
      </w:r>
    </w:p>
    <w:p w14:paraId="3F4AD4F9">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34" w:name="_Toc7916"/>
      <w:r>
        <w:rPr>
          <w:rFonts w:ascii="Times New Roman" w:hAnsi="Times New Roman" w:eastAsia="楷体_GB2312" w:cs="Times New Roman"/>
          <w:b/>
          <w:color w:val="000000" w:themeColor="text1"/>
          <w:sz w:val="32"/>
          <w:szCs w:val="32"/>
          <w14:textFill>
            <w14:solidFill>
              <w14:schemeClr w14:val="tx1"/>
            </w14:solidFill>
          </w14:textFill>
        </w:rPr>
        <w:t>（三）因公出国（境）经费</w:t>
      </w:r>
      <w:bookmarkEnd w:id="33"/>
      <w:bookmarkEnd w:id="34"/>
    </w:p>
    <w:p w14:paraId="7E30C365">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无因公出国（境）经费</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67219FC1">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35" w:name="_Toc189672165"/>
      <w:bookmarkStart w:id="36" w:name="_Toc23931"/>
      <w:r>
        <w:rPr>
          <w:rFonts w:ascii="Times New Roman" w:hAnsi="黑体" w:eastAsia="黑体" w:cs="Times New Roman"/>
          <w:color w:val="000000" w:themeColor="text1"/>
          <w:sz w:val="32"/>
          <w:szCs w:val="32"/>
          <w14:textFill>
            <w14:solidFill>
              <w14:schemeClr w14:val="tx1"/>
            </w14:solidFill>
          </w14:textFill>
        </w:rPr>
        <w:t>八、政府性基金预算支出情况说明</w:t>
      </w:r>
      <w:bookmarkEnd w:id="35"/>
      <w:bookmarkEnd w:id="36"/>
    </w:p>
    <w:p w14:paraId="760A0185">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区工商联2025年无政府性基金预算拨款安排的支出</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682C6134">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37" w:name="_Toc189672166"/>
      <w:bookmarkStart w:id="38" w:name="_Toc16360"/>
      <w:r>
        <w:rPr>
          <w:rFonts w:ascii="Times New Roman" w:hAnsi="黑体" w:eastAsia="黑体" w:cs="Times New Roman"/>
          <w:color w:val="000000" w:themeColor="text1"/>
          <w:sz w:val="32"/>
          <w:szCs w:val="32"/>
          <w14:textFill>
            <w14:solidFill>
              <w14:schemeClr w14:val="tx1"/>
            </w14:solidFill>
          </w14:textFill>
        </w:rPr>
        <w:t>九、国有资本经营预算支出情况说明</w:t>
      </w:r>
      <w:bookmarkEnd w:id="37"/>
      <w:bookmarkEnd w:id="38"/>
    </w:p>
    <w:p w14:paraId="781C946F">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区工商联2025年无国有资本经营预算拨款安排的支出。</w:t>
      </w:r>
    </w:p>
    <w:p w14:paraId="3C544C1B">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39" w:name="_Toc189672167"/>
      <w:bookmarkStart w:id="40" w:name="_Toc18500"/>
      <w:r>
        <w:rPr>
          <w:rFonts w:ascii="Times New Roman" w:hAnsi="黑体" w:eastAsia="黑体" w:cs="Times New Roman"/>
          <w:color w:val="000000" w:themeColor="text1"/>
          <w:sz w:val="32"/>
          <w:szCs w:val="32"/>
          <w14:textFill>
            <w14:solidFill>
              <w14:schemeClr w14:val="tx1"/>
            </w14:solidFill>
          </w14:textFill>
        </w:rPr>
        <w:t>十、其他重要事项的情况说明</w:t>
      </w:r>
      <w:bookmarkEnd w:id="39"/>
      <w:bookmarkEnd w:id="40"/>
    </w:p>
    <w:p w14:paraId="1ECC68CB">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41" w:name="_Toc17017"/>
      <w:bookmarkStart w:id="42" w:name="_Toc189672168"/>
      <w:r>
        <w:rPr>
          <w:rFonts w:ascii="Times New Roman" w:hAnsi="Times New Roman" w:eastAsia="楷体_GB2312" w:cs="Times New Roman"/>
          <w:b/>
          <w:color w:val="000000" w:themeColor="text1"/>
          <w:sz w:val="32"/>
          <w:szCs w:val="32"/>
          <w14:textFill>
            <w14:solidFill>
              <w14:schemeClr w14:val="tx1"/>
            </w14:solidFill>
          </w14:textFill>
        </w:rPr>
        <w:t>（一）国有资产占有使用情况</w:t>
      </w:r>
      <w:bookmarkEnd w:id="41"/>
      <w:bookmarkEnd w:id="42"/>
    </w:p>
    <w:p w14:paraId="7ACB6AC3">
      <w:pPr>
        <w:spacing w:line="576" w:lineRule="exact"/>
        <w:ind w:firstLine="640" w:firstLineChars="200"/>
        <w:rPr>
          <w:rFonts w:ascii="仿宋_GB2312" w:hAnsi="仿宋_GB2312" w:eastAsia="仿宋_GB2312" w:cs="仿宋_GB2312"/>
          <w:sz w:val="32"/>
          <w:szCs w:val="32"/>
        </w:rPr>
      </w:pPr>
      <w:bookmarkStart w:id="43" w:name="_Toc189672169"/>
      <w:r>
        <w:rPr>
          <w:rFonts w:hint="eastAsia" w:ascii="仿宋_GB2312" w:hAnsi="仿宋_GB2312" w:eastAsia="仿宋_GB2312" w:cs="仿宋_GB2312"/>
          <w:sz w:val="32"/>
          <w:szCs w:val="32"/>
        </w:rPr>
        <w:t>截至2024年底，我单位共有车辆0辆，其中，领导干部用车0辆、定向保障用车0辆、执法执勤用车0辆。</w:t>
      </w:r>
    </w:p>
    <w:p w14:paraId="60D6948B">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2025年部门预算安排车辆购置经费0万元。</w:t>
      </w:r>
    </w:p>
    <w:p w14:paraId="5FC8D806">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44" w:name="_Toc29555"/>
      <w:r>
        <w:rPr>
          <w:rFonts w:ascii="Times New Roman" w:hAnsi="Times New Roman" w:eastAsia="楷体_GB2312" w:cs="Times New Roman"/>
          <w:b/>
          <w:color w:val="000000" w:themeColor="text1"/>
          <w:sz w:val="32"/>
          <w:szCs w:val="32"/>
          <w14:textFill>
            <w14:solidFill>
              <w14:schemeClr w14:val="tx1"/>
            </w14:solidFill>
          </w14:textFill>
        </w:rPr>
        <w:t>（二）政府采购情况</w:t>
      </w:r>
      <w:bookmarkEnd w:id="43"/>
      <w:bookmarkEnd w:id="44"/>
    </w:p>
    <w:p w14:paraId="5C013689">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2025年本单位无政府采购预算。</w:t>
      </w:r>
    </w:p>
    <w:p w14:paraId="234EE9C0">
      <w:pPr>
        <w:spacing w:line="576" w:lineRule="exact"/>
        <w:ind w:firstLine="640" w:firstLineChars="200"/>
        <w:outlineLvl w:val="1"/>
        <w:rPr>
          <w:rFonts w:ascii="Times New Roman" w:hAnsi="Times New Roman" w:eastAsia="楷体_GB2312" w:cs="Times New Roman"/>
          <w:b/>
          <w:color w:val="000000" w:themeColor="text1"/>
          <w:sz w:val="32"/>
          <w:szCs w:val="32"/>
          <w14:textFill>
            <w14:solidFill>
              <w14:schemeClr w14:val="tx1"/>
            </w14:solidFill>
          </w14:textFill>
        </w:rPr>
      </w:pPr>
      <w:bookmarkStart w:id="45" w:name="_Toc13672"/>
      <w:bookmarkStart w:id="46" w:name="_Toc189672170"/>
      <w:r>
        <w:rPr>
          <w:rFonts w:ascii="Times New Roman" w:hAnsi="Times New Roman" w:eastAsia="楷体_GB2312" w:cs="Times New Roman"/>
          <w:b/>
          <w:color w:val="000000" w:themeColor="text1"/>
          <w:sz w:val="32"/>
          <w:szCs w:val="32"/>
          <w14:textFill>
            <w14:solidFill>
              <w14:schemeClr w14:val="tx1"/>
            </w14:solidFill>
          </w14:textFill>
        </w:rPr>
        <w:t>（三）绩效目标设置情况</w:t>
      </w:r>
      <w:bookmarkEnd w:id="45"/>
      <w:bookmarkEnd w:id="46"/>
    </w:p>
    <w:p w14:paraId="54AE8AFD">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2025年区工商联开展绩效目标管理的项目6个，涉及预算92.77万元。其中：</w:t>
      </w:r>
      <w:r>
        <w:rPr>
          <w:rFonts w:hint="eastAsia" w:ascii="Times New Roman" w:hAnsi="Times New Roman" w:eastAsia="仿宋_GB2312" w:cs="Times New Roman"/>
          <w:color w:val="000000" w:themeColor="text1"/>
          <w:sz w:val="32"/>
          <w:szCs w:val="32"/>
          <w14:textFill>
            <w14:solidFill>
              <w14:schemeClr w14:val="tx1"/>
            </w14:solidFill>
          </w14:textFill>
        </w:rPr>
        <w:t>人员类项目（定额公用经费、公务交通补贴）2个</w:t>
      </w:r>
      <w:r>
        <w:rPr>
          <w:rFonts w:ascii="Times New Roman" w:hAnsi="Times New Roman" w:eastAsia="仿宋_GB2312" w:cs="Times New Roman"/>
          <w:color w:val="000000" w:themeColor="text1"/>
          <w:sz w:val="32"/>
          <w:szCs w:val="32"/>
          <w14:textFill>
            <w14:solidFill>
              <w14:schemeClr w14:val="tx1"/>
            </w14:solidFill>
          </w14:textFill>
        </w:rPr>
        <w:t xml:space="preserve">，涉及预算 </w:t>
      </w:r>
      <w:r>
        <w:rPr>
          <w:rFonts w:hint="eastAsia" w:ascii="Times New Roman" w:hAnsi="Times New Roman" w:eastAsia="仿宋_GB2312" w:cs="Times New Roman"/>
          <w:color w:val="000000" w:themeColor="text1"/>
          <w:sz w:val="32"/>
          <w:szCs w:val="32"/>
          <w14:textFill>
            <w14:solidFill>
              <w14:schemeClr w14:val="tx1"/>
            </w14:solidFill>
          </w14:textFill>
        </w:rPr>
        <w:t>8.72</w:t>
      </w:r>
      <w:r>
        <w:rPr>
          <w:rFonts w:ascii="Times New Roman" w:hAnsi="Times New Roman" w:eastAsia="仿宋_GB2312" w:cs="Times New Roman"/>
          <w:color w:val="000000" w:themeColor="text1"/>
          <w:sz w:val="32"/>
          <w:szCs w:val="32"/>
          <w14:textFill>
            <w14:solidFill>
              <w14:schemeClr w14:val="tx1"/>
            </w14:solidFill>
          </w14:textFill>
        </w:rPr>
        <w:t>万元；运转类项目</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个，涉及预算</w:t>
      </w:r>
      <w:r>
        <w:rPr>
          <w:rFonts w:hint="eastAsia" w:ascii="Times New Roman" w:hAnsi="Times New Roman" w:eastAsia="仿宋_GB2312" w:cs="Times New Roman"/>
          <w:color w:val="000000" w:themeColor="text1"/>
          <w:sz w:val="32"/>
          <w:szCs w:val="32"/>
          <w14:textFill>
            <w14:solidFill>
              <w14:schemeClr w14:val="tx1"/>
            </w14:solidFill>
          </w14:textFill>
        </w:rPr>
        <w:t>84.05</w:t>
      </w:r>
      <w:r>
        <w:rPr>
          <w:rFonts w:ascii="Times New Roman" w:hAnsi="Times New Roman" w:eastAsia="仿宋_GB2312" w:cs="Times New Roman"/>
          <w:color w:val="000000"/>
          <w:sz w:val="32"/>
          <w:szCs w:val="32"/>
        </w:rPr>
        <w:t>万</w:t>
      </w:r>
      <w:r>
        <w:rPr>
          <w:rFonts w:ascii="Times New Roman" w:hAnsi="Times New Roman" w:eastAsia="仿宋_GB2312" w:cs="Times New Roman"/>
          <w:color w:val="000000" w:themeColor="text1"/>
          <w:sz w:val="32"/>
          <w:szCs w:val="32"/>
          <w14:textFill>
            <w14:solidFill>
              <w14:schemeClr w14:val="tx1"/>
            </w14:solidFill>
          </w14:textFill>
        </w:rPr>
        <w:t>元</w:t>
      </w:r>
      <w:r>
        <w:rPr>
          <w:rFonts w:ascii="Times New Roman" w:hAnsi="Times New Roman" w:eastAsia="仿宋_GB2312" w:cs="Times New Roman"/>
          <w:color w:val="000000"/>
          <w:sz w:val="32"/>
          <w:szCs w:val="32"/>
        </w:rPr>
        <w:t>。</w:t>
      </w:r>
    </w:p>
    <w:p w14:paraId="464BD23B">
      <w:pPr>
        <w:spacing w:line="576"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bookmarkStart w:id="47" w:name="_Toc189672171"/>
      <w:bookmarkStart w:id="48" w:name="_Toc5580"/>
      <w:r>
        <w:rPr>
          <w:rFonts w:ascii="Times New Roman" w:hAnsi="黑体" w:eastAsia="黑体" w:cs="Times New Roman"/>
          <w:color w:val="000000" w:themeColor="text1"/>
          <w:sz w:val="32"/>
          <w:szCs w:val="32"/>
          <w14:textFill>
            <w14:solidFill>
              <w14:schemeClr w14:val="tx1"/>
            </w14:solidFill>
          </w14:textFill>
        </w:rPr>
        <w:t>十一、名词解释</w:t>
      </w:r>
      <w:bookmarkEnd w:id="47"/>
      <w:bookmarkEnd w:id="48"/>
    </w:p>
    <w:p w14:paraId="31671E85">
      <w:pPr>
        <w:spacing w:line="576" w:lineRule="exact"/>
        <w:ind w:firstLine="640" w:firstLineChars="200"/>
        <w:outlineLvl w:val="1"/>
        <w:rPr>
          <w:rFonts w:ascii="Times New Roman" w:hAnsi="Times New Roman" w:eastAsia="仿宋_GB2312" w:cs="Times New Roman"/>
          <w:color w:val="000000" w:themeColor="text1"/>
          <w:sz w:val="32"/>
          <w:szCs w:val="32"/>
          <w14:textFill>
            <w14:solidFill>
              <w14:schemeClr w14:val="tx1"/>
            </w14:solidFill>
          </w14:textFill>
        </w:rPr>
      </w:pPr>
      <w:bookmarkStart w:id="49" w:name="_Toc21255"/>
      <w:r>
        <w:rPr>
          <w:rFonts w:ascii="Times New Roman" w:hAnsi="Times New Roman" w:eastAsia="楷体_GB2312" w:cs="Times New Roman"/>
          <w:b/>
          <w:color w:val="000000" w:themeColor="text1"/>
          <w:sz w:val="32"/>
          <w:szCs w:val="32"/>
          <w14:textFill>
            <w14:solidFill>
              <w14:schemeClr w14:val="tx1"/>
            </w14:solidFill>
          </w14:textFill>
        </w:rPr>
        <w:t>（一）一般公共预算拨款收入：</w:t>
      </w:r>
      <w:r>
        <w:rPr>
          <w:rFonts w:ascii="Times New Roman" w:hAnsi="Times New Roman" w:eastAsia="仿宋_GB2312" w:cs="Times New Roman"/>
          <w:color w:val="000000" w:themeColor="text1"/>
          <w:sz w:val="32"/>
          <w:szCs w:val="32"/>
          <w14:textFill>
            <w14:solidFill>
              <w14:schemeClr w14:val="tx1"/>
            </w14:solidFill>
          </w14:textFill>
        </w:rPr>
        <w:t>指区级财政当年拨付的资金。</w:t>
      </w:r>
      <w:bookmarkEnd w:id="49"/>
    </w:p>
    <w:p w14:paraId="066878B3">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（二）一般公共服务（类）民主党派及工商联事务（款）行政运行（项）：</w:t>
      </w:r>
      <w:r>
        <w:rPr>
          <w:rFonts w:ascii="Times New Roman" w:hAnsi="Times New Roman" w:eastAsia="仿宋_GB2312" w:cs="Times New Roman"/>
          <w:color w:val="000000" w:themeColor="text1"/>
          <w:sz w:val="32"/>
          <w:szCs w:val="32"/>
          <w14:textFill>
            <w14:solidFill>
              <w14:schemeClr w14:val="tx1"/>
            </w14:solidFill>
          </w14:textFill>
        </w:rPr>
        <w:t>指机关单位用于保障机构正常运行、开展日常工作的基本支出。</w:t>
      </w:r>
    </w:p>
    <w:p w14:paraId="38AB0C3E">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（三）一般公共服务（类）民主党派及工商联事务（款）其他民主党派及工商联事务（项）：</w:t>
      </w:r>
      <w:r>
        <w:rPr>
          <w:rFonts w:ascii="Times New Roman" w:hAnsi="Times New Roman" w:eastAsia="仿宋_GB2312" w:cs="Times New Roman"/>
          <w:color w:val="000000" w:themeColor="text1"/>
          <w:sz w:val="32"/>
          <w:szCs w:val="32"/>
          <w14:textFill>
            <w14:solidFill>
              <w14:schemeClr w14:val="tx1"/>
            </w14:solidFill>
          </w14:textFill>
        </w:rPr>
        <w:t>其他民主党派及工商联事务方面的支出。</w:t>
      </w:r>
    </w:p>
    <w:p w14:paraId="6A7C8143">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（四）社会保障和就业（类）行政事业单位养老支出（款）机关事业单位基本养老保险缴费支出（项）：</w:t>
      </w:r>
      <w:r>
        <w:rPr>
          <w:rFonts w:ascii="Times New Roman" w:hAnsi="Times New Roman" w:eastAsia="仿宋_GB2312" w:cs="Times New Roman"/>
          <w:color w:val="000000" w:themeColor="text1"/>
          <w:sz w:val="32"/>
          <w:szCs w:val="32"/>
          <w14:textFill>
            <w14:solidFill>
              <w14:schemeClr w14:val="tx1"/>
            </w14:solidFill>
          </w14:textFill>
        </w:rPr>
        <w:t>指部门实施养老保险制度由单位缴纳的养老保险费的支出。</w:t>
      </w:r>
    </w:p>
    <w:p w14:paraId="5B9798B9">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（五）社会保障和就业（类）行政事业单位养老支出（款）机关事业单位职业年金缴费支出（项）：</w:t>
      </w:r>
      <w:r>
        <w:rPr>
          <w:rFonts w:ascii="Times New Roman" w:hAnsi="Times New Roman" w:eastAsia="仿宋_GB2312" w:cs="Times New Roman"/>
          <w:color w:val="000000" w:themeColor="text1"/>
          <w:sz w:val="32"/>
          <w:szCs w:val="32"/>
          <w14:textFill>
            <w14:solidFill>
              <w14:schemeClr w14:val="tx1"/>
            </w14:solidFill>
          </w14:textFill>
        </w:rPr>
        <w:t>指部门实施养老保险制度由单位缴纳的职业年金的支出。</w:t>
      </w:r>
    </w:p>
    <w:p w14:paraId="30207D84">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（六）基本支出：</w:t>
      </w:r>
      <w:r>
        <w:rPr>
          <w:rFonts w:ascii="Times New Roman" w:hAnsi="Times New Roman" w:eastAsia="仿宋_GB2312" w:cs="Times New Roman"/>
          <w:color w:val="000000" w:themeColor="text1"/>
          <w:sz w:val="32"/>
          <w:szCs w:val="32"/>
          <w14:textFill>
            <w14:solidFill>
              <w14:schemeClr w14:val="tx1"/>
            </w14:solidFill>
          </w14:textFill>
        </w:rPr>
        <w:t>指为保证机构正常运转，完成日常工作任务而发生的人员支出和公用支出。</w:t>
      </w:r>
    </w:p>
    <w:p w14:paraId="3386FE15">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（七）项目支出：</w:t>
      </w:r>
      <w:r>
        <w:rPr>
          <w:rFonts w:ascii="Times New Roman" w:hAnsi="Times New Roman" w:eastAsia="仿宋_GB2312" w:cs="Times New Roman"/>
          <w:color w:val="000000" w:themeColor="text1"/>
          <w:sz w:val="32"/>
          <w:szCs w:val="32"/>
          <w14:textFill>
            <w14:solidFill>
              <w14:schemeClr w14:val="tx1"/>
            </w14:solidFill>
          </w14:textFill>
        </w:rPr>
        <w:t>指在基本支出之外为完成特定行政任务和事业发展目标所发生的支出。</w:t>
      </w:r>
    </w:p>
    <w:p w14:paraId="1A409045">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（八）“三公”经费：</w:t>
      </w:r>
      <w:r>
        <w:rPr>
          <w:rFonts w:ascii="Times New Roman" w:hAnsi="Times New Roman" w:eastAsia="仿宋_GB2312" w:cs="Times New Roman"/>
          <w:color w:val="000000" w:themeColor="text1"/>
          <w:sz w:val="32"/>
          <w:szCs w:val="32"/>
          <w14:textFill>
            <w14:solidFill>
              <w14:schemeClr w14:val="tx1"/>
            </w14:solidFill>
          </w14:textFill>
        </w:rPr>
        <w:t>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0ACDE28">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b/>
          <w:color w:val="000000" w:themeColor="text1"/>
          <w:sz w:val="32"/>
          <w:szCs w:val="32"/>
          <w14:textFill>
            <w14:solidFill>
              <w14:schemeClr w14:val="tx1"/>
            </w14:solidFill>
          </w14:textFill>
        </w:rPr>
        <w:t>（九）机关运行经费：</w:t>
      </w:r>
      <w:r>
        <w:rPr>
          <w:rFonts w:ascii="Times New Roman" w:hAnsi="Times New Roman" w:eastAsia="仿宋_GB2312" w:cs="Times New Roman"/>
          <w:color w:val="000000" w:themeColor="text1"/>
          <w:sz w:val="32"/>
          <w:szCs w:val="32"/>
          <w14:textFill>
            <w14:solidFill>
              <w14:schemeClr w14:val="tx1"/>
            </w14:solidFill>
          </w14:textFill>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5753C842">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40E12B1B">
      <w:pPr>
        <w:spacing w:line="576"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附件：1.部门预算公开表</w:t>
      </w:r>
    </w:p>
    <w:p w14:paraId="0A9A6491">
      <w:pPr>
        <w:spacing w:line="576"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2.项目支出绩效目标表</w:t>
      </w:r>
    </w:p>
    <w:p w14:paraId="3EDF342E">
      <w:pPr>
        <w:spacing w:line="576" w:lineRule="exact"/>
        <w:ind w:firstLine="1600" w:firstLineChars="5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3.部门整体支出绩效目标表</w:t>
      </w:r>
    </w:p>
    <w:sectPr>
      <w:footerReference r:id="rId5" w:type="default"/>
      <w:pgSz w:w="11906" w:h="16838"/>
      <w:pgMar w:top="2098" w:right="1474" w:bottom="1985" w:left="1588" w:header="851" w:footer="1531"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147469756"/>
    </w:sdtPr>
    <w:sdtEndPr>
      <w:rPr>
        <w:rFonts w:hint="eastAsia" w:ascii="宋体" w:hAnsi="宋体"/>
        <w:sz w:val="28"/>
        <w:szCs w:val="28"/>
      </w:rPr>
    </w:sdtEndPr>
    <w:sdtContent>
      <w:p w14:paraId="5D1EEEC7">
        <w:pPr>
          <w:pStyle w:val="6"/>
          <w:framePr w:wrap="around" w:vAnchor="text" w:hAnchor="margin" w:xAlign="outside" w:y="1"/>
          <w:ind w:left="210" w:leftChars="100" w:right="210" w:rightChars="100"/>
          <w:rPr>
            <w:rStyle w:val="13"/>
            <w:rFonts w:ascii="宋体" w:hAnsi="宋体"/>
            <w:sz w:val="28"/>
            <w:szCs w:val="28"/>
          </w:rPr>
        </w:pPr>
        <w:r>
          <w:rPr>
            <w:rFonts w:hint="eastAsia" w:ascii="宋体" w:hAnsi="宋体"/>
            <w:sz w:val="28"/>
            <w:szCs w:val="28"/>
          </w:rPr>
          <w:t xml:space="preserve">— </w:t>
        </w:r>
        <w:r>
          <w:rPr>
            <w:rStyle w:val="13"/>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sdtContent>
  </w:sdt>
  <w:p w14:paraId="73F5CC1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3F5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147455293"/>
    </w:sdtPr>
    <w:sdtEndPr>
      <w:rPr>
        <w:rFonts w:hint="eastAsia" w:ascii="宋体" w:hAnsi="宋体"/>
        <w:sz w:val="28"/>
        <w:szCs w:val="28"/>
      </w:rPr>
    </w:sdtEndPr>
    <w:sdtContent>
      <w:p w14:paraId="3389E8C0">
        <w:pPr>
          <w:pStyle w:val="6"/>
          <w:framePr w:wrap="around" w:vAnchor="text" w:hAnchor="margin" w:xAlign="outside" w:y="1"/>
          <w:ind w:left="210" w:leftChars="100" w:right="210" w:rightChars="100"/>
          <w:rPr>
            <w:rStyle w:val="13"/>
            <w:rFonts w:ascii="宋体" w:hAnsi="宋体"/>
            <w:sz w:val="28"/>
            <w:szCs w:val="28"/>
          </w:rPr>
        </w:pPr>
        <w:r>
          <w:rPr>
            <w:rFonts w:hint="eastAsia" w:ascii="宋体" w:hAnsi="宋体"/>
            <w:sz w:val="28"/>
            <w:szCs w:val="28"/>
          </w:rPr>
          <w:t xml:space="preserve">— </w:t>
        </w:r>
        <w:r>
          <w:rPr>
            <w:rStyle w:val="13"/>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sdtContent>
  </w:sdt>
  <w:p w14:paraId="737743C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338AB"/>
    <w:multiLevelType w:val="singleLevel"/>
    <w:tmpl w:val="D71338A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359"/>
    <w:rsid w:val="000353D5"/>
    <w:rsid w:val="00685056"/>
    <w:rsid w:val="006D1678"/>
    <w:rsid w:val="008B4413"/>
    <w:rsid w:val="008C0D4D"/>
    <w:rsid w:val="009E2514"/>
    <w:rsid w:val="00A53359"/>
    <w:rsid w:val="00E84C8A"/>
    <w:rsid w:val="00F0096C"/>
    <w:rsid w:val="19B145C7"/>
    <w:rsid w:val="2F02281C"/>
    <w:rsid w:val="60DB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annotation text"/>
    <w:basedOn w:val="1"/>
    <w:link w:val="23"/>
    <w:semiHidden/>
    <w:unhideWhenUsed/>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7"/>
    <w:unhideWhenUsed/>
    <w:qFormat/>
    <w:uiPriority w:val="0"/>
    <w:pPr>
      <w:tabs>
        <w:tab w:val="center" w:pos="4153"/>
        <w:tab w:val="right" w:pos="8306"/>
      </w:tabs>
      <w:snapToGrid w:val="0"/>
      <w:jc w:val="left"/>
    </w:pPr>
    <w:rPr>
      <w:sz w:val="18"/>
      <w:szCs w:val="18"/>
    </w:rPr>
  </w:style>
  <w:style w:type="paragraph" w:styleId="7">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13">
    <w:name w:val="page number"/>
    <w:basedOn w:val="12"/>
    <w:uiPriority w:val="0"/>
  </w:style>
  <w:style w:type="character" w:styleId="14">
    <w:name w:val="Hyperlink"/>
    <w:basedOn w:val="12"/>
    <w:unhideWhenUsed/>
    <w:uiPriority w:val="99"/>
    <w:rPr>
      <w:color w:val="0000FF" w:themeColor="hyperlink"/>
      <w:u w:val="single"/>
      <w14:textFill>
        <w14:solidFill>
          <w14:schemeClr w14:val="hlink"/>
        </w14:solidFill>
      </w14:textFill>
    </w:rPr>
  </w:style>
  <w:style w:type="character" w:styleId="15">
    <w:name w:val="annotation reference"/>
    <w:basedOn w:val="12"/>
    <w:semiHidden/>
    <w:unhideWhenUsed/>
    <w:uiPriority w:val="99"/>
    <w:rPr>
      <w:sz w:val="21"/>
      <w:szCs w:val="21"/>
    </w:rPr>
  </w:style>
  <w:style w:type="character" w:customStyle="1" w:styleId="16">
    <w:name w:val="页眉 Char"/>
    <w:basedOn w:val="12"/>
    <w:link w:val="7"/>
    <w:semiHidden/>
    <w:qFormat/>
    <w:uiPriority w:val="99"/>
    <w:rPr>
      <w:sz w:val="18"/>
      <w:szCs w:val="18"/>
    </w:rPr>
  </w:style>
  <w:style w:type="character" w:customStyle="1" w:styleId="17">
    <w:name w:val="页脚 Char"/>
    <w:basedOn w:val="12"/>
    <w:link w:val="6"/>
    <w:qFormat/>
    <w:uiPriority w:val="0"/>
    <w:rPr>
      <w:sz w:val="18"/>
      <w:szCs w:val="18"/>
    </w:rPr>
  </w:style>
  <w:style w:type="character" w:customStyle="1" w:styleId="18">
    <w:name w:val="标题 1 Char"/>
    <w:basedOn w:val="12"/>
    <w:link w:val="3"/>
    <w:uiPriority w:val="9"/>
    <w:rPr>
      <w:b/>
      <w:bCs/>
      <w:kern w:val="44"/>
      <w:sz w:val="44"/>
      <w:szCs w:val="44"/>
    </w:rPr>
  </w:style>
  <w:style w:type="paragraph" w:customStyle="1" w:styleId="1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批注框文本 Char"/>
    <w:basedOn w:val="12"/>
    <w:link w:val="5"/>
    <w:semiHidden/>
    <w:qFormat/>
    <w:uiPriority w:val="99"/>
    <w:rPr>
      <w:sz w:val="18"/>
      <w:szCs w:val="18"/>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3">
    <w:name w:val="批注文字 Char"/>
    <w:basedOn w:val="12"/>
    <w:link w:val="4"/>
    <w:semiHidden/>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eyJoZGlkIjoiZDUzZTZiOTg4ZDcwMTU2ZTc3NjViNDJlYzFhZmIyOTgiLCJ1c2VySWQiOiI1NjU4MTQxNTMifQ==</vt:lpwstr>
  </property>
  <property fmtid="{D5CDD505-2E9C-101B-9397-08002B2CF9AE}" pid="3" name="KSOProductBuildVer">
    <vt:lpwstr>2052-12.1.0.19770</vt:lpwstr>
  </property>
  <property fmtid="{D5CDD505-2E9C-101B-9397-08002B2CF9AE}" pid="4" name="ICV">
    <vt:lpwstr>B4B41363AAA54079A7A6368E1DD270AB_12</vt:lpwstr>
  </property>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2025-02-05T10:19:00Z</dcterms:created>
  <dc:creator>Administrator</dc:creator>
  <cp:lastModifiedBy>LIN</cp:lastModifiedBy>
  <dcterms:modified xsi:type="dcterms:W3CDTF">2025-02-10T09:44:42Z</dcterms:modified>
  <cp:revision>2</cp:revision>
</cp:coreProperties>
</file>

<file path=customXml/item4.xml><?xml version="1.0" encoding="utf-8"?>
<Properties xmlns="http://schemas.openxmlformats.org/officeDocument/2006/extended-properties" xmlns:vt="http://schemas.openxmlformats.org/officeDocument/2006/docPropsVTypes">
  <Template>Normal.dotm</Template>
  <Pages>11</Pages>
  <Words>3270</Words>
  <Characters>3511</Characters>
  <Lines>42</Lines>
  <Paragraphs>11</Paragraphs>
  <TotalTime>0</TotalTime>
  <ScaleCrop>false</ScaleCrop>
  <LinksUpToDate>false</LinksUpToDate>
  <CharactersWithSpaces>3590</CharactersWithSpaces>
  <Application>WPS Office_12.1.0.19770_F1E327BC-269C-435d-A152-05C5408002CA</Application>
  <DocSecurity>0</DocSecurity>
</Properties>
</file>

<file path=customXml/itemProps1.xml><?xml version="1.0" encoding="utf-8"?>
<ds:datastoreItem xmlns:ds="http://schemas.openxmlformats.org/officeDocument/2006/customXml" ds:itemID="{73E1E5B8-9368-4AAE-A188-BB1D00C8610A}">
  <ds:schemaRefs/>
</ds:datastoreItem>
</file>

<file path=customXml/itemProps2.xml><?xml version="1.0" encoding="utf-8"?>
<ds:datastoreItem xmlns:ds="http://schemas.openxmlformats.org/officeDocument/2006/customXml" ds:itemID="{F0430E69-A220-4A32-B0F2-7E7550F783B6}">
  <ds:schemaRefs/>
</ds:datastoreItem>
</file>

<file path=customXml/itemProps3.xml><?xml version="1.0" encoding="utf-8"?>
<ds:datastoreItem xmlns:ds="http://schemas.openxmlformats.org/officeDocument/2006/customXml" ds:itemID="{CE2633DD-99E3-47B7-9C56-3E68D594B208}">
  <ds:schemaRefs/>
</ds:datastoreItem>
</file>

<file path=customXml/itemProps4.xml><?xml version="1.0" encoding="utf-8"?>
<ds:datastoreItem xmlns:ds="http://schemas.openxmlformats.org/officeDocument/2006/customXml" ds:itemID="{2FC658B9-CFC7-45A7-87D7-588FA19B2D5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4364</Words>
  <Characters>4646</Characters>
  <Lines>43</Lines>
  <Paragraphs>12</Paragraphs>
  <TotalTime>1</TotalTime>
  <ScaleCrop>false</ScaleCrop>
  <LinksUpToDate>false</LinksUpToDate>
  <CharactersWithSpaces>4726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2025-02-12T01:41:00Z</dcterms:created>
  <dc:creator>Administrator</dc:creator>
  <cp:lastModifiedBy>LIN</cp:lastModifiedBy>
  <dcterms:modified xsi:type="dcterms:W3CDTF">2025-02-12T01:53:07Z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eyJoZGlkIjoiZDUzZTZiOTg4ZDcwMTU2ZTc3NjViNDJlYzFhZmIyOTgiLCJ1c2VySWQiOiI1NjU4MTQxNTMifQ==</vt:lpwstr>
  </property>
  <property fmtid="{D5CDD505-2E9C-101B-9397-08002B2CF9AE}" pid="3" name="KSOProductBuildVer">
    <vt:lpwstr>2052-12.1.0.19770</vt:lpwstr>
  </property>
  <property fmtid="{D5CDD505-2E9C-101B-9397-08002B2CF9AE}" pid="4" name="ICV">
    <vt:lpwstr>C16B4431749A4A579ECCA516D6F59CB3_13</vt:lpwstr>
  </property>
</Properties>
</file>