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56062">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广元市昭化区公务服务中心</w:t>
      </w:r>
    </w:p>
    <w:p w14:paraId="222DE811">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76" w:lineRule="exact"/>
        <w:ind w:left="0" w:right="0" w:firstLine="0"/>
        <w:jc w:val="center"/>
        <w:rPr>
          <w:rFonts w:hint="eastAsia" w:ascii="方正小标宋简体" w:hAnsi="方正小标宋简体" w:eastAsia="方正小标宋简体" w:cs="方正小标宋简体"/>
          <w:b w:val="0"/>
          <w:bCs w:val="0"/>
          <w:i w:val="0"/>
          <w:caps w:val="0"/>
          <w:color w:val="000000"/>
          <w:spacing w:val="0"/>
          <w:kern w:val="2"/>
          <w:sz w:val="44"/>
          <w:szCs w:val="44"/>
          <w:highlight w:val="none"/>
          <w:shd w:val="clear" w:color="auto" w:fill="auto"/>
          <w:lang w:val="en-US" w:eastAsia="zh-CN" w:bidi="ar"/>
        </w:rPr>
      </w:pPr>
      <w:r>
        <w:rPr>
          <w:rFonts w:hint="eastAsia" w:ascii="Times New Roman" w:hAnsi="Times New Roman" w:eastAsia="方正小标宋简体" w:cs="方正小标宋简体"/>
          <w:b w:val="0"/>
          <w:bCs w:val="0"/>
          <w:i w:val="0"/>
          <w:caps w:val="0"/>
          <w:color w:val="000000"/>
          <w:spacing w:val="0"/>
          <w:kern w:val="2"/>
          <w:sz w:val="44"/>
          <w:szCs w:val="44"/>
          <w:highlight w:val="none"/>
          <w:shd w:val="clear" w:color="auto" w:fill="auto"/>
          <w:lang w:val="en-US" w:eastAsia="zh-CN" w:bidi="ar"/>
        </w:rPr>
        <w:t>2025</w:t>
      </w:r>
      <w:r>
        <w:rPr>
          <w:rFonts w:hint="eastAsia" w:ascii="方正小标宋简体" w:hAnsi="方正小标宋简体" w:eastAsia="方正小标宋简体" w:cs="方正小标宋简体"/>
          <w:b w:val="0"/>
          <w:bCs w:val="0"/>
          <w:i w:val="0"/>
          <w:caps w:val="0"/>
          <w:color w:val="000000"/>
          <w:spacing w:val="0"/>
          <w:kern w:val="2"/>
          <w:sz w:val="44"/>
          <w:szCs w:val="44"/>
          <w:highlight w:val="none"/>
          <w:shd w:val="clear" w:color="auto" w:fill="auto"/>
          <w:lang w:val="en-US" w:eastAsia="zh-CN" w:bidi="ar"/>
        </w:rPr>
        <w:t>年部门预算编制说明</w:t>
      </w:r>
    </w:p>
    <w:p w14:paraId="3F7EF7F0">
      <w:pPr>
        <w:spacing w:line="576" w:lineRule="exact"/>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5312FB19">
      <w:pPr>
        <w:spacing w:line="576" w:lineRule="exact"/>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3B1E3AE2">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0C4F4375">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4832700C">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2025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年重点工作……………………………………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29E5EA58">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20068BAF">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691FE306">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14:paraId="7FBB363C">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14:paraId="51367A61">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14:paraId="71CB4FEF">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32CA2593">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5E0D466B">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27E3DE50">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p>
    <w:p w14:paraId="465F9A86">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0A45BD54">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p>
    <w:p w14:paraId="21DEB6EB">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14:paraId="4CE1D557">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14:paraId="179146FE">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14:paraId="18A7351C">
      <w:pPr>
        <w:spacing w:line="576" w:lineRule="exact"/>
        <w:jc w:val="both"/>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p>
    <w:p w14:paraId="021A67B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仿宋_GB2312" w:hAnsi="仿宋_GB2312" w:eastAsia="仿宋_GB2312" w:cs="仿宋_GB2312"/>
          <w:b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start="0"/>
          <w:cols w:space="720" w:num="1"/>
          <w:docGrid w:type="lines" w:linePitch="312" w:charSpace="0"/>
        </w:sectPr>
      </w:pPr>
    </w:p>
    <w:p w14:paraId="278EB59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b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bookmarkStart w:id="0" w:name="_GoBack"/>
      <w:bookmarkEnd w:id="0"/>
      <w:r>
        <w:rPr>
          <w:rFonts w:hint="eastAsia" w:ascii="黑体" w:hAnsi="黑体" w:eastAsia="黑体" w:cs="黑体"/>
          <w:sz w:val="32"/>
          <w:szCs w:val="32"/>
          <w:lang w:val="en-US" w:eastAsia="zh-CN"/>
        </w:rPr>
        <w:t>一、基本职能及主要工作</w:t>
      </w:r>
    </w:p>
    <w:p w14:paraId="6CEE851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sz w:val="32"/>
          <w:szCs w:val="32"/>
          <w:lang w:val="en-US" w:eastAsia="zh-CN"/>
        </w:rPr>
        <w:t>区公务服务中心</w:t>
      </w:r>
      <w:r>
        <w:rPr>
          <w:rFonts w:hint="eastAsia" w:ascii="楷体_GB2312" w:hAnsi="楷体_GB2312" w:eastAsia="楷体_GB2312" w:cs="楷体_GB2312"/>
          <w:sz w:val="32"/>
          <w:szCs w:val="32"/>
        </w:rPr>
        <w:t>职能简介</w:t>
      </w:r>
    </w:p>
    <w:p w14:paraId="1EBB6388">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1、承担副厅级及以上领导（含曾经担任）来昭的服务保障工作。</w:t>
      </w:r>
    </w:p>
    <w:p w14:paraId="3DB2C65C">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2、按照有关规定负责和参与市级及以上党委、政府派出的巡视、检查、督查（督导、督察）、考察、调研、考核、审计等综合性工作组来昭的服务保障工作。</w:t>
      </w:r>
    </w:p>
    <w:p w14:paraId="4ED10344">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3、会同有关部门做好中央、国家机关各部委（含各民主党派、工商联等）和省、市级正县级实职领导来昭的服务保障工作。</w:t>
      </w:r>
    </w:p>
    <w:p w14:paraId="52600586">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4、负责外县（区）党政代表团和人大、政协主要领导率队的考察团来昭的协调联络和服务保障工作。</w:t>
      </w:r>
    </w:p>
    <w:p w14:paraId="1517B91F">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5、负责区委、区政府交办的由区公务服务中心承担的公务服务、招商引资事项的服务保障工作。</w:t>
      </w:r>
    </w:p>
    <w:p w14:paraId="1F7BB977">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6、会同区级有关部门承担区委、区政府交办的大型会议、活动的接待服务保障工作。</w:t>
      </w:r>
    </w:p>
    <w:p w14:paraId="5A6F2A0A">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7、指导镇、区级部门的公务活动服务保障工作；负责拟订全区公务服务相关规定。</w:t>
      </w:r>
    </w:p>
    <w:p w14:paraId="49ADF2CC">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8、完成区委、区政府交办的其他任务。</w:t>
      </w:r>
    </w:p>
    <w:p w14:paraId="4501EA7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color w:val="000000"/>
          <w:sz w:val="32"/>
          <w:szCs w:val="32"/>
          <w:lang w:val="en-US" w:eastAsia="zh-CN"/>
        </w:rPr>
        <w:t>区公务服务中心</w:t>
      </w:r>
      <w:r>
        <w:rPr>
          <w:rFonts w:hint="eastAsia" w:ascii="Times New Roman" w:hAnsi="Times New Roman" w:eastAsia="楷体_GB2312" w:cs="楷体_GB2312"/>
          <w:sz w:val="32"/>
          <w:szCs w:val="32"/>
          <w:lang w:val="en-US"/>
        </w:rPr>
        <w:t>202</w:t>
      </w:r>
      <w:r>
        <w:rPr>
          <w:rFonts w:hint="eastAsia" w:ascii="Times New Roman" w:hAnsi="Times New Roman"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5F60370C">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强化公务服务工作研究。建立健全内部管理制度，持续激发干部职工干事创业的激情，以内部考核引领干部职工能力素质持续提升，督促各项工作落到实处。同时，除邀请专业人员进行技能提升培训外，加大组织外出参观学习考察，与其他区县，特别是公务服务工作表现出色的区（县）交流探讨，看差距、学经验、找思路，从服务全局的角度出发，以更为开阔的视野审视、辨析接待工作，开拓创新思路，提升接待水平，提高接待品质。规范统筹接待资源，逐步转变工作人员素质不齐、标准不一等问题，进一步推进公务服务工作的规范化建设。</w:t>
      </w:r>
    </w:p>
    <w:p w14:paraId="58DF49EB">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丰富公务接待服务内容。在细节、管理和特色上下功夫。注重精细抓接待，对于不同的客人，有针对性地提供个性化服务，对于接待方案中的各个环节都要仔细考虑、周密安排，并对可能出现的突发情况，制定备用应急预案；注重沟通抓接待，做好接待前的沟通和衔接、接待中的高水准安排及接待后的有效复盘，努力把每一次接待任务都做成精品；注重特色抓接待，加强与区商合局、区文广体旅局等部门协作配合，持续提升接待场所软、硬件设施，深入研发特色菜品和主题宴，让每一处接待阵地、每一个服务细节都能体现昭化人的真诚待客之心。</w:t>
      </w:r>
    </w:p>
    <w:p w14:paraId="5710297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打造阳光接待和绿色接待。严格执行“按规定接待才是最好的接待”的工作要求，把“讲规矩、守纪律”作为开展公务接待的思想自觉和行动自觉，坚持底线思维，坚定原则立场，始终把党风廉政建设融入接待工作的全过程、各方面。牢树“过紧日子”的思想，坚决杜绝铺张浪费，从严控制接待标准和范围，做到热情而不铺张，高雅而不奢侈，精致而不寒酸，切实把好公务接待廉政节俭关，努力打造阳光接待和绿色接待。</w:t>
      </w:r>
    </w:p>
    <w:p w14:paraId="1140498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557516B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我单位为一级预算单位，无二级预算单位，设有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综合股、公务服务股、后勤保障股3个职能股室。</w:t>
      </w:r>
    </w:p>
    <w:p w14:paraId="1C4686C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2F2AB9D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按照综合预算的原则，</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所有收入和支出均纳入部门预算管理。收入包括：一般公共预算拨款收入</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lang w:val="en-US" w:eastAsia="zh-CN"/>
        </w:rPr>
        <w:t>万元；支出包括：</w:t>
      </w:r>
      <w:r>
        <w:rPr>
          <w:rFonts w:hint="eastAsia" w:ascii="仿宋_GB2312" w:hAnsi="仿宋_GB2312" w:eastAsia="仿宋_GB2312" w:cs="仿宋_GB2312"/>
          <w:sz w:val="32"/>
          <w:szCs w:val="32"/>
          <w:highlight w:val="none"/>
          <w:lang w:val="en-US" w:eastAsia="zh-CN"/>
        </w:rPr>
        <w:t>一般公共服务支出</w:t>
      </w:r>
      <w:r>
        <w:rPr>
          <w:rFonts w:hint="eastAsia" w:ascii="Times New Roman" w:hAnsi="Times New Roman" w:eastAsia="仿宋_GB2312" w:cs="仿宋_GB2312"/>
          <w:sz w:val="32"/>
          <w:szCs w:val="32"/>
          <w:highlight w:val="none"/>
          <w:lang w:val="en-US" w:eastAsia="zh-CN"/>
        </w:rPr>
        <w:t>314.14</w:t>
      </w:r>
      <w:r>
        <w:rPr>
          <w:rFonts w:hint="eastAsia" w:ascii="仿宋_GB2312" w:hAnsi="仿宋_GB2312" w:eastAsia="仿宋_GB2312" w:cs="仿宋_GB2312"/>
          <w:sz w:val="32"/>
          <w:szCs w:val="32"/>
          <w:highlight w:val="none"/>
          <w:lang w:val="en-US" w:eastAsia="zh-CN"/>
        </w:rPr>
        <w:t>万元、</w:t>
      </w:r>
      <w:r>
        <w:rPr>
          <w:rFonts w:hint="eastAsia" w:ascii="Times New Roman" w:hAnsi="Times New Roman" w:eastAsia="仿宋_GB2312" w:cs="Times New Roman"/>
          <w:color w:val="000000"/>
          <w:sz w:val="32"/>
          <w:szCs w:val="32"/>
          <w:lang w:val="en-US" w:eastAsia="zh-CN"/>
        </w:rPr>
        <w:t>社会保障和就业支出</w:t>
      </w:r>
      <w:r>
        <w:rPr>
          <w:rFonts w:hint="eastAsia" w:ascii="Times New Roman" w:hAnsi="Times New Roman" w:eastAsia="仿宋_GB2312" w:cs="仿宋_GB2312"/>
          <w:sz w:val="32"/>
          <w:szCs w:val="32"/>
          <w:lang w:val="en-US" w:eastAsia="zh-CN"/>
        </w:rPr>
        <w:t>12.02</w:t>
      </w:r>
      <w:r>
        <w:rPr>
          <w:rFonts w:hint="eastAsia" w:ascii="Times New Roman" w:hAnsi="Times New Roman" w:eastAsia="仿宋_GB2312" w:cs="Times New Roman"/>
          <w:color w:val="000000"/>
          <w:sz w:val="32"/>
          <w:szCs w:val="32"/>
          <w:lang w:val="en-US" w:eastAsia="zh-CN"/>
        </w:rPr>
        <w:t>万元、卫生健康支出</w:t>
      </w:r>
      <w:r>
        <w:rPr>
          <w:rFonts w:hint="eastAsia" w:ascii="Times New Roman" w:hAnsi="Times New Roman" w:eastAsia="仿宋_GB2312" w:cs="仿宋_GB2312"/>
          <w:sz w:val="32"/>
          <w:szCs w:val="32"/>
          <w:lang w:val="en-US" w:eastAsia="zh-CN"/>
        </w:rPr>
        <w:t>4.38</w:t>
      </w:r>
      <w:r>
        <w:rPr>
          <w:rFonts w:hint="eastAsia" w:ascii="Times New Roman" w:hAnsi="Times New Roman" w:eastAsia="仿宋_GB2312" w:cs="Times New Roman"/>
          <w:color w:val="000000"/>
          <w:sz w:val="32"/>
          <w:szCs w:val="32"/>
          <w:lang w:val="en-US" w:eastAsia="zh-CN"/>
        </w:rPr>
        <w:t>万元、住房保障支出</w:t>
      </w:r>
      <w:r>
        <w:rPr>
          <w:rFonts w:hint="eastAsia" w:ascii="Times New Roman" w:hAnsi="Times New Roman" w:eastAsia="仿宋_GB2312" w:cs="仿宋_GB2312"/>
          <w:sz w:val="32"/>
          <w:szCs w:val="32"/>
          <w:lang w:val="en-US" w:eastAsia="zh-CN"/>
        </w:rPr>
        <w:t>8.72</w:t>
      </w:r>
      <w:r>
        <w:rPr>
          <w:rFonts w:hint="eastAsia" w:ascii="Times New Roman" w:hAnsi="Times New Roman" w:eastAsia="仿宋_GB2312" w:cs="Times New Roman"/>
          <w:color w:val="000000"/>
          <w:sz w:val="32"/>
          <w:szCs w:val="32"/>
          <w:lang w:val="en-US" w:eastAsia="zh-CN"/>
        </w:rPr>
        <w:t>万</w:t>
      </w:r>
      <w:r>
        <w:rPr>
          <w:rFonts w:hint="eastAsia" w:ascii="Times New Roman" w:hAnsi="Times New Roman" w:eastAsia="仿宋_GB2312" w:cs="Times New Roman"/>
          <w:color w:val="000000"/>
          <w:sz w:val="32"/>
          <w:szCs w:val="32"/>
          <w:highlight w:val="none"/>
          <w:lang w:val="en-US" w:eastAsia="zh-CN"/>
        </w:rPr>
        <w:t>元</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年收支预算总数</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highlight w:val="none"/>
          <w:lang w:val="en-US" w:eastAsia="zh-CN"/>
        </w:rPr>
        <w:t>万元,比</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年收支预算总数增加</w:t>
      </w:r>
      <w:r>
        <w:rPr>
          <w:rFonts w:hint="eastAsia" w:ascii="Times New Roman" w:hAnsi="Times New Roman" w:eastAsia="仿宋_GB2312" w:cs="Times New Roman"/>
          <w:color w:val="000000"/>
          <w:sz w:val="32"/>
          <w:szCs w:val="32"/>
          <w:lang w:val="en-US" w:eastAsia="zh-CN"/>
        </w:rPr>
        <w:t>0.37</w:t>
      </w:r>
      <w:r>
        <w:rPr>
          <w:rFonts w:hint="eastAsia" w:ascii="仿宋_GB2312" w:hAnsi="仿宋_GB2312" w:eastAsia="仿宋_GB2312" w:cs="仿宋_GB2312"/>
          <w:sz w:val="32"/>
          <w:szCs w:val="32"/>
          <w:highlight w:val="none"/>
          <w:lang w:val="en-US" w:eastAsia="zh-CN"/>
        </w:rPr>
        <w:t>万元，主要原因是</w:t>
      </w:r>
      <w:r>
        <w:rPr>
          <w:rFonts w:hint="default" w:ascii="Times New Roman" w:hAnsi="Times New Roman" w:eastAsia="仿宋_GB2312" w:cs="Times New Roman"/>
          <w:color w:val="000000"/>
          <w:sz w:val="32"/>
          <w:szCs w:val="32"/>
          <w:lang w:eastAsia="zh-CN"/>
        </w:rPr>
        <w:t>人员</w:t>
      </w:r>
      <w:r>
        <w:rPr>
          <w:rFonts w:hint="eastAsia" w:ascii="Times New Roman" w:hAnsi="Times New Roman" w:eastAsia="仿宋_GB2312" w:cs="Times New Roman"/>
          <w:color w:val="000000"/>
          <w:sz w:val="32"/>
          <w:szCs w:val="32"/>
          <w:lang w:val="en-US" w:eastAsia="zh-CN"/>
        </w:rPr>
        <w:t>工资零星调资</w:t>
      </w:r>
      <w:r>
        <w:rPr>
          <w:rFonts w:hint="eastAsia" w:ascii="Times New Roman" w:hAnsi="Times New Roman" w:eastAsia="仿宋_GB2312" w:cs="Times New Roman"/>
          <w:color w:val="auto"/>
          <w:sz w:val="32"/>
          <w:szCs w:val="32"/>
          <w:highlight w:val="none"/>
          <w:lang w:eastAsia="zh-CN"/>
        </w:rPr>
        <w:t>。</w:t>
      </w:r>
    </w:p>
    <w:p w14:paraId="47560F3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（一）收入预算情况</w:t>
      </w:r>
    </w:p>
    <w:p w14:paraId="44A09F5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年收入预算</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highlight w:val="none"/>
          <w:lang w:val="en-US" w:eastAsia="zh-CN"/>
        </w:rPr>
        <w:t>万元，其中：一般公共预算拨款收入</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highlight w:val="none"/>
          <w:lang w:val="en-US" w:eastAsia="zh-CN"/>
        </w:rPr>
        <w:t>万元，占</w:t>
      </w:r>
      <w:r>
        <w:rPr>
          <w:rFonts w:hint="eastAsia" w:ascii="Times New Roman" w:hAnsi="Times New Roman"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w:t>
      </w:r>
    </w:p>
    <w:p w14:paraId="0A7A6E2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（二）支出预算情况</w:t>
      </w:r>
    </w:p>
    <w:p w14:paraId="4444D18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年支出预算</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highlight w:val="none"/>
          <w:lang w:val="en-US" w:eastAsia="zh-CN"/>
        </w:rPr>
        <w:t>万元，其中：基本支出</w:t>
      </w:r>
      <w:r>
        <w:rPr>
          <w:rFonts w:hint="default" w:ascii="Times New Roman" w:hAnsi="Times New Roman" w:eastAsia="仿宋_GB2312" w:cs="Times New Roman"/>
          <w:color w:val="000000"/>
          <w:sz w:val="32"/>
          <w:szCs w:val="32"/>
          <w:lang w:val="en-US" w:eastAsia="zh-CN"/>
        </w:rPr>
        <w:t>108.</w:t>
      </w:r>
      <w:r>
        <w:rPr>
          <w:rFonts w:hint="eastAsia" w:ascii="Times New Roman" w:hAnsi="Times New Roman" w:eastAsia="仿宋_GB2312" w:cs="Times New Roman"/>
          <w:color w:val="000000"/>
          <w:sz w:val="32"/>
          <w:szCs w:val="32"/>
          <w:lang w:val="en-US" w:eastAsia="zh-CN"/>
        </w:rPr>
        <w:t>96</w:t>
      </w:r>
      <w:r>
        <w:rPr>
          <w:rFonts w:hint="eastAsia" w:ascii="仿宋_GB2312" w:hAnsi="仿宋_GB2312" w:eastAsia="仿宋_GB2312" w:cs="仿宋_GB2312"/>
          <w:sz w:val="32"/>
          <w:szCs w:val="32"/>
          <w:highlight w:val="none"/>
          <w:lang w:val="en-US" w:eastAsia="zh-CN"/>
        </w:rPr>
        <w:t>万元，占</w:t>
      </w:r>
      <w:r>
        <w:rPr>
          <w:rFonts w:hint="eastAsia" w:ascii="Times New Roman" w:hAnsi="Times New Roman"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lang w:val="en-US" w:eastAsia="zh-CN"/>
        </w:rPr>
        <w:t>%；项目支出</w:t>
      </w:r>
      <w:r>
        <w:rPr>
          <w:rFonts w:hint="eastAsia" w:ascii="Times New Roman" w:hAnsi="Times New Roman" w:eastAsia="仿宋_GB2312" w:cs="仿宋_GB2312"/>
          <w:sz w:val="32"/>
          <w:szCs w:val="32"/>
          <w:highlight w:val="none"/>
          <w:lang w:val="en-US" w:eastAsia="zh-CN"/>
        </w:rPr>
        <w:t>230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万元，占</w:t>
      </w:r>
      <w:r>
        <w:rPr>
          <w:rFonts w:hint="eastAsia" w:ascii="Times New Roman" w:hAnsi="Times New Roman"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w:t>
      </w:r>
    </w:p>
    <w:p w14:paraId="7580699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四、财政拨款收支预算情况说明</w:t>
      </w:r>
    </w:p>
    <w:p w14:paraId="2CDEDF3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年财政拨款收支预算总数</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highlight w:val="none"/>
          <w:lang w:val="en-US" w:eastAsia="zh-CN"/>
        </w:rPr>
        <w:t>万元,比</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年财政拨款收支预算总数增加</w:t>
      </w:r>
      <w:r>
        <w:rPr>
          <w:rFonts w:hint="eastAsia" w:ascii="Times New Roman" w:hAnsi="Times New Roman" w:eastAsia="仿宋_GB2312" w:cs="Times New Roman"/>
          <w:color w:val="000000"/>
          <w:sz w:val="32"/>
          <w:szCs w:val="32"/>
          <w:lang w:val="en-US" w:eastAsia="zh-CN"/>
        </w:rPr>
        <w:t>0.37</w:t>
      </w:r>
      <w:r>
        <w:rPr>
          <w:rFonts w:hint="eastAsia" w:ascii="仿宋_GB2312" w:hAnsi="仿宋_GB2312" w:eastAsia="仿宋_GB2312" w:cs="仿宋_GB2312"/>
          <w:sz w:val="32"/>
          <w:szCs w:val="32"/>
          <w:highlight w:val="none"/>
          <w:lang w:val="en-US" w:eastAsia="zh-CN"/>
        </w:rPr>
        <w:t>万元，主要原因是</w:t>
      </w:r>
      <w:r>
        <w:rPr>
          <w:rFonts w:hint="default" w:ascii="Times New Roman" w:hAnsi="Times New Roman" w:eastAsia="仿宋_GB2312" w:cs="Times New Roman"/>
          <w:color w:val="000000"/>
          <w:sz w:val="32"/>
          <w:szCs w:val="32"/>
          <w:lang w:eastAsia="zh-CN"/>
        </w:rPr>
        <w:t>人员</w:t>
      </w:r>
      <w:r>
        <w:rPr>
          <w:rFonts w:hint="eastAsia" w:ascii="Times New Roman" w:hAnsi="Times New Roman" w:eastAsia="仿宋_GB2312" w:cs="Times New Roman"/>
          <w:color w:val="000000"/>
          <w:sz w:val="32"/>
          <w:szCs w:val="32"/>
          <w:lang w:val="en-US" w:eastAsia="zh-CN"/>
        </w:rPr>
        <w:t>工资零星调资</w:t>
      </w:r>
      <w:r>
        <w:rPr>
          <w:rFonts w:hint="eastAsia" w:ascii="Times New Roman" w:hAnsi="Times New Roman" w:eastAsia="仿宋_GB2312" w:cs="Times New Roman"/>
          <w:color w:val="auto"/>
          <w:sz w:val="32"/>
          <w:szCs w:val="32"/>
          <w:highlight w:val="none"/>
          <w:lang w:eastAsia="zh-CN"/>
        </w:rPr>
        <w:t>。</w:t>
      </w:r>
    </w:p>
    <w:p w14:paraId="46E7497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收入包括：本年一般公共预算拨款收入</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highlight w:val="none"/>
          <w:lang w:val="en-US" w:eastAsia="zh-CN"/>
        </w:rPr>
        <w:t>万元；支出包括：一般公共服务支出</w:t>
      </w:r>
      <w:r>
        <w:rPr>
          <w:rFonts w:hint="eastAsia" w:ascii="Times New Roman" w:hAnsi="Times New Roman" w:eastAsia="仿宋_GB2312" w:cs="仿宋_GB2312"/>
          <w:sz w:val="32"/>
          <w:szCs w:val="32"/>
          <w:highlight w:val="none"/>
          <w:lang w:val="en-US" w:eastAsia="zh-CN"/>
        </w:rPr>
        <w:t>314.14</w:t>
      </w:r>
      <w:r>
        <w:rPr>
          <w:rFonts w:hint="eastAsia" w:ascii="仿宋_GB2312" w:hAnsi="仿宋_GB2312" w:eastAsia="仿宋_GB2312" w:cs="仿宋_GB2312"/>
          <w:sz w:val="32"/>
          <w:szCs w:val="32"/>
          <w:highlight w:val="none"/>
          <w:lang w:val="en-US" w:eastAsia="zh-CN"/>
        </w:rPr>
        <w:t>万元</w:t>
      </w:r>
      <w:r>
        <w:rPr>
          <w:rFonts w:hint="eastAsia"/>
          <w:highlight w:val="none"/>
          <w:lang w:eastAsia="zh-CN"/>
        </w:rPr>
        <w:t>、</w:t>
      </w:r>
      <w:r>
        <w:rPr>
          <w:rFonts w:hint="eastAsia" w:ascii="Times New Roman" w:hAnsi="Times New Roman" w:eastAsia="仿宋_GB2312" w:cs="Times New Roman"/>
          <w:color w:val="000000"/>
          <w:sz w:val="32"/>
          <w:szCs w:val="32"/>
          <w:highlight w:val="none"/>
          <w:lang w:val="en-US" w:eastAsia="zh-CN"/>
        </w:rPr>
        <w:t>社会保障和就业支出</w:t>
      </w:r>
      <w:r>
        <w:rPr>
          <w:rFonts w:hint="eastAsia" w:ascii="Times New Roman" w:hAnsi="Times New Roman" w:eastAsia="仿宋_GB2312" w:cs="仿宋_GB2312"/>
          <w:sz w:val="32"/>
          <w:szCs w:val="32"/>
          <w:lang w:val="en-US" w:eastAsia="zh-CN"/>
        </w:rPr>
        <w:t>12.02</w:t>
      </w:r>
      <w:r>
        <w:rPr>
          <w:rFonts w:hint="eastAsia" w:ascii="Times New Roman" w:hAnsi="Times New Roman" w:eastAsia="仿宋_GB2312" w:cs="Times New Roman"/>
          <w:color w:val="000000"/>
          <w:sz w:val="32"/>
          <w:szCs w:val="32"/>
          <w:highlight w:val="none"/>
          <w:lang w:val="en-US" w:eastAsia="zh-CN"/>
        </w:rPr>
        <w:t>万元、卫生健康支出</w:t>
      </w:r>
      <w:r>
        <w:rPr>
          <w:rFonts w:hint="eastAsia" w:ascii="Times New Roman" w:hAnsi="Times New Roman" w:eastAsia="仿宋_GB2312" w:cs="仿宋_GB2312"/>
          <w:sz w:val="32"/>
          <w:szCs w:val="32"/>
          <w:lang w:val="en-US" w:eastAsia="zh-CN"/>
        </w:rPr>
        <w:t>4.38</w:t>
      </w:r>
      <w:r>
        <w:rPr>
          <w:rFonts w:hint="eastAsia" w:ascii="Times New Roman" w:hAnsi="Times New Roman" w:eastAsia="仿宋_GB2312" w:cs="Times New Roman"/>
          <w:color w:val="000000"/>
          <w:sz w:val="32"/>
          <w:szCs w:val="32"/>
          <w:highlight w:val="none"/>
          <w:lang w:val="en-US" w:eastAsia="zh-CN"/>
        </w:rPr>
        <w:t>万元、住房保障支出</w:t>
      </w:r>
      <w:r>
        <w:rPr>
          <w:rFonts w:hint="eastAsia" w:ascii="Times New Roman" w:hAnsi="Times New Roman" w:eastAsia="仿宋_GB2312" w:cs="仿宋_GB2312"/>
          <w:sz w:val="32"/>
          <w:szCs w:val="32"/>
          <w:lang w:val="en-US" w:eastAsia="zh-CN"/>
        </w:rPr>
        <w:t>8.72</w:t>
      </w:r>
      <w:r>
        <w:rPr>
          <w:rFonts w:hint="eastAsia" w:ascii="Times New Roman" w:hAnsi="Times New Roman" w:eastAsia="仿宋_GB2312" w:cs="Times New Roman"/>
          <w:color w:val="000000"/>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p>
    <w:p w14:paraId="6229422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16A6989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5E78521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年一般公共预算当年拨款</w:t>
      </w:r>
      <w:r>
        <w:rPr>
          <w:rFonts w:hint="default" w:ascii="Times New Roman" w:hAnsi="Times New Roman" w:eastAsia="仿宋_GB2312" w:cs="Times New Roman"/>
          <w:color w:val="000000"/>
          <w:sz w:val="32"/>
          <w:szCs w:val="32"/>
          <w:lang w:val="en-US" w:eastAsia="zh-CN"/>
        </w:rPr>
        <w:t>33</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年预算数增加</w:t>
      </w:r>
      <w:r>
        <w:rPr>
          <w:rFonts w:hint="eastAsia" w:ascii="Times New Roman" w:hAnsi="Times New Roman" w:eastAsia="仿宋_GB2312" w:cs="Times New Roman"/>
          <w:color w:val="000000"/>
          <w:sz w:val="32"/>
          <w:szCs w:val="32"/>
          <w:lang w:val="en-US" w:eastAsia="zh-CN"/>
        </w:rPr>
        <w:t>0.37</w:t>
      </w:r>
      <w:r>
        <w:rPr>
          <w:rFonts w:hint="eastAsia" w:ascii="仿宋_GB2312" w:hAnsi="仿宋_GB2312" w:eastAsia="仿宋_GB2312" w:cs="仿宋_GB2312"/>
          <w:sz w:val="32"/>
          <w:szCs w:val="32"/>
          <w:lang w:val="en-US" w:eastAsia="zh-CN"/>
        </w:rPr>
        <w:t>万元，主要原因是</w:t>
      </w:r>
      <w:r>
        <w:rPr>
          <w:rFonts w:hint="default" w:ascii="Times New Roman" w:hAnsi="Times New Roman" w:eastAsia="仿宋_GB2312" w:cs="Times New Roman"/>
          <w:color w:val="000000"/>
          <w:sz w:val="32"/>
          <w:szCs w:val="32"/>
          <w:lang w:eastAsia="zh-CN"/>
        </w:rPr>
        <w:t>人员</w:t>
      </w:r>
      <w:r>
        <w:rPr>
          <w:rFonts w:hint="eastAsia" w:ascii="Times New Roman" w:hAnsi="Times New Roman" w:eastAsia="仿宋_GB2312" w:cs="Times New Roman"/>
          <w:color w:val="000000"/>
          <w:sz w:val="32"/>
          <w:szCs w:val="32"/>
          <w:lang w:val="en-US" w:eastAsia="zh-CN"/>
        </w:rPr>
        <w:t>工资零星调资</w:t>
      </w:r>
      <w:r>
        <w:rPr>
          <w:rFonts w:hint="eastAsia" w:ascii="Times New Roman" w:hAnsi="Times New Roman" w:eastAsia="仿宋_GB2312" w:cs="Times New Roman"/>
          <w:color w:val="auto"/>
          <w:sz w:val="32"/>
          <w:szCs w:val="32"/>
          <w:lang w:eastAsia="zh-CN"/>
        </w:rPr>
        <w:t>。</w:t>
      </w:r>
    </w:p>
    <w:p w14:paraId="0093C33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42A00DC5">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eastAsia" w:ascii="Times New Roman" w:hAnsi="Times New Roman" w:eastAsia="仿宋_GB2312" w:cs="仿宋_GB2312"/>
          <w:sz w:val="32"/>
          <w:szCs w:val="32"/>
          <w:highlight w:val="none"/>
          <w:lang w:val="en-US" w:eastAsia="zh-CN"/>
        </w:rPr>
        <w:t>314.14</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000000"/>
          <w:sz w:val="32"/>
          <w:szCs w:val="32"/>
          <w:lang w:val="en-US" w:eastAsia="zh-CN"/>
        </w:rPr>
        <w:t>；社会保障和就业支出</w:t>
      </w:r>
      <w:r>
        <w:rPr>
          <w:rFonts w:hint="eastAsia" w:ascii="Times New Roman" w:hAnsi="Times New Roman" w:eastAsia="仿宋_GB2312" w:cs="仿宋_GB2312"/>
          <w:sz w:val="32"/>
          <w:szCs w:val="32"/>
          <w:lang w:val="en-US" w:eastAsia="zh-CN"/>
        </w:rPr>
        <w:t>12.02</w:t>
      </w:r>
      <w:r>
        <w:rPr>
          <w:rFonts w:hint="eastAsia" w:ascii="Times New Roman" w:hAnsi="Times New Roman" w:eastAsia="仿宋_GB2312" w:cs="Times New Roman"/>
          <w:color w:val="000000"/>
          <w:sz w:val="32"/>
          <w:szCs w:val="32"/>
          <w:lang w:val="en-US" w:eastAsia="zh-CN"/>
        </w:rPr>
        <w:t>万元，占</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Times New Roman"/>
          <w:color w:val="000000"/>
          <w:sz w:val="32"/>
          <w:szCs w:val="32"/>
          <w:lang w:val="en-US" w:eastAsia="zh-CN"/>
        </w:rPr>
        <w:t>%；卫生健康支出</w:t>
      </w:r>
      <w:r>
        <w:rPr>
          <w:rFonts w:hint="eastAsia" w:ascii="Times New Roman" w:hAnsi="Times New Roman" w:eastAsia="仿宋_GB2312" w:cs="仿宋_GB2312"/>
          <w:sz w:val="32"/>
          <w:szCs w:val="32"/>
          <w:lang w:val="en-US" w:eastAsia="zh-CN"/>
        </w:rPr>
        <w:t>4.38</w:t>
      </w:r>
      <w:r>
        <w:rPr>
          <w:rFonts w:hint="eastAsia" w:ascii="Times New Roman" w:hAnsi="Times New Roman" w:eastAsia="仿宋_GB2312" w:cs="Times New Roman"/>
          <w:color w:val="000000"/>
          <w:sz w:val="32"/>
          <w:szCs w:val="32"/>
          <w:lang w:val="en-US" w:eastAsia="zh-CN"/>
        </w:rPr>
        <w:t>万元，占</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Times New Roman"/>
          <w:color w:val="000000"/>
          <w:sz w:val="32"/>
          <w:szCs w:val="32"/>
          <w:lang w:val="en-US" w:eastAsia="zh-CN"/>
        </w:rPr>
        <w:t>%；住房保障支出</w:t>
      </w:r>
      <w:r>
        <w:rPr>
          <w:rFonts w:hint="eastAsia" w:ascii="Times New Roman" w:hAnsi="Times New Roman" w:eastAsia="仿宋_GB2312" w:cs="仿宋_GB2312"/>
          <w:sz w:val="32"/>
          <w:szCs w:val="32"/>
          <w:lang w:val="en-US" w:eastAsia="zh-CN"/>
        </w:rPr>
        <w:t>8.72</w:t>
      </w:r>
      <w:r>
        <w:rPr>
          <w:rFonts w:hint="eastAsia" w:ascii="Times New Roman" w:hAnsi="Times New Roman" w:eastAsia="仿宋_GB2312" w:cs="Times New Roman"/>
          <w:color w:val="000000"/>
          <w:sz w:val="32"/>
          <w:szCs w:val="32"/>
          <w:lang w:val="en-US" w:eastAsia="zh-CN"/>
        </w:rPr>
        <w:t>万元，占</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Times New Roman"/>
          <w:color w:val="000000"/>
          <w:sz w:val="32"/>
          <w:szCs w:val="32"/>
          <w:lang w:val="en-US" w:eastAsia="zh-CN"/>
        </w:rPr>
        <w:t>%。</w:t>
      </w:r>
    </w:p>
    <w:p w14:paraId="04E15A3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60F9AA6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w:t>
      </w:r>
      <w:r>
        <w:rPr>
          <w:rFonts w:hint="eastAsia" w:ascii="Times New Roman" w:hAnsi="Times New Roman" w:eastAsia="仿宋_GB2312" w:cs="Times New Roman"/>
          <w:color w:val="000000"/>
          <w:sz w:val="32"/>
          <w:szCs w:val="32"/>
          <w:lang w:val="en-US" w:eastAsia="zh-CN"/>
        </w:rPr>
        <w:t>政府办公厅（室）及相关机构事务</w:t>
      </w:r>
      <w:r>
        <w:rPr>
          <w:rFonts w:hint="eastAsia" w:ascii="仿宋_GB2312" w:hAnsi="仿宋_GB2312" w:eastAsia="仿宋_GB2312" w:cs="仿宋_GB2312"/>
          <w:sz w:val="32"/>
          <w:szCs w:val="32"/>
          <w:lang w:val="en-US" w:eastAsia="zh-CN"/>
        </w:rPr>
        <w:t>（款）</w:t>
      </w:r>
      <w:r>
        <w:rPr>
          <w:rFonts w:hint="eastAsia" w:ascii="Times New Roman" w:hAnsi="Times New Roman" w:eastAsia="仿宋_GB2312" w:cs="Times New Roman"/>
          <w:color w:val="000000"/>
          <w:sz w:val="32"/>
          <w:szCs w:val="32"/>
          <w:lang w:val="en-US" w:eastAsia="zh-CN"/>
        </w:rPr>
        <w:t>事业运行</w:t>
      </w:r>
      <w:r>
        <w:rPr>
          <w:rFonts w:hint="eastAsia" w:ascii="仿宋_GB2312" w:hAnsi="仿宋_GB2312" w:eastAsia="仿宋_GB2312" w:cs="仿宋_GB2312"/>
          <w:sz w:val="32"/>
          <w:szCs w:val="32"/>
          <w:lang w:val="en-US" w:eastAsia="zh-CN"/>
        </w:rPr>
        <w:t>（项）</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314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万元，主要用于：</w:t>
      </w:r>
      <w:r>
        <w:rPr>
          <w:rFonts w:hint="eastAsia" w:ascii="Times New Roman" w:hAnsi="Times New Roman" w:eastAsia="仿宋_GB2312" w:cs="Times New Roman"/>
          <w:color w:val="000000"/>
          <w:sz w:val="32"/>
          <w:szCs w:val="32"/>
          <w:lang w:val="en-US" w:eastAsia="zh-CN"/>
        </w:rPr>
        <w:t>机关正常运转的基本支出，包括基本工资、津贴补贴以及办公费、印刷费、水电费等日常公用经费,公务接待、后勤综合保障等其他公用经费，保障部门正常运转。</w:t>
      </w:r>
    </w:p>
    <w:p w14:paraId="2F0F8223">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2.社会保障和就业（类）行政事业单位养老支出（款）机关事业单位基本养老保险缴费支出（项）2025年预算数为</w:t>
      </w:r>
      <w:r>
        <w:rPr>
          <w:rFonts w:hint="eastAsia" w:ascii="Times New Roman" w:hAnsi="Times New Roman" w:eastAsia="仿宋_GB2312" w:cs="仿宋_GB2312"/>
          <w:sz w:val="32"/>
          <w:szCs w:val="32"/>
          <w:lang w:val="en-US" w:eastAsia="zh-CN"/>
        </w:rPr>
        <w:t>12.02</w:t>
      </w:r>
      <w:r>
        <w:rPr>
          <w:rFonts w:hint="eastAsia" w:ascii="Times New Roman" w:hAnsi="Times New Roman" w:eastAsia="仿宋_GB2312" w:cs="Times New Roman"/>
          <w:color w:val="000000"/>
          <w:sz w:val="32"/>
          <w:szCs w:val="32"/>
          <w:lang w:val="en-US" w:eastAsia="zh-CN"/>
        </w:rPr>
        <w:t>万元，主要用于：实施养老保险制度由单位缴纳的基本养老保险支出。</w:t>
      </w:r>
    </w:p>
    <w:p w14:paraId="48DD77CC">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3.卫生健康（类）行政事业单位医疗（款）事业单位医疗（项）2025年预算数为</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38</w:t>
      </w:r>
      <w:r>
        <w:rPr>
          <w:rFonts w:hint="eastAsia" w:ascii="Times New Roman" w:hAnsi="Times New Roman" w:eastAsia="仿宋_GB2312" w:cs="Times New Roman"/>
          <w:color w:val="000000"/>
          <w:sz w:val="32"/>
          <w:szCs w:val="32"/>
          <w:lang w:val="en-US" w:eastAsia="zh-CN"/>
        </w:rPr>
        <w:t>万元，主要用于：部门按规定由单位缴纳的基本医疗保险支出。</w:t>
      </w:r>
    </w:p>
    <w:p w14:paraId="0825D829">
      <w:pPr>
        <w:pStyle w:val="5"/>
        <w:overflowPunct w:val="0"/>
        <w:spacing w:after="0" w:line="576" w:lineRule="exact"/>
        <w:ind w:firstLine="640" w:firstLineChars="200"/>
        <w:rPr>
          <w:rFonts w:hint="eastAsia"/>
          <w:lang w:val="en-US" w:eastAsia="zh-CN"/>
        </w:rPr>
      </w:pPr>
      <w:r>
        <w:rPr>
          <w:rFonts w:hint="eastAsia" w:ascii="Times New Roman" w:hAnsi="Times New Roman" w:eastAsia="仿宋_GB2312" w:cs="Times New Roman"/>
          <w:color w:val="000000"/>
          <w:sz w:val="32"/>
          <w:szCs w:val="32"/>
          <w:lang w:val="en-US" w:eastAsia="zh-CN"/>
        </w:rPr>
        <w:t>4.住房保障（类）住房改革支出（款）住房公积金（项）2025年预算数为</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72</w:t>
      </w:r>
      <w:r>
        <w:rPr>
          <w:rFonts w:hint="eastAsia" w:ascii="Times New Roman" w:hAnsi="Times New Roman" w:eastAsia="仿宋_GB2312" w:cs="Times New Roman"/>
          <w:color w:val="000000"/>
          <w:sz w:val="32"/>
          <w:szCs w:val="32"/>
          <w:lang w:val="en-US" w:eastAsia="zh-CN"/>
        </w:rPr>
        <w:t>万元，主要用于：部门按规定为职工缴纳的住房公积金支出。</w:t>
      </w:r>
    </w:p>
    <w:p w14:paraId="55CDCD5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318F35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年一般公共预算基本支出</w:t>
      </w:r>
      <w:r>
        <w:rPr>
          <w:rFonts w:hint="eastAsia" w:ascii="Times New Roman" w:hAnsi="Times New Roman" w:eastAsia="仿宋_GB2312" w:cs="仿宋_GB2312"/>
          <w:sz w:val="32"/>
          <w:szCs w:val="32"/>
          <w:lang w:val="en-US" w:eastAsia="zh-CN"/>
        </w:rPr>
        <w:t>108</w:t>
      </w:r>
      <w:r>
        <w:rPr>
          <w:rFonts w:hint="eastAsia" w:ascii="仿宋_GB2312" w:hAnsi="仿宋_GB2312" w:eastAsia="仿宋_GB2312" w:cs="仿宋_GB2312"/>
          <w:sz w:val="32"/>
          <w:szCs w:val="32"/>
          <w:lang w:val="en-US" w:eastAsia="zh-CN"/>
        </w:rPr>
        <w:t>.96万元，其中：</w:t>
      </w:r>
    </w:p>
    <w:p w14:paraId="4EF1E05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default" w:ascii="Times New Roman" w:hAnsi="Times New Roman" w:eastAsia="仿宋_GB2312" w:cs="Times New Roman"/>
          <w:color w:val="000000"/>
          <w:sz w:val="32"/>
          <w:szCs w:val="32"/>
          <w:lang w:val="en-US" w:eastAsia="zh-CN"/>
        </w:rPr>
        <w:t>97.</w:t>
      </w:r>
      <w:r>
        <w:rPr>
          <w:rFonts w:hint="eastAsia" w:ascii="Times New Roman" w:hAnsi="Times New Roman" w:eastAsia="仿宋_GB2312" w:cs="Times New Roman"/>
          <w:color w:val="000000"/>
          <w:sz w:val="32"/>
          <w:szCs w:val="32"/>
          <w:lang w:val="en-US" w:eastAsia="zh-CN"/>
        </w:rPr>
        <w:t>76</w:t>
      </w:r>
      <w:r>
        <w:rPr>
          <w:rFonts w:hint="eastAsia" w:ascii="仿宋_GB2312" w:hAnsi="仿宋_GB2312" w:eastAsia="仿宋_GB2312" w:cs="仿宋_GB2312"/>
          <w:sz w:val="32"/>
          <w:szCs w:val="32"/>
          <w:lang w:val="en-US" w:eastAsia="zh-CN"/>
        </w:rPr>
        <w:t>万元，主要包括：基本工资、津贴补贴、奖金、社会保险缴费、住房公积金等支出。</w:t>
      </w:r>
    </w:p>
    <w:p w14:paraId="16E980C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万元，主要包括：办公费、水费、电费、邮电费、工会经费、其他交通费用等支出。</w:t>
      </w:r>
    </w:p>
    <w:p w14:paraId="6E6D3DE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5BF1B1D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年“三公”经费财政拨款预算数</w:t>
      </w:r>
      <w:r>
        <w:rPr>
          <w:rFonts w:hint="eastAsia" w:ascii="Times New Roman" w:hAnsi="Times New Roman" w:eastAsia="仿宋_GB2312" w:cs="Times New Roman"/>
          <w:color w:val="000000"/>
          <w:sz w:val="32"/>
          <w:szCs w:val="32"/>
          <w:lang w:val="en-US" w:eastAsia="zh-CN"/>
        </w:rPr>
        <w:t>82</w:t>
      </w:r>
      <w:r>
        <w:rPr>
          <w:rFonts w:hint="eastAsia" w:ascii="仿宋_GB2312" w:hAnsi="仿宋_GB2312" w:eastAsia="仿宋_GB2312" w:cs="仿宋_GB2312"/>
          <w:sz w:val="32"/>
          <w:szCs w:val="32"/>
          <w:lang w:val="en-US" w:eastAsia="zh-CN"/>
        </w:rPr>
        <w:t>万元，其中：公务接待费</w:t>
      </w:r>
      <w:r>
        <w:rPr>
          <w:rFonts w:hint="eastAsia" w:ascii="Times New Roman" w:hAnsi="Times New Roman" w:eastAsia="仿宋_GB2312" w:cs="Times New Roman"/>
          <w:color w:val="000000"/>
          <w:sz w:val="32"/>
          <w:szCs w:val="32"/>
          <w:lang w:val="en-US" w:eastAsia="zh-CN"/>
        </w:rPr>
        <w:t>75</w:t>
      </w:r>
      <w:r>
        <w:rPr>
          <w:rFonts w:hint="eastAsia" w:ascii="仿宋_GB2312" w:hAnsi="仿宋_GB2312" w:eastAsia="仿宋_GB2312" w:cs="仿宋_GB2312"/>
          <w:sz w:val="32"/>
          <w:szCs w:val="32"/>
          <w:lang w:val="en-US" w:eastAsia="zh-CN"/>
        </w:rPr>
        <w:t>万元，公务用车购置及运行维护费</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万元，因公出国（境）经费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14:paraId="1743A35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429CEC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年预算相比下降</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val="en-US" w:eastAsia="zh-CN"/>
        </w:rPr>
        <w:t>厉行节约。</w:t>
      </w:r>
    </w:p>
    <w:p w14:paraId="6366EB7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14:paraId="4D38978E">
      <w:pPr>
        <w:keepNext w:val="0"/>
        <w:keepLines w:val="0"/>
        <w:pageBreakBefore w:val="0"/>
        <w:widowControl w:val="0"/>
        <w:numPr>
          <w:ilvl w:val="0"/>
          <w:numId w:val="1"/>
        </w:numPr>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7B9B0B0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年预算相比下降</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val="en-US" w:eastAsia="zh-CN"/>
        </w:rPr>
        <w:t>厉行节约</w:t>
      </w:r>
      <w:r>
        <w:rPr>
          <w:rFonts w:hint="eastAsia" w:ascii="仿宋_GB2312" w:hAnsi="仿宋_GB2312" w:eastAsia="仿宋_GB2312" w:cs="仿宋_GB2312"/>
          <w:sz w:val="32"/>
          <w:szCs w:val="32"/>
          <w:lang w:val="en-US" w:eastAsia="zh-CN"/>
        </w:rPr>
        <w:t>。</w:t>
      </w:r>
    </w:p>
    <w:p w14:paraId="1D7F8FE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辆，其中：轿车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w:t>
      </w:r>
    </w:p>
    <w:p w14:paraId="10AC558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年未安排公务用车购置费。</w:t>
      </w:r>
    </w:p>
    <w:p w14:paraId="2FECE26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年安排公务用车运行维护费</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万元，用于</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辆公务用车燃油、过路（桥）、维修、保险等方面支出，主要保障全区现场会、调研、大型接待等，促进各项活动顺利开展。</w:t>
      </w:r>
    </w:p>
    <w:p w14:paraId="0717E89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4508F8B5">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年因公出国（境）经费与</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年预算持平。</w:t>
      </w:r>
    </w:p>
    <w:p w14:paraId="527E9A7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60AC8E1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年无政府性基金预算拨款安排的支出。</w:t>
      </w:r>
    </w:p>
    <w:p w14:paraId="3D9230F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00257F6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年无国有资本经营预算拨款安排的支出。</w:t>
      </w:r>
    </w:p>
    <w:p w14:paraId="68E4338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60C8F63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321B454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机关运行经费财政拨款预算为</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万元，与</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年预算持平。</w:t>
      </w:r>
    </w:p>
    <w:p w14:paraId="2AAB758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601FEE4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安排政府采购预算</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14:paraId="0A2F9D0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470CC27E">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2024</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年底，公务服务中心共有车辆</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1</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台（套）。</w:t>
      </w:r>
    </w:p>
    <w:p w14:paraId="073BC3E7">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年部门预算安排车辆购置经费及大型设备购置经费0万元。</w:t>
      </w:r>
    </w:p>
    <w:p w14:paraId="313815D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455737F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开展绩效目标管理的项目</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241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万元。其中：人员类项目</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万元；运转类项目</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230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万元；特定目标类项目</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万元。因部分项目内容涉密，不予公开。</w:t>
      </w:r>
    </w:p>
    <w:p w14:paraId="0F712EF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0DE31B5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058E8F66">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w:t>
      </w:r>
      <w:r>
        <w:rPr>
          <w:rFonts w:hint="eastAsia" w:ascii="Times New Roman" w:hAnsi="Times New Roman" w:eastAsia="仿宋_GB2312" w:cs="Times New Roman"/>
          <w:color w:val="000000"/>
          <w:sz w:val="32"/>
          <w:szCs w:val="32"/>
          <w:lang w:val="en-US" w:eastAsia="zh-CN"/>
        </w:rPr>
        <w:t>及相关机构事务</w:t>
      </w:r>
      <w:r>
        <w:rPr>
          <w:rFonts w:hint="eastAsia" w:ascii="楷体_GB2312" w:hAnsi="楷体_GB2312" w:eastAsia="楷体_GB2312" w:cs="楷体_GB2312"/>
          <w:sz w:val="32"/>
          <w:szCs w:val="32"/>
          <w:lang w:val="en-US" w:eastAsia="zh-CN"/>
        </w:rPr>
        <w:t>（款）</w:t>
      </w:r>
      <w:r>
        <w:rPr>
          <w:rFonts w:hint="eastAsia" w:ascii="Times New Roman" w:hAnsi="Times New Roman" w:eastAsia="仿宋_GB2312" w:cs="Times New Roman"/>
          <w:color w:val="000000"/>
          <w:sz w:val="32"/>
          <w:szCs w:val="32"/>
          <w:lang w:val="en-US" w:eastAsia="zh-CN"/>
        </w:rPr>
        <w:t>事业运行</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指机关单位用于保障机构正常运行、开展日常工作的基本支出。</w:t>
      </w:r>
    </w:p>
    <w:p w14:paraId="12F1594B">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（三）社会保障和就业（类）行政事业单位养老支出（款）机关事业单位基本养老保险缴费支出（项）：</w:t>
      </w:r>
      <w:r>
        <w:rPr>
          <w:rFonts w:hint="eastAsia" w:ascii="Times New Roman" w:hAnsi="Times New Roman" w:eastAsia="仿宋_GB2312" w:cs="Times New Roman"/>
          <w:color w:val="000000"/>
          <w:sz w:val="32"/>
          <w:szCs w:val="32"/>
          <w:lang w:val="en-US" w:eastAsia="zh-CN"/>
        </w:rPr>
        <w:t>指部门实施养老保险制度由单位缴纳的养老保险的支出。</w:t>
      </w:r>
    </w:p>
    <w:p w14:paraId="1F22AC0B">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（四）卫生健康（类）行政事业单位医疗（款）事业单位医疗（项）：</w:t>
      </w:r>
      <w:r>
        <w:rPr>
          <w:rFonts w:hint="eastAsia" w:ascii="Times New Roman" w:hAnsi="Times New Roman" w:eastAsia="仿宋_GB2312" w:cs="Times New Roman"/>
          <w:color w:val="000000"/>
          <w:sz w:val="32"/>
          <w:szCs w:val="32"/>
          <w:lang w:val="en-US" w:eastAsia="zh-CN"/>
        </w:rPr>
        <w:t>指事业单位用于单位应缴纳基本医疗保险支出。</w:t>
      </w:r>
    </w:p>
    <w:p w14:paraId="7762E752">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（五）住房保障（类）住房改革支出（款）住房公积金（项）：</w:t>
      </w:r>
      <w:r>
        <w:rPr>
          <w:rFonts w:hint="eastAsia" w:ascii="Times New Roman" w:hAnsi="Times New Roman" w:eastAsia="仿宋_GB2312" w:cs="Times New Roman"/>
          <w:color w:val="000000"/>
          <w:sz w:val="32"/>
          <w:szCs w:val="32"/>
          <w:lang w:val="en-US" w:eastAsia="zh-CN"/>
        </w:rPr>
        <w:t>指按照《住房公积金管理条例》的规定，由单位及其在职职工缴存的长期住房储金。</w:t>
      </w:r>
    </w:p>
    <w:p w14:paraId="258AADB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14:paraId="33DB6B1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5C762B3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511D6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33FCE1E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2124C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446DE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3D13F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.部门预算公开表</w:t>
      </w:r>
    </w:p>
    <w:p w14:paraId="460B0AD0">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项目支出绩效目标表</w:t>
      </w:r>
    </w:p>
    <w:p w14:paraId="513F8E53">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部门整体支出绩效目标表</w:t>
      </w:r>
    </w:p>
    <w:p w14:paraId="0A479E5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EF7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3CC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99F554">
                          <w:pPr>
                            <w:pStyle w:val="6"/>
                            <w:ind w:left="210" w:leftChars="100" w:right="210" w:rightChars="100"/>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7699F554">
                    <w:pPr>
                      <w:pStyle w:val="6"/>
                      <w:ind w:left="210" w:leftChars="100" w:right="210" w:rightChars="100"/>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mVjY2U1Y2ZkM2FlZWVjNjk1YjBlMGNhMWM2ODMifQ=="/>
  </w:docVars>
  <w:rsids>
    <w:rsidRoot w:val="00000000"/>
    <w:rsid w:val="00621C19"/>
    <w:rsid w:val="00692CE2"/>
    <w:rsid w:val="00DE1BE7"/>
    <w:rsid w:val="011E3D92"/>
    <w:rsid w:val="012352D1"/>
    <w:rsid w:val="01527EDF"/>
    <w:rsid w:val="017E0CD4"/>
    <w:rsid w:val="02313F99"/>
    <w:rsid w:val="040F3B52"/>
    <w:rsid w:val="04461F7D"/>
    <w:rsid w:val="06163BD1"/>
    <w:rsid w:val="065D35AE"/>
    <w:rsid w:val="0710112C"/>
    <w:rsid w:val="071F6AB6"/>
    <w:rsid w:val="09551FE9"/>
    <w:rsid w:val="09652EA6"/>
    <w:rsid w:val="0A650C83"/>
    <w:rsid w:val="0FD179CD"/>
    <w:rsid w:val="1001144E"/>
    <w:rsid w:val="110034B4"/>
    <w:rsid w:val="1174359A"/>
    <w:rsid w:val="1211524D"/>
    <w:rsid w:val="13C7475D"/>
    <w:rsid w:val="149E54BE"/>
    <w:rsid w:val="15063063"/>
    <w:rsid w:val="1585042C"/>
    <w:rsid w:val="16677B31"/>
    <w:rsid w:val="17365E81"/>
    <w:rsid w:val="188D58D3"/>
    <w:rsid w:val="18D75180"/>
    <w:rsid w:val="18D9295F"/>
    <w:rsid w:val="1A073B05"/>
    <w:rsid w:val="1AC9700C"/>
    <w:rsid w:val="1AD75285"/>
    <w:rsid w:val="1B5335A4"/>
    <w:rsid w:val="1C1339B8"/>
    <w:rsid w:val="1CF30371"/>
    <w:rsid w:val="1F1A7E37"/>
    <w:rsid w:val="1F7BF06F"/>
    <w:rsid w:val="1FEA15B7"/>
    <w:rsid w:val="1FEE4B73"/>
    <w:rsid w:val="1FF40688"/>
    <w:rsid w:val="2091237A"/>
    <w:rsid w:val="21BD027C"/>
    <w:rsid w:val="22A74264"/>
    <w:rsid w:val="238614B2"/>
    <w:rsid w:val="23CE9849"/>
    <w:rsid w:val="249917FE"/>
    <w:rsid w:val="27076BD0"/>
    <w:rsid w:val="28100029"/>
    <w:rsid w:val="29387837"/>
    <w:rsid w:val="295757E3"/>
    <w:rsid w:val="2ACF41CB"/>
    <w:rsid w:val="2BB807BB"/>
    <w:rsid w:val="2CEA4137"/>
    <w:rsid w:val="2D410C84"/>
    <w:rsid w:val="2D52384A"/>
    <w:rsid w:val="2D8868B3"/>
    <w:rsid w:val="2E1C4D11"/>
    <w:rsid w:val="2E942E8E"/>
    <w:rsid w:val="30B73737"/>
    <w:rsid w:val="313F54DB"/>
    <w:rsid w:val="31A80821"/>
    <w:rsid w:val="31BE4652"/>
    <w:rsid w:val="323008A0"/>
    <w:rsid w:val="342705B2"/>
    <w:rsid w:val="344D555F"/>
    <w:rsid w:val="349605F0"/>
    <w:rsid w:val="362F3D70"/>
    <w:rsid w:val="371D62BE"/>
    <w:rsid w:val="3840650A"/>
    <w:rsid w:val="39F304DD"/>
    <w:rsid w:val="3A3758E9"/>
    <w:rsid w:val="3B1D688D"/>
    <w:rsid w:val="3BB70A8F"/>
    <w:rsid w:val="3BE92C13"/>
    <w:rsid w:val="3C942B7F"/>
    <w:rsid w:val="3ECB6600"/>
    <w:rsid w:val="3F6F78D3"/>
    <w:rsid w:val="3FE200A5"/>
    <w:rsid w:val="3FE536F1"/>
    <w:rsid w:val="411029F0"/>
    <w:rsid w:val="42E92355"/>
    <w:rsid w:val="42F73E67"/>
    <w:rsid w:val="430F11B1"/>
    <w:rsid w:val="451707F1"/>
    <w:rsid w:val="45194C57"/>
    <w:rsid w:val="45F4643C"/>
    <w:rsid w:val="46993DBE"/>
    <w:rsid w:val="48D507A7"/>
    <w:rsid w:val="49B93C25"/>
    <w:rsid w:val="507A200E"/>
    <w:rsid w:val="53055B12"/>
    <w:rsid w:val="533A2E71"/>
    <w:rsid w:val="53E75832"/>
    <w:rsid w:val="54244390"/>
    <w:rsid w:val="543F11CA"/>
    <w:rsid w:val="545A6004"/>
    <w:rsid w:val="54662A63"/>
    <w:rsid w:val="574C257C"/>
    <w:rsid w:val="58064E12"/>
    <w:rsid w:val="5BFEE015"/>
    <w:rsid w:val="5C13385D"/>
    <w:rsid w:val="5C205D85"/>
    <w:rsid w:val="5C5123E2"/>
    <w:rsid w:val="5C7D31D8"/>
    <w:rsid w:val="5CCB5CF1"/>
    <w:rsid w:val="603040BD"/>
    <w:rsid w:val="60B371C8"/>
    <w:rsid w:val="610D6B44"/>
    <w:rsid w:val="618F19E3"/>
    <w:rsid w:val="61F44587"/>
    <w:rsid w:val="62012616"/>
    <w:rsid w:val="62546364"/>
    <w:rsid w:val="628D3A49"/>
    <w:rsid w:val="62AA0157"/>
    <w:rsid w:val="63EDCF55"/>
    <w:rsid w:val="63FBFBCF"/>
    <w:rsid w:val="64542CA3"/>
    <w:rsid w:val="64A62BA0"/>
    <w:rsid w:val="657B5DDA"/>
    <w:rsid w:val="658600E3"/>
    <w:rsid w:val="65D33E68"/>
    <w:rsid w:val="669360FD"/>
    <w:rsid w:val="67F500C6"/>
    <w:rsid w:val="67F730B6"/>
    <w:rsid w:val="68CB7079"/>
    <w:rsid w:val="68FF6A83"/>
    <w:rsid w:val="6A4315BC"/>
    <w:rsid w:val="6AA95198"/>
    <w:rsid w:val="6C5874EB"/>
    <w:rsid w:val="6C9E6F7E"/>
    <w:rsid w:val="6E4313BB"/>
    <w:rsid w:val="6E985C4F"/>
    <w:rsid w:val="6FBBC9CF"/>
    <w:rsid w:val="71771B4C"/>
    <w:rsid w:val="71856F58"/>
    <w:rsid w:val="72BDE561"/>
    <w:rsid w:val="732857F3"/>
    <w:rsid w:val="735F4F8D"/>
    <w:rsid w:val="74C74B98"/>
    <w:rsid w:val="779E42D6"/>
    <w:rsid w:val="77F06B50"/>
    <w:rsid w:val="78462278"/>
    <w:rsid w:val="78615304"/>
    <w:rsid w:val="790740FD"/>
    <w:rsid w:val="7997EA6C"/>
    <w:rsid w:val="7AEAE675"/>
    <w:rsid w:val="7B1E74DC"/>
    <w:rsid w:val="7BAFCE5D"/>
    <w:rsid w:val="7BD81D81"/>
    <w:rsid w:val="7C523723"/>
    <w:rsid w:val="7C945CA8"/>
    <w:rsid w:val="7D46598C"/>
    <w:rsid w:val="7D6F2271"/>
    <w:rsid w:val="7DFB240B"/>
    <w:rsid w:val="7E0935ED"/>
    <w:rsid w:val="7ECF1219"/>
    <w:rsid w:val="7F211349"/>
    <w:rsid w:val="7F52674C"/>
    <w:rsid w:val="7FAA57E2"/>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table of figures1"/>
    <w:basedOn w:val="1"/>
    <w:next w:val="1"/>
    <w:autoRedefine/>
    <w:qFormat/>
    <w:uiPriority w:val="99"/>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autoRedefine/>
    <w:qFormat/>
    <w:uiPriority w:val="0"/>
  </w:style>
  <w:style w:type="paragraph" w:styleId="9">
    <w:name w:val="table of figures"/>
    <w:basedOn w:val="1"/>
    <w:next w:val="1"/>
    <w:qFormat/>
    <w:uiPriority w:val="0"/>
    <w:pPr>
      <w:ind w:left="200" w:leftChars="200" w:hanging="200" w:hangingChars="200"/>
    </w:pPr>
  </w:style>
  <w:style w:type="paragraph" w:styleId="10">
    <w:name w:val="Normal (Web)"/>
    <w:basedOn w:val="1"/>
    <w:autoRedefine/>
    <w:qFormat/>
    <w:uiPriority w:val="0"/>
    <w:rPr>
      <w:sz w:val="24"/>
    </w:rPr>
  </w:style>
  <w:style w:type="character" w:customStyle="1" w:styleId="13">
    <w:name w:val="默认段落字体1"/>
    <w:autoRedefine/>
    <w:qFormat/>
    <w:uiPriority w:val="0"/>
  </w:style>
  <w:style w:type="paragraph" w:customStyle="1" w:styleId="14">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4197</Words>
  <Characters>4468</Characters>
  <TotalTime>0</TotalTime>
  <ScaleCrop>false</ScaleCrop>
  <LinksUpToDate>false</LinksUpToDate>
  <CharactersWithSpaces>4476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LIN</cp:lastModifiedBy>
  <dcterms:modified xsi:type="dcterms:W3CDTF">2025-02-12T01:54:01Z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93B8F68B9B8E4A89A40D8E2D1327F188_13</vt:lpwstr>
  </property>
  <property fmtid="{D5CDD505-2E9C-101B-9397-08002B2CF9AE}" pid="4" name="KSOTemplateDocerSaveRecord">
    <vt:lpwstr>eyJoZGlkIjoiZDUzZTZiOTg4ZDcwMTU2ZTc3NjViNDJlYzFhZmIyOTgiLCJ1c2VySWQiOiI1NjU4MTQxNTMifQ==</vt:lpwstr>
  </property>
</Properties>
</file>