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B6F51">
      <w:pPr>
        <w:spacing w:line="600" w:lineRule="exact"/>
        <w:jc w:val="both"/>
        <w:rPr>
          <w:rFonts w:eastAsia="方正仿宋_GB2312"/>
          <w:color w:val="000000"/>
          <w:kern w:val="2"/>
          <w:sz w:val="32"/>
          <w:szCs w:val="32"/>
          <w:lang w:val="zh-CN"/>
        </w:rPr>
      </w:pPr>
    </w:p>
    <w:p w14:paraId="7FBE3462">
      <w:pPr>
        <w:pStyle w:val="3"/>
        <w:suppressAutoHyphens/>
        <w:autoSpaceDE/>
        <w:autoSpaceDN/>
        <w:adjustRightInd/>
        <w:spacing w:beforeLines="0" w:after="140" w:line="276" w:lineRule="auto"/>
        <w:jc w:val="center"/>
        <w:rPr>
          <w:rFonts w:ascii="Times New Roman" w:eastAsia="方正小标宋简体" w:cs="Times New Roman"/>
          <w:kern w:val="2"/>
          <w:sz w:val="52"/>
          <w:szCs w:val="52"/>
          <w:lang w:val="zh-CN"/>
        </w:rPr>
      </w:pPr>
    </w:p>
    <w:p w14:paraId="0BF6CEFA">
      <w:pPr>
        <w:pStyle w:val="3"/>
        <w:suppressAutoHyphens/>
        <w:autoSpaceDE/>
        <w:autoSpaceDN/>
        <w:adjustRightInd/>
        <w:spacing w:beforeLines="0" w:after="140" w:line="276" w:lineRule="auto"/>
        <w:jc w:val="center"/>
        <w:rPr>
          <w:rFonts w:ascii="Times New Roman" w:eastAsia="方正小标宋简体" w:cs="Times New Roman"/>
          <w:kern w:val="2"/>
          <w:sz w:val="52"/>
          <w:szCs w:val="52"/>
          <w:lang w:val="zh-CN"/>
        </w:rPr>
      </w:pPr>
      <w:bookmarkStart w:id="34" w:name="_GoBack"/>
      <w:bookmarkEnd w:id="34"/>
    </w:p>
    <w:p w14:paraId="0E63C1F1">
      <w:pPr>
        <w:pStyle w:val="3"/>
        <w:suppressAutoHyphens/>
        <w:autoSpaceDE/>
        <w:autoSpaceDN/>
        <w:adjustRightInd/>
        <w:spacing w:beforeLines="0" w:after="140" w:line="276" w:lineRule="auto"/>
        <w:jc w:val="center"/>
        <w:rPr>
          <w:rFonts w:ascii="Times New Roman" w:eastAsia="方正小标宋简体" w:cs="Times New Roman"/>
          <w:kern w:val="2"/>
          <w:sz w:val="52"/>
          <w:szCs w:val="52"/>
        </w:rPr>
      </w:pPr>
      <w:r>
        <w:rPr>
          <w:rFonts w:ascii="Times New Roman" w:eastAsia="方正小标宋简体" w:cs="Times New Roman"/>
          <w:kern w:val="2"/>
          <w:sz w:val="52"/>
          <w:szCs w:val="52"/>
        </w:rPr>
        <w:t>四川省广元市昭化区工商业联合会</w:t>
      </w:r>
    </w:p>
    <w:p w14:paraId="054DC2B4">
      <w:pPr>
        <w:pStyle w:val="3"/>
        <w:suppressAutoHyphens/>
        <w:autoSpaceDE/>
        <w:autoSpaceDN/>
        <w:adjustRightInd/>
        <w:spacing w:beforeLines="0" w:after="140" w:line="276" w:lineRule="auto"/>
        <w:jc w:val="center"/>
        <w:rPr>
          <w:rFonts w:ascii="Times New Roman" w:eastAsia="方正小标宋简体" w:cs="Times New Roman"/>
          <w:kern w:val="2"/>
          <w:sz w:val="52"/>
          <w:szCs w:val="52"/>
          <w:lang w:val="zh-CN"/>
        </w:rPr>
      </w:pPr>
      <w:r>
        <w:rPr>
          <w:rFonts w:ascii="Times New Roman" w:eastAsia="方正小标宋简体" w:cs="Times New Roman"/>
          <w:kern w:val="2"/>
          <w:sz w:val="52"/>
          <w:szCs w:val="52"/>
          <w:lang w:val="zh-CN"/>
        </w:rPr>
        <w:t>2023年度部门决算</w:t>
      </w:r>
    </w:p>
    <w:p w14:paraId="34CD9E1E">
      <w:pPr>
        <w:pStyle w:val="3"/>
        <w:suppressAutoHyphens/>
        <w:autoSpaceDE/>
        <w:autoSpaceDN/>
        <w:adjustRightInd/>
        <w:spacing w:beforeLines="0" w:after="140" w:line="276" w:lineRule="auto"/>
        <w:jc w:val="center"/>
        <w:rPr>
          <w:rFonts w:ascii="Times New Roman" w:eastAsia="方正小标宋简体" w:cs="Times New Roman"/>
          <w:kern w:val="2"/>
          <w:sz w:val="52"/>
          <w:szCs w:val="52"/>
          <w:lang w:val="zh-CN"/>
        </w:rPr>
      </w:pPr>
      <w:r>
        <w:br w:type="page"/>
      </w:r>
    </w:p>
    <w:p w14:paraId="38084822">
      <w:pPr>
        <w:pStyle w:val="3"/>
        <w:spacing w:before="72" w:line="576" w:lineRule="exact"/>
        <w:jc w:val="center"/>
        <w:rPr>
          <w:rFonts w:ascii="Times New Roman" w:eastAsia="方正小标宋简体" w:cs="Times New Roman"/>
          <w:kern w:val="2"/>
          <w:sz w:val="44"/>
          <w:szCs w:val="44"/>
          <w:lang w:val="zh-CN"/>
        </w:rPr>
      </w:pPr>
      <w:r>
        <w:br w:type="page"/>
      </w:r>
      <w:r>
        <w:rPr>
          <w:rFonts w:ascii="Times New Roman" w:eastAsia="方正小标宋简体" w:cs="Times New Roman"/>
          <w:kern w:val="2"/>
          <w:sz w:val="44"/>
          <w:szCs w:val="44"/>
          <w:lang w:val="zh-CN"/>
        </w:rPr>
        <w:t>目   录</w:t>
      </w:r>
    </w:p>
    <w:p w14:paraId="7E1A00CE">
      <w:pPr>
        <w:spacing w:line="576" w:lineRule="exact"/>
        <w:jc w:val="center"/>
        <w:rPr>
          <w:rFonts w:eastAsia="仿宋_GB2312"/>
          <w:kern w:val="2"/>
          <w:sz w:val="32"/>
          <w:szCs w:val="32"/>
          <w:lang w:val="zh-CN"/>
        </w:rPr>
      </w:pPr>
    </w:p>
    <w:p w14:paraId="2D131A71">
      <w:pPr>
        <w:pStyle w:val="29"/>
        <w:rPr>
          <w:rFonts w:ascii="Times New Roman" w:hAnsi="Times New Roman"/>
          <w:kern w:val="2"/>
        </w:rPr>
      </w:pPr>
      <w:r>
        <w:rPr>
          <w:rFonts w:ascii="Times New Roman" w:hAnsi="Times New Roman"/>
        </w:rPr>
        <w:fldChar w:fldCharType="begin"/>
      </w:r>
      <w:r>
        <w:rPr>
          <w:rFonts w:ascii="Times New Roman" w:hAnsi="Times New Roman"/>
        </w:rPr>
        <w:instrText xml:space="preserve">TOC \o "1-2" \h \u</w:instrText>
      </w:r>
      <w:r>
        <w:rPr>
          <w:rFonts w:ascii="Times New Roman" w:hAnsi="Times New Roman"/>
        </w:rPr>
        <w:fldChar w:fldCharType="separate"/>
      </w:r>
      <w:r>
        <w:fldChar w:fldCharType="begin"/>
      </w:r>
      <w:r>
        <w:instrText xml:space="preserve"> HYPERLINK \l "_Toc178326857" </w:instrText>
      </w:r>
      <w:r>
        <w:fldChar w:fldCharType="separate"/>
      </w:r>
      <w:r>
        <w:rPr>
          <w:rStyle w:val="10"/>
          <w:rFonts w:ascii="Times New Roman" w:hAnsi="Times New Roman"/>
        </w:rPr>
        <w:t>第</w:t>
      </w:r>
      <w:r>
        <w:rPr>
          <w:rStyle w:val="10"/>
          <w:rFonts w:ascii="Times New Roman"/>
        </w:rPr>
        <w:t>一部分</w:t>
      </w:r>
      <w:r>
        <w:rPr>
          <w:rStyle w:val="10"/>
          <w:rFonts w:ascii="Times New Roman" w:hAnsi="Times New Roman"/>
        </w:rPr>
        <w:t xml:space="preserve"> </w:t>
      </w:r>
      <w:r>
        <w:rPr>
          <w:rStyle w:val="10"/>
          <w:rFonts w:ascii="Times New Roman"/>
        </w:rPr>
        <w:t>部门概况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_Toc178326857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E4FB3A1">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"_Toc178326858" </w:instrText>
      </w:r>
      <w:r>
        <w:fldChar w:fldCharType="separate"/>
      </w:r>
      <w:r>
        <w:rPr>
          <w:rStyle w:val="10"/>
          <w:rFonts w:eastAsia="仿宋_GB2312"/>
          <w:sz w:val="32"/>
          <w:szCs w:val="32"/>
        </w:rPr>
        <w:t>一、部门职责</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_Toc178326858 \h </w:instrText>
      </w:r>
      <w:r>
        <w:rPr>
          <w:rFonts w:eastAsia="仿宋_GB2312"/>
          <w:sz w:val="32"/>
          <w:szCs w:val="32"/>
        </w:rPr>
        <w:fldChar w:fldCharType="separate"/>
      </w:r>
      <w:r>
        <w:rPr>
          <w:rFonts w:eastAsia="仿宋_GB2312"/>
          <w:sz w:val="32"/>
          <w:szCs w:val="32"/>
        </w:rPr>
        <w:t>1</w:t>
      </w:r>
      <w:r>
        <w:rPr>
          <w:rFonts w:eastAsia="仿宋_GB2312"/>
          <w:sz w:val="32"/>
          <w:szCs w:val="32"/>
        </w:rPr>
        <w:fldChar w:fldCharType="end"/>
      </w:r>
      <w:r>
        <w:rPr>
          <w:rFonts w:eastAsia="仿宋_GB2312"/>
          <w:sz w:val="32"/>
          <w:szCs w:val="32"/>
        </w:rPr>
        <w:fldChar w:fldCharType="end"/>
      </w:r>
    </w:p>
    <w:p w14:paraId="494387B3">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"_Toc178326859" </w:instrText>
      </w:r>
      <w:r>
        <w:fldChar w:fldCharType="separate"/>
      </w:r>
      <w:r>
        <w:rPr>
          <w:rStyle w:val="10"/>
          <w:rFonts w:eastAsia="仿宋_GB2312"/>
          <w:sz w:val="32"/>
          <w:szCs w:val="32"/>
        </w:rPr>
        <w:t>二、机构设置</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_Toc178326859 \h </w:instrText>
      </w:r>
      <w:r>
        <w:rPr>
          <w:rFonts w:eastAsia="仿宋_GB2312"/>
          <w:sz w:val="32"/>
          <w:szCs w:val="32"/>
        </w:rPr>
        <w:fldChar w:fldCharType="separate"/>
      </w:r>
      <w:r>
        <w:rPr>
          <w:rFonts w:eastAsia="仿宋_GB2312"/>
          <w:sz w:val="32"/>
          <w:szCs w:val="32"/>
        </w:rPr>
        <w:t>12</w:t>
      </w:r>
      <w:r>
        <w:rPr>
          <w:rFonts w:eastAsia="仿宋_GB2312"/>
          <w:sz w:val="32"/>
          <w:szCs w:val="32"/>
        </w:rPr>
        <w:fldChar w:fldCharType="end"/>
      </w:r>
      <w:r>
        <w:rPr>
          <w:rFonts w:eastAsia="仿宋_GB2312"/>
          <w:sz w:val="32"/>
          <w:szCs w:val="32"/>
        </w:rPr>
        <w:fldChar w:fldCharType="end"/>
      </w:r>
    </w:p>
    <w:p w14:paraId="41A89A38">
      <w:pPr>
        <w:pStyle w:val="29"/>
        <w:rPr>
          <w:rFonts w:ascii="Times New Roman" w:hAnsi="Times New Roman"/>
          <w:kern w:val="2"/>
        </w:rPr>
      </w:pPr>
      <w:r>
        <w:fldChar w:fldCharType="begin"/>
      </w:r>
      <w:r>
        <w:instrText xml:space="preserve"> HYPERLINK \l "_Toc178326860" </w:instrText>
      </w:r>
      <w:r>
        <w:fldChar w:fldCharType="separate"/>
      </w:r>
      <w:r>
        <w:rPr>
          <w:rStyle w:val="10"/>
          <w:rFonts w:ascii="Times New Roman"/>
        </w:rPr>
        <w:t>第二部分</w:t>
      </w:r>
      <w:r>
        <w:rPr>
          <w:rStyle w:val="10"/>
          <w:rFonts w:ascii="Times New Roman" w:hAnsi="Times New Roman"/>
        </w:rPr>
        <w:t xml:space="preserve">  2023</w:t>
      </w:r>
      <w:r>
        <w:rPr>
          <w:rStyle w:val="10"/>
          <w:rFonts w:ascii="Times New Roman"/>
        </w:rPr>
        <w:t>年度部门决算情况说明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_Toc178326860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14:paraId="50A12BEC">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"_Toc178326861" </w:instrText>
      </w:r>
      <w:r>
        <w:fldChar w:fldCharType="separate"/>
      </w:r>
      <w:r>
        <w:rPr>
          <w:rStyle w:val="10"/>
          <w:rFonts w:eastAsia="仿宋_GB2312"/>
          <w:sz w:val="32"/>
          <w:szCs w:val="32"/>
        </w:rPr>
        <w:t>一、收入支出决算总体情况说明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_Toc178326861 \h </w:instrText>
      </w:r>
      <w:r>
        <w:rPr>
          <w:rFonts w:eastAsia="仿宋_GB2312"/>
          <w:sz w:val="32"/>
          <w:szCs w:val="32"/>
        </w:rPr>
        <w:fldChar w:fldCharType="separate"/>
      </w:r>
      <w:r>
        <w:rPr>
          <w:rFonts w:eastAsia="仿宋_GB2312"/>
          <w:sz w:val="32"/>
          <w:szCs w:val="32"/>
        </w:rPr>
        <w:t>14</w:t>
      </w:r>
      <w:r>
        <w:rPr>
          <w:rFonts w:eastAsia="仿宋_GB2312"/>
          <w:sz w:val="32"/>
          <w:szCs w:val="32"/>
        </w:rPr>
        <w:fldChar w:fldCharType="end"/>
      </w:r>
      <w:r>
        <w:rPr>
          <w:rFonts w:eastAsia="仿宋_GB2312"/>
          <w:sz w:val="32"/>
          <w:szCs w:val="32"/>
        </w:rPr>
        <w:fldChar w:fldCharType="end"/>
      </w:r>
    </w:p>
    <w:p w14:paraId="65F99159">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"_Toc178326862" </w:instrText>
      </w:r>
      <w:r>
        <w:fldChar w:fldCharType="separate"/>
      </w:r>
      <w:r>
        <w:rPr>
          <w:rStyle w:val="10"/>
          <w:rFonts w:eastAsia="仿宋_GB2312"/>
          <w:sz w:val="32"/>
          <w:szCs w:val="32"/>
        </w:rPr>
        <w:t>二、收入决算情况说明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_Toc178326862 \h </w:instrText>
      </w:r>
      <w:r>
        <w:rPr>
          <w:rFonts w:eastAsia="仿宋_GB2312"/>
          <w:sz w:val="32"/>
          <w:szCs w:val="32"/>
        </w:rPr>
        <w:fldChar w:fldCharType="separate"/>
      </w:r>
      <w:r>
        <w:rPr>
          <w:rFonts w:eastAsia="仿宋_GB2312"/>
          <w:sz w:val="32"/>
          <w:szCs w:val="32"/>
        </w:rPr>
        <w:t>14</w:t>
      </w:r>
      <w:r>
        <w:rPr>
          <w:rFonts w:eastAsia="仿宋_GB2312"/>
          <w:sz w:val="32"/>
          <w:szCs w:val="32"/>
        </w:rPr>
        <w:fldChar w:fldCharType="end"/>
      </w:r>
      <w:r>
        <w:rPr>
          <w:rFonts w:eastAsia="仿宋_GB2312"/>
          <w:sz w:val="32"/>
          <w:szCs w:val="32"/>
        </w:rPr>
        <w:fldChar w:fldCharType="end"/>
      </w:r>
    </w:p>
    <w:p w14:paraId="57432F9D">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"_Toc178326863" </w:instrText>
      </w:r>
      <w:r>
        <w:fldChar w:fldCharType="separate"/>
      </w:r>
      <w:r>
        <w:rPr>
          <w:rStyle w:val="10"/>
          <w:rFonts w:eastAsia="仿宋_GB2312"/>
          <w:sz w:val="32"/>
          <w:szCs w:val="32"/>
        </w:rPr>
        <w:t>三、支出决算情况说明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_Toc178326863 \h </w:instrText>
      </w:r>
      <w:r>
        <w:rPr>
          <w:rFonts w:eastAsia="仿宋_GB2312"/>
          <w:sz w:val="32"/>
          <w:szCs w:val="32"/>
        </w:rPr>
        <w:fldChar w:fldCharType="separate"/>
      </w:r>
      <w:r>
        <w:rPr>
          <w:rFonts w:eastAsia="仿宋_GB2312"/>
          <w:sz w:val="32"/>
          <w:szCs w:val="32"/>
        </w:rPr>
        <w:t>15</w:t>
      </w:r>
      <w:r>
        <w:rPr>
          <w:rFonts w:eastAsia="仿宋_GB2312"/>
          <w:sz w:val="32"/>
          <w:szCs w:val="32"/>
        </w:rPr>
        <w:fldChar w:fldCharType="end"/>
      </w:r>
      <w:r>
        <w:rPr>
          <w:rFonts w:eastAsia="仿宋_GB2312"/>
          <w:sz w:val="32"/>
          <w:szCs w:val="32"/>
        </w:rPr>
        <w:fldChar w:fldCharType="end"/>
      </w:r>
    </w:p>
    <w:p w14:paraId="1B56E98B">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"_Toc178326864" </w:instrText>
      </w:r>
      <w:r>
        <w:fldChar w:fldCharType="separate"/>
      </w:r>
      <w:r>
        <w:rPr>
          <w:rStyle w:val="10"/>
          <w:rFonts w:eastAsia="仿宋_GB2312"/>
          <w:sz w:val="32"/>
          <w:szCs w:val="32"/>
        </w:rPr>
        <w:t>四、财政拨款收入支出决算总体情况说明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_Toc178326864 \h </w:instrText>
      </w:r>
      <w:r>
        <w:rPr>
          <w:rFonts w:eastAsia="仿宋_GB2312"/>
          <w:sz w:val="32"/>
          <w:szCs w:val="32"/>
        </w:rPr>
        <w:fldChar w:fldCharType="separate"/>
      </w:r>
      <w:r>
        <w:rPr>
          <w:rFonts w:eastAsia="仿宋_GB2312"/>
          <w:sz w:val="32"/>
          <w:szCs w:val="32"/>
        </w:rPr>
        <w:t>15</w:t>
      </w:r>
      <w:r>
        <w:rPr>
          <w:rFonts w:eastAsia="仿宋_GB2312"/>
          <w:sz w:val="32"/>
          <w:szCs w:val="32"/>
        </w:rPr>
        <w:fldChar w:fldCharType="end"/>
      </w:r>
      <w:r>
        <w:rPr>
          <w:rFonts w:eastAsia="仿宋_GB2312"/>
          <w:sz w:val="32"/>
          <w:szCs w:val="32"/>
        </w:rPr>
        <w:fldChar w:fldCharType="end"/>
      </w:r>
    </w:p>
    <w:p w14:paraId="56F50183">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"_Toc178326865" </w:instrText>
      </w:r>
      <w:r>
        <w:fldChar w:fldCharType="separate"/>
      </w:r>
      <w:r>
        <w:rPr>
          <w:rStyle w:val="10"/>
          <w:rFonts w:eastAsia="仿宋_GB2312"/>
          <w:sz w:val="32"/>
          <w:szCs w:val="32"/>
        </w:rPr>
        <w:t>五、一般公共预算财政拨款支出决算情况说明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_Toc178326865 \h </w:instrText>
      </w:r>
      <w:r>
        <w:rPr>
          <w:rFonts w:eastAsia="仿宋_GB2312"/>
          <w:sz w:val="32"/>
          <w:szCs w:val="32"/>
        </w:rPr>
        <w:fldChar w:fldCharType="separate"/>
      </w:r>
      <w:r>
        <w:rPr>
          <w:rFonts w:eastAsia="仿宋_GB2312"/>
          <w:sz w:val="32"/>
          <w:szCs w:val="32"/>
        </w:rPr>
        <w:t>16</w:t>
      </w:r>
      <w:r>
        <w:rPr>
          <w:rFonts w:eastAsia="仿宋_GB2312"/>
          <w:sz w:val="32"/>
          <w:szCs w:val="32"/>
        </w:rPr>
        <w:fldChar w:fldCharType="end"/>
      </w:r>
      <w:r>
        <w:rPr>
          <w:rFonts w:eastAsia="仿宋_GB2312"/>
          <w:sz w:val="32"/>
          <w:szCs w:val="32"/>
        </w:rPr>
        <w:fldChar w:fldCharType="end"/>
      </w:r>
    </w:p>
    <w:p w14:paraId="6A63E1BD">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"_Toc178326866" </w:instrText>
      </w:r>
      <w:r>
        <w:fldChar w:fldCharType="separate"/>
      </w:r>
      <w:r>
        <w:rPr>
          <w:rStyle w:val="10"/>
          <w:rFonts w:eastAsia="仿宋_GB2312"/>
          <w:sz w:val="32"/>
          <w:szCs w:val="32"/>
        </w:rPr>
        <w:t>六、一般公共预算财政拨款基本支出决算情况说明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_Toc178326866 \h </w:instrText>
      </w:r>
      <w:r>
        <w:rPr>
          <w:rFonts w:eastAsia="仿宋_GB2312"/>
          <w:sz w:val="32"/>
          <w:szCs w:val="32"/>
        </w:rPr>
        <w:fldChar w:fldCharType="separate"/>
      </w:r>
      <w:r>
        <w:rPr>
          <w:rFonts w:eastAsia="仿宋_GB2312"/>
          <w:sz w:val="32"/>
          <w:szCs w:val="32"/>
        </w:rPr>
        <w:t>19</w:t>
      </w:r>
      <w:r>
        <w:rPr>
          <w:rFonts w:eastAsia="仿宋_GB2312"/>
          <w:sz w:val="32"/>
          <w:szCs w:val="32"/>
        </w:rPr>
        <w:fldChar w:fldCharType="end"/>
      </w:r>
      <w:r>
        <w:rPr>
          <w:rFonts w:eastAsia="仿宋_GB2312"/>
          <w:sz w:val="32"/>
          <w:szCs w:val="32"/>
        </w:rPr>
        <w:fldChar w:fldCharType="end"/>
      </w:r>
    </w:p>
    <w:p w14:paraId="575B41C9">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"_Toc178326867" </w:instrText>
      </w:r>
      <w:r>
        <w:fldChar w:fldCharType="separate"/>
      </w:r>
      <w:r>
        <w:rPr>
          <w:rStyle w:val="10"/>
          <w:rFonts w:eastAsia="仿宋_GB2312"/>
          <w:sz w:val="32"/>
          <w:szCs w:val="32"/>
        </w:rPr>
        <w:t>七、财政拨款“三公”经费支出决算情况说明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_Toc178326867 \h </w:instrText>
      </w:r>
      <w:r>
        <w:rPr>
          <w:rFonts w:eastAsia="仿宋_GB2312"/>
          <w:sz w:val="32"/>
          <w:szCs w:val="32"/>
        </w:rPr>
        <w:fldChar w:fldCharType="separate"/>
      </w:r>
      <w:r>
        <w:rPr>
          <w:rFonts w:eastAsia="仿宋_GB2312"/>
          <w:sz w:val="32"/>
          <w:szCs w:val="32"/>
        </w:rPr>
        <w:t>19</w:t>
      </w:r>
      <w:r>
        <w:rPr>
          <w:rFonts w:eastAsia="仿宋_GB2312"/>
          <w:sz w:val="32"/>
          <w:szCs w:val="32"/>
        </w:rPr>
        <w:fldChar w:fldCharType="end"/>
      </w:r>
      <w:r>
        <w:rPr>
          <w:rFonts w:eastAsia="仿宋_GB2312"/>
          <w:sz w:val="32"/>
          <w:szCs w:val="32"/>
        </w:rPr>
        <w:fldChar w:fldCharType="end"/>
      </w:r>
    </w:p>
    <w:p w14:paraId="00F7FA8A">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"_Toc178326868" </w:instrText>
      </w:r>
      <w:r>
        <w:fldChar w:fldCharType="separate"/>
      </w:r>
      <w:r>
        <w:rPr>
          <w:rStyle w:val="10"/>
          <w:rFonts w:eastAsia="仿宋_GB2312"/>
          <w:sz w:val="32"/>
          <w:szCs w:val="32"/>
        </w:rPr>
        <w:t>八、政府性基金预算支出决算情况说明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_Toc178326868 \h </w:instrText>
      </w:r>
      <w:r>
        <w:rPr>
          <w:rFonts w:eastAsia="仿宋_GB2312"/>
          <w:sz w:val="32"/>
          <w:szCs w:val="32"/>
        </w:rPr>
        <w:fldChar w:fldCharType="separate"/>
      </w:r>
      <w:r>
        <w:rPr>
          <w:rFonts w:eastAsia="仿宋_GB2312"/>
          <w:sz w:val="32"/>
          <w:szCs w:val="32"/>
        </w:rPr>
        <w:t>21</w:t>
      </w:r>
      <w:r>
        <w:rPr>
          <w:rFonts w:eastAsia="仿宋_GB2312"/>
          <w:sz w:val="32"/>
          <w:szCs w:val="32"/>
        </w:rPr>
        <w:fldChar w:fldCharType="end"/>
      </w:r>
      <w:r>
        <w:rPr>
          <w:rFonts w:eastAsia="仿宋_GB2312"/>
          <w:sz w:val="32"/>
          <w:szCs w:val="32"/>
        </w:rPr>
        <w:fldChar w:fldCharType="end"/>
      </w:r>
    </w:p>
    <w:p w14:paraId="108A9433">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"_Toc178326869" </w:instrText>
      </w:r>
      <w:r>
        <w:fldChar w:fldCharType="separate"/>
      </w:r>
      <w:r>
        <w:rPr>
          <w:rStyle w:val="10"/>
          <w:rFonts w:eastAsia="仿宋_GB2312"/>
          <w:sz w:val="32"/>
          <w:szCs w:val="32"/>
        </w:rPr>
        <w:t>九、国有资本经营预算支出决算情况说明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_Toc178326869 \h </w:instrText>
      </w:r>
      <w:r>
        <w:rPr>
          <w:rFonts w:eastAsia="仿宋_GB2312"/>
          <w:sz w:val="32"/>
          <w:szCs w:val="32"/>
        </w:rPr>
        <w:fldChar w:fldCharType="separate"/>
      </w:r>
      <w:r>
        <w:rPr>
          <w:rFonts w:eastAsia="仿宋_GB2312"/>
          <w:sz w:val="32"/>
          <w:szCs w:val="32"/>
        </w:rPr>
        <w:t>21</w:t>
      </w:r>
      <w:r>
        <w:rPr>
          <w:rFonts w:eastAsia="仿宋_GB2312"/>
          <w:sz w:val="32"/>
          <w:szCs w:val="32"/>
        </w:rPr>
        <w:fldChar w:fldCharType="end"/>
      </w:r>
      <w:r>
        <w:rPr>
          <w:rFonts w:eastAsia="仿宋_GB2312"/>
          <w:sz w:val="32"/>
          <w:szCs w:val="32"/>
        </w:rPr>
        <w:fldChar w:fldCharType="end"/>
      </w:r>
    </w:p>
    <w:p w14:paraId="37AE1912">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"_Toc178326870" </w:instrText>
      </w:r>
      <w:r>
        <w:fldChar w:fldCharType="separate"/>
      </w:r>
      <w:r>
        <w:rPr>
          <w:rStyle w:val="10"/>
          <w:rFonts w:eastAsia="仿宋_GB2312"/>
          <w:sz w:val="32"/>
          <w:szCs w:val="32"/>
        </w:rPr>
        <w:t>十、其他重要事项的情况说明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_Toc178326870 \h </w:instrText>
      </w:r>
      <w:r>
        <w:rPr>
          <w:rFonts w:eastAsia="仿宋_GB2312"/>
          <w:sz w:val="32"/>
          <w:szCs w:val="32"/>
        </w:rPr>
        <w:fldChar w:fldCharType="separate"/>
      </w:r>
      <w:r>
        <w:rPr>
          <w:rFonts w:eastAsia="仿宋_GB2312"/>
          <w:sz w:val="32"/>
          <w:szCs w:val="32"/>
        </w:rPr>
        <w:t>21</w:t>
      </w:r>
      <w:r>
        <w:rPr>
          <w:rFonts w:eastAsia="仿宋_GB2312"/>
          <w:sz w:val="32"/>
          <w:szCs w:val="32"/>
        </w:rPr>
        <w:fldChar w:fldCharType="end"/>
      </w:r>
      <w:r>
        <w:rPr>
          <w:rFonts w:eastAsia="仿宋_GB2312"/>
          <w:sz w:val="32"/>
          <w:szCs w:val="32"/>
        </w:rPr>
        <w:fldChar w:fldCharType="end"/>
      </w:r>
    </w:p>
    <w:p w14:paraId="70FDFD73">
      <w:pPr>
        <w:pStyle w:val="29"/>
        <w:rPr>
          <w:rFonts w:ascii="Times New Roman" w:hAnsi="Times New Roman"/>
          <w:kern w:val="2"/>
        </w:rPr>
      </w:pPr>
      <w:r>
        <w:fldChar w:fldCharType="begin"/>
      </w:r>
      <w:r>
        <w:instrText xml:space="preserve"> HYPERLINK \l "_Toc178326871" </w:instrText>
      </w:r>
      <w:r>
        <w:fldChar w:fldCharType="separate"/>
      </w:r>
      <w:r>
        <w:rPr>
          <w:rStyle w:val="10"/>
          <w:rFonts w:ascii="Times New Roman"/>
        </w:rPr>
        <w:t>第三部分</w:t>
      </w:r>
      <w:r>
        <w:rPr>
          <w:rStyle w:val="10"/>
          <w:rFonts w:ascii="Times New Roman" w:hAnsi="Times New Roman"/>
        </w:rPr>
        <w:t xml:space="preserve">  </w:t>
      </w:r>
      <w:r>
        <w:rPr>
          <w:rStyle w:val="10"/>
          <w:rFonts w:ascii="Times New Roman"/>
        </w:rPr>
        <w:t>名词解释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_Toc178326871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14:paraId="15B9CDD8">
      <w:pPr>
        <w:pStyle w:val="29"/>
        <w:rPr>
          <w:rFonts w:ascii="Times New Roman" w:hAnsi="Times New Roman"/>
          <w:kern w:val="2"/>
        </w:rPr>
      </w:pPr>
      <w:r>
        <w:fldChar w:fldCharType="begin"/>
      </w:r>
      <w:r>
        <w:instrText xml:space="preserve"> HYPERLINK \l "_Toc178326872" </w:instrText>
      </w:r>
      <w:r>
        <w:fldChar w:fldCharType="separate"/>
      </w:r>
      <w:r>
        <w:rPr>
          <w:rStyle w:val="10"/>
          <w:rFonts w:ascii="Times New Roman"/>
        </w:rPr>
        <w:t>第四部分</w:t>
      </w:r>
      <w:r>
        <w:rPr>
          <w:rStyle w:val="10"/>
          <w:rFonts w:ascii="Times New Roman" w:hAnsi="Times New Roman"/>
        </w:rPr>
        <w:t xml:space="preserve">  </w:t>
      </w:r>
      <w:r>
        <w:rPr>
          <w:rStyle w:val="10"/>
          <w:rFonts w:ascii="Times New Roman"/>
        </w:rPr>
        <w:t>附件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_Toc178326872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06D3289A">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"_Toc178326873" </w:instrText>
      </w:r>
      <w:r>
        <w:fldChar w:fldCharType="separate"/>
      </w:r>
      <w:r>
        <w:rPr>
          <w:rStyle w:val="10"/>
          <w:rFonts w:eastAsia="仿宋_GB2312"/>
          <w:bCs/>
          <w:sz w:val="32"/>
          <w:szCs w:val="32"/>
        </w:rPr>
        <w:t>一、部门概况</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_Toc178326873 \h </w:instrText>
      </w:r>
      <w:r>
        <w:rPr>
          <w:rFonts w:eastAsia="仿宋_GB2312"/>
          <w:sz w:val="32"/>
          <w:szCs w:val="32"/>
        </w:rPr>
        <w:fldChar w:fldCharType="separate"/>
      </w:r>
      <w:r>
        <w:rPr>
          <w:rFonts w:eastAsia="仿宋_GB2312"/>
          <w:sz w:val="32"/>
          <w:szCs w:val="32"/>
        </w:rPr>
        <w:t>25</w:t>
      </w:r>
      <w:r>
        <w:rPr>
          <w:rFonts w:eastAsia="仿宋_GB2312"/>
          <w:sz w:val="32"/>
          <w:szCs w:val="32"/>
        </w:rPr>
        <w:fldChar w:fldCharType="end"/>
      </w:r>
      <w:r>
        <w:rPr>
          <w:rFonts w:eastAsia="仿宋_GB2312"/>
          <w:sz w:val="32"/>
          <w:szCs w:val="32"/>
        </w:rPr>
        <w:fldChar w:fldCharType="end"/>
      </w:r>
    </w:p>
    <w:p w14:paraId="3F4AD407">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"_Toc178326874" </w:instrText>
      </w:r>
      <w:r>
        <w:fldChar w:fldCharType="separate"/>
      </w:r>
      <w:r>
        <w:rPr>
          <w:rStyle w:val="10"/>
          <w:rFonts w:eastAsia="仿宋_GB2312"/>
          <w:bCs/>
          <w:sz w:val="32"/>
          <w:szCs w:val="32"/>
        </w:rPr>
        <w:t>二、部门财政收支管理情况</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_Toc178326874 \h </w:instrText>
      </w:r>
      <w:r>
        <w:rPr>
          <w:rFonts w:eastAsia="仿宋_GB2312"/>
          <w:sz w:val="32"/>
          <w:szCs w:val="32"/>
        </w:rPr>
        <w:fldChar w:fldCharType="separate"/>
      </w:r>
      <w:r>
        <w:rPr>
          <w:rFonts w:eastAsia="仿宋_GB2312"/>
          <w:sz w:val="32"/>
          <w:szCs w:val="32"/>
        </w:rPr>
        <w:t>26</w:t>
      </w:r>
      <w:r>
        <w:rPr>
          <w:rFonts w:eastAsia="仿宋_GB2312"/>
          <w:sz w:val="32"/>
          <w:szCs w:val="32"/>
        </w:rPr>
        <w:fldChar w:fldCharType="end"/>
      </w:r>
      <w:r>
        <w:rPr>
          <w:rFonts w:eastAsia="仿宋_GB2312"/>
          <w:sz w:val="32"/>
          <w:szCs w:val="32"/>
        </w:rPr>
        <w:fldChar w:fldCharType="end"/>
      </w:r>
    </w:p>
    <w:p w14:paraId="36E6054D">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"_Toc178326875" </w:instrText>
      </w:r>
      <w:r>
        <w:fldChar w:fldCharType="separate"/>
      </w:r>
      <w:r>
        <w:rPr>
          <w:rStyle w:val="10"/>
          <w:rFonts w:eastAsia="仿宋_GB2312"/>
          <w:bCs/>
          <w:sz w:val="32"/>
          <w:szCs w:val="32"/>
        </w:rPr>
        <w:t>三、部门整体预算绩效管理情况</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_Toc178326875 \h </w:instrText>
      </w:r>
      <w:r>
        <w:rPr>
          <w:rFonts w:eastAsia="仿宋_GB2312"/>
          <w:sz w:val="32"/>
          <w:szCs w:val="32"/>
        </w:rPr>
        <w:fldChar w:fldCharType="separate"/>
      </w:r>
      <w:r>
        <w:rPr>
          <w:rFonts w:eastAsia="仿宋_GB2312"/>
          <w:sz w:val="32"/>
          <w:szCs w:val="32"/>
        </w:rPr>
        <w:t>27</w:t>
      </w:r>
      <w:r>
        <w:rPr>
          <w:rFonts w:eastAsia="仿宋_GB2312"/>
          <w:sz w:val="32"/>
          <w:szCs w:val="32"/>
        </w:rPr>
        <w:fldChar w:fldCharType="end"/>
      </w:r>
      <w:r>
        <w:rPr>
          <w:rFonts w:eastAsia="仿宋_GB2312"/>
          <w:sz w:val="32"/>
          <w:szCs w:val="32"/>
        </w:rPr>
        <w:fldChar w:fldCharType="end"/>
      </w:r>
    </w:p>
    <w:p w14:paraId="6636ADF2">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"_Toc178326876" </w:instrText>
      </w:r>
      <w:r>
        <w:fldChar w:fldCharType="separate"/>
      </w:r>
      <w:r>
        <w:rPr>
          <w:rStyle w:val="10"/>
          <w:rFonts w:eastAsia="仿宋_GB2312"/>
          <w:bCs/>
          <w:sz w:val="32"/>
          <w:szCs w:val="32"/>
        </w:rPr>
        <w:t>四、评价结论及建议</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_Toc178326876 \h </w:instrText>
      </w:r>
      <w:r>
        <w:rPr>
          <w:rFonts w:eastAsia="仿宋_GB2312"/>
          <w:sz w:val="32"/>
          <w:szCs w:val="32"/>
        </w:rPr>
        <w:fldChar w:fldCharType="separate"/>
      </w:r>
      <w:r>
        <w:rPr>
          <w:rFonts w:eastAsia="仿宋_GB2312"/>
          <w:sz w:val="32"/>
          <w:szCs w:val="32"/>
        </w:rPr>
        <w:t>28</w:t>
      </w:r>
      <w:r>
        <w:rPr>
          <w:rFonts w:eastAsia="仿宋_GB2312"/>
          <w:sz w:val="32"/>
          <w:szCs w:val="32"/>
        </w:rPr>
        <w:fldChar w:fldCharType="end"/>
      </w:r>
      <w:r>
        <w:rPr>
          <w:rFonts w:eastAsia="仿宋_GB2312"/>
          <w:sz w:val="32"/>
          <w:szCs w:val="32"/>
        </w:rPr>
        <w:fldChar w:fldCharType="end"/>
      </w:r>
    </w:p>
    <w:p w14:paraId="201CEFC9">
      <w:pPr>
        <w:pStyle w:val="29"/>
        <w:rPr>
          <w:rStyle w:val="10"/>
          <w:rFonts w:ascii="Times New Roman" w:hAnsi="Times New Roman"/>
        </w:rPr>
      </w:pPr>
      <w:r>
        <w:fldChar w:fldCharType="begin"/>
      </w:r>
      <w:r>
        <w:instrText xml:space="preserve"> HYPERLINK \l "_Toc178326877" </w:instrText>
      </w:r>
      <w:r>
        <w:fldChar w:fldCharType="separate"/>
      </w:r>
      <w:r>
        <w:rPr>
          <w:rStyle w:val="10"/>
          <w:rFonts w:ascii="Times New Roman"/>
        </w:rPr>
        <w:t>第五部分</w:t>
      </w:r>
      <w:r>
        <w:rPr>
          <w:rStyle w:val="10"/>
          <w:rFonts w:ascii="Times New Roman" w:hAnsi="Times New Roman"/>
        </w:rPr>
        <w:t xml:space="preserve">  </w:t>
      </w:r>
      <w:r>
        <w:rPr>
          <w:rStyle w:val="10"/>
          <w:rFonts w:ascii="Times New Roman"/>
        </w:rPr>
        <w:t>附表</w:t>
      </w:r>
      <w:r>
        <w:rPr>
          <w:rStyle w:val="10"/>
          <w:rFonts w:ascii="Times New Roman" w:hAnsi="Times New Roman"/>
        </w:rPr>
        <w:tab/>
      </w:r>
      <w:r>
        <w:rPr>
          <w:rStyle w:val="10"/>
          <w:rFonts w:ascii="Times New Roman" w:hAnsi="Times New Roman"/>
        </w:rPr>
        <w:fldChar w:fldCharType="begin"/>
      </w:r>
      <w:r>
        <w:rPr>
          <w:rStyle w:val="10"/>
          <w:rFonts w:ascii="Times New Roman" w:hAnsi="Times New Roman"/>
        </w:rPr>
        <w:instrText xml:space="preserve"> PAGEREF _Toc178326877 \h </w:instrText>
      </w:r>
      <w:r>
        <w:rPr>
          <w:rStyle w:val="10"/>
          <w:rFonts w:ascii="Times New Roman" w:hAnsi="Times New Roman"/>
        </w:rPr>
        <w:fldChar w:fldCharType="separate"/>
      </w:r>
      <w:r>
        <w:rPr>
          <w:rStyle w:val="10"/>
          <w:rFonts w:ascii="Times New Roman" w:hAnsi="Times New Roman"/>
        </w:rPr>
        <w:t>33</w:t>
      </w:r>
      <w:r>
        <w:rPr>
          <w:rStyle w:val="10"/>
          <w:rFonts w:ascii="Times New Roman" w:hAnsi="Times New Roman"/>
        </w:rPr>
        <w:fldChar w:fldCharType="end"/>
      </w:r>
      <w:r>
        <w:rPr>
          <w:rStyle w:val="10"/>
          <w:rFonts w:ascii="Times New Roman" w:hAnsi="Times New Roman"/>
        </w:rPr>
        <w:fldChar w:fldCharType="end"/>
      </w:r>
    </w:p>
    <w:p w14:paraId="5D2023D9">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"_Toc178326878" </w:instrText>
      </w:r>
      <w:r>
        <w:fldChar w:fldCharType="separate"/>
      </w:r>
      <w:r>
        <w:rPr>
          <w:rStyle w:val="10"/>
          <w:rFonts w:eastAsia="仿宋_GB2312"/>
          <w:sz w:val="32"/>
          <w:szCs w:val="32"/>
        </w:rPr>
        <w:t>一、收入支出决算总表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_Toc178326878 \h </w:instrText>
      </w:r>
      <w:r>
        <w:rPr>
          <w:rFonts w:eastAsia="仿宋_GB2312"/>
          <w:sz w:val="32"/>
          <w:szCs w:val="32"/>
        </w:rPr>
        <w:fldChar w:fldCharType="separate"/>
      </w:r>
      <w:r>
        <w:rPr>
          <w:rFonts w:eastAsia="仿宋_GB2312"/>
          <w:sz w:val="32"/>
          <w:szCs w:val="32"/>
        </w:rPr>
        <w:t>33</w:t>
      </w:r>
      <w:r>
        <w:rPr>
          <w:rFonts w:eastAsia="仿宋_GB2312"/>
          <w:sz w:val="32"/>
          <w:szCs w:val="32"/>
        </w:rPr>
        <w:fldChar w:fldCharType="end"/>
      </w:r>
      <w:r>
        <w:rPr>
          <w:rFonts w:eastAsia="仿宋_GB2312"/>
          <w:sz w:val="32"/>
          <w:szCs w:val="32"/>
        </w:rPr>
        <w:fldChar w:fldCharType="end"/>
      </w:r>
    </w:p>
    <w:p w14:paraId="4F563A2E">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"_Toc178326879" </w:instrText>
      </w:r>
      <w:r>
        <w:fldChar w:fldCharType="separate"/>
      </w:r>
      <w:r>
        <w:rPr>
          <w:rStyle w:val="10"/>
          <w:rFonts w:eastAsia="仿宋_GB2312"/>
          <w:sz w:val="32"/>
          <w:szCs w:val="32"/>
        </w:rPr>
        <w:t>二、收入决算表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_Toc178326879 \h </w:instrText>
      </w:r>
      <w:r>
        <w:rPr>
          <w:rFonts w:eastAsia="仿宋_GB2312"/>
          <w:sz w:val="32"/>
          <w:szCs w:val="32"/>
        </w:rPr>
        <w:fldChar w:fldCharType="separate"/>
      </w:r>
      <w:r>
        <w:rPr>
          <w:rFonts w:eastAsia="仿宋_GB2312"/>
          <w:sz w:val="32"/>
          <w:szCs w:val="32"/>
        </w:rPr>
        <w:t>33</w:t>
      </w:r>
      <w:r>
        <w:rPr>
          <w:rFonts w:eastAsia="仿宋_GB2312"/>
          <w:sz w:val="32"/>
          <w:szCs w:val="32"/>
        </w:rPr>
        <w:fldChar w:fldCharType="end"/>
      </w:r>
      <w:r>
        <w:rPr>
          <w:rFonts w:eastAsia="仿宋_GB2312"/>
          <w:sz w:val="32"/>
          <w:szCs w:val="32"/>
        </w:rPr>
        <w:fldChar w:fldCharType="end"/>
      </w:r>
    </w:p>
    <w:p w14:paraId="5051662B">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"_Toc178326880" </w:instrText>
      </w:r>
      <w:r>
        <w:fldChar w:fldCharType="separate"/>
      </w:r>
      <w:r>
        <w:rPr>
          <w:rStyle w:val="10"/>
          <w:rFonts w:eastAsia="仿宋_GB2312"/>
          <w:sz w:val="32"/>
          <w:szCs w:val="32"/>
        </w:rPr>
        <w:t>三、支出决算表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_Toc178326880 \h </w:instrText>
      </w:r>
      <w:r>
        <w:rPr>
          <w:rFonts w:eastAsia="仿宋_GB2312"/>
          <w:sz w:val="32"/>
          <w:szCs w:val="32"/>
        </w:rPr>
        <w:fldChar w:fldCharType="separate"/>
      </w:r>
      <w:r>
        <w:rPr>
          <w:rFonts w:eastAsia="仿宋_GB2312"/>
          <w:sz w:val="32"/>
          <w:szCs w:val="32"/>
        </w:rPr>
        <w:t>33</w:t>
      </w:r>
      <w:r>
        <w:rPr>
          <w:rFonts w:eastAsia="仿宋_GB2312"/>
          <w:sz w:val="32"/>
          <w:szCs w:val="32"/>
        </w:rPr>
        <w:fldChar w:fldCharType="end"/>
      </w:r>
      <w:r>
        <w:rPr>
          <w:rFonts w:eastAsia="仿宋_GB2312"/>
          <w:sz w:val="32"/>
          <w:szCs w:val="32"/>
        </w:rPr>
        <w:fldChar w:fldCharType="end"/>
      </w:r>
    </w:p>
    <w:p w14:paraId="41C40E55">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"_Toc178326881" </w:instrText>
      </w:r>
      <w:r>
        <w:fldChar w:fldCharType="separate"/>
      </w:r>
      <w:r>
        <w:rPr>
          <w:rStyle w:val="10"/>
          <w:rFonts w:eastAsia="仿宋_GB2312"/>
          <w:sz w:val="32"/>
          <w:szCs w:val="32"/>
        </w:rPr>
        <w:t>四、财政拨款收入支出决算总表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_Toc178326881 \h </w:instrText>
      </w:r>
      <w:r>
        <w:rPr>
          <w:rFonts w:eastAsia="仿宋_GB2312"/>
          <w:sz w:val="32"/>
          <w:szCs w:val="32"/>
        </w:rPr>
        <w:fldChar w:fldCharType="separate"/>
      </w:r>
      <w:r>
        <w:rPr>
          <w:rFonts w:eastAsia="仿宋_GB2312"/>
          <w:sz w:val="32"/>
          <w:szCs w:val="32"/>
        </w:rPr>
        <w:t>33</w:t>
      </w:r>
      <w:r>
        <w:rPr>
          <w:rFonts w:eastAsia="仿宋_GB2312"/>
          <w:sz w:val="32"/>
          <w:szCs w:val="32"/>
        </w:rPr>
        <w:fldChar w:fldCharType="end"/>
      </w:r>
      <w:r>
        <w:rPr>
          <w:rFonts w:eastAsia="仿宋_GB2312"/>
          <w:sz w:val="32"/>
          <w:szCs w:val="32"/>
        </w:rPr>
        <w:fldChar w:fldCharType="end"/>
      </w:r>
    </w:p>
    <w:p w14:paraId="4351979B">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"_Toc178326882" </w:instrText>
      </w:r>
      <w:r>
        <w:fldChar w:fldCharType="separate"/>
      </w:r>
      <w:r>
        <w:rPr>
          <w:rStyle w:val="10"/>
          <w:rFonts w:eastAsia="仿宋_GB2312"/>
          <w:sz w:val="32"/>
          <w:szCs w:val="32"/>
        </w:rPr>
        <w:t>五、财政拨款支出决算明细表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_Toc178326882 \h </w:instrText>
      </w:r>
      <w:r>
        <w:rPr>
          <w:rFonts w:eastAsia="仿宋_GB2312"/>
          <w:sz w:val="32"/>
          <w:szCs w:val="32"/>
        </w:rPr>
        <w:fldChar w:fldCharType="separate"/>
      </w:r>
      <w:r>
        <w:rPr>
          <w:rFonts w:eastAsia="仿宋_GB2312"/>
          <w:sz w:val="32"/>
          <w:szCs w:val="32"/>
        </w:rPr>
        <w:t>33</w:t>
      </w:r>
      <w:r>
        <w:rPr>
          <w:rFonts w:eastAsia="仿宋_GB2312"/>
          <w:sz w:val="32"/>
          <w:szCs w:val="32"/>
        </w:rPr>
        <w:fldChar w:fldCharType="end"/>
      </w:r>
      <w:r>
        <w:rPr>
          <w:rFonts w:eastAsia="仿宋_GB2312"/>
          <w:sz w:val="32"/>
          <w:szCs w:val="32"/>
        </w:rPr>
        <w:fldChar w:fldCharType="end"/>
      </w:r>
    </w:p>
    <w:p w14:paraId="0D95A816">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"_Toc178326883" </w:instrText>
      </w:r>
      <w:r>
        <w:fldChar w:fldCharType="separate"/>
      </w:r>
      <w:r>
        <w:rPr>
          <w:rStyle w:val="10"/>
          <w:rFonts w:eastAsia="仿宋_GB2312"/>
          <w:sz w:val="32"/>
          <w:szCs w:val="32"/>
        </w:rPr>
        <w:t>六、一般公共预算财政拨款支出决算表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_Toc178326883 \h </w:instrText>
      </w:r>
      <w:r>
        <w:rPr>
          <w:rFonts w:eastAsia="仿宋_GB2312"/>
          <w:sz w:val="32"/>
          <w:szCs w:val="32"/>
        </w:rPr>
        <w:fldChar w:fldCharType="separate"/>
      </w:r>
      <w:r>
        <w:rPr>
          <w:rFonts w:eastAsia="仿宋_GB2312"/>
          <w:sz w:val="32"/>
          <w:szCs w:val="32"/>
        </w:rPr>
        <w:t>33</w:t>
      </w:r>
      <w:r>
        <w:rPr>
          <w:rFonts w:eastAsia="仿宋_GB2312"/>
          <w:sz w:val="32"/>
          <w:szCs w:val="32"/>
        </w:rPr>
        <w:fldChar w:fldCharType="end"/>
      </w:r>
      <w:r>
        <w:rPr>
          <w:rFonts w:eastAsia="仿宋_GB2312"/>
          <w:sz w:val="32"/>
          <w:szCs w:val="32"/>
        </w:rPr>
        <w:fldChar w:fldCharType="end"/>
      </w:r>
    </w:p>
    <w:p w14:paraId="24A32D3F">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"_Toc178326884" </w:instrText>
      </w:r>
      <w:r>
        <w:fldChar w:fldCharType="separate"/>
      </w:r>
      <w:r>
        <w:rPr>
          <w:rStyle w:val="10"/>
          <w:rFonts w:eastAsia="仿宋_GB2312"/>
          <w:sz w:val="32"/>
          <w:szCs w:val="32"/>
        </w:rPr>
        <w:t>七、一般公共预算财政拨款支出决算明细表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_Toc178326884 \h </w:instrText>
      </w:r>
      <w:r>
        <w:rPr>
          <w:rFonts w:eastAsia="仿宋_GB2312"/>
          <w:sz w:val="32"/>
          <w:szCs w:val="32"/>
        </w:rPr>
        <w:fldChar w:fldCharType="separate"/>
      </w:r>
      <w:r>
        <w:rPr>
          <w:rFonts w:eastAsia="仿宋_GB2312"/>
          <w:sz w:val="32"/>
          <w:szCs w:val="32"/>
        </w:rPr>
        <w:t>33</w:t>
      </w:r>
      <w:r>
        <w:rPr>
          <w:rFonts w:eastAsia="仿宋_GB2312"/>
          <w:sz w:val="32"/>
          <w:szCs w:val="32"/>
        </w:rPr>
        <w:fldChar w:fldCharType="end"/>
      </w:r>
      <w:r>
        <w:rPr>
          <w:rFonts w:eastAsia="仿宋_GB2312"/>
          <w:sz w:val="32"/>
          <w:szCs w:val="32"/>
        </w:rPr>
        <w:fldChar w:fldCharType="end"/>
      </w:r>
    </w:p>
    <w:p w14:paraId="2008A6E8">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"_Toc178326885" </w:instrText>
      </w:r>
      <w:r>
        <w:fldChar w:fldCharType="separate"/>
      </w:r>
      <w:r>
        <w:rPr>
          <w:rStyle w:val="10"/>
          <w:rFonts w:eastAsia="仿宋_GB2312"/>
          <w:sz w:val="32"/>
          <w:szCs w:val="32"/>
        </w:rPr>
        <w:t>八、一般公共预算财政拨款基本支出决算表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_Toc178326885 \h </w:instrText>
      </w:r>
      <w:r>
        <w:rPr>
          <w:rFonts w:eastAsia="仿宋_GB2312"/>
          <w:sz w:val="32"/>
          <w:szCs w:val="32"/>
        </w:rPr>
        <w:fldChar w:fldCharType="separate"/>
      </w:r>
      <w:r>
        <w:rPr>
          <w:rFonts w:eastAsia="仿宋_GB2312"/>
          <w:sz w:val="32"/>
          <w:szCs w:val="32"/>
        </w:rPr>
        <w:t>33</w:t>
      </w:r>
      <w:r>
        <w:rPr>
          <w:rFonts w:eastAsia="仿宋_GB2312"/>
          <w:sz w:val="32"/>
          <w:szCs w:val="32"/>
        </w:rPr>
        <w:fldChar w:fldCharType="end"/>
      </w:r>
      <w:r>
        <w:rPr>
          <w:rFonts w:eastAsia="仿宋_GB2312"/>
          <w:sz w:val="32"/>
          <w:szCs w:val="32"/>
        </w:rPr>
        <w:fldChar w:fldCharType="end"/>
      </w:r>
    </w:p>
    <w:p w14:paraId="32A5C84B">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"_Toc178326886" </w:instrText>
      </w:r>
      <w:r>
        <w:fldChar w:fldCharType="separate"/>
      </w:r>
      <w:r>
        <w:rPr>
          <w:rStyle w:val="10"/>
          <w:rFonts w:eastAsia="仿宋_GB2312"/>
          <w:sz w:val="32"/>
          <w:szCs w:val="32"/>
        </w:rPr>
        <w:t>九、一般公共预算财政拨款项目支出决算表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_Toc178326886 \h </w:instrText>
      </w:r>
      <w:r>
        <w:rPr>
          <w:rFonts w:eastAsia="仿宋_GB2312"/>
          <w:sz w:val="32"/>
          <w:szCs w:val="32"/>
        </w:rPr>
        <w:fldChar w:fldCharType="separate"/>
      </w:r>
      <w:r>
        <w:rPr>
          <w:rFonts w:eastAsia="仿宋_GB2312"/>
          <w:sz w:val="32"/>
          <w:szCs w:val="32"/>
        </w:rPr>
        <w:t>33</w:t>
      </w:r>
      <w:r>
        <w:rPr>
          <w:rFonts w:eastAsia="仿宋_GB2312"/>
          <w:sz w:val="32"/>
          <w:szCs w:val="32"/>
        </w:rPr>
        <w:fldChar w:fldCharType="end"/>
      </w:r>
      <w:r>
        <w:rPr>
          <w:rFonts w:eastAsia="仿宋_GB2312"/>
          <w:sz w:val="32"/>
          <w:szCs w:val="32"/>
        </w:rPr>
        <w:fldChar w:fldCharType="end"/>
      </w:r>
    </w:p>
    <w:p w14:paraId="45433933">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"_Toc178326887" </w:instrText>
      </w:r>
      <w:r>
        <w:fldChar w:fldCharType="separate"/>
      </w:r>
      <w:r>
        <w:rPr>
          <w:rStyle w:val="10"/>
          <w:rFonts w:eastAsia="仿宋_GB2312"/>
          <w:sz w:val="32"/>
          <w:szCs w:val="32"/>
        </w:rPr>
        <w:t>十、政府性基金预算财政拨款收入支出决算表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_Toc178326887 \h </w:instrText>
      </w:r>
      <w:r>
        <w:rPr>
          <w:rFonts w:eastAsia="仿宋_GB2312"/>
          <w:sz w:val="32"/>
          <w:szCs w:val="32"/>
        </w:rPr>
        <w:fldChar w:fldCharType="separate"/>
      </w:r>
      <w:r>
        <w:rPr>
          <w:rFonts w:eastAsia="仿宋_GB2312"/>
          <w:sz w:val="32"/>
          <w:szCs w:val="32"/>
        </w:rPr>
        <w:t>33</w:t>
      </w:r>
      <w:r>
        <w:rPr>
          <w:rFonts w:eastAsia="仿宋_GB2312"/>
          <w:sz w:val="32"/>
          <w:szCs w:val="32"/>
        </w:rPr>
        <w:fldChar w:fldCharType="end"/>
      </w:r>
      <w:r>
        <w:rPr>
          <w:rFonts w:eastAsia="仿宋_GB2312"/>
          <w:sz w:val="32"/>
          <w:szCs w:val="32"/>
        </w:rPr>
        <w:fldChar w:fldCharType="end"/>
      </w:r>
    </w:p>
    <w:p w14:paraId="47BC9922">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"_Toc178326888" </w:instrText>
      </w:r>
      <w:r>
        <w:fldChar w:fldCharType="separate"/>
      </w:r>
      <w:r>
        <w:rPr>
          <w:rStyle w:val="10"/>
          <w:rFonts w:eastAsia="仿宋_GB2312"/>
          <w:sz w:val="32"/>
          <w:szCs w:val="32"/>
        </w:rPr>
        <w:t>十一、国有资本经营预算财政拨款收入支出决算表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_Toc178326888 \h </w:instrText>
      </w:r>
      <w:r>
        <w:rPr>
          <w:rFonts w:eastAsia="仿宋_GB2312"/>
          <w:sz w:val="32"/>
          <w:szCs w:val="32"/>
        </w:rPr>
        <w:fldChar w:fldCharType="separate"/>
      </w:r>
      <w:r>
        <w:rPr>
          <w:rFonts w:eastAsia="仿宋_GB2312"/>
          <w:sz w:val="32"/>
          <w:szCs w:val="32"/>
        </w:rPr>
        <w:t>33</w:t>
      </w:r>
      <w:r>
        <w:rPr>
          <w:rFonts w:eastAsia="仿宋_GB2312"/>
          <w:sz w:val="32"/>
          <w:szCs w:val="32"/>
        </w:rPr>
        <w:fldChar w:fldCharType="end"/>
      </w:r>
      <w:r>
        <w:rPr>
          <w:rFonts w:eastAsia="仿宋_GB2312"/>
          <w:sz w:val="32"/>
          <w:szCs w:val="32"/>
        </w:rPr>
        <w:fldChar w:fldCharType="end"/>
      </w:r>
    </w:p>
    <w:p w14:paraId="2D51F2C9">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"_Toc178326889" </w:instrText>
      </w:r>
      <w:r>
        <w:fldChar w:fldCharType="separate"/>
      </w:r>
      <w:r>
        <w:rPr>
          <w:rStyle w:val="10"/>
          <w:rFonts w:eastAsia="仿宋_GB2312"/>
          <w:sz w:val="32"/>
          <w:szCs w:val="32"/>
        </w:rPr>
        <w:t>十二、国有资本经营预算财政拨款支出决算表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_Toc178326889 \h </w:instrText>
      </w:r>
      <w:r>
        <w:rPr>
          <w:rFonts w:eastAsia="仿宋_GB2312"/>
          <w:sz w:val="32"/>
          <w:szCs w:val="32"/>
        </w:rPr>
        <w:fldChar w:fldCharType="separate"/>
      </w:r>
      <w:r>
        <w:rPr>
          <w:rFonts w:eastAsia="仿宋_GB2312"/>
          <w:sz w:val="32"/>
          <w:szCs w:val="32"/>
        </w:rPr>
        <w:t>33</w:t>
      </w:r>
      <w:r>
        <w:rPr>
          <w:rFonts w:eastAsia="仿宋_GB2312"/>
          <w:sz w:val="32"/>
          <w:szCs w:val="32"/>
        </w:rPr>
        <w:fldChar w:fldCharType="end"/>
      </w:r>
      <w:r>
        <w:rPr>
          <w:rFonts w:eastAsia="仿宋_GB2312"/>
          <w:sz w:val="32"/>
          <w:szCs w:val="32"/>
        </w:rPr>
        <w:fldChar w:fldCharType="end"/>
      </w:r>
    </w:p>
    <w:p w14:paraId="30957FD8">
      <w:pPr>
        <w:pStyle w:val="30"/>
        <w:tabs>
          <w:tab w:val="right" w:leader="dot" w:pos="8835"/>
        </w:tabs>
        <w:spacing w:line="576" w:lineRule="exact"/>
        <w:ind w:left="480"/>
        <w:rPr>
          <w:rFonts w:eastAsia="仿宋_GB2312"/>
          <w:kern w:val="2"/>
          <w:sz w:val="32"/>
          <w:szCs w:val="32"/>
        </w:rPr>
      </w:pPr>
      <w:r>
        <w:fldChar w:fldCharType="begin"/>
      </w:r>
      <w:r>
        <w:instrText xml:space="preserve"> HYPERLINK \l "_Toc178326890" </w:instrText>
      </w:r>
      <w:r>
        <w:fldChar w:fldCharType="separate"/>
      </w:r>
      <w:r>
        <w:rPr>
          <w:rStyle w:val="10"/>
          <w:rFonts w:eastAsia="仿宋_GB2312"/>
          <w:sz w:val="32"/>
          <w:szCs w:val="32"/>
        </w:rPr>
        <w:t>十三、财政拨款“三公”经费支出决算表</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_Toc178326890 \h </w:instrText>
      </w:r>
      <w:r>
        <w:rPr>
          <w:rFonts w:eastAsia="仿宋_GB2312"/>
          <w:sz w:val="32"/>
          <w:szCs w:val="32"/>
        </w:rPr>
        <w:fldChar w:fldCharType="separate"/>
      </w:r>
      <w:r>
        <w:rPr>
          <w:rFonts w:eastAsia="仿宋_GB2312"/>
          <w:sz w:val="32"/>
          <w:szCs w:val="32"/>
        </w:rPr>
        <w:t>33</w:t>
      </w:r>
      <w:r>
        <w:rPr>
          <w:rFonts w:eastAsia="仿宋_GB2312"/>
          <w:sz w:val="32"/>
          <w:szCs w:val="32"/>
        </w:rPr>
        <w:fldChar w:fldCharType="end"/>
      </w:r>
      <w:r>
        <w:rPr>
          <w:rFonts w:eastAsia="仿宋_GB2312"/>
          <w:sz w:val="32"/>
          <w:szCs w:val="32"/>
        </w:rPr>
        <w:fldChar w:fldCharType="end"/>
      </w:r>
    </w:p>
    <w:p w14:paraId="139F34AA">
      <w:pPr>
        <w:pStyle w:val="29"/>
        <w:rPr>
          <w:rFonts w:ascii="Times New Roman" w:hAnsi="Times New Roman"/>
          <w:kern w:val="2"/>
        </w:rPr>
      </w:pPr>
      <w:r>
        <w:rPr>
          <w:rFonts w:ascii="Times New Roman" w:hAnsi="Times New Roman"/>
        </w:rPr>
        <w:fldChar w:fldCharType="end"/>
      </w:r>
    </w:p>
    <w:p w14:paraId="64EE553C">
      <w:pPr>
        <w:spacing w:line="576" w:lineRule="exact"/>
        <w:rPr>
          <w:rFonts w:eastAsia="仿宋_GB2312"/>
          <w:kern w:val="2"/>
          <w:sz w:val="32"/>
          <w:szCs w:val="32"/>
        </w:rPr>
      </w:pPr>
    </w:p>
    <w:p w14:paraId="07BFFE2A">
      <w:pPr>
        <w:spacing w:line="576" w:lineRule="exact"/>
        <w:rPr>
          <w:rFonts w:eastAsia="方正仿宋_GB2312"/>
          <w:sz w:val="32"/>
          <w:szCs w:val="32"/>
        </w:rPr>
      </w:pPr>
    </w:p>
    <w:p w14:paraId="3CB19F45">
      <w:pPr>
        <w:pStyle w:val="3"/>
        <w:spacing w:before="72" w:line="576" w:lineRule="exact"/>
        <w:rPr>
          <w:rFonts w:ascii="Times New Roman" w:eastAsia="方正仿宋_GB2312" w:cs="Times New Roman"/>
          <w:sz w:val="32"/>
          <w:szCs w:val="32"/>
        </w:rPr>
        <w:sectPr>
          <w:pgSz w:w="11907" w:h="16840"/>
          <w:pgMar w:top="2098" w:right="1474" w:bottom="1985" w:left="1588" w:header="720" w:footer="1531" w:gutter="0"/>
          <w:cols w:space="720" w:num="1"/>
        </w:sectPr>
      </w:pPr>
    </w:p>
    <w:p w14:paraId="3CBCD3E6">
      <w:pPr>
        <w:pStyle w:val="12"/>
        <w:spacing w:line="576" w:lineRule="exact"/>
        <w:jc w:val="center"/>
        <w:rPr>
          <w:rFonts w:eastAsia="方正小标宋简体"/>
          <w:bCs/>
          <w:kern w:val="44"/>
          <w:sz w:val="44"/>
          <w:szCs w:val="44"/>
        </w:rPr>
      </w:pPr>
      <w:bookmarkStart w:id="0" w:name="_Toc178326857"/>
      <w:r>
        <w:rPr>
          <w:rFonts w:eastAsia="方正小标宋简体"/>
          <w:bCs/>
          <w:kern w:val="44"/>
          <w:sz w:val="44"/>
          <w:szCs w:val="44"/>
        </w:rPr>
        <w:t>第一部分 部门概况</w:t>
      </w:r>
      <w:bookmarkEnd w:id="0"/>
    </w:p>
    <w:p w14:paraId="1109AFD7">
      <w:pPr>
        <w:pStyle w:val="13"/>
        <w:overflowPunct w:val="0"/>
        <w:topLinePunct/>
        <w:spacing w:line="576" w:lineRule="exact"/>
        <w:ind w:firstLine="640" w:firstLineChars="200"/>
        <w:jc w:val="both"/>
        <w:rPr>
          <w:rFonts w:eastAsia="仿宋_GB2312"/>
          <w:color w:val="000000"/>
          <w:kern w:val="2"/>
          <w:sz w:val="32"/>
          <w:szCs w:val="32"/>
        </w:rPr>
      </w:pPr>
    </w:p>
    <w:p w14:paraId="1547BCD8">
      <w:pPr>
        <w:pStyle w:val="13"/>
        <w:overflowPunct w:val="0"/>
        <w:topLinePunct/>
        <w:spacing w:line="576" w:lineRule="exact"/>
        <w:ind w:firstLine="640" w:firstLineChars="200"/>
        <w:jc w:val="both"/>
        <w:rPr>
          <w:rFonts w:eastAsia="黑体"/>
          <w:color w:val="000000"/>
          <w:kern w:val="2"/>
          <w:sz w:val="32"/>
          <w:szCs w:val="32"/>
        </w:rPr>
      </w:pPr>
      <w:bookmarkStart w:id="1" w:name="_Toc178326858"/>
      <w:r>
        <w:rPr>
          <w:rFonts w:eastAsia="黑体"/>
          <w:color w:val="000000"/>
          <w:kern w:val="2"/>
          <w:sz w:val="32"/>
          <w:szCs w:val="32"/>
        </w:rPr>
        <w:t>一、部门职责</w:t>
      </w:r>
      <w:bookmarkEnd w:id="1"/>
    </w:p>
    <w:p w14:paraId="49D749B4">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（一）主要职能。</w:t>
      </w:r>
    </w:p>
    <w:p w14:paraId="3ADF3782">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1.参政议政。参与我区经济、社会事务的重大决策和政治协商，发挥民主监督。做好非公有制经济人士的政治安排的推荐工作。对我区重大决策的制定提出建议，并协助贯彻执行。</w:t>
      </w:r>
    </w:p>
    <w:p w14:paraId="3A776004">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2.发扬自我教育的优良传统，宣传党和国家的方针政策，加强和改进思想政治工作。对会员进行“团结、帮助、服务、教育”提倡爱国、敬业、守法，提高会员素质，培养骨干分子队伍。</w:t>
      </w:r>
    </w:p>
    <w:p w14:paraId="09E84CFD">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3.维护会员的合法权益。反映会员的意见、要求和建议，在会员与政府之间发挥桥梁纽带作用，当好政府管理非公有制经济的助手。</w:t>
      </w:r>
    </w:p>
    <w:p w14:paraId="371EB7FF">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4.为会员和社会提供市场、技术、商品等信息。按照国家有关规定为会员提供管理、会计、审计、融资等咨询服务。</w:t>
      </w:r>
    </w:p>
    <w:p w14:paraId="088F949B">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5.对会员开展专业培训。帮助会员改善经营管理，提高生产技术水平和产品质量。</w:t>
      </w:r>
    </w:p>
    <w:p w14:paraId="5B2B6F4C">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6.按照国家规定和有关政策，组织会员举办和参加各种展销会、交易会。组织出国考察、访问，帮助会员开拓国内、国际市场。</w:t>
      </w:r>
    </w:p>
    <w:p w14:paraId="4D5F4753">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7.为会员提供必要的证明，协调会员间的关系，为会员和民间企业调解纠纷。</w:t>
      </w:r>
    </w:p>
    <w:p w14:paraId="668129DF">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8.增进与台、港、澳地区和世界各国工商社团及工商经济界人士的联系和友谊，促进经济、技术和贸易合作的发展，协助引进资金、技术、人才。</w:t>
      </w:r>
    </w:p>
    <w:p w14:paraId="7E09BEAD">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9.积极办好会办服务事业和经济实体。</w:t>
      </w:r>
    </w:p>
    <w:p w14:paraId="17B38B78">
      <w:pPr>
        <w:pStyle w:val="5"/>
        <w:topLinePunct/>
        <w:spacing w:before="0" w:beforeAutospacing="0" w:after="0" w:afterAutospacing="0" w:line="576"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10.承办党委或政府交办的其他事项。</w:t>
      </w:r>
    </w:p>
    <w:p w14:paraId="62A0FB68">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（二）2023年重点工作完成情况。</w:t>
      </w:r>
    </w:p>
    <w:p w14:paraId="01AD9EC5">
      <w:pPr>
        <w:spacing w:line="576" w:lineRule="exact"/>
        <w:ind w:firstLine="640" w:firstLineChars="200"/>
        <w:rPr>
          <w:rFonts w:eastAsia="仿宋_GB2312"/>
          <w:color w:val="000000"/>
          <w:sz w:val="32"/>
          <w:szCs w:val="32"/>
        </w:rPr>
      </w:pPr>
      <w:r>
        <w:rPr>
          <w:rFonts w:eastAsia="仿宋_GB2312"/>
          <w:color w:val="000000"/>
          <w:sz w:val="32"/>
          <w:szCs w:val="32"/>
        </w:rPr>
        <w:t>1.强化思想政治引领，促进“两个健康”取得新发展。一是扎实开展主题教育工作。成立联机关党支部学习贯彻习近平新时代中国特色社会主义思想主题教育领导小组，组织全体党员干部深入</w:t>
      </w:r>
      <w:r>
        <w:rPr>
          <w:rFonts w:hint="eastAsia" w:eastAsia="仿宋_GB2312"/>
          <w:color w:val="000000"/>
          <w:sz w:val="32"/>
          <w:szCs w:val="32"/>
          <w:lang w:val="en-US" w:eastAsia="zh-CN"/>
        </w:rPr>
        <w:t>开展</w:t>
      </w:r>
      <w:r>
        <w:rPr>
          <w:rFonts w:eastAsia="仿宋_GB2312"/>
          <w:color w:val="000000"/>
          <w:sz w:val="32"/>
          <w:szCs w:val="32"/>
        </w:rPr>
        <w:t>学习贯彻习近平新时代中国特色社会主义思想主题教育实施意见，把握总体要求，明确具体目标，深刻领会“两个确</w:t>
      </w:r>
      <w:r>
        <w:rPr>
          <w:rFonts w:hint="eastAsia" w:eastAsia="仿宋_GB2312"/>
          <w:color w:val="000000"/>
          <w:sz w:val="32"/>
          <w:szCs w:val="32"/>
        </w:rPr>
        <w:t>立</w:t>
      </w:r>
      <w:r>
        <w:rPr>
          <w:rFonts w:eastAsia="仿宋_GB2312"/>
          <w:color w:val="000000"/>
          <w:sz w:val="32"/>
          <w:szCs w:val="32"/>
        </w:rPr>
        <w:t>”、增强“四个意识”、坚定“四个自信”、做到“两个维护”。认真开展“学思践悟新思想，差距在哪里”“四下基层”专题研讨、“推动发展新突破，路径在哪里”“展现新作为，担当在哪里”专题大讨论，讲主题党课1次，开展主题党日活动1次，促使党员干部凝心铸魂筑牢根本，锤炼品格强化忠诚，实干担当促进发展，廉洁奉公树立新风。二是持续开展理想信念教育活动。举办非公经济人士培训3次，组织非公经济代表人士120余人次学习宣传贯彻党的二十大精神和中央经济工作会议精神。4月28日组织全体班子成员、民营企业家代表举行民营企业家活动日“践行二十大 大干2023年”主题活动，到广元市法纪教育剑阁基地和李榕家风馆集中廉政教育参观学习，观看全国及全市重大贪污腐败要案，企业家们深受震撼；6月30日，组织工商联班子成员、联机关干部到广元市川北家风馆、广元市三线记忆科普基地开展“观三线  忆初心  优家风  践使命”主题党日活动。11月26日到重庆红岩革命纪念馆开展理想信念教育活动，近距离感受先辈的伟大革命情怀，激发民营经济人士爱党爱国热情，给企业家们一次宝贵的实践和精神的洗礼。8月31日，区工商联女企业家联盟开展“徒步金牛古蜀道</w:t>
      </w:r>
      <w:r>
        <w:rPr>
          <w:rFonts w:hint="eastAsia" w:eastAsia="仿宋_GB2312"/>
          <w:color w:val="000000"/>
          <w:sz w:val="32"/>
          <w:szCs w:val="32"/>
        </w:rPr>
        <w:t xml:space="preserve"> </w:t>
      </w:r>
      <w:r>
        <w:rPr>
          <w:rFonts w:eastAsia="仿宋_GB2312"/>
          <w:color w:val="000000"/>
          <w:sz w:val="32"/>
          <w:szCs w:val="32"/>
        </w:rPr>
        <w:t xml:space="preserve"> 弘扬企业家精神”主题活动，区政协副主席、工商联主席刘江传达学习了习近平总书记来川来广视察重要指示精神和区委理论学习中心组（扩大）会议精神，并就联盟工作提出要认真学习宣传贯彻好习</w:t>
      </w:r>
      <w:r>
        <w:rPr>
          <w:rFonts w:hint="eastAsia" w:eastAsia="仿宋_GB2312"/>
          <w:color w:val="000000"/>
          <w:sz w:val="32"/>
          <w:szCs w:val="32"/>
        </w:rPr>
        <w:t>近平</w:t>
      </w:r>
      <w:r>
        <w:rPr>
          <w:rFonts w:eastAsia="仿宋_GB2312"/>
          <w:color w:val="000000"/>
          <w:sz w:val="32"/>
          <w:szCs w:val="32"/>
        </w:rPr>
        <w:t xml:space="preserve">总书记来川来广视察重要指示精神，承关怀而奋进，讲好昭化故事，传播昭化声音，展示昭化形象，为建设社会主义现代化“四城新区”做出应有贡献！三是加强培训提高企业家素质能力水平。5月7日至13日，组织全区30名民营企业家赴上海财经大学国际教育学院开展能力提升专题培训，分别就“十四五”国资国企改革与管理创新、如何用现代经济学思维方式分析当前经济形势、移动互联网时代的企业商业模式创新、投资项目的包装与实施等集中学习，到上海上汽通用公司、陆家嘴金融城党建服务中心等开展现场教学和党性教育活动，切实提高企业经营管理人才能力水平，助力昭化高质量发展，树强昭化企业家良好形象。四是积极选树先进典型。区工商联副主席、女企业家联盟会长、四川俊业农业科技有限公司董事长周俊英喜获四川省创新创业大赛金奖，评为2023年第二季度“四川好人”。区工商联副主席、广元惠兴农业公司董事长张安被评为“四川省返乡入乡创业明星”。副主席企业万农合创、俊业科技被评为四川省电子商务示范企业，副主席企业四川四海三联公司被评为农业农村部农业重大技术协同推广计划示范基地和省级天府肉鸡原种场。副会长企业四川壮牛农牧，执委企业广元冰鸟矿泉水、亿志合环保科技、欢欢食品等7个企业被评为四川省第一批创新型中小企业。 </w:t>
      </w:r>
    </w:p>
    <w:p w14:paraId="1962F035">
      <w:pPr>
        <w:spacing w:line="576" w:lineRule="exact"/>
        <w:ind w:firstLine="640" w:firstLineChars="200"/>
        <w:rPr>
          <w:rFonts w:eastAsia="仿宋_GB2312"/>
          <w:color w:val="000000"/>
          <w:sz w:val="32"/>
          <w:szCs w:val="32"/>
        </w:rPr>
      </w:pPr>
      <w:r>
        <w:rPr>
          <w:rFonts w:eastAsia="仿宋_GB2312"/>
          <w:color w:val="000000"/>
          <w:sz w:val="32"/>
          <w:szCs w:val="32"/>
        </w:rPr>
        <w:t>2.积极引导参政议政，为经济社会发展建言献策。大力引导工商联界人大代表、政协委员参政议政、建言献策，共计提交建议、提案、社情民意等30余件，区工商联提出的《关于促进民营企业健康发展的提案》被列为2022年优秀提案。党组书记杨明全作了《关于促进我区民营经济健康发展的几点建议》建言献策发言，撰写《关于积极引导非公</w:t>
      </w:r>
      <w:r>
        <w:rPr>
          <w:rFonts w:hint="eastAsia" w:eastAsia="仿宋_GB2312"/>
          <w:color w:val="000000"/>
          <w:sz w:val="32"/>
          <w:szCs w:val="32"/>
        </w:rPr>
        <w:t>有制</w:t>
      </w:r>
      <w:r>
        <w:rPr>
          <w:rFonts w:eastAsia="仿宋_GB2312"/>
          <w:color w:val="000000"/>
          <w:sz w:val="32"/>
          <w:szCs w:val="32"/>
        </w:rPr>
        <w:t>经济人士有序政治参与的思考》调研文章1篇，围绕农字号企业发展撰写社情民意3篇上交区政协和市工商联。积极组织企业家代表、委员参加视察调研活动，参与撰写全区文旅产业及大蜀道建设调研报告1篇。紧扣工作中心大局，区工商联在区政协召开“同心共建现代化四川”专项行动会上代表系统委员交流发言，并在会后</w:t>
      </w:r>
      <w:r>
        <w:rPr>
          <w:rFonts w:hint="eastAsia" w:eastAsia="仿宋_GB2312"/>
          <w:color w:val="000000"/>
          <w:sz w:val="32"/>
          <w:szCs w:val="32"/>
          <w:lang w:eastAsia="zh-CN"/>
        </w:rPr>
        <w:t>赓即</w:t>
      </w:r>
      <w:r>
        <w:rPr>
          <w:rFonts w:eastAsia="仿宋_GB2312"/>
          <w:color w:val="000000"/>
          <w:sz w:val="32"/>
          <w:szCs w:val="32"/>
        </w:rPr>
        <w:t>组织系统政协委员、协商全力以赴抓好“同心共建现代化四川”广元行动昭化实践工作。积极开展“有事来协商”工作，组织系统“委员之家”积极参与企业发展、产业振兴等议题协商取得一定成效，中国西部（广元）绿色家居产业城工商联系统“委员之家”正在高标准打造。扎实做好民营企业问卷调查工作。</w:t>
      </w:r>
    </w:p>
    <w:p w14:paraId="12DAD356">
      <w:pPr>
        <w:spacing w:line="576" w:lineRule="exact"/>
        <w:ind w:firstLine="640" w:firstLineChars="200"/>
        <w:rPr>
          <w:rFonts w:eastAsia="仿宋_GB2312"/>
          <w:color w:val="000000"/>
          <w:sz w:val="32"/>
          <w:szCs w:val="32"/>
        </w:rPr>
      </w:pPr>
      <w:r>
        <w:rPr>
          <w:rFonts w:eastAsia="仿宋_GB2312"/>
          <w:color w:val="000000"/>
          <w:sz w:val="32"/>
          <w:szCs w:val="32"/>
        </w:rPr>
        <w:t>3.主动作为靠前服务，努力为会员企业排忧解难。一是加强部门协同配合。积极对接区市场监管局，与区市场监管局签署合作备忘录，备忘录明确区工商联、区市场监管局两部门从民营经济扶持、非公党建指导、联合调研、监督评价、涉企投诉协调、个私协商会交流合作等6个方面建立合作机制，并共同推动建立行业商会自律机制，强化民主监督评价，搭建个私协会、区工商联会员合作交流平台，实现合作共赢。通过举办培训班、研讨会、现场观摩等方式，提升民营经济市场主体诚信守法经营意识，促进昭化区民营经济高质量发展，收到良好效果。二是不断加强政</w:t>
      </w:r>
      <w:r>
        <w:rPr>
          <w:rFonts w:hint="eastAsia" w:eastAsia="仿宋_GB2312"/>
          <w:color w:val="000000"/>
          <w:sz w:val="32"/>
          <w:szCs w:val="32"/>
        </w:rPr>
        <w:t>务</w:t>
      </w:r>
      <w:r>
        <w:rPr>
          <w:rFonts w:eastAsia="仿宋_GB2312"/>
          <w:color w:val="000000"/>
          <w:sz w:val="32"/>
          <w:szCs w:val="32"/>
        </w:rPr>
        <w:t>服务水平。协助区营商办正式启动昭化区“企能办”综合服务平台，区委副书记、区长王静参加启动仪式；牵头组织并协助举办昭化区2023年优化营商环境“政企共学”培训班四期，参训企业会员500余人次。持续擦亮“企业家座谈会”品牌，召开汽车4S城、电商行业企业、水晶饰品小镇入驻企业等专题座谈会，区委区政府主要领导面对面协调解决土地、用电用气、资金等要素问题30余个。同时在助企营销上，积极组织四川俊业农业、天垠农业、翔宇农业、白龙酒业等10余家企业参加中国西部农产品交易会等博览、展销会10余场。三是扎实开展法律服务工作。配合区司法局、税务局和检察院等，开展法律进企业、万所联万会、法律知识培训等活动5次，发送宣传资料1000余份。规范调整工商联系统调解组织，实现商会组织调解全覆盖，异地商会累计调解维护会员及企业合法权益金额达200余万元。全面推进涉案企业合规改革工作，成立全区涉案企业合规改革工作组织机构，出台全区涉案企业合规改革工作方案和工作规则等，与区检察院深入部分企业持续开展调研走访，协调解决有关问题，有效维护其合法权益。四是大力开展“大走访大调研大服务”活动。5月30日、6月1日，区工商联组成调研组，深入全区部分民营企业“大走访大调研大服务”，在</w:t>
      </w:r>
      <w:r>
        <w:rPr>
          <w:rFonts w:hint="eastAsia" w:eastAsia="仿宋_GB2312"/>
          <w:color w:val="000000"/>
          <w:sz w:val="32"/>
          <w:szCs w:val="32"/>
        </w:rPr>
        <w:t>会员</w:t>
      </w:r>
      <w:r>
        <w:rPr>
          <w:rFonts w:eastAsia="仿宋_GB2312"/>
          <w:color w:val="000000"/>
          <w:sz w:val="32"/>
          <w:szCs w:val="32"/>
        </w:rPr>
        <w:t>企业四川信德农牧公司和广元朕玮农业公司，查看信德农牧公司蛋鸡大棚、鸡蛋生产和朕玮农业公司沙坝基地猕猴桃产业发展等情况，并与信德农牧公司总经理赵映刚、朕玮农业公司董事长郭雪冰“面对面”座谈，就企业目前生产经营情况、产品销售等情况，尤其是当前存在的困难问题进行深入了解；在四川千城达家居公司，调研组深入企业生产车间，查看产品生产、包装等，并与企业负责人朱远君就企业发展资金、产品营销、原材料等具体问题进行沟通交流，对收集问题</w:t>
      </w:r>
      <w:r>
        <w:rPr>
          <w:rFonts w:hint="eastAsia" w:eastAsia="仿宋_GB2312"/>
          <w:color w:val="000000"/>
          <w:sz w:val="32"/>
          <w:szCs w:val="32"/>
        </w:rPr>
        <w:t>赓</w:t>
      </w:r>
      <w:r>
        <w:rPr>
          <w:rFonts w:eastAsia="仿宋_GB2312"/>
          <w:color w:val="000000"/>
          <w:sz w:val="32"/>
          <w:szCs w:val="32"/>
        </w:rPr>
        <w:t>即梳理汇总，撰写社情民意3篇，第一时间如实反馈到区政协、区委区政府和市工商联，推动问题有力有序化解。５月18日，市委统战部副部长、市工商联党组书记俞正学率队赴昭化区走访调研工商联工作，深入中国西部（广元）绿色家居产业城和昭化镇商会进行工作调研，对区工商联工作给予充分肯定并提出工作要求。期间，市工商联副主席张勇、经联部部长韩圳一行专题到中国西部（广元）绿色家居产业城就家居企业发展问题进行专题调研，区工商联、经开区组织10余家企业参加座谈。</w:t>
      </w:r>
    </w:p>
    <w:p w14:paraId="3F3052B3">
      <w:pPr>
        <w:spacing w:line="576" w:lineRule="exact"/>
        <w:ind w:firstLine="640" w:firstLineChars="200"/>
        <w:rPr>
          <w:rFonts w:eastAsia="仿宋_GB2312"/>
          <w:color w:val="000000"/>
          <w:sz w:val="32"/>
          <w:szCs w:val="32"/>
        </w:rPr>
      </w:pPr>
      <w:r>
        <w:rPr>
          <w:rFonts w:eastAsia="仿宋_GB2312"/>
          <w:color w:val="000000"/>
          <w:sz w:val="32"/>
          <w:szCs w:val="32"/>
        </w:rPr>
        <w:t>4.不断壮大会员队伍，高质量高标准发展会员企业。严把入口，坚持会员数量与质量并重，主动联系走访辖区重点企业、上规模企业、与企业家座谈交流做朋友，引导企业对工商联性质、地位、作用进一步认识，增强工商联组织的吸引力。新发展广元市天著门业有限公司、广元市奥方火锅料厂等10家会员企业，完成目标任务的100% 。积极开展新发展平台录入会员工作，累计录入会员515家。畅通出口，不定期梳理清除口袋会员、不作为和懒作为会员，坚持会员及会员企业依法管理、诚信经营、重视品牌建设和技术创新，会员数量质量实现持续健康发展。4月，浙江昭化商会首创“智慧商会”一体机正式上线试运营，全市首创“智慧商会”，有效为老乡和会员单位提供“线上+线下”多渠道维权服务，促进了商会维权工作规范化、法治化，受到浙江籍老乡一致好评。</w:t>
      </w:r>
    </w:p>
    <w:p w14:paraId="7D4DFBFD">
      <w:pPr>
        <w:spacing w:line="576" w:lineRule="exact"/>
        <w:ind w:firstLine="640" w:firstLineChars="200"/>
        <w:rPr>
          <w:rFonts w:eastAsia="仿宋_GB2312"/>
          <w:color w:val="000000"/>
          <w:sz w:val="32"/>
          <w:szCs w:val="32"/>
        </w:rPr>
      </w:pPr>
      <w:r>
        <w:rPr>
          <w:rFonts w:eastAsia="仿宋_GB2312"/>
          <w:color w:val="000000"/>
          <w:sz w:val="32"/>
          <w:szCs w:val="32"/>
        </w:rPr>
        <w:t>5.大力弘扬企业家精神，不断彰显社会责任担当。为关注老区发展，扶志助困，帮助孩子们健康成长，区工商联牵头区关工委，组织爱心企业四川霖泽建设工程有限公司、四川邓玲口腔医疗有限公司，5月29日、6月5日，开展“情系老区·爱心助学·口腔义诊”——“同心·光彩助学”慈善公益行活动，分别走进王家镇小学和虎跳中学，区工商联兼职副主席企业四川霖泽建设工程有限公司董事长田中全为王家镇小学捐赠价值5000元的乐器--葫芦丝，为虎跳中学捐赠价值5000元学习和体育用品；会员企业四川邓玲口腔医疗有限公司现场为两校20名留守困境优秀学生发放10000元资助资金，并为500余名学生进行了口腔健康义诊活动。6月 22日至24日，区工商联（商会）牵头组织，成都昭化商会鼎力相助，四川省元坝中学全力协办的昭化区小升初学子“红色记忆— 追忆革命先烈 重温红色历史”的红色教育主题研学活动如期举行，来自元坝中学、区实验小学、元坝镇一小、卫子镇小学、王家镇小学和清水镇小学的25名优秀学子参加活动。大力开展光彩助学等公益事业，区工商联系统，组织区新联会等中小企业团体协会，全年累计捐资助学款物共计10万元，参加公益活动5场次，弘扬了昭化企业家无私奉献精神，彰显了社会责任担当。</w:t>
      </w:r>
    </w:p>
    <w:p w14:paraId="181A70BD">
      <w:pPr>
        <w:spacing w:line="576" w:lineRule="exact"/>
        <w:ind w:firstLine="640" w:firstLineChars="200"/>
        <w:rPr>
          <w:rFonts w:eastAsia="仿宋_GB2312"/>
          <w:color w:val="000000"/>
          <w:sz w:val="32"/>
          <w:szCs w:val="32"/>
        </w:rPr>
      </w:pPr>
      <w:r>
        <w:rPr>
          <w:rFonts w:eastAsia="仿宋_GB2312"/>
          <w:color w:val="000000"/>
          <w:sz w:val="32"/>
          <w:szCs w:val="32"/>
        </w:rPr>
        <w:t>6.积极对接多方联动，扎实有效开展招商引资活动。1月11日—13日，区政协副主席赵思彦带领区工商联等部门负责人赴成都开展投资促进工作，对接考察洽谈果酒、高端矿泉水加工、电商平台建设等项目。3月20日，区政协主席朱永国、副主席刘江一行到广元药投公司考察，并就5000吨道地中药材饮片加工项目达成初步协议，目前已通过区招商引资领导小组会审定，拟提交区政府常务会审定。4月8日到13日，区政协副主席赵思彦、工商联党组书记杨明全一行到新疆电子商务科技园区、新疆果业集团、恒大光华钢化玻璃制品公司、新疆海昌酒店、新疆静石台精品民宿和新疆驼铃酒庄有限公司进行了招商考察，与恒大光华钢化玻璃制品公司、新疆海昌酒店达成了初步合作意向。4月7日到12日，区政协主席朱永国带领区政协副主席、工商联主席刘江到北京开展招商引资工作，分别到北京京鲜商贸公司、北京大河明珠供应链管理有限公司、金风科技等企业进行了项目考察，并达成初步意向。6月7日到10日，党组书记杨明全、会员部部长朱建军到广东开展招商引资工作，深入到中华龙集团酒业有限公司、深圳市树菌新媒体公司、江苏禾康养老产业集团广东分公司以及惠州白鹭湖青少年爱国教育基地、广东惠州市镇隆镇古荔枝农庄等进行了招商引资考察，并在有关方面达成初步意见。11月16日—19日，区工商联党组书记杨明全带领惠兴农业公司等，赴浙江杭州开展招商引资工作，参观考察了杭州花园村红木家具产业园区。全年区工商联共开展招商引资活动6次，提交招商引资信息10个，签订意向性协议项目1个，投资5000万元。</w:t>
      </w:r>
    </w:p>
    <w:p w14:paraId="3B995F03">
      <w:pPr>
        <w:spacing w:line="576" w:lineRule="exact"/>
        <w:ind w:firstLine="640" w:firstLineChars="200"/>
        <w:rPr>
          <w:rFonts w:eastAsia="仿宋_GB2312"/>
          <w:color w:val="000000"/>
          <w:sz w:val="32"/>
          <w:szCs w:val="32"/>
        </w:rPr>
      </w:pPr>
      <w:r>
        <w:rPr>
          <w:rFonts w:eastAsia="仿宋_GB2312"/>
          <w:color w:val="000000"/>
          <w:sz w:val="32"/>
          <w:szCs w:val="32"/>
        </w:rPr>
        <w:t>7.加强商会工作指导，全面推进规范化标准化建设。一是不断强化异地商会工作指导。 4月7日至11日，区政协党组书记、主席朱永国，到联系的北京昭化商会对工作运行情况进行调研指导，区政协副主席、工商联主席刘江陪同调研。4月8日到13日，区政协副主席赵思彦到新疆昭化商会调研指导商会班子建设工作，区政协办、区工商联、区总工会等部门主要负责人参加。5月9日，浙江昭化商会二届一次会员大会暨六周年庆典活动在杭州拱墅区举行，联系商会领导区委副书记、区长王静，区领导张玉全、安亚斌、孟飞、任斌、刘江参加活动。5月10日，区工商联组织在杭州拱墅区召开昭化区异地商会建设座谈会，区人大办、区人社局、区退役军人事务局、区总工会负责人以及浙江、重庆、成都、广东、新疆等异地商会的会长、秘书长和部分会员代表参加座谈，区工商联主席刘江出席会议。6月7日到10日，区工商联党组书记杨明全到广东昭化商会调研工作，就班子建设、队伍建设、会员发展和活动开展、经费保障等方面进行工作交流与指导。 8月25日、11月26日，区工商联分别现场规范化指导乌鲁木齐昭化商会第二次会员代表大会和重庆昭化商会二届一次会员大会，成功选举产生了新一届乌鲁木齐昭化商会和重庆昭化商会会长、执行会长、监事长、常务副会长、副会长、秘书长、副秘书长和理事。市政协副主席、区委书记刘自强等区领导参加活动，并为乌鲁木齐昭化商会和重庆昭化商会新一届班子成员、流动人才党委、退役军人服务站授牌，会上还全市率先成立昭化区驻新疆、驻重庆招才引智工作站。活动期间，区工商联与乌市水磨沟区工商联座谈联谊，并签订友好合作工商联。10月18日到20日，区委副书记张玉全到联系的成都昭化商会专题调研指导工作，并开展招商引资考察活动，区政协副主席、工商联主席刘江，党组书记杨明全参加活动。二是全面加强镇商会建设工作。以“四好商会”创建活动为载体，下发镇商会年度目标责任书，细化季度工作清单任务，对标乡村振兴等中心工作，严格逗硬镇商会工作考核。积极引导镇商会开展活动。3月，磨滩镇商会积极筹资3.7万元，组织磨滩观音小学、小新小学学生开展踏春研学活动。7月，昭化镇商会联合昭化古城政协委员之家，举办“昭贤协商 春风化雨”协商活动，就助力昭化古城经济发展进行协商议</w:t>
      </w:r>
      <w:r>
        <w:rPr>
          <w:rFonts w:hint="eastAsia" w:eastAsia="仿宋_GB2312"/>
          <w:color w:val="000000"/>
          <w:sz w:val="32"/>
          <w:szCs w:val="32"/>
        </w:rPr>
        <w:t>政</w:t>
      </w:r>
      <w:r>
        <w:rPr>
          <w:rFonts w:eastAsia="仿宋_GB2312"/>
          <w:color w:val="000000"/>
          <w:sz w:val="32"/>
          <w:szCs w:val="32"/>
        </w:rPr>
        <w:t>；8月，昭化镇商会联合古城政协委员之家共同开展困难退役军人走访慰问活动，为4个村13名困难军人赠送了生活物资。昭化镇商会被评为2023年度全市先进商协会。</w:t>
      </w:r>
    </w:p>
    <w:p w14:paraId="794427E1">
      <w:pPr>
        <w:spacing w:line="576" w:lineRule="exact"/>
        <w:ind w:firstLine="640" w:firstLineChars="200"/>
        <w:rPr>
          <w:rFonts w:eastAsia="仿宋_GB2312"/>
          <w:color w:val="000000"/>
          <w:sz w:val="32"/>
          <w:szCs w:val="32"/>
        </w:rPr>
      </w:pPr>
      <w:r>
        <w:rPr>
          <w:rFonts w:eastAsia="仿宋_GB2312"/>
          <w:color w:val="000000"/>
          <w:sz w:val="32"/>
          <w:szCs w:val="32"/>
        </w:rPr>
        <w:t>8.持续推进东西部协作，“万企兴万村”行动成效显著。 全面推进“万企兴万村”工作，新增帮扶参与会员企业14家，与14个村开展结对帮扶，50个重点振兴村实现结对帮扶全覆盖，新增各类投入资金等1600余万元，累计投入资金2200余万元。9月26日，高水平承办全国“万企兴万村”行动西部（广元）片区座谈会、四川省“万企兴万村”行动推进会和知名川商“广元行”活动现场，与会代表实地考察昭化镇天雄村“浙川”特色农业产业园，天雄村“万企兴万村”模式经验受到全国工商联副主席方光华、省工商联主席唐燕等领导充分肯定。11月16日，区工商联党组书记杨明全带领惠兴农业等企业家一行，赴浙江拱墅开展考察学习交流活动，并对接“东西部协作”对口工作，与拱墅区工商联签订友好合作工商联。12月7日，杭州民营企业“广元行”活动，走进昭化家居产业城、昭化镇城镇建设项目现场等进行参观考察，杭州市工商联党组书记仰中旻、拱墅区工商联党组书记方进参加活动，区委常委、统战部长李方，区委常委、副区长孟飞，区政协副主席、工商联主席刘江，党组书记杨明全陪同。为着眼于“浙广合作”大局，进一步密切浙昭两地企业家沟通联系，拟于12月下旬组织召开浙江籍昭化企业家联谊会，进一步加强浙昭企业交流沟通，全力打造昭化区最优营商环境。</w:t>
      </w:r>
    </w:p>
    <w:p w14:paraId="233C2CE5">
      <w:pPr>
        <w:spacing w:line="576" w:lineRule="exact"/>
        <w:ind w:firstLine="640" w:firstLineChars="200"/>
        <w:rPr>
          <w:rFonts w:eastAsia="仿宋_GB2312"/>
          <w:color w:val="000000"/>
          <w:sz w:val="32"/>
          <w:szCs w:val="32"/>
        </w:rPr>
      </w:pPr>
      <w:r>
        <w:rPr>
          <w:rFonts w:eastAsia="仿宋_GB2312"/>
          <w:color w:val="000000"/>
          <w:sz w:val="32"/>
          <w:szCs w:val="32"/>
        </w:rPr>
        <w:t>9.注重信息宣传实效，扎实抓好对外宣传工作。信息宣传工作注重提高质量和水平，围绕中心，突出重点、难点、热点和亮点，注重反馈性、经验性信息和阶段性成绩信息的编撰与上报。持续用好昭化区工商联微信公众号，与区法院新开设《营商环境之经营“法”宝》栏目，出刊10期，加大企业合法经营教育引导力度；刊载中央省市区民营经济政策、重要咨询信息100余条，为企业有效提供服务咨询。加大信息报送力度，共上报各类信息42余篇（条），其中川商头条采用5篇（条），市工商联采用30篇（条），市政协网站采3篇（条），广元市</w:t>
      </w:r>
      <w:r>
        <w:rPr>
          <w:rFonts w:hint="eastAsia" w:eastAsia="仿宋_GB2312"/>
          <w:color w:val="000000"/>
          <w:sz w:val="32"/>
          <w:szCs w:val="32"/>
        </w:rPr>
        <w:t>委</w:t>
      </w:r>
      <w:r>
        <w:rPr>
          <w:rFonts w:eastAsia="仿宋_GB2312"/>
          <w:color w:val="000000"/>
          <w:sz w:val="32"/>
          <w:szCs w:val="32"/>
        </w:rPr>
        <w:t>统战部网站采用4篇（条）。</w:t>
      </w:r>
    </w:p>
    <w:p w14:paraId="42AB7643">
      <w:pPr>
        <w:spacing w:line="576" w:lineRule="exact"/>
        <w:ind w:firstLine="640" w:firstLineChars="200"/>
        <w:rPr>
          <w:rFonts w:eastAsia="仿宋_GB2312"/>
          <w:color w:val="000000"/>
          <w:sz w:val="32"/>
          <w:szCs w:val="32"/>
        </w:rPr>
      </w:pPr>
      <w:r>
        <w:rPr>
          <w:rFonts w:eastAsia="仿宋_GB2312"/>
          <w:color w:val="000000"/>
          <w:sz w:val="32"/>
          <w:szCs w:val="32"/>
        </w:rPr>
        <w:t>10.持续转变工作作风，联机关自身建设不断加强。充分发挥工商联执委队伍和异地商会队伍作用，积极参与人大、政协和统战部活动。不断巩固“五好县级工商联”建设成果，积极申报争创2023年度全国“五好县级工商联”。切实加强机关党风廉政建设责任制和意识形态责任制工作，深入推进巡察“回头看”工作，不断强化干部队伍作风建设和廉政建设。加强机关自身建设，克服人少、事多和经费不足等诸多困难，全力发挥“奋力争先、勇争一流”的工作精神，切实加强机关内部管理、节能减排、驻村帮扶等工作，出色完成万企兴万村全国全省会议承办、异地商会高质量高水平换届等重点亮点工作。2023年9月19日，区工商联被国家机关事务管理局、中央直属机关事务局、中国发展和改革委员会、中国财政部授予“节约型机关”。</w:t>
      </w:r>
    </w:p>
    <w:p w14:paraId="76B05378">
      <w:pPr>
        <w:pStyle w:val="13"/>
        <w:overflowPunct w:val="0"/>
        <w:topLinePunct/>
        <w:spacing w:line="576" w:lineRule="exact"/>
        <w:ind w:firstLine="640" w:firstLineChars="200"/>
        <w:jc w:val="both"/>
        <w:rPr>
          <w:rFonts w:eastAsia="黑体"/>
          <w:color w:val="000000"/>
          <w:kern w:val="2"/>
          <w:sz w:val="32"/>
          <w:szCs w:val="32"/>
        </w:rPr>
      </w:pPr>
      <w:bookmarkStart w:id="2" w:name="_Toc178326859"/>
      <w:r>
        <w:rPr>
          <w:rFonts w:eastAsia="黑体"/>
          <w:color w:val="000000"/>
          <w:kern w:val="2"/>
          <w:sz w:val="32"/>
          <w:szCs w:val="32"/>
        </w:rPr>
        <w:t>二、机构设置</w:t>
      </w:r>
      <w:bookmarkEnd w:id="2"/>
    </w:p>
    <w:p w14:paraId="4E4492D5">
      <w:pPr>
        <w:spacing w:line="576" w:lineRule="exact"/>
        <w:ind w:firstLine="640"/>
        <w:jc w:val="both"/>
        <w:rPr>
          <w:rFonts w:eastAsia="仿宋_GB2312"/>
          <w:kern w:val="2"/>
          <w:sz w:val="32"/>
          <w:szCs w:val="32"/>
        </w:rPr>
      </w:pPr>
      <w:r>
        <w:rPr>
          <w:rFonts w:eastAsia="仿宋_GB2312"/>
          <w:kern w:val="2"/>
          <w:sz w:val="32"/>
          <w:szCs w:val="32"/>
        </w:rPr>
        <w:t>广元市昭化区工商业联合会属于一级预算单位，无二级预算单位，其中行政单位0个，参照公务员法管理的事业单位0个，其他事业单位0个。</w:t>
      </w:r>
    </w:p>
    <w:p w14:paraId="322B28FB">
      <w:pPr>
        <w:spacing w:line="576" w:lineRule="exact"/>
        <w:ind w:firstLine="640"/>
        <w:jc w:val="both"/>
        <w:rPr>
          <w:rFonts w:eastAsia="仿宋_GB2312"/>
          <w:color w:val="000000"/>
          <w:sz w:val="32"/>
          <w:szCs w:val="32"/>
        </w:rPr>
      </w:pPr>
      <w:r>
        <w:rPr>
          <w:rFonts w:eastAsia="仿宋_GB2312"/>
          <w:color w:val="000000"/>
          <w:sz w:val="32"/>
          <w:szCs w:val="32"/>
        </w:rPr>
        <w:t>纳入2023年度部门决算编制范围的二级预算单位包括：无</w:t>
      </w:r>
    </w:p>
    <w:p w14:paraId="7CA54B81">
      <w:pPr>
        <w:pStyle w:val="3"/>
        <w:spacing w:before="72" w:line="576" w:lineRule="exact"/>
        <w:jc w:val="center"/>
        <w:outlineLvl w:val="0"/>
        <w:rPr>
          <w:rFonts w:ascii="Times New Roman" w:eastAsia="方正小标宋简体" w:cs="Times New Roman"/>
          <w:bCs/>
          <w:kern w:val="44"/>
          <w:sz w:val="44"/>
          <w:szCs w:val="44"/>
        </w:rPr>
      </w:pPr>
      <w:r>
        <w:br w:type="page"/>
      </w:r>
      <w:bookmarkStart w:id="3" w:name="_Toc178326860"/>
      <w:r>
        <w:rPr>
          <w:rFonts w:ascii="Times New Roman" w:eastAsia="方正小标宋简体" w:cs="Times New Roman"/>
          <w:bCs/>
          <w:kern w:val="44"/>
          <w:sz w:val="44"/>
          <w:szCs w:val="44"/>
        </w:rPr>
        <w:t>第二部分  2023年度部门决算情况说明</w:t>
      </w:r>
      <w:bookmarkEnd w:id="3"/>
    </w:p>
    <w:p w14:paraId="4346349D">
      <w:pPr>
        <w:overflowPunct w:val="0"/>
        <w:topLinePunct/>
        <w:spacing w:line="576" w:lineRule="exact"/>
        <w:ind w:firstLine="640" w:firstLineChars="200"/>
        <w:jc w:val="both"/>
        <w:outlineLvl w:val="1"/>
        <w:rPr>
          <w:rFonts w:eastAsia="仿宋_GB2312"/>
          <w:color w:val="000000"/>
          <w:kern w:val="2"/>
          <w:sz w:val="32"/>
          <w:szCs w:val="32"/>
        </w:rPr>
      </w:pPr>
    </w:p>
    <w:p w14:paraId="41A25F81">
      <w:pPr>
        <w:overflowPunct w:val="0"/>
        <w:topLinePunct/>
        <w:spacing w:line="576" w:lineRule="exact"/>
        <w:ind w:firstLine="640" w:firstLineChars="200"/>
        <w:jc w:val="both"/>
        <w:outlineLvl w:val="1"/>
        <w:rPr>
          <w:rFonts w:eastAsia="黑体"/>
          <w:kern w:val="2"/>
          <w:sz w:val="32"/>
          <w:szCs w:val="32"/>
        </w:rPr>
      </w:pPr>
      <w:bookmarkStart w:id="4" w:name="_Toc178326861"/>
      <w:r>
        <w:rPr>
          <w:rFonts w:hAnsi="黑体" w:eastAsia="黑体"/>
          <w:color w:val="000000"/>
          <w:kern w:val="2"/>
          <w:sz w:val="32"/>
          <w:szCs w:val="32"/>
        </w:rPr>
        <w:t>一、收</w:t>
      </w:r>
      <w:r>
        <w:rPr>
          <w:rFonts w:hAnsi="黑体" w:eastAsia="黑体"/>
          <w:kern w:val="2"/>
          <w:sz w:val="32"/>
          <w:szCs w:val="32"/>
        </w:rPr>
        <w:t>入支出决算总体情况说明</w:t>
      </w:r>
      <w:bookmarkEnd w:id="4"/>
    </w:p>
    <w:p w14:paraId="0B856589">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2023年度收、支总计均为166.7万元。与2022年度相比，收、支总计各减少13.1万元，下降7.29%。主要变动原因是本年度单位人员减少，经费减少。</w:t>
      </w:r>
    </w:p>
    <w:p w14:paraId="4BD700B9">
      <w:pPr>
        <w:pStyle w:val="3"/>
        <w:spacing w:beforeLines="0"/>
        <w:jc w:val="center"/>
        <w:rPr>
          <w:rFonts w:ascii="Times New Roman" w:cs="Times New Roman"/>
          <w:color w:val="000000"/>
          <w:kern w:val="2"/>
          <w:sz w:val="32"/>
          <w:szCs w:val="32"/>
        </w:rPr>
      </w:pPr>
      <w:r>
        <w:rPr>
          <w:rFonts w:ascii="Times New Roman" w:cs="Times New Roman"/>
          <w:sz w:val="32"/>
          <w:szCs w:val="32"/>
        </w:rPr>
        <w:pict>
          <v:shape id="_x0000_i1025" o:spt="75" type="#_x0000_t75" style="height:203.6pt;width:361.25pt;" filled="f" o:preferrelative="t" stroked="f" coordsize="21600,21600">
            <v:path/>
            <v:fill on="f" focussize="0,0"/>
            <v:stroke on="f" joinstyle="miter"/>
            <v:imagedata r:id="rId6" o:title=""/>
            <o:lock v:ext="edit" aspectratio="t"/>
            <w10:wrap type="none"/>
            <w10:anchorlock/>
          </v:shape>
        </w:pict>
      </w:r>
    </w:p>
    <w:p w14:paraId="2B36C46B">
      <w:pPr>
        <w:pStyle w:val="3"/>
        <w:spacing w:before="72" w:line="576" w:lineRule="exact"/>
        <w:rPr>
          <w:rFonts w:ascii="Times New Roman" w:cs="Times New Roman"/>
          <w:color w:val="000000"/>
          <w:kern w:val="2"/>
          <w:sz w:val="32"/>
          <w:szCs w:val="32"/>
        </w:rPr>
      </w:pPr>
    </w:p>
    <w:p w14:paraId="002E384F">
      <w:pPr>
        <w:overflowPunct w:val="0"/>
        <w:topLinePunct/>
        <w:spacing w:line="576" w:lineRule="exact"/>
        <w:ind w:firstLine="640" w:firstLineChars="200"/>
        <w:jc w:val="both"/>
        <w:outlineLvl w:val="1"/>
        <w:rPr>
          <w:rFonts w:eastAsia="黑体"/>
          <w:color w:val="000000"/>
          <w:kern w:val="2"/>
          <w:sz w:val="32"/>
          <w:szCs w:val="32"/>
        </w:rPr>
      </w:pPr>
      <w:bookmarkStart w:id="5" w:name="_Toc178326862"/>
      <w:r>
        <w:rPr>
          <w:rFonts w:hAnsi="黑体" w:eastAsia="黑体"/>
          <w:color w:val="000000"/>
          <w:kern w:val="2"/>
          <w:sz w:val="32"/>
          <w:szCs w:val="32"/>
        </w:rPr>
        <w:t>二、收入决算情况说明</w:t>
      </w:r>
      <w:bookmarkEnd w:id="5"/>
    </w:p>
    <w:p w14:paraId="225B187A">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2023年本年收入合计166.7万元，其中：一般公共预算财政拨款收入166.7万元，占100%。</w:t>
      </w:r>
    </w:p>
    <w:p w14:paraId="68FB0A87">
      <w:pPr>
        <w:pStyle w:val="3"/>
        <w:spacing w:before="72" w:line="576" w:lineRule="exact"/>
        <w:rPr>
          <w:rFonts w:ascii="Times New Roman" w:cs="Times New Roman"/>
          <w:color w:val="000000"/>
          <w:kern w:val="2"/>
          <w:sz w:val="32"/>
          <w:szCs w:val="32"/>
        </w:rPr>
      </w:pPr>
    </w:p>
    <w:p w14:paraId="123277A7">
      <w:pPr>
        <w:pStyle w:val="3"/>
        <w:spacing w:beforeLines="0"/>
        <w:jc w:val="center"/>
        <w:rPr>
          <w:rFonts w:ascii="Times New Roman" w:cs="Times New Roman"/>
          <w:sz w:val="32"/>
          <w:szCs w:val="32"/>
        </w:rPr>
      </w:pPr>
      <w:r>
        <w:rPr>
          <w:rFonts w:ascii="Times New Roman" w:cs="Times New Roman"/>
          <w:sz w:val="32"/>
          <w:szCs w:val="32"/>
        </w:rPr>
        <w:pict>
          <v:shape id="_x0000_i1026" o:spt="75" type="#_x0000_t75" style="height:217.25pt;width:361.25pt;" filled="f" o:preferrelative="t" stroked="f" coordsize="21600,21600">
            <v:path/>
            <v:fill on="f" focussize="0,0"/>
            <v:stroke on="f" joinstyle="miter"/>
            <v:imagedata r:id="rId7" o:title=""/>
            <o:lock v:ext="edit" aspectratio="t"/>
            <w10:wrap type="none"/>
            <w10:anchorlock/>
          </v:shape>
        </w:pict>
      </w:r>
    </w:p>
    <w:p w14:paraId="3BEC315A">
      <w:pPr>
        <w:overflowPunct w:val="0"/>
        <w:topLinePunct/>
        <w:spacing w:line="576" w:lineRule="exact"/>
        <w:ind w:firstLine="640" w:firstLineChars="200"/>
        <w:jc w:val="both"/>
        <w:outlineLvl w:val="1"/>
        <w:rPr>
          <w:rFonts w:eastAsia="黑体"/>
          <w:kern w:val="2"/>
          <w:sz w:val="32"/>
          <w:szCs w:val="32"/>
        </w:rPr>
      </w:pPr>
      <w:bookmarkStart w:id="6" w:name="_Toc178326863"/>
      <w:r>
        <w:rPr>
          <w:rFonts w:hAnsi="黑体" w:eastAsia="黑体"/>
          <w:kern w:val="2"/>
          <w:sz w:val="32"/>
          <w:szCs w:val="32"/>
        </w:rPr>
        <w:t>三、支出决算情况说明</w:t>
      </w:r>
      <w:bookmarkEnd w:id="6"/>
    </w:p>
    <w:p w14:paraId="32031E72">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2023年本年支出合计166.7万元，其中：基本支出99.7万元，占59.8%；项目支出67万元，占40.2%。</w:t>
      </w:r>
    </w:p>
    <w:p w14:paraId="752607B7">
      <w:pPr>
        <w:overflowPunct w:val="0"/>
        <w:topLinePunct/>
        <w:spacing w:line="576" w:lineRule="exact"/>
        <w:ind w:firstLine="640" w:firstLineChars="200"/>
        <w:jc w:val="both"/>
        <w:rPr>
          <w:rFonts w:eastAsia="仿宋_GB2312"/>
          <w:color w:val="FF0000"/>
          <w:kern w:val="2"/>
          <w:sz w:val="32"/>
          <w:szCs w:val="32"/>
        </w:rPr>
      </w:pPr>
    </w:p>
    <w:p w14:paraId="44F09EB0">
      <w:pPr>
        <w:pStyle w:val="3"/>
        <w:spacing w:beforeLines="0"/>
        <w:jc w:val="center"/>
        <w:rPr>
          <w:rFonts w:ascii="Times New Roman" w:cs="Times New Roman"/>
          <w:sz w:val="32"/>
          <w:szCs w:val="32"/>
        </w:rPr>
      </w:pPr>
      <w:r>
        <w:rPr>
          <w:rFonts w:ascii="Times New Roman" w:cs="Times New Roman"/>
          <w:sz w:val="32"/>
          <w:szCs w:val="32"/>
        </w:rPr>
        <w:pict>
          <v:shape id="_x0000_i1027" o:spt="75" type="#_x0000_t75" style="height:217.25pt;width:361.25pt;" filled="f" o:preferrelative="t" stroked="f" coordsize="21600,21600">
            <v:path/>
            <v:fill on="f" focussize="0,0"/>
            <v:stroke on="f" joinstyle="miter"/>
            <v:imagedata r:id="rId8" o:title=""/>
            <o:lock v:ext="edit" aspectratio="t"/>
            <w10:wrap type="none"/>
            <w10:anchorlock/>
          </v:shape>
        </w:pict>
      </w:r>
    </w:p>
    <w:p w14:paraId="22D95558">
      <w:pPr>
        <w:pStyle w:val="3"/>
        <w:spacing w:before="72" w:line="576" w:lineRule="exact"/>
        <w:rPr>
          <w:rFonts w:ascii="Times New Roman" w:cs="Times New Roman"/>
          <w:sz w:val="32"/>
          <w:szCs w:val="32"/>
        </w:rPr>
      </w:pPr>
    </w:p>
    <w:p w14:paraId="4F124C2C">
      <w:pPr>
        <w:overflowPunct w:val="0"/>
        <w:topLinePunct/>
        <w:spacing w:line="576" w:lineRule="exact"/>
        <w:ind w:firstLine="640" w:firstLineChars="200"/>
        <w:jc w:val="both"/>
        <w:outlineLvl w:val="1"/>
        <w:rPr>
          <w:rFonts w:eastAsia="黑体"/>
          <w:kern w:val="2"/>
          <w:sz w:val="32"/>
          <w:szCs w:val="32"/>
        </w:rPr>
      </w:pPr>
      <w:bookmarkStart w:id="7" w:name="_Toc178326864"/>
      <w:r>
        <w:rPr>
          <w:rFonts w:hAnsi="黑体" w:eastAsia="黑体"/>
          <w:kern w:val="2"/>
          <w:sz w:val="32"/>
          <w:szCs w:val="32"/>
        </w:rPr>
        <w:t>四、财政拨款收入支出决算总体情况说明</w:t>
      </w:r>
      <w:bookmarkEnd w:id="7"/>
    </w:p>
    <w:p w14:paraId="453F6D75">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2023年度财政拨款收、支总计均为166.7万元。与2022年度相比，财政拨款收、支总计各减少13.1万元，下降7.29%。主要变动原因是本年度单位人员减少，经费减少。</w:t>
      </w:r>
    </w:p>
    <w:p w14:paraId="7B8827E7">
      <w:pPr>
        <w:pStyle w:val="3"/>
        <w:spacing w:before="72" w:line="576" w:lineRule="exact"/>
        <w:rPr>
          <w:rFonts w:ascii="Times New Roman" w:cs="Times New Roman"/>
          <w:color w:val="000000"/>
          <w:kern w:val="2"/>
          <w:sz w:val="32"/>
          <w:szCs w:val="32"/>
        </w:rPr>
      </w:pPr>
    </w:p>
    <w:p w14:paraId="22F645FC">
      <w:pPr>
        <w:pStyle w:val="3"/>
        <w:spacing w:beforeLines="0"/>
        <w:jc w:val="center"/>
        <w:rPr>
          <w:rFonts w:ascii="Times New Roman" w:cs="Times New Roman"/>
          <w:sz w:val="32"/>
          <w:szCs w:val="32"/>
        </w:rPr>
      </w:pPr>
      <w:r>
        <w:rPr>
          <w:rFonts w:ascii="Times New Roman" w:cs="Times New Roman"/>
          <w:sz w:val="32"/>
          <w:szCs w:val="32"/>
        </w:rPr>
        <w:pict>
          <v:shape id="_x0000_i1028" o:spt="75" type="#_x0000_t75" style="height:217.25pt;width:361.25pt;" filled="f" o:preferrelative="t" stroked="f" coordsize="21600,21600">
            <v:path/>
            <v:fill on="f" focussize="0,0"/>
            <v:stroke on="f" joinstyle="miter"/>
            <v:imagedata r:id="rId9" o:title=""/>
            <o:lock v:ext="edit" aspectratio="t"/>
            <w10:wrap type="none"/>
            <w10:anchorlock/>
          </v:shape>
        </w:pict>
      </w:r>
    </w:p>
    <w:p w14:paraId="051E6963">
      <w:pPr>
        <w:overflowPunct w:val="0"/>
        <w:topLinePunct/>
        <w:spacing w:line="576" w:lineRule="exact"/>
        <w:ind w:firstLine="640" w:firstLineChars="200"/>
        <w:jc w:val="both"/>
        <w:outlineLvl w:val="1"/>
        <w:rPr>
          <w:rFonts w:eastAsia="黑体"/>
          <w:kern w:val="2"/>
          <w:sz w:val="32"/>
          <w:szCs w:val="32"/>
        </w:rPr>
      </w:pPr>
      <w:bookmarkStart w:id="8" w:name="_Toc178326865"/>
      <w:r>
        <w:rPr>
          <w:rFonts w:hAnsi="黑体" w:eastAsia="黑体"/>
          <w:kern w:val="2"/>
          <w:sz w:val="32"/>
          <w:szCs w:val="32"/>
        </w:rPr>
        <w:t>五、一般公共预算财政拨款支出决算情况说明</w:t>
      </w:r>
      <w:bookmarkEnd w:id="8"/>
    </w:p>
    <w:p w14:paraId="275690E4">
      <w:pPr>
        <w:overflowPunct w:val="0"/>
        <w:topLinePunct/>
        <w:spacing w:line="576" w:lineRule="exact"/>
        <w:ind w:firstLine="641" w:firstLineChars="200"/>
        <w:jc w:val="both"/>
        <w:rPr>
          <w:rFonts w:eastAsia="仿宋_GB2312"/>
          <w:b/>
          <w:bCs/>
          <w:color w:val="000000"/>
          <w:kern w:val="2"/>
          <w:sz w:val="32"/>
          <w:szCs w:val="32"/>
        </w:rPr>
      </w:pPr>
      <w:r>
        <w:rPr>
          <w:rFonts w:eastAsia="仿宋_GB2312"/>
          <w:b/>
          <w:bCs/>
          <w:color w:val="000000"/>
          <w:kern w:val="2"/>
          <w:sz w:val="32"/>
          <w:szCs w:val="32"/>
        </w:rPr>
        <w:t>（一）一般公共预算财政拨款支出决算总体情况</w:t>
      </w:r>
    </w:p>
    <w:p w14:paraId="627C3A93">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2023年度一般公共预算财政拨款支出166.7万元，占本年支出合计的100%。与2022年度相比，一般公共预算财政拨款支出减少13.1万元，下降7.29%。主要变动原因是本年度单位人员减少，经费减少。</w:t>
      </w:r>
    </w:p>
    <w:p w14:paraId="1AFDA98F">
      <w:pPr>
        <w:overflowPunct w:val="0"/>
        <w:topLinePunct/>
        <w:spacing w:line="576" w:lineRule="exact"/>
        <w:ind w:firstLine="640" w:firstLineChars="200"/>
        <w:jc w:val="both"/>
        <w:rPr>
          <w:rFonts w:eastAsia="仿宋_GB2312"/>
          <w:color w:val="000000"/>
          <w:kern w:val="2"/>
          <w:sz w:val="32"/>
          <w:szCs w:val="32"/>
        </w:rPr>
      </w:pPr>
    </w:p>
    <w:p w14:paraId="0C22BF75">
      <w:pPr>
        <w:pStyle w:val="3"/>
        <w:spacing w:beforeLines="0"/>
        <w:jc w:val="center"/>
        <w:rPr>
          <w:rFonts w:ascii="Times New Roman" w:cs="Times New Roman"/>
          <w:sz w:val="32"/>
          <w:szCs w:val="32"/>
        </w:rPr>
      </w:pPr>
      <w:r>
        <w:rPr>
          <w:rFonts w:ascii="Times New Roman" w:cs="Times New Roman"/>
          <w:sz w:val="32"/>
          <w:szCs w:val="32"/>
        </w:rPr>
        <w:pict>
          <v:shape id="_x0000_i1029" o:spt="75" type="#_x0000_t75" style="height:217.25pt;width:361.25pt;" filled="f" o:preferrelative="t" stroked="f" coordsize="21600,21600">
            <v:path/>
            <v:fill on="f" focussize="0,0"/>
            <v:stroke on="f" joinstyle="miter"/>
            <v:imagedata r:id="rId10" o:title=""/>
            <o:lock v:ext="edit" aspectratio="t"/>
            <w10:wrap type="none"/>
            <w10:anchorlock/>
          </v:shape>
        </w:pict>
      </w:r>
    </w:p>
    <w:p w14:paraId="453054EA">
      <w:pPr>
        <w:overflowPunct w:val="0"/>
        <w:topLinePunct/>
        <w:spacing w:line="576" w:lineRule="exact"/>
        <w:ind w:firstLine="641" w:firstLineChars="200"/>
        <w:jc w:val="both"/>
        <w:rPr>
          <w:rFonts w:eastAsia="仿宋_GB2312"/>
          <w:b/>
          <w:bCs/>
          <w:color w:val="000000"/>
          <w:kern w:val="2"/>
          <w:sz w:val="32"/>
          <w:szCs w:val="32"/>
        </w:rPr>
      </w:pPr>
      <w:r>
        <w:rPr>
          <w:rFonts w:eastAsia="仿宋_GB2312"/>
          <w:b/>
          <w:bCs/>
          <w:color w:val="000000"/>
          <w:kern w:val="2"/>
          <w:sz w:val="32"/>
          <w:szCs w:val="32"/>
        </w:rPr>
        <w:t>（二）一般公共预算财政拨款支出决算结构情况</w:t>
      </w:r>
    </w:p>
    <w:p w14:paraId="21346B81">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2023年度一般公共预算财政拨款支出166.7万元，主要用于以下方面: 一般公共服务支出146.01万元，占87.6%；社会保障和就业支出9.11万元，占5.5%；卫生健康支出3.68万元，占2.2%；住房保障支出7.9万元，占4.7%。</w:t>
      </w:r>
    </w:p>
    <w:p w14:paraId="4A14B294">
      <w:pPr>
        <w:pStyle w:val="3"/>
        <w:spacing w:before="72" w:line="576" w:lineRule="exact"/>
        <w:rPr>
          <w:rFonts w:ascii="Times New Roman" w:cs="Times New Roman"/>
          <w:color w:val="000000"/>
          <w:kern w:val="2"/>
          <w:sz w:val="32"/>
          <w:szCs w:val="32"/>
        </w:rPr>
      </w:pPr>
    </w:p>
    <w:p w14:paraId="374309AB">
      <w:pPr>
        <w:pStyle w:val="3"/>
        <w:spacing w:beforeLines="0"/>
        <w:jc w:val="center"/>
        <w:rPr>
          <w:rFonts w:ascii="Times New Roman" w:cs="Times New Roman"/>
          <w:sz w:val="32"/>
          <w:szCs w:val="32"/>
        </w:rPr>
      </w:pPr>
      <w:r>
        <w:rPr>
          <w:rFonts w:ascii="Times New Roman" w:cs="Times New Roman"/>
          <w:sz w:val="32"/>
          <w:szCs w:val="32"/>
        </w:rPr>
        <w:pict>
          <v:shape id="_x0000_i1030" o:spt="75" type="#_x0000_t75" style="height:188.7pt;width:361.25pt;" filled="f" o:preferrelative="t" stroked="f" coordsize="21600,21600">
            <v:path/>
            <v:fill on="f" focussize="0,0"/>
            <v:stroke on="f" joinstyle="miter"/>
            <v:imagedata r:id="rId11" o:title=""/>
            <o:lock v:ext="edit" aspectratio="t"/>
            <w10:wrap type="none"/>
            <w10:anchorlock/>
          </v:shape>
        </w:pict>
      </w:r>
    </w:p>
    <w:p w14:paraId="4EFFAF03">
      <w:pPr>
        <w:overflowPunct w:val="0"/>
        <w:topLinePunct/>
        <w:spacing w:line="576" w:lineRule="exact"/>
        <w:ind w:firstLine="641" w:firstLineChars="200"/>
        <w:jc w:val="both"/>
        <w:rPr>
          <w:rFonts w:eastAsia="仿宋_GB2312"/>
          <w:b/>
          <w:bCs/>
          <w:color w:val="000000"/>
          <w:kern w:val="2"/>
          <w:sz w:val="32"/>
          <w:szCs w:val="32"/>
        </w:rPr>
      </w:pPr>
      <w:r>
        <w:rPr>
          <w:rFonts w:eastAsia="仿宋_GB2312"/>
          <w:b/>
          <w:bCs/>
          <w:color w:val="000000"/>
          <w:kern w:val="2"/>
          <w:sz w:val="32"/>
          <w:szCs w:val="32"/>
        </w:rPr>
        <w:t>（三）一般公共预算财政拨款支出决算具体情况</w:t>
      </w:r>
    </w:p>
    <w:p w14:paraId="4C4BC88C">
      <w:pPr>
        <w:overflowPunct w:val="0"/>
        <w:topLinePunct/>
        <w:spacing w:line="576" w:lineRule="exact"/>
        <w:ind w:firstLine="641" w:firstLineChars="200"/>
        <w:jc w:val="both"/>
        <w:rPr>
          <w:rFonts w:eastAsia="仿宋_GB2312"/>
          <w:i/>
          <w:iCs/>
          <w:color w:val="000000"/>
          <w:kern w:val="2"/>
          <w:sz w:val="32"/>
          <w:szCs w:val="32"/>
        </w:rPr>
      </w:pPr>
      <w:r>
        <w:rPr>
          <w:rFonts w:eastAsia="仿宋_GB2312"/>
          <w:b/>
          <w:bCs/>
          <w:color w:val="000000"/>
          <w:kern w:val="2"/>
          <w:sz w:val="32"/>
          <w:szCs w:val="32"/>
        </w:rPr>
        <w:t>2023年度一般公共预算支出全年预算数为166.7万元，支出决算数为166.7万元，完成全年预算数的100%。其中：</w:t>
      </w:r>
    </w:p>
    <w:p w14:paraId="14127A43">
      <w:pPr>
        <w:overflowPunct w:val="0"/>
        <w:topLinePunct/>
        <w:spacing w:line="576" w:lineRule="exact"/>
        <w:ind w:firstLine="641" w:firstLineChars="200"/>
        <w:jc w:val="both"/>
        <w:rPr>
          <w:rFonts w:eastAsia="仿宋_GB2312"/>
          <w:b/>
          <w:bCs/>
          <w:color w:val="000000"/>
          <w:kern w:val="2"/>
          <w:sz w:val="32"/>
          <w:szCs w:val="32"/>
        </w:rPr>
      </w:pPr>
      <w:r>
        <w:rPr>
          <w:rFonts w:eastAsia="仿宋_GB2312"/>
          <w:b/>
          <w:bCs/>
          <w:color w:val="000000"/>
          <w:kern w:val="2"/>
          <w:sz w:val="32"/>
          <w:szCs w:val="32"/>
        </w:rPr>
        <w:t>1.一般公共服务支出（类）民主党派及工商联事务（款）行政运行（项）:</w:t>
      </w:r>
      <w:r>
        <w:rPr>
          <w:rFonts w:eastAsia="仿宋_GB2312"/>
          <w:color w:val="000000"/>
          <w:kern w:val="2"/>
          <w:sz w:val="32"/>
          <w:szCs w:val="32"/>
        </w:rPr>
        <w:t>全年预算为79.01万元，支出决算为79.01万元，完成全年预算的100%。决算数与全年预算数持平。</w:t>
      </w:r>
    </w:p>
    <w:p w14:paraId="17A7C14A">
      <w:pPr>
        <w:overflowPunct w:val="0"/>
        <w:topLinePunct/>
        <w:spacing w:line="576" w:lineRule="exact"/>
        <w:ind w:firstLine="641" w:firstLineChars="200"/>
        <w:jc w:val="both"/>
        <w:rPr>
          <w:rFonts w:eastAsia="仿宋_GB2312"/>
          <w:b/>
          <w:bCs/>
          <w:color w:val="000000"/>
          <w:kern w:val="2"/>
          <w:sz w:val="32"/>
          <w:szCs w:val="32"/>
        </w:rPr>
      </w:pPr>
      <w:r>
        <w:rPr>
          <w:rFonts w:eastAsia="仿宋_GB2312"/>
          <w:b/>
          <w:bCs/>
          <w:color w:val="000000"/>
          <w:kern w:val="2"/>
          <w:sz w:val="32"/>
          <w:szCs w:val="32"/>
        </w:rPr>
        <w:t>2.一般公共服务支出（类）民主党派及工商联事务（款）一般行政管理事务（项）:</w:t>
      </w:r>
      <w:r>
        <w:rPr>
          <w:rFonts w:eastAsia="仿宋_GB2312"/>
          <w:color w:val="000000"/>
          <w:kern w:val="2"/>
          <w:sz w:val="32"/>
          <w:szCs w:val="32"/>
        </w:rPr>
        <w:t>全年预算为67万元，支出决算为67万元，完成全年预算的100%。决算数与全年预算数持平。</w:t>
      </w:r>
    </w:p>
    <w:p w14:paraId="311E86FA">
      <w:pPr>
        <w:overflowPunct w:val="0"/>
        <w:topLinePunct/>
        <w:spacing w:line="576" w:lineRule="exact"/>
        <w:ind w:firstLine="641" w:firstLineChars="200"/>
        <w:jc w:val="both"/>
        <w:rPr>
          <w:rFonts w:eastAsia="仿宋_GB2312"/>
          <w:color w:val="000000"/>
          <w:kern w:val="2"/>
          <w:sz w:val="32"/>
          <w:szCs w:val="32"/>
        </w:rPr>
      </w:pPr>
      <w:r>
        <w:rPr>
          <w:rFonts w:eastAsia="仿宋_GB2312"/>
          <w:b/>
          <w:bCs/>
          <w:color w:val="000000"/>
          <w:kern w:val="2"/>
          <w:sz w:val="32"/>
          <w:szCs w:val="32"/>
        </w:rPr>
        <w:t>3.社会保障和就业支出（类）行政事业单位养老支出（款）机关事业单位基本养老保险缴费支出（项）:</w:t>
      </w:r>
      <w:r>
        <w:rPr>
          <w:rFonts w:eastAsia="仿宋_GB2312"/>
          <w:color w:val="000000"/>
          <w:kern w:val="2"/>
          <w:sz w:val="32"/>
          <w:szCs w:val="32"/>
        </w:rPr>
        <w:t>全年预算为8.88万元，支出决算为8.88万元，完成全年预算的100%。决算数与全年预算数持平。</w:t>
      </w:r>
    </w:p>
    <w:p w14:paraId="7FF26360">
      <w:pPr>
        <w:overflowPunct w:val="0"/>
        <w:topLinePunct/>
        <w:spacing w:line="576" w:lineRule="exact"/>
        <w:ind w:firstLine="641" w:firstLineChars="200"/>
        <w:jc w:val="both"/>
        <w:rPr>
          <w:rFonts w:eastAsia="仿宋_GB2312"/>
          <w:sz w:val="32"/>
          <w:szCs w:val="32"/>
        </w:rPr>
      </w:pPr>
      <w:r>
        <w:rPr>
          <w:rFonts w:eastAsia="仿宋_GB2312"/>
          <w:b/>
          <w:bCs/>
          <w:color w:val="000000"/>
          <w:kern w:val="2"/>
          <w:sz w:val="32"/>
          <w:szCs w:val="32"/>
        </w:rPr>
        <w:t>4.社会保障和就业支出（类）行政事业单位养老支出（款）其他社会保障和就业支出（项）:</w:t>
      </w:r>
      <w:r>
        <w:rPr>
          <w:rFonts w:eastAsia="仿宋_GB2312"/>
          <w:color w:val="000000"/>
          <w:kern w:val="2"/>
          <w:sz w:val="32"/>
          <w:szCs w:val="32"/>
        </w:rPr>
        <w:t>全年预算为0.23万元，支出决算为0.23万元，完成全年预算的100%。决算数与全年预算数持平。</w:t>
      </w:r>
    </w:p>
    <w:p w14:paraId="6E938C09">
      <w:pPr>
        <w:overflowPunct w:val="0"/>
        <w:topLinePunct/>
        <w:spacing w:line="576" w:lineRule="exact"/>
        <w:ind w:firstLine="641" w:firstLineChars="200"/>
        <w:jc w:val="both"/>
        <w:rPr>
          <w:rFonts w:eastAsia="仿宋_GB2312"/>
          <w:b/>
          <w:bCs/>
          <w:color w:val="000000"/>
          <w:kern w:val="2"/>
          <w:sz w:val="32"/>
          <w:szCs w:val="32"/>
        </w:rPr>
      </w:pPr>
      <w:r>
        <w:rPr>
          <w:rFonts w:eastAsia="仿宋_GB2312"/>
          <w:b/>
          <w:bCs/>
          <w:color w:val="000000"/>
          <w:kern w:val="2"/>
          <w:sz w:val="32"/>
          <w:szCs w:val="32"/>
        </w:rPr>
        <w:t>5.卫生健康支出（类）行政事业单位医疗（款）行政单位医疗（项）:</w:t>
      </w:r>
      <w:r>
        <w:rPr>
          <w:rFonts w:eastAsia="仿宋_GB2312"/>
          <w:color w:val="000000"/>
          <w:kern w:val="2"/>
          <w:sz w:val="32"/>
          <w:szCs w:val="32"/>
        </w:rPr>
        <w:t>全年预算为3.68万元，支出决算为3.68万元，完成全年预算的100%。决算数与全年预算数持平。</w:t>
      </w:r>
    </w:p>
    <w:p w14:paraId="6D96CB18">
      <w:pPr>
        <w:overflowPunct w:val="0"/>
        <w:topLinePunct/>
        <w:spacing w:line="576" w:lineRule="exact"/>
        <w:ind w:firstLine="641" w:firstLineChars="200"/>
        <w:jc w:val="both"/>
        <w:rPr>
          <w:rFonts w:eastAsia="仿宋_GB2312"/>
          <w:sz w:val="32"/>
          <w:szCs w:val="32"/>
        </w:rPr>
      </w:pPr>
      <w:r>
        <w:rPr>
          <w:rFonts w:eastAsia="仿宋_GB2312"/>
          <w:b/>
          <w:bCs/>
          <w:color w:val="000000"/>
          <w:kern w:val="2"/>
          <w:sz w:val="32"/>
          <w:szCs w:val="32"/>
        </w:rPr>
        <w:t>6.住房保障支出（类）住房改革支出（款）住房公积金（项）:</w:t>
      </w:r>
      <w:r>
        <w:rPr>
          <w:rFonts w:eastAsia="仿宋_GB2312"/>
          <w:color w:val="000000"/>
          <w:kern w:val="2"/>
          <w:sz w:val="32"/>
          <w:szCs w:val="32"/>
        </w:rPr>
        <w:t>全年预算为7.9万元，支出决算为7.9万元，完成全年预算的100%。决算数与全年预算数持平。</w:t>
      </w:r>
    </w:p>
    <w:p w14:paraId="4DC52570">
      <w:pPr>
        <w:tabs>
          <w:tab w:val="right" w:pos="8306"/>
        </w:tabs>
        <w:overflowPunct w:val="0"/>
        <w:topLinePunct/>
        <w:spacing w:line="576" w:lineRule="exact"/>
        <w:ind w:firstLine="640" w:firstLineChars="200"/>
        <w:jc w:val="both"/>
        <w:rPr>
          <w:rFonts w:eastAsia="仿宋_GB2312"/>
          <w:color w:val="000000"/>
          <w:kern w:val="2"/>
          <w:sz w:val="32"/>
          <w:szCs w:val="32"/>
        </w:rPr>
      </w:pPr>
    </w:p>
    <w:p w14:paraId="41BD5A39">
      <w:pPr>
        <w:overflowPunct w:val="0"/>
        <w:topLinePunct/>
        <w:spacing w:line="576" w:lineRule="exact"/>
        <w:ind w:firstLine="640" w:firstLineChars="200"/>
        <w:jc w:val="both"/>
        <w:outlineLvl w:val="1"/>
        <w:rPr>
          <w:rFonts w:eastAsia="黑体"/>
          <w:kern w:val="2"/>
          <w:sz w:val="32"/>
          <w:szCs w:val="32"/>
        </w:rPr>
      </w:pPr>
      <w:bookmarkStart w:id="9" w:name="_Toc178326866"/>
      <w:r>
        <w:rPr>
          <w:rFonts w:hAnsi="黑体" w:eastAsia="黑体"/>
          <w:kern w:val="2"/>
          <w:sz w:val="32"/>
          <w:szCs w:val="32"/>
        </w:rPr>
        <w:t>六、一般公共预算财政拨款基本支出决算情况说明</w:t>
      </w:r>
      <w:bookmarkEnd w:id="9"/>
      <w:r>
        <w:rPr>
          <w:rFonts w:eastAsia="黑体"/>
          <w:kern w:val="2"/>
          <w:sz w:val="32"/>
          <w:szCs w:val="32"/>
        </w:rPr>
        <w:tab/>
      </w:r>
    </w:p>
    <w:p w14:paraId="25C38EA6">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2023年度一般公共预算财政拨款基本支出99.7万元，其中：</w:t>
      </w:r>
    </w:p>
    <w:p w14:paraId="2733BBC3">
      <w:pPr>
        <w:overflowPunct w:val="0"/>
        <w:topLinePunct/>
        <w:spacing w:line="576" w:lineRule="exact"/>
        <w:ind w:firstLine="641" w:firstLineChars="200"/>
        <w:jc w:val="both"/>
        <w:rPr>
          <w:rFonts w:eastAsia="仿宋_GB2312"/>
          <w:color w:val="000000"/>
          <w:kern w:val="2"/>
          <w:sz w:val="32"/>
          <w:szCs w:val="32"/>
        </w:rPr>
      </w:pPr>
      <w:r>
        <w:rPr>
          <w:rFonts w:eastAsia="仿宋_GB2312"/>
          <w:b/>
          <w:bCs/>
          <w:color w:val="000000"/>
          <w:kern w:val="2"/>
          <w:sz w:val="32"/>
          <w:szCs w:val="32"/>
        </w:rPr>
        <w:t>人员经费</w:t>
      </w:r>
      <w:r>
        <w:rPr>
          <w:rFonts w:eastAsia="仿宋_GB2312"/>
          <w:color w:val="000000"/>
          <w:kern w:val="2"/>
          <w:sz w:val="32"/>
          <w:szCs w:val="32"/>
        </w:rPr>
        <w:t>87.21万元，主要包括：基本工资25.47万元、津贴补贴17.21万元、机关事业单位基本养老保险缴费8.88万元、职工基本医疗保险缴费3.68万元、其他社会保障缴费0.23万元、住房公积金7.9万元、其他工资福利支出16.52万元、生活补助7.32万元。</w:t>
      </w:r>
    </w:p>
    <w:p w14:paraId="0AAA4990">
      <w:pPr>
        <w:overflowPunct w:val="0"/>
        <w:topLinePunct/>
        <w:spacing w:line="576" w:lineRule="exact"/>
        <w:ind w:firstLine="641" w:firstLineChars="200"/>
        <w:jc w:val="both"/>
        <w:rPr>
          <w:rFonts w:eastAsia="仿宋_GB2312"/>
          <w:color w:val="000000"/>
          <w:kern w:val="2"/>
          <w:sz w:val="32"/>
          <w:szCs w:val="32"/>
        </w:rPr>
      </w:pPr>
      <w:r>
        <w:rPr>
          <w:rFonts w:eastAsia="仿宋_GB2312"/>
          <w:b/>
          <w:bCs/>
          <w:color w:val="000000"/>
          <w:kern w:val="2"/>
          <w:sz w:val="32"/>
          <w:szCs w:val="32"/>
        </w:rPr>
        <w:t>公用经费</w:t>
      </w:r>
      <w:r>
        <w:rPr>
          <w:rFonts w:eastAsia="仿宋_GB2312"/>
          <w:color w:val="000000"/>
          <w:kern w:val="2"/>
          <w:sz w:val="32"/>
          <w:szCs w:val="32"/>
        </w:rPr>
        <w:t>12.5万元，主要包括：办公费1.18万元、印刷费1万元、水费0.22万元、电费0.6万元、邮电费1万元、差旅费1万元、会议费1万元、培训费0.5万元、公务接待费0.5万元、工会经费1.4万元、其他交通费4.1万元。</w:t>
      </w:r>
    </w:p>
    <w:p w14:paraId="676BC5E5">
      <w:pPr>
        <w:overflowPunct w:val="0"/>
        <w:topLinePunct/>
        <w:spacing w:line="576" w:lineRule="exact"/>
        <w:ind w:firstLine="640" w:firstLineChars="200"/>
        <w:jc w:val="both"/>
        <w:outlineLvl w:val="1"/>
        <w:rPr>
          <w:rFonts w:eastAsia="黑体"/>
          <w:kern w:val="2"/>
          <w:sz w:val="32"/>
          <w:szCs w:val="32"/>
        </w:rPr>
      </w:pPr>
      <w:bookmarkStart w:id="10" w:name="_Toc178326867"/>
      <w:r>
        <w:rPr>
          <w:rFonts w:hAnsi="黑体" w:eastAsia="黑体"/>
          <w:kern w:val="2"/>
          <w:sz w:val="32"/>
          <w:szCs w:val="32"/>
        </w:rPr>
        <w:t>七、财政拨款</w:t>
      </w:r>
      <w:r>
        <w:rPr>
          <w:rFonts w:eastAsia="黑体"/>
          <w:kern w:val="2"/>
          <w:sz w:val="32"/>
          <w:szCs w:val="32"/>
        </w:rPr>
        <w:t>“</w:t>
      </w:r>
      <w:r>
        <w:rPr>
          <w:rFonts w:hAnsi="黑体" w:eastAsia="黑体"/>
          <w:kern w:val="2"/>
          <w:sz w:val="32"/>
          <w:szCs w:val="32"/>
        </w:rPr>
        <w:t>三公</w:t>
      </w:r>
      <w:r>
        <w:rPr>
          <w:rFonts w:eastAsia="黑体"/>
          <w:kern w:val="2"/>
          <w:sz w:val="32"/>
          <w:szCs w:val="32"/>
        </w:rPr>
        <w:t>”</w:t>
      </w:r>
      <w:r>
        <w:rPr>
          <w:rFonts w:hAnsi="黑体" w:eastAsia="黑体"/>
          <w:kern w:val="2"/>
          <w:sz w:val="32"/>
          <w:szCs w:val="32"/>
        </w:rPr>
        <w:t>经费支出决算情况说明</w:t>
      </w:r>
      <w:bookmarkEnd w:id="10"/>
    </w:p>
    <w:p w14:paraId="7B468F49">
      <w:pPr>
        <w:overflowPunct w:val="0"/>
        <w:topLinePunct/>
        <w:spacing w:line="576" w:lineRule="exact"/>
        <w:ind w:firstLine="641" w:firstLineChars="200"/>
        <w:jc w:val="both"/>
        <w:rPr>
          <w:rFonts w:eastAsia="仿宋_GB2312"/>
          <w:b/>
          <w:bCs/>
          <w:color w:val="000000"/>
          <w:kern w:val="2"/>
          <w:sz w:val="32"/>
          <w:szCs w:val="32"/>
        </w:rPr>
      </w:pPr>
      <w:r>
        <w:rPr>
          <w:rFonts w:eastAsia="仿宋_GB2312"/>
          <w:b/>
          <w:bCs/>
          <w:color w:val="000000"/>
          <w:kern w:val="2"/>
          <w:sz w:val="32"/>
          <w:szCs w:val="32"/>
        </w:rPr>
        <w:t>（一）“三公”经费财政拨款支出决算总体情况说明</w:t>
      </w:r>
    </w:p>
    <w:p w14:paraId="547F5E16">
      <w:pPr>
        <w:overflowPunct w:val="0"/>
        <w:topLinePunct/>
        <w:spacing w:line="576" w:lineRule="exact"/>
        <w:ind w:firstLine="640" w:firstLineChars="200"/>
        <w:jc w:val="both"/>
        <w:rPr>
          <w:rFonts w:eastAsia="仿宋_GB2312"/>
          <w:b/>
          <w:bCs/>
          <w:color w:val="FF0000"/>
          <w:kern w:val="2"/>
          <w:sz w:val="32"/>
          <w:szCs w:val="32"/>
        </w:rPr>
      </w:pPr>
      <w:r>
        <w:rPr>
          <w:rFonts w:eastAsia="仿宋_GB2312"/>
          <w:color w:val="000000"/>
          <w:kern w:val="2"/>
          <w:sz w:val="32"/>
          <w:szCs w:val="32"/>
        </w:rPr>
        <w:t>2023年度“三公”经费财政拨款支出预算为1.12万元，支出决算为1.12万元，完成预算的100%；较上年无变化。决算数与预算数持平主要原因是厉行节约，严控三公经费支出。</w:t>
      </w:r>
    </w:p>
    <w:p w14:paraId="52745483">
      <w:pPr>
        <w:overflowPunct w:val="0"/>
        <w:topLinePunct/>
        <w:spacing w:line="576" w:lineRule="exact"/>
        <w:ind w:firstLine="641" w:firstLineChars="200"/>
        <w:jc w:val="both"/>
        <w:rPr>
          <w:rFonts w:eastAsia="仿宋_GB2312"/>
          <w:b/>
          <w:bCs/>
          <w:color w:val="000000"/>
          <w:kern w:val="2"/>
          <w:sz w:val="32"/>
          <w:szCs w:val="32"/>
        </w:rPr>
      </w:pPr>
      <w:r>
        <w:rPr>
          <w:rFonts w:eastAsia="仿宋_GB2312"/>
          <w:b/>
          <w:bCs/>
          <w:color w:val="000000"/>
          <w:kern w:val="2"/>
          <w:sz w:val="32"/>
          <w:szCs w:val="32"/>
        </w:rPr>
        <w:t>（二）“三公”经费财政拨款支出决算具体情况说明</w:t>
      </w:r>
    </w:p>
    <w:p w14:paraId="6657843D">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2023年度“三公”经费财政拨款支出决算中，因公出国（境）费支出决算0万元，占0%；公务用车购置及运行维护费支出决算0万元，占0%；公务接待费支出决算1.12万元，占100%。具体情况如下：</w:t>
      </w:r>
    </w:p>
    <w:p w14:paraId="234698B2">
      <w:pPr>
        <w:pStyle w:val="3"/>
        <w:spacing w:before="72" w:line="576" w:lineRule="exact"/>
        <w:rPr>
          <w:rFonts w:ascii="Times New Roman" w:cs="Times New Roman"/>
          <w:color w:val="000000"/>
          <w:kern w:val="2"/>
          <w:sz w:val="32"/>
          <w:szCs w:val="32"/>
        </w:rPr>
      </w:pPr>
    </w:p>
    <w:p w14:paraId="5BD4155B">
      <w:pPr>
        <w:pStyle w:val="3"/>
        <w:spacing w:beforeLines="0"/>
        <w:jc w:val="center"/>
        <w:rPr>
          <w:rFonts w:ascii="Times New Roman" w:cs="Times New Roman"/>
          <w:sz w:val="32"/>
          <w:szCs w:val="32"/>
        </w:rPr>
      </w:pPr>
      <w:r>
        <w:rPr>
          <w:rFonts w:ascii="Times New Roman" w:cs="Times New Roman"/>
          <w:sz w:val="32"/>
          <w:szCs w:val="32"/>
        </w:rPr>
        <w:pict>
          <v:shape id="_x0000_i1031" o:spt="75" type="#_x0000_t75" style="height:217.25pt;width:361.25pt;" filled="f" o:preferrelative="t" stroked="f" coordsize="21600,21600">
            <v:path/>
            <v:fill on="f" focussize="0,0"/>
            <v:stroke on="f" joinstyle="miter"/>
            <v:imagedata r:id="rId12" o:title=""/>
            <o:lock v:ext="edit" aspectratio="t"/>
            <w10:wrap type="none"/>
            <w10:anchorlock/>
          </v:shape>
        </w:pict>
      </w:r>
    </w:p>
    <w:p w14:paraId="535522F1">
      <w:pPr>
        <w:overflowPunct w:val="0"/>
        <w:topLinePunct/>
        <w:spacing w:line="576" w:lineRule="exact"/>
        <w:ind w:firstLine="641" w:firstLineChars="200"/>
        <w:jc w:val="both"/>
        <w:rPr>
          <w:rFonts w:eastAsia="仿宋_GB2312"/>
          <w:b/>
          <w:bCs/>
          <w:color w:val="000000"/>
          <w:kern w:val="2"/>
          <w:sz w:val="32"/>
          <w:szCs w:val="32"/>
        </w:rPr>
      </w:pPr>
      <w:r>
        <w:rPr>
          <w:rFonts w:eastAsia="仿宋_GB2312"/>
          <w:b/>
          <w:bCs/>
          <w:color w:val="000000"/>
          <w:kern w:val="2"/>
          <w:sz w:val="32"/>
          <w:szCs w:val="32"/>
        </w:rPr>
        <w:t>1.因公出国（境）经费</w:t>
      </w:r>
      <w:r>
        <w:rPr>
          <w:rFonts w:eastAsia="仿宋_GB2312"/>
          <w:color w:val="000000"/>
          <w:kern w:val="2"/>
          <w:sz w:val="32"/>
          <w:szCs w:val="32"/>
        </w:rPr>
        <w:t>预算为0万元，</w:t>
      </w:r>
      <w:r>
        <w:rPr>
          <w:rStyle w:val="9"/>
          <w:rFonts w:eastAsia="仿宋_GB2312"/>
          <w:b w:val="0"/>
          <w:bCs w:val="0"/>
          <w:sz w:val="32"/>
          <w:szCs w:val="32"/>
        </w:rPr>
        <w:t>年初未安排预算。</w:t>
      </w:r>
      <w:r>
        <w:rPr>
          <w:rFonts w:eastAsia="仿宋_GB2312"/>
          <w:sz w:val="32"/>
          <w:szCs w:val="32"/>
        </w:rPr>
        <w:t>因公出国（境）支出决算较2022年无变化。</w:t>
      </w:r>
    </w:p>
    <w:p w14:paraId="6C8125F3">
      <w:pPr>
        <w:overflowPunct w:val="0"/>
        <w:topLinePunct/>
        <w:spacing w:line="576" w:lineRule="exact"/>
        <w:ind w:firstLine="641" w:firstLineChars="200"/>
        <w:jc w:val="both"/>
        <w:rPr>
          <w:rFonts w:eastAsia="仿宋_GB2312"/>
          <w:color w:val="000000"/>
          <w:kern w:val="2"/>
          <w:sz w:val="32"/>
          <w:szCs w:val="32"/>
        </w:rPr>
      </w:pPr>
      <w:r>
        <w:rPr>
          <w:rFonts w:eastAsia="仿宋_GB2312"/>
          <w:b/>
          <w:bCs/>
          <w:color w:val="000000"/>
          <w:kern w:val="2"/>
          <w:sz w:val="32"/>
          <w:szCs w:val="32"/>
        </w:rPr>
        <w:t>2.公务用车购置及运行维护费</w:t>
      </w:r>
      <w:r>
        <w:rPr>
          <w:rFonts w:eastAsia="仿宋_GB2312"/>
          <w:color w:val="000000"/>
          <w:kern w:val="2"/>
          <w:sz w:val="32"/>
          <w:szCs w:val="32"/>
        </w:rPr>
        <w:t>预算为0万元,</w:t>
      </w:r>
      <w:r>
        <w:rPr>
          <w:rStyle w:val="9"/>
          <w:rFonts w:eastAsia="仿宋_GB2312"/>
          <w:b w:val="0"/>
          <w:bCs w:val="0"/>
          <w:sz w:val="32"/>
          <w:szCs w:val="32"/>
        </w:rPr>
        <w:t>年初未安排预算</w:t>
      </w:r>
      <w:r>
        <w:rPr>
          <w:rFonts w:eastAsia="仿宋_GB2312"/>
          <w:color w:val="000000"/>
          <w:kern w:val="2"/>
          <w:sz w:val="32"/>
          <w:szCs w:val="32"/>
        </w:rPr>
        <w:t>。公务用车购置及运行维护费支出决算较2022年无变化。</w:t>
      </w:r>
    </w:p>
    <w:p w14:paraId="7BB06421">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其中：</w:t>
      </w:r>
      <w:r>
        <w:rPr>
          <w:rFonts w:eastAsia="仿宋_GB2312"/>
          <w:b/>
          <w:bCs/>
          <w:color w:val="000000"/>
          <w:kern w:val="2"/>
          <w:sz w:val="32"/>
          <w:szCs w:val="32"/>
        </w:rPr>
        <w:t>公务用车购置费</w:t>
      </w:r>
      <w:r>
        <w:rPr>
          <w:rFonts w:eastAsia="仿宋_GB2312"/>
          <w:color w:val="000000"/>
          <w:kern w:val="2"/>
          <w:sz w:val="32"/>
          <w:szCs w:val="32"/>
        </w:rPr>
        <w:t>支出0万元。全年按规定更新购置公务用车0辆。截至2023年12月31日，单位没有公务用车。</w:t>
      </w:r>
    </w:p>
    <w:p w14:paraId="1176B0A3">
      <w:pPr>
        <w:overflowPunct w:val="0"/>
        <w:topLinePunct/>
        <w:spacing w:line="576" w:lineRule="exact"/>
        <w:ind w:firstLine="641" w:firstLineChars="200"/>
        <w:jc w:val="both"/>
        <w:rPr>
          <w:rFonts w:eastAsia="仿宋_GB2312"/>
          <w:color w:val="000000"/>
          <w:kern w:val="2"/>
          <w:sz w:val="32"/>
          <w:szCs w:val="32"/>
        </w:rPr>
      </w:pPr>
      <w:r>
        <w:rPr>
          <w:rFonts w:eastAsia="仿宋_GB2312"/>
          <w:b/>
          <w:bCs/>
          <w:color w:val="000000"/>
          <w:kern w:val="2"/>
          <w:sz w:val="32"/>
          <w:szCs w:val="32"/>
        </w:rPr>
        <w:t>公务用车运行维护费</w:t>
      </w:r>
      <w:r>
        <w:rPr>
          <w:rFonts w:eastAsia="仿宋_GB2312"/>
          <w:color w:val="000000"/>
          <w:kern w:val="2"/>
          <w:sz w:val="32"/>
          <w:szCs w:val="32"/>
        </w:rPr>
        <w:t>支出0万元。</w:t>
      </w:r>
    </w:p>
    <w:p w14:paraId="4462225E">
      <w:pPr>
        <w:overflowPunct w:val="0"/>
        <w:topLinePunct/>
        <w:spacing w:line="576" w:lineRule="exact"/>
        <w:ind w:firstLine="641" w:firstLineChars="200"/>
        <w:jc w:val="both"/>
        <w:rPr>
          <w:rFonts w:eastAsia="仿宋_GB2312"/>
          <w:color w:val="000000"/>
          <w:kern w:val="2"/>
          <w:sz w:val="32"/>
          <w:szCs w:val="32"/>
        </w:rPr>
      </w:pPr>
      <w:r>
        <w:rPr>
          <w:rFonts w:eastAsia="仿宋_GB2312"/>
          <w:b/>
          <w:bCs/>
          <w:color w:val="000000"/>
          <w:kern w:val="2"/>
          <w:sz w:val="32"/>
          <w:szCs w:val="32"/>
        </w:rPr>
        <w:t>3.公务接待费</w:t>
      </w:r>
      <w:r>
        <w:rPr>
          <w:rFonts w:eastAsia="仿宋_GB2312"/>
          <w:color w:val="000000"/>
          <w:kern w:val="2"/>
          <w:sz w:val="32"/>
          <w:szCs w:val="32"/>
        </w:rPr>
        <w:t>预算为1.12万元，支出决算为1.12万元，完成预算的100%。公务接待费支出决算较2022年度持平。主要原因是厉行节约，严控三公经费支出。其中：</w:t>
      </w:r>
    </w:p>
    <w:p w14:paraId="621B9EAA">
      <w:pPr>
        <w:overflowPunct w:val="0"/>
        <w:topLinePunct/>
        <w:spacing w:line="576" w:lineRule="exact"/>
        <w:ind w:firstLine="641" w:firstLineChars="200"/>
        <w:jc w:val="both"/>
        <w:rPr>
          <w:rFonts w:eastAsia="仿宋_GB2312"/>
          <w:color w:val="000000"/>
          <w:kern w:val="2"/>
          <w:sz w:val="32"/>
          <w:szCs w:val="32"/>
        </w:rPr>
      </w:pPr>
      <w:r>
        <w:rPr>
          <w:rFonts w:eastAsia="仿宋_GB2312"/>
          <w:b/>
          <w:bCs/>
          <w:color w:val="000000"/>
          <w:kern w:val="2"/>
          <w:sz w:val="32"/>
          <w:szCs w:val="32"/>
        </w:rPr>
        <w:t>国内公务接待</w:t>
      </w:r>
      <w:r>
        <w:rPr>
          <w:rFonts w:eastAsia="仿宋_GB2312"/>
          <w:color w:val="000000"/>
          <w:kern w:val="2"/>
          <w:sz w:val="32"/>
          <w:szCs w:val="32"/>
        </w:rPr>
        <w:t>支出1.12万元。</w:t>
      </w:r>
      <w:r>
        <w:rPr>
          <w:rFonts w:eastAsia="仿宋_GB2312"/>
          <w:sz w:val="32"/>
          <w:szCs w:val="32"/>
        </w:rPr>
        <w:t>主要用于执行公务、开展业务活动开支的交通费、住宿费、用餐费等。</w:t>
      </w:r>
      <w:r>
        <w:rPr>
          <w:rFonts w:eastAsia="仿宋_GB2312"/>
          <w:color w:val="000000"/>
          <w:kern w:val="2"/>
          <w:sz w:val="32"/>
          <w:szCs w:val="32"/>
          <w:lang w:val="zh-CN"/>
        </w:rPr>
        <w:t>国内公务接待</w:t>
      </w:r>
      <w:r>
        <w:rPr>
          <w:rFonts w:eastAsia="仿宋_GB2312"/>
          <w:color w:val="000000"/>
          <w:kern w:val="2"/>
          <w:sz w:val="32"/>
          <w:szCs w:val="32"/>
        </w:rPr>
        <w:t>20</w:t>
      </w:r>
      <w:r>
        <w:rPr>
          <w:rFonts w:eastAsia="仿宋_GB2312"/>
          <w:color w:val="000000"/>
          <w:kern w:val="2"/>
          <w:sz w:val="32"/>
          <w:szCs w:val="32"/>
          <w:lang w:val="zh-CN"/>
        </w:rPr>
        <w:t>批次，</w:t>
      </w:r>
      <w:r>
        <w:rPr>
          <w:rFonts w:eastAsia="仿宋_GB2312"/>
          <w:color w:val="000000"/>
          <w:kern w:val="2"/>
          <w:sz w:val="32"/>
          <w:szCs w:val="32"/>
        </w:rPr>
        <w:t>120</w:t>
      </w:r>
      <w:r>
        <w:rPr>
          <w:rFonts w:eastAsia="仿宋_GB2312"/>
          <w:color w:val="000000"/>
          <w:kern w:val="2"/>
          <w:sz w:val="32"/>
          <w:szCs w:val="32"/>
          <w:lang w:val="zh-CN"/>
        </w:rPr>
        <w:t>人次，共计支出</w:t>
      </w:r>
      <w:r>
        <w:rPr>
          <w:rFonts w:eastAsia="仿宋_GB2312"/>
          <w:color w:val="000000"/>
          <w:kern w:val="2"/>
          <w:sz w:val="32"/>
          <w:szCs w:val="32"/>
        </w:rPr>
        <w:t>1.12</w:t>
      </w:r>
      <w:r>
        <w:rPr>
          <w:rFonts w:eastAsia="仿宋_GB2312"/>
          <w:color w:val="000000"/>
          <w:kern w:val="2"/>
          <w:sz w:val="32"/>
          <w:szCs w:val="32"/>
          <w:lang w:val="zh-CN"/>
        </w:rPr>
        <w:t>万元，具体内容包括</w:t>
      </w:r>
      <w:r>
        <w:rPr>
          <w:rFonts w:eastAsia="仿宋_GB2312"/>
          <w:sz w:val="32"/>
          <w:szCs w:val="32"/>
        </w:rPr>
        <w:t>省内外城管系统来访考察接待用餐费用等</w:t>
      </w:r>
      <w:r>
        <w:rPr>
          <w:rFonts w:eastAsia="仿宋_GB2312"/>
          <w:color w:val="000000"/>
          <w:kern w:val="2"/>
          <w:sz w:val="32"/>
          <w:szCs w:val="32"/>
        </w:rPr>
        <w:t>。</w:t>
      </w:r>
    </w:p>
    <w:p w14:paraId="5ACAE042">
      <w:pPr>
        <w:overflowPunct w:val="0"/>
        <w:topLinePunct/>
        <w:spacing w:line="576" w:lineRule="exact"/>
        <w:ind w:firstLine="641" w:firstLineChars="200"/>
        <w:jc w:val="both"/>
        <w:rPr>
          <w:rFonts w:eastAsia="仿宋_GB2312"/>
          <w:color w:val="000000"/>
          <w:kern w:val="2"/>
          <w:sz w:val="32"/>
          <w:szCs w:val="32"/>
        </w:rPr>
      </w:pPr>
      <w:r>
        <w:rPr>
          <w:rFonts w:eastAsia="仿宋_GB2312"/>
          <w:b/>
          <w:bCs/>
          <w:color w:val="000000"/>
          <w:kern w:val="2"/>
          <w:sz w:val="32"/>
          <w:szCs w:val="32"/>
        </w:rPr>
        <w:t>外事接待</w:t>
      </w:r>
      <w:r>
        <w:rPr>
          <w:rFonts w:eastAsia="仿宋_GB2312"/>
          <w:color w:val="000000"/>
          <w:kern w:val="2"/>
          <w:sz w:val="32"/>
          <w:szCs w:val="32"/>
        </w:rPr>
        <w:t>支出0万元。</w:t>
      </w:r>
    </w:p>
    <w:p w14:paraId="2956D322">
      <w:pPr>
        <w:overflowPunct w:val="0"/>
        <w:topLinePunct/>
        <w:spacing w:line="576" w:lineRule="exact"/>
        <w:ind w:firstLine="640" w:firstLineChars="200"/>
        <w:jc w:val="both"/>
        <w:outlineLvl w:val="1"/>
        <w:rPr>
          <w:rFonts w:eastAsia="黑体"/>
          <w:kern w:val="2"/>
          <w:sz w:val="32"/>
          <w:szCs w:val="32"/>
        </w:rPr>
      </w:pPr>
      <w:bookmarkStart w:id="11" w:name="_Toc178326868"/>
      <w:r>
        <w:rPr>
          <w:rFonts w:hAnsi="黑体" w:eastAsia="黑体"/>
          <w:kern w:val="2"/>
          <w:sz w:val="32"/>
          <w:szCs w:val="32"/>
        </w:rPr>
        <w:t>八、政府性基金预算支出决算情况说明</w:t>
      </w:r>
      <w:bookmarkEnd w:id="11"/>
    </w:p>
    <w:p w14:paraId="49A3640B">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2023年政府性基金预算拨款支出0万元。</w:t>
      </w:r>
    </w:p>
    <w:p w14:paraId="36C9DD99">
      <w:pPr>
        <w:overflowPunct w:val="0"/>
        <w:topLinePunct/>
        <w:spacing w:line="576" w:lineRule="exact"/>
        <w:ind w:firstLine="640" w:firstLineChars="200"/>
        <w:jc w:val="both"/>
        <w:outlineLvl w:val="1"/>
        <w:rPr>
          <w:rFonts w:eastAsia="黑体"/>
          <w:kern w:val="2"/>
          <w:sz w:val="32"/>
          <w:szCs w:val="32"/>
        </w:rPr>
      </w:pPr>
      <w:bookmarkStart w:id="12" w:name="_Toc178326869"/>
      <w:r>
        <w:rPr>
          <w:rFonts w:hAnsi="黑体" w:eastAsia="黑体"/>
          <w:kern w:val="2"/>
          <w:sz w:val="32"/>
          <w:szCs w:val="32"/>
        </w:rPr>
        <w:t>九、国有资本经营预算支出决算情况说明</w:t>
      </w:r>
      <w:bookmarkEnd w:id="12"/>
    </w:p>
    <w:p w14:paraId="58B546BE">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2023年国有资本经营预算拨款支出0万元。</w:t>
      </w:r>
    </w:p>
    <w:p w14:paraId="393C1115">
      <w:pPr>
        <w:overflowPunct w:val="0"/>
        <w:topLinePunct/>
        <w:spacing w:line="576" w:lineRule="exact"/>
        <w:ind w:firstLine="640" w:firstLineChars="200"/>
        <w:jc w:val="both"/>
        <w:outlineLvl w:val="1"/>
        <w:rPr>
          <w:rFonts w:eastAsia="黑体"/>
          <w:kern w:val="2"/>
          <w:sz w:val="32"/>
          <w:szCs w:val="32"/>
        </w:rPr>
      </w:pPr>
      <w:bookmarkStart w:id="13" w:name="_Toc178326870"/>
      <w:r>
        <w:rPr>
          <w:rFonts w:hAnsi="黑体" w:eastAsia="黑体"/>
          <w:kern w:val="2"/>
          <w:sz w:val="32"/>
          <w:szCs w:val="32"/>
        </w:rPr>
        <w:t>十、其他重要事项的情况说明</w:t>
      </w:r>
      <w:bookmarkEnd w:id="13"/>
    </w:p>
    <w:p w14:paraId="57F429E5">
      <w:pPr>
        <w:overflowPunct w:val="0"/>
        <w:topLinePunct/>
        <w:spacing w:line="576" w:lineRule="exact"/>
        <w:ind w:firstLine="641" w:firstLineChars="200"/>
        <w:jc w:val="both"/>
        <w:rPr>
          <w:rFonts w:eastAsia="仿宋_GB2312"/>
          <w:color w:val="000000"/>
          <w:kern w:val="2"/>
          <w:sz w:val="32"/>
          <w:szCs w:val="32"/>
        </w:rPr>
      </w:pPr>
      <w:r>
        <w:rPr>
          <w:rFonts w:eastAsia="仿宋_GB2312"/>
          <w:b/>
          <w:bCs/>
          <w:color w:val="000000"/>
          <w:kern w:val="2"/>
          <w:sz w:val="32"/>
          <w:szCs w:val="32"/>
        </w:rPr>
        <w:t>（一）机关运行经费支出情况</w:t>
      </w:r>
    </w:p>
    <w:p w14:paraId="2D79F241">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2023年，广元市昭化区工商业联合会机关运行经费支出12.5万元，比2022年度减少72.07万元，下降85.22%。主要原因是本年度单位人员减少，经费减少。</w:t>
      </w:r>
    </w:p>
    <w:p w14:paraId="205D9C59">
      <w:pPr>
        <w:overflowPunct w:val="0"/>
        <w:topLinePunct/>
        <w:spacing w:line="576" w:lineRule="exact"/>
        <w:ind w:firstLine="641" w:firstLineChars="200"/>
        <w:jc w:val="both"/>
        <w:rPr>
          <w:rFonts w:eastAsia="仿宋_GB2312"/>
          <w:b/>
          <w:bCs/>
          <w:color w:val="000000"/>
          <w:kern w:val="2"/>
          <w:sz w:val="32"/>
          <w:szCs w:val="32"/>
        </w:rPr>
      </w:pPr>
      <w:r>
        <w:rPr>
          <w:rFonts w:eastAsia="仿宋_GB2312"/>
          <w:b/>
          <w:bCs/>
          <w:color w:val="000000"/>
          <w:kern w:val="2"/>
          <w:sz w:val="32"/>
          <w:szCs w:val="32"/>
        </w:rPr>
        <w:t>（二）政府采购支出情况</w:t>
      </w:r>
    </w:p>
    <w:p w14:paraId="7330DE91">
      <w:pPr>
        <w:overflowPunct w:val="0"/>
        <w:topLinePunct/>
        <w:spacing w:line="576" w:lineRule="exact"/>
        <w:ind w:firstLine="640" w:firstLineChars="200"/>
        <w:jc w:val="both"/>
        <w:rPr>
          <w:rFonts w:eastAsia="仿宋_GB2312"/>
          <w:color w:val="000000"/>
          <w:kern w:val="2"/>
          <w:sz w:val="32"/>
          <w:szCs w:val="32"/>
        </w:rPr>
      </w:pPr>
      <w:r>
        <w:rPr>
          <w:rFonts w:eastAsia="仿宋_GB2312"/>
          <w:color w:val="000000"/>
          <w:kern w:val="2"/>
          <w:sz w:val="32"/>
          <w:szCs w:val="32"/>
        </w:rPr>
        <w:t>2023年，广元市昭化区工商业联合会未发生政府采购支出。</w:t>
      </w:r>
    </w:p>
    <w:p w14:paraId="101276C2">
      <w:pPr>
        <w:overflowPunct w:val="0"/>
        <w:topLinePunct/>
        <w:spacing w:line="576" w:lineRule="exact"/>
        <w:ind w:firstLine="641" w:firstLineChars="200"/>
        <w:jc w:val="both"/>
        <w:rPr>
          <w:rFonts w:eastAsia="仿宋_GB2312"/>
          <w:b/>
          <w:bCs/>
          <w:color w:val="000000"/>
          <w:kern w:val="2"/>
          <w:sz w:val="32"/>
          <w:szCs w:val="32"/>
        </w:rPr>
      </w:pPr>
      <w:r>
        <w:rPr>
          <w:rFonts w:eastAsia="仿宋_GB2312"/>
          <w:b/>
          <w:bCs/>
          <w:color w:val="000000"/>
          <w:kern w:val="2"/>
          <w:sz w:val="32"/>
          <w:szCs w:val="32"/>
        </w:rPr>
        <w:t>（三）国有资产占有使用情况</w:t>
      </w:r>
    </w:p>
    <w:p w14:paraId="28A13625">
      <w:pPr>
        <w:overflowPunct w:val="0"/>
        <w:topLinePunct/>
        <w:spacing w:line="576" w:lineRule="exact"/>
        <w:ind w:firstLine="640" w:firstLineChars="200"/>
        <w:jc w:val="both"/>
        <w:rPr>
          <w:rFonts w:eastAsia="仿宋_GB2312"/>
          <w:b/>
          <w:bCs/>
          <w:color w:val="FF0000"/>
          <w:kern w:val="2"/>
          <w:sz w:val="32"/>
          <w:szCs w:val="32"/>
        </w:rPr>
      </w:pPr>
      <w:r>
        <w:rPr>
          <w:rFonts w:eastAsia="仿宋_GB2312"/>
          <w:color w:val="000000"/>
          <w:kern w:val="2"/>
          <w:sz w:val="32"/>
          <w:szCs w:val="32"/>
        </w:rPr>
        <w:t>截至2023年12月31日，本单位无公务用车辆和单价100万元（含）以上设备。</w:t>
      </w:r>
    </w:p>
    <w:p w14:paraId="45CF47D7">
      <w:pPr>
        <w:overflowPunct w:val="0"/>
        <w:topLinePunct/>
        <w:spacing w:line="576" w:lineRule="exact"/>
        <w:ind w:firstLine="641" w:firstLineChars="200"/>
        <w:jc w:val="both"/>
        <w:rPr>
          <w:rFonts w:eastAsia="仿宋_GB2312"/>
          <w:b/>
          <w:bCs/>
          <w:color w:val="000000"/>
          <w:kern w:val="2"/>
          <w:sz w:val="32"/>
          <w:szCs w:val="32"/>
        </w:rPr>
      </w:pPr>
      <w:r>
        <w:rPr>
          <w:rFonts w:eastAsia="仿宋_GB2312"/>
          <w:b/>
          <w:bCs/>
          <w:color w:val="000000"/>
          <w:kern w:val="2"/>
          <w:sz w:val="32"/>
          <w:szCs w:val="32"/>
        </w:rPr>
        <w:t>（四）预算绩效管理情况。</w:t>
      </w:r>
    </w:p>
    <w:p w14:paraId="74D70EF3">
      <w:pPr>
        <w:overflowPunct w:val="0"/>
        <w:topLinePunct/>
        <w:spacing w:line="576" w:lineRule="exact"/>
        <w:ind w:firstLine="640" w:firstLineChars="200"/>
        <w:jc w:val="both"/>
        <w:rPr>
          <w:rFonts w:eastAsia="仿宋_GB2312"/>
          <w:kern w:val="2"/>
          <w:sz w:val="32"/>
          <w:szCs w:val="32"/>
        </w:rPr>
      </w:pPr>
      <w:r>
        <w:rPr>
          <w:rFonts w:eastAsia="仿宋_GB2312"/>
          <w:kern w:val="2"/>
          <w:sz w:val="32"/>
          <w:szCs w:val="32"/>
        </w:rPr>
        <w:t>根据预算绩效管理要求，本部门在2023年度预算编制阶段，组织对2023工商企业联席、2023驻外商会费用、2023项目招商、2023企业家座谈会等4个项目开展了预算事前绩效评估，对4个项目编制了绩效目标，预算执行过程中，选取4个项目开展绩效监控。</w:t>
      </w:r>
    </w:p>
    <w:p w14:paraId="562C0B2E">
      <w:pPr>
        <w:pStyle w:val="3"/>
        <w:spacing w:before="72" w:line="576" w:lineRule="exact"/>
        <w:ind w:right="26" w:firstLine="619"/>
        <w:rPr>
          <w:rFonts w:ascii="Times New Roman" w:cs="Times New Roman"/>
          <w:kern w:val="2"/>
          <w:sz w:val="32"/>
          <w:szCs w:val="32"/>
        </w:rPr>
      </w:pPr>
      <w:r>
        <w:rPr>
          <w:rFonts w:ascii="Times New Roman" w:cs="Times New Roman"/>
          <w:kern w:val="2"/>
          <w:sz w:val="32"/>
          <w:szCs w:val="32"/>
        </w:rPr>
        <w:t>2023年度组织一般公共预算、政府性基金预算、国有资本经营预算以及资本资产、债券资金等全面开展绩效自评，形成2023年广元市昭化区工商业联合会（部门）整体（含部门预算项目）绩效自评报告，其中，2023年部门整体（含部门预算项目）绩效自评得分为92分，绩效自评综述：2023年区工商联财务支出符合国家财经法规和财务管理制 度规定以及有关专项资金管理办法的规定，资金的拨付有完整的 审批过程和手续，支出基本符合部门预算批复的用途，资金使用 无截留、挤占、挪用、虚列支出等情况。根据区政府绩效考核文 件精神，绩效目标在2023年基本完成，在保障机关运转、履行职能职责上整体情况良好。绩效自评报告详见附件。</w:t>
      </w:r>
    </w:p>
    <w:p w14:paraId="4AFAE1B9">
      <w:pPr>
        <w:pStyle w:val="3"/>
        <w:spacing w:before="72" w:line="576" w:lineRule="exact"/>
        <w:rPr>
          <w:rFonts w:ascii="Times New Roman" w:cs="Times New Roman"/>
          <w:kern w:val="2"/>
          <w:sz w:val="32"/>
          <w:szCs w:val="32"/>
        </w:rPr>
        <w:sectPr>
          <w:footerReference r:id="rId3" w:type="default"/>
          <w:pgSz w:w="11907" w:h="16840"/>
          <w:pgMar w:top="2098" w:right="1474" w:bottom="1985" w:left="1588" w:header="720" w:footer="1531" w:gutter="0"/>
          <w:pgNumType w:start="1"/>
          <w:cols w:space="720" w:num="1"/>
        </w:sectPr>
      </w:pPr>
    </w:p>
    <w:p w14:paraId="5A9C4C16">
      <w:pPr>
        <w:pStyle w:val="12"/>
        <w:spacing w:line="576" w:lineRule="exact"/>
        <w:jc w:val="center"/>
        <w:rPr>
          <w:rFonts w:eastAsia="方正小标宋简体"/>
          <w:bCs/>
          <w:kern w:val="44"/>
          <w:sz w:val="44"/>
          <w:szCs w:val="44"/>
        </w:rPr>
      </w:pPr>
      <w:bookmarkStart w:id="14" w:name="_Toc178326871"/>
      <w:r>
        <w:rPr>
          <w:rFonts w:eastAsia="方正小标宋简体"/>
          <w:bCs/>
          <w:kern w:val="44"/>
          <w:sz w:val="44"/>
          <w:szCs w:val="44"/>
        </w:rPr>
        <w:t>第三部分  名词解释</w:t>
      </w:r>
      <w:bookmarkEnd w:id="14"/>
    </w:p>
    <w:p w14:paraId="67E13620">
      <w:pPr>
        <w:overflowPunct w:val="0"/>
        <w:topLinePunct/>
        <w:spacing w:line="576" w:lineRule="exact"/>
        <w:ind w:firstLine="640" w:firstLineChars="200"/>
        <w:jc w:val="both"/>
        <w:rPr>
          <w:rFonts w:eastAsia="仿宋_GB2312"/>
          <w:color w:val="000000"/>
          <w:sz w:val="32"/>
          <w:szCs w:val="32"/>
        </w:rPr>
      </w:pPr>
    </w:p>
    <w:p w14:paraId="6CC70BAB">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一、财政拨款收入：指单位从同级财政部门取得的财政预算资金。</w:t>
      </w:r>
    </w:p>
    <w:p w14:paraId="1B2E6228">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二、事业收入：指事业单位开展专业业务活动及辅助活动取得的收入。</w:t>
      </w:r>
    </w:p>
    <w:p w14:paraId="2D97829E">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三、经营收入：指事业单位在专业业务活动及其辅助活动之外开展非独立核算经营活动取得的收入。</w:t>
      </w:r>
    </w:p>
    <w:p w14:paraId="1994E6E5">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 xml:space="preserve">四、其他收入：指单位取得的除上述收入以外的各项收入。 </w:t>
      </w:r>
    </w:p>
    <w:p w14:paraId="2F83B7A8">
      <w:pPr>
        <w:pStyle w:val="34"/>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kern w:val="2"/>
          <w:sz w:val="32"/>
          <w:szCs w:val="32"/>
        </w:rPr>
        <w:t>五、</w:t>
      </w:r>
      <w:r>
        <w:rPr>
          <w:rFonts w:ascii="Times New Roman" w:hAnsi="Times New Roman" w:eastAsia="仿宋_GB2312" w:cs="Times New Roman"/>
          <w:sz w:val="32"/>
          <w:szCs w:val="32"/>
        </w:rPr>
        <w:t>使用非财政拨款结余（含专用结余）</w:t>
      </w:r>
      <w:r>
        <w:rPr>
          <w:rFonts w:ascii="Times New Roman" w:hAnsi="Times New Roman" w:eastAsia="仿宋_GB2312" w:cs="Times New Roman"/>
          <w:color w:val="auto"/>
          <w:sz w:val="32"/>
          <w:szCs w:val="32"/>
        </w:rPr>
        <w:t xml:space="preserve">：指事业单位使用以前年度积累的非财政拨款结余弥补当年收支差额的金额。 </w:t>
      </w:r>
    </w:p>
    <w:p w14:paraId="00F0DFD0">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 xml:space="preserve">六、年初结转和结余：指以前年度尚未完成、结转到本年按有关规定继续使用的资金。 </w:t>
      </w:r>
    </w:p>
    <w:p w14:paraId="0912B449">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七、结余分配：指事业单位按照会计制度规定缴纳的所得税、提取的专用结余以及转入非财政拨款结余的金额等。</w:t>
      </w:r>
    </w:p>
    <w:p w14:paraId="0DB33A15">
      <w:pPr>
        <w:overflowPunct w:val="0"/>
        <w:topLinePunct/>
        <w:spacing w:line="576" w:lineRule="exact"/>
        <w:ind w:firstLine="640" w:firstLineChars="200"/>
        <w:jc w:val="both"/>
        <w:rPr>
          <w:rFonts w:eastAsia="仿宋_GB2312"/>
          <w:color w:val="000000"/>
          <w:sz w:val="32"/>
          <w:szCs w:val="32"/>
        </w:rPr>
      </w:pPr>
      <w:r>
        <w:rPr>
          <w:rFonts w:eastAsia="仿宋_GB2312"/>
          <w:color w:val="000000"/>
          <w:sz w:val="32"/>
          <w:szCs w:val="32"/>
        </w:rPr>
        <w:t>八、年末结转和结余：指单位按有关规定结转到下年或以后年度继续使用的资金。</w:t>
      </w:r>
    </w:p>
    <w:p w14:paraId="7F3E0B69">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九.一般公共服务（类）一般公共服务支出（款）民主党派及工商联事务（项）行政运行: 指为保障机构正常运转、完成日常工作任务而发生的人员支出和公用支出。</w:t>
      </w:r>
    </w:p>
    <w:p w14:paraId="40492D89">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十.社会保障和就业（类）行政事</w:t>
      </w:r>
      <w:r>
        <w:rPr>
          <w:rFonts w:hint="eastAsia" w:ascii="Times New Roman" w:cs="Times New Roman"/>
          <w:kern w:val="2"/>
          <w:sz w:val="32"/>
          <w:szCs w:val="32"/>
        </w:rPr>
        <w:t>业</w:t>
      </w:r>
      <w:r>
        <w:rPr>
          <w:rFonts w:ascii="Times New Roman" w:cs="Times New Roman"/>
          <w:kern w:val="2"/>
          <w:sz w:val="32"/>
          <w:szCs w:val="32"/>
        </w:rPr>
        <w:t>单位离退休（款）机关事业单位基本养老保险缴费支出（项）：指机关事业单位实施养老保险制度由单位缴纳的基本养老保险费支出。</w:t>
      </w:r>
    </w:p>
    <w:p w14:paraId="3BEE7243">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十一.医疗卫生与计划生育支出（类）行政事业单位医疗（款）行政单位医疗（项）：是指财政部门集中安排的行政单位基本养老保险缴费经费，未参加养老保险的行政单位的公费医疗经费，按国家规定享受离休人员待遇人员的医疗经费。</w:t>
      </w:r>
    </w:p>
    <w:p w14:paraId="0F364F15">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十二.住房保障（类）住房改革（款）住房公积金（项）: 反映行政事业单位按人力资源和社会保障部、财政部规定的基本工资和津贴补贴以及规定比例为职工缴纳的住房公积金。</w:t>
      </w:r>
    </w:p>
    <w:p w14:paraId="07ADCACE">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十三.项目支出：指在基本支出之外为完成特定行政任务和事业发展目标所发生的支出。</w:t>
      </w:r>
    </w:p>
    <w:p w14:paraId="2866B86F">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十四.“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D89CEB3">
      <w:pPr>
        <w:pStyle w:val="3"/>
        <w:topLinePunct/>
        <w:spacing w:beforeLines="0" w:line="576" w:lineRule="exact"/>
        <w:ind w:firstLine="640" w:firstLineChars="200"/>
        <w:rPr>
          <w:rFonts w:ascii="Times New Roman" w:cs="Times New Roman"/>
          <w:kern w:val="2"/>
          <w:sz w:val="32"/>
          <w:szCs w:val="32"/>
        </w:rPr>
      </w:pPr>
      <w:r>
        <w:rPr>
          <w:rFonts w:ascii="Times New Roman" w:cs="Times New Roman"/>
          <w:kern w:val="2"/>
          <w:sz w:val="32"/>
          <w:szCs w:val="32"/>
        </w:rPr>
        <w:t>十五.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3044F037">
      <w:pPr>
        <w:pStyle w:val="12"/>
        <w:spacing w:line="576" w:lineRule="exact"/>
        <w:jc w:val="center"/>
        <w:rPr>
          <w:rFonts w:eastAsia="方正小标宋简体"/>
          <w:bCs/>
          <w:kern w:val="44"/>
          <w:sz w:val="44"/>
          <w:szCs w:val="44"/>
        </w:rPr>
      </w:pPr>
      <w:bookmarkStart w:id="15" w:name="_Toc178326872"/>
      <w:r>
        <w:rPr>
          <w:rFonts w:eastAsia="方正小标宋简体"/>
          <w:bCs/>
          <w:kern w:val="44"/>
          <w:sz w:val="44"/>
          <w:szCs w:val="44"/>
        </w:rPr>
        <w:t>第四部分  附件</w:t>
      </w:r>
      <w:bookmarkEnd w:id="15"/>
    </w:p>
    <w:p w14:paraId="3AA16AE0">
      <w:pPr>
        <w:spacing w:line="576" w:lineRule="exact"/>
        <w:rPr>
          <w:rFonts w:eastAsia="黑体"/>
          <w:bCs/>
          <w:kern w:val="2"/>
          <w:sz w:val="32"/>
          <w:szCs w:val="32"/>
        </w:rPr>
      </w:pPr>
      <w:r>
        <w:rPr>
          <w:rFonts w:eastAsia="黑体"/>
          <w:bCs/>
          <w:kern w:val="2"/>
          <w:sz w:val="32"/>
          <w:szCs w:val="32"/>
        </w:rPr>
        <w:t>附件1</w:t>
      </w:r>
    </w:p>
    <w:p w14:paraId="449F1064">
      <w:pPr>
        <w:spacing w:line="576" w:lineRule="exact"/>
        <w:jc w:val="center"/>
        <w:rPr>
          <w:rFonts w:eastAsia="黑体"/>
          <w:bCs/>
          <w:color w:val="000000"/>
          <w:sz w:val="32"/>
          <w:szCs w:val="32"/>
        </w:rPr>
      </w:pPr>
      <w:r>
        <w:rPr>
          <w:rFonts w:eastAsia="黑体"/>
          <w:bCs/>
          <w:color w:val="000000"/>
          <w:sz w:val="32"/>
          <w:szCs w:val="32"/>
        </w:rPr>
        <w:t>广元市昭化区工商业联合会</w:t>
      </w:r>
    </w:p>
    <w:p w14:paraId="6B8C7574">
      <w:pPr>
        <w:spacing w:line="576" w:lineRule="exact"/>
        <w:jc w:val="center"/>
        <w:rPr>
          <w:rFonts w:eastAsia="黑体"/>
          <w:bCs/>
          <w:color w:val="000000"/>
          <w:sz w:val="32"/>
          <w:szCs w:val="32"/>
          <w:lang w:val="zh-CN"/>
        </w:rPr>
      </w:pPr>
      <w:r>
        <w:rPr>
          <w:rFonts w:eastAsia="黑体"/>
          <w:bCs/>
          <w:color w:val="000000"/>
          <w:sz w:val="32"/>
          <w:szCs w:val="32"/>
        </w:rPr>
        <w:t>2023年度部门整体支出</w:t>
      </w:r>
      <w:r>
        <w:rPr>
          <w:rFonts w:eastAsia="黑体"/>
          <w:bCs/>
          <w:color w:val="000000"/>
          <w:sz w:val="32"/>
          <w:szCs w:val="32"/>
          <w:lang w:val="zh-CN"/>
        </w:rPr>
        <w:t>绩效评价报告</w:t>
      </w:r>
    </w:p>
    <w:p w14:paraId="7B3CA183">
      <w:pPr>
        <w:pStyle w:val="3"/>
        <w:spacing w:before="72" w:line="576" w:lineRule="exact"/>
        <w:rPr>
          <w:rFonts w:ascii="Times New Roman" w:cs="Times New Roman"/>
          <w:sz w:val="32"/>
          <w:szCs w:val="32"/>
        </w:rPr>
      </w:pPr>
      <w:r>
        <w:rPr>
          <w:rFonts w:ascii="Times New Roman" w:cs="Times New Roman"/>
          <w:sz w:val="32"/>
          <w:szCs w:val="32"/>
        </w:rPr>
        <w:t>区财政局：</w:t>
      </w:r>
    </w:p>
    <w:p w14:paraId="2510A536">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为了进一步加强财政支付预算管理，提高财政资金使用效益，根据《关于开展2024年部门、政策和项目支出绩效评价工作的通知》(昭财发〔2024〕11号)文件的要求，结合我联2023年部门预算管理、重点项目的实施情况等，现将我单位2023年开展部门整体支出绩效自评报告如下：</w:t>
      </w:r>
    </w:p>
    <w:p w14:paraId="5FD3505A">
      <w:pPr>
        <w:pStyle w:val="3"/>
        <w:spacing w:beforeLines="0" w:line="576" w:lineRule="exact"/>
        <w:ind w:firstLine="641" w:firstLineChars="200"/>
        <w:jc w:val="both"/>
        <w:outlineLvl w:val="1"/>
        <w:rPr>
          <w:rFonts w:ascii="Times New Roman" w:cs="Times New Roman"/>
          <w:b/>
          <w:bCs/>
          <w:sz w:val="32"/>
          <w:szCs w:val="32"/>
        </w:rPr>
      </w:pPr>
      <w:bookmarkStart w:id="16" w:name="_Toc178326873"/>
      <w:r>
        <w:rPr>
          <w:rFonts w:ascii="Times New Roman" w:cs="Times New Roman"/>
          <w:b/>
          <w:bCs/>
          <w:sz w:val="32"/>
          <w:szCs w:val="32"/>
        </w:rPr>
        <w:t>一、部门概况</w:t>
      </w:r>
      <w:bookmarkEnd w:id="16"/>
    </w:p>
    <w:p w14:paraId="33DBA5C9">
      <w:pPr>
        <w:pStyle w:val="3"/>
        <w:spacing w:beforeLines="0" w:line="576" w:lineRule="exact"/>
        <w:ind w:firstLine="641" w:firstLineChars="200"/>
        <w:jc w:val="both"/>
        <w:rPr>
          <w:rFonts w:ascii="Times New Roman" w:cs="Times New Roman"/>
          <w:b/>
          <w:bCs/>
          <w:sz w:val="32"/>
          <w:szCs w:val="32"/>
        </w:rPr>
      </w:pPr>
      <w:r>
        <w:rPr>
          <w:rFonts w:ascii="Times New Roman" w:cs="Times New Roman"/>
          <w:b/>
          <w:bCs/>
          <w:sz w:val="32"/>
          <w:szCs w:val="32"/>
        </w:rPr>
        <w:t>（一）机构组成</w:t>
      </w:r>
    </w:p>
    <w:p w14:paraId="68B3F439">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区工商联是区级直属的独立预算机构，内设办公室、会员部、经济联络部，在职人员5人，退休人员3人。</w:t>
      </w:r>
    </w:p>
    <w:p w14:paraId="6886FBF6">
      <w:pPr>
        <w:pStyle w:val="3"/>
        <w:spacing w:beforeLines="0" w:line="576" w:lineRule="exact"/>
        <w:ind w:firstLine="641" w:firstLineChars="200"/>
        <w:jc w:val="both"/>
        <w:rPr>
          <w:rFonts w:ascii="Times New Roman" w:cs="Times New Roman"/>
          <w:b/>
          <w:bCs/>
          <w:sz w:val="32"/>
          <w:szCs w:val="32"/>
        </w:rPr>
      </w:pPr>
      <w:r>
        <w:rPr>
          <w:rFonts w:ascii="Times New Roman" w:cs="Times New Roman"/>
          <w:b/>
          <w:bCs/>
          <w:sz w:val="32"/>
          <w:szCs w:val="32"/>
        </w:rPr>
        <w:t>（二）单位职能简介</w:t>
      </w:r>
    </w:p>
    <w:p w14:paraId="27720905">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(一)参政议政。参与我区经济、社会事务的重大决策和政治协商，发挥民主监督。做好非公有制经济人士的政治安排的推荐工作。对我区重大决策的制定提出建议，并协助贯彻执行。</w:t>
      </w:r>
    </w:p>
    <w:p w14:paraId="1423FE5B">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(二)发扬自我教育的优良传统，宣传党和国家的方针政策，加强和改进思想政治工作。对会员进行“团结、帮助、服务、教育”提倡爱国、敬业、守法，提高会员素质，培养骨干分子队伍。</w:t>
      </w:r>
    </w:p>
    <w:p w14:paraId="683061A7">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(三)维护会员的合法权益。反映会员的意见、要求和建议，在会员与政府之间发挥桥梁纽带作用，当好政府管理非公有制经济的助手。</w:t>
      </w:r>
    </w:p>
    <w:p w14:paraId="7D2CDA9E">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(四)为会员和社会提供市场、技术、商品等信息。按照国家有关规定为会员提供管理、会计、审计、融资等咨询服务。</w:t>
      </w:r>
    </w:p>
    <w:p w14:paraId="03F4EE0F">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(五)对会员开展专业培训。帮助会员改善经营管理，提高生产技术水平和产品质量。</w:t>
      </w:r>
    </w:p>
    <w:p w14:paraId="276C52E0">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(六)按照国家规定和有关政策，组织会员举办和参加各种展销会、交易会。组织出国考察、访问，帮助会员开拓国内、国际市场。</w:t>
      </w:r>
    </w:p>
    <w:p w14:paraId="51E49DBD">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(七)为会员提供必要的证明，协调会员间的关系，为会员和民间企业调解纠纷。</w:t>
      </w:r>
    </w:p>
    <w:p w14:paraId="76FF6891">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(八)增进与台、港、澳地区和世界各国工商社团及工商经济界人士的联系和友谊，促进经济、技术和贸易合作的发展，协助引进资金、技术、人才。</w:t>
      </w:r>
    </w:p>
    <w:p w14:paraId="665E574C">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(九)积极办好会办服务事业和经济实体。</w:t>
      </w:r>
    </w:p>
    <w:p w14:paraId="533DCF1D">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(十)承办党委或政府交办的其他事项。</w:t>
      </w:r>
    </w:p>
    <w:p w14:paraId="58FD28E0">
      <w:pPr>
        <w:spacing w:line="576" w:lineRule="exact"/>
        <w:ind w:firstLine="641" w:firstLineChars="200"/>
        <w:jc w:val="both"/>
        <w:outlineLvl w:val="1"/>
        <w:rPr>
          <w:rFonts w:eastAsia="仿宋_GB2312"/>
          <w:sz w:val="32"/>
          <w:szCs w:val="32"/>
        </w:rPr>
      </w:pPr>
      <w:bookmarkStart w:id="17" w:name="_Toc178326874"/>
      <w:r>
        <w:rPr>
          <w:rFonts w:eastAsia="仿宋_GB2312"/>
          <w:b/>
          <w:bCs/>
          <w:sz w:val="32"/>
          <w:szCs w:val="32"/>
        </w:rPr>
        <w:t>二、部门财政收支管理情况</w:t>
      </w:r>
      <w:bookmarkEnd w:id="17"/>
    </w:p>
    <w:p w14:paraId="58356512">
      <w:pPr>
        <w:spacing w:line="576" w:lineRule="exact"/>
        <w:ind w:firstLine="640" w:firstLineChars="200"/>
        <w:jc w:val="both"/>
        <w:rPr>
          <w:rFonts w:eastAsia="仿宋_GB2312"/>
          <w:sz w:val="32"/>
          <w:szCs w:val="32"/>
        </w:rPr>
      </w:pPr>
      <w:r>
        <w:rPr>
          <w:rFonts w:eastAsia="仿宋_GB2312"/>
          <w:sz w:val="32"/>
          <w:szCs w:val="32"/>
        </w:rPr>
        <w:t>(一)单位财政资金收入情况</w:t>
      </w:r>
    </w:p>
    <w:p w14:paraId="34CD376C">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区工商联2023年财政预算收入166.7万元，较2022财政预算收入178.58万元减少11.88万元，主要原因是人员减少。区工商联2023年财政决算收入166.7万元，完成预算100%。</w:t>
      </w:r>
    </w:p>
    <w:p w14:paraId="7D315104">
      <w:pPr>
        <w:spacing w:line="576" w:lineRule="exact"/>
        <w:ind w:firstLine="640" w:firstLineChars="200"/>
        <w:jc w:val="both"/>
        <w:rPr>
          <w:rFonts w:eastAsia="仿宋_GB2312"/>
          <w:sz w:val="32"/>
          <w:szCs w:val="32"/>
        </w:rPr>
      </w:pPr>
      <w:r>
        <w:rPr>
          <w:rFonts w:eastAsia="仿宋_GB2312"/>
          <w:sz w:val="32"/>
          <w:szCs w:val="32"/>
        </w:rPr>
        <w:t>(二)单位财政支出情况</w:t>
      </w:r>
    </w:p>
    <w:p w14:paraId="0C2E3499">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区工商联2023年财政预算支出166.7万元，较2022财政预算支出178.58万元减少11.88万元，主要原因是人员减少。区工商联2023年财政决算支出166.7万元，完成预算100%。</w:t>
      </w:r>
    </w:p>
    <w:p w14:paraId="744A3F1B">
      <w:pPr>
        <w:spacing w:line="576" w:lineRule="exact"/>
        <w:ind w:firstLine="641" w:firstLineChars="200"/>
        <w:jc w:val="both"/>
        <w:outlineLvl w:val="1"/>
        <w:rPr>
          <w:rFonts w:eastAsia="仿宋_GB2312"/>
          <w:sz w:val="32"/>
          <w:szCs w:val="32"/>
        </w:rPr>
      </w:pPr>
      <w:bookmarkStart w:id="18" w:name="_Toc178326875"/>
      <w:r>
        <w:rPr>
          <w:rFonts w:eastAsia="仿宋_GB2312"/>
          <w:b/>
          <w:bCs/>
          <w:sz w:val="32"/>
          <w:szCs w:val="32"/>
        </w:rPr>
        <w:t>三、部门整体预算绩效管理情况</w:t>
      </w:r>
      <w:bookmarkEnd w:id="18"/>
    </w:p>
    <w:p w14:paraId="2C175DBF">
      <w:pPr>
        <w:spacing w:line="576" w:lineRule="exact"/>
        <w:ind w:firstLine="640" w:firstLineChars="200"/>
        <w:jc w:val="both"/>
        <w:rPr>
          <w:rFonts w:eastAsia="仿宋_GB2312"/>
          <w:sz w:val="32"/>
          <w:szCs w:val="32"/>
        </w:rPr>
      </w:pPr>
      <w:r>
        <w:rPr>
          <w:rFonts w:eastAsia="仿宋_GB2312"/>
          <w:sz w:val="32"/>
          <w:szCs w:val="32"/>
        </w:rPr>
        <w:t>(一)部门预算项目绩效管理</w:t>
      </w:r>
    </w:p>
    <w:p w14:paraId="37330524">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1.目标制定：区工商联根据单位实际情况制定年初部门预算绩效目标，目标编制指向明确，符合区工商联部门职能，目标包括产出和要达到的效果，要素完整，绩效指标细化绩效目标纳入了集体决策。</w:t>
      </w:r>
    </w:p>
    <w:p w14:paraId="2EB9C387">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2.目标实现：其中人员类：数量指标：按月保障在职人员工资保险，质量指标：人员工资发放率等于100%,成本指标：工资保险及公用经费等于99.7万元，时效指标：人员工资保险等发放缴纳时间等于1年；其他运转类：数量指标：外出招商5次，召开企业家座谈会12次，召开企业联席会议6次，专题培训2次。质量指标：及时解决企业经营管</w:t>
      </w:r>
      <w:r>
        <w:rPr>
          <w:rFonts w:hint="eastAsia" w:ascii="Times New Roman" w:cs="Times New Roman"/>
          <w:sz w:val="32"/>
          <w:szCs w:val="32"/>
        </w:rPr>
        <w:t>理</w:t>
      </w:r>
      <w:r>
        <w:rPr>
          <w:rFonts w:ascii="Times New Roman" w:cs="Times New Roman"/>
          <w:sz w:val="32"/>
          <w:szCs w:val="32"/>
        </w:rPr>
        <w:t>存在的问题、树立企业发展信心；提供优质招商信息，全面完成当年招商任务。成本指标：完成招商、企业家座谈会、企业家联系、驻外商会所用经费等于67万元，时效指标：解决企业发展存在的问题、完成招商任务的时间课题结项、招商企业落地的时间均在12月之前完成。</w:t>
      </w:r>
    </w:p>
    <w:p w14:paraId="2C889E60">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3.支出控制：部门预算日常公用经费、其他运转类中“办公费、印刷费、水费、电费”等科目预算数与决算数无偏差。本部门在开展绩效运行监控后，将绩效监控结果应用到预算调整中。部门预算执行进度在6、9、11月达到序时进度的80%、90%、90%,即实际支出进度达到40%、67.5%、82.5%。6、9、11月部门预算执行进度达到量化指标。本部门预算项目年终12月预算执行进度达到100%。部门预算项目资金无结余。依据评价年度审计监督、财政检查结果，本单位预算管理方面无违纪违规问题。</w:t>
      </w:r>
    </w:p>
    <w:p w14:paraId="37E6055A">
      <w:pPr>
        <w:spacing w:line="576" w:lineRule="exact"/>
        <w:ind w:firstLine="640" w:firstLineChars="200"/>
        <w:jc w:val="both"/>
        <w:rPr>
          <w:rFonts w:eastAsia="仿宋_GB2312"/>
          <w:sz w:val="32"/>
          <w:szCs w:val="32"/>
        </w:rPr>
      </w:pPr>
      <w:r>
        <w:rPr>
          <w:rFonts w:eastAsia="仿宋_GB2312"/>
          <w:sz w:val="32"/>
          <w:szCs w:val="32"/>
        </w:rPr>
        <w:t>(二)结果应用公开情况</w:t>
      </w:r>
    </w:p>
    <w:p w14:paraId="7257B11B">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我联严格执行预决算公开制度，年初预算和年终决算均按照法定要求，在昭化区门户网站上进行了公开，以接受广大人民群众的监督。在内部应用方面，将单位绩效自评纳入考核体系，建立单位预算与绩效挂钩机制。按要求将相关绩效信息随同决算一起公开。本部门针对绩效管理过程中(包括绩效目标核查、绩效监控核查、重点自评抽查和重点绩效评价)提出的问题进行整改并完善政策、改进管理。在结果应用反馈方面，本部门在规定时间内向财政局反馈应用绩效结果报告。</w:t>
      </w:r>
    </w:p>
    <w:p w14:paraId="6E8C3B81">
      <w:pPr>
        <w:spacing w:line="576" w:lineRule="exact"/>
        <w:ind w:firstLine="640" w:firstLineChars="200"/>
        <w:jc w:val="both"/>
        <w:rPr>
          <w:rFonts w:eastAsia="仿宋_GB2312"/>
          <w:sz w:val="32"/>
          <w:szCs w:val="32"/>
        </w:rPr>
      </w:pPr>
      <w:r>
        <w:rPr>
          <w:rFonts w:eastAsia="仿宋_GB2312"/>
          <w:sz w:val="32"/>
          <w:szCs w:val="32"/>
        </w:rPr>
        <w:t>(三)自评质量</w:t>
      </w:r>
    </w:p>
    <w:p w14:paraId="1F5C05AE">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2023年区工商联财</w:t>
      </w:r>
      <w:r>
        <w:rPr>
          <w:rFonts w:hint="eastAsia" w:ascii="Times New Roman" w:cs="Times New Roman"/>
          <w:sz w:val="32"/>
          <w:szCs w:val="32"/>
        </w:rPr>
        <w:t>政</w:t>
      </w:r>
      <w:r>
        <w:rPr>
          <w:rFonts w:ascii="Times New Roman" w:cs="Times New Roman"/>
          <w:sz w:val="32"/>
          <w:szCs w:val="32"/>
        </w:rPr>
        <w:t>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2023年基本完成，在保障机关运转、履行职能职责上整体情况良好。</w:t>
      </w:r>
    </w:p>
    <w:p w14:paraId="06D6B3DF">
      <w:pPr>
        <w:spacing w:line="576" w:lineRule="exact"/>
        <w:ind w:firstLine="641" w:firstLineChars="200"/>
        <w:jc w:val="both"/>
        <w:outlineLvl w:val="1"/>
        <w:rPr>
          <w:rFonts w:eastAsia="仿宋_GB2312"/>
          <w:sz w:val="32"/>
          <w:szCs w:val="32"/>
        </w:rPr>
      </w:pPr>
      <w:bookmarkStart w:id="19" w:name="_Toc178326876"/>
      <w:r>
        <w:rPr>
          <w:rFonts w:eastAsia="仿宋_GB2312"/>
          <w:b/>
          <w:bCs/>
          <w:sz w:val="32"/>
          <w:szCs w:val="32"/>
        </w:rPr>
        <w:t>四、评价结论及建议</w:t>
      </w:r>
      <w:bookmarkEnd w:id="19"/>
    </w:p>
    <w:p w14:paraId="0078F732">
      <w:pPr>
        <w:spacing w:line="576" w:lineRule="exact"/>
        <w:ind w:firstLine="640" w:firstLineChars="200"/>
        <w:jc w:val="both"/>
        <w:rPr>
          <w:rFonts w:eastAsia="仿宋_GB2312"/>
          <w:sz w:val="32"/>
          <w:szCs w:val="32"/>
        </w:rPr>
      </w:pPr>
      <w:r>
        <w:rPr>
          <w:rFonts w:eastAsia="仿宋_GB2312"/>
          <w:sz w:val="32"/>
          <w:szCs w:val="32"/>
        </w:rPr>
        <w:t>(一)自评结论</w:t>
      </w:r>
    </w:p>
    <w:p w14:paraId="6BF3601E">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区工商联在项目实施过程中，建立健全相关制度、机制，并严格执行，推进干部培训等工作。项目资金管理实行专项管理，严格执行资金审批制度制度，真正做到了专款专用，确保项目资金有效利用。总体来说项目审核严格，管理到位，完成及时，社会评价良好，自评得分为92分。</w:t>
      </w:r>
    </w:p>
    <w:p w14:paraId="78B5688D">
      <w:pPr>
        <w:spacing w:line="576" w:lineRule="exact"/>
        <w:ind w:firstLine="640" w:firstLineChars="200"/>
        <w:jc w:val="both"/>
        <w:rPr>
          <w:rFonts w:eastAsia="仿宋_GB2312"/>
          <w:sz w:val="32"/>
          <w:szCs w:val="32"/>
        </w:rPr>
      </w:pPr>
      <w:r>
        <w:rPr>
          <w:rFonts w:eastAsia="仿宋_GB2312"/>
          <w:sz w:val="32"/>
          <w:szCs w:val="32"/>
        </w:rPr>
        <w:t>(二)存在问题</w:t>
      </w:r>
    </w:p>
    <w:p w14:paraId="1C153A0D">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单位内控和绩效目标意识有待继续提升。</w:t>
      </w:r>
    </w:p>
    <w:p w14:paraId="7245CD8C">
      <w:pPr>
        <w:spacing w:line="576" w:lineRule="exact"/>
        <w:ind w:firstLine="640" w:firstLineChars="200"/>
        <w:jc w:val="both"/>
        <w:rPr>
          <w:rFonts w:eastAsia="仿宋_GB2312"/>
          <w:sz w:val="32"/>
          <w:szCs w:val="32"/>
        </w:rPr>
      </w:pPr>
      <w:r>
        <w:rPr>
          <w:rFonts w:eastAsia="仿宋_GB2312"/>
          <w:sz w:val="32"/>
          <w:szCs w:val="32"/>
        </w:rPr>
        <w:t>(三)改进建议</w:t>
      </w:r>
    </w:p>
    <w:p w14:paraId="64D40F70">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严格按《行政单位财务规则》和《行政单位会计制度》的规定准确核算财务收支、编制财务报表，同时加强资产管理，定期和不定期盘点资产，以保证资产账实相符、账表相符。同时按照财政支出绩效管理的要求，建立科学的财政资金效益考评制度体系，不断提高财政资金使用管理的水平和效率。</w:t>
      </w:r>
    </w:p>
    <w:p w14:paraId="77ADF467">
      <w:pPr>
        <w:spacing w:line="576" w:lineRule="exact"/>
        <w:ind w:firstLine="640" w:firstLineChars="200"/>
        <w:jc w:val="both"/>
        <w:rPr>
          <w:rFonts w:eastAsia="仿宋_GB2312"/>
          <w:sz w:val="32"/>
          <w:szCs w:val="32"/>
        </w:rPr>
      </w:pPr>
    </w:p>
    <w:p w14:paraId="2B6F9BC2">
      <w:pPr>
        <w:pStyle w:val="3"/>
        <w:spacing w:beforeLines="0" w:line="576" w:lineRule="exact"/>
        <w:ind w:firstLine="640" w:firstLineChars="200"/>
        <w:jc w:val="both"/>
        <w:rPr>
          <w:rFonts w:ascii="Times New Roman" w:cs="Times New Roman"/>
          <w:sz w:val="32"/>
          <w:szCs w:val="32"/>
        </w:rPr>
      </w:pPr>
      <w:r>
        <w:rPr>
          <w:rFonts w:ascii="Times New Roman" w:cs="Times New Roman"/>
          <w:sz w:val="32"/>
          <w:szCs w:val="32"/>
        </w:rPr>
        <w:t>附件：1.广元市昭化区部门整体支出绩效目标自评表</w:t>
      </w:r>
    </w:p>
    <w:p w14:paraId="378ADB75">
      <w:pPr>
        <w:pStyle w:val="3"/>
        <w:spacing w:beforeLines="0" w:line="576" w:lineRule="exact"/>
        <w:ind w:firstLine="1600" w:firstLineChars="500"/>
        <w:jc w:val="both"/>
        <w:rPr>
          <w:rFonts w:ascii="Times New Roman" w:cs="Times New Roman"/>
          <w:sz w:val="32"/>
          <w:szCs w:val="32"/>
        </w:rPr>
      </w:pPr>
      <w:r>
        <w:rPr>
          <w:rFonts w:ascii="Times New Roman" w:cs="Times New Roman"/>
          <w:sz w:val="32"/>
          <w:szCs w:val="32"/>
        </w:rPr>
        <w:t>2.广元市昭化区部门整体支出绩效目标自评打分表</w:t>
      </w:r>
    </w:p>
    <w:p w14:paraId="06443523">
      <w:pPr>
        <w:spacing w:line="576" w:lineRule="exact"/>
        <w:rPr>
          <w:rFonts w:eastAsia="仿宋_GB2312"/>
          <w:sz w:val="32"/>
          <w:szCs w:val="32"/>
        </w:rPr>
      </w:pPr>
    </w:p>
    <w:p w14:paraId="0F73F337">
      <w:pPr>
        <w:spacing w:line="576" w:lineRule="exact"/>
        <w:rPr>
          <w:rFonts w:eastAsia="仿宋_GB2312"/>
          <w:sz w:val="32"/>
          <w:szCs w:val="32"/>
        </w:rPr>
      </w:pPr>
    </w:p>
    <w:p w14:paraId="5B4EAE1B">
      <w:pPr>
        <w:pStyle w:val="3"/>
        <w:spacing w:before="72" w:line="576" w:lineRule="exact"/>
        <w:ind w:firstLine="4534" w:firstLineChars="1417"/>
        <w:jc w:val="center"/>
        <w:rPr>
          <w:rFonts w:ascii="Times New Roman" w:cs="Times New Roman"/>
          <w:sz w:val="32"/>
          <w:szCs w:val="32"/>
        </w:rPr>
      </w:pPr>
      <w:r>
        <w:rPr>
          <w:rFonts w:ascii="Times New Roman" w:cs="Times New Roman"/>
          <w:sz w:val="32"/>
          <w:szCs w:val="32"/>
        </w:rPr>
        <w:t>广元市昭化区工商业联合会</w:t>
      </w:r>
    </w:p>
    <w:p w14:paraId="3F51BA98">
      <w:pPr>
        <w:spacing w:line="576" w:lineRule="exact"/>
        <w:ind w:firstLine="4534" w:firstLineChars="1417"/>
        <w:jc w:val="center"/>
        <w:rPr>
          <w:rFonts w:eastAsia="仿宋_GB2312"/>
          <w:sz w:val="32"/>
          <w:szCs w:val="32"/>
        </w:rPr>
      </w:pPr>
      <w:r>
        <w:rPr>
          <w:rFonts w:eastAsia="仿宋_GB2312"/>
          <w:sz w:val="32"/>
          <w:szCs w:val="32"/>
        </w:rPr>
        <w:t>2024年4月19日</w:t>
      </w:r>
    </w:p>
    <w:p w14:paraId="05481E20">
      <w:pPr>
        <w:spacing w:line="576" w:lineRule="exact"/>
        <w:rPr>
          <w:rFonts w:eastAsia="仿宋_GB2312"/>
          <w:sz w:val="32"/>
          <w:szCs w:val="32"/>
        </w:rPr>
        <w:sectPr>
          <w:footerReference r:id="rId4" w:type="default"/>
          <w:pgSz w:w="11907" w:h="16840"/>
          <w:pgMar w:top="2098" w:right="1474" w:bottom="1985" w:left="1588" w:header="0" w:footer="1531" w:gutter="0"/>
          <w:cols w:space="720" w:num="1"/>
        </w:sectPr>
      </w:pPr>
    </w:p>
    <w:p w14:paraId="73B9BA25">
      <w:pPr>
        <w:spacing w:line="576" w:lineRule="exact"/>
        <w:rPr>
          <w:rFonts w:eastAsia="黑体"/>
          <w:sz w:val="32"/>
          <w:szCs w:val="32"/>
        </w:rPr>
      </w:pPr>
      <w:r>
        <w:rPr>
          <w:rFonts w:hAnsi="黑体" w:eastAsia="黑体"/>
          <w:bCs/>
          <w:sz w:val="32"/>
          <w:szCs w:val="32"/>
        </w:rPr>
        <w:t>附件</w:t>
      </w:r>
      <w:r>
        <w:rPr>
          <w:rFonts w:eastAsia="黑体"/>
          <w:bCs/>
          <w:sz w:val="32"/>
          <w:szCs w:val="32"/>
        </w:rPr>
        <w:t>1</w:t>
      </w:r>
    </w:p>
    <w:p w14:paraId="257FB865">
      <w:pPr>
        <w:spacing w:line="576" w:lineRule="exact"/>
        <w:jc w:val="center"/>
        <w:rPr>
          <w:rFonts w:eastAsia="黑体"/>
          <w:sz w:val="32"/>
          <w:szCs w:val="32"/>
        </w:rPr>
      </w:pPr>
      <w:r>
        <w:rPr>
          <w:rFonts w:hAnsi="黑体" w:eastAsia="黑体"/>
          <w:b/>
          <w:bCs/>
          <w:sz w:val="32"/>
          <w:szCs w:val="32"/>
        </w:rPr>
        <w:t>广元市昭化区部门整体支出绩效目标自评表</w:t>
      </w:r>
    </w:p>
    <w:p w14:paraId="6C199F59">
      <w:pPr>
        <w:pStyle w:val="3"/>
        <w:spacing w:before="72" w:line="576" w:lineRule="exact"/>
        <w:jc w:val="center"/>
        <w:rPr>
          <w:rFonts w:ascii="Times New Roman" w:cs="Times New Roman"/>
          <w:sz w:val="32"/>
          <w:szCs w:val="32"/>
        </w:rPr>
      </w:pPr>
      <w:r>
        <w:rPr>
          <w:rFonts w:ascii="Times New Roman" w:cs="Times New Roman"/>
          <w:sz w:val="32"/>
          <w:szCs w:val="32"/>
        </w:rPr>
        <w:t>(2023年度)</w:t>
      </w:r>
    </w:p>
    <w:tbl>
      <w:tblPr>
        <w:tblStyle w:val="6"/>
        <w:tblW w:w="8874"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629"/>
        <w:gridCol w:w="1119"/>
        <w:gridCol w:w="1089"/>
        <w:gridCol w:w="1089"/>
        <w:gridCol w:w="1388"/>
        <w:gridCol w:w="1388"/>
        <w:gridCol w:w="1438"/>
      </w:tblGrid>
      <w:tr w14:paraId="6FEB4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363" w:type="dxa"/>
            <w:gridSpan w:val="2"/>
            <w:vAlign w:val="center"/>
          </w:tcPr>
          <w:p w14:paraId="18CDD1D1">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主管部门</w:t>
            </w:r>
          </w:p>
        </w:tc>
        <w:tc>
          <w:tcPr>
            <w:tcW w:w="3297" w:type="dxa"/>
            <w:gridSpan w:val="3"/>
            <w:vAlign w:val="center"/>
          </w:tcPr>
          <w:p w14:paraId="2BFFD4AC">
            <w:pPr>
              <w:pStyle w:val="33"/>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广元市昭化区工商业联合会</w:t>
            </w:r>
          </w:p>
        </w:tc>
        <w:tc>
          <w:tcPr>
            <w:tcW w:w="1388" w:type="dxa"/>
            <w:vAlign w:val="center"/>
          </w:tcPr>
          <w:p w14:paraId="4450F61C">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实施单位</w:t>
            </w:r>
          </w:p>
        </w:tc>
        <w:tc>
          <w:tcPr>
            <w:tcW w:w="2826" w:type="dxa"/>
            <w:gridSpan w:val="2"/>
            <w:vAlign w:val="center"/>
          </w:tcPr>
          <w:p w14:paraId="425483CF">
            <w:pPr>
              <w:pStyle w:val="33"/>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广元市昭化区工商业联合会</w:t>
            </w:r>
          </w:p>
        </w:tc>
      </w:tr>
      <w:tr w14:paraId="24E27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63" w:type="dxa"/>
            <w:gridSpan w:val="2"/>
            <w:vMerge w:val="restart"/>
            <w:tcBorders>
              <w:bottom w:val="nil"/>
            </w:tcBorders>
            <w:vAlign w:val="center"/>
          </w:tcPr>
          <w:p w14:paraId="2610DA4A">
            <w:pPr>
              <w:pStyle w:val="33"/>
              <w:ind w:hanging="89"/>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项目</w:t>
            </w:r>
            <w:r>
              <w:rPr>
                <w:rFonts w:ascii="Times New Roman" w:hAnsi="Times New Roman" w:cs="Times New Roman" w:eastAsiaTheme="majorEastAsia"/>
                <w:sz w:val="16"/>
                <w:szCs w:val="16"/>
              </w:rPr>
              <w:t>(</w:t>
            </w:r>
            <w:r>
              <w:rPr>
                <w:rFonts w:ascii="Times New Roman" w:cs="Times New Roman" w:hAnsiTheme="majorEastAsia" w:eastAsiaTheme="majorEastAsia"/>
                <w:sz w:val="16"/>
                <w:szCs w:val="16"/>
              </w:rPr>
              <w:t>政策</w:t>
            </w:r>
            <w:r>
              <w:rPr>
                <w:rFonts w:ascii="Times New Roman" w:hAnsi="Times New Roman" w:cs="Times New Roman" w:eastAsiaTheme="majorEastAsia"/>
                <w:sz w:val="16"/>
                <w:szCs w:val="16"/>
              </w:rPr>
              <w:t>)</w:t>
            </w:r>
            <w:r>
              <w:rPr>
                <w:rFonts w:ascii="Times New Roman" w:cs="Times New Roman" w:hAnsiTheme="majorEastAsia" w:eastAsiaTheme="majorEastAsia"/>
                <w:sz w:val="16"/>
                <w:szCs w:val="16"/>
              </w:rPr>
              <w:t>资</w:t>
            </w:r>
            <w:r>
              <w:rPr>
                <w:rFonts w:ascii="Times New Roman" w:hAnsi="Times New Roman" w:cs="Times New Roman" w:eastAsiaTheme="majorEastAsia"/>
                <w:sz w:val="16"/>
                <w:szCs w:val="16"/>
              </w:rPr>
              <w:t xml:space="preserve"> </w:t>
            </w:r>
            <w:r>
              <w:rPr>
                <w:rFonts w:ascii="Times New Roman" w:cs="Times New Roman" w:hAnsiTheme="majorEastAsia" w:eastAsiaTheme="majorEastAsia"/>
                <w:sz w:val="16"/>
                <w:szCs w:val="16"/>
              </w:rPr>
              <w:t>金</w:t>
            </w:r>
            <w:r>
              <w:rPr>
                <w:rFonts w:ascii="Times New Roman" w:hAnsi="Times New Roman" w:cs="Times New Roman" w:eastAsiaTheme="majorEastAsia"/>
                <w:sz w:val="16"/>
                <w:szCs w:val="16"/>
              </w:rPr>
              <w:t xml:space="preserve"> ( </w:t>
            </w:r>
            <w:r>
              <w:rPr>
                <w:rFonts w:ascii="Times New Roman" w:cs="Times New Roman" w:hAnsiTheme="majorEastAsia" w:eastAsiaTheme="majorEastAsia"/>
                <w:sz w:val="16"/>
                <w:szCs w:val="16"/>
              </w:rPr>
              <w:t>万</w:t>
            </w:r>
            <w:r>
              <w:rPr>
                <w:rFonts w:ascii="Times New Roman" w:hAnsi="Times New Roman" w:cs="Times New Roman" w:eastAsiaTheme="majorEastAsia"/>
                <w:sz w:val="16"/>
                <w:szCs w:val="16"/>
              </w:rPr>
              <w:t xml:space="preserve"> </w:t>
            </w:r>
            <w:r>
              <w:rPr>
                <w:rFonts w:ascii="Times New Roman" w:cs="Times New Roman" w:hAnsiTheme="majorEastAsia" w:eastAsiaTheme="majorEastAsia"/>
                <w:sz w:val="16"/>
                <w:szCs w:val="16"/>
              </w:rPr>
              <w:t>元</w:t>
            </w:r>
            <w:r>
              <w:rPr>
                <w:rFonts w:ascii="Times New Roman" w:hAnsi="Times New Roman" w:cs="Times New Roman" w:eastAsiaTheme="majorEastAsia"/>
                <w:sz w:val="16"/>
                <w:szCs w:val="16"/>
              </w:rPr>
              <w:t xml:space="preserve"> )</w:t>
            </w:r>
          </w:p>
        </w:tc>
        <w:tc>
          <w:tcPr>
            <w:tcW w:w="2208" w:type="dxa"/>
            <w:gridSpan w:val="2"/>
            <w:vAlign w:val="center"/>
          </w:tcPr>
          <w:p w14:paraId="0B51CC35">
            <w:pPr>
              <w:jc w:val="center"/>
              <w:rPr>
                <w:rFonts w:eastAsiaTheme="majorEastAsia"/>
                <w:sz w:val="16"/>
                <w:szCs w:val="16"/>
              </w:rPr>
            </w:pPr>
          </w:p>
        </w:tc>
        <w:tc>
          <w:tcPr>
            <w:tcW w:w="1089" w:type="dxa"/>
            <w:vAlign w:val="center"/>
          </w:tcPr>
          <w:p w14:paraId="574C8D89">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年初预算数</w:t>
            </w:r>
          </w:p>
        </w:tc>
        <w:tc>
          <w:tcPr>
            <w:tcW w:w="1388" w:type="dxa"/>
            <w:vAlign w:val="center"/>
          </w:tcPr>
          <w:p w14:paraId="43960CE4">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全年预算数</w:t>
            </w:r>
          </w:p>
        </w:tc>
        <w:tc>
          <w:tcPr>
            <w:tcW w:w="1388" w:type="dxa"/>
            <w:vAlign w:val="center"/>
          </w:tcPr>
          <w:p w14:paraId="7F063EC3">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全年执行数</w:t>
            </w:r>
          </w:p>
        </w:tc>
        <w:tc>
          <w:tcPr>
            <w:tcW w:w="1438" w:type="dxa"/>
            <w:vAlign w:val="center"/>
          </w:tcPr>
          <w:p w14:paraId="08AB3269">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执行率</w:t>
            </w:r>
            <w:r>
              <w:rPr>
                <w:rFonts w:ascii="Times New Roman" w:hAnsi="Times New Roman" w:cs="Times New Roman" w:eastAsiaTheme="majorEastAsia"/>
                <w:sz w:val="16"/>
                <w:szCs w:val="16"/>
              </w:rPr>
              <w:t>(%)</w:t>
            </w:r>
          </w:p>
        </w:tc>
      </w:tr>
      <w:tr w14:paraId="75445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63" w:type="dxa"/>
            <w:gridSpan w:val="2"/>
            <w:vMerge w:val="continue"/>
            <w:tcBorders>
              <w:top w:val="nil"/>
              <w:bottom w:val="nil"/>
            </w:tcBorders>
            <w:vAlign w:val="center"/>
          </w:tcPr>
          <w:p w14:paraId="13EE192B">
            <w:pPr>
              <w:jc w:val="center"/>
              <w:rPr>
                <w:rFonts w:eastAsiaTheme="majorEastAsia"/>
                <w:sz w:val="16"/>
                <w:szCs w:val="16"/>
              </w:rPr>
            </w:pPr>
          </w:p>
        </w:tc>
        <w:tc>
          <w:tcPr>
            <w:tcW w:w="2208" w:type="dxa"/>
            <w:gridSpan w:val="2"/>
            <w:vAlign w:val="center"/>
          </w:tcPr>
          <w:p w14:paraId="552DDCC3">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年度资金总额</w:t>
            </w:r>
          </w:p>
        </w:tc>
        <w:tc>
          <w:tcPr>
            <w:tcW w:w="1089" w:type="dxa"/>
            <w:vAlign w:val="center"/>
          </w:tcPr>
          <w:p w14:paraId="5C23EE28">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166.7</w:t>
            </w:r>
            <w:r>
              <w:rPr>
                <w:rFonts w:ascii="Times New Roman" w:cs="Times New Roman" w:hAnsiTheme="majorEastAsia" w:eastAsiaTheme="majorEastAsia"/>
                <w:sz w:val="16"/>
                <w:szCs w:val="16"/>
              </w:rPr>
              <w:t>万元</w:t>
            </w:r>
          </w:p>
        </w:tc>
        <w:tc>
          <w:tcPr>
            <w:tcW w:w="1388" w:type="dxa"/>
            <w:vAlign w:val="center"/>
          </w:tcPr>
          <w:p w14:paraId="069E856D">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166.7</w:t>
            </w:r>
            <w:r>
              <w:rPr>
                <w:rFonts w:ascii="Times New Roman" w:cs="Times New Roman" w:hAnsiTheme="majorEastAsia" w:eastAsiaTheme="majorEastAsia"/>
                <w:sz w:val="16"/>
                <w:szCs w:val="16"/>
              </w:rPr>
              <w:t>万元</w:t>
            </w:r>
          </w:p>
        </w:tc>
        <w:tc>
          <w:tcPr>
            <w:tcW w:w="1388" w:type="dxa"/>
            <w:vAlign w:val="center"/>
          </w:tcPr>
          <w:p w14:paraId="4C666C4E">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166.7</w:t>
            </w:r>
            <w:r>
              <w:rPr>
                <w:rFonts w:ascii="Times New Roman" w:cs="Times New Roman" w:hAnsiTheme="majorEastAsia" w:eastAsiaTheme="majorEastAsia"/>
                <w:sz w:val="16"/>
                <w:szCs w:val="16"/>
              </w:rPr>
              <w:t>万元</w:t>
            </w:r>
          </w:p>
        </w:tc>
        <w:tc>
          <w:tcPr>
            <w:tcW w:w="1438" w:type="dxa"/>
            <w:vAlign w:val="center"/>
          </w:tcPr>
          <w:p w14:paraId="1001C2B7">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100%</w:t>
            </w:r>
          </w:p>
        </w:tc>
      </w:tr>
      <w:tr w14:paraId="3D0D4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363" w:type="dxa"/>
            <w:gridSpan w:val="2"/>
            <w:vMerge w:val="continue"/>
            <w:tcBorders>
              <w:top w:val="nil"/>
              <w:bottom w:val="nil"/>
            </w:tcBorders>
            <w:vAlign w:val="center"/>
          </w:tcPr>
          <w:p w14:paraId="0C095D42">
            <w:pPr>
              <w:jc w:val="center"/>
              <w:rPr>
                <w:rFonts w:eastAsiaTheme="majorEastAsia"/>
                <w:sz w:val="16"/>
                <w:szCs w:val="16"/>
              </w:rPr>
            </w:pPr>
          </w:p>
        </w:tc>
        <w:tc>
          <w:tcPr>
            <w:tcW w:w="2208" w:type="dxa"/>
            <w:gridSpan w:val="2"/>
            <w:vAlign w:val="center"/>
          </w:tcPr>
          <w:p w14:paraId="2BE541BB">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w:t>
            </w:r>
            <w:r>
              <w:rPr>
                <w:rFonts w:ascii="Times New Roman" w:cs="Times New Roman" w:hAnsiTheme="majorEastAsia" w:eastAsiaTheme="majorEastAsia"/>
                <w:sz w:val="16"/>
                <w:szCs w:val="16"/>
              </w:rPr>
              <w:t>一</w:t>
            </w:r>
            <w:r>
              <w:rPr>
                <w:rFonts w:ascii="Times New Roman" w:hAnsi="Times New Roman" w:cs="Times New Roman" w:eastAsiaTheme="majorEastAsia"/>
                <w:sz w:val="16"/>
                <w:szCs w:val="16"/>
              </w:rPr>
              <w:t>)</w:t>
            </w:r>
            <w:r>
              <w:rPr>
                <w:rFonts w:ascii="Times New Roman" w:cs="Times New Roman" w:hAnsiTheme="majorEastAsia" w:eastAsiaTheme="majorEastAsia"/>
                <w:sz w:val="16"/>
                <w:szCs w:val="16"/>
              </w:rPr>
              <w:t>财政拨款小计</w:t>
            </w:r>
          </w:p>
        </w:tc>
        <w:tc>
          <w:tcPr>
            <w:tcW w:w="1089" w:type="dxa"/>
            <w:vAlign w:val="center"/>
          </w:tcPr>
          <w:p w14:paraId="09CECE27">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166.7</w:t>
            </w:r>
            <w:r>
              <w:rPr>
                <w:rFonts w:ascii="Times New Roman" w:cs="Times New Roman" w:hAnsiTheme="majorEastAsia" w:eastAsiaTheme="majorEastAsia"/>
                <w:sz w:val="16"/>
                <w:szCs w:val="16"/>
              </w:rPr>
              <w:t>万元</w:t>
            </w:r>
          </w:p>
        </w:tc>
        <w:tc>
          <w:tcPr>
            <w:tcW w:w="1388" w:type="dxa"/>
            <w:vAlign w:val="center"/>
          </w:tcPr>
          <w:p w14:paraId="5FCC3BFD">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166.7</w:t>
            </w:r>
            <w:r>
              <w:rPr>
                <w:rFonts w:ascii="Times New Roman" w:cs="Times New Roman" w:hAnsiTheme="majorEastAsia" w:eastAsiaTheme="majorEastAsia"/>
                <w:sz w:val="16"/>
                <w:szCs w:val="16"/>
              </w:rPr>
              <w:t>万元</w:t>
            </w:r>
          </w:p>
        </w:tc>
        <w:tc>
          <w:tcPr>
            <w:tcW w:w="1388" w:type="dxa"/>
            <w:vAlign w:val="center"/>
          </w:tcPr>
          <w:p w14:paraId="1B114DF8">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166.7</w:t>
            </w:r>
            <w:r>
              <w:rPr>
                <w:rFonts w:ascii="Times New Roman" w:cs="Times New Roman" w:hAnsiTheme="majorEastAsia" w:eastAsiaTheme="majorEastAsia"/>
                <w:sz w:val="16"/>
                <w:szCs w:val="16"/>
              </w:rPr>
              <w:t>万元</w:t>
            </w:r>
          </w:p>
        </w:tc>
        <w:tc>
          <w:tcPr>
            <w:tcW w:w="1438" w:type="dxa"/>
            <w:vAlign w:val="center"/>
          </w:tcPr>
          <w:p w14:paraId="6BD58DC8">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100%</w:t>
            </w:r>
          </w:p>
        </w:tc>
      </w:tr>
      <w:tr w14:paraId="27F0A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63" w:type="dxa"/>
            <w:gridSpan w:val="2"/>
            <w:vMerge w:val="continue"/>
            <w:tcBorders>
              <w:top w:val="nil"/>
              <w:bottom w:val="nil"/>
            </w:tcBorders>
            <w:vAlign w:val="center"/>
          </w:tcPr>
          <w:p w14:paraId="382D49FE">
            <w:pPr>
              <w:jc w:val="center"/>
              <w:rPr>
                <w:rFonts w:eastAsiaTheme="majorEastAsia"/>
                <w:sz w:val="16"/>
                <w:szCs w:val="16"/>
              </w:rPr>
            </w:pPr>
          </w:p>
        </w:tc>
        <w:tc>
          <w:tcPr>
            <w:tcW w:w="2208" w:type="dxa"/>
            <w:gridSpan w:val="2"/>
            <w:vAlign w:val="center"/>
          </w:tcPr>
          <w:p w14:paraId="7701328F">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w:t>
            </w:r>
            <w:r>
              <w:rPr>
                <w:rFonts w:ascii="Times New Roman" w:cs="Times New Roman" w:hAnsiTheme="majorEastAsia" w:eastAsiaTheme="majorEastAsia"/>
                <w:sz w:val="16"/>
                <w:szCs w:val="16"/>
              </w:rPr>
              <w:t>一般公共预算</w:t>
            </w:r>
          </w:p>
        </w:tc>
        <w:tc>
          <w:tcPr>
            <w:tcW w:w="1089" w:type="dxa"/>
            <w:vAlign w:val="center"/>
          </w:tcPr>
          <w:p w14:paraId="195E2161">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166.7</w:t>
            </w:r>
            <w:r>
              <w:rPr>
                <w:rFonts w:ascii="Times New Roman" w:cs="Times New Roman" w:hAnsiTheme="majorEastAsia" w:eastAsiaTheme="majorEastAsia"/>
                <w:sz w:val="16"/>
                <w:szCs w:val="16"/>
              </w:rPr>
              <w:t>万元</w:t>
            </w:r>
          </w:p>
        </w:tc>
        <w:tc>
          <w:tcPr>
            <w:tcW w:w="1388" w:type="dxa"/>
            <w:vAlign w:val="center"/>
          </w:tcPr>
          <w:p w14:paraId="61466C22">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166.7</w:t>
            </w:r>
            <w:r>
              <w:rPr>
                <w:rFonts w:ascii="Times New Roman" w:cs="Times New Roman" w:hAnsiTheme="majorEastAsia" w:eastAsiaTheme="majorEastAsia"/>
                <w:sz w:val="16"/>
                <w:szCs w:val="16"/>
              </w:rPr>
              <w:t>万元</w:t>
            </w:r>
          </w:p>
        </w:tc>
        <w:tc>
          <w:tcPr>
            <w:tcW w:w="1388" w:type="dxa"/>
            <w:vAlign w:val="center"/>
          </w:tcPr>
          <w:p w14:paraId="541BDF23">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166.7</w:t>
            </w:r>
            <w:r>
              <w:rPr>
                <w:rFonts w:ascii="Times New Roman" w:cs="Times New Roman" w:hAnsiTheme="majorEastAsia" w:eastAsiaTheme="majorEastAsia"/>
                <w:sz w:val="16"/>
                <w:szCs w:val="16"/>
              </w:rPr>
              <w:t>万元</w:t>
            </w:r>
          </w:p>
        </w:tc>
        <w:tc>
          <w:tcPr>
            <w:tcW w:w="1438" w:type="dxa"/>
            <w:vAlign w:val="center"/>
          </w:tcPr>
          <w:p w14:paraId="7D639C19">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100%</w:t>
            </w:r>
          </w:p>
        </w:tc>
      </w:tr>
      <w:tr w14:paraId="5AE55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63" w:type="dxa"/>
            <w:gridSpan w:val="2"/>
            <w:vMerge w:val="continue"/>
            <w:tcBorders>
              <w:top w:val="nil"/>
              <w:bottom w:val="nil"/>
            </w:tcBorders>
            <w:vAlign w:val="center"/>
          </w:tcPr>
          <w:p w14:paraId="415FA03D">
            <w:pPr>
              <w:jc w:val="center"/>
              <w:rPr>
                <w:rFonts w:eastAsiaTheme="majorEastAsia"/>
                <w:sz w:val="16"/>
                <w:szCs w:val="16"/>
              </w:rPr>
            </w:pPr>
          </w:p>
        </w:tc>
        <w:tc>
          <w:tcPr>
            <w:tcW w:w="2208" w:type="dxa"/>
            <w:gridSpan w:val="2"/>
            <w:vAlign w:val="center"/>
          </w:tcPr>
          <w:p w14:paraId="7EA1B5A5">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2.</w:t>
            </w:r>
            <w:r>
              <w:rPr>
                <w:rFonts w:ascii="Times New Roman" w:cs="Times New Roman" w:hAnsiTheme="majorEastAsia" w:eastAsiaTheme="majorEastAsia"/>
                <w:sz w:val="16"/>
                <w:szCs w:val="16"/>
              </w:rPr>
              <w:t>政府性基金</w:t>
            </w:r>
          </w:p>
        </w:tc>
        <w:tc>
          <w:tcPr>
            <w:tcW w:w="1089" w:type="dxa"/>
            <w:vAlign w:val="center"/>
          </w:tcPr>
          <w:p w14:paraId="73C66B27">
            <w:pPr>
              <w:jc w:val="center"/>
              <w:rPr>
                <w:rFonts w:eastAsiaTheme="majorEastAsia"/>
                <w:sz w:val="16"/>
                <w:szCs w:val="16"/>
              </w:rPr>
            </w:pPr>
          </w:p>
        </w:tc>
        <w:tc>
          <w:tcPr>
            <w:tcW w:w="1388" w:type="dxa"/>
            <w:vAlign w:val="center"/>
          </w:tcPr>
          <w:p w14:paraId="3E99585D">
            <w:pPr>
              <w:jc w:val="center"/>
              <w:rPr>
                <w:rFonts w:eastAsiaTheme="majorEastAsia"/>
                <w:sz w:val="16"/>
                <w:szCs w:val="16"/>
              </w:rPr>
            </w:pPr>
          </w:p>
        </w:tc>
        <w:tc>
          <w:tcPr>
            <w:tcW w:w="1388" w:type="dxa"/>
            <w:vAlign w:val="center"/>
          </w:tcPr>
          <w:p w14:paraId="2D00750C">
            <w:pPr>
              <w:jc w:val="center"/>
              <w:rPr>
                <w:rFonts w:eastAsiaTheme="majorEastAsia"/>
                <w:sz w:val="16"/>
                <w:szCs w:val="16"/>
              </w:rPr>
            </w:pPr>
          </w:p>
        </w:tc>
        <w:tc>
          <w:tcPr>
            <w:tcW w:w="1438" w:type="dxa"/>
            <w:vAlign w:val="center"/>
          </w:tcPr>
          <w:p w14:paraId="72548293">
            <w:pPr>
              <w:jc w:val="center"/>
              <w:rPr>
                <w:rFonts w:eastAsiaTheme="majorEastAsia"/>
                <w:sz w:val="16"/>
                <w:szCs w:val="16"/>
              </w:rPr>
            </w:pPr>
          </w:p>
        </w:tc>
      </w:tr>
      <w:tr w14:paraId="140AC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363" w:type="dxa"/>
            <w:gridSpan w:val="2"/>
            <w:vMerge w:val="continue"/>
            <w:tcBorders>
              <w:top w:val="nil"/>
              <w:bottom w:val="nil"/>
            </w:tcBorders>
            <w:vAlign w:val="center"/>
          </w:tcPr>
          <w:p w14:paraId="62B8D619">
            <w:pPr>
              <w:jc w:val="center"/>
              <w:rPr>
                <w:rFonts w:eastAsiaTheme="majorEastAsia"/>
                <w:sz w:val="16"/>
                <w:szCs w:val="16"/>
              </w:rPr>
            </w:pPr>
          </w:p>
        </w:tc>
        <w:tc>
          <w:tcPr>
            <w:tcW w:w="2208" w:type="dxa"/>
            <w:gridSpan w:val="2"/>
            <w:vAlign w:val="center"/>
          </w:tcPr>
          <w:p w14:paraId="195C864A">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3.</w:t>
            </w:r>
            <w:r>
              <w:rPr>
                <w:rFonts w:ascii="Times New Roman" w:cs="Times New Roman" w:hAnsiTheme="majorEastAsia" w:eastAsiaTheme="majorEastAsia"/>
                <w:sz w:val="16"/>
                <w:szCs w:val="16"/>
              </w:rPr>
              <w:t>国有资本经营预算</w:t>
            </w:r>
          </w:p>
        </w:tc>
        <w:tc>
          <w:tcPr>
            <w:tcW w:w="1089" w:type="dxa"/>
            <w:vAlign w:val="center"/>
          </w:tcPr>
          <w:p w14:paraId="14A1055A">
            <w:pPr>
              <w:jc w:val="center"/>
              <w:rPr>
                <w:rFonts w:eastAsiaTheme="majorEastAsia"/>
                <w:sz w:val="16"/>
                <w:szCs w:val="16"/>
              </w:rPr>
            </w:pPr>
          </w:p>
        </w:tc>
        <w:tc>
          <w:tcPr>
            <w:tcW w:w="1388" w:type="dxa"/>
            <w:vAlign w:val="center"/>
          </w:tcPr>
          <w:p w14:paraId="26EC56C0">
            <w:pPr>
              <w:jc w:val="center"/>
              <w:rPr>
                <w:rFonts w:eastAsiaTheme="majorEastAsia"/>
                <w:sz w:val="16"/>
                <w:szCs w:val="16"/>
              </w:rPr>
            </w:pPr>
          </w:p>
        </w:tc>
        <w:tc>
          <w:tcPr>
            <w:tcW w:w="1388" w:type="dxa"/>
            <w:vAlign w:val="center"/>
          </w:tcPr>
          <w:p w14:paraId="275A5785">
            <w:pPr>
              <w:jc w:val="center"/>
              <w:rPr>
                <w:rFonts w:eastAsiaTheme="majorEastAsia"/>
                <w:sz w:val="16"/>
                <w:szCs w:val="16"/>
              </w:rPr>
            </w:pPr>
          </w:p>
        </w:tc>
        <w:tc>
          <w:tcPr>
            <w:tcW w:w="1438" w:type="dxa"/>
            <w:vAlign w:val="center"/>
          </w:tcPr>
          <w:p w14:paraId="6E17A3A5">
            <w:pPr>
              <w:jc w:val="center"/>
              <w:rPr>
                <w:rFonts w:eastAsiaTheme="majorEastAsia"/>
                <w:sz w:val="16"/>
                <w:szCs w:val="16"/>
              </w:rPr>
            </w:pPr>
          </w:p>
        </w:tc>
      </w:tr>
      <w:tr w14:paraId="3EF66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63" w:type="dxa"/>
            <w:gridSpan w:val="2"/>
            <w:vMerge w:val="continue"/>
            <w:tcBorders>
              <w:top w:val="nil"/>
            </w:tcBorders>
            <w:vAlign w:val="center"/>
          </w:tcPr>
          <w:p w14:paraId="4178AE9B">
            <w:pPr>
              <w:jc w:val="center"/>
              <w:rPr>
                <w:rFonts w:eastAsiaTheme="majorEastAsia"/>
                <w:sz w:val="16"/>
                <w:szCs w:val="16"/>
              </w:rPr>
            </w:pPr>
          </w:p>
        </w:tc>
        <w:tc>
          <w:tcPr>
            <w:tcW w:w="2208" w:type="dxa"/>
            <w:gridSpan w:val="2"/>
            <w:vAlign w:val="center"/>
          </w:tcPr>
          <w:p w14:paraId="4F679781">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w:t>
            </w:r>
            <w:r>
              <w:rPr>
                <w:rFonts w:ascii="Times New Roman" w:cs="Times New Roman" w:hAnsiTheme="majorEastAsia" w:eastAsiaTheme="majorEastAsia"/>
                <w:sz w:val="16"/>
                <w:szCs w:val="16"/>
              </w:rPr>
              <w:t>二</w:t>
            </w:r>
            <w:r>
              <w:rPr>
                <w:rFonts w:ascii="Times New Roman" w:hAnsi="Times New Roman" w:cs="Times New Roman" w:eastAsiaTheme="majorEastAsia"/>
                <w:sz w:val="16"/>
                <w:szCs w:val="16"/>
              </w:rPr>
              <w:t>)</w:t>
            </w:r>
            <w:r>
              <w:rPr>
                <w:rFonts w:ascii="Times New Roman" w:cs="Times New Roman" w:hAnsiTheme="majorEastAsia" w:eastAsiaTheme="majorEastAsia"/>
                <w:sz w:val="16"/>
                <w:szCs w:val="16"/>
              </w:rPr>
              <w:t>其他资金</w:t>
            </w:r>
          </w:p>
        </w:tc>
        <w:tc>
          <w:tcPr>
            <w:tcW w:w="1089" w:type="dxa"/>
            <w:vAlign w:val="center"/>
          </w:tcPr>
          <w:p w14:paraId="6592A771">
            <w:pPr>
              <w:jc w:val="center"/>
              <w:rPr>
                <w:rFonts w:eastAsiaTheme="majorEastAsia"/>
                <w:sz w:val="16"/>
                <w:szCs w:val="16"/>
              </w:rPr>
            </w:pPr>
          </w:p>
        </w:tc>
        <w:tc>
          <w:tcPr>
            <w:tcW w:w="1388" w:type="dxa"/>
            <w:vAlign w:val="center"/>
          </w:tcPr>
          <w:p w14:paraId="6F164B65">
            <w:pPr>
              <w:jc w:val="center"/>
              <w:rPr>
                <w:rFonts w:eastAsiaTheme="majorEastAsia"/>
                <w:sz w:val="16"/>
                <w:szCs w:val="16"/>
              </w:rPr>
            </w:pPr>
          </w:p>
        </w:tc>
        <w:tc>
          <w:tcPr>
            <w:tcW w:w="1388" w:type="dxa"/>
            <w:vAlign w:val="center"/>
          </w:tcPr>
          <w:p w14:paraId="5C598404">
            <w:pPr>
              <w:jc w:val="center"/>
              <w:rPr>
                <w:rFonts w:eastAsiaTheme="majorEastAsia"/>
                <w:sz w:val="16"/>
                <w:szCs w:val="16"/>
              </w:rPr>
            </w:pPr>
          </w:p>
        </w:tc>
        <w:tc>
          <w:tcPr>
            <w:tcW w:w="1438" w:type="dxa"/>
            <w:vAlign w:val="center"/>
          </w:tcPr>
          <w:p w14:paraId="072E1BE9">
            <w:pPr>
              <w:jc w:val="center"/>
              <w:rPr>
                <w:rFonts w:eastAsiaTheme="majorEastAsia"/>
                <w:sz w:val="16"/>
                <w:szCs w:val="16"/>
              </w:rPr>
            </w:pPr>
          </w:p>
        </w:tc>
      </w:tr>
      <w:tr w14:paraId="7D961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vMerge w:val="restart"/>
            <w:tcBorders>
              <w:bottom w:val="nil"/>
            </w:tcBorders>
            <w:vAlign w:val="center"/>
          </w:tcPr>
          <w:p w14:paraId="24C8C918">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整体</w:t>
            </w:r>
            <w:r>
              <w:rPr>
                <w:rFonts w:ascii="Times New Roman" w:hAnsi="Times New Roman" w:cs="Times New Roman" w:eastAsiaTheme="majorEastAsia"/>
                <w:sz w:val="16"/>
                <w:szCs w:val="16"/>
              </w:rPr>
              <w:t xml:space="preserve"> </w:t>
            </w:r>
            <w:r>
              <w:rPr>
                <w:rFonts w:ascii="Times New Roman" w:cs="Times New Roman" w:hAnsiTheme="majorEastAsia" w:eastAsiaTheme="majorEastAsia"/>
                <w:sz w:val="16"/>
                <w:szCs w:val="16"/>
              </w:rPr>
              <w:t>目标</w:t>
            </w:r>
          </w:p>
        </w:tc>
        <w:tc>
          <w:tcPr>
            <w:tcW w:w="3926" w:type="dxa"/>
            <w:gridSpan w:val="4"/>
            <w:vAlign w:val="center"/>
          </w:tcPr>
          <w:p w14:paraId="00847B52">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年度目标</w:t>
            </w:r>
          </w:p>
        </w:tc>
        <w:tc>
          <w:tcPr>
            <w:tcW w:w="4214" w:type="dxa"/>
            <w:gridSpan w:val="3"/>
            <w:vAlign w:val="center"/>
          </w:tcPr>
          <w:p w14:paraId="684AF6D4">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完成情况</w:t>
            </w:r>
          </w:p>
        </w:tc>
      </w:tr>
      <w:tr w14:paraId="566FF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trPr>
        <w:tc>
          <w:tcPr>
            <w:tcW w:w="734" w:type="dxa"/>
            <w:vMerge w:val="continue"/>
            <w:tcBorders>
              <w:top w:val="nil"/>
            </w:tcBorders>
            <w:vAlign w:val="center"/>
          </w:tcPr>
          <w:p w14:paraId="31B8E8F2">
            <w:pPr>
              <w:jc w:val="center"/>
              <w:rPr>
                <w:rFonts w:eastAsiaTheme="majorEastAsia"/>
                <w:sz w:val="16"/>
                <w:szCs w:val="16"/>
              </w:rPr>
            </w:pPr>
          </w:p>
        </w:tc>
        <w:tc>
          <w:tcPr>
            <w:tcW w:w="3926" w:type="dxa"/>
            <w:gridSpan w:val="4"/>
            <w:vAlign w:val="center"/>
          </w:tcPr>
          <w:p w14:paraId="0D909D48">
            <w:pPr>
              <w:pStyle w:val="33"/>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1</w:t>
            </w:r>
            <w:r>
              <w:rPr>
                <w:rFonts w:ascii="Times New Roman" w:cs="Times New Roman" w:hAnsiTheme="majorEastAsia" w:eastAsiaTheme="majorEastAsia"/>
                <w:sz w:val="16"/>
                <w:szCs w:val="16"/>
                <w:lang w:eastAsia="zh-CN"/>
              </w:rPr>
              <w:t>、全年举办参政议政能力培训</w:t>
            </w:r>
            <w:r>
              <w:rPr>
                <w:rFonts w:ascii="Times New Roman" w:hAnsi="Times New Roman" w:cs="Times New Roman" w:eastAsiaTheme="majorEastAsia"/>
                <w:sz w:val="16"/>
                <w:szCs w:val="16"/>
                <w:lang w:eastAsia="zh-CN"/>
              </w:rPr>
              <w:t>3</w:t>
            </w:r>
            <w:r>
              <w:rPr>
                <w:rFonts w:ascii="Times New Roman" w:cs="Times New Roman" w:hAnsiTheme="majorEastAsia" w:eastAsiaTheme="majorEastAsia"/>
                <w:sz w:val="16"/>
                <w:szCs w:val="16"/>
                <w:lang w:eastAsia="zh-CN"/>
              </w:rPr>
              <w:t>次，提高参政议</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政能力。</w:t>
            </w:r>
            <w:r>
              <w:rPr>
                <w:rFonts w:ascii="Times New Roman" w:hAnsi="Times New Roman" w:cs="Times New Roman" w:eastAsiaTheme="majorEastAsia"/>
                <w:sz w:val="16"/>
                <w:szCs w:val="16"/>
                <w:lang w:eastAsia="zh-CN"/>
              </w:rPr>
              <w:t>2</w:t>
            </w:r>
            <w:r>
              <w:rPr>
                <w:rFonts w:ascii="Times New Roman" w:cs="Times New Roman" w:hAnsiTheme="majorEastAsia" w:eastAsiaTheme="majorEastAsia"/>
                <w:sz w:val="16"/>
                <w:szCs w:val="16"/>
                <w:lang w:eastAsia="zh-CN"/>
              </w:rPr>
              <w:t>、全年举办各类培训</w:t>
            </w:r>
            <w:r>
              <w:rPr>
                <w:rFonts w:ascii="Times New Roman" w:hAnsi="Times New Roman" w:cs="Times New Roman" w:eastAsiaTheme="majorEastAsia"/>
                <w:sz w:val="16"/>
                <w:szCs w:val="16"/>
                <w:lang w:eastAsia="zh-CN"/>
              </w:rPr>
              <w:t>5</w:t>
            </w:r>
            <w:r>
              <w:rPr>
                <w:rFonts w:ascii="Times New Roman" w:cs="Times New Roman" w:hAnsiTheme="majorEastAsia" w:eastAsiaTheme="majorEastAsia"/>
                <w:sz w:val="16"/>
                <w:szCs w:val="16"/>
                <w:lang w:eastAsia="zh-CN"/>
              </w:rPr>
              <w:t>次，用于提高会</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员素质。</w:t>
            </w:r>
            <w:r>
              <w:rPr>
                <w:rFonts w:ascii="Times New Roman" w:hAnsi="Times New Roman" w:cs="Times New Roman" w:eastAsiaTheme="majorEastAsia"/>
                <w:sz w:val="16"/>
                <w:szCs w:val="16"/>
                <w:lang w:eastAsia="zh-CN"/>
              </w:rPr>
              <w:t>3</w:t>
            </w:r>
            <w:r>
              <w:rPr>
                <w:rFonts w:ascii="Times New Roman" w:cs="Times New Roman" w:hAnsiTheme="majorEastAsia" w:eastAsiaTheme="majorEastAsia"/>
                <w:sz w:val="16"/>
                <w:szCs w:val="16"/>
                <w:lang w:eastAsia="zh-CN"/>
              </w:rPr>
              <w:t>、分行业对会员开展专业培训</w:t>
            </w:r>
            <w:r>
              <w:rPr>
                <w:rFonts w:ascii="Times New Roman" w:hAnsi="Times New Roman" w:cs="Times New Roman" w:eastAsiaTheme="majorEastAsia"/>
                <w:sz w:val="16"/>
                <w:szCs w:val="16"/>
                <w:lang w:eastAsia="zh-CN"/>
              </w:rPr>
              <w:t>3</w:t>
            </w:r>
            <w:r>
              <w:rPr>
                <w:rFonts w:ascii="Times New Roman" w:cs="Times New Roman" w:hAnsiTheme="majorEastAsia" w:eastAsiaTheme="majorEastAsia"/>
                <w:sz w:val="16"/>
                <w:szCs w:val="16"/>
                <w:lang w:eastAsia="zh-CN"/>
              </w:rPr>
              <w:t>次。</w:t>
            </w:r>
            <w:r>
              <w:rPr>
                <w:rFonts w:ascii="Times New Roman" w:hAnsi="Times New Roman" w:cs="Times New Roman" w:eastAsiaTheme="majorEastAsia"/>
                <w:sz w:val="16"/>
                <w:szCs w:val="16"/>
                <w:lang w:eastAsia="zh-CN"/>
              </w:rPr>
              <w:t>4</w:t>
            </w:r>
            <w:r>
              <w:rPr>
                <w:rFonts w:ascii="Times New Roman" w:cs="Times New Roman" w:hAnsiTheme="majorEastAsia" w:eastAsiaTheme="majorEastAsia"/>
                <w:sz w:val="16"/>
                <w:szCs w:val="16"/>
                <w:lang w:eastAsia="zh-CN"/>
              </w:rPr>
              <w:t>、</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每月召开一次企业家座谈会，解决企业发展中的</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问题。</w:t>
            </w:r>
            <w:r>
              <w:rPr>
                <w:rFonts w:ascii="Times New Roman" w:hAnsi="Times New Roman" w:cs="Times New Roman" w:eastAsiaTheme="majorEastAsia"/>
                <w:sz w:val="16"/>
                <w:szCs w:val="16"/>
                <w:lang w:eastAsia="zh-CN"/>
              </w:rPr>
              <w:t>5</w:t>
            </w:r>
            <w:r>
              <w:rPr>
                <w:rFonts w:ascii="Times New Roman" w:cs="Times New Roman" w:hAnsiTheme="majorEastAsia" w:eastAsiaTheme="majorEastAsia"/>
                <w:sz w:val="16"/>
                <w:szCs w:val="16"/>
                <w:lang w:eastAsia="zh-CN"/>
              </w:rPr>
              <w:t>、全年开展外出招商活动</w:t>
            </w:r>
            <w:r>
              <w:rPr>
                <w:rFonts w:ascii="Times New Roman" w:hAnsi="Times New Roman" w:cs="Times New Roman" w:eastAsiaTheme="majorEastAsia"/>
                <w:sz w:val="16"/>
                <w:szCs w:val="16"/>
                <w:lang w:eastAsia="zh-CN"/>
              </w:rPr>
              <w:t>5</w:t>
            </w:r>
            <w:r>
              <w:rPr>
                <w:rFonts w:ascii="Times New Roman" w:cs="Times New Roman" w:hAnsiTheme="majorEastAsia" w:eastAsiaTheme="majorEastAsia"/>
                <w:sz w:val="16"/>
                <w:szCs w:val="16"/>
                <w:lang w:eastAsia="zh-CN"/>
              </w:rPr>
              <w:t>次，加强对驻</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外商会工作指导每个商会</w:t>
            </w:r>
            <w:r>
              <w:rPr>
                <w:rFonts w:ascii="Times New Roman" w:hAnsi="Times New Roman" w:cs="Times New Roman" w:eastAsiaTheme="majorEastAsia"/>
                <w:sz w:val="16"/>
                <w:szCs w:val="16"/>
                <w:lang w:eastAsia="zh-CN"/>
              </w:rPr>
              <w:t>1</w:t>
            </w:r>
            <w:r>
              <w:rPr>
                <w:rFonts w:ascii="Times New Roman" w:cs="Times New Roman" w:hAnsiTheme="majorEastAsia" w:eastAsiaTheme="majorEastAsia"/>
                <w:sz w:val="16"/>
                <w:szCs w:val="16"/>
                <w:lang w:eastAsia="zh-CN"/>
              </w:rPr>
              <w:t>次。</w:t>
            </w:r>
          </w:p>
        </w:tc>
        <w:tc>
          <w:tcPr>
            <w:tcW w:w="4214" w:type="dxa"/>
            <w:gridSpan w:val="3"/>
            <w:vAlign w:val="center"/>
          </w:tcPr>
          <w:p w14:paraId="6A9BBFE2">
            <w:pPr>
              <w:pStyle w:val="33"/>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按照工作职责，保障在职人员的工资保险等福利待遇；</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召开企业家座谈会</w:t>
            </w:r>
            <w:r>
              <w:rPr>
                <w:rFonts w:ascii="Times New Roman" w:hAnsi="Times New Roman" w:cs="Times New Roman" w:eastAsiaTheme="majorEastAsia"/>
                <w:sz w:val="16"/>
                <w:szCs w:val="16"/>
                <w:lang w:eastAsia="zh-CN"/>
              </w:rPr>
              <w:t>5</w:t>
            </w:r>
            <w:r>
              <w:rPr>
                <w:rFonts w:ascii="Times New Roman" w:cs="Times New Roman" w:hAnsiTheme="majorEastAsia" w:eastAsiaTheme="majorEastAsia"/>
                <w:sz w:val="16"/>
                <w:szCs w:val="16"/>
                <w:lang w:eastAsia="zh-CN"/>
              </w:rPr>
              <w:t>次，召开企业联席会议</w:t>
            </w:r>
            <w:r>
              <w:rPr>
                <w:rFonts w:ascii="Times New Roman" w:hAnsi="Times New Roman" w:cs="Times New Roman" w:eastAsiaTheme="majorEastAsia"/>
                <w:sz w:val="16"/>
                <w:szCs w:val="16"/>
                <w:lang w:eastAsia="zh-CN"/>
              </w:rPr>
              <w:t>3</w:t>
            </w:r>
            <w:r>
              <w:rPr>
                <w:rFonts w:ascii="Times New Roman" w:cs="Times New Roman" w:hAnsiTheme="majorEastAsia" w:eastAsiaTheme="majorEastAsia"/>
                <w:sz w:val="16"/>
                <w:szCs w:val="16"/>
                <w:lang w:eastAsia="zh-CN"/>
              </w:rPr>
              <w:t>次，因</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为疫情原因，未能外出开展招商活动。</w:t>
            </w:r>
          </w:p>
        </w:tc>
      </w:tr>
      <w:tr w14:paraId="638DE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34" w:type="dxa"/>
            <w:vMerge w:val="restart"/>
            <w:tcBorders>
              <w:bottom w:val="nil"/>
            </w:tcBorders>
            <w:vAlign w:val="center"/>
          </w:tcPr>
          <w:p w14:paraId="4ABB048D">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部门整</w:t>
            </w:r>
            <w:r>
              <w:rPr>
                <w:rFonts w:ascii="Times New Roman" w:hAnsi="Times New Roman" w:cs="Times New Roman" w:eastAsiaTheme="majorEastAsia"/>
                <w:sz w:val="16"/>
                <w:szCs w:val="16"/>
              </w:rPr>
              <w:t xml:space="preserve"> </w:t>
            </w:r>
            <w:r>
              <w:rPr>
                <w:rFonts w:ascii="Times New Roman" w:cs="Times New Roman" w:hAnsiTheme="majorEastAsia" w:eastAsiaTheme="majorEastAsia"/>
                <w:sz w:val="16"/>
                <w:szCs w:val="16"/>
              </w:rPr>
              <w:t>体绩效</w:t>
            </w:r>
            <w:r>
              <w:rPr>
                <w:rFonts w:ascii="Times New Roman" w:hAnsi="Times New Roman" w:cs="Times New Roman" w:eastAsiaTheme="majorEastAsia"/>
                <w:sz w:val="16"/>
                <w:szCs w:val="16"/>
              </w:rPr>
              <w:t xml:space="preserve"> </w:t>
            </w:r>
            <w:r>
              <w:rPr>
                <w:rFonts w:ascii="Times New Roman" w:cs="Times New Roman" w:hAnsiTheme="majorEastAsia" w:eastAsiaTheme="majorEastAsia"/>
                <w:sz w:val="16"/>
                <w:szCs w:val="16"/>
              </w:rPr>
              <w:t>指标</w:t>
            </w:r>
          </w:p>
        </w:tc>
        <w:tc>
          <w:tcPr>
            <w:tcW w:w="629" w:type="dxa"/>
            <w:vAlign w:val="center"/>
          </w:tcPr>
          <w:p w14:paraId="33592AB8">
            <w:pPr>
              <w:pStyle w:val="33"/>
              <w:ind w:hanging="190"/>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一级指</w:t>
            </w:r>
            <w:r>
              <w:rPr>
                <w:rFonts w:ascii="Times New Roman" w:hAnsi="Times New Roman" w:cs="Times New Roman" w:eastAsiaTheme="majorEastAsia"/>
                <w:sz w:val="16"/>
                <w:szCs w:val="16"/>
              </w:rPr>
              <w:t xml:space="preserve"> </w:t>
            </w:r>
            <w:r>
              <w:rPr>
                <w:rFonts w:ascii="Times New Roman" w:cs="Times New Roman" w:hAnsiTheme="majorEastAsia" w:eastAsiaTheme="majorEastAsia"/>
                <w:sz w:val="16"/>
                <w:szCs w:val="16"/>
              </w:rPr>
              <w:t>标</w:t>
            </w:r>
          </w:p>
        </w:tc>
        <w:tc>
          <w:tcPr>
            <w:tcW w:w="1119" w:type="dxa"/>
            <w:vAlign w:val="center"/>
          </w:tcPr>
          <w:p w14:paraId="24F6EB59">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二级指标</w:t>
            </w:r>
          </w:p>
        </w:tc>
        <w:tc>
          <w:tcPr>
            <w:tcW w:w="2178" w:type="dxa"/>
            <w:gridSpan w:val="2"/>
            <w:vAlign w:val="center"/>
          </w:tcPr>
          <w:p w14:paraId="586B0729">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三级指标</w:t>
            </w:r>
          </w:p>
        </w:tc>
        <w:tc>
          <w:tcPr>
            <w:tcW w:w="1388" w:type="dxa"/>
            <w:vAlign w:val="center"/>
          </w:tcPr>
          <w:p w14:paraId="4C050B48">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年度指标值</w:t>
            </w:r>
          </w:p>
        </w:tc>
        <w:tc>
          <w:tcPr>
            <w:tcW w:w="1388" w:type="dxa"/>
            <w:vAlign w:val="center"/>
          </w:tcPr>
          <w:p w14:paraId="33343AC9">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实际完成值</w:t>
            </w:r>
          </w:p>
        </w:tc>
        <w:tc>
          <w:tcPr>
            <w:tcW w:w="1438" w:type="dxa"/>
            <w:vAlign w:val="center"/>
          </w:tcPr>
          <w:p w14:paraId="0FEB11BC">
            <w:pPr>
              <w:pStyle w:val="33"/>
              <w:ind w:firstLine="19"/>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偏差原因分析及</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改进措施</w:t>
            </w:r>
          </w:p>
        </w:tc>
      </w:tr>
      <w:tr w14:paraId="4B77E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4" w:type="dxa"/>
            <w:vMerge w:val="continue"/>
            <w:tcBorders>
              <w:top w:val="nil"/>
              <w:bottom w:val="nil"/>
            </w:tcBorders>
            <w:vAlign w:val="center"/>
          </w:tcPr>
          <w:p w14:paraId="7E158725">
            <w:pPr>
              <w:jc w:val="center"/>
              <w:rPr>
                <w:rFonts w:eastAsiaTheme="majorEastAsia"/>
                <w:sz w:val="16"/>
                <w:szCs w:val="16"/>
              </w:rPr>
            </w:pPr>
          </w:p>
        </w:tc>
        <w:tc>
          <w:tcPr>
            <w:tcW w:w="629" w:type="dxa"/>
            <w:vMerge w:val="restart"/>
            <w:tcBorders>
              <w:bottom w:val="nil"/>
            </w:tcBorders>
            <w:vAlign w:val="center"/>
          </w:tcPr>
          <w:p w14:paraId="5DC77D6A">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产出</w:t>
            </w:r>
            <w:r>
              <w:rPr>
                <w:rFonts w:ascii="Times New Roman" w:hAnsi="Times New Roman" w:cs="Times New Roman" w:eastAsiaTheme="majorEastAsia"/>
                <w:sz w:val="16"/>
                <w:szCs w:val="16"/>
              </w:rPr>
              <w:t xml:space="preserve"> </w:t>
            </w:r>
            <w:r>
              <w:rPr>
                <w:rFonts w:ascii="Times New Roman" w:cs="Times New Roman" w:hAnsiTheme="majorEastAsia" w:eastAsiaTheme="majorEastAsia"/>
                <w:sz w:val="16"/>
                <w:szCs w:val="16"/>
              </w:rPr>
              <w:t>指标</w:t>
            </w:r>
          </w:p>
        </w:tc>
        <w:tc>
          <w:tcPr>
            <w:tcW w:w="1119" w:type="dxa"/>
            <w:vMerge w:val="restart"/>
            <w:tcBorders>
              <w:bottom w:val="nil"/>
            </w:tcBorders>
            <w:vAlign w:val="center"/>
          </w:tcPr>
          <w:p w14:paraId="35DF2899">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数量指标</w:t>
            </w:r>
          </w:p>
        </w:tc>
        <w:tc>
          <w:tcPr>
            <w:tcW w:w="2178" w:type="dxa"/>
            <w:gridSpan w:val="2"/>
            <w:vAlign w:val="center"/>
          </w:tcPr>
          <w:p w14:paraId="4219F953">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全年工资发放人数</w:t>
            </w:r>
          </w:p>
        </w:tc>
        <w:tc>
          <w:tcPr>
            <w:tcW w:w="1388" w:type="dxa"/>
            <w:vAlign w:val="center"/>
          </w:tcPr>
          <w:p w14:paraId="03513C6B">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 xml:space="preserve">= 6 </w:t>
            </w:r>
            <w:r>
              <w:rPr>
                <w:rFonts w:ascii="Times New Roman" w:cs="Times New Roman" w:hAnsiTheme="majorEastAsia" w:eastAsiaTheme="majorEastAsia"/>
                <w:sz w:val="16"/>
                <w:szCs w:val="16"/>
              </w:rPr>
              <w:t>人</w:t>
            </w:r>
          </w:p>
        </w:tc>
        <w:tc>
          <w:tcPr>
            <w:tcW w:w="1388" w:type="dxa"/>
            <w:vAlign w:val="center"/>
          </w:tcPr>
          <w:p w14:paraId="7732778F">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6</w:t>
            </w:r>
            <w:r>
              <w:rPr>
                <w:rFonts w:ascii="Times New Roman" w:cs="Times New Roman" w:hAnsiTheme="majorEastAsia" w:eastAsiaTheme="majorEastAsia"/>
                <w:sz w:val="16"/>
                <w:szCs w:val="16"/>
              </w:rPr>
              <w:t>人</w:t>
            </w:r>
          </w:p>
        </w:tc>
        <w:tc>
          <w:tcPr>
            <w:tcW w:w="1438" w:type="dxa"/>
            <w:vAlign w:val="center"/>
          </w:tcPr>
          <w:p w14:paraId="2A60BDD0">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无</w:t>
            </w:r>
          </w:p>
        </w:tc>
      </w:tr>
      <w:tr w14:paraId="6F35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4" w:type="dxa"/>
            <w:vMerge w:val="continue"/>
            <w:tcBorders>
              <w:top w:val="nil"/>
              <w:bottom w:val="nil"/>
            </w:tcBorders>
            <w:vAlign w:val="center"/>
          </w:tcPr>
          <w:p w14:paraId="30852238">
            <w:pPr>
              <w:jc w:val="center"/>
              <w:rPr>
                <w:rFonts w:eastAsiaTheme="majorEastAsia"/>
                <w:sz w:val="16"/>
                <w:szCs w:val="16"/>
              </w:rPr>
            </w:pPr>
          </w:p>
        </w:tc>
        <w:tc>
          <w:tcPr>
            <w:tcW w:w="629" w:type="dxa"/>
            <w:vMerge w:val="continue"/>
            <w:tcBorders>
              <w:top w:val="nil"/>
              <w:bottom w:val="nil"/>
            </w:tcBorders>
            <w:vAlign w:val="center"/>
          </w:tcPr>
          <w:p w14:paraId="6F99CF56">
            <w:pPr>
              <w:jc w:val="center"/>
              <w:rPr>
                <w:rFonts w:eastAsiaTheme="majorEastAsia"/>
                <w:sz w:val="16"/>
                <w:szCs w:val="16"/>
              </w:rPr>
            </w:pPr>
          </w:p>
        </w:tc>
        <w:tc>
          <w:tcPr>
            <w:tcW w:w="1119" w:type="dxa"/>
            <w:vMerge w:val="continue"/>
            <w:tcBorders>
              <w:top w:val="nil"/>
              <w:bottom w:val="nil"/>
            </w:tcBorders>
            <w:vAlign w:val="center"/>
          </w:tcPr>
          <w:p w14:paraId="7A5697FE">
            <w:pPr>
              <w:jc w:val="center"/>
              <w:rPr>
                <w:rFonts w:eastAsiaTheme="majorEastAsia"/>
                <w:sz w:val="16"/>
                <w:szCs w:val="16"/>
              </w:rPr>
            </w:pPr>
          </w:p>
        </w:tc>
        <w:tc>
          <w:tcPr>
            <w:tcW w:w="2178" w:type="dxa"/>
            <w:gridSpan w:val="2"/>
            <w:vAlign w:val="center"/>
          </w:tcPr>
          <w:p w14:paraId="47712C8E">
            <w:pPr>
              <w:pStyle w:val="33"/>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召开企业家座谈会次数</w:t>
            </w:r>
          </w:p>
        </w:tc>
        <w:tc>
          <w:tcPr>
            <w:tcW w:w="1388" w:type="dxa"/>
            <w:vAlign w:val="center"/>
          </w:tcPr>
          <w:p w14:paraId="096B9240">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12</w:t>
            </w:r>
            <w:r>
              <w:rPr>
                <w:rFonts w:ascii="Times New Roman" w:cs="Times New Roman" w:hAnsiTheme="majorEastAsia" w:eastAsiaTheme="majorEastAsia"/>
                <w:sz w:val="16"/>
                <w:szCs w:val="16"/>
              </w:rPr>
              <w:t>次</w:t>
            </w:r>
          </w:p>
        </w:tc>
        <w:tc>
          <w:tcPr>
            <w:tcW w:w="1388" w:type="dxa"/>
            <w:vAlign w:val="center"/>
          </w:tcPr>
          <w:p w14:paraId="1E8FBB41">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5</w:t>
            </w:r>
            <w:r>
              <w:rPr>
                <w:rFonts w:ascii="Times New Roman" w:cs="Times New Roman" w:hAnsiTheme="majorEastAsia" w:eastAsiaTheme="majorEastAsia"/>
                <w:sz w:val="16"/>
                <w:szCs w:val="16"/>
              </w:rPr>
              <w:t>次</w:t>
            </w:r>
          </w:p>
        </w:tc>
        <w:tc>
          <w:tcPr>
            <w:tcW w:w="1438" w:type="dxa"/>
            <w:vAlign w:val="center"/>
          </w:tcPr>
          <w:p w14:paraId="46ABBFE6">
            <w:pPr>
              <w:jc w:val="center"/>
              <w:rPr>
                <w:rFonts w:eastAsiaTheme="majorEastAsia"/>
                <w:sz w:val="16"/>
                <w:szCs w:val="16"/>
              </w:rPr>
            </w:pPr>
          </w:p>
        </w:tc>
      </w:tr>
      <w:tr w14:paraId="545D0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Merge w:val="continue"/>
            <w:tcBorders>
              <w:top w:val="nil"/>
              <w:bottom w:val="nil"/>
            </w:tcBorders>
            <w:vAlign w:val="center"/>
          </w:tcPr>
          <w:p w14:paraId="749267AF">
            <w:pPr>
              <w:jc w:val="center"/>
              <w:rPr>
                <w:rFonts w:eastAsiaTheme="majorEastAsia"/>
                <w:sz w:val="16"/>
                <w:szCs w:val="16"/>
              </w:rPr>
            </w:pPr>
          </w:p>
        </w:tc>
        <w:tc>
          <w:tcPr>
            <w:tcW w:w="629" w:type="dxa"/>
            <w:vMerge w:val="continue"/>
            <w:tcBorders>
              <w:top w:val="nil"/>
              <w:bottom w:val="nil"/>
            </w:tcBorders>
            <w:vAlign w:val="center"/>
          </w:tcPr>
          <w:p w14:paraId="11C7DE80">
            <w:pPr>
              <w:jc w:val="center"/>
              <w:rPr>
                <w:rFonts w:eastAsiaTheme="majorEastAsia"/>
                <w:sz w:val="16"/>
                <w:szCs w:val="16"/>
              </w:rPr>
            </w:pPr>
          </w:p>
        </w:tc>
        <w:tc>
          <w:tcPr>
            <w:tcW w:w="1119" w:type="dxa"/>
            <w:vMerge w:val="continue"/>
            <w:tcBorders>
              <w:top w:val="nil"/>
              <w:bottom w:val="nil"/>
            </w:tcBorders>
            <w:vAlign w:val="center"/>
          </w:tcPr>
          <w:p w14:paraId="0CA8091F">
            <w:pPr>
              <w:jc w:val="center"/>
              <w:rPr>
                <w:rFonts w:eastAsiaTheme="majorEastAsia"/>
                <w:sz w:val="16"/>
                <w:szCs w:val="16"/>
              </w:rPr>
            </w:pPr>
          </w:p>
        </w:tc>
        <w:tc>
          <w:tcPr>
            <w:tcW w:w="2178" w:type="dxa"/>
            <w:gridSpan w:val="2"/>
            <w:vAlign w:val="center"/>
          </w:tcPr>
          <w:p w14:paraId="7709F524">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外出招商次数</w:t>
            </w:r>
          </w:p>
        </w:tc>
        <w:tc>
          <w:tcPr>
            <w:tcW w:w="1388" w:type="dxa"/>
            <w:vAlign w:val="center"/>
          </w:tcPr>
          <w:p w14:paraId="6A21F506">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 xml:space="preserve">5  </w:t>
            </w:r>
            <w:r>
              <w:rPr>
                <w:rFonts w:ascii="Times New Roman" w:cs="Times New Roman" w:hAnsiTheme="majorEastAsia" w:eastAsiaTheme="majorEastAsia"/>
                <w:sz w:val="16"/>
                <w:szCs w:val="16"/>
              </w:rPr>
              <w:t>次</w:t>
            </w:r>
          </w:p>
        </w:tc>
        <w:tc>
          <w:tcPr>
            <w:tcW w:w="1388" w:type="dxa"/>
            <w:vAlign w:val="center"/>
          </w:tcPr>
          <w:p w14:paraId="246ADC70">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0</w:t>
            </w:r>
          </w:p>
        </w:tc>
        <w:tc>
          <w:tcPr>
            <w:tcW w:w="1438" w:type="dxa"/>
            <w:vAlign w:val="center"/>
          </w:tcPr>
          <w:p w14:paraId="2301FADF">
            <w:pPr>
              <w:jc w:val="center"/>
              <w:rPr>
                <w:rFonts w:eastAsiaTheme="majorEastAsia"/>
                <w:sz w:val="16"/>
                <w:szCs w:val="16"/>
              </w:rPr>
            </w:pPr>
          </w:p>
        </w:tc>
      </w:tr>
      <w:tr w14:paraId="23B79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4" w:type="dxa"/>
            <w:vMerge w:val="continue"/>
            <w:tcBorders>
              <w:top w:val="nil"/>
              <w:bottom w:val="nil"/>
            </w:tcBorders>
            <w:vAlign w:val="center"/>
          </w:tcPr>
          <w:p w14:paraId="034EE4B9">
            <w:pPr>
              <w:jc w:val="center"/>
              <w:rPr>
                <w:rFonts w:eastAsiaTheme="majorEastAsia"/>
                <w:sz w:val="16"/>
                <w:szCs w:val="16"/>
              </w:rPr>
            </w:pPr>
          </w:p>
        </w:tc>
        <w:tc>
          <w:tcPr>
            <w:tcW w:w="629" w:type="dxa"/>
            <w:vMerge w:val="continue"/>
            <w:tcBorders>
              <w:top w:val="nil"/>
              <w:bottom w:val="nil"/>
            </w:tcBorders>
            <w:vAlign w:val="center"/>
          </w:tcPr>
          <w:p w14:paraId="5255066A">
            <w:pPr>
              <w:jc w:val="center"/>
              <w:rPr>
                <w:rFonts w:eastAsiaTheme="majorEastAsia"/>
                <w:sz w:val="16"/>
                <w:szCs w:val="16"/>
              </w:rPr>
            </w:pPr>
          </w:p>
        </w:tc>
        <w:tc>
          <w:tcPr>
            <w:tcW w:w="1119" w:type="dxa"/>
            <w:vMerge w:val="continue"/>
            <w:tcBorders>
              <w:top w:val="nil"/>
              <w:bottom w:val="nil"/>
            </w:tcBorders>
            <w:vAlign w:val="center"/>
          </w:tcPr>
          <w:p w14:paraId="1A130614">
            <w:pPr>
              <w:jc w:val="center"/>
              <w:rPr>
                <w:rFonts w:eastAsiaTheme="majorEastAsia"/>
                <w:sz w:val="16"/>
                <w:szCs w:val="16"/>
              </w:rPr>
            </w:pPr>
          </w:p>
        </w:tc>
        <w:tc>
          <w:tcPr>
            <w:tcW w:w="2178" w:type="dxa"/>
            <w:gridSpan w:val="2"/>
            <w:vAlign w:val="center"/>
          </w:tcPr>
          <w:p w14:paraId="1EED396A">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联席区内企业家数</w:t>
            </w:r>
          </w:p>
        </w:tc>
        <w:tc>
          <w:tcPr>
            <w:tcW w:w="1388" w:type="dxa"/>
            <w:vAlign w:val="center"/>
          </w:tcPr>
          <w:p w14:paraId="2341EDA0">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80</w:t>
            </w:r>
            <w:r>
              <w:rPr>
                <w:rFonts w:ascii="Times New Roman" w:cs="Times New Roman" w:hAnsiTheme="majorEastAsia" w:eastAsiaTheme="majorEastAsia"/>
                <w:sz w:val="16"/>
                <w:szCs w:val="16"/>
              </w:rPr>
              <w:t>家</w:t>
            </w:r>
          </w:p>
        </w:tc>
        <w:tc>
          <w:tcPr>
            <w:tcW w:w="1388" w:type="dxa"/>
            <w:vAlign w:val="center"/>
          </w:tcPr>
          <w:p w14:paraId="74AFF432">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80</w:t>
            </w:r>
            <w:r>
              <w:rPr>
                <w:rFonts w:ascii="Times New Roman" w:cs="Times New Roman" w:hAnsiTheme="majorEastAsia" w:eastAsiaTheme="majorEastAsia"/>
                <w:sz w:val="16"/>
                <w:szCs w:val="16"/>
              </w:rPr>
              <w:t>家</w:t>
            </w:r>
          </w:p>
        </w:tc>
        <w:tc>
          <w:tcPr>
            <w:tcW w:w="1438" w:type="dxa"/>
            <w:vAlign w:val="center"/>
          </w:tcPr>
          <w:p w14:paraId="05EE902F">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无</w:t>
            </w:r>
          </w:p>
        </w:tc>
      </w:tr>
      <w:tr w14:paraId="416E4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4" w:type="dxa"/>
            <w:vMerge w:val="continue"/>
            <w:tcBorders>
              <w:top w:val="nil"/>
              <w:bottom w:val="nil"/>
            </w:tcBorders>
            <w:vAlign w:val="center"/>
          </w:tcPr>
          <w:p w14:paraId="7ACCF479">
            <w:pPr>
              <w:jc w:val="center"/>
              <w:rPr>
                <w:rFonts w:eastAsiaTheme="majorEastAsia"/>
                <w:sz w:val="16"/>
                <w:szCs w:val="16"/>
              </w:rPr>
            </w:pPr>
          </w:p>
        </w:tc>
        <w:tc>
          <w:tcPr>
            <w:tcW w:w="629" w:type="dxa"/>
            <w:vMerge w:val="continue"/>
            <w:tcBorders>
              <w:top w:val="nil"/>
              <w:bottom w:val="nil"/>
            </w:tcBorders>
            <w:vAlign w:val="center"/>
          </w:tcPr>
          <w:p w14:paraId="14F07B2A">
            <w:pPr>
              <w:jc w:val="center"/>
              <w:rPr>
                <w:rFonts w:eastAsiaTheme="majorEastAsia"/>
                <w:sz w:val="16"/>
                <w:szCs w:val="16"/>
              </w:rPr>
            </w:pPr>
          </w:p>
        </w:tc>
        <w:tc>
          <w:tcPr>
            <w:tcW w:w="1119" w:type="dxa"/>
            <w:vMerge w:val="continue"/>
            <w:tcBorders>
              <w:top w:val="nil"/>
              <w:bottom w:val="nil"/>
            </w:tcBorders>
            <w:vAlign w:val="center"/>
          </w:tcPr>
          <w:p w14:paraId="6E1293B0">
            <w:pPr>
              <w:jc w:val="center"/>
              <w:rPr>
                <w:rFonts w:eastAsiaTheme="majorEastAsia"/>
                <w:sz w:val="16"/>
                <w:szCs w:val="16"/>
              </w:rPr>
            </w:pPr>
          </w:p>
        </w:tc>
        <w:tc>
          <w:tcPr>
            <w:tcW w:w="2178" w:type="dxa"/>
            <w:gridSpan w:val="2"/>
            <w:vAlign w:val="center"/>
          </w:tcPr>
          <w:p w14:paraId="74276F71">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开展推介会场次</w:t>
            </w:r>
          </w:p>
        </w:tc>
        <w:tc>
          <w:tcPr>
            <w:tcW w:w="1388" w:type="dxa"/>
            <w:vAlign w:val="center"/>
          </w:tcPr>
          <w:p w14:paraId="375D8F06">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30</w:t>
            </w:r>
            <w:r>
              <w:rPr>
                <w:rFonts w:ascii="Times New Roman" w:cs="Times New Roman" w:hAnsiTheme="majorEastAsia" w:eastAsiaTheme="majorEastAsia"/>
                <w:sz w:val="16"/>
                <w:szCs w:val="16"/>
              </w:rPr>
              <w:t>次年</w:t>
            </w:r>
          </w:p>
        </w:tc>
        <w:tc>
          <w:tcPr>
            <w:tcW w:w="1388" w:type="dxa"/>
            <w:vAlign w:val="center"/>
          </w:tcPr>
          <w:p w14:paraId="1DCEA79F">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6</w:t>
            </w:r>
            <w:r>
              <w:rPr>
                <w:rFonts w:ascii="Times New Roman" w:cs="Times New Roman" w:hAnsiTheme="majorEastAsia" w:eastAsiaTheme="majorEastAsia"/>
                <w:sz w:val="16"/>
                <w:szCs w:val="16"/>
              </w:rPr>
              <w:t>次</w:t>
            </w:r>
          </w:p>
        </w:tc>
        <w:tc>
          <w:tcPr>
            <w:tcW w:w="1438" w:type="dxa"/>
            <w:vAlign w:val="center"/>
          </w:tcPr>
          <w:p w14:paraId="008966D2">
            <w:pPr>
              <w:jc w:val="center"/>
              <w:rPr>
                <w:rFonts w:eastAsiaTheme="majorEastAsia"/>
                <w:sz w:val="16"/>
                <w:szCs w:val="16"/>
              </w:rPr>
            </w:pPr>
          </w:p>
        </w:tc>
      </w:tr>
      <w:tr w14:paraId="02944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4" w:type="dxa"/>
            <w:vMerge w:val="continue"/>
            <w:tcBorders>
              <w:top w:val="nil"/>
              <w:bottom w:val="nil"/>
            </w:tcBorders>
            <w:vAlign w:val="center"/>
          </w:tcPr>
          <w:p w14:paraId="7B3C929C">
            <w:pPr>
              <w:jc w:val="center"/>
              <w:rPr>
                <w:rFonts w:eastAsiaTheme="majorEastAsia"/>
                <w:sz w:val="16"/>
                <w:szCs w:val="16"/>
              </w:rPr>
            </w:pPr>
          </w:p>
        </w:tc>
        <w:tc>
          <w:tcPr>
            <w:tcW w:w="629" w:type="dxa"/>
            <w:vMerge w:val="continue"/>
            <w:tcBorders>
              <w:top w:val="nil"/>
              <w:bottom w:val="nil"/>
            </w:tcBorders>
            <w:vAlign w:val="center"/>
          </w:tcPr>
          <w:p w14:paraId="3BDE6473">
            <w:pPr>
              <w:jc w:val="center"/>
              <w:rPr>
                <w:rFonts w:eastAsiaTheme="majorEastAsia"/>
                <w:sz w:val="16"/>
                <w:szCs w:val="16"/>
              </w:rPr>
            </w:pPr>
          </w:p>
        </w:tc>
        <w:tc>
          <w:tcPr>
            <w:tcW w:w="1119" w:type="dxa"/>
            <w:vMerge w:val="continue"/>
            <w:tcBorders>
              <w:top w:val="nil"/>
            </w:tcBorders>
            <w:vAlign w:val="center"/>
          </w:tcPr>
          <w:p w14:paraId="0862B140">
            <w:pPr>
              <w:jc w:val="center"/>
              <w:rPr>
                <w:rFonts w:eastAsiaTheme="majorEastAsia"/>
                <w:sz w:val="16"/>
                <w:szCs w:val="16"/>
              </w:rPr>
            </w:pPr>
          </w:p>
        </w:tc>
        <w:tc>
          <w:tcPr>
            <w:tcW w:w="2178" w:type="dxa"/>
            <w:gridSpan w:val="2"/>
            <w:vAlign w:val="center"/>
          </w:tcPr>
          <w:p w14:paraId="7776B062">
            <w:pPr>
              <w:pStyle w:val="33"/>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提供优质招商信息个数</w:t>
            </w:r>
          </w:p>
        </w:tc>
        <w:tc>
          <w:tcPr>
            <w:tcW w:w="1388" w:type="dxa"/>
            <w:vAlign w:val="center"/>
          </w:tcPr>
          <w:p w14:paraId="1D9F96DC">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12</w:t>
            </w:r>
            <w:r>
              <w:rPr>
                <w:rFonts w:ascii="Times New Roman" w:cs="Times New Roman" w:hAnsiTheme="majorEastAsia" w:eastAsiaTheme="majorEastAsia"/>
                <w:sz w:val="16"/>
                <w:szCs w:val="16"/>
              </w:rPr>
              <w:t>个</w:t>
            </w:r>
          </w:p>
        </w:tc>
        <w:tc>
          <w:tcPr>
            <w:tcW w:w="1388" w:type="dxa"/>
            <w:vAlign w:val="center"/>
          </w:tcPr>
          <w:p w14:paraId="7FDE172B">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6</w:t>
            </w:r>
            <w:r>
              <w:rPr>
                <w:rFonts w:ascii="Times New Roman" w:cs="Times New Roman" w:hAnsiTheme="majorEastAsia" w:eastAsiaTheme="majorEastAsia"/>
                <w:sz w:val="16"/>
                <w:szCs w:val="16"/>
              </w:rPr>
              <w:t>个</w:t>
            </w:r>
          </w:p>
        </w:tc>
        <w:tc>
          <w:tcPr>
            <w:tcW w:w="1438" w:type="dxa"/>
            <w:vAlign w:val="center"/>
          </w:tcPr>
          <w:p w14:paraId="05E2E6BC">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招商措施需改进</w:t>
            </w:r>
          </w:p>
        </w:tc>
      </w:tr>
      <w:tr w14:paraId="64470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vMerge w:val="continue"/>
            <w:tcBorders>
              <w:top w:val="nil"/>
              <w:bottom w:val="nil"/>
            </w:tcBorders>
            <w:vAlign w:val="center"/>
          </w:tcPr>
          <w:p w14:paraId="10A4D206">
            <w:pPr>
              <w:jc w:val="center"/>
              <w:rPr>
                <w:rFonts w:eastAsiaTheme="majorEastAsia"/>
                <w:sz w:val="16"/>
                <w:szCs w:val="16"/>
              </w:rPr>
            </w:pPr>
          </w:p>
        </w:tc>
        <w:tc>
          <w:tcPr>
            <w:tcW w:w="629" w:type="dxa"/>
            <w:vMerge w:val="continue"/>
            <w:tcBorders>
              <w:top w:val="nil"/>
              <w:bottom w:val="nil"/>
            </w:tcBorders>
            <w:vAlign w:val="center"/>
          </w:tcPr>
          <w:p w14:paraId="38787BB5">
            <w:pPr>
              <w:jc w:val="center"/>
              <w:rPr>
                <w:rFonts w:eastAsiaTheme="majorEastAsia"/>
                <w:sz w:val="16"/>
                <w:szCs w:val="16"/>
              </w:rPr>
            </w:pPr>
          </w:p>
        </w:tc>
        <w:tc>
          <w:tcPr>
            <w:tcW w:w="1119" w:type="dxa"/>
            <w:vMerge w:val="restart"/>
            <w:tcBorders>
              <w:bottom w:val="nil"/>
            </w:tcBorders>
            <w:vAlign w:val="center"/>
          </w:tcPr>
          <w:p w14:paraId="3BF010B5">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质量指标</w:t>
            </w:r>
          </w:p>
        </w:tc>
        <w:tc>
          <w:tcPr>
            <w:tcW w:w="2178" w:type="dxa"/>
            <w:gridSpan w:val="2"/>
            <w:vAlign w:val="center"/>
          </w:tcPr>
          <w:p w14:paraId="0BBFE2EA">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人员工资发放率</w:t>
            </w:r>
          </w:p>
        </w:tc>
        <w:tc>
          <w:tcPr>
            <w:tcW w:w="1388" w:type="dxa"/>
            <w:vAlign w:val="center"/>
          </w:tcPr>
          <w:p w14:paraId="3A9B12D8">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=100%</w:t>
            </w:r>
          </w:p>
        </w:tc>
        <w:tc>
          <w:tcPr>
            <w:tcW w:w="1388" w:type="dxa"/>
            <w:vAlign w:val="center"/>
          </w:tcPr>
          <w:p w14:paraId="1E30D26E">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=100%</w:t>
            </w:r>
          </w:p>
        </w:tc>
        <w:tc>
          <w:tcPr>
            <w:tcW w:w="1438" w:type="dxa"/>
            <w:vAlign w:val="center"/>
          </w:tcPr>
          <w:p w14:paraId="218DC721">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无</w:t>
            </w:r>
          </w:p>
        </w:tc>
      </w:tr>
      <w:tr w14:paraId="1E393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Merge w:val="continue"/>
            <w:tcBorders>
              <w:top w:val="nil"/>
              <w:bottom w:val="nil"/>
            </w:tcBorders>
            <w:vAlign w:val="center"/>
          </w:tcPr>
          <w:p w14:paraId="1AE220A8">
            <w:pPr>
              <w:jc w:val="center"/>
              <w:rPr>
                <w:rFonts w:eastAsiaTheme="majorEastAsia"/>
                <w:sz w:val="16"/>
                <w:szCs w:val="16"/>
              </w:rPr>
            </w:pPr>
          </w:p>
        </w:tc>
        <w:tc>
          <w:tcPr>
            <w:tcW w:w="629" w:type="dxa"/>
            <w:vMerge w:val="continue"/>
            <w:tcBorders>
              <w:top w:val="nil"/>
              <w:bottom w:val="nil"/>
            </w:tcBorders>
            <w:vAlign w:val="center"/>
          </w:tcPr>
          <w:p w14:paraId="0E2AE621">
            <w:pPr>
              <w:jc w:val="center"/>
              <w:rPr>
                <w:rFonts w:eastAsiaTheme="majorEastAsia"/>
                <w:sz w:val="16"/>
                <w:szCs w:val="16"/>
              </w:rPr>
            </w:pPr>
          </w:p>
        </w:tc>
        <w:tc>
          <w:tcPr>
            <w:tcW w:w="1119" w:type="dxa"/>
            <w:vMerge w:val="continue"/>
            <w:tcBorders>
              <w:top w:val="nil"/>
              <w:bottom w:val="nil"/>
            </w:tcBorders>
            <w:vAlign w:val="center"/>
          </w:tcPr>
          <w:p w14:paraId="298E4A82">
            <w:pPr>
              <w:jc w:val="center"/>
              <w:rPr>
                <w:rFonts w:eastAsiaTheme="majorEastAsia"/>
                <w:sz w:val="16"/>
                <w:szCs w:val="16"/>
              </w:rPr>
            </w:pPr>
          </w:p>
        </w:tc>
        <w:tc>
          <w:tcPr>
            <w:tcW w:w="2178" w:type="dxa"/>
            <w:gridSpan w:val="2"/>
            <w:vAlign w:val="center"/>
          </w:tcPr>
          <w:p w14:paraId="7A627D95">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助推企业发展</w:t>
            </w:r>
          </w:p>
        </w:tc>
        <w:tc>
          <w:tcPr>
            <w:tcW w:w="1388" w:type="dxa"/>
            <w:vAlign w:val="center"/>
          </w:tcPr>
          <w:p w14:paraId="0C7B2CED">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=100%</w:t>
            </w:r>
          </w:p>
        </w:tc>
        <w:tc>
          <w:tcPr>
            <w:tcW w:w="1388" w:type="dxa"/>
            <w:vAlign w:val="center"/>
          </w:tcPr>
          <w:p w14:paraId="66B68C56">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100%</w:t>
            </w:r>
          </w:p>
        </w:tc>
        <w:tc>
          <w:tcPr>
            <w:tcW w:w="1438" w:type="dxa"/>
            <w:vAlign w:val="center"/>
          </w:tcPr>
          <w:p w14:paraId="5165E51E">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无</w:t>
            </w:r>
          </w:p>
        </w:tc>
      </w:tr>
      <w:tr w14:paraId="786C4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34" w:type="dxa"/>
            <w:vMerge w:val="continue"/>
            <w:tcBorders>
              <w:top w:val="nil"/>
              <w:bottom w:val="nil"/>
            </w:tcBorders>
            <w:vAlign w:val="center"/>
          </w:tcPr>
          <w:p w14:paraId="3C0E86EA">
            <w:pPr>
              <w:jc w:val="center"/>
              <w:rPr>
                <w:rFonts w:eastAsiaTheme="majorEastAsia"/>
                <w:sz w:val="16"/>
                <w:szCs w:val="16"/>
              </w:rPr>
            </w:pPr>
          </w:p>
        </w:tc>
        <w:tc>
          <w:tcPr>
            <w:tcW w:w="629" w:type="dxa"/>
            <w:vMerge w:val="continue"/>
            <w:tcBorders>
              <w:top w:val="nil"/>
              <w:bottom w:val="nil"/>
            </w:tcBorders>
            <w:vAlign w:val="center"/>
          </w:tcPr>
          <w:p w14:paraId="27857C36">
            <w:pPr>
              <w:jc w:val="center"/>
              <w:rPr>
                <w:rFonts w:eastAsiaTheme="majorEastAsia"/>
                <w:sz w:val="16"/>
                <w:szCs w:val="16"/>
              </w:rPr>
            </w:pPr>
          </w:p>
        </w:tc>
        <w:tc>
          <w:tcPr>
            <w:tcW w:w="1119" w:type="dxa"/>
            <w:vMerge w:val="continue"/>
            <w:tcBorders>
              <w:top w:val="nil"/>
            </w:tcBorders>
            <w:vAlign w:val="center"/>
          </w:tcPr>
          <w:p w14:paraId="0F471166">
            <w:pPr>
              <w:jc w:val="center"/>
              <w:rPr>
                <w:rFonts w:eastAsiaTheme="majorEastAsia"/>
                <w:sz w:val="16"/>
                <w:szCs w:val="16"/>
              </w:rPr>
            </w:pPr>
          </w:p>
        </w:tc>
        <w:tc>
          <w:tcPr>
            <w:tcW w:w="2178" w:type="dxa"/>
            <w:gridSpan w:val="2"/>
            <w:vAlign w:val="center"/>
          </w:tcPr>
          <w:p w14:paraId="11052AAF">
            <w:pPr>
              <w:pStyle w:val="33"/>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解决企业发展存在的问题</w:t>
            </w:r>
          </w:p>
        </w:tc>
        <w:tc>
          <w:tcPr>
            <w:tcW w:w="1388" w:type="dxa"/>
            <w:vAlign w:val="center"/>
          </w:tcPr>
          <w:p w14:paraId="3AEA2F0F">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=100%</w:t>
            </w:r>
          </w:p>
        </w:tc>
        <w:tc>
          <w:tcPr>
            <w:tcW w:w="1388" w:type="dxa"/>
            <w:vAlign w:val="center"/>
          </w:tcPr>
          <w:p w14:paraId="438CEC89">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100%</w:t>
            </w:r>
          </w:p>
        </w:tc>
        <w:tc>
          <w:tcPr>
            <w:tcW w:w="1438" w:type="dxa"/>
            <w:vAlign w:val="center"/>
          </w:tcPr>
          <w:p w14:paraId="3E6AA2F9">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无</w:t>
            </w:r>
          </w:p>
        </w:tc>
      </w:tr>
      <w:tr w14:paraId="34B4D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34" w:type="dxa"/>
            <w:vMerge w:val="continue"/>
            <w:tcBorders>
              <w:top w:val="nil"/>
              <w:bottom w:val="nil"/>
            </w:tcBorders>
            <w:vAlign w:val="center"/>
          </w:tcPr>
          <w:p w14:paraId="139D443E">
            <w:pPr>
              <w:jc w:val="center"/>
              <w:rPr>
                <w:rFonts w:eastAsiaTheme="majorEastAsia"/>
                <w:sz w:val="16"/>
                <w:szCs w:val="16"/>
              </w:rPr>
            </w:pPr>
          </w:p>
        </w:tc>
        <w:tc>
          <w:tcPr>
            <w:tcW w:w="629" w:type="dxa"/>
            <w:vMerge w:val="continue"/>
            <w:tcBorders>
              <w:top w:val="nil"/>
              <w:bottom w:val="nil"/>
            </w:tcBorders>
            <w:vAlign w:val="center"/>
          </w:tcPr>
          <w:p w14:paraId="411A7C0F">
            <w:pPr>
              <w:jc w:val="center"/>
              <w:rPr>
                <w:rFonts w:eastAsiaTheme="majorEastAsia"/>
                <w:sz w:val="16"/>
                <w:szCs w:val="16"/>
              </w:rPr>
            </w:pPr>
          </w:p>
        </w:tc>
        <w:tc>
          <w:tcPr>
            <w:tcW w:w="1119" w:type="dxa"/>
            <w:vAlign w:val="center"/>
          </w:tcPr>
          <w:p w14:paraId="1C0B3023">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时效指标</w:t>
            </w:r>
          </w:p>
        </w:tc>
        <w:tc>
          <w:tcPr>
            <w:tcW w:w="2178" w:type="dxa"/>
            <w:gridSpan w:val="2"/>
            <w:vAlign w:val="center"/>
          </w:tcPr>
          <w:p w14:paraId="59680027">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完成招商任务的时限</w:t>
            </w:r>
          </w:p>
        </w:tc>
        <w:tc>
          <w:tcPr>
            <w:tcW w:w="1388" w:type="dxa"/>
            <w:vAlign w:val="center"/>
          </w:tcPr>
          <w:p w14:paraId="40B06940">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 xml:space="preserve">= 1 </w:t>
            </w:r>
            <w:r>
              <w:rPr>
                <w:rFonts w:ascii="Times New Roman" w:cs="Times New Roman" w:hAnsiTheme="majorEastAsia" w:eastAsiaTheme="majorEastAsia"/>
                <w:sz w:val="16"/>
                <w:szCs w:val="16"/>
              </w:rPr>
              <w:t>年</w:t>
            </w:r>
          </w:p>
        </w:tc>
        <w:tc>
          <w:tcPr>
            <w:tcW w:w="1388" w:type="dxa"/>
            <w:vAlign w:val="center"/>
          </w:tcPr>
          <w:p w14:paraId="4294DD75">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w:t>
            </w:r>
            <w:r>
              <w:rPr>
                <w:rFonts w:ascii="Times New Roman" w:cs="Times New Roman" w:hAnsiTheme="majorEastAsia" w:eastAsiaTheme="majorEastAsia"/>
                <w:sz w:val="16"/>
                <w:szCs w:val="16"/>
              </w:rPr>
              <w:t>年</w:t>
            </w:r>
          </w:p>
        </w:tc>
        <w:tc>
          <w:tcPr>
            <w:tcW w:w="1438" w:type="dxa"/>
            <w:vAlign w:val="center"/>
          </w:tcPr>
          <w:p w14:paraId="4B1EAB91">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无</w:t>
            </w:r>
          </w:p>
        </w:tc>
      </w:tr>
      <w:tr w14:paraId="16016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34" w:type="dxa"/>
            <w:vMerge w:val="continue"/>
            <w:tcBorders>
              <w:top w:val="nil"/>
              <w:bottom w:val="nil"/>
            </w:tcBorders>
            <w:vAlign w:val="center"/>
          </w:tcPr>
          <w:p w14:paraId="6BEBD23C">
            <w:pPr>
              <w:jc w:val="center"/>
              <w:rPr>
                <w:rFonts w:eastAsiaTheme="majorEastAsia"/>
                <w:sz w:val="16"/>
                <w:szCs w:val="16"/>
              </w:rPr>
            </w:pPr>
          </w:p>
        </w:tc>
        <w:tc>
          <w:tcPr>
            <w:tcW w:w="629" w:type="dxa"/>
            <w:vMerge w:val="continue"/>
            <w:tcBorders>
              <w:top w:val="nil"/>
              <w:bottom w:val="nil"/>
            </w:tcBorders>
            <w:vAlign w:val="center"/>
          </w:tcPr>
          <w:p w14:paraId="63F4ACD8">
            <w:pPr>
              <w:jc w:val="center"/>
              <w:rPr>
                <w:rFonts w:eastAsiaTheme="majorEastAsia"/>
                <w:sz w:val="16"/>
                <w:szCs w:val="16"/>
              </w:rPr>
            </w:pPr>
          </w:p>
        </w:tc>
        <w:tc>
          <w:tcPr>
            <w:tcW w:w="1119" w:type="dxa"/>
            <w:vMerge w:val="restart"/>
            <w:tcBorders>
              <w:bottom w:val="nil"/>
            </w:tcBorders>
            <w:vAlign w:val="center"/>
          </w:tcPr>
          <w:p w14:paraId="0E542FD4">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成本指标</w:t>
            </w:r>
          </w:p>
        </w:tc>
        <w:tc>
          <w:tcPr>
            <w:tcW w:w="2178" w:type="dxa"/>
            <w:gridSpan w:val="2"/>
            <w:vAlign w:val="center"/>
          </w:tcPr>
          <w:p w14:paraId="29716874">
            <w:pPr>
              <w:pStyle w:val="33"/>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人员工资及单位运转费用</w:t>
            </w:r>
          </w:p>
        </w:tc>
        <w:tc>
          <w:tcPr>
            <w:tcW w:w="1388" w:type="dxa"/>
            <w:vAlign w:val="center"/>
          </w:tcPr>
          <w:p w14:paraId="7AA0F658">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&lt;104.58</w:t>
            </w:r>
            <w:r>
              <w:rPr>
                <w:rFonts w:ascii="Times New Roman" w:cs="Times New Roman" w:hAnsiTheme="majorEastAsia" w:eastAsiaTheme="majorEastAsia"/>
                <w:sz w:val="16"/>
                <w:szCs w:val="16"/>
              </w:rPr>
              <w:t>万元</w:t>
            </w:r>
          </w:p>
        </w:tc>
        <w:tc>
          <w:tcPr>
            <w:tcW w:w="1388" w:type="dxa"/>
            <w:vAlign w:val="center"/>
          </w:tcPr>
          <w:p w14:paraId="510E94D9">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104.58</w:t>
            </w:r>
            <w:r>
              <w:rPr>
                <w:rFonts w:ascii="Times New Roman" w:cs="Times New Roman" w:hAnsiTheme="majorEastAsia" w:eastAsiaTheme="majorEastAsia"/>
                <w:sz w:val="16"/>
                <w:szCs w:val="16"/>
              </w:rPr>
              <w:t>万元</w:t>
            </w:r>
          </w:p>
        </w:tc>
        <w:tc>
          <w:tcPr>
            <w:tcW w:w="1438" w:type="dxa"/>
            <w:vAlign w:val="center"/>
          </w:tcPr>
          <w:p w14:paraId="34D3E2B7">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无</w:t>
            </w:r>
          </w:p>
        </w:tc>
      </w:tr>
      <w:tr w14:paraId="05D6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Merge w:val="continue"/>
            <w:tcBorders>
              <w:top w:val="nil"/>
              <w:bottom w:val="nil"/>
            </w:tcBorders>
            <w:vAlign w:val="center"/>
          </w:tcPr>
          <w:p w14:paraId="4AEBD29A">
            <w:pPr>
              <w:jc w:val="center"/>
              <w:rPr>
                <w:rFonts w:eastAsiaTheme="majorEastAsia"/>
                <w:sz w:val="16"/>
                <w:szCs w:val="16"/>
              </w:rPr>
            </w:pPr>
          </w:p>
        </w:tc>
        <w:tc>
          <w:tcPr>
            <w:tcW w:w="629" w:type="dxa"/>
            <w:vMerge w:val="continue"/>
            <w:tcBorders>
              <w:top w:val="nil"/>
              <w:bottom w:val="nil"/>
            </w:tcBorders>
            <w:vAlign w:val="center"/>
          </w:tcPr>
          <w:p w14:paraId="2A1A945D">
            <w:pPr>
              <w:jc w:val="center"/>
              <w:rPr>
                <w:rFonts w:eastAsiaTheme="majorEastAsia"/>
                <w:sz w:val="16"/>
                <w:szCs w:val="16"/>
              </w:rPr>
            </w:pPr>
          </w:p>
        </w:tc>
        <w:tc>
          <w:tcPr>
            <w:tcW w:w="1119" w:type="dxa"/>
            <w:vMerge w:val="continue"/>
            <w:tcBorders>
              <w:top w:val="nil"/>
            </w:tcBorders>
            <w:vAlign w:val="center"/>
          </w:tcPr>
          <w:p w14:paraId="3143FBCF">
            <w:pPr>
              <w:jc w:val="center"/>
              <w:rPr>
                <w:rFonts w:eastAsiaTheme="majorEastAsia"/>
                <w:sz w:val="16"/>
                <w:szCs w:val="16"/>
              </w:rPr>
            </w:pPr>
          </w:p>
        </w:tc>
        <w:tc>
          <w:tcPr>
            <w:tcW w:w="2178" w:type="dxa"/>
            <w:gridSpan w:val="2"/>
            <w:vAlign w:val="center"/>
          </w:tcPr>
          <w:p w14:paraId="393D577D">
            <w:pPr>
              <w:pStyle w:val="33"/>
              <w:ind w:hanging="19"/>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招商引资、企业家座谈会、</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驻外商会企业联系席费用</w:t>
            </w:r>
          </w:p>
        </w:tc>
        <w:tc>
          <w:tcPr>
            <w:tcW w:w="1388" w:type="dxa"/>
            <w:vAlign w:val="center"/>
          </w:tcPr>
          <w:p w14:paraId="009708C0">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≤74</w:t>
            </w:r>
            <w:r>
              <w:rPr>
                <w:rFonts w:ascii="Times New Roman" w:cs="Times New Roman" w:hAnsiTheme="majorEastAsia" w:eastAsiaTheme="majorEastAsia"/>
                <w:sz w:val="16"/>
                <w:szCs w:val="16"/>
              </w:rPr>
              <w:t>万元</w:t>
            </w:r>
          </w:p>
        </w:tc>
        <w:tc>
          <w:tcPr>
            <w:tcW w:w="1388" w:type="dxa"/>
            <w:vAlign w:val="center"/>
          </w:tcPr>
          <w:p w14:paraId="2BF30C29">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74</w:t>
            </w:r>
            <w:r>
              <w:rPr>
                <w:rFonts w:ascii="Times New Roman" w:cs="Times New Roman" w:hAnsiTheme="majorEastAsia" w:eastAsiaTheme="majorEastAsia"/>
                <w:sz w:val="16"/>
                <w:szCs w:val="16"/>
              </w:rPr>
              <w:t>万元</w:t>
            </w:r>
          </w:p>
        </w:tc>
        <w:tc>
          <w:tcPr>
            <w:tcW w:w="1438" w:type="dxa"/>
            <w:vAlign w:val="center"/>
          </w:tcPr>
          <w:p w14:paraId="11CDAE96">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无</w:t>
            </w:r>
          </w:p>
        </w:tc>
      </w:tr>
      <w:tr w14:paraId="146DB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Merge w:val="continue"/>
            <w:tcBorders>
              <w:top w:val="nil"/>
              <w:bottom w:val="nil"/>
            </w:tcBorders>
            <w:vAlign w:val="center"/>
          </w:tcPr>
          <w:p w14:paraId="44903C5A">
            <w:pPr>
              <w:jc w:val="center"/>
              <w:rPr>
                <w:rFonts w:eastAsiaTheme="majorEastAsia"/>
                <w:sz w:val="16"/>
                <w:szCs w:val="16"/>
              </w:rPr>
            </w:pPr>
          </w:p>
        </w:tc>
        <w:tc>
          <w:tcPr>
            <w:tcW w:w="629" w:type="dxa"/>
            <w:vMerge w:val="continue"/>
            <w:tcBorders>
              <w:top w:val="nil"/>
              <w:bottom w:val="nil"/>
            </w:tcBorders>
            <w:vAlign w:val="center"/>
          </w:tcPr>
          <w:p w14:paraId="29E26332">
            <w:pPr>
              <w:jc w:val="center"/>
              <w:rPr>
                <w:rFonts w:eastAsiaTheme="majorEastAsia"/>
                <w:sz w:val="16"/>
                <w:szCs w:val="16"/>
              </w:rPr>
            </w:pPr>
          </w:p>
        </w:tc>
        <w:tc>
          <w:tcPr>
            <w:tcW w:w="1119" w:type="dxa"/>
            <w:vAlign w:val="center"/>
          </w:tcPr>
          <w:p w14:paraId="7F1EF1A8">
            <w:pPr>
              <w:pStyle w:val="33"/>
              <w:ind w:hanging="379"/>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社会效益指</w:t>
            </w:r>
            <w:r>
              <w:rPr>
                <w:rFonts w:ascii="Times New Roman" w:hAnsi="Times New Roman" w:cs="Times New Roman" w:eastAsiaTheme="majorEastAsia"/>
                <w:sz w:val="16"/>
                <w:szCs w:val="16"/>
              </w:rPr>
              <w:t xml:space="preserve"> </w:t>
            </w:r>
            <w:r>
              <w:rPr>
                <w:rFonts w:ascii="Times New Roman" w:cs="Times New Roman" w:hAnsiTheme="majorEastAsia" w:eastAsiaTheme="majorEastAsia"/>
                <w:sz w:val="16"/>
                <w:szCs w:val="16"/>
              </w:rPr>
              <w:t>标</w:t>
            </w:r>
          </w:p>
        </w:tc>
        <w:tc>
          <w:tcPr>
            <w:tcW w:w="2178" w:type="dxa"/>
            <w:gridSpan w:val="2"/>
            <w:vAlign w:val="center"/>
          </w:tcPr>
          <w:p w14:paraId="206FFD53">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促进经济高质量发展</w:t>
            </w:r>
          </w:p>
        </w:tc>
        <w:tc>
          <w:tcPr>
            <w:tcW w:w="1388" w:type="dxa"/>
            <w:vAlign w:val="center"/>
          </w:tcPr>
          <w:p w14:paraId="2694CF10">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优</w:t>
            </w:r>
          </w:p>
        </w:tc>
        <w:tc>
          <w:tcPr>
            <w:tcW w:w="1388" w:type="dxa"/>
            <w:vAlign w:val="center"/>
          </w:tcPr>
          <w:p w14:paraId="3C057569">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优</w:t>
            </w:r>
          </w:p>
        </w:tc>
        <w:tc>
          <w:tcPr>
            <w:tcW w:w="1438" w:type="dxa"/>
            <w:vAlign w:val="center"/>
          </w:tcPr>
          <w:p w14:paraId="2D74916A">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无</w:t>
            </w:r>
          </w:p>
        </w:tc>
      </w:tr>
      <w:tr w14:paraId="6DFA3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Merge w:val="continue"/>
            <w:tcBorders>
              <w:top w:val="nil"/>
              <w:bottom w:val="nil"/>
            </w:tcBorders>
            <w:vAlign w:val="center"/>
          </w:tcPr>
          <w:p w14:paraId="1116C032">
            <w:pPr>
              <w:jc w:val="center"/>
              <w:rPr>
                <w:rFonts w:eastAsiaTheme="majorEastAsia"/>
                <w:sz w:val="16"/>
                <w:szCs w:val="16"/>
              </w:rPr>
            </w:pPr>
          </w:p>
        </w:tc>
        <w:tc>
          <w:tcPr>
            <w:tcW w:w="629" w:type="dxa"/>
            <w:vMerge w:val="continue"/>
            <w:tcBorders>
              <w:top w:val="nil"/>
              <w:bottom w:val="single" w:color="000000" w:sz="4" w:space="0"/>
            </w:tcBorders>
            <w:vAlign w:val="center"/>
          </w:tcPr>
          <w:p w14:paraId="6374D136">
            <w:pPr>
              <w:jc w:val="center"/>
              <w:rPr>
                <w:rFonts w:eastAsiaTheme="majorEastAsia"/>
                <w:sz w:val="16"/>
                <w:szCs w:val="16"/>
              </w:rPr>
            </w:pPr>
          </w:p>
        </w:tc>
        <w:tc>
          <w:tcPr>
            <w:tcW w:w="1119" w:type="dxa"/>
            <w:vAlign w:val="center"/>
          </w:tcPr>
          <w:p w14:paraId="32C011AC">
            <w:pPr>
              <w:pStyle w:val="33"/>
              <w:ind w:hanging="290"/>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可持续影响</w:t>
            </w:r>
            <w:r>
              <w:rPr>
                <w:rFonts w:ascii="Times New Roman" w:hAnsi="Times New Roman" w:cs="Times New Roman" w:eastAsiaTheme="majorEastAsia"/>
                <w:sz w:val="16"/>
                <w:szCs w:val="16"/>
              </w:rPr>
              <w:t xml:space="preserve"> </w:t>
            </w:r>
            <w:r>
              <w:rPr>
                <w:rFonts w:ascii="Times New Roman" w:cs="Times New Roman" w:hAnsiTheme="majorEastAsia" w:eastAsiaTheme="majorEastAsia"/>
                <w:sz w:val="16"/>
                <w:szCs w:val="16"/>
              </w:rPr>
              <w:t>指标</w:t>
            </w:r>
          </w:p>
        </w:tc>
        <w:tc>
          <w:tcPr>
            <w:tcW w:w="2178" w:type="dxa"/>
            <w:gridSpan w:val="2"/>
            <w:vAlign w:val="center"/>
          </w:tcPr>
          <w:p w14:paraId="35A1CBCE">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吸引企业落户</w:t>
            </w:r>
          </w:p>
        </w:tc>
        <w:tc>
          <w:tcPr>
            <w:tcW w:w="1388" w:type="dxa"/>
            <w:vAlign w:val="center"/>
          </w:tcPr>
          <w:p w14:paraId="42978D91">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优</w:t>
            </w:r>
          </w:p>
        </w:tc>
        <w:tc>
          <w:tcPr>
            <w:tcW w:w="1388" w:type="dxa"/>
            <w:vAlign w:val="center"/>
          </w:tcPr>
          <w:p w14:paraId="13F140EC">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优</w:t>
            </w:r>
          </w:p>
        </w:tc>
        <w:tc>
          <w:tcPr>
            <w:tcW w:w="1438" w:type="dxa"/>
            <w:vAlign w:val="center"/>
          </w:tcPr>
          <w:p w14:paraId="31C0CBC8">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无</w:t>
            </w:r>
          </w:p>
        </w:tc>
      </w:tr>
      <w:tr w14:paraId="19E2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34" w:type="dxa"/>
            <w:vMerge w:val="continue"/>
            <w:tcBorders>
              <w:top w:val="nil"/>
            </w:tcBorders>
            <w:vAlign w:val="center"/>
          </w:tcPr>
          <w:p w14:paraId="641E0635">
            <w:pPr>
              <w:jc w:val="center"/>
              <w:rPr>
                <w:rFonts w:eastAsiaTheme="majorEastAsia"/>
                <w:sz w:val="16"/>
                <w:szCs w:val="16"/>
              </w:rPr>
            </w:pPr>
          </w:p>
        </w:tc>
        <w:tc>
          <w:tcPr>
            <w:tcW w:w="629" w:type="dxa"/>
            <w:shd w:val="clear" w:color="auto" w:fill="auto"/>
            <w:vAlign w:val="center"/>
          </w:tcPr>
          <w:p w14:paraId="7153576A">
            <w:pPr>
              <w:pStyle w:val="33"/>
              <w:ind w:hanging="110"/>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满意度</w:t>
            </w:r>
            <w:r>
              <w:rPr>
                <w:rFonts w:ascii="Times New Roman" w:hAnsi="Times New Roman" w:cs="Times New Roman" w:eastAsiaTheme="majorEastAsia"/>
                <w:sz w:val="16"/>
                <w:szCs w:val="16"/>
              </w:rPr>
              <w:t xml:space="preserve"> </w:t>
            </w:r>
            <w:r>
              <w:rPr>
                <w:rFonts w:ascii="Times New Roman" w:cs="Times New Roman" w:hAnsiTheme="majorEastAsia" w:eastAsiaTheme="majorEastAsia"/>
                <w:sz w:val="16"/>
                <w:szCs w:val="16"/>
              </w:rPr>
              <w:t>指标</w:t>
            </w:r>
          </w:p>
        </w:tc>
        <w:tc>
          <w:tcPr>
            <w:tcW w:w="1119" w:type="dxa"/>
            <w:vAlign w:val="center"/>
          </w:tcPr>
          <w:p w14:paraId="6404D780">
            <w:pPr>
              <w:pStyle w:val="33"/>
              <w:ind w:hanging="110"/>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服务对象满</w:t>
            </w:r>
            <w:r>
              <w:rPr>
                <w:rFonts w:ascii="Times New Roman" w:hAnsi="Times New Roman" w:cs="Times New Roman" w:eastAsiaTheme="majorEastAsia"/>
                <w:sz w:val="16"/>
                <w:szCs w:val="16"/>
              </w:rPr>
              <w:t xml:space="preserve"> </w:t>
            </w:r>
            <w:r>
              <w:rPr>
                <w:rFonts w:ascii="Times New Roman" w:cs="Times New Roman" w:hAnsiTheme="majorEastAsia" w:eastAsiaTheme="majorEastAsia"/>
                <w:sz w:val="16"/>
                <w:szCs w:val="16"/>
              </w:rPr>
              <w:t>意度指标</w:t>
            </w:r>
          </w:p>
        </w:tc>
        <w:tc>
          <w:tcPr>
            <w:tcW w:w="2178" w:type="dxa"/>
            <w:gridSpan w:val="2"/>
            <w:vAlign w:val="center"/>
          </w:tcPr>
          <w:p w14:paraId="6EAA2193">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企业满意度</w:t>
            </w:r>
          </w:p>
        </w:tc>
        <w:tc>
          <w:tcPr>
            <w:tcW w:w="1388" w:type="dxa"/>
            <w:vAlign w:val="center"/>
          </w:tcPr>
          <w:p w14:paraId="39B4AB30">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90%</w:t>
            </w:r>
          </w:p>
        </w:tc>
        <w:tc>
          <w:tcPr>
            <w:tcW w:w="1388" w:type="dxa"/>
            <w:vAlign w:val="center"/>
          </w:tcPr>
          <w:p w14:paraId="6B7A7693">
            <w:pPr>
              <w:pStyle w:val="33"/>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95%</w:t>
            </w:r>
          </w:p>
        </w:tc>
        <w:tc>
          <w:tcPr>
            <w:tcW w:w="1438" w:type="dxa"/>
            <w:vAlign w:val="center"/>
          </w:tcPr>
          <w:p w14:paraId="23D2AFFC">
            <w:pPr>
              <w:pStyle w:val="33"/>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无</w:t>
            </w:r>
          </w:p>
        </w:tc>
      </w:tr>
    </w:tbl>
    <w:p w14:paraId="6EA3C542">
      <w:pPr>
        <w:spacing w:line="576" w:lineRule="exact"/>
        <w:rPr>
          <w:rFonts w:eastAsia="黑体"/>
          <w:bCs/>
          <w:sz w:val="32"/>
          <w:szCs w:val="32"/>
        </w:rPr>
      </w:pPr>
      <w:r>
        <w:br w:type="page"/>
      </w:r>
      <w:r>
        <w:rPr>
          <w:rFonts w:hAnsi="黑体" w:eastAsia="黑体"/>
          <w:bCs/>
          <w:sz w:val="32"/>
          <w:szCs w:val="32"/>
        </w:rPr>
        <w:t>附件</w:t>
      </w:r>
      <w:r>
        <w:rPr>
          <w:rFonts w:eastAsia="黑体"/>
          <w:bCs/>
          <w:sz w:val="32"/>
          <w:szCs w:val="32"/>
        </w:rPr>
        <w:t>2:</w:t>
      </w:r>
    </w:p>
    <w:p w14:paraId="769DA494">
      <w:pPr>
        <w:spacing w:line="576" w:lineRule="exact"/>
        <w:jc w:val="center"/>
        <w:rPr>
          <w:rFonts w:eastAsia="黑体"/>
          <w:b/>
          <w:bCs/>
          <w:sz w:val="32"/>
          <w:szCs w:val="32"/>
        </w:rPr>
      </w:pPr>
      <w:r>
        <w:rPr>
          <w:rFonts w:hAnsi="黑体" w:eastAsia="黑体"/>
          <w:b/>
          <w:bCs/>
          <w:sz w:val="32"/>
          <w:szCs w:val="32"/>
        </w:rPr>
        <w:t>广元市昭化区工商业联合会</w:t>
      </w:r>
      <w:r>
        <w:rPr>
          <w:rFonts w:eastAsia="黑体"/>
          <w:b/>
          <w:bCs/>
          <w:sz w:val="32"/>
          <w:szCs w:val="32"/>
        </w:rPr>
        <w:t>2024</w:t>
      </w:r>
      <w:r>
        <w:rPr>
          <w:rFonts w:hAnsi="黑体" w:eastAsia="黑体"/>
          <w:b/>
          <w:bCs/>
          <w:sz w:val="32"/>
          <w:szCs w:val="32"/>
        </w:rPr>
        <w:t>年部门整体预算绩效自评</w:t>
      </w:r>
    </w:p>
    <w:p w14:paraId="6FE77029">
      <w:pPr>
        <w:spacing w:line="576" w:lineRule="exact"/>
        <w:jc w:val="center"/>
        <w:rPr>
          <w:rFonts w:eastAsia="黑体"/>
          <w:b/>
          <w:bCs/>
          <w:sz w:val="32"/>
          <w:szCs w:val="32"/>
        </w:rPr>
      </w:pPr>
      <w:r>
        <w:rPr>
          <w:rFonts w:hAnsi="黑体" w:eastAsia="黑体"/>
          <w:b/>
          <w:bCs/>
          <w:sz w:val="32"/>
          <w:szCs w:val="32"/>
        </w:rPr>
        <w:t>评分表</w:t>
      </w:r>
      <w:r>
        <w:rPr>
          <w:rFonts w:eastAsia="黑体"/>
          <w:b/>
          <w:bCs/>
          <w:sz w:val="32"/>
          <w:szCs w:val="32"/>
        </w:rPr>
        <w:t>(</w:t>
      </w:r>
      <w:r>
        <w:rPr>
          <w:rFonts w:hAnsi="黑体" w:eastAsia="黑体"/>
          <w:b/>
          <w:bCs/>
          <w:sz w:val="32"/>
          <w:szCs w:val="32"/>
        </w:rPr>
        <w:t>适用于无专项预算的部门</w:t>
      </w:r>
      <w:r>
        <w:rPr>
          <w:rFonts w:eastAsia="黑体"/>
          <w:b/>
          <w:bCs/>
          <w:sz w:val="32"/>
          <w:szCs w:val="32"/>
        </w:rPr>
        <w:t>)</w:t>
      </w:r>
    </w:p>
    <w:tbl>
      <w:tblPr>
        <w:tblStyle w:val="6"/>
        <w:tblW w:w="88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
        <w:gridCol w:w="526"/>
        <w:gridCol w:w="64"/>
        <w:gridCol w:w="419"/>
        <w:gridCol w:w="73"/>
        <w:gridCol w:w="529"/>
        <w:gridCol w:w="43"/>
        <w:gridCol w:w="379"/>
        <w:gridCol w:w="50"/>
        <w:gridCol w:w="1995"/>
        <w:gridCol w:w="340"/>
        <w:gridCol w:w="3658"/>
        <w:gridCol w:w="205"/>
        <w:gridCol w:w="260"/>
        <w:gridCol w:w="307"/>
      </w:tblGrid>
      <w:tr w14:paraId="0EB48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7" w:type="dxa"/>
          <w:trHeight w:val="295" w:hRule="atLeast"/>
          <w:jc w:val="center"/>
        </w:trPr>
        <w:tc>
          <w:tcPr>
            <w:tcW w:w="1661" w:type="dxa"/>
            <w:gridSpan w:val="7"/>
            <w:vAlign w:val="center"/>
          </w:tcPr>
          <w:p w14:paraId="1054F546">
            <w:pPr>
              <w:pStyle w:val="33"/>
              <w:spacing w:line="200" w:lineRule="exact"/>
              <w:jc w:val="center"/>
              <w:rPr>
                <w:rFonts w:ascii="Times New Roman" w:hAnsi="Times New Roman" w:eastAsia="黑体" w:cs="Times New Roman"/>
                <w:sz w:val="16"/>
                <w:szCs w:val="16"/>
              </w:rPr>
            </w:pPr>
            <w:r>
              <w:rPr>
                <w:rFonts w:ascii="Times New Roman" w:hAnsi="黑体" w:eastAsia="黑体" w:cs="Times New Roman"/>
                <w:sz w:val="16"/>
                <w:szCs w:val="16"/>
              </w:rPr>
              <w:t>绩效指标</w:t>
            </w:r>
          </w:p>
        </w:tc>
        <w:tc>
          <w:tcPr>
            <w:tcW w:w="429" w:type="dxa"/>
            <w:gridSpan w:val="2"/>
            <w:vMerge w:val="restart"/>
            <w:tcBorders>
              <w:bottom w:val="nil"/>
            </w:tcBorders>
            <w:vAlign w:val="center"/>
          </w:tcPr>
          <w:p w14:paraId="79EF036D">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rPr>
              <w:t>指标</w:t>
            </w:r>
          </w:p>
          <w:p w14:paraId="67AA2A2F">
            <w:pPr>
              <w:pStyle w:val="33"/>
              <w:spacing w:line="200" w:lineRule="exact"/>
              <w:jc w:val="center"/>
              <w:rPr>
                <w:rFonts w:ascii="Times New Roman" w:hAnsi="Times New Roman" w:eastAsia="黑体" w:cs="Times New Roman"/>
                <w:sz w:val="16"/>
                <w:szCs w:val="16"/>
              </w:rPr>
            </w:pPr>
            <w:r>
              <w:rPr>
                <w:rFonts w:ascii="Times New Roman" w:hAnsi="黑体" w:eastAsia="黑体" w:cs="Times New Roman"/>
                <w:sz w:val="16"/>
                <w:szCs w:val="16"/>
              </w:rPr>
              <w:t>分值</w:t>
            </w:r>
          </w:p>
        </w:tc>
        <w:tc>
          <w:tcPr>
            <w:tcW w:w="2335" w:type="dxa"/>
            <w:gridSpan w:val="2"/>
            <w:vMerge w:val="restart"/>
            <w:tcBorders>
              <w:bottom w:val="nil"/>
            </w:tcBorders>
            <w:vAlign w:val="center"/>
          </w:tcPr>
          <w:p w14:paraId="677F065D">
            <w:pPr>
              <w:pStyle w:val="33"/>
              <w:spacing w:line="200" w:lineRule="exact"/>
              <w:jc w:val="center"/>
              <w:rPr>
                <w:rFonts w:ascii="Times New Roman" w:hAnsi="Times New Roman" w:eastAsia="黑体" w:cs="Times New Roman"/>
                <w:sz w:val="16"/>
                <w:szCs w:val="16"/>
              </w:rPr>
            </w:pPr>
            <w:r>
              <w:rPr>
                <w:rFonts w:ascii="Times New Roman" w:hAnsi="黑体" w:eastAsia="黑体" w:cs="Times New Roman"/>
                <w:sz w:val="16"/>
                <w:szCs w:val="16"/>
              </w:rPr>
              <w:t>指标解释</w:t>
            </w:r>
          </w:p>
        </w:tc>
        <w:tc>
          <w:tcPr>
            <w:tcW w:w="3658" w:type="dxa"/>
            <w:vMerge w:val="restart"/>
            <w:vAlign w:val="center"/>
          </w:tcPr>
          <w:p w14:paraId="4377EBE5">
            <w:pPr>
              <w:pStyle w:val="33"/>
              <w:spacing w:line="200" w:lineRule="exact"/>
              <w:jc w:val="center"/>
              <w:rPr>
                <w:rFonts w:ascii="Times New Roman" w:hAnsi="Times New Roman" w:eastAsia="黑体" w:cs="Times New Roman"/>
                <w:sz w:val="16"/>
                <w:szCs w:val="16"/>
              </w:rPr>
            </w:pPr>
            <w:r>
              <w:rPr>
                <w:rFonts w:ascii="Times New Roman" w:hAnsi="黑体" w:eastAsia="黑体" w:cs="Times New Roman"/>
                <w:sz w:val="16"/>
                <w:szCs w:val="16"/>
              </w:rPr>
              <w:t>评价要点及说明</w:t>
            </w:r>
          </w:p>
        </w:tc>
        <w:tc>
          <w:tcPr>
            <w:tcW w:w="465" w:type="dxa"/>
            <w:gridSpan w:val="2"/>
            <w:vMerge w:val="restart"/>
            <w:vAlign w:val="center"/>
          </w:tcPr>
          <w:p w14:paraId="00714787">
            <w:pPr>
              <w:pStyle w:val="33"/>
              <w:spacing w:line="200" w:lineRule="exact"/>
              <w:jc w:val="center"/>
              <w:rPr>
                <w:rFonts w:ascii="Times New Roman" w:hAnsi="Times New Roman" w:eastAsia="黑体" w:cs="Times New Roman"/>
                <w:sz w:val="16"/>
                <w:szCs w:val="16"/>
              </w:rPr>
            </w:pPr>
            <w:r>
              <w:rPr>
                <w:rFonts w:ascii="Times New Roman" w:hAnsi="黑体" w:eastAsia="黑体" w:cs="Times New Roman"/>
                <w:sz w:val="16"/>
                <w:szCs w:val="16"/>
              </w:rPr>
              <w:t>自评得分</w:t>
            </w:r>
          </w:p>
        </w:tc>
      </w:tr>
      <w:tr w14:paraId="6BE3D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7" w:type="dxa"/>
          <w:trHeight w:val="310" w:hRule="atLeast"/>
          <w:jc w:val="center"/>
        </w:trPr>
        <w:tc>
          <w:tcPr>
            <w:tcW w:w="533" w:type="dxa"/>
            <w:gridSpan w:val="2"/>
            <w:vAlign w:val="center"/>
          </w:tcPr>
          <w:p w14:paraId="49866202">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一</w:t>
            </w:r>
            <w:r>
              <w:rPr>
                <w:rFonts w:ascii="Times New Roman" w:hAnsi="黑体" w:eastAsia="黑体" w:cs="Times New Roman"/>
                <w:sz w:val="16"/>
                <w:szCs w:val="16"/>
              </w:rPr>
              <w:t>级</w:t>
            </w:r>
          </w:p>
          <w:p w14:paraId="018B719E">
            <w:pPr>
              <w:pStyle w:val="33"/>
              <w:spacing w:line="200" w:lineRule="exact"/>
              <w:jc w:val="center"/>
              <w:rPr>
                <w:rFonts w:ascii="Times New Roman" w:hAnsi="Times New Roman" w:eastAsia="黑体" w:cs="Times New Roman"/>
                <w:sz w:val="16"/>
                <w:szCs w:val="16"/>
              </w:rPr>
            </w:pPr>
            <w:r>
              <w:rPr>
                <w:rFonts w:ascii="Times New Roman" w:hAnsi="黑体" w:eastAsia="黑体" w:cs="Times New Roman"/>
                <w:sz w:val="16"/>
                <w:szCs w:val="16"/>
              </w:rPr>
              <w:t>指标</w:t>
            </w:r>
          </w:p>
        </w:tc>
        <w:tc>
          <w:tcPr>
            <w:tcW w:w="483" w:type="dxa"/>
            <w:gridSpan w:val="2"/>
            <w:vAlign w:val="center"/>
          </w:tcPr>
          <w:p w14:paraId="69D5A995">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rPr>
              <w:t>二级</w:t>
            </w:r>
          </w:p>
          <w:p w14:paraId="6A2F2DE2">
            <w:pPr>
              <w:pStyle w:val="33"/>
              <w:spacing w:line="200" w:lineRule="exact"/>
              <w:jc w:val="center"/>
              <w:rPr>
                <w:rFonts w:ascii="Times New Roman" w:hAnsi="Times New Roman" w:eastAsia="黑体" w:cs="Times New Roman"/>
                <w:sz w:val="16"/>
                <w:szCs w:val="16"/>
              </w:rPr>
            </w:pPr>
            <w:r>
              <w:rPr>
                <w:rFonts w:ascii="Times New Roman" w:hAnsi="黑体" w:eastAsia="黑体" w:cs="Times New Roman"/>
                <w:sz w:val="16"/>
                <w:szCs w:val="16"/>
              </w:rPr>
              <w:t>指标</w:t>
            </w:r>
          </w:p>
        </w:tc>
        <w:tc>
          <w:tcPr>
            <w:tcW w:w="645" w:type="dxa"/>
            <w:gridSpan w:val="3"/>
            <w:vAlign w:val="center"/>
          </w:tcPr>
          <w:p w14:paraId="4C6A94DF">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三</w:t>
            </w:r>
            <w:r>
              <w:rPr>
                <w:rFonts w:ascii="Times New Roman" w:hAnsi="黑体" w:eastAsia="黑体" w:cs="Times New Roman"/>
                <w:sz w:val="16"/>
                <w:szCs w:val="16"/>
              </w:rPr>
              <w:t>级</w:t>
            </w:r>
          </w:p>
          <w:p w14:paraId="75504048">
            <w:pPr>
              <w:pStyle w:val="33"/>
              <w:spacing w:line="200" w:lineRule="exact"/>
              <w:jc w:val="center"/>
              <w:rPr>
                <w:rFonts w:ascii="Times New Roman" w:hAnsi="Times New Roman" w:eastAsia="黑体" w:cs="Times New Roman"/>
                <w:sz w:val="16"/>
                <w:szCs w:val="16"/>
              </w:rPr>
            </w:pPr>
            <w:r>
              <w:rPr>
                <w:rFonts w:ascii="Times New Roman" w:hAnsi="黑体" w:eastAsia="黑体" w:cs="Times New Roman"/>
                <w:sz w:val="16"/>
                <w:szCs w:val="16"/>
              </w:rPr>
              <w:t>指标</w:t>
            </w:r>
          </w:p>
        </w:tc>
        <w:tc>
          <w:tcPr>
            <w:tcW w:w="429" w:type="dxa"/>
            <w:gridSpan w:val="2"/>
            <w:vMerge w:val="continue"/>
            <w:tcBorders>
              <w:top w:val="nil"/>
            </w:tcBorders>
            <w:vAlign w:val="center"/>
          </w:tcPr>
          <w:p w14:paraId="6B449D7B">
            <w:pPr>
              <w:spacing w:line="200" w:lineRule="exact"/>
              <w:jc w:val="center"/>
              <w:rPr>
                <w:rFonts w:eastAsia="黑体"/>
                <w:sz w:val="16"/>
                <w:szCs w:val="16"/>
              </w:rPr>
            </w:pPr>
          </w:p>
        </w:tc>
        <w:tc>
          <w:tcPr>
            <w:tcW w:w="2335" w:type="dxa"/>
            <w:gridSpan w:val="2"/>
            <w:vMerge w:val="continue"/>
            <w:tcBorders>
              <w:top w:val="nil"/>
            </w:tcBorders>
            <w:vAlign w:val="center"/>
          </w:tcPr>
          <w:p w14:paraId="4CECA7FD">
            <w:pPr>
              <w:spacing w:line="200" w:lineRule="exact"/>
              <w:jc w:val="center"/>
              <w:rPr>
                <w:rFonts w:eastAsia="黑体"/>
                <w:sz w:val="16"/>
                <w:szCs w:val="16"/>
              </w:rPr>
            </w:pPr>
          </w:p>
        </w:tc>
        <w:tc>
          <w:tcPr>
            <w:tcW w:w="3658" w:type="dxa"/>
            <w:vMerge w:val="continue"/>
            <w:vAlign w:val="center"/>
          </w:tcPr>
          <w:p w14:paraId="009F52DD">
            <w:pPr>
              <w:spacing w:line="200" w:lineRule="exact"/>
              <w:jc w:val="center"/>
              <w:rPr>
                <w:rFonts w:eastAsia="黑体"/>
                <w:sz w:val="16"/>
                <w:szCs w:val="16"/>
              </w:rPr>
            </w:pPr>
          </w:p>
        </w:tc>
        <w:tc>
          <w:tcPr>
            <w:tcW w:w="465" w:type="dxa"/>
            <w:gridSpan w:val="2"/>
            <w:vMerge w:val="continue"/>
            <w:vAlign w:val="center"/>
          </w:tcPr>
          <w:p w14:paraId="272AC474">
            <w:pPr>
              <w:spacing w:line="200" w:lineRule="exact"/>
              <w:jc w:val="center"/>
              <w:rPr>
                <w:rFonts w:eastAsia="黑体"/>
                <w:sz w:val="16"/>
                <w:szCs w:val="16"/>
              </w:rPr>
            </w:pPr>
          </w:p>
        </w:tc>
      </w:tr>
      <w:tr w14:paraId="71649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7" w:type="dxa"/>
          <w:trHeight w:val="969" w:hRule="atLeast"/>
          <w:jc w:val="center"/>
        </w:trPr>
        <w:tc>
          <w:tcPr>
            <w:tcW w:w="533" w:type="dxa"/>
            <w:gridSpan w:val="2"/>
            <w:vMerge w:val="restart"/>
            <w:tcBorders>
              <w:bottom w:val="nil"/>
            </w:tcBorders>
            <w:vAlign w:val="center"/>
          </w:tcPr>
          <w:p w14:paraId="7F30C3AB">
            <w:pPr>
              <w:pStyle w:val="33"/>
              <w:spacing w:line="200" w:lineRule="exact"/>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部门预算总</w:t>
            </w:r>
            <w:r>
              <w:rPr>
                <w:rFonts w:ascii="Times New Roman" w:hAnsi="Times New Roman" w:cs="Times New Roman" w:eastAsiaTheme="majorEastAsia"/>
                <w:sz w:val="16"/>
                <w:szCs w:val="16"/>
              </w:rPr>
              <w:t xml:space="preserve"> </w:t>
            </w:r>
            <w:r>
              <w:rPr>
                <w:rFonts w:ascii="Times New Roman" w:cs="Times New Roman" w:hAnsiTheme="majorEastAsia" w:eastAsiaTheme="majorEastAsia"/>
                <w:sz w:val="16"/>
                <w:szCs w:val="16"/>
              </w:rPr>
              <w:t>体绩效</w:t>
            </w:r>
            <w:r>
              <w:rPr>
                <w:rFonts w:ascii="Times New Roman" w:hAnsi="Times New Roman" w:cs="Times New Roman" w:eastAsiaTheme="majorEastAsia"/>
                <w:sz w:val="16"/>
                <w:szCs w:val="16"/>
              </w:rPr>
              <w:t>(50</w:t>
            </w:r>
            <w:r>
              <w:rPr>
                <w:rFonts w:ascii="Times New Roman" w:cs="Times New Roman" w:hAnsiTheme="majorEastAsia" w:eastAsiaTheme="majorEastAsia"/>
                <w:sz w:val="16"/>
                <w:szCs w:val="16"/>
              </w:rPr>
              <w:t>分</w:t>
            </w:r>
            <w:r>
              <w:rPr>
                <w:rFonts w:ascii="Times New Roman" w:hAnsi="Times New Roman" w:cs="Times New Roman" w:eastAsiaTheme="majorEastAsia"/>
                <w:sz w:val="16"/>
                <w:szCs w:val="16"/>
              </w:rPr>
              <w:t>)</w:t>
            </w:r>
          </w:p>
        </w:tc>
        <w:tc>
          <w:tcPr>
            <w:tcW w:w="483" w:type="dxa"/>
            <w:gridSpan w:val="2"/>
            <w:vMerge w:val="restart"/>
            <w:tcBorders>
              <w:bottom w:val="nil"/>
            </w:tcBorders>
            <w:vAlign w:val="center"/>
          </w:tcPr>
          <w:p w14:paraId="3F983C76">
            <w:pPr>
              <w:pStyle w:val="33"/>
              <w:spacing w:line="200" w:lineRule="exact"/>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目标管理</w:t>
            </w:r>
            <w:r>
              <w:rPr>
                <w:rFonts w:ascii="Times New Roman" w:hAnsi="Times New Roman" w:cs="Times New Roman" w:eastAsiaTheme="majorEastAsia"/>
                <w:sz w:val="16"/>
                <w:szCs w:val="16"/>
              </w:rPr>
              <w:t>(22</w:t>
            </w:r>
            <w:r>
              <w:rPr>
                <w:rFonts w:ascii="Times New Roman" w:cs="Times New Roman" w:hAnsiTheme="majorEastAsia" w:eastAsiaTheme="majorEastAsia"/>
                <w:sz w:val="16"/>
                <w:szCs w:val="16"/>
              </w:rPr>
              <w:t>分</w:t>
            </w:r>
            <w:r>
              <w:rPr>
                <w:rFonts w:ascii="Times New Roman" w:hAnsi="Times New Roman" w:cs="Times New Roman" w:eastAsiaTheme="majorEastAsia"/>
                <w:sz w:val="16"/>
                <w:szCs w:val="16"/>
              </w:rPr>
              <w:t>)</w:t>
            </w:r>
          </w:p>
        </w:tc>
        <w:tc>
          <w:tcPr>
            <w:tcW w:w="645" w:type="dxa"/>
            <w:gridSpan w:val="3"/>
            <w:vMerge w:val="restart"/>
            <w:tcBorders>
              <w:bottom w:val="nil"/>
            </w:tcBorders>
            <w:vAlign w:val="center"/>
          </w:tcPr>
          <w:p w14:paraId="1A1A70F2">
            <w:pPr>
              <w:pStyle w:val="33"/>
              <w:spacing w:line="200" w:lineRule="exact"/>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目标制定</w:t>
            </w:r>
            <w:r>
              <w:rPr>
                <w:rFonts w:ascii="Times New Roman" w:hAnsi="Times New Roman" w:cs="Times New Roman" w:eastAsiaTheme="majorEastAsia"/>
                <w:sz w:val="16"/>
                <w:szCs w:val="16"/>
              </w:rPr>
              <w:t>(12</w:t>
            </w:r>
            <w:r>
              <w:rPr>
                <w:rFonts w:ascii="Times New Roman" w:cs="Times New Roman" w:hAnsiTheme="majorEastAsia" w:eastAsiaTheme="majorEastAsia"/>
                <w:sz w:val="16"/>
                <w:szCs w:val="16"/>
              </w:rPr>
              <w:t>分</w:t>
            </w:r>
            <w:r>
              <w:rPr>
                <w:rFonts w:ascii="Times New Roman" w:hAnsi="Times New Roman" w:cs="Times New Roman" w:eastAsiaTheme="majorEastAsia"/>
                <w:sz w:val="16"/>
                <w:szCs w:val="16"/>
              </w:rPr>
              <w:t xml:space="preserve"> )</w:t>
            </w:r>
          </w:p>
        </w:tc>
        <w:tc>
          <w:tcPr>
            <w:tcW w:w="429" w:type="dxa"/>
            <w:gridSpan w:val="2"/>
            <w:vAlign w:val="center"/>
          </w:tcPr>
          <w:p w14:paraId="2CA14A74">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7</w:t>
            </w:r>
          </w:p>
        </w:tc>
        <w:tc>
          <w:tcPr>
            <w:tcW w:w="2335" w:type="dxa"/>
            <w:gridSpan w:val="2"/>
            <w:vAlign w:val="center"/>
          </w:tcPr>
          <w:p w14:paraId="3A5A95D5">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部门年初绩效目标和年度执行中增加预算绩效目标编制</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质量。</w:t>
            </w:r>
          </w:p>
        </w:tc>
        <w:tc>
          <w:tcPr>
            <w:tcW w:w="3658" w:type="dxa"/>
            <w:vAlign w:val="center"/>
          </w:tcPr>
          <w:p w14:paraId="2D5A72B5">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1.</w:t>
            </w:r>
            <w:r>
              <w:rPr>
                <w:rFonts w:ascii="Times New Roman" w:cs="Times New Roman" w:hAnsiTheme="majorEastAsia" w:eastAsiaTheme="majorEastAsia"/>
                <w:sz w:val="16"/>
                <w:szCs w:val="16"/>
                <w:lang w:eastAsia="zh-CN"/>
              </w:rPr>
              <w:t>根据区财政组织开展对部门整体和部门预算项目绩效目标编制在科学合理、规范完</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整、细化量化</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成本指标设置情况</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、与预算安排相匹配等方面情况的会审结果换算得</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分或根据评价组评审得分。</w:t>
            </w:r>
            <w:r>
              <w:rPr>
                <w:rFonts w:ascii="Times New Roman" w:hAnsi="Times New Roman" w:cs="Times New Roman" w:eastAsiaTheme="majorEastAsia"/>
                <w:sz w:val="16"/>
                <w:szCs w:val="16"/>
                <w:lang w:eastAsia="zh-CN"/>
              </w:rPr>
              <w:t>4</w:t>
            </w:r>
            <w:r>
              <w:rPr>
                <w:rFonts w:ascii="Times New Roman" w:cs="Times New Roman" w:hAnsiTheme="majorEastAsia" w:eastAsiaTheme="majorEastAsia"/>
                <w:sz w:val="16"/>
                <w:szCs w:val="16"/>
                <w:lang w:eastAsia="zh-CN"/>
              </w:rPr>
              <w:t>分；</w:t>
            </w:r>
            <w:r>
              <w:rPr>
                <w:rFonts w:ascii="Times New Roman" w:hAnsi="Times New Roman" w:cs="Times New Roman" w:eastAsiaTheme="majorEastAsia"/>
                <w:sz w:val="16"/>
                <w:szCs w:val="16"/>
                <w:lang w:eastAsia="zh-CN"/>
              </w:rPr>
              <w:t>2.</w:t>
            </w:r>
            <w:r>
              <w:rPr>
                <w:rFonts w:ascii="Times New Roman" w:cs="Times New Roman" w:hAnsiTheme="majorEastAsia" w:eastAsiaTheme="majorEastAsia"/>
                <w:sz w:val="16"/>
                <w:szCs w:val="16"/>
                <w:lang w:eastAsia="zh-CN"/>
              </w:rPr>
              <w:t>年度执行中增加的项目预算，根据预算一体化系统</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导出的绩效目标申报表编制质量确定，分值</w:t>
            </w:r>
            <w:r>
              <w:rPr>
                <w:rFonts w:ascii="Times New Roman" w:hAnsi="Times New Roman" w:cs="Times New Roman" w:eastAsiaTheme="majorEastAsia"/>
                <w:sz w:val="16"/>
                <w:szCs w:val="16"/>
                <w:lang w:eastAsia="zh-CN"/>
              </w:rPr>
              <w:t>3</w:t>
            </w:r>
            <w:r>
              <w:rPr>
                <w:rFonts w:ascii="Times New Roman" w:cs="Times New Roman" w:hAnsiTheme="majorEastAsia" w:eastAsiaTheme="majorEastAsia"/>
                <w:sz w:val="16"/>
                <w:szCs w:val="16"/>
                <w:lang w:eastAsia="zh-CN"/>
              </w:rPr>
              <w:t>分。</w:t>
            </w:r>
          </w:p>
        </w:tc>
        <w:tc>
          <w:tcPr>
            <w:tcW w:w="465" w:type="dxa"/>
            <w:gridSpan w:val="2"/>
            <w:vAlign w:val="center"/>
          </w:tcPr>
          <w:p w14:paraId="74D82C92">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7</w:t>
            </w:r>
          </w:p>
        </w:tc>
      </w:tr>
      <w:tr w14:paraId="71BEC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7" w:type="dxa"/>
          <w:trHeight w:val="419" w:hRule="atLeast"/>
          <w:jc w:val="center"/>
        </w:trPr>
        <w:tc>
          <w:tcPr>
            <w:tcW w:w="533" w:type="dxa"/>
            <w:gridSpan w:val="2"/>
            <w:vMerge w:val="continue"/>
            <w:tcBorders>
              <w:top w:val="nil"/>
              <w:bottom w:val="nil"/>
            </w:tcBorders>
            <w:vAlign w:val="center"/>
          </w:tcPr>
          <w:p w14:paraId="7F58C60D">
            <w:pPr>
              <w:spacing w:line="200" w:lineRule="exact"/>
              <w:jc w:val="center"/>
              <w:rPr>
                <w:rFonts w:eastAsiaTheme="majorEastAsia"/>
                <w:sz w:val="16"/>
                <w:szCs w:val="16"/>
              </w:rPr>
            </w:pPr>
          </w:p>
        </w:tc>
        <w:tc>
          <w:tcPr>
            <w:tcW w:w="483" w:type="dxa"/>
            <w:gridSpan w:val="2"/>
            <w:vMerge w:val="continue"/>
            <w:tcBorders>
              <w:top w:val="nil"/>
              <w:bottom w:val="nil"/>
            </w:tcBorders>
            <w:vAlign w:val="center"/>
          </w:tcPr>
          <w:p w14:paraId="220A83A0">
            <w:pPr>
              <w:spacing w:line="200" w:lineRule="exact"/>
              <w:jc w:val="center"/>
              <w:rPr>
                <w:rFonts w:eastAsiaTheme="majorEastAsia"/>
                <w:sz w:val="16"/>
                <w:szCs w:val="16"/>
              </w:rPr>
            </w:pPr>
          </w:p>
        </w:tc>
        <w:tc>
          <w:tcPr>
            <w:tcW w:w="645" w:type="dxa"/>
            <w:gridSpan w:val="3"/>
            <w:vMerge w:val="continue"/>
            <w:tcBorders>
              <w:top w:val="nil"/>
              <w:bottom w:val="nil"/>
            </w:tcBorders>
            <w:vAlign w:val="center"/>
          </w:tcPr>
          <w:p w14:paraId="5C80ACC1">
            <w:pPr>
              <w:spacing w:line="200" w:lineRule="exact"/>
              <w:jc w:val="center"/>
              <w:rPr>
                <w:rFonts w:eastAsiaTheme="majorEastAsia"/>
                <w:sz w:val="16"/>
                <w:szCs w:val="16"/>
              </w:rPr>
            </w:pPr>
          </w:p>
        </w:tc>
        <w:tc>
          <w:tcPr>
            <w:tcW w:w="429" w:type="dxa"/>
            <w:gridSpan w:val="2"/>
            <w:vAlign w:val="center"/>
          </w:tcPr>
          <w:p w14:paraId="6EA1F5DC">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2</w:t>
            </w:r>
          </w:p>
        </w:tc>
        <w:tc>
          <w:tcPr>
            <w:tcW w:w="2335" w:type="dxa"/>
            <w:gridSpan w:val="2"/>
            <w:vAlign w:val="center"/>
          </w:tcPr>
          <w:p w14:paraId="211836CF">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预算编制阶段</w:t>
            </w:r>
            <w:r>
              <w:rPr>
                <w:rFonts w:hint="eastAsia" w:ascii="Times New Roman" w:cs="Times New Roman" w:hAnsiTheme="majorEastAsia" w:eastAsiaTheme="majorEastAsia"/>
                <w:sz w:val="16"/>
                <w:szCs w:val="16"/>
                <w:lang w:eastAsia="zh-CN"/>
              </w:rPr>
              <w:t>向</w:t>
            </w:r>
            <w:r>
              <w:rPr>
                <w:rFonts w:ascii="Times New Roman" w:cs="Times New Roman" w:hAnsiTheme="majorEastAsia" w:eastAsiaTheme="majorEastAsia"/>
                <w:sz w:val="16"/>
                <w:szCs w:val="16"/>
                <w:lang w:eastAsia="zh-CN"/>
              </w:rPr>
              <w:t>人大反馈绩效目标质量审查情况。</w:t>
            </w:r>
          </w:p>
        </w:tc>
        <w:tc>
          <w:tcPr>
            <w:tcW w:w="3658" w:type="dxa"/>
            <w:vAlign w:val="center"/>
          </w:tcPr>
          <w:p w14:paraId="07D1FF74">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每反馈一个问题扣</w:t>
            </w:r>
            <w:r>
              <w:rPr>
                <w:rFonts w:ascii="Times New Roman" w:hAnsi="Times New Roman" w:cs="Times New Roman" w:eastAsiaTheme="majorEastAsia"/>
                <w:sz w:val="16"/>
                <w:szCs w:val="16"/>
                <w:lang w:eastAsia="zh-CN"/>
              </w:rPr>
              <w:t>0.5</w:t>
            </w:r>
            <w:r>
              <w:rPr>
                <w:rFonts w:ascii="Times New Roman" w:cs="Times New Roman" w:hAnsiTheme="majorEastAsia" w:eastAsiaTheme="majorEastAsia"/>
                <w:sz w:val="16"/>
                <w:szCs w:val="16"/>
                <w:lang w:eastAsia="zh-CN"/>
              </w:rPr>
              <w:t>分，扣完为止。</w:t>
            </w:r>
          </w:p>
        </w:tc>
        <w:tc>
          <w:tcPr>
            <w:tcW w:w="465" w:type="dxa"/>
            <w:gridSpan w:val="2"/>
            <w:vAlign w:val="center"/>
          </w:tcPr>
          <w:p w14:paraId="45AC61E8">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2</w:t>
            </w:r>
          </w:p>
        </w:tc>
      </w:tr>
      <w:tr w14:paraId="33ECD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7" w:type="dxa"/>
          <w:trHeight w:val="459" w:hRule="atLeast"/>
          <w:jc w:val="center"/>
        </w:trPr>
        <w:tc>
          <w:tcPr>
            <w:tcW w:w="533" w:type="dxa"/>
            <w:gridSpan w:val="2"/>
            <w:vMerge w:val="continue"/>
            <w:tcBorders>
              <w:top w:val="nil"/>
              <w:bottom w:val="nil"/>
            </w:tcBorders>
            <w:vAlign w:val="center"/>
          </w:tcPr>
          <w:p w14:paraId="0B4084C3">
            <w:pPr>
              <w:spacing w:line="200" w:lineRule="exact"/>
              <w:jc w:val="center"/>
              <w:rPr>
                <w:rFonts w:eastAsiaTheme="majorEastAsia"/>
                <w:sz w:val="16"/>
                <w:szCs w:val="16"/>
              </w:rPr>
            </w:pPr>
          </w:p>
        </w:tc>
        <w:tc>
          <w:tcPr>
            <w:tcW w:w="483" w:type="dxa"/>
            <w:gridSpan w:val="2"/>
            <w:vMerge w:val="continue"/>
            <w:tcBorders>
              <w:top w:val="nil"/>
              <w:bottom w:val="nil"/>
            </w:tcBorders>
            <w:vAlign w:val="center"/>
          </w:tcPr>
          <w:p w14:paraId="45A4BF54">
            <w:pPr>
              <w:spacing w:line="200" w:lineRule="exact"/>
              <w:jc w:val="center"/>
              <w:rPr>
                <w:rFonts w:eastAsiaTheme="majorEastAsia"/>
                <w:sz w:val="16"/>
                <w:szCs w:val="16"/>
              </w:rPr>
            </w:pPr>
          </w:p>
        </w:tc>
        <w:tc>
          <w:tcPr>
            <w:tcW w:w="645" w:type="dxa"/>
            <w:gridSpan w:val="3"/>
            <w:vMerge w:val="continue"/>
            <w:tcBorders>
              <w:top w:val="nil"/>
            </w:tcBorders>
            <w:vAlign w:val="center"/>
          </w:tcPr>
          <w:p w14:paraId="39832733">
            <w:pPr>
              <w:spacing w:line="200" w:lineRule="exact"/>
              <w:jc w:val="center"/>
              <w:rPr>
                <w:rFonts w:eastAsiaTheme="majorEastAsia"/>
                <w:sz w:val="16"/>
                <w:szCs w:val="16"/>
              </w:rPr>
            </w:pPr>
          </w:p>
        </w:tc>
        <w:tc>
          <w:tcPr>
            <w:tcW w:w="429" w:type="dxa"/>
            <w:gridSpan w:val="2"/>
            <w:vAlign w:val="center"/>
          </w:tcPr>
          <w:p w14:paraId="15F6F9DE">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3</w:t>
            </w:r>
          </w:p>
        </w:tc>
        <w:tc>
          <w:tcPr>
            <w:tcW w:w="2335" w:type="dxa"/>
            <w:gridSpan w:val="2"/>
            <w:vAlign w:val="center"/>
          </w:tcPr>
          <w:p w14:paraId="17DC702C">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绩效目标制定是否纳入本部门</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单位</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集体决策范围。</w:t>
            </w:r>
          </w:p>
        </w:tc>
        <w:tc>
          <w:tcPr>
            <w:tcW w:w="3658" w:type="dxa"/>
            <w:vAlign w:val="center"/>
          </w:tcPr>
          <w:p w14:paraId="55A4EC00">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绩效目标制定纳入本部门</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单位</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党组</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委</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会</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办公会</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集体决策范围，并有相关</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佐证材料的得</w:t>
            </w:r>
            <w:r>
              <w:rPr>
                <w:rFonts w:ascii="Times New Roman" w:hAnsi="Times New Roman" w:cs="Times New Roman" w:eastAsiaTheme="majorEastAsia"/>
                <w:sz w:val="16"/>
                <w:szCs w:val="16"/>
                <w:lang w:eastAsia="zh-CN"/>
              </w:rPr>
              <w:t>3</w:t>
            </w:r>
            <w:r>
              <w:rPr>
                <w:rFonts w:ascii="Times New Roman" w:cs="Times New Roman" w:hAnsiTheme="majorEastAsia" w:eastAsiaTheme="majorEastAsia"/>
                <w:sz w:val="16"/>
                <w:szCs w:val="16"/>
                <w:lang w:eastAsia="zh-CN"/>
              </w:rPr>
              <w:t>分，否则不得分。</w:t>
            </w:r>
          </w:p>
        </w:tc>
        <w:tc>
          <w:tcPr>
            <w:tcW w:w="465" w:type="dxa"/>
            <w:gridSpan w:val="2"/>
            <w:vAlign w:val="center"/>
          </w:tcPr>
          <w:p w14:paraId="6DE16288">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3</w:t>
            </w:r>
          </w:p>
        </w:tc>
      </w:tr>
      <w:tr w14:paraId="75731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7" w:type="dxa"/>
          <w:trHeight w:val="619" w:hRule="atLeast"/>
          <w:jc w:val="center"/>
        </w:trPr>
        <w:tc>
          <w:tcPr>
            <w:tcW w:w="533" w:type="dxa"/>
            <w:gridSpan w:val="2"/>
            <w:vMerge w:val="continue"/>
            <w:tcBorders>
              <w:top w:val="nil"/>
              <w:bottom w:val="nil"/>
            </w:tcBorders>
            <w:vAlign w:val="center"/>
          </w:tcPr>
          <w:p w14:paraId="5E894D7E">
            <w:pPr>
              <w:spacing w:line="200" w:lineRule="exact"/>
              <w:jc w:val="center"/>
              <w:rPr>
                <w:rFonts w:eastAsiaTheme="majorEastAsia"/>
                <w:sz w:val="16"/>
                <w:szCs w:val="16"/>
              </w:rPr>
            </w:pPr>
          </w:p>
        </w:tc>
        <w:tc>
          <w:tcPr>
            <w:tcW w:w="483" w:type="dxa"/>
            <w:gridSpan w:val="2"/>
            <w:vMerge w:val="continue"/>
            <w:tcBorders>
              <w:top w:val="nil"/>
              <w:bottom w:val="nil"/>
            </w:tcBorders>
            <w:vAlign w:val="center"/>
          </w:tcPr>
          <w:p w14:paraId="5DE483DE">
            <w:pPr>
              <w:spacing w:line="200" w:lineRule="exact"/>
              <w:jc w:val="center"/>
              <w:rPr>
                <w:rFonts w:eastAsiaTheme="majorEastAsia"/>
                <w:sz w:val="16"/>
                <w:szCs w:val="16"/>
              </w:rPr>
            </w:pPr>
          </w:p>
        </w:tc>
        <w:tc>
          <w:tcPr>
            <w:tcW w:w="645" w:type="dxa"/>
            <w:gridSpan w:val="3"/>
            <w:vMerge w:val="restart"/>
            <w:tcBorders>
              <w:bottom w:val="nil"/>
            </w:tcBorders>
            <w:vAlign w:val="center"/>
          </w:tcPr>
          <w:p w14:paraId="71832728">
            <w:pPr>
              <w:pStyle w:val="33"/>
              <w:spacing w:line="200" w:lineRule="exact"/>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目标实现</w:t>
            </w:r>
            <w:r>
              <w:rPr>
                <w:rFonts w:ascii="Times New Roman" w:hAnsi="Times New Roman" w:cs="Times New Roman" w:eastAsiaTheme="majorEastAsia"/>
                <w:sz w:val="16"/>
                <w:szCs w:val="16"/>
              </w:rPr>
              <w:t>(10</w:t>
            </w:r>
            <w:r>
              <w:rPr>
                <w:rFonts w:ascii="Times New Roman" w:cs="Times New Roman" w:hAnsiTheme="majorEastAsia" w:eastAsiaTheme="majorEastAsia"/>
                <w:sz w:val="16"/>
                <w:szCs w:val="16"/>
              </w:rPr>
              <w:t>分</w:t>
            </w:r>
            <w:r>
              <w:rPr>
                <w:rFonts w:ascii="Times New Roman" w:hAnsi="Times New Roman" w:cs="Times New Roman" w:eastAsiaTheme="majorEastAsia"/>
                <w:sz w:val="16"/>
                <w:szCs w:val="16"/>
              </w:rPr>
              <w:t xml:space="preserve"> )</w:t>
            </w:r>
          </w:p>
        </w:tc>
        <w:tc>
          <w:tcPr>
            <w:tcW w:w="429" w:type="dxa"/>
            <w:gridSpan w:val="2"/>
            <w:vAlign w:val="center"/>
          </w:tcPr>
          <w:p w14:paraId="72A81A21">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5</w:t>
            </w:r>
          </w:p>
        </w:tc>
        <w:tc>
          <w:tcPr>
            <w:tcW w:w="2335" w:type="dxa"/>
            <w:gridSpan w:val="2"/>
            <w:vAlign w:val="center"/>
          </w:tcPr>
          <w:p w14:paraId="0FA3B4A9">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部门整体绩效目标中数量指标、成本指标的完成情况。</w:t>
            </w:r>
          </w:p>
        </w:tc>
        <w:tc>
          <w:tcPr>
            <w:tcW w:w="3658" w:type="dxa"/>
            <w:vAlign w:val="center"/>
          </w:tcPr>
          <w:p w14:paraId="046B9263">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对照部门年初整体支出绩效目标编制和完成情况，计算指标得分</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绩效目标数量指标、</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成本指标完成的指标个数</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全部数量指标、成本指标指标个数</w:t>
            </w:r>
            <w:r>
              <w:rPr>
                <w:rFonts w:ascii="Times New Roman" w:hAnsi="Times New Roman" w:cs="Times New Roman" w:eastAsiaTheme="majorEastAsia"/>
                <w:sz w:val="16"/>
                <w:szCs w:val="16"/>
                <w:lang w:eastAsia="zh-CN"/>
              </w:rPr>
              <w:t>×5</w:t>
            </w:r>
            <w:r>
              <w:rPr>
                <w:rFonts w:ascii="Times New Roman" w:cs="Times New Roman" w:hAnsiTheme="majorEastAsia" w:eastAsiaTheme="majorEastAsia"/>
                <w:sz w:val="16"/>
                <w:szCs w:val="16"/>
                <w:lang w:eastAsia="zh-CN"/>
              </w:rPr>
              <w:t>。</w:t>
            </w:r>
          </w:p>
        </w:tc>
        <w:tc>
          <w:tcPr>
            <w:tcW w:w="465" w:type="dxa"/>
            <w:gridSpan w:val="2"/>
            <w:vAlign w:val="center"/>
          </w:tcPr>
          <w:p w14:paraId="73B98913">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5</w:t>
            </w:r>
          </w:p>
        </w:tc>
      </w:tr>
      <w:tr w14:paraId="078F2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7" w:type="dxa"/>
          <w:trHeight w:val="1119" w:hRule="atLeast"/>
          <w:jc w:val="center"/>
        </w:trPr>
        <w:tc>
          <w:tcPr>
            <w:tcW w:w="533" w:type="dxa"/>
            <w:gridSpan w:val="2"/>
            <w:vMerge w:val="continue"/>
            <w:tcBorders>
              <w:top w:val="nil"/>
              <w:bottom w:val="nil"/>
            </w:tcBorders>
            <w:vAlign w:val="center"/>
          </w:tcPr>
          <w:p w14:paraId="6AE22CA4">
            <w:pPr>
              <w:spacing w:line="200" w:lineRule="exact"/>
              <w:jc w:val="center"/>
              <w:rPr>
                <w:rFonts w:eastAsiaTheme="majorEastAsia"/>
                <w:sz w:val="16"/>
                <w:szCs w:val="16"/>
              </w:rPr>
            </w:pPr>
          </w:p>
        </w:tc>
        <w:tc>
          <w:tcPr>
            <w:tcW w:w="483" w:type="dxa"/>
            <w:gridSpan w:val="2"/>
            <w:vMerge w:val="continue"/>
            <w:tcBorders>
              <w:top w:val="nil"/>
            </w:tcBorders>
            <w:vAlign w:val="center"/>
          </w:tcPr>
          <w:p w14:paraId="51EA6FD2">
            <w:pPr>
              <w:spacing w:line="200" w:lineRule="exact"/>
              <w:jc w:val="center"/>
              <w:rPr>
                <w:rFonts w:eastAsiaTheme="majorEastAsia"/>
                <w:sz w:val="16"/>
                <w:szCs w:val="16"/>
              </w:rPr>
            </w:pPr>
          </w:p>
        </w:tc>
        <w:tc>
          <w:tcPr>
            <w:tcW w:w="645" w:type="dxa"/>
            <w:gridSpan w:val="3"/>
            <w:vMerge w:val="continue"/>
            <w:tcBorders>
              <w:top w:val="nil"/>
            </w:tcBorders>
            <w:vAlign w:val="center"/>
          </w:tcPr>
          <w:p w14:paraId="20374062">
            <w:pPr>
              <w:spacing w:line="200" w:lineRule="exact"/>
              <w:jc w:val="center"/>
              <w:rPr>
                <w:rFonts w:eastAsiaTheme="majorEastAsia"/>
                <w:sz w:val="16"/>
                <w:szCs w:val="16"/>
              </w:rPr>
            </w:pPr>
          </w:p>
        </w:tc>
        <w:tc>
          <w:tcPr>
            <w:tcW w:w="429" w:type="dxa"/>
            <w:gridSpan w:val="2"/>
            <w:vAlign w:val="center"/>
          </w:tcPr>
          <w:p w14:paraId="081A5998">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5</w:t>
            </w:r>
          </w:p>
        </w:tc>
        <w:tc>
          <w:tcPr>
            <w:tcW w:w="2335" w:type="dxa"/>
            <w:gridSpan w:val="2"/>
            <w:vAlign w:val="center"/>
          </w:tcPr>
          <w:p w14:paraId="0B51775A">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部门整体绩效目标实现程度与预期目标的偏离情况。</w:t>
            </w:r>
          </w:p>
        </w:tc>
        <w:tc>
          <w:tcPr>
            <w:tcW w:w="3658" w:type="dxa"/>
            <w:vAlign w:val="center"/>
          </w:tcPr>
          <w:p w14:paraId="10802534">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部门年初整体支出绩效目标实际完成值偏离预期指标</w:t>
            </w:r>
            <w:r>
              <w:rPr>
                <w:rFonts w:ascii="Times New Roman" w:hAnsi="Times New Roman" w:cs="Times New Roman" w:eastAsiaTheme="majorEastAsia"/>
                <w:sz w:val="16"/>
                <w:szCs w:val="16"/>
                <w:lang w:eastAsia="zh-CN"/>
              </w:rPr>
              <w:t>30%</w:t>
            </w:r>
            <w:r>
              <w:rPr>
                <w:rFonts w:ascii="Times New Roman" w:cs="Times New Roman" w:hAnsiTheme="majorEastAsia" w:eastAsiaTheme="majorEastAsia"/>
                <w:sz w:val="16"/>
                <w:szCs w:val="16"/>
                <w:lang w:eastAsia="zh-CN"/>
              </w:rPr>
              <w:t>以上</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含</w:t>
            </w:r>
            <w:r>
              <w:rPr>
                <w:rFonts w:ascii="Times New Roman" w:hAnsi="Times New Roman" w:cs="Times New Roman" w:eastAsiaTheme="majorEastAsia"/>
                <w:sz w:val="16"/>
                <w:szCs w:val="16"/>
                <w:lang w:eastAsia="zh-CN"/>
              </w:rPr>
              <w:t>30%)</w:t>
            </w:r>
            <w:r>
              <w:rPr>
                <w:rFonts w:ascii="Times New Roman" w:cs="Times New Roman" w:hAnsiTheme="majorEastAsia" w:eastAsiaTheme="majorEastAsia"/>
                <w:sz w:val="16"/>
                <w:szCs w:val="16"/>
                <w:lang w:eastAsia="zh-CN"/>
              </w:rPr>
              <w:t>的，均不计分</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该项指标得分</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已完成预期指标值的数量指标、成本指标中偏离度在</w:t>
            </w:r>
            <w:r>
              <w:rPr>
                <w:rFonts w:ascii="Times New Roman" w:hAnsi="Times New Roman" w:cs="Times New Roman" w:eastAsiaTheme="majorEastAsia"/>
                <w:sz w:val="16"/>
                <w:szCs w:val="16"/>
                <w:lang w:eastAsia="zh-CN"/>
              </w:rPr>
              <w:t>30%</w:t>
            </w:r>
            <w:r>
              <w:rPr>
                <w:rFonts w:ascii="Times New Roman" w:cs="Times New Roman" w:hAnsiTheme="majorEastAsia" w:eastAsiaTheme="majorEastAsia"/>
                <w:sz w:val="16"/>
                <w:szCs w:val="16"/>
                <w:lang w:eastAsia="zh-CN"/>
              </w:rPr>
              <w:t>内的指标个</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数</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已完成预期指标值的数量指标、成本指标个数</w:t>
            </w:r>
            <w:r>
              <w:rPr>
                <w:rFonts w:ascii="Times New Roman" w:hAnsi="Times New Roman" w:cs="Times New Roman" w:eastAsiaTheme="majorEastAsia"/>
                <w:sz w:val="16"/>
                <w:szCs w:val="16"/>
                <w:lang w:eastAsia="zh-CN"/>
              </w:rPr>
              <w:t>×5</w:t>
            </w:r>
            <w:r>
              <w:rPr>
                <w:rFonts w:ascii="Times New Roman" w:cs="Times New Roman" w:hAnsiTheme="majorEastAsia" w:eastAsiaTheme="majorEastAsia"/>
                <w:sz w:val="16"/>
                <w:szCs w:val="16"/>
                <w:lang w:eastAsia="zh-CN"/>
              </w:rPr>
              <w:t>。偏离度</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绩效指标实际完成值</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设定预期指标值</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设定预期指标值。</w:t>
            </w:r>
          </w:p>
        </w:tc>
        <w:tc>
          <w:tcPr>
            <w:tcW w:w="465" w:type="dxa"/>
            <w:gridSpan w:val="2"/>
            <w:vAlign w:val="center"/>
          </w:tcPr>
          <w:p w14:paraId="3EE39FEF">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5</w:t>
            </w:r>
          </w:p>
        </w:tc>
      </w:tr>
      <w:tr w14:paraId="50D83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7" w:type="dxa"/>
          <w:trHeight w:val="889" w:hRule="atLeast"/>
          <w:jc w:val="center"/>
        </w:trPr>
        <w:tc>
          <w:tcPr>
            <w:tcW w:w="533" w:type="dxa"/>
            <w:gridSpan w:val="2"/>
            <w:vMerge w:val="continue"/>
            <w:tcBorders>
              <w:top w:val="nil"/>
              <w:bottom w:val="nil"/>
            </w:tcBorders>
            <w:vAlign w:val="center"/>
          </w:tcPr>
          <w:p w14:paraId="6623A859">
            <w:pPr>
              <w:spacing w:line="200" w:lineRule="exact"/>
              <w:jc w:val="center"/>
              <w:rPr>
                <w:rFonts w:eastAsiaTheme="majorEastAsia"/>
                <w:sz w:val="16"/>
                <w:szCs w:val="16"/>
              </w:rPr>
            </w:pPr>
          </w:p>
        </w:tc>
        <w:tc>
          <w:tcPr>
            <w:tcW w:w="483" w:type="dxa"/>
            <w:gridSpan w:val="2"/>
            <w:vMerge w:val="restart"/>
            <w:tcBorders>
              <w:bottom w:val="nil"/>
            </w:tcBorders>
            <w:vAlign w:val="center"/>
          </w:tcPr>
          <w:p w14:paraId="282CBCF0">
            <w:pPr>
              <w:pStyle w:val="33"/>
              <w:spacing w:line="200" w:lineRule="exact"/>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过程管控</w:t>
            </w:r>
            <w:r>
              <w:rPr>
                <w:rFonts w:ascii="Times New Roman" w:hAnsi="Times New Roman" w:cs="Times New Roman" w:eastAsiaTheme="majorEastAsia"/>
                <w:sz w:val="16"/>
                <w:szCs w:val="16"/>
              </w:rPr>
              <w:t>(20</w:t>
            </w:r>
            <w:r>
              <w:rPr>
                <w:rFonts w:ascii="Times New Roman" w:cs="Times New Roman" w:hAnsiTheme="majorEastAsia" w:eastAsiaTheme="majorEastAsia"/>
                <w:sz w:val="16"/>
                <w:szCs w:val="16"/>
              </w:rPr>
              <w:t>分</w:t>
            </w:r>
            <w:r>
              <w:rPr>
                <w:rFonts w:ascii="Times New Roman" w:hAnsi="Times New Roman" w:cs="Times New Roman" w:eastAsiaTheme="majorEastAsia"/>
                <w:sz w:val="16"/>
                <w:szCs w:val="16"/>
              </w:rPr>
              <w:t>)</w:t>
            </w:r>
          </w:p>
        </w:tc>
        <w:tc>
          <w:tcPr>
            <w:tcW w:w="645" w:type="dxa"/>
            <w:gridSpan w:val="3"/>
            <w:vAlign w:val="center"/>
          </w:tcPr>
          <w:p w14:paraId="2D93D1D4">
            <w:pPr>
              <w:pStyle w:val="33"/>
              <w:spacing w:line="200" w:lineRule="exact"/>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支出控制</w:t>
            </w:r>
          </w:p>
        </w:tc>
        <w:tc>
          <w:tcPr>
            <w:tcW w:w="429" w:type="dxa"/>
            <w:gridSpan w:val="2"/>
            <w:vAlign w:val="center"/>
          </w:tcPr>
          <w:p w14:paraId="1D347F2A">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4</w:t>
            </w:r>
          </w:p>
        </w:tc>
        <w:tc>
          <w:tcPr>
            <w:tcW w:w="2335" w:type="dxa"/>
            <w:gridSpan w:val="2"/>
            <w:vAlign w:val="center"/>
          </w:tcPr>
          <w:p w14:paraId="39248AF8">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部门公用经费及非定额公用支出控制情况。</w:t>
            </w:r>
          </w:p>
        </w:tc>
        <w:tc>
          <w:tcPr>
            <w:tcW w:w="3658" w:type="dxa"/>
            <w:vAlign w:val="center"/>
          </w:tcPr>
          <w:p w14:paraId="1A1B1952">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计算部门日常公用经费、项目支出中</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办公费、印刷费、差旅费、水费、电费、物业</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管理费</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等科目年初预算数与实际支出数</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决算数</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偏差程度。预决算偏差程度在</w:t>
            </w:r>
            <w:r>
              <w:rPr>
                <w:rFonts w:ascii="Times New Roman" w:hAnsi="Times New Roman" w:cs="Times New Roman" w:eastAsiaTheme="majorEastAsia"/>
                <w:sz w:val="16"/>
                <w:szCs w:val="16"/>
                <w:lang w:eastAsia="zh-CN"/>
              </w:rPr>
              <w:t>10%</w:t>
            </w:r>
            <w:r>
              <w:rPr>
                <w:rFonts w:ascii="Times New Roman" w:cs="Times New Roman" w:hAnsiTheme="majorEastAsia" w:eastAsiaTheme="majorEastAsia"/>
                <w:sz w:val="16"/>
                <w:szCs w:val="16"/>
                <w:lang w:eastAsia="zh-CN"/>
              </w:rPr>
              <w:t>以内的，得</w:t>
            </w:r>
            <w:r>
              <w:rPr>
                <w:rFonts w:ascii="Times New Roman" w:hAnsi="Times New Roman" w:cs="Times New Roman" w:eastAsiaTheme="majorEastAsia"/>
                <w:sz w:val="16"/>
                <w:szCs w:val="16"/>
                <w:lang w:eastAsia="zh-CN"/>
              </w:rPr>
              <w:t>4</w:t>
            </w:r>
            <w:r>
              <w:rPr>
                <w:rFonts w:ascii="Times New Roman" w:cs="Times New Roman" w:hAnsiTheme="majorEastAsia" w:eastAsiaTheme="majorEastAsia"/>
                <w:sz w:val="16"/>
                <w:szCs w:val="16"/>
                <w:lang w:eastAsia="zh-CN"/>
              </w:rPr>
              <w:t>分。偏差度在</w:t>
            </w:r>
            <w:r>
              <w:rPr>
                <w:rFonts w:ascii="Times New Roman" w:hAnsi="Times New Roman" w:cs="Times New Roman" w:eastAsiaTheme="majorEastAsia"/>
                <w:sz w:val="16"/>
                <w:szCs w:val="16"/>
                <w:lang w:eastAsia="zh-CN"/>
              </w:rPr>
              <w:t>10%-20%</w:t>
            </w:r>
            <w:r>
              <w:rPr>
                <w:rFonts w:ascii="Times New Roman" w:cs="Times New Roman" w:hAnsiTheme="majorEastAsia" w:eastAsiaTheme="majorEastAsia"/>
                <w:sz w:val="16"/>
                <w:szCs w:val="16"/>
                <w:lang w:eastAsia="zh-CN"/>
              </w:rPr>
              <w:t>之间的，得</w:t>
            </w:r>
            <w:r>
              <w:rPr>
                <w:rFonts w:ascii="Times New Roman" w:hAnsi="Times New Roman" w:cs="Times New Roman" w:eastAsiaTheme="majorEastAsia"/>
                <w:sz w:val="16"/>
                <w:szCs w:val="16"/>
                <w:lang w:eastAsia="zh-CN"/>
              </w:rPr>
              <w:t>2</w:t>
            </w:r>
            <w:r>
              <w:rPr>
                <w:rFonts w:ascii="Times New Roman" w:cs="Times New Roman" w:hAnsiTheme="majorEastAsia" w:eastAsiaTheme="majorEastAsia"/>
                <w:sz w:val="16"/>
                <w:szCs w:val="16"/>
                <w:lang w:eastAsia="zh-CN"/>
              </w:rPr>
              <w:t>分，偏差度超过</w:t>
            </w:r>
            <w:r>
              <w:rPr>
                <w:rFonts w:ascii="Times New Roman" w:hAnsi="Times New Roman" w:cs="Times New Roman" w:eastAsiaTheme="majorEastAsia"/>
                <w:sz w:val="16"/>
                <w:szCs w:val="16"/>
                <w:lang w:eastAsia="zh-CN"/>
              </w:rPr>
              <w:t xml:space="preserve"> 20%</w:t>
            </w:r>
            <w:r>
              <w:rPr>
                <w:rFonts w:ascii="Times New Roman" w:cs="Times New Roman" w:hAnsiTheme="majorEastAsia" w:eastAsiaTheme="majorEastAsia"/>
                <w:sz w:val="16"/>
                <w:szCs w:val="16"/>
                <w:lang w:eastAsia="zh-CN"/>
              </w:rPr>
              <w:t>的，不得分。</w:t>
            </w:r>
          </w:p>
        </w:tc>
        <w:tc>
          <w:tcPr>
            <w:tcW w:w="465" w:type="dxa"/>
            <w:gridSpan w:val="2"/>
            <w:vAlign w:val="center"/>
          </w:tcPr>
          <w:p w14:paraId="75737F06">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4</w:t>
            </w:r>
          </w:p>
        </w:tc>
      </w:tr>
      <w:tr w14:paraId="06E77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7" w:type="dxa"/>
          <w:trHeight w:val="1209" w:hRule="atLeast"/>
          <w:jc w:val="center"/>
        </w:trPr>
        <w:tc>
          <w:tcPr>
            <w:tcW w:w="533" w:type="dxa"/>
            <w:gridSpan w:val="2"/>
            <w:vMerge w:val="continue"/>
            <w:tcBorders>
              <w:top w:val="nil"/>
              <w:bottom w:val="nil"/>
            </w:tcBorders>
            <w:vAlign w:val="center"/>
          </w:tcPr>
          <w:p w14:paraId="4D0E4D86">
            <w:pPr>
              <w:spacing w:line="200" w:lineRule="exact"/>
              <w:jc w:val="center"/>
              <w:rPr>
                <w:rFonts w:eastAsiaTheme="majorEastAsia"/>
                <w:sz w:val="16"/>
                <w:szCs w:val="16"/>
              </w:rPr>
            </w:pPr>
          </w:p>
        </w:tc>
        <w:tc>
          <w:tcPr>
            <w:tcW w:w="483" w:type="dxa"/>
            <w:gridSpan w:val="2"/>
            <w:vMerge w:val="continue"/>
            <w:tcBorders>
              <w:top w:val="nil"/>
              <w:bottom w:val="nil"/>
            </w:tcBorders>
            <w:vAlign w:val="center"/>
          </w:tcPr>
          <w:p w14:paraId="1EFED750">
            <w:pPr>
              <w:spacing w:line="200" w:lineRule="exact"/>
              <w:jc w:val="center"/>
              <w:rPr>
                <w:rFonts w:eastAsiaTheme="majorEastAsia"/>
                <w:sz w:val="16"/>
                <w:szCs w:val="16"/>
              </w:rPr>
            </w:pPr>
          </w:p>
        </w:tc>
        <w:tc>
          <w:tcPr>
            <w:tcW w:w="645" w:type="dxa"/>
            <w:gridSpan w:val="3"/>
            <w:vAlign w:val="center"/>
          </w:tcPr>
          <w:p w14:paraId="5A3BE870">
            <w:pPr>
              <w:pStyle w:val="33"/>
              <w:spacing w:line="200" w:lineRule="exact"/>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执行进度</w:t>
            </w:r>
          </w:p>
        </w:tc>
        <w:tc>
          <w:tcPr>
            <w:tcW w:w="429" w:type="dxa"/>
            <w:gridSpan w:val="2"/>
            <w:vAlign w:val="center"/>
          </w:tcPr>
          <w:p w14:paraId="15410C0E">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6</w:t>
            </w:r>
          </w:p>
        </w:tc>
        <w:tc>
          <w:tcPr>
            <w:tcW w:w="2335" w:type="dxa"/>
            <w:gridSpan w:val="2"/>
            <w:vAlign w:val="center"/>
          </w:tcPr>
          <w:p w14:paraId="059D8F31">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部门在</w:t>
            </w:r>
            <w:r>
              <w:rPr>
                <w:rFonts w:ascii="Times New Roman" w:hAnsi="Times New Roman" w:cs="Times New Roman" w:eastAsiaTheme="majorEastAsia"/>
                <w:sz w:val="16"/>
                <w:szCs w:val="16"/>
                <w:lang w:eastAsia="zh-CN"/>
              </w:rPr>
              <w:t>6</w:t>
            </w:r>
            <w:r>
              <w:rPr>
                <w:rFonts w:ascii="Times New Roman" w:cs="Times New Roman" w:hAnsiTheme="majorEastAsia" w:eastAsiaTheme="majorEastAsia"/>
                <w:sz w:val="16"/>
                <w:szCs w:val="16"/>
                <w:lang w:eastAsia="zh-CN"/>
              </w:rPr>
              <w:t>、</w:t>
            </w:r>
            <w:r>
              <w:rPr>
                <w:rFonts w:ascii="Times New Roman" w:hAnsi="Times New Roman" w:cs="Times New Roman" w:eastAsiaTheme="majorEastAsia"/>
                <w:sz w:val="16"/>
                <w:szCs w:val="16"/>
                <w:lang w:eastAsia="zh-CN"/>
              </w:rPr>
              <w:t>9</w:t>
            </w:r>
            <w:r>
              <w:rPr>
                <w:rFonts w:ascii="Times New Roman" w:cs="Times New Roman" w:hAnsiTheme="majorEastAsia" w:eastAsiaTheme="majorEastAsia"/>
                <w:sz w:val="16"/>
                <w:szCs w:val="16"/>
                <w:lang w:eastAsia="zh-CN"/>
              </w:rPr>
              <w:t>、</w:t>
            </w:r>
            <w:r>
              <w:rPr>
                <w:rFonts w:ascii="Times New Roman" w:hAnsi="Times New Roman" w:cs="Times New Roman" w:eastAsiaTheme="majorEastAsia"/>
                <w:sz w:val="16"/>
                <w:szCs w:val="16"/>
                <w:lang w:eastAsia="zh-CN"/>
              </w:rPr>
              <w:t>11</w:t>
            </w:r>
            <w:r>
              <w:rPr>
                <w:rFonts w:ascii="Times New Roman" w:cs="Times New Roman" w:hAnsiTheme="majorEastAsia" w:eastAsiaTheme="majorEastAsia"/>
                <w:sz w:val="16"/>
                <w:szCs w:val="16"/>
                <w:lang w:eastAsia="zh-CN"/>
              </w:rPr>
              <w:t>月及年终的预算执行情况。反映预算执</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行的及时性和均衡性程度</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以当年财政国库支付进度比</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例要求考核</w:t>
            </w:r>
            <w:r>
              <w:rPr>
                <w:rFonts w:ascii="Times New Roman" w:hAnsi="Times New Roman" w:cs="Times New Roman" w:eastAsiaTheme="majorEastAsia"/>
                <w:sz w:val="16"/>
                <w:szCs w:val="16"/>
                <w:lang w:eastAsia="zh-CN"/>
              </w:rPr>
              <w:t>);</w:t>
            </w:r>
          </w:p>
        </w:tc>
        <w:tc>
          <w:tcPr>
            <w:tcW w:w="3658" w:type="dxa"/>
            <w:vAlign w:val="center"/>
          </w:tcPr>
          <w:p w14:paraId="793CBE80">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1.</w:t>
            </w:r>
            <w:r>
              <w:rPr>
                <w:rFonts w:ascii="Times New Roman" w:cs="Times New Roman" w:hAnsiTheme="majorEastAsia" w:eastAsiaTheme="majorEastAsia"/>
                <w:sz w:val="16"/>
                <w:szCs w:val="16"/>
                <w:lang w:eastAsia="zh-CN"/>
              </w:rPr>
              <w:t>部门预算项目预算执行进度在</w:t>
            </w:r>
            <w:r>
              <w:rPr>
                <w:rFonts w:ascii="Times New Roman" w:hAnsi="Times New Roman" w:cs="Times New Roman" w:eastAsiaTheme="majorEastAsia"/>
                <w:sz w:val="16"/>
                <w:szCs w:val="16"/>
                <w:lang w:eastAsia="zh-CN"/>
              </w:rPr>
              <w:t>6</w:t>
            </w:r>
            <w:r>
              <w:rPr>
                <w:rFonts w:ascii="Times New Roman" w:cs="Times New Roman" w:hAnsiTheme="majorEastAsia" w:eastAsiaTheme="majorEastAsia"/>
                <w:sz w:val="16"/>
                <w:szCs w:val="16"/>
                <w:lang w:eastAsia="zh-CN"/>
              </w:rPr>
              <w:t>、</w:t>
            </w:r>
            <w:r>
              <w:rPr>
                <w:rFonts w:ascii="Times New Roman" w:hAnsi="Times New Roman" w:cs="Times New Roman" w:eastAsiaTheme="majorEastAsia"/>
                <w:sz w:val="16"/>
                <w:szCs w:val="16"/>
                <w:lang w:eastAsia="zh-CN"/>
              </w:rPr>
              <w:t>9</w:t>
            </w:r>
            <w:r>
              <w:rPr>
                <w:rFonts w:ascii="Times New Roman" w:cs="Times New Roman" w:hAnsiTheme="majorEastAsia" w:eastAsiaTheme="majorEastAsia"/>
                <w:sz w:val="16"/>
                <w:szCs w:val="16"/>
                <w:lang w:eastAsia="zh-CN"/>
              </w:rPr>
              <w:t>、</w:t>
            </w:r>
            <w:r>
              <w:rPr>
                <w:rFonts w:ascii="Times New Roman" w:hAnsi="Times New Roman" w:cs="Times New Roman" w:eastAsiaTheme="majorEastAsia"/>
                <w:sz w:val="16"/>
                <w:szCs w:val="16"/>
                <w:lang w:eastAsia="zh-CN"/>
              </w:rPr>
              <w:t>11</w:t>
            </w:r>
            <w:r>
              <w:rPr>
                <w:rFonts w:ascii="Times New Roman" w:cs="Times New Roman" w:hAnsiTheme="majorEastAsia" w:eastAsiaTheme="majorEastAsia"/>
                <w:sz w:val="16"/>
                <w:szCs w:val="16"/>
                <w:lang w:eastAsia="zh-CN"/>
              </w:rPr>
              <w:t>月应达到序时进度的</w:t>
            </w:r>
            <w:r>
              <w:rPr>
                <w:rFonts w:ascii="Times New Roman" w:hAnsi="Times New Roman" w:cs="Times New Roman" w:eastAsiaTheme="majorEastAsia"/>
                <w:sz w:val="16"/>
                <w:szCs w:val="16"/>
                <w:lang w:eastAsia="zh-CN"/>
              </w:rPr>
              <w:t>80%</w:t>
            </w:r>
            <w:r>
              <w:rPr>
                <w:rFonts w:ascii="Times New Roman" w:cs="Times New Roman" w:hAnsiTheme="majorEastAsia" w:eastAsiaTheme="majorEastAsia"/>
                <w:sz w:val="16"/>
                <w:szCs w:val="16"/>
                <w:lang w:eastAsia="zh-CN"/>
              </w:rPr>
              <w:t>、</w:t>
            </w:r>
            <w:r>
              <w:rPr>
                <w:rFonts w:ascii="Times New Roman" w:hAnsi="Times New Roman" w:cs="Times New Roman" w:eastAsiaTheme="majorEastAsia"/>
                <w:sz w:val="16"/>
                <w:szCs w:val="16"/>
                <w:lang w:eastAsia="zh-CN"/>
              </w:rPr>
              <w:t>90%</w:t>
            </w:r>
            <w:r>
              <w:rPr>
                <w:rFonts w:ascii="Times New Roman" w:cs="Times New Roman" w:hAnsiTheme="majorEastAsia" w:eastAsiaTheme="majorEastAsia"/>
                <w:sz w:val="16"/>
                <w:szCs w:val="16"/>
                <w:lang w:eastAsia="zh-CN"/>
              </w:rPr>
              <w:t>、</w:t>
            </w:r>
            <w:r>
              <w:rPr>
                <w:rFonts w:ascii="Times New Roman" w:hAnsi="Times New Roman" w:cs="Times New Roman" w:eastAsiaTheme="majorEastAsia"/>
                <w:sz w:val="16"/>
                <w:szCs w:val="16"/>
                <w:lang w:eastAsia="zh-CN"/>
              </w:rPr>
              <w:t>90%,</w:t>
            </w:r>
            <w:r>
              <w:rPr>
                <w:rFonts w:ascii="Times New Roman" w:cs="Times New Roman" w:hAnsiTheme="majorEastAsia" w:eastAsiaTheme="majorEastAsia"/>
                <w:sz w:val="16"/>
                <w:szCs w:val="16"/>
                <w:lang w:eastAsia="zh-CN"/>
              </w:rPr>
              <w:t>即实际</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支出进度分别达到</w:t>
            </w:r>
            <w:r>
              <w:rPr>
                <w:rFonts w:ascii="Times New Roman" w:hAnsi="Times New Roman" w:cs="Times New Roman" w:eastAsiaTheme="majorEastAsia"/>
                <w:sz w:val="16"/>
                <w:szCs w:val="16"/>
                <w:lang w:eastAsia="zh-CN"/>
              </w:rPr>
              <w:t>40%</w:t>
            </w:r>
            <w:r>
              <w:rPr>
                <w:rFonts w:ascii="Times New Roman" w:cs="Times New Roman" w:hAnsiTheme="majorEastAsia" w:eastAsiaTheme="majorEastAsia"/>
                <w:sz w:val="16"/>
                <w:szCs w:val="16"/>
                <w:lang w:eastAsia="zh-CN"/>
              </w:rPr>
              <w:t>、</w:t>
            </w:r>
            <w:r>
              <w:rPr>
                <w:rFonts w:ascii="Times New Roman" w:hAnsi="Times New Roman" w:cs="Times New Roman" w:eastAsiaTheme="majorEastAsia"/>
                <w:sz w:val="16"/>
                <w:szCs w:val="16"/>
                <w:lang w:eastAsia="zh-CN"/>
              </w:rPr>
              <w:t>67.5%</w:t>
            </w:r>
            <w:r>
              <w:rPr>
                <w:rFonts w:ascii="Times New Roman" w:cs="Times New Roman" w:hAnsiTheme="majorEastAsia" w:eastAsiaTheme="majorEastAsia"/>
                <w:sz w:val="16"/>
                <w:szCs w:val="16"/>
                <w:lang w:eastAsia="zh-CN"/>
              </w:rPr>
              <w:t>、</w:t>
            </w:r>
            <w:r>
              <w:rPr>
                <w:rFonts w:ascii="Times New Roman" w:hAnsi="Times New Roman" w:cs="Times New Roman" w:eastAsiaTheme="majorEastAsia"/>
                <w:sz w:val="16"/>
                <w:szCs w:val="16"/>
                <w:lang w:eastAsia="zh-CN"/>
              </w:rPr>
              <w:t>82.5%</w:t>
            </w:r>
            <w:r>
              <w:rPr>
                <w:rFonts w:ascii="Times New Roman" w:cs="Times New Roman" w:hAnsiTheme="majorEastAsia" w:eastAsiaTheme="majorEastAsia"/>
                <w:sz w:val="16"/>
                <w:szCs w:val="16"/>
                <w:lang w:eastAsia="zh-CN"/>
              </w:rPr>
              <w:t>。</w:t>
            </w:r>
            <w:r>
              <w:rPr>
                <w:rFonts w:ascii="Times New Roman" w:hAnsi="Times New Roman" w:cs="Times New Roman" w:eastAsiaTheme="majorEastAsia"/>
                <w:sz w:val="16"/>
                <w:szCs w:val="16"/>
                <w:lang w:eastAsia="zh-CN"/>
              </w:rPr>
              <w:t>6</w:t>
            </w:r>
            <w:r>
              <w:rPr>
                <w:rFonts w:ascii="Times New Roman" w:cs="Times New Roman" w:hAnsiTheme="majorEastAsia" w:eastAsiaTheme="majorEastAsia"/>
                <w:sz w:val="16"/>
                <w:szCs w:val="16"/>
                <w:lang w:eastAsia="zh-CN"/>
              </w:rPr>
              <w:t>、</w:t>
            </w:r>
            <w:r>
              <w:rPr>
                <w:rFonts w:ascii="Times New Roman" w:hAnsi="Times New Roman" w:cs="Times New Roman" w:eastAsiaTheme="majorEastAsia"/>
                <w:sz w:val="16"/>
                <w:szCs w:val="16"/>
                <w:lang w:eastAsia="zh-CN"/>
              </w:rPr>
              <w:t>9</w:t>
            </w:r>
            <w:r>
              <w:rPr>
                <w:rFonts w:ascii="Times New Roman" w:cs="Times New Roman" w:hAnsiTheme="majorEastAsia" w:eastAsiaTheme="majorEastAsia"/>
                <w:sz w:val="16"/>
                <w:szCs w:val="16"/>
                <w:lang w:eastAsia="zh-CN"/>
              </w:rPr>
              <w:t>、</w:t>
            </w:r>
            <w:r>
              <w:rPr>
                <w:rFonts w:ascii="Times New Roman" w:hAnsi="Times New Roman" w:cs="Times New Roman" w:eastAsiaTheme="majorEastAsia"/>
                <w:sz w:val="16"/>
                <w:szCs w:val="16"/>
                <w:lang w:eastAsia="zh-CN"/>
              </w:rPr>
              <w:t>11</w:t>
            </w:r>
            <w:r>
              <w:rPr>
                <w:rFonts w:ascii="Times New Roman" w:cs="Times New Roman" w:hAnsiTheme="majorEastAsia" w:eastAsiaTheme="majorEastAsia"/>
                <w:sz w:val="16"/>
                <w:szCs w:val="16"/>
                <w:lang w:eastAsia="zh-CN"/>
              </w:rPr>
              <w:t>月部门预算执行进度达到目标进度的分别得</w:t>
            </w:r>
            <w:r>
              <w:rPr>
                <w:rFonts w:ascii="Times New Roman" w:hAnsi="Times New Roman" w:cs="Times New Roman" w:eastAsiaTheme="majorEastAsia"/>
                <w:sz w:val="16"/>
                <w:szCs w:val="16"/>
                <w:lang w:eastAsia="zh-CN"/>
              </w:rPr>
              <w:t>1.5</w:t>
            </w:r>
            <w:r>
              <w:rPr>
                <w:rFonts w:ascii="Times New Roman" w:cs="Times New Roman" w:hAnsiTheme="majorEastAsia" w:eastAsiaTheme="majorEastAsia"/>
                <w:sz w:val="16"/>
                <w:szCs w:val="16"/>
                <w:lang w:eastAsia="zh-CN"/>
              </w:rPr>
              <w:t>分、</w:t>
            </w:r>
            <w:r>
              <w:rPr>
                <w:rFonts w:ascii="Times New Roman" w:hAnsi="Times New Roman" w:cs="Times New Roman" w:eastAsiaTheme="majorEastAsia"/>
                <w:sz w:val="16"/>
                <w:szCs w:val="16"/>
                <w:lang w:eastAsia="zh-CN"/>
              </w:rPr>
              <w:t>1.5</w:t>
            </w:r>
            <w:r>
              <w:rPr>
                <w:rFonts w:ascii="Times New Roman" w:cs="Times New Roman" w:hAnsiTheme="majorEastAsia" w:eastAsiaTheme="majorEastAsia"/>
                <w:sz w:val="16"/>
                <w:szCs w:val="16"/>
                <w:lang w:eastAsia="zh-CN"/>
              </w:rPr>
              <w:t>分、</w:t>
            </w:r>
            <w:r>
              <w:rPr>
                <w:rFonts w:ascii="Times New Roman" w:hAnsi="Times New Roman" w:cs="Times New Roman" w:eastAsiaTheme="majorEastAsia"/>
                <w:sz w:val="16"/>
                <w:szCs w:val="16"/>
                <w:lang w:eastAsia="zh-CN"/>
              </w:rPr>
              <w:t>2</w:t>
            </w:r>
            <w:r>
              <w:rPr>
                <w:rFonts w:ascii="Times New Roman" w:cs="Times New Roman" w:hAnsiTheme="majorEastAsia" w:eastAsiaTheme="majorEastAsia"/>
                <w:sz w:val="16"/>
                <w:szCs w:val="16"/>
                <w:lang w:eastAsia="zh-CN"/>
              </w:rPr>
              <w:t>分，未达到目标</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进度的按其实际进度占目标进度的比重计算得分；截止自评日预算执行进度达到</w:t>
            </w:r>
            <w:r>
              <w:rPr>
                <w:rFonts w:ascii="Times New Roman" w:hAnsi="Times New Roman" w:cs="Times New Roman" w:eastAsiaTheme="majorEastAsia"/>
                <w:sz w:val="16"/>
                <w:szCs w:val="16"/>
                <w:lang w:eastAsia="zh-CN"/>
              </w:rPr>
              <w:t xml:space="preserve">100% </w:t>
            </w:r>
            <w:r>
              <w:rPr>
                <w:rFonts w:ascii="Times New Roman" w:cs="Times New Roman" w:hAnsiTheme="majorEastAsia" w:eastAsiaTheme="majorEastAsia"/>
                <w:sz w:val="16"/>
                <w:szCs w:val="16"/>
                <w:lang w:eastAsia="zh-CN"/>
              </w:rPr>
              <w:t>的，得</w:t>
            </w:r>
            <w:r>
              <w:rPr>
                <w:rFonts w:ascii="Times New Roman" w:hAnsi="Times New Roman" w:cs="Times New Roman" w:eastAsiaTheme="majorEastAsia"/>
                <w:sz w:val="16"/>
                <w:szCs w:val="16"/>
                <w:lang w:eastAsia="zh-CN"/>
              </w:rPr>
              <w:t>6</w:t>
            </w:r>
            <w:r>
              <w:rPr>
                <w:rFonts w:ascii="Times New Roman" w:cs="Times New Roman" w:hAnsiTheme="majorEastAsia" w:eastAsiaTheme="majorEastAsia"/>
                <w:sz w:val="16"/>
                <w:szCs w:val="16"/>
                <w:lang w:eastAsia="zh-CN"/>
              </w:rPr>
              <w:t>分，未达</w:t>
            </w:r>
            <w:r>
              <w:rPr>
                <w:rFonts w:ascii="Times New Roman" w:hAnsi="Times New Roman" w:cs="Times New Roman" w:eastAsiaTheme="majorEastAsia"/>
                <w:sz w:val="16"/>
                <w:szCs w:val="16"/>
                <w:lang w:eastAsia="zh-CN"/>
              </w:rPr>
              <w:t>100%</w:t>
            </w:r>
            <w:r>
              <w:rPr>
                <w:rFonts w:ascii="Times New Roman" w:cs="Times New Roman" w:hAnsiTheme="majorEastAsia" w:eastAsiaTheme="majorEastAsia"/>
                <w:sz w:val="16"/>
                <w:szCs w:val="16"/>
                <w:lang w:eastAsia="zh-CN"/>
              </w:rPr>
              <w:t>的，按照实际进度量化计算得分。</w:t>
            </w:r>
          </w:p>
        </w:tc>
        <w:tc>
          <w:tcPr>
            <w:tcW w:w="465" w:type="dxa"/>
            <w:gridSpan w:val="2"/>
            <w:vAlign w:val="center"/>
          </w:tcPr>
          <w:p w14:paraId="361200EA">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6</w:t>
            </w:r>
          </w:p>
        </w:tc>
      </w:tr>
      <w:tr w14:paraId="69B14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7" w:type="dxa"/>
          <w:trHeight w:val="769" w:hRule="atLeast"/>
          <w:jc w:val="center"/>
        </w:trPr>
        <w:tc>
          <w:tcPr>
            <w:tcW w:w="533" w:type="dxa"/>
            <w:gridSpan w:val="2"/>
            <w:vMerge w:val="continue"/>
            <w:tcBorders>
              <w:top w:val="nil"/>
              <w:bottom w:val="nil"/>
            </w:tcBorders>
            <w:vAlign w:val="center"/>
          </w:tcPr>
          <w:p w14:paraId="360AFB10">
            <w:pPr>
              <w:spacing w:line="200" w:lineRule="exact"/>
              <w:jc w:val="center"/>
              <w:rPr>
                <w:rFonts w:eastAsiaTheme="majorEastAsia"/>
                <w:sz w:val="16"/>
                <w:szCs w:val="16"/>
              </w:rPr>
            </w:pPr>
          </w:p>
        </w:tc>
        <w:tc>
          <w:tcPr>
            <w:tcW w:w="483" w:type="dxa"/>
            <w:gridSpan w:val="2"/>
            <w:vMerge w:val="continue"/>
            <w:tcBorders>
              <w:top w:val="nil"/>
              <w:bottom w:val="nil"/>
            </w:tcBorders>
            <w:vAlign w:val="center"/>
          </w:tcPr>
          <w:p w14:paraId="3C57BE4B">
            <w:pPr>
              <w:spacing w:line="200" w:lineRule="exact"/>
              <w:jc w:val="center"/>
              <w:rPr>
                <w:rFonts w:eastAsiaTheme="majorEastAsia"/>
                <w:sz w:val="16"/>
                <w:szCs w:val="16"/>
              </w:rPr>
            </w:pPr>
          </w:p>
        </w:tc>
        <w:tc>
          <w:tcPr>
            <w:tcW w:w="645" w:type="dxa"/>
            <w:gridSpan w:val="3"/>
            <w:vAlign w:val="center"/>
          </w:tcPr>
          <w:p w14:paraId="1F3B0774">
            <w:pPr>
              <w:pStyle w:val="33"/>
              <w:spacing w:line="200" w:lineRule="exact"/>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同步调整</w:t>
            </w:r>
          </w:p>
        </w:tc>
        <w:tc>
          <w:tcPr>
            <w:tcW w:w="429" w:type="dxa"/>
            <w:gridSpan w:val="2"/>
            <w:vAlign w:val="center"/>
          </w:tcPr>
          <w:p w14:paraId="1934E2DD">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5</w:t>
            </w:r>
          </w:p>
        </w:tc>
        <w:tc>
          <w:tcPr>
            <w:tcW w:w="2335" w:type="dxa"/>
            <w:gridSpan w:val="2"/>
            <w:vAlign w:val="center"/>
          </w:tcPr>
          <w:p w14:paraId="1E28AE7E">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部门预算执行中，预算调整和绩效目标调整同步实现情</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况。</w:t>
            </w:r>
          </w:p>
        </w:tc>
        <w:tc>
          <w:tcPr>
            <w:tcW w:w="3658" w:type="dxa"/>
            <w:vAlign w:val="center"/>
          </w:tcPr>
          <w:p w14:paraId="0F57A2CA">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对照年度预算执行过程中部门预算项目绩效目标管理情况，在调整预算时未同步调整</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绩效目标的，每有一个项目扣</w:t>
            </w:r>
            <w:r>
              <w:rPr>
                <w:rFonts w:ascii="Times New Roman" w:hAnsi="Times New Roman" w:cs="Times New Roman" w:eastAsiaTheme="majorEastAsia"/>
                <w:sz w:val="16"/>
                <w:szCs w:val="16"/>
                <w:lang w:eastAsia="zh-CN"/>
              </w:rPr>
              <w:t>1</w:t>
            </w:r>
            <w:r>
              <w:rPr>
                <w:rFonts w:ascii="Times New Roman" w:cs="Times New Roman" w:hAnsiTheme="majorEastAsia" w:eastAsiaTheme="majorEastAsia"/>
                <w:sz w:val="16"/>
                <w:szCs w:val="16"/>
                <w:lang w:eastAsia="zh-CN"/>
              </w:rPr>
              <w:t>分，扣完为止。</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重点核实范围：部门机关及至少</w:t>
            </w:r>
            <w:r>
              <w:rPr>
                <w:rFonts w:ascii="Times New Roman" w:hAnsi="Times New Roman" w:cs="Times New Roman" w:eastAsiaTheme="majorEastAsia"/>
                <w:sz w:val="16"/>
                <w:szCs w:val="16"/>
                <w:lang w:eastAsia="zh-CN"/>
              </w:rPr>
              <w:t>2</w:t>
            </w:r>
            <w:r>
              <w:rPr>
                <w:rFonts w:ascii="Times New Roman" w:cs="Times New Roman" w:hAnsiTheme="majorEastAsia" w:eastAsiaTheme="majorEastAsia"/>
                <w:sz w:val="16"/>
                <w:szCs w:val="16"/>
                <w:lang w:eastAsia="zh-CN"/>
              </w:rPr>
              <w:t>个下属单位的所有纳入绩效目标管理的部门预算项</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目</w:t>
            </w:r>
            <w:r>
              <w:rPr>
                <w:rFonts w:ascii="Times New Roman" w:hAnsi="Times New Roman" w:cs="Times New Roman" w:eastAsiaTheme="majorEastAsia"/>
                <w:sz w:val="16"/>
                <w:szCs w:val="16"/>
                <w:lang w:eastAsia="zh-CN"/>
              </w:rPr>
              <w:t xml:space="preserve"> )</w:t>
            </w:r>
          </w:p>
        </w:tc>
        <w:tc>
          <w:tcPr>
            <w:tcW w:w="465" w:type="dxa"/>
            <w:gridSpan w:val="2"/>
            <w:vAlign w:val="center"/>
          </w:tcPr>
          <w:p w14:paraId="05684348">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5</w:t>
            </w:r>
          </w:p>
        </w:tc>
      </w:tr>
      <w:tr w14:paraId="3429A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7" w:type="dxa"/>
          <w:trHeight w:val="569" w:hRule="atLeast"/>
          <w:jc w:val="center"/>
        </w:trPr>
        <w:tc>
          <w:tcPr>
            <w:tcW w:w="533" w:type="dxa"/>
            <w:gridSpan w:val="2"/>
            <w:vMerge w:val="continue"/>
            <w:tcBorders>
              <w:top w:val="nil"/>
              <w:bottom w:val="nil"/>
            </w:tcBorders>
            <w:vAlign w:val="center"/>
          </w:tcPr>
          <w:p w14:paraId="21F74A86">
            <w:pPr>
              <w:spacing w:line="200" w:lineRule="exact"/>
              <w:jc w:val="center"/>
              <w:rPr>
                <w:rFonts w:eastAsiaTheme="majorEastAsia"/>
                <w:sz w:val="16"/>
                <w:szCs w:val="16"/>
              </w:rPr>
            </w:pPr>
          </w:p>
        </w:tc>
        <w:tc>
          <w:tcPr>
            <w:tcW w:w="483" w:type="dxa"/>
            <w:gridSpan w:val="2"/>
            <w:vMerge w:val="continue"/>
            <w:tcBorders>
              <w:top w:val="nil"/>
            </w:tcBorders>
            <w:vAlign w:val="center"/>
          </w:tcPr>
          <w:p w14:paraId="36BDA03E">
            <w:pPr>
              <w:spacing w:line="200" w:lineRule="exact"/>
              <w:jc w:val="center"/>
              <w:rPr>
                <w:rFonts w:eastAsiaTheme="majorEastAsia"/>
                <w:sz w:val="16"/>
                <w:szCs w:val="16"/>
              </w:rPr>
            </w:pPr>
          </w:p>
        </w:tc>
        <w:tc>
          <w:tcPr>
            <w:tcW w:w="645" w:type="dxa"/>
            <w:gridSpan w:val="3"/>
            <w:vAlign w:val="center"/>
          </w:tcPr>
          <w:p w14:paraId="164C831F">
            <w:pPr>
              <w:pStyle w:val="33"/>
              <w:spacing w:line="200" w:lineRule="exact"/>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及时处置</w:t>
            </w:r>
          </w:p>
        </w:tc>
        <w:tc>
          <w:tcPr>
            <w:tcW w:w="429" w:type="dxa"/>
            <w:gridSpan w:val="2"/>
            <w:vAlign w:val="center"/>
          </w:tcPr>
          <w:p w14:paraId="452424E9">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5</w:t>
            </w:r>
          </w:p>
        </w:tc>
        <w:tc>
          <w:tcPr>
            <w:tcW w:w="2335" w:type="dxa"/>
            <w:gridSpan w:val="2"/>
            <w:vAlign w:val="center"/>
          </w:tcPr>
          <w:p w14:paraId="722C5B68">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部门绩效运行监控处置情况。</w:t>
            </w:r>
          </w:p>
        </w:tc>
        <w:tc>
          <w:tcPr>
            <w:tcW w:w="3658" w:type="dxa"/>
            <w:vAlign w:val="center"/>
          </w:tcPr>
          <w:p w14:paraId="003064BC">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根据财政局组织开展对绩效运行监控及时提出预算收回、调整处置意见并加以落实等</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方面情况的会审结果换算得分或根据自行监控发现问题进行整改的计算。</w:t>
            </w:r>
          </w:p>
        </w:tc>
        <w:tc>
          <w:tcPr>
            <w:tcW w:w="465" w:type="dxa"/>
            <w:gridSpan w:val="2"/>
            <w:vAlign w:val="center"/>
          </w:tcPr>
          <w:p w14:paraId="0820C49B">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5</w:t>
            </w:r>
          </w:p>
        </w:tc>
      </w:tr>
      <w:tr w14:paraId="6BB5E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7" w:type="dxa"/>
          <w:trHeight w:val="679" w:hRule="atLeast"/>
          <w:jc w:val="center"/>
        </w:trPr>
        <w:tc>
          <w:tcPr>
            <w:tcW w:w="533" w:type="dxa"/>
            <w:gridSpan w:val="2"/>
            <w:vMerge w:val="continue"/>
            <w:tcBorders>
              <w:top w:val="nil"/>
            </w:tcBorders>
            <w:vAlign w:val="center"/>
          </w:tcPr>
          <w:p w14:paraId="60D70760">
            <w:pPr>
              <w:spacing w:line="200" w:lineRule="exact"/>
              <w:jc w:val="center"/>
              <w:rPr>
                <w:rFonts w:eastAsiaTheme="majorEastAsia"/>
                <w:sz w:val="16"/>
                <w:szCs w:val="16"/>
              </w:rPr>
            </w:pPr>
          </w:p>
        </w:tc>
        <w:tc>
          <w:tcPr>
            <w:tcW w:w="483" w:type="dxa"/>
            <w:gridSpan w:val="2"/>
            <w:vAlign w:val="center"/>
          </w:tcPr>
          <w:p w14:paraId="73CEB6C8">
            <w:pPr>
              <w:pStyle w:val="33"/>
              <w:spacing w:line="200" w:lineRule="exact"/>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完成结果</w:t>
            </w:r>
            <w:r>
              <w:rPr>
                <w:rFonts w:ascii="Times New Roman" w:hAnsi="Times New Roman" w:cs="Times New Roman" w:eastAsiaTheme="majorEastAsia"/>
                <w:sz w:val="16"/>
                <w:szCs w:val="16"/>
              </w:rPr>
              <w:t xml:space="preserve"> (8</w:t>
            </w:r>
            <w:r>
              <w:rPr>
                <w:rFonts w:ascii="Times New Roman" w:cs="Times New Roman" w:hAnsiTheme="majorEastAsia" w:eastAsiaTheme="majorEastAsia"/>
                <w:sz w:val="16"/>
                <w:szCs w:val="16"/>
              </w:rPr>
              <w:t>分</w:t>
            </w:r>
            <w:r>
              <w:rPr>
                <w:rFonts w:ascii="Times New Roman" w:hAnsi="Times New Roman" w:cs="Times New Roman" w:eastAsiaTheme="majorEastAsia"/>
                <w:sz w:val="16"/>
                <w:szCs w:val="16"/>
              </w:rPr>
              <w:t>)</w:t>
            </w:r>
          </w:p>
        </w:tc>
        <w:tc>
          <w:tcPr>
            <w:tcW w:w="645" w:type="dxa"/>
            <w:gridSpan w:val="3"/>
            <w:vAlign w:val="center"/>
          </w:tcPr>
          <w:p w14:paraId="45C26B00">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预算结余率</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低效无效率</w:t>
            </w:r>
            <w:r>
              <w:rPr>
                <w:rFonts w:ascii="Times New Roman" w:hAnsi="Times New Roman" w:cs="Times New Roman" w:eastAsiaTheme="majorEastAsia"/>
                <w:sz w:val="16"/>
                <w:szCs w:val="16"/>
                <w:lang w:eastAsia="zh-CN"/>
              </w:rPr>
              <w:t xml:space="preserve"> )</w:t>
            </w:r>
          </w:p>
        </w:tc>
        <w:tc>
          <w:tcPr>
            <w:tcW w:w="429" w:type="dxa"/>
            <w:gridSpan w:val="2"/>
            <w:vAlign w:val="center"/>
          </w:tcPr>
          <w:p w14:paraId="4AD15BC2">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8</w:t>
            </w:r>
          </w:p>
        </w:tc>
        <w:tc>
          <w:tcPr>
            <w:tcW w:w="2335" w:type="dxa"/>
            <w:gridSpan w:val="2"/>
            <w:vAlign w:val="center"/>
          </w:tcPr>
          <w:p w14:paraId="4991B1AE">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部门预算项目年终预算结余情况。</w:t>
            </w:r>
          </w:p>
        </w:tc>
        <w:tc>
          <w:tcPr>
            <w:tcW w:w="3658" w:type="dxa"/>
            <w:vAlign w:val="center"/>
          </w:tcPr>
          <w:p w14:paraId="2ED6E52F">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指标得分</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部门预算项目预算结余率小于</w:t>
            </w:r>
            <w:r>
              <w:rPr>
                <w:rFonts w:ascii="Times New Roman" w:hAnsi="Times New Roman" w:cs="Times New Roman" w:eastAsiaTheme="majorEastAsia"/>
                <w:sz w:val="16"/>
                <w:szCs w:val="16"/>
                <w:lang w:eastAsia="zh-CN"/>
              </w:rPr>
              <w:t>10%</w:t>
            </w:r>
            <w:r>
              <w:rPr>
                <w:rFonts w:ascii="Times New Roman" w:cs="Times New Roman" w:hAnsiTheme="majorEastAsia" w:eastAsiaTheme="majorEastAsia"/>
                <w:sz w:val="16"/>
                <w:szCs w:val="16"/>
                <w:lang w:eastAsia="zh-CN"/>
              </w:rPr>
              <w:t>的项目数</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部门预算项目总数</w:t>
            </w:r>
            <w:r>
              <w:rPr>
                <w:rFonts w:ascii="Times New Roman" w:hAnsi="Times New Roman" w:cs="Times New Roman" w:eastAsiaTheme="majorEastAsia"/>
                <w:sz w:val="16"/>
                <w:szCs w:val="16"/>
                <w:lang w:eastAsia="zh-CN"/>
              </w:rPr>
              <w:t>×8</w:t>
            </w:r>
            <w:r>
              <w:rPr>
                <w:rFonts w:ascii="Times New Roman" w:cs="Times New Roman" w:hAnsiTheme="majorEastAsia" w:eastAsiaTheme="majorEastAsia"/>
                <w:sz w:val="16"/>
                <w:szCs w:val="16"/>
                <w:lang w:eastAsia="zh-CN"/>
              </w:rPr>
              <w:t>。</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重点核实范围为机关部门及至少</w:t>
            </w:r>
            <w:r>
              <w:rPr>
                <w:rFonts w:ascii="Times New Roman" w:hAnsi="Times New Roman" w:cs="Times New Roman" w:eastAsiaTheme="majorEastAsia"/>
                <w:sz w:val="16"/>
                <w:szCs w:val="16"/>
                <w:lang w:eastAsia="zh-CN"/>
              </w:rPr>
              <w:t>2</w:t>
            </w:r>
            <w:r>
              <w:rPr>
                <w:rFonts w:ascii="Times New Roman" w:cs="Times New Roman" w:hAnsiTheme="majorEastAsia" w:eastAsiaTheme="majorEastAsia"/>
                <w:sz w:val="16"/>
                <w:szCs w:val="16"/>
                <w:lang w:eastAsia="zh-CN"/>
              </w:rPr>
              <w:t>个下属单位的所有纳入绩效目标管理的部门预算项</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目</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。结余率</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实际使用资金</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预算资金</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预算资金</w:t>
            </w:r>
            <w:r>
              <w:rPr>
                <w:rFonts w:ascii="Times New Roman" w:hAnsi="Times New Roman" w:cs="Times New Roman" w:eastAsiaTheme="majorEastAsia"/>
                <w:sz w:val="16"/>
                <w:szCs w:val="16"/>
                <w:lang w:eastAsia="zh-CN"/>
              </w:rPr>
              <w:t>*100%</w:t>
            </w:r>
          </w:p>
        </w:tc>
        <w:tc>
          <w:tcPr>
            <w:tcW w:w="465" w:type="dxa"/>
            <w:gridSpan w:val="2"/>
            <w:vAlign w:val="center"/>
          </w:tcPr>
          <w:p w14:paraId="4FCEF817">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8</w:t>
            </w:r>
          </w:p>
        </w:tc>
      </w:tr>
      <w:tr w14:paraId="3F00E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7" w:type="dxa"/>
          <w:trHeight w:val="744" w:hRule="atLeast"/>
          <w:jc w:val="center"/>
        </w:trPr>
        <w:tc>
          <w:tcPr>
            <w:tcW w:w="533" w:type="dxa"/>
            <w:gridSpan w:val="2"/>
            <w:vAlign w:val="center"/>
          </w:tcPr>
          <w:p w14:paraId="56897B5B">
            <w:pPr>
              <w:pStyle w:val="33"/>
              <w:spacing w:line="200" w:lineRule="exact"/>
              <w:jc w:val="center"/>
              <w:rPr>
                <w:rFonts w:ascii="Times New Roman" w:hAnsi="Times New Roman" w:cs="Times New Roman" w:eastAsiaTheme="majorEastAsia"/>
                <w:sz w:val="16"/>
                <w:szCs w:val="16"/>
              </w:rPr>
            </w:pPr>
            <w:r>
              <w:rPr>
                <w:rFonts w:ascii="Times New Roman" w:cs="Times New Roman" w:hAnsiTheme="majorEastAsia" w:eastAsiaTheme="majorEastAsia"/>
                <w:sz w:val="16"/>
                <w:szCs w:val="16"/>
              </w:rPr>
              <w:t>部门预算项</w:t>
            </w:r>
            <w:r>
              <w:rPr>
                <w:rFonts w:ascii="Times New Roman" w:hAnsi="Times New Roman" w:cs="Times New Roman" w:eastAsiaTheme="majorEastAsia"/>
                <w:sz w:val="16"/>
                <w:szCs w:val="16"/>
              </w:rPr>
              <w:t xml:space="preserve"> </w:t>
            </w:r>
            <w:r>
              <w:rPr>
                <w:rFonts w:ascii="Times New Roman" w:cs="Times New Roman" w:hAnsiTheme="majorEastAsia" w:eastAsiaTheme="majorEastAsia"/>
                <w:sz w:val="16"/>
                <w:szCs w:val="16"/>
              </w:rPr>
              <w:t>目绩效</w:t>
            </w:r>
            <w:r>
              <w:rPr>
                <w:rFonts w:ascii="Times New Roman" w:hAnsi="Times New Roman" w:cs="Times New Roman" w:eastAsiaTheme="majorEastAsia"/>
                <w:sz w:val="16"/>
                <w:szCs w:val="16"/>
              </w:rPr>
              <w:t>(30</w:t>
            </w:r>
            <w:r>
              <w:rPr>
                <w:rFonts w:ascii="Times New Roman" w:cs="Times New Roman" w:hAnsiTheme="majorEastAsia" w:eastAsiaTheme="majorEastAsia"/>
                <w:sz w:val="16"/>
                <w:szCs w:val="16"/>
              </w:rPr>
              <w:t>分</w:t>
            </w:r>
            <w:r>
              <w:rPr>
                <w:rFonts w:ascii="Times New Roman" w:hAnsi="Times New Roman" w:cs="Times New Roman" w:eastAsiaTheme="majorEastAsia"/>
                <w:sz w:val="16"/>
                <w:szCs w:val="16"/>
              </w:rPr>
              <w:t>)</w:t>
            </w:r>
          </w:p>
        </w:tc>
        <w:tc>
          <w:tcPr>
            <w:tcW w:w="7550" w:type="dxa"/>
            <w:gridSpan w:val="10"/>
            <w:vAlign w:val="center"/>
          </w:tcPr>
          <w:p w14:paraId="1480D786">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财政重点绩效评价组和各预算单位结合部门管理的特定目标类部门预算项目数量，分段选取部分特定目标类部门预算项目实施评价并打分，将形成的项目评价分数的平均分</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百分</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制</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按</w:t>
            </w:r>
            <w:r>
              <w:rPr>
                <w:rFonts w:ascii="Times New Roman" w:hAnsi="Times New Roman" w:cs="Times New Roman" w:eastAsiaTheme="majorEastAsia"/>
                <w:sz w:val="16"/>
                <w:szCs w:val="16"/>
                <w:lang w:eastAsia="zh-CN"/>
              </w:rPr>
              <w:t>25%</w:t>
            </w:r>
            <w:r>
              <w:rPr>
                <w:rFonts w:ascii="Times New Roman" w:cs="Times New Roman" w:hAnsiTheme="majorEastAsia" w:eastAsiaTheme="majorEastAsia"/>
                <w:sz w:val="16"/>
                <w:szCs w:val="16"/>
                <w:lang w:eastAsia="zh-CN"/>
              </w:rPr>
              <w:t>的比例换算得分。</w:t>
            </w:r>
            <w:r>
              <w:rPr>
                <w:rFonts w:ascii="Times New Roman" w:hAnsi="Times New Roman" w:cs="Times New Roman" w:eastAsiaTheme="majorEastAsia"/>
                <w:sz w:val="16"/>
                <w:szCs w:val="16"/>
                <w:lang w:eastAsia="zh-CN"/>
              </w:rPr>
              <w:t>2.2023</w:t>
            </w:r>
            <w:r>
              <w:rPr>
                <w:rFonts w:ascii="Times New Roman" w:cs="Times New Roman" w:hAnsiTheme="majorEastAsia" w:eastAsiaTheme="majorEastAsia"/>
                <w:sz w:val="16"/>
                <w:szCs w:val="16"/>
                <w:lang w:eastAsia="zh-CN"/>
              </w:rPr>
              <w:t>年对区本级</w:t>
            </w:r>
            <w:r>
              <w:rPr>
                <w:rFonts w:ascii="Times New Roman" w:hAnsi="Times New Roman" w:cs="Times New Roman" w:eastAsiaTheme="majorEastAsia"/>
                <w:sz w:val="16"/>
                <w:szCs w:val="16"/>
                <w:lang w:eastAsia="zh-CN"/>
              </w:rPr>
              <w:t>50</w:t>
            </w:r>
            <w:r>
              <w:rPr>
                <w:rFonts w:ascii="Times New Roman" w:cs="Times New Roman" w:hAnsiTheme="majorEastAsia" w:eastAsiaTheme="majorEastAsia"/>
                <w:sz w:val="16"/>
                <w:szCs w:val="16"/>
                <w:lang w:eastAsia="zh-CN"/>
              </w:rPr>
              <w:t>万元及以上的预算项目开展自行评估并将评估资料提交区财政的，得</w:t>
            </w:r>
            <w:r>
              <w:rPr>
                <w:rFonts w:ascii="Times New Roman" w:hAnsi="Times New Roman" w:cs="Times New Roman" w:eastAsiaTheme="majorEastAsia"/>
                <w:sz w:val="16"/>
                <w:szCs w:val="16"/>
                <w:lang w:eastAsia="zh-CN"/>
              </w:rPr>
              <w:t>5</w:t>
            </w:r>
            <w:r>
              <w:rPr>
                <w:rFonts w:ascii="Times New Roman" w:cs="Times New Roman" w:hAnsiTheme="majorEastAsia" w:eastAsiaTheme="majorEastAsia"/>
                <w:sz w:val="16"/>
                <w:szCs w:val="16"/>
                <w:lang w:eastAsia="zh-CN"/>
              </w:rPr>
              <w:t>分。应开展未开展的每发现一</w:t>
            </w:r>
            <w:r>
              <w:rPr>
                <w:rFonts w:hint="eastAsia" w:ascii="Times New Roman" w:cs="Times New Roman" w:hAnsiTheme="majorEastAsia" w:eastAsiaTheme="majorEastAsia"/>
                <w:sz w:val="16"/>
                <w:szCs w:val="16"/>
                <w:lang w:eastAsia="zh-CN"/>
              </w:rPr>
              <w:t>次</w:t>
            </w:r>
            <w:r>
              <w:rPr>
                <w:rFonts w:ascii="Times New Roman" w:cs="Times New Roman" w:hAnsiTheme="majorEastAsia" w:eastAsiaTheme="majorEastAsia"/>
                <w:sz w:val="16"/>
                <w:szCs w:val="16"/>
                <w:lang w:eastAsia="zh-CN"/>
              </w:rPr>
              <w:t>扣</w:t>
            </w:r>
            <w:r>
              <w:rPr>
                <w:rFonts w:ascii="Times New Roman" w:hAnsi="Times New Roman" w:cs="Times New Roman" w:eastAsiaTheme="majorEastAsia"/>
                <w:sz w:val="16"/>
                <w:szCs w:val="16"/>
                <w:lang w:eastAsia="zh-CN"/>
              </w:rPr>
              <w:t>2</w:t>
            </w:r>
            <w:r>
              <w:rPr>
                <w:rFonts w:ascii="Times New Roman" w:cs="Times New Roman" w:hAnsiTheme="majorEastAsia" w:eastAsiaTheme="majorEastAsia"/>
                <w:sz w:val="16"/>
                <w:szCs w:val="16"/>
                <w:lang w:eastAsia="zh-CN"/>
              </w:rPr>
              <w:t>分，直至此项扣完。若应</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开展</w:t>
            </w:r>
            <w:r>
              <w:rPr>
                <w:rFonts w:ascii="Times New Roman" w:hAnsi="Times New Roman" w:cs="Times New Roman" w:eastAsiaTheme="majorEastAsia"/>
                <w:sz w:val="16"/>
                <w:szCs w:val="16"/>
                <w:lang w:eastAsia="zh-CN"/>
              </w:rPr>
              <w:t>1</w:t>
            </w:r>
            <w:r>
              <w:rPr>
                <w:rFonts w:ascii="Times New Roman" w:cs="Times New Roman" w:hAnsiTheme="majorEastAsia" w:eastAsiaTheme="majorEastAsia"/>
                <w:sz w:val="16"/>
                <w:szCs w:val="16"/>
                <w:lang w:eastAsia="zh-CN"/>
              </w:rPr>
              <w:t>个，且未开展的，此项不得分。</w:t>
            </w:r>
          </w:p>
        </w:tc>
        <w:tc>
          <w:tcPr>
            <w:tcW w:w="465" w:type="dxa"/>
            <w:gridSpan w:val="2"/>
            <w:vAlign w:val="center"/>
          </w:tcPr>
          <w:p w14:paraId="4427A2DC">
            <w:pPr>
              <w:pStyle w:val="33"/>
              <w:spacing w:line="200" w:lineRule="exact"/>
              <w:jc w:val="center"/>
              <w:rPr>
                <w:rFonts w:ascii="Times New Roman" w:hAnsi="Times New Roman" w:cs="Times New Roman" w:eastAsiaTheme="majorEastAsia"/>
                <w:sz w:val="16"/>
                <w:szCs w:val="16"/>
              </w:rPr>
            </w:pPr>
            <w:r>
              <w:rPr>
                <w:rFonts w:ascii="Times New Roman" w:hAnsi="Times New Roman" w:cs="Times New Roman" w:eastAsiaTheme="majorEastAsia"/>
                <w:sz w:val="16"/>
                <w:szCs w:val="16"/>
              </w:rPr>
              <w:t>30</w:t>
            </w:r>
          </w:p>
        </w:tc>
      </w:tr>
      <w:tr w14:paraId="5536C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75" w:hRule="atLeast"/>
          <w:jc w:val="center"/>
        </w:trPr>
        <w:tc>
          <w:tcPr>
            <w:tcW w:w="1611" w:type="dxa"/>
            <w:gridSpan w:val="5"/>
            <w:vAlign w:val="center"/>
          </w:tcPr>
          <w:p w14:paraId="55CA614F">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绩效指标</w:t>
            </w:r>
          </w:p>
        </w:tc>
        <w:tc>
          <w:tcPr>
            <w:tcW w:w="422" w:type="dxa"/>
            <w:gridSpan w:val="2"/>
            <w:vMerge w:val="restart"/>
            <w:tcBorders>
              <w:bottom w:val="nil"/>
            </w:tcBorders>
            <w:vAlign w:val="center"/>
          </w:tcPr>
          <w:p w14:paraId="278CC354">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指标分值</w:t>
            </w:r>
          </w:p>
        </w:tc>
        <w:tc>
          <w:tcPr>
            <w:tcW w:w="2045" w:type="dxa"/>
            <w:gridSpan w:val="2"/>
            <w:vMerge w:val="restart"/>
            <w:tcBorders>
              <w:bottom w:val="nil"/>
            </w:tcBorders>
            <w:vAlign w:val="center"/>
          </w:tcPr>
          <w:p w14:paraId="781AC5D1">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指标解释</w:t>
            </w:r>
          </w:p>
        </w:tc>
        <w:tc>
          <w:tcPr>
            <w:tcW w:w="4203" w:type="dxa"/>
            <w:gridSpan w:val="3"/>
            <w:vMerge w:val="restart"/>
            <w:tcBorders>
              <w:bottom w:val="nil"/>
            </w:tcBorders>
            <w:vAlign w:val="center"/>
          </w:tcPr>
          <w:p w14:paraId="685490B9">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评价要点及说明</w:t>
            </w:r>
          </w:p>
        </w:tc>
        <w:tc>
          <w:tcPr>
            <w:tcW w:w="567" w:type="dxa"/>
            <w:gridSpan w:val="2"/>
            <w:vMerge w:val="restart"/>
            <w:tcBorders>
              <w:bottom w:val="nil"/>
            </w:tcBorders>
            <w:vAlign w:val="center"/>
          </w:tcPr>
          <w:p w14:paraId="0AC71B55">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自评</w:t>
            </w:r>
          </w:p>
          <w:p w14:paraId="1EF9F8FF">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得分</w:t>
            </w:r>
          </w:p>
        </w:tc>
      </w:tr>
      <w:tr w14:paraId="187B2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99" w:hRule="atLeast"/>
          <w:jc w:val="center"/>
        </w:trPr>
        <w:tc>
          <w:tcPr>
            <w:tcW w:w="590" w:type="dxa"/>
            <w:gridSpan w:val="2"/>
            <w:vAlign w:val="center"/>
          </w:tcPr>
          <w:p w14:paraId="5DEB8D3C">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一级</w:t>
            </w:r>
          </w:p>
          <w:p w14:paraId="233430CF">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指标</w:t>
            </w:r>
          </w:p>
        </w:tc>
        <w:tc>
          <w:tcPr>
            <w:tcW w:w="492" w:type="dxa"/>
            <w:gridSpan w:val="2"/>
            <w:vAlign w:val="center"/>
          </w:tcPr>
          <w:p w14:paraId="19C8F566">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二级</w:t>
            </w:r>
          </w:p>
          <w:p w14:paraId="0F62CB78">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指标</w:t>
            </w:r>
          </w:p>
        </w:tc>
        <w:tc>
          <w:tcPr>
            <w:tcW w:w="529" w:type="dxa"/>
            <w:vAlign w:val="center"/>
          </w:tcPr>
          <w:p w14:paraId="21B3F34C">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三级</w:t>
            </w:r>
          </w:p>
          <w:p w14:paraId="5772E07F">
            <w:pPr>
              <w:pStyle w:val="33"/>
              <w:spacing w:line="200" w:lineRule="exact"/>
              <w:jc w:val="center"/>
              <w:rPr>
                <w:rFonts w:ascii="Times New Roman" w:hAnsi="Times New Roman" w:eastAsia="黑体" w:cs="Times New Roman"/>
                <w:sz w:val="16"/>
                <w:szCs w:val="16"/>
                <w:lang w:eastAsia="zh-CN"/>
              </w:rPr>
            </w:pPr>
            <w:r>
              <w:rPr>
                <w:rFonts w:ascii="Times New Roman" w:hAnsi="黑体" w:eastAsia="黑体" w:cs="Times New Roman"/>
                <w:sz w:val="16"/>
                <w:szCs w:val="16"/>
                <w:lang w:eastAsia="zh-CN"/>
              </w:rPr>
              <w:t>指标</w:t>
            </w:r>
          </w:p>
        </w:tc>
        <w:tc>
          <w:tcPr>
            <w:tcW w:w="422" w:type="dxa"/>
            <w:gridSpan w:val="2"/>
            <w:vMerge w:val="continue"/>
            <w:tcBorders>
              <w:top w:val="nil"/>
            </w:tcBorders>
            <w:vAlign w:val="center"/>
          </w:tcPr>
          <w:p w14:paraId="7B8AC139">
            <w:pPr>
              <w:spacing w:line="200" w:lineRule="exact"/>
              <w:jc w:val="center"/>
              <w:rPr>
                <w:rFonts w:eastAsia="黑体"/>
                <w:sz w:val="16"/>
                <w:szCs w:val="16"/>
              </w:rPr>
            </w:pPr>
          </w:p>
        </w:tc>
        <w:tc>
          <w:tcPr>
            <w:tcW w:w="2045" w:type="dxa"/>
            <w:gridSpan w:val="2"/>
            <w:vMerge w:val="continue"/>
            <w:tcBorders>
              <w:top w:val="nil"/>
            </w:tcBorders>
            <w:vAlign w:val="center"/>
          </w:tcPr>
          <w:p w14:paraId="7819FE85">
            <w:pPr>
              <w:spacing w:line="200" w:lineRule="exact"/>
              <w:jc w:val="center"/>
              <w:rPr>
                <w:rFonts w:eastAsia="黑体"/>
                <w:sz w:val="16"/>
                <w:szCs w:val="16"/>
              </w:rPr>
            </w:pPr>
          </w:p>
        </w:tc>
        <w:tc>
          <w:tcPr>
            <w:tcW w:w="4203" w:type="dxa"/>
            <w:gridSpan w:val="3"/>
            <w:vMerge w:val="continue"/>
            <w:tcBorders>
              <w:top w:val="nil"/>
            </w:tcBorders>
            <w:vAlign w:val="center"/>
          </w:tcPr>
          <w:p w14:paraId="61DF212A">
            <w:pPr>
              <w:spacing w:line="200" w:lineRule="exact"/>
              <w:jc w:val="center"/>
              <w:rPr>
                <w:rFonts w:eastAsia="黑体"/>
                <w:sz w:val="16"/>
                <w:szCs w:val="16"/>
              </w:rPr>
            </w:pPr>
          </w:p>
        </w:tc>
        <w:tc>
          <w:tcPr>
            <w:tcW w:w="567" w:type="dxa"/>
            <w:gridSpan w:val="2"/>
            <w:vMerge w:val="continue"/>
            <w:tcBorders>
              <w:top w:val="nil"/>
            </w:tcBorders>
            <w:vAlign w:val="center"/>
          </w:tcPr>
          <w:p w14:paraId="5F9CB407">
            <w:pPr>
              <w:spacing w:line="200" w:lineRule="exact"/>
              <w:jc w:val="center"/>
              <w:rPr>
                <w:rFonts w:eastAsia="黑体"/>
                <w:sz w:val="16"/>
                <w:szCs w:val="16"/>
              </w:rPr>
            </w:pPr>
          </w:p>
        </w:tc>
      </w:tr>
      <w:tr w14:paraId="01314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1428" w:hRule="atLeast"/>
          <w:jc w:val="center"/>
        </w:trPr>
        <w:tc>
          <w:tcPr>
            <w:tcW w:w="590" w:type="dxa"/>
            <w:gridSpan w:val="2"/>
            <w:vMerge w:val="restart"/>
            <w:tcBorders>
              <w:bottom w:val="nil"/>
            </w:tcBorders>
            <w:vAlign w:val="center"/>
          </w:tcPr>
          <w:p w14:paraId="013B0FE9">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绩效结果应用</w:t>
            </w:r>
            <w:r>
              <w:rPr>
                <w:rFonts w:ascii="Times New Roman" w:hAnsi="Times New Roman" w:cs="Times New Roman" w:eastAsiaTheme="majorEastAsia"/>
                <w:sz w:val="16"/>
                <w:szCs w:val="16"/>
                <w:lang w:eastAsia="zh-CN"/>
              </w:rPr>
              <w:t>(14</w:t>
            </w:r>
            <w:r>
              <w:rPr>
                <w:rFonts w:ascii="Times New Roman" w:cs="Times New Roman" w:hAnsiTheme="majorEastAsia" w:eastAsiaTheme="majorEastAsia"/>
                <w:sz w:val="16"/>
                <w:szCs w:val="16"/>
                <w:lang w:eastAsia="zh-CN"/>
              </w:rPr>
              <w:t>分</w:t>
            </w:r>
            <w:r>
              <w:rPr>
                <w:rFonts w:ascii="Times New Roman" w:hAnsi="Times New Roman" w:cs="Times New Roman" w:eastAsiaTheme="majorEastAsia"/>
                <w:sz w:val="16"/>
                <w:szCs w:val="16"/>
                <w:lang w:eastAsia="zh-CN"/>
              </w:rPr>
              <w:t>)</w:t>
            </w:r>
          </w:p>
        </w:tc>
        <w:tc>
          <w:tcPr>
            <w:tcW w:w="492" w:type="dxa"/>
            <w:gridSpan w:val="2"/>
            <w:vAlign w:val="center"/>
          </w:tcPr>
          <w:p w14:paraId="0FA1A9B2">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内部应用</w:t>
            </w:r>
            <w:r>
              <w:rPr>
                <w:rFonts w:ascii="Times New Roman" w:hAnsi="Times New Roman" w:cs="Times New Roman" w:eastAsiaTheme="majorEastAsia"/>
                <w:sz w:val="16"/>
                <w:szCs w:val="16"/>
                <w:lang w:eastAsia="zh-CN"/>
              </w:rPr>
              <w:t xml:space="preserve"> (4</w:t>
            </w:r>
            <w:r>
              <w:rPr>
                <w:rFonts w:ascii="Times New Roman" w:cs="Times New Roman" w:hAnsiTheme="majorEastAsia" w:eastAsiaTheme="majorEastAsia"/>
                <w:sz w:val="16"/>
                <w:szCs w:val="16"/>
                <w:lang w:eastAsia="zh-CN"/>
              </w:rPr>
              <w:t>分</w:t>
            </w:r>
            <w:r>
              <w:rPr>
                <w:rFonts w:ascii="Times New Roman" w:hAnsi="Times New Roman" w:cs="Times New Roman" w:eastAsiaTheme="majorEastAsia"/>
                <w:sz w:val="16"/>
                <w:szCs w:val="16"/>
                <w:lang w:eastAsia="zh-CN"/>
              </w:rPr>
              <w:t>)</w:t>
            </w:r>
          </w:p>
        </w:tc>
        <w:tc>
          <w:tcPr>
            <w:tcW w:w="529" w:type="dxa"/>
            <w:vAlign w:val="center"/>
          </w:tcPr>
          <w:p w14:paraId="091590E7">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预算绩效制度</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建设</w:t>
            </w:r>
          </w:p>
        </w:tc>
        <w:tc>
          <w:tcPr>
            <w:tcW w:w="422" w:type="dxa"/>
            <w:gridSpan w:val="2"/>
            <w:vAlign w:val="center"/>
          </w:tcPr>
          <w:p w14:paraId="75EC1FCD">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4</w:t>
            </w:r>
          </w:p>
        </w:tc>
        <w:tc>
          <w:tcPr>
            <w:tcW w:w="2045" w:type="dxa"/>
            <w:gridSpan w:val="2"/>
            <w:vAlign w:val="center"/>
          </w:tcPr>
          <w:p w14:paraId="29C931A1">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预算绩效管理制度和内部预算绩效工作考核挂钩制度</w:t>
            </w:r>
          </w:p>
        </w:tc>
        <w:tc>
          <w:tcPr>
            <w:tcW w:w="4203" w:type="dxa"/>
            <w:gridSpan w:val="3"/>
            <w:vAlign w:val="center"/>
          </w:tcPr>
          <w:p w14:paraId="3A6679C6">
            <w:pPr>
              <w:pStyle w:val="33"/>
              <w:spacing w:line="200" w:lineRule="exact"/>
              <w:jc w:val="both"/>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1.</w:t>
            </w:r>
            <w:r>
              <w:rPr>
                <w:rFonts w:ascii="Times New Roman" w:cs="Times New Roman" w:hAnsiTheme="majorEastAsia" w:eastAsiaTheme="majorEastAsia"/>
                <w:sz w:val="16"/>
                <w:szCs w:val="16"/>
                <w:lang w:eastAsia="zh-CN"/>
              </w:rPr>
              <w:t>建立健全本部门</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单位</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预算绩效管理制度，有正式文件依据且内容齐全，符合我</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区政府出台绩效和实际要求的，得</w:t>
            </w:r>
            <w:r>
              <w:rPr>
                <w:rFonts w:ascii="Times New Roman" w:hAnsi="Times New Roman" w:cs="Times New Roman" w:eastAsiaTheme="majorEastAsia"/>
                <w:sz w:val="16"/>
                <w:szCs w:val="16"/>
                <w:lang w:eastAsia="zh-CN"/>
              </w:rPr>
              <w:t>2</w:t>
            </w:r>
            <w:r>
              <w:rPr>
                <w:rFonts w:ascii="Times New Roman" w:cs="Times New Roman" w:hAnsiTheme="majorEastAsia" w:eastAsiaTheme="majorEastAsia"/>
                <w:sz w:val="16"/>
                <w:szCs w:val="16"/>
                <w:lang w:eastAsia="zh-CN"/>
              </w:rPr>
              <w:t>分。有文件依据，但内容不全或相关内容过时的，扣</w:t>
            </w:r>
            <w:r>
              <w:rPr>
                <w:rFonts w:ascii="Times New Roman" w:hAnsi="Times New Roman" w:cs="Times New Roman" w:eastAsiaTheme="majorEastAsia"/>
                <w:sz w:val="16"/>
                <w:szCs w:val="16"/>
                <w:lang w:eastAsia="zh-CN"/>
              </w:rPr>
              <w:t>1</w:t>
            </w:r>
            <w:r>
              <w:rPr>
                <w:rFonts w:ascii="Times New Roman" w:cs="Times New Roman" w:hAnsiTheme="majorEastAsia" w:eastAsiaTheme="majorEastAsia"/>
                <w:sz w:val="16"/>
                <w:szCs w:val="16"/>
                <w:lang w:eastAsia="zh-CN"/>
              </w:rPr>
              <w:t>分，无正式文件</w:t>
            </w:r>
            <w:r>
              <w:rPr>
                <w:rFonts w:hint="eastAsia" w:ascii="Times New Roman" w:cs="Times New Roman" w:hAnsiTheme="majorEastAsia" w:eastAsiaTheme="majorEastAsia"/>
                <w:sz w:val="16"/>
                <w:szCs w:val="16"/>
                <w:lang w:eastAsia="zh-CN"/>
              </w:rPr>
              <w:t>依</w:t>
            </w:r>
            <w:r>
              <w:rPr>
                <w:rFonts w:ascii="Times New Roman" w:cs="Times New Roman" w:hAnsiTheme="majorEastAsia" w:eastAsiaTheme="majorEastAsia"/>
                <w:sz w:val="16"/>
                <w:szCs w:val="16"/>
                <w:lang w:eastAsia="zh-CN"/>
              </w:rPr>
              <w:t>据，仅提供</w:t>
            </w:r>
            <w:r>
              <w:rPr>
                <w:rFonts w:ascii="Times New Roman" w:hAnsi="Times New Roman" w:cs="Times New Roman" w:eastAsiaTheme="majorEastAsia"/>
                <w:sz w:val="16"/>
                <w:szCs w:val="16"/>
                <w:lang w:eastAsia="zh-CN"/>
              </w:rPr>
              <w:t>world</w:t>
            </w:r>
            <w:r>
              <w:rPr>
                <w:rFonts w:ascii="Times New Roman" w:cs="Times New Roman" w:hAnsiTheme="majorEastAsia" w:eastAsiaTheme="majorEastAsia"/>
                <w:sz w:val="16"/>
                <w:szCs w:val="16"/>
                <w:lang w:eastAsia="zh-CN"/>
              </w:rPr>
              <w:t>版本且内容不全的，不得分。</w:t>
            </w:r>
            <w:r>
              <w:rPr>
                <w:rFonts w:ascii="Times New Roman" w:hAnsi="Times New Roman" w:cs="Times New Roman" w:eastAsiaTheme="majorEastAsia"/>
                <w:sz w:val="16"/>
                <w:szCs w:val="16"/>
                <w:lang w:eastAsia="zh-CN"/>
              </w:rPr>
              <w:t>2.</w:t>
            </w:r>
            <w:r>
              <w:rPr>
                <w:rFonts w:ascii="Times New Roman" w:cs="Times New Roman" w:hAnsiTheme="majorEastAsia" w:eastAsiaTheme="majorEastAsia"/>
                <w:sz w:val="16"/>
                <w:szCs w:val="16"/>
                <w:lang w:eastAsia="zh-CN"/>
              </w:rPr>
              <w:t>建立对内设</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机构和下属单位纳入内部预算绩效工作考核机制，有正式文件依据且实行绩效考核挂</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钩的，得</w:t>
            </w:r>
            <w:r>
              <w:rPr>
                <w:rFonts w:ascii="Times New Roman" w:hAnsi="Times New Roman" w:cs="Times New Roman" w:eastAsiaTheme="majorEastAsia"/>
                <w:sz w:val="16"/>
                <w:szCs w:val="16"/>
                <w:lang w:eastAsia="zh-CN"/>
              </w:rPr>
              <w:t>2</w:t>
            </w:r>
            <w:r>
              <w:rPr>
                <w:rFonts w:ascii="Times New Roman" w:cs="Times New Roman" w:hAnsiTheme="majorEastAsia" w:eastAsiaTheme="majorEastAsia"/>
                <w:sz w:val="16"/>
                <w:szCs w:val="16"/>
                <w:lang w:eastAsia="zh-CN"/>
              </w:rPr>
              <w:t>分。无正式文件依据但实行内部预算绩效工作考核挂钩的，得</w:t>
            </w:r>
            <w:r>
              <w:rPr>
                <w:rFonts w:ascii="Times New Roman" w:hAnsi="Times New Roman" w:cs="Times New Roman" w:eastAsiaTheme="majorEastAsia"/>
                <w:sz w:val="16"/>
                <w:szCs w:val="16"/>
                <w:lang w:eastAsia="zh-CN"/>
              </w:rPr>
              <w:t>1</w:t>
            </w:r>
            <w:r>
              <w:rPr>
                <w:rFonts w:ascii="Times New Roman" w:cs="Times New Roman" w:hAnsiTheme="majorEastAsia" w:eastAsiaTheme="majorEastAsia"/>
                <w:sz w:val="16"/>
                <w:szCs w:val="16"/>
                <w:lang w:eastAsia="zh-CN"/>
              </w:rPr>
              <w:t>分，有正式</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文件依据但未实行内部考核的，得</w:t>
            </w:r>
            <w:r>
              <w:rPr>
                <w:rFonts w:ascii="Times New Roman" w:hAnsi="Times New Roman" w:cs="Times New Roman" w:eastAsiaTheme="majorEastAsia"/>
                <w:sz w:val="16"/>
                <w:szCs w:val="16"/>
                <w:lang w:eastAsia="zh-CN"/>
              </w:rPr>
              <w:t>1</w:t>
            </w:r>
            <w:r>
              <w:rPr>
                <w:rFonts w:ascii="Times New Roman" w:cs="Times New Roman" w:hAnsiTheme="majorEastAsia" w:eastAsiaTheme="majorEastAsia"/>
                <w:sz w:val="16"/>
                <w:szCs w:val="16"/>
                <w:lang w:eastAsia="zh-CN"/>
              </w:rPr>
              <w:t>分；既无正式文件依据且未实行内部考核挂钩的，</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不得分。</w:t>
            </w:r>
          </w:p>
        </w:tc>
        <w:tc>
          <w:tcPr>
            <w:tcW w:w="567" w:type="dxa"/>
            <w:gridSpan w:val="2"/>
            <w:vAlign w:val="center"/>
          </w:tcPr>
          <w:p w14:paraId="0915D956">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4</w:t>
            </w:r>
          </w:p>
        </w:tc>
      </w:tr>
      <w:tr w14:paraId="42A7F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539" w:hRule="atLeast"/>
          <w:jc w:val="center"/>
        </w:trPr>
        <w:tc>
          <w:tcPr>
            <w:tcW w:w="590" w:type="dxa"/>
            <w:gridSpan w:val="2"/>
            <w:vMerge w:val="continue"/>
            <w:tcBorders>
              <w:top w:val="nil"/>
              <w:bottom w:val="nil"/>
            </w:tcBorders>
            <w:vAlign w:val="center"/>
          </w:tcPr>
          <w:p w14:paraId="613E54BB">
            <w:pPr>
              <w:pStyle w:val="33"/>
              <w:spacing w:line="200" w:lineRule="exact"/>
              <w:jc w:val="center"/>
              <w:rPr>
                <w:rFonts w:ascii="Times New Roman" w:hAnsi="Times New Roman" w:cs="Times New Roman" w:eastAsiaTheme="majorEastAsia"/>
                <w:sz w:val="16"/>
                <w:szCs w:val="16"/>
                <w:lang w:eastAsia="zh-CN"/>
              </w:rPr>
            </w:pPr>
          </w:p>
        </w:tc>
        <w:tc>
          <w:tcPr>
            <w:tcW w:w="492" w:type="dxa"/>
            <w:gridSpan w:val="2"/>
            <w:vAlign w:val="center"/>
          </w:tcPr>
          <w:p w14:paraId="46220042">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信息公开</w:t>
            </w:r>
            <w:r>
              <w:rPr>
                <w:rFonts w:ascii="Times New Roman" w:hAnsi="Times New Roman" w:cs="Times New Roman" w:eastAsiaTheme="majorEastAsia"/>
                <w:sz w:val="16"/>
                <w:szCs w:val="16"/>
                <w:lang w:eastAsia="zh-CN"/>
              </w:rPr>
              <w:t xml:space="preserve"> (3</w:t>
            </w:r>
            <w:r>
              <w:rPr>
                <w:rFonts w:ascii="Times New Roman" w:cs="Times New Roman" w:hAnsiTheme="majorEastAsia" w:eastAsiaTheme="majorEastAsia"/>
                <w:sz w:val="16"/>
                <w:szCs w:val="16"/>
                <w:lang w:eastAsia="zh-CN"/>
              </w:rPr>
              <w:t>分</w:t>
            </w:r>
            <w:r>
              <w:rPr>
                <w:rFonts w:ascii="Times New Roman" w:hAnsi="Times New Roman" w:cs="Times New Roman" w:eastAsiaTheme="majorEastAsia"/>
                <w:sz w:val="16"/>
                <w:szCs w:val="16"/>
                <w:lang w:eastAsia="zh-CN"/>
              </w:rPr>
              <w:t>)</w:t>
            </w:r>
          </w:p>
        </w:tc>
        <w:tc>
          <w:tcPr>
            <w:tcW w:w="529" w:type="dxa"/>
            <w:vAlign w:val="center"/>
          </w:tcPr>
          <w:p w14:paraId="48E3DCD4">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自评公开</w:t>
            </w:r>
          </w:p>
        </w:tc>
        <w:tc>
          <w:tcPr>
            <w:tcW w:w="422" w:type="dxa"/>
            <w:gridSpan w:val="2"/>
            <w:vAlign w:val="center"/>
          </w:tcPr>
          <w:p w14:paraId="2BD8C355">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3</w:t>
            </w:r>
          </w:p>
        </w:tc>
        <w:tc>
          <w:tcPr>
            <w:tcW w:w="2045" w:type="dxa"/>
            <w:gridSpan w:val="2"/>
            <w:vAlign w:val="center"/>
          </w:tcPr>
          <w:p w14:paraId="1D1F6EF2">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部门是否按要求将部门整体绩效自评情况和自行组织的</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评价情况向社会公开。</w:t>
            </w:r>
          </w:p>
        </w:tc>
        <w:tc>
          <w:tcPr>
            <w:tcW w:w="4203" w:type="dxa"/>
            <w:gridSpan w:val="3"/>
            <w:vAlign w:val="center"/>
          </w:tcPr>
          <w:p w14:paraId="6667D4FD">
            <w:pPr>
              <w:pStyle w:val="33"/>
              <w:spacing w:line="200" w:lineRule="exact"/>
              <w:jc w:val="both"/>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按绩效自评公开要求将预算绩效目标、中央转移支付自评等相关绩效信息随同预、决</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算和上级要求公开的时间进行公开的，得</w:t>
            </w:r>
            <w:r>
              <w:rPr>
                <w:rFonts w:ascii="Times New Roman" w:hAnsi="Times New Roman" w:cs="Times New Roman" w:eastAsiaTheme="majorEastAsia"/>
                <w:sz w:val="16"/>
                <w:szCs w:val="16"/>
                <w:lang w:eastAsia="zh-CN"/>
              </w:rPr>
              <w:t>3</w:t>
            </w:r>
            <w:r>
              <w:rPr>
                <w:rFonts w:ascii="Times New Roman" w:cs="Times New Roman" w:hAnsiTheme="majorEastAsia" w:eastAsiaTheme="majorEastAsia"/>
                <w:sz w:val="16"/>
                <w:szCs w:val="16"/>
                <w:lang w:eastAsia="zh-CN"/>
              </w:rPr>
              <w:t>分，否则不得分。</w:t>
            </w:r>
          </w:p>
        </w:tc>
        <w:tc>
          <w:tcPr>
            <w:tcW w:w="567" w:type="dxa"/>
            <w:gridSpan w:val="2"/>
            <w:vAlign w:val="center"/>
          </w:tcPr>
          <w:p w14:paraId="17A35DEF">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3</w:t>
            </w:r>
          </w:p>
        </w:tc>
      </w:tr>
      <w:tr w14:paraId="4BF6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619" w:hRule="atLeast"/>
          <w:jc w:val="center"/>
        </w:trPr>
        <w:tc>
          <w:tcPr>
            <w:tcW w:w="590" w:type="dxa"/>
            <w:gridSpan w:val="2"/>
            <w:vMerge w:val="continue"/>
            <w:tcBorders>
              <w:top w:val="nil"/>
              <w:bottom w:val="nil"/>
            </w:tcBorders>
            <w:vAlign w:val="center"/>
          </w:tcPr>
          <w:p w14:paraId="48EE5142">
            <w:pPr>
              <w:pStyle w:val="33"/>
              <w:spacing w:line="200" w:lineRule="exact"/>
              <w:jc w:val="center"/>
              <w:rPr>
                <w:rFonts w:ascii="Times New Roman" w:hAnsi="Times New Roman" w:cs="Times New Roman" w:eastAsiaTheme="majorEastAsia"/>
                <w:sz w:val="16"/>
                <w:szCs w:val="16"/>
                <w:lang w:eastAsia="zh-CN"/>
              </w:rPr>
            </w:pPr>
          </w:p>
        </w:tc>
        <w:tc>
          <w:tcPr>
            <w:tcW w:w="492" w:type="dxa"/>
            <w:gridSpan w:val="2"/>
            <w:vMerge w:val="restart"/>
            <w:tcBorders>
              <w:bottom w:val="nil"/>
            </w:tcBorders>
            <w:vAlign w:val="center"/>
          </w:tcPr>
          <w:p w14:paraId="39DB8401">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整改反馈</w:t>
            </w:r>
            <w:r>
              <w:rPr>
                <w:rFonts w:ascii="Times New Roman" w:hAnsi="Times New Roman" w:cs="Times New Roman" w:eastAsiaTheme="majorEastAsia"/>
                <w:sz w:val="16"/>
                <w:szCs w:val="16"/>
                <w:lang w:eastAsia="zh-CN"/>
              </w:rPr>
              <w:t xml:space="preserve"> (7</w:t>
            </w:r>
            <w:r>
              <w:rPr>
                <w:rFonts w:ascii="Times New Roman" w:cs="Times New Roman" w:hAnsiTheme="majorEastAsia" w:eastAsiaTheme="majorEastAsia"/>
                <w:sz w:val="16"/>
                <w:szCs w:val="16"/>
                <w:lang w:eastAsia="zh-CN"/>
              </w:rPr>
              <w:t>分</w:t>
            </w:r>
            <w:r>
              <w:rPr>
                <w:rFonts w:ascii="Times New Roman" w:hAnsi="Times New Roman" w:cs="Times New Roman" w:eastAsiaTheme="majorEastAsia"/>
                <w:sz w:val="16"/>
                <w:szCs w:val="16"/>
                <w:lang w:eastAsia="zh-CN"/>
              </w:rPr>
              <w:t>)</w:t>
            </w:r>
          </w:p>
        </w:tc>
        <w:tc>
          <w:tcPr>
            <w:tcW w:w="529" w:type="dxa"/>
            <w:vAlign w:val="center"/>
          </w:tcPr>
          <w:p w14:paraId="304150D4">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问题整改</w:t>
            </w:r>
          </w:p>
        </w:tc>
        <w:tc>
          <w:tcPr>
            <w:tcW w:w="422" w:type="dxa"/>
            <w:gridSpan w:val="2"/>
            <w:vAlign w:val="center"/>
          </w:tcPr>
          <w:p w14:paraId="40304EC2">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4</w:t>
            </w:r>
          </w:p>
        </w:tc>
        <w:tc>
          <w:tcPr>
            <w:tcW w:w="2045" w:type="dxa"/>
            <w:gridSpan w:val="2"/>
            <w:vAlign w:val="center"/>
          </w:tcPr>
          <w:p w14:paraId="2798DE2A">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部门根据绩效管理结果整改问题、完善政策、改进管理</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的情况。</w:t>
            </w:r>
          </w:p>
        </w:tc>
        <w:tc>
          <w:tcPr>
            <w:tcW w:w="4203" w:type="dxa"/>
            <w:gridSpan w:val="3"/>
            <w:vAlign w:val="center"/>
          </w:tcPr>
          <w:p w14:paraId="27A652E3">
            <w:pPr>
              <w:pStyle w:val="33"/>
              <w:spacing w:line="200" w:lineRule="exact"/>
              <w:jc w:val="both"/>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针对绩效管理过程中</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包括绩效目标核查、绩效监控核查、重点自评抽查复核、重点</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绩效评价等</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提出的问题进行全面整改，得</w:t>
            </w:r>
            <w:r>
              <w:rPr>
                <w:rFonts w:ascii="Times New Roman" w:hAnsi="Times New Roman" w:cs="Times New Roman" w:eastAsiaTheme="majorEastAsia"/>
                <w:sz w:val="16"/>
                <w:szCs w:val="16"/>
                <w:lang w:eastAsia="zh-CN"/>
              </w:rPr>
              <w:t>4</w:t>
            </w:r>
            <w:r>
              <w:rPr>
                <w:rFonts w:ascii="Times New Roman" w:cs="Times New Roman" w:hAnsiTheme="majorEastAsia" w:eastAsiaTheme="majorEastAsia"/>
                <w:sz w:val="16"/>
                <w:szCs w:val="16"/>
                <w:lang w:eastAsia="zh-CN"/>
              </w:rPr>
              <w:t>分，否则视整改落实情况扣分。</w:t>
            </w:r>
          </w:p>
        </w:tc>
        <w:tc>
          <w:tcPr>
            <w:tcW w:w="567" w:type="dxa"/>
            <w:gridSpan w:val="2"/>
            <w:vAlign w:val="center"/>
          </w:tcPr>
          <w:p w14:paraId="5CB4E1AA">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4</w:t>
            </w:r>
          </w:p>
        </w:tc>
      </w:tr>
      <w:tr w14:paraId="3F13E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629" w:hRule="atLeast"/>
          <w:jc w:val="center"/>
        </w:trPr>
        <w:tc>
          <w:tcPr>
            <w:tcW w:w="590" w:type="dxa"/>
            <w:gridSpan w:val="2"/>
            <w:vMerge w:val="continue"/>
            <w:tcBorders>
              <w:top w:val="nil"/>
            </w:tcBorders>
            <w:vAlign w:val="center"/>
          </w:tcPr>
          <w:p w14:paraId="54BDF32A">
            <w:pPr>
              <w:pStyle w:val="33"/>
              <w:spacing w:line="200" w:lineRule="exact"/>
              <w:jc w:val="center"/>
              <w:rPr>
                <w:rFonts w:ascii="Times New Roman" w:hAnsi="Times New Roman" w:cs="Times New Roman" w:eastAsiaTheme="majorEastAsia"/>
                <w:sz w:val="16"/>
                <w:szCs w:val="16"/>
                <w:lang w:eastAsia="zh-CN"/>
              </w:rPr>
            </w:pPr>
          </w:p>
        </w:tc>
        <w:tc>
          <w:tcPr>
            <w:tcW w:w="492" w:type="dxa"/>
            <w:gridSpan w:val="2"/>
            <w:vMerge w:val="continue"/>
            <w:tcBorders>
              <w:top w:val="nil"/>
            </w:tcBorders>
            <w:vAlign w:val="center"/>
          </w:tcPr>
          <w:p w14:paraId="0F399EE2">
            <w:pPr>
              <w:pStyle w:val="33"/>
              <w:spacing w:line="200" w:lineRule="exact"/>
              <w:jc w:val="center"/>
              <w:rPr>
                <w:rFonts w:ascii="Times New Roman" w:hAnsi="Times New Roman" w:cs="Times New Roman" w:eastAsiaTheme="majorEastAsia"/>
                <w:sz w:val="16"/>
                <w:szCs w:val="16"/>
                <w:lang w:eastAsia="zh-CN"/>
              </w:rPr>
            </w:pPr>
          </w:p>
        </w:tc>
        <w:tc>
          <w:tcPr>
            <w:tcW w:w="529" w:type="dxa"/>
            <w:vAlign w:val="center"/>
          </w:tcPr>
          <w:p w14:paraId="512BED60">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应用反馈</w:t>
            </w:r>
          </w:p>
        </w:tc>
        <w:tc>
          <w:tcPr>
            <w:tcW w:w="422" w:type="dxa"/>
            <w:gridSpan w:val="2"/>
            <w:vAlign w:val="center"/>
          </w:tcPr>
          <w:p w14:paraId="12B19EC2">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3</w:t>
            </w:r>
          </w:p>
        </w:tc>
        <w:tc>
          <w:tcPr>
            <w:tcW w:w="2045" w:type="dxa"/>
            <w:gridSpan w:val="2"/>
            <w:vAlign w:val="center"/>
          </w:tcPr>
          <w:p w14:paraId="5E95EF9B">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部门按要求及时向财政部门反馈问题整改及结果应用情</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况。</w:t>
            </w:r>
          </w:p>
        </w:tc>
        <w:tc>
          <w:tcPr>
            <w:tcW w:w="4203" w:type="dxa"/>
            <w:gridSpan w:val="3"/>
            <w:vAlign w:val="center"/>
          </w:tcPr>
          <w:p w14:paraId="39EDDF70">
            <w:pPr>
              <w:pStyle w:val="33"/>
              <w:spacing w:line="200" w:lineRule="exact"/>
              <w:jc w:val="both"/>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部门在规定时间内向财政部门反馈问题整改及绩效结果应用报告，报告内容翔实、问</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题整改到位、结果应用充分的，得</w:t>
            </w:r>
            <w:r>
              <w:rPr>
                <w:rFonts w:ascii="Times New Roman" w:hAnsi="Times New Roman" w:cs="Times New Roman" w:eastAsiaTheme="majorEastAsia"/>
                <w:sz w:val="16"/>
                <w:szCs w:val="16"/>
                <w:lang w:eastAsia="zh-CN"/>
              </w:rPr>
              <w:t>3</w:t>
            </w:r>
            <w:r>
              <w:rPr>
                <w:rFonts w:ascii="Times New Roman" w:cs="Times New Roman" w:hAnsiTheme="majorEastAsia" w:eastAsiaTheme="majorEastAsia"/>
                <w:sz w:val="16"/>
                <w:szCs w:val="16"/>
                <w:lang w:eastAsia="zh-CN"/>
              </w:rPr>
              <w:t>分，否则视反馈报告质量酌情扣分。</w:t>
            </w:r>
          </w:p>
        </w:tc>
        <w:tc>
          <w:tcPr>
            <w:tcW w:w="567" w:type="dxa"/>
            <w:gridSpan w:val="2"/>
            <w:vAlign w:val="center"/>
          </w:tcPr>
          <w:p w14:paraId="5C5EB38C">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3</w:t>
            </w:r>
          </w:p>
        </w:tc>
      </w:tr>
      <w:tr w14:paraId="06EB3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819" w:hRule="atLeast"/>
          <w:jc w:val="center"/>
        </w:trPr>
        <w:tc>
          <w:tcPr>
            <w:tcW w:w="590" w:type="dxa"/>
            <w:gridSpan w:val="2"/>
            <w:vAlign w:val="center"/>
          </w:tcPr>
          <w:p w14:paraId="7D545EAD">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自评质量</w:t>
            </w:r>
            <w:r>
              <w:rPr>
                <w:rFonts w:ascii="Times New Roman" w:hAnsi="Times New Roman" w:cs="Times New Roman" w:eastAsiaTheme="majorEastAsia"/>
                <w:sz w:val="16"/>
                <w:szCs w:val="16"/>
                <w:lang w:eastAsia="zh-CN"/>
              </w:rPr>
              <w:t xml:space="preserve"> (6</w:t>
            </w:r>
            <w:r>
              <w:rPr>
                <w:rFonts w:ascii="Times New Roman" w:cs="Times New Roman" w:hAnsiTheme="majorEastAsia" w:eastAsiaTheme="majorEastAsia"/>
                <w:sz w:val="16"/>
                <w:szCs w:val="16"/>
                <w:lang w:eastAsia="zh-CN"/>
              </w:rPr>
              <w:t>分</w:t>
            </w:r>
            <w:r>
              <w:rPr>
                <w:rFonts w:ascii="Times New Roman" w:hAnsi="Times New Roman" w:cs="Times New Roman" w:eastAsiaTheme="majorEastAsia"/>
                <w:sz w:val="16"/>
                <w:szCs w:val="16"/>
                <w:lang w:eastAsia="zh-CN"/>
              </w:rPr>
              <w:t>)</w:t>
            </w:r>
          </w:p>
        </w:tc>
        <w:tc>
          <w:tcPr>
            <w:tcW w:w="492" w:type="dxa"/>
            <w:gridSpan w:val="2"/>
            <w:vAlign w:val="center"/>
          </w:tcPr>
          <w:p w14:paraId="3A7597EE">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自评质量</w:t>
            </w:r>
            <w:r>
              <w:rPr>
                <w:rFonts w:ascii="Times New Roman" w:hAnsi="Times New Roman" w:cs="Times New Roman" w:eastAsiaTheme="majorEastAsia"/>
                <w:sz w:val="16"/>
                <w:szCs w:val="16"/>
                <w:lang w:eastAsia="zh-CN"/>
              </w:rPr>
              <w:t xml:space="preserve"> (6</w:t>
            </w:r>
            <w:r>
              <w:rPr>
                <w:rFonts w:ascii="Times New Roman" w:cs="Times New Roman" w:hAnsiTheme="majorEastAsia" w:eastAsiaTheme="majorEastAsia"/>
                <w:sz w:val="16"/>
                <w:szCs w:val="16"/>
                <w:lang w:eastAsia="zh-CN"/>
              </w:rPr>
              <w:t>分</w:t>
            </w:r>
            <w:r>
              <w:rPr>
                <w:rFonts w:ascii="Times New Roman" w:hAnsi="Times New Roman" w:cs="Times New Roman" w:eastAsiaTheme="majorEastAsia"/>
                <w:sz w:val="16"/>
                <w:szCs w:val="16"/>
                <w:lang w:eastAsia="zh-CN"/>
              </w:rPr>
              <w:t>)</w:t>
            </w:r>
          </w:p>
        </w:tc>
        <w:tc>
          <w:tcPr>
            <w:tcW w:w="529" w:type="dxa"/>
            <w:vAlign w:val="center"/>
          </w:tcPr>
          <w:p w14:paraId="6BA36044">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自评质量</w:t>
            </w:r>
          </w:p>
        </w:tc>
        <w:tc>
          <w:tcPr>
            <w:tcW w:w="422" w:type="dxa"/>
            <w:gridSpan w:val="2"/>
            <w:vAlign w:val="center"/>
          </w:tcPr>
          <w:p w14:paraId="4840F9DA">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6</w:t>
            </w:r>
          </w:p>
        </w:tc>
        <w:tc>
          <w:tcPr>
            <w:tcW w:w="2045" w:type="dxa"/>
            <w:gridSpan w:val="2"/>
            <w:vAlign w:val="center"/>
          </w:tcPr>
          <w:p w14:paraId="0445D2C9">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部门整体支出自评准确率。</w:t>
            </w:r>
          </w:p>
        </w:tc>
        <w:tc>
          <w:tcPr>
            <w:tcW w:w="4203" w:type="dxa"/>
            <w:gridSpan w:val="3"/>
            <w:vAlign w:val="center"/>
          </w:tcPr>
          <w:p w14:paraId="0A404C30">
            <w:pPr>
              <w:pStyle w:val="33"/>
              <w:spacing w:line="200" w:lineRule="exact"/>
              <w:jc w:val="both"/>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部门整体支出自评得分与评价组抽查得分差异在</w:t>
            </w:r>
            <w:r>
              <w:rPr>
                <w:rFonts w:ascii="Times New Roman" w:hAnsi="Times New Roman" w:cs="Times New Roman" w:eastAsiaTheme="majorEastAsia"/>
                <w:sz w:val="16"/>
                <w:szCs w:val="16"/>
                <w:lang w:eastAsia="zh-CN"/>
              </w:rPr>
              <w:t>10%</w:t>
            </w:r>
            <w:r>
              <w:rPr>
                <w:rFonts w:ascii="Times New Roman" w:cs="Times New Roman" w:hAnsiTheme="majorEastAsia" w:eastAsiaTheme="majorEastAsia"/>
                <w:sz w:val="16"/>
                <w:szCs w:val="16"/>
                <w:lang w:eastAsia="zh-CN"/>
              </w:rPr>
              <w:t>以内的，不扣分；在</w:t>
            </w:r>
            <w:r>
              <w:rPr>
                <w:rFonts w:ascii="Times New Roman" w:hAnsi="Times New Roman" w:cs="Times New Roman" w:eastAsiaTheme="majorEastAsia"/>
                <w:sz w:val="16"/>
                <w:szCs w:val="16"/>
                <w:lang w:eastAsia="zh-CN"/>
              </w:rPr>
              <w:t>10%-15%</w:t>
            </w:r>
            <w:r>
              <w:rPr>
                <w:rFonts w:ascii="Times New Roman" w:cs="Times New Roman" w:hAnsiTheme="majorEastAsia" w:eastAsiaTheme="majorEastAsia"/>
                <w:sz w:val="16"/>
                <w:szCs w:val="16"/>
                <w:lang w:eastAsia="zh-CN"/>
              </w:rPr>
              <w:t>之间</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的，扣</w:t>
            </w:r>
            <w:r>
              <w:rPr>
                <w:rFonts w:ascii="Times New Roman" w:hAnsi="Times New Roman" w:cs="Times New Roman" w:eastAsiaTheme="majorEastAsia"/>
                <w:sz w:val="16"/>
                <w:szCs w:val="16"/>
                <w:lang w:eastAsia="zh-CN"/>
              </w:rPr>
              <w:t>2</w:t>
            </w:r>
            <w:r>
              <w:rPr>
                <w:rFonts w:ascii="Times New Roman" w:cs="Times New Roman" w:hAnsiTheme="majorEastAsia" w:eastAsiaTheme="majorEastAsia"/>
                <w:sz w:val="16"/>
                <w:szCs w:val="16"/>
                <w:lang w:eastAsia="zh-CN"/>
              </w:rPr>
              <w:t>分，在</w:t>
            </w:r>
            <w:r>
              <w:rPr>
                <w:rFonts w:ascii="Times New Roman" w:hAnsi="Times New Roman" w:cs="Times New Roman" w:eastAsiaTheme="majorEastAsia"/>
                <w:sz w:val="16"/>
                <w:szCs w:val="16"/>
                <w:lang w:eastAsia="zh-CN"/>
              </w:rPr>
              <w:t>10%-20%</w:t>
            </w:r>
            <w:r>
              <w:rPr>
                <w:rFonts w:ascii="Times New Roman" w:cs="Times New Roman" w:hAnsiTheme="majorEastAsia" w:eastAsiaTheme="majorEastAsia"/>
                <w:sz w:val="16"/>
                <w:szCs w:val="16"/>
                <w:lang w:eastAsia="zh-CN"/>
              </w:rPr>
              <w:t>之间的，扣</w:t>
            </w:r>
            <w:r>
              <w:rPr>
                <w:rFonts w:ascii="Times New Roman" w:hAnsi="Times New Roman" w:cs="Times New Roman" w:eastAsiaTheme="majorEastAsia"/>
                <w:sz w:val="16"/>
                <w:szCs w:val="16"/>
                <w:lang w:eastAsia="zh-CN"/>
              </w:rPr>
              <w:t>4</w:t>
            </w:r>
            <w:r>
              <w:rPr>
                <w:rFonts w:ascii="Times New Roman" w:cs="Times New Roman" w:hAnsiTheme="majorEastAsia" w:eastAsiaTheme="majorEastAsia"/>
                <w:sz w:val="16"/>
                <w:szCs w:val="16"/>
                <w:lang w:eastAsia="zh-CN"/>
              </w:rPr>
              <w:t>分，在</w:t>
            </w:r>
            <w:r>
              <w:rPr>
                <w:rFonts w:ascii="Times New Roman" w:hAnsi="Times New Roman" w:cs="Times New Roman" w:eastAsiaTheme="majorEastAsia"/>
                <w:sz w:val="16"/>
                <w:szCs w:val="16"/>
                <w:lang w:eastAsia="zh-CN"/>
              </w:rPr>
              <w:t>20%</w:t>
            </w:r>
            <w:r>
              <w:rPr>
                <w:rFonts w:ascii="Times New Roman" w:cs="Times New Roman" w:hAnsiTheme="majorEastAsia" w:eastAsiaTheme="majorEastAsia"/>
                <w:sz w:val="16"/>
                <w:szCs w:val="16"/>
                <w:lang w:eastAsia="zh-CN"/>
              </w:rPr>
              <w:t>以上的，扣</w:t>
            </w:r>
            <w:r>
              <w:rPr>
                <w:rFonts w:ascii="Times New Roman" w:hAnsi="Times New Roman" w:cs="Times New Roman" w:eastAsiaTheme="majorEastAsia"/>
                <w:sz w:val="16"/>
                <w:szCs w:val="16"/>
                <w:lang w:eastAsia="zh-CN"/>
              </w:rPr>
              <w:t>6</w:t>
            </w:r>
            <w:r>
              <w:rPr>
                <w:rFonts w:ascii="Times New Roman" w:cs="Times New Roman" w:hAnsiTheme="majorEastAsia" w:eastAsiaTheme="majorEastAsia"/>
                <w:sz w:val="16"/>
                <w:szCs w:val="16"/>
                <w:lang w:eastAsia="zh-CN"/>
              </w:rPr>
              <w:t>分。</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此为财政重点绩效评</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价计分标准，部门参照该标准对部门及下属单位抽查计分</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w:t>
            </w:r>
          </w:p>
        </w:tc>
        <w:tc>
          <w:tcPr>
            <w:tcW w:w="567" w:type="dxa"/>
            <w:gridSpan w:val="2"/>
            <w:vAlign w:val="center"/>
          </w:tcPr>
          <w:p w14:paraId="4C309178">
            <w:pPr>
              <w:spacing w:line="200" w:lineRule="exact"/>
              <w:jc w:val="center"/>
              <w:rPr>
                <w:rFonts w:eastAsiaTheme="majorEastAsia"/>
                <w:sz w:val="16"/>
                <w:szCs w:val="16"/>
              </w:rPr>
            </w:pPr>
          </w:p>
          <w:p w14:paraId="688C08F5">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6</w:t>
            </w:r>
          </w:p>
        </w:tc>
      </w:tr>
      <w:tr w14:paraId="3EC8C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1408" w:hRule="atLeast"/>
          <w:jc w:val="center"/>
        </w:trPr>
        <w:tc>
          <w:tcPr>
            <w:tcW w:w="1611" w:type="dxa"/>
            <w:gridSpan w:val="5"/>
            <w:vMerge w:val="restart"/>
            <w:tcBorders>
              <w:bottom w:val="nil"/>
            </w:tcBorders>
            <w:vAlign w:val="center"/>
          </w:tcPr>
          <w:p w14:paraId="5B302454">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扣分项</w:t>
            </w:r>
            <w:r>
              <w:rPr>
                <w:rFonts w:ascii="Times New Roman" w:hAnsi="Times New Roman" w:cs="Times New Roman" w:eastAsiaTheme="majorEastAsia"/>
                <w:sz w:val="16"/>
                <w:szCs w:val="16"/>
                <w:lang w:eastAsia="zh-CN"/>
              </w:rPr>
              <w:t>(5</w:t>
            </w:r>
            <w:r>
              <w:rPr>
                <w:rFonts w:ascii="Times New Roman" w:cs="Times New Roman" w:hAnsiTheme="majorEastAsia" w:eastAsiaTheme="majorEastAsia"/>
                <w:sz w:val="16"/>
                <w:szCs w:val="16"/>
                <w:lang w:eastAsia="zh-CN"/>
              </w:rPr>
              <w:t>分</w:t>
            </w:r>
            <w:r>
              <w:rPr>
                <w:rFonts w:ascii="Times New Roman" w:hAnsi="Times New Roman" w:cs="Times New Roman" w:eastAsiaTheme="majorEastAsia"/>
                <w:sz w:val="16"/>
                <w:szCs w:val="16"/>
                <w:lang w:eastAsia="zh-CN"/>
              </w:rPr>
              <w:t>)</w:t>
            </w:r>
          </w:p>
        </w:tc>
        <w:tc>
          <w:tcPr>
            <w:tcW w:w="422" w:type="dxa"/>
            <w:gridSpan w:val="2"/>
            <w:vAlign w:val="center"/>
          </w:tcPr>
          <w:p w14:paraId="0CBE0EB7">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3</w:t>
            </w:r>
          </w:p>
        </w:tc>
        <w:tc>
          <w:tcPr>
            <w:tcW w:w="2045" w:type="dxa"/>
            <w:gridSpan w:val="2"/>
            <w:vAlign w:val="center"/>
          </w:tcPr>
          <w:p w14:paraId="4FA97F5F">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根据审计监督、财会监督和决算审查结果反映部门上一</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年度部门预算管理是否符合相关财政财务管理规定。</w:t>
            </w:r>
          </w:p>
        </w:tc>
        <w:tc>
          <w:tcPr>
            <w:tcW w:w="4203" w:type="dxa"/>
            <w:gridSpan w:val="3"/>
            <w:vAlign w:val="center"/>
          </w:tcPr>
          <w:p w14:paraId="5618F489">
            <w:pPr>
              <w:pStyle w:val="33"/>
              <w:spacing w:line="200" w:lineRule="exact"/>
              <w:jc w:val="both"/>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依据评价年度审计监督、财会监督和决算审查结果，反映部门预算管理是否符合相关</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财政财务管理制度规定以及有关专项资金管理办法的规定；资金的拨付是否有完整的</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审批程序和手续；重大项目开支是否经过评估论证；是否符合部门预算批复的用途；</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年度内被各层级发现预算资金方面重大违规违纪问题或被区财政</w:t>
            </w:r>
            <w:r>
              <w:rPr>
                <w:rFonts w:hint="eastAsia" w:ascii="Times New Roman" w:cs="Times New Roman" w:hAnsiTheme="majorEastAsia" w:eastAsiaTheme="majorEastAsia"/>
                <w:sz w:val="16"/>
                <w:szCs w:val="16"/>
                <w:lang w:eastAsia="zh-CN"/>
              </w:rPr>
              <w:t>局</w:t>
            </w:r>
            <w:r>
              <w:rPr>
                <w:rFonts w:ascii="Times New Roman" w:cs="Times New Roman" w:hAnsiTheme="majorEastAsia" w:eastAsiaTheme="majorEastAsia"/>
                <w:sz w:val="16"/>
                <w:szCs w:val="16"/>
                <w:lang w:eastAsia="zh-CN"/>
              </w:rPr>
              <w:t>发送</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两书一函</w:t>
            </w:r>
            <w:r>
              <w:rPr>
                <w:rFonts w:ascii="Times New Roman" w:hAnsi="Times New Roman" w:cs="Times New Roman" w:eastAsiaTheme="majorEastAsia"/>
                <w:sz w:val="16"/>
                <w:szCs w:val="16"/>
                <w:lang w:eastAsia="zh-CN"/>
              </w:rPr>
              <w:t>” (</w:t>
            </w:r>
            <w:r>
              <w:rPr>
                <w:rFonts w:ascii="Times New Roman" w:cs="Times New Roman" w:hAnsiTheme="majorEastAsia" w:eastAsiaTheme="majorEastAsia"/>
                <w:sz w:val="16"/>
                <w:szCs w:val="16"/>
                <w:lang w:eastAsia="zh-CN"/>
              </w:rPr>
              <w:t>约谈通知书、整改通知书和提醒敦促函</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是否存在未落实党政机关过紧日子相关</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要求等情况。每有一</w:t>
            </w:r>
            <w:r>
              <w:rPr>
                <w:rFonts w:hint="eastAsia" w:ascii="Times New Roman" w:cs="Times New Roman" w:hAnsiTheme="majorEastAsia" w:eastAsiaTheme="majorEastAsia"/>
                <w:sz w:val="16"/>
                <w:szCs w:val="16"/>
                <w:lang w:eastAsia="zh-CN"/>
              </w:rPr>
              <w:t>次</w:t>
            </w:r>
            <w:r>
              <w:rPr>
                <w:rFonts w:ascii="Times New Roman" w:cs="Times New Roman" w:hAnsiTheme="majorEastAsia" w:eastAsiaTheme="majorEastAsia"/>
                <w:sz w:val="16"/>
                <w:szCs w:val="16"/>
                <w:lang w:eastAsia="zh-CN"/>
              </w:rPr>
              <w:t>问题点扣</w:t>
            </w:r>
            <w:r>
              <w:rPr>
                <w:rFonts w:ascii="Times New Roman" w:hAnsi="Times New Roman" w:cs="Times New Roman" w:eastAsiaTheme="majorEastAsia"/>
                <w:sz w:val="16"/>
                <w:szCs w:val="16"/>
                <w:lang w:eastAsia="zh-CN"/>
              </w:rPr>
              <w:t>0.5</w:t>
            </w:r>
            <w:r>
              <w:rPr>
                <w:rFonts w:ascii="Times New Roman" w:cs="Times New Roman" w:hAnsiTheme="majorEastAsia" w:eastAsiaTheme="majorEastAsia"/>
                <w:sz w:val="16"/>
                <w:szCs w:val="16"/>
                <w:lang w:eastAsia="zh-CN"/>
              </w:rPr>
              <w:t>分，扣完为止。</w:t>
            </w:r>
          </w:p>
        </w:tc>
        <w:tc>
          <w:tcPr>
            <w:tcW w:w="567" w:type="dxa"/>
            <w:gridSpan w:val="2"/>
            <w:vAlign w:val="center"/>
          </w:tcPr>
          <w:p w14:paraId="774160FE">
            <w:pPr>
              <w:pStyle w:val="33"/>
              <w:spacing w:line="200" w:lineRule="exact"/>
              <w:jc w:val="center"/>
              <w:rPr>
                <w:rFonts w:ascii="Times New Roman" w:hAnsi="Times New Roman" w:cs="Times New Roman" w:eastAsiaTheme="majorEastAsia"/>
                <w:sz w:val="16"/>
                <w:szCs w:val="16"/>
                <w:lang w:eastAsia="zh-CN"/>
              </w:rPr>
            </w:pPr>
          </w:p>
        </w:tc>
      </w:tr>
      <w:tr w14:paraId="00AEB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679" w:hRule="atLeast"/>
          <w:jc w:val="center"/>
        </w:trPr>
        <w:tc>
          <w:tcPr>
            <w:tcW w:w="1611" w:type="dxa"/>
            <w:gridSpan w:val="5"/>
            <w:vMerge w:val="continue"/>
            <w:tcBorders>
              <w:top w:val="nil"/>
            </w:tcBorders>
            <w:vAlign w:val="center"/>
          </w:tcPr>
          <w:p w14:paraId="71670AEB">
            <w:pPr>
              <w:pStyle w:val="33"/>
              <w:spacing w:line="200" w:lineRule="exact"/>
              <w:jc w:val="center"/>
              <w:rPr>
                <w:rFonts w:ascii="Times New Roman" w:hAnsi="Times New Roman" w:cs="Times New Roman" w:eastAsiaTheme="majorEastAsia"/>
                <w:sz w:val="16"/>
                <w:szCs w:val="16"/>
                <w:lang w:eastAsia="zh-CN"/>
              </w:rPr>
            </w:pPr>
          </w:p>
        </w:tc>
        <w:tc>
          <w:tcPr>
            <w:tcW w:w="422" w:type="dxa"/>
            <w:gridSpan w:val="2"/>
            <w:vAlign w:val="center"/>
          </w:tcPr>
          <w:p w14:paraId="07F3BCBE">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2</w:t>
            </w:r>
          </w:p>
        </w:tc>
        <w:tc>
          <w:tcPr>
            <w:tcW w:w="2045" w:type="dxa"/>
            <w:gridSpan w:val="2"/>
            <w:vAlign w:val="center"/>
          </w:tcPr>
          <w:p w14:paraId="44EBF28C">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被评价单位配合评价工作情况。</w:t>
            </w:r>
          </w:p>
        </w:tc>
        <w:tc>
          <w:tcPr>
            <w:tcW w:w="4203" w:type="dxa"/>
            <w:gridSpan w:val="3"/>
            <w:vAlign w:val="center"/>
          </w:tcPr>
          <w:p w14:paraId="3F624DF9">
            <w:pPr>
              <w:pStyle w:val="33"/>
              <w:spacing w:line="200" w:lineRule="exact"/>
              <w:jc w:val="both"/>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财政重点绩效评价工作开展过程中，评价组发现被评价对象拖延推诿、提交资料不及</w:t>
            </w:r>
            <w:r>
              <w:rPr>
                <w:rFonts w:ascii="Times New Roman" w:hAnsi="Times New Roman" w:cs="Times New Roman" w:eastAsiaTheme="majorEastAsia"/>
                <w:sz w:val="16"/>
                <w:szCs w:val="16"/>
                <w:lang w:eastAsia="zh-CN"/>
              </w:rPr>
              <w:t xml:space="preserve">  </w:t>
            </w:r>
            <w:r>
              <w:rPr>
                <w:rFonts w:ascii="Times New Roman" w:cs="Times New Roman" w:hAnsiTheme="majorEastAsia" w:eastAsiaTheme="majorEastAsia"/>
                <w:sz w:val="16"/>
                <w:szCs w:val="16"/>
                <w:lang w:eastAsia="zh-CN"/>
              </w:rPr>
              <w:t>时等拒不配合评价工作的，经报财政局复核确认后按</w:t>
            </w:r>
            <w:r>
              <w:rPr>
                <w:rFonts w:ascii="Times New Roman" w:hAnsi="Times New Roman" w:cs="Times New Roman" w:eastAsiaTheme="majorEastAsia"/>
                <w:sz w:val="16"/>
                <w:szCs w:val="16"/>
                <w:lang w:eastAsia="zh-CN"/>
              </w:rPr>
              <w:t>0.5</w:t>
            </w:r>
            <w:r>
              <w:rPr>
                <w:rFonts w:ascii="Times New Roman" w:cs="Times New Roman" w:hAnsiTheme="majorEastAsia" w:eastAsiaTheme="majorEastAsia"/>
                <w:sz w:val="16"/>
                <w:szCs w:val="16"/>
                <w:lang w:eastAsia="zh-CN"/>
              </w:rPr>
              <w:t>分</w:t>
            </w:r>
            <w:r>
              <w:rPr>
                <w:rFonts w:ascii="Times New Roman" w:hAnsi="Times New Roman" w:cs="Times New Roman" w:eastAsiaTheme="majorEastAsia"/>
                <w:sz w:val="16"/>
                <w:szCs w:val="16"/>
                <w:lang w:eastAsia="zh-CN"/>
              </w:rPr>
              <w:t>/</w:t>
            </w:r>
            <w:r>
              <w:rPr>
                <w:rFonts w:ascii="Times New Roman" w:cs="Times New Roman" w:hAnsiTheme="majorEastAsia" w:eastAsiaTheme="majorEastAsia"/>
                <w:sz w:val="16"/>
                <w:szCs w:val="16"/>
                <w:lang w:eastAsia="zh-CN"/>
              </w:rPr>
              <w:t>次予以扣分，扣完为止。</w:t>
            </w:r>
          </w:p>
        </w:tc>
        <w:tc>
          <w:tcPr>
            <w:tcW w:w="567" w:type="dxa"/>
            <w:gridSpan w:val="2"/>
            <w:vAlign w:val="center"/>
          </w:tcPr>
          <w:p w14:paraId="21F7CFC8">
            <w:pPr>
              <w:pStyle w:val="33"/>
              <w:spacing w:line="200" w:lineRule="exact"/>
              <w:jc w:val="center"/>
              <w:rPr>
                <w:rFonts w:ascii="Times New Roman" w:hAnsi="Times New Roman" w:cs="Times New Roman" w:eastAsiaTheme="majorEastAsia"/>
                <w:sz w:val="16"/>
                <w:szCs w:val="16"/>
                <w:lang w:eastAsia="zh-CN"/>
              </w:rPr>
            </w:pPr>
          </w:p>
        </w:tc>
      </w:tr>
      <w:tr w14:paraId="62942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484" w:hRule="atLeast"/>
          <w:jc w:val="center"/>
        </w:trPr>
        <w:tc>
          <w:tcPr>
            <w:tcW w:w="8281" w:type="dxa"/>
            <w:gridSpan w:val="12"/>
            <w:vAlign w:val="center"/>
          </w:tcPr>
          <w:p w14:paraId="7EE2C04A">
            <w:pPr>
              <w:pStyle w:val="33"/>
              <w:spacing w:line="200" w:lineRule="exact"/>
              <w:jc w:val="center"/>
              <w:rPr>
                <w:rFonts w:ascii="Times New Roman" w:hAnsi="Times New Roman" w:cs="Times New Roman" w:eastAsiaTheme="majorEastAsia"/>
                <w:sz w:val="16"/>
                <w:szCs w:val="16"/>
                <w:lang w:eastAsia="zh-CN"/>
              </w:rPr>
            </w:pPr>
            <w:r>
              <w:rPr>
                <w:rFonts w:ascii="Times New Roman" w:cs="Times New Roman" w:hAnsiTheme="majorEastAsia" w:eastAsiaTheme="majorEastAsia"/>
                <w:sz w:val="16"/>
                <w:szCs w:val="16"/>
                <w:lang w:eastAsia="zh-CN"/>
              </w:rPr>
              <w:t>合计</w:t>
            </w:r>
          </w:p>
        </w:tc>
        <w:tc>
          <w:tcPr>
            <w:tcW w:w="567" w:type="dxa"/>
            <w:gridSpan w:val="2"/>
            <w:vAlign w:val="center"/>
          </w:tcPr>
          <w:p w14:paraId="2ACF966B">
            <w:pPr>
              <w:pStyle w:val="33"/>
              <w:spacing w:line="200" w:lineRule="exact"/>
              <w:jc w:val="center"/>
              <w:rPr>
                <w:rFonts w:ascii="Times New Roman" w:hAnsi="Times New Roman" w:cs="Times New Roman" w:eastAsiaTheme="majorEastAsia"/>
                <w:sz w:val="16"/>
                <w:szCs w:val="16"/>
                <w:lang w:eastAsia="zh-CN"/>
              </w:rPr>
            </w:pPr>
            <w:r>
              <w:rPr>
                <w:rFonts w:ascii="Times New Roman" w:hAnsi="Times New Roman" w:cs="Times New Roman" w:eastAsiaTheme="majorEastAsia"/>
                <w:sz w:val="16"/>
                <w:szCs w:val="16"/>
                <w:lang w:eastAsia="zh-CN"/>
              </w:rPr>
              <w:t>100</w:t>
            </w:r>
          </w:p>
        </w:tc>
      </w:tr>
    </w:tbl>
    <w:p w14:paraId="3CC727B9">
      <w:pPr>
        <w:pStyle w:val="12"/>
        <w:spacing w:line="576" w:lineRule="exact"/>
        <w:jc w:val="center"/>
        <w:rPr>
          <w:rFonts w:eastAsia="方正小标宋简体"/>
          <w:bCs/>
          <w:kern w:val="44"/>
          <w:sz w:val="44"/>
          <w:szCs w:val="44"/>
        </w:rPr>
      </w:pPr>
    </w:p>
    <w:p w14:paraId="06CEADD8">
      <w:pPr>
        <w:pStyle w:val="12"/>
        <w:spacing w:line="576" w:lineRule="exact"/>
        <w:jc w:val="center"/>
        <w:rPr>
          <w:rFonts w:eastAsia="方正小标宋简体"/>
          <w:bCs/>
          <w:kern w:val="44"/>
          <w:sz w:val="44"/>
          <w:szCs w:val="44"/>
        </w:rPr>
      </w:pPr>
      <w:r>
        <w:br w:type="page"/>
      </w:r>
      <w:bookmarkStart w:id="20" w:name="_Toc178326877"/>
      <w:r>
        <w:rPr>
          <w:rFonts w:eastAsia="方正小标宋简体"/>
          <w:bCs/>
          <w:kern w:val="44"/>
          <w:sz w:val="44"/>
          <w:szCs w:val="44"/>
        </w:rPr>
        <w:t>第五部分  附表</w:t>
      </w:r>
      <w:bookmarkEnd w:id="20"/>
    </w:p>
    <w:p w14:paraId="1F3C6CE8">
      <w:pPr>
        <w:pStyle w:val="12"/>
        <w:spacing w:line="576" w:lineRule="exact"/>
        <w:jc w:val="center"/>
        <w:rPr>
          <w:rFonts w:eastAsia="方正小标宋简体"/>
          <w:bCs/>
          <w:kern w:val="44"/>
          <w:sz w:val="44"/>
          <w:szCs w:val="44"/>
        </w:rPr>
      </w:pPr>
    </w:p>
    <w:p w14:paraId="1F181DB6">
      <w:pPr>
        <w:pStyle w:val="13"/>
        <w:spacing w:line="576" w:lineRule="exact"/>
        <w:ind w:firstLine="640"/>
        <w:jc w:val="both"/>
        <w:rPr>
          <w:rFonts w:eastAsia="仿宋_GB2312"/>
          <w:b/>
          <w:bCs/>
          <w:color w:val="000000"/>
          <w:kern w:val="2"/>
          <w:sz w:val="32"/>
          <w:szCs w:val="32"/>
        </w:rPr>
      </w:pPr>
      <w:bookmarkStart w:id="21" w:name="_Toc178326878"/>
      <w:r>
        <w:rPr>
          <w:rFonts w:eastAsia="仿宋_GB2312"/>
          <w:color w:val="000000"/>
          <w:kern w:val="2"/>
          <w:sz w:val="32"/>
          <w:szCs w:val="32"/>
        </w:rPr>
        <w:t>一、收</w:t>
      </w:r>
      <w:r>
        <w:rPr>
          <w:rFonts w:eastAsia="仿宋_GB2312"/>
          <w:kern w:val="2"/>
          <w:sz w:val="32"/>
          <w:szCs w:val="32"/>
        </w:rPr>
        <w:t>入支出决算总表</w:t>
      </w:r>
      <w:bookmarkEnd w:id="21"/>
    </w:p>
    <w:p w14:paraId="47E89D69">
      <w:pPr>
        <w:pStyle w:val="13"/>
        <w:spacing w:line="576" w:lineRule="exact"/>
        <w:ind w:firstLine="640"/>
        <w:jc w:val="both"/>
        <w:rPr>
          <w:rFonts w:eastAsia="仿宋_GB2312"/>
          <w:b/>
          <w:bCs/>
          <w:color w:val="000000"/>
          <w:kern w:val="2"/>
          <w:sz w:val="32"/>
          <w:szCs w:val="32"/>
        </w:rPr>
      </w:pPr>
      <w:bookmarkStart w:id="22" w:name="_Toc178326879"/>
      <w:r>
        <w:rPr>
          <w:rFonts w:eastAsia="仿宋_GB2312"/>
          <w:color w:val="000000"/>
          <w:kern w:val="2"/>
          <w:sz w:val="32"/>
          <w:szCs w:val="32"/>
        </w:rPr>
        <w:t>二、收</w:t>
      </w:r>
      <w:r>
        <w:rPr>
          <w:rFonts w:eastAsia="仿宋_GB2312"/>
          <w:kern w:val="2"/>
          <w:sz w:val="32"/>
          <w:szCs w:val="32"/>
        </w:rPr>
        <w:t>入决算表</w:t>
      </w:r>
      <w:bookmarkEnd w:id="22"/>
    </w:p>
    <w:p w14:paraId="12CB19F4">
      <w:pPr>
        <w:pStyle w:val="13"/>
        <w:spacing w:line="576" w:lineRule="exact"/>
        <w:ind w:firstLine="640"/>
        <w:jc w:val="both"/>
        <w:rPr>
          <w:rFonts w:eastAsia="仿宋_GB2312"/>
          <w:b/>
          <w:bCs/>
          <w:color w:val="000000"/>
          <w:kern w:val="2"/>
          <w:sz w:val="32"/>
          <w:szCs w:val="32"/>
        </w:rPr>
      </w:pPr>
      <w:bookmarkStart w:id="23" w:name="_Toc178326880"/>
      <w:r>
        <w:rPr>
          <w:rFonts w:eastAsia="仿宋_GB2312"/>
          <w:kern w:val="2"/>
          <w:sz w:val="32"/>
          <w:szCs w:val="32"/>
        </w:rPr>
        <w:t>三、</w:t>
      </w:r>
      <w:r>
        <w:rPr>
          <w:rFonts w:eastAsia="仿宋_GB2312"/>
          <w:color w:val="000000"/>
          <w:kern w:val="2"/>
          <w:sz w:val="32"/>
          <w:szCs w:val="32"/>
        </w:rPr>
        <w:t>支</w:t>
      </w:r>
      <w:r>
        <w:rPr>
          <w:rFonts w:eastAsia="仿宋_GB2312"/>
          <w:kern w:val="2"/>
          <w:sz w:val="32"/>
          <w:szCs w:val="32"/>
        </w:rPr>
        <w:t>出决算表</w:t>
      </w:r>
      <w:bookmarkEnd w:id="23"/>
    </w:p>
    <w:p w14:paraId="4F1FA1A9">
      <w:pPr>
        <w:pStyle w:val="13"/>
        <w:spacing w:line="576" w:lineRule="exact"/>
        <w:ind w:firstLine="640"/>
        <w:jc w:val="both"/>
        <w:rPr>
          <w:rFonts w:eastAsia="仿宋_GB2312"/>
          <w:color w:val="000000"/>
          <w:kern w:val="2"/>
          <w:sz w:val="32"/>
          <w:szCs w:val="32"/>
        </w:rPr>
      </w:pPr>
      <w:bookmarkStart w:id="24" w:name="_Toc178326881"/>
      <w:r>
        <w:rPr>
          <w:rFonts w:eastAsia="仿宋_GB2312"/>
          <w:kern w:val="2"/>
          <w:sz w:val="32"/>
          <w:szCs w:val="32"/>
        </w:rPr>
        <w:t>四、</w:t>
      </w:r>
      <w:r>
        <w:rPr>
          <w:rFonts w:eastAsia="仿宋_GB2312"/>
          <w:color w:val="000000"/>
          <w:kern w:val="2"/>
          <w:sz w:val="32"/>
          <w:szCs w:val="32"/>
        </w:rPr>
        <w:t>财</w:t>
      </w:r>
      <w:r>
        <w:rPr>
          <w:rFonts w:eastAsia="仿宋_GB2312"/>
          <w:kern w:val="2"/>
          <w:sz w:val="32"/>
          <w:szCs w:val="32"/>
        </w:rPr>
        <w:t>政拨款收入支出决算总表</w:t>
      </w:r>
      <w:bookmarkEnd w:id="24"/>
    </w:p>
    <w:p w14:paraId="37D00216">
      <w:pPr>
        <w:pStyle w:val="13"/>
        <w:spacing w:line="576" w:lineRule="exact"/>
        <w:ind w:firstLine="640"/>
        <w:jc w:val="both"/>
        <w:rPr>
          <w:rFonts w:eastAsia="仿宋_GB2312"/>
          <w:kern w:val="2"/>
          <w:sz w:val="32"/>
          <w:szCs w:val="32"/>
        </w:rPr>
      </w:pPr>
      <w:bookmarkStart w:id="25" w:name="_Toc178326882"/>
      <w:r>
        <w:rPr>
          <w:rFonts w:eastAsia="仿宋_GB2312"/>
          <w:kern w:val="2"/>
          <w:sz w:val="32"/>
          <w:szCs w:val="32"/>
        </w:rPr>
        <w:t>五、</w:t>
      </w:r>
      <w:r>
        <w:rPr>
          <w:rFonts w:eastAsia="仿宋_GB2312"/>
          <w:color w:val="000000"/>
          <w:kern w:val="2"/>
          <w:sz w:val="32"/>
          <w:szCs w:val="32"/>
        </w:rPr>
        <w:t>财</w:t>
      </w:r>
      <w:r>
        <w:rPr>
          <w:rFonts w:eastAsia="仿宋_GB2312"/>
          <w:kern w:val="2"/>
          <w:sz w:val="32"/>
          <w:szCs w:val="32"/>
        </w:rPr>
        <w:t>政拨款支出决算明细表</w:t>
      </w:r>
      <w:bookmarkEnd w:id="25"/>
    </w:p>
    <w:p w14:paraId="21B328FF">
      <w:pPr>
        <w:pStyle w:val="13"/>
        <w:spacing w:line="576" w:lineRule="exact"/>
        <w:ind w:firstLine="640"/>
        <w:jc w:val="both"/>
        <w:rPr>
          <w:rFonts w:eastAsia="仿宋_GB2312"/>
          <w:b/>
          <w:bCs/>
          <w:color w:val="000000"/>
          <w:kern w:val="2"/>
          <w:sz w:val="32"/>
          <w:szCs w:val="32"/>
        </w:rPr>
      </w:pPr>
      <w:bookmarkStart w:id="26" w:name="_Toc178326883"/>
      <w:r>
        <w:rPr>
          <w:rFonts w:eastAsia="仿宋_GB2312"/>
          <w:kern w:val="2"/>
          <w:sz w:val="32"/>
          <w:szCs w:val="32"/>
        </w:rPr>
        <w:t>六、</w:t>
      </w:r>
      <w:r>
        <w:rPr>
          <w:rFonts w:eastAsia="仿宋_GB2312"/>
          <w:color w:val="000000"/>
          <w:kern w:val="2"/>
          <w:sz w:val="32"/>
          <w:szCs w:val="32"/>
        </w:rPr>
        <w:t>一</w:t>
      </w:r>
      <w:r>
        <w:rPr>
          <w:rFonts w:eastAsia="仿宋_GB2312"/>
          <w:kern w:val="2"/>
          <w:sz w:val="32"/>
          <w:szCs w:val="32"/>
        </w:rPr>
        <w:t>般公共预算财政拨款支出决算表</w:t>
      </w:r>
      <w:bookmarkEnd w:id="26"/>
    </w:p>
    <w:p w14:paraId="4BBE5ECD">
      <w:pPr>
        <w:pStyle w:val="13"/>
        <w:spacing w:line="576" w:lineRule="exact"/>
        <w:ind w:firstLine="640"/>
        <w:jc w:val="both"/>
        <w:rPr>
          <w:rFonts w:eastAsia="仿宋_GB2312"/>
          <w:b/>
          <w:bCs/>
          <w:color w:val="000000"/>
          <w:kern w:val="2"/>
          <w:sz w:val="32"/>
          <w:szCs w:val="32"/>
        </w:rPr>
      </w:pPr>
      <w:bookmarkStart w:id="27" w:name="_Toc178326884"/>
      <w:r>
        <w:rPr>
          <w:rFonts w:eastAsia="仿宋_GB2312"/>
          <w:kern w:val="2"/>
          <w:sz w:val="32"/>
          <w:szCs w:val="32"/>
        </w:rPr>
        <w:t>七、</w:t>
      </w:r>
      <w:r>
        <w:rPr>
          <w:rFonts w:eastAsia="仿宋_GB2312"/>
          <w:color w:val="000000"/>
          <w:kern w:val="2"/>
          <w:sz w:val="32"/>
          <w:szCs w:val="32"/>
        </w:rPr>
        <w:t>一</w:t>
      </w:r>
      <w:r>
        <w:rPr>
          <w:rFonts w:eastAsia="仿宋_GB2312"/>
          <w:kern w:val="2"/>
          <w:sz w:val="32"/>
          <w:szCs w:val="32"/>
        </w:rPr>
        <w:t>般公共预算财政拨款支出决算明细表</w:t>
      </w:r>
      <w:bookmarkEnd w:id="27"/>
    </w:p>
    <w:p w14:paraId="0D4D08FC">
      <w:pPr>
        <w:pStyle w:val="13"/>
        <w:spacing w:line="576" w:lineRule="exact"/>
        <w:ind w:firstLine="640"/>
        <w:jc w:val="both"/>
        <w:rPr>
          <w:rFonts w:eastAsia="仿宋_GB2312"/>
          <w:b/>
          <w:bCs/>
          <w:color w:val="000000"/>
          <w:kern w:val="2"/>
          <w:sz w:val="32"/>
          <w:szCs w:val="32"/>
        </w:rPr>
      </w:pPr>
      <w:bookmarkStart w:id="28" w:name="_Toc178326885"/>
      <w:r>
        <w:rPr>
          <w:rFonts w:eastAsia="仿宋_GB2312"/>
          <w:kern w:val="2"/>
          <w:sz w:val="32"/>
          <w:szCs w:val="32"/>
        </w:rPr>
        <w:t>八、</w:t>
      </w:r>
      <w:r>
        <w:rPr>
          <w:rFonts w:eastAsia="仿宋_GB2312"/>
          <w:color w:val="000000"/>
          <w:kern w:val="2"/>
          <w:sz w:val="32"/>
          <w:szCs w:val="32"/>
        </w:rPr>
        <w:t>一</w:t>
      </w:r>
      <w:r>
        <w:rPr>
          <w:rFonts w:eastAsia="仿宋_GB2312"/>
          <w:kern w:val="2"/>
          <w:sz w:val="32"/>
          <w:szCs w:val="32"/>
        </w:rPr>
        <w:t>般公共预算财政拨款基本支出决算表</w:t>
      </w:r>
      <w:bookmarkEnd w:id="28"/>
    </w:p>
    <w:p w14:paraId="652DB82B">
      <w:pPr>
        <w:pStyle w:val="13"/>
        <w:spacing w:line="576" w:lineRule="exact"/>
        <w:ind w:firstLine="640"/>
        <w:jc w:val="both"/>
        <w:rPr>
          <w:rFonts w:eastAsia="仿宋_GB2312"/>
          <w:b/>
          <w:bCs/>
          <w:color w:val="000000"/>
          <w:kern w:val="2"/>
          <w:sz w:val="32"/>
          <w:szCs w:val="32"/>
        </w:rPr>
      </w:pPr>
      <w:bookmarkStart w:id="29" w:name="_Toc178326886"/>
      <w:r>
        <w:rPr>
          <w:rFonts w:eastAsia="仿宋_GB2312"/>
          <w:kern w:val="2"/>
          <w:sz w:val="32"/>
          <w:szCs w:val="32"/>
        </w:rPr>
        <w:t>九、</w:t>
      </w:r>
      <w:r>
        <w:rPr>
          <w:rFonts w:eastAsia="仿宋_GB2312"/>
          <w:color w:val="000000"/>
          <w:kern w:val="2"/>
          <w:sz w:val="32"/>
          <w:szCs w:val="32"/>
        </w:rPr>
        <w:t>一</w:t>
      </w:r>
      <w:r>
        <w:rPr>
          <w:rFonts w:eastAsia="仿宋_GB2312"/>
          <w:kern w:val="2"/>
          <w:sz w:val="32"/>
          <w:szCs w:val="32"/>
        </w:rPr>
        <w:t>般公共预算财政拨款项目支出决算表</w:t>
      </w:r>
      <w:bookmarkEnd w:id="29"/>
    </w:p>
    <w:p w14:paraId="5ED478C8">
      <w:pPr>
        <w:pStyle w:val="13"/>
        <w:spacing w:line="576" w:lineRule="exact"/>
        <w:ind w:firstLine="640"/>
        <w:jc w:val="both"/>
        <w:rPr>
          <w:rFonts w:eastAsia="仿宋_GB2312"/>
          <w:b/>
          <w:bCs/>
          <w:color w:val="000000"/>
          <w:kern w:val="2"/>
          <w:sz w:val="32"/>
          <w:szCs w:val="32"/>
        </w:rPr>
      </w:pPr>
      <w:bookmarkStart w:id="30" w:name="_Toc178326887"/>
      <w:r>
        <w:rPr>
          <w:rFonts w:eastAsia="仿宋_GB2312"/>
          <w:kern w:val="2"/>
          <w:sz w:val="32"/>
          <w:szCs w:val="32"/>
        </w:rPr>
        <w:t>十、</w:t>
      </w:r>
      <w:r>
        <w:rPr>
          <w:rFonts w:eastAsia="仿宋_GB2312"/>
          <w:color w:val="000000"/>
          <w:kern w:val="2"/>
          <w:sz w:val="32"/>
          <w:szCs w:val="32"/>
        </w:rPr>
        <w:t>政</w:t>
      </w:r>
      <w:r>
        <w:rPr>
          <w:rFonts w:eastAsia="仿宋_GB2312"/>
          <w:kern w:val="2"/>
          <w:sz w:val="32"/>
          <w:szCs w:val="32"/>
        </w:rPr>
        <w:t>府性基金预算财政拨款收入支出决算表</w:t>
      </w:r>
      <w:bookmarkEnd w:id="30"/>
    </w:p>
    <w:p w14:paraId="6B6C6A5D">
      <w:pPr>
        <w:pStyle w:val="13"/>
        <w:spacing w:line="576" w:lineRule="exact"/>
        <w:ind w:firstLine="640"/>
        <w:jc w:val="both"/>
        <w:rPr>
          <w:rFonts w:eastAsia="仿宋_GB2312"/>
          <w:kern w:val="2"/>
          <w:sz w:val="32"/>
          <w:szCs w:val="32"/>
        </w:rPr>
      </w:pPr>
      <w:bookmarkStart w:id="31" w:name="_Toc178326888"/>
      <w:r>
        <w:rPr>
          <w:rFonts w:eastAsia="仿宋_GB2312"/>
          <w:kern w:val="2"/>
          <w:sz w:val="32"/>
          <w:szCs w:val="32"/>
        </w:rPr>
        <w:t>十一、国有资本经营预算财政拨款收入支出决算表</w:t>
      </w:r>
      <w:bookmarkEnd w:id="31"/>
    </w:p>
    <w:p w14:paraId="1591F6F9">
      <w:pPr>
        <w:pStyle w:val="13"/>
        <w:spacing w:line="576" w:lineRule="exact"/>
        <w:ind w:firstLine="640"/>
        <w:jc w:val="both"/>
        <w:rPr>
          <w:rFonts w:eastAsia="仿宋_GB2312"/>
          <w:kern w:val="2"/>
          <w:sz w:val="32"/>
          <w:szCs w:val="32"/>
        </w:rPr>
      </w:pPr>
      <w:bookmarkStart w:id="32" w:name="_Toc178326889"/>
      <w:r>
        <w:rPr>
          <w:rFonts w:eastAsia="仿宋_GB2312"/>
          <w:kern w:val="2"/>
          <w:sz w:val="32"/>
          <w:szCs w:val="32"/>
        </w:rPr>
        <w:t>十二、</w:t>
      </w:r>
      <w:r>
        <w:rPr>
          <w:rFonts w:eastAsia="仿宋_GB2312"/>
          <w:color w:val="000000"/>
          <w:kern w:val="2"/>
          <w:sz w:val="32"/>
          <w:szCs w:val="32"/>
        </w:rPr>
        <w:t>国</w:t>
      </w:r>
      <w:r>
        <w:rPr>
          <w:rFonts w:eastAsia="仿宋_GB2312"/>
          <w:kern w:val="2"/>
          <w:sz w:val="32"/>
          <w:szCs w:val="32"/>
        </w:rPr>
        <w:t>有资本经营预算财政拨款支出决算表</w:t>
      </w:r>
      <w:bookmarkEnd w:id="32"/>
    </w:p>
    <w:p w14:paraId="375DDB50">
      <w:pPr>
        <w:pStyle w:val="13"/>
        <w:spacing w:line="576" w:lineRule="exact"/>
        <w:ind w:firstLine="640"/>
        <w:jc w:val="both"/>
        <w:rPr>
          <w:rFonts w:eastAsia="仿宋_GB2312"/>
          <w:kern w:val="2"/>
          <w:sz w:val="32"/>
          <w:szCs w:val="32"/>
        </w:rPr>
      </w:pPr>
      <w:bookmarkStart w:id="33" w:name="_Toc178326890"/>
      <w:r>
        <w:rPr>
          <w:rFonts w:eastAsia="仿宋_GB2312"/>
          <w:kern w:val="2"/>
          <w:sz w:val="32"/>
          <w:szCs w:val="32"/>
        </w:rPr>
        <w:t>十三、财政拨款“三公”经费支出决算表</w:t>
      </w:r>
      <w:bookmarkEnd w:id="33"/>
    </w:p>
    <w:sectPr>
      <w:pgSz w:w="11907" w:h="16840"/>
      <w:pgMar w:top="2098" w:right="1474" w:bottom="1985" w:left="1588" w:header="720" w:footer="153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E9A46E-6E04-43CF-9AF9-D1963A43D4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EFEF314-AF49-4397-8521-12B24D1E2E5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E3E37B93-1DE4-45F8-9B90-6747F81190E4}"/>
  </w:font>
  <w:font w:name="方正小标宋简体">
    <w:panose1 w:val="02000000000000000000"/>
    <w:charset w:val="86"/>
    <w:family w:val="auto"/>
    <w:pitch w:val="default"/>
    <w:sig w:usb0="00000001" w:usb1="08000000" w:usb2="00000000" w:usb3="00000000" w:csb0="00040000" w:csb1="00000000"/>
    <w:embedRegular r:id="rId4" w:fontKey="{C13D46B3-5BB2-4508-A90B-20241170FF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3EF8">
    <w:pPr>
      <w:pStyle w:val="18"/>
      <w:framePr w:wrap="around" w:vAnchor="text" w:hAnchor="margin" w:xAlign="outside" w:y="1"/>
      <w:ind w:left="240" w:leftChars="100" w:right="240" w:rightChars="100"/>
      <w:rPr>
        <w:rStyle w:val="36"/>
        <w:rFonts w:ascii="宋体" w:hAnsi="宋体"/>
        <w:sz w:val="28"/>
        <w:szCs w:val="28"/>
      </w:rPr>
    </w:pPr>
    <w:r>
      <w:rPr>
        <w:rFonts w:hint="eastAsia" w:ascii="宋体" w:hAnsi="宋体"/>
        <w:sz w:val="28"/>
        <w:szCs w:val="28"/>
      </w:rPr>
      <w:t xml:space="preserve">— </w:t>
    </w:r>
    <w:r>
      <w:rPr>
        <w:rStyle w:val="36"/>
      </w:rPr>
      <w:fldChar w:fldCharType="begin"/>
    </w:r>
    <w:r>
      <w:rPr>
        <w:rStyle w:val="36"/>
        <w:rFonts w:ascii="宋体" w:hAnsi="宋体"/>
        <w:sz w:val="28"/>
        <w:szCs w:val="28"/>
      </w:rPr>
      <w:instrText xml:space="preserve">PAGE  </w:instrText>
    </w:r>
    <w:r>
      <w:rPr>
        <w:rFonts w:ascii="宋体" w:hAnsi="宋体"/>
        <w:sz w:val="28"/>
        <w:szCs w:val="28"/>
      </w:rPr>
      <w:fldChar w:fldCharType="separate"/>
    </w:r>
    <w:r>
      <w:rPr>
        <w:rStyle w:val="36"/>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p w14:paraId="7FB0CD5D">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A408">
    <w:pPr>
      <w:pStyle w:val="18"/>
      <w:framePr w:wrap="around" w:vAnchor="text" w:hAnchor="margin" w:xAlign="outside" w:y="1"/>
      <w:ind w:left="240" w:leftChars="100" w:right="240" w:rightChars="100"/>
      <w:rPr>
        <w:rStyle w:val="36"/>
        <w:rFonts w:ascii="宋体" w:hAnsi="宋体"/>
        <w:sz w:val="28"/>
        <w:szCs w:val="28"/>
      </w:rPr>
    </w:pPr>
    <w:r>
      <w:rPr>
        <w:rFonts w:hint="eastAsia" w:ascii="宋体" w:hAnsi="宋体"/>
        <w:sz w:val="28"/>
        <w:szCs w:val="28"/>
      </w:rPr>
      <w:t xml:space="preserve">— </w:t>
    </w:r>
    <w:r>
      <w:rPr>
        <w:rStyle w:val="36"/>
      </w:rPr>
      <w:fldChar w:fldCharType="begin"/>
    </w:r>
    <w:r>
      <w:rPr>
        <w:rStyle w:val="36"/>
        <w:rFonts w:ascii="宋体" w:hAnsi="宋体"/>
        <w:sz w:val="28"/>
        <w:szCs w:val="28"/>
      </w:rPr>
      <w:instrText xml:space="preserve">PAGE  </w:instrText>
    </w:r>
    <w:r>
      <w:rPr>
        <w:rFonts w:ascii="宋体" w:hAnsi="宋体"/>
        <w:sz w:val="28"/>
        <w:szCs w:val="28"/>
      </w:rPr>
      <w:fldChar w:fldCharType="separate"/>
    </w:r>
    <w:r>
      <w:rPr>
        <w:rStyle w:val="36"/>
        <w:rFonts w:ascii="宋体" w:hAnsi="宋体"/>
        <w:sz w:val="28"/>
        <w:szCs w:val="28"/>
      </w:rPr>
      <w:t>33</w:t>
    </w:r>
    <w:r>
      <w:rPr>
        <w:rFonts w:ascii="宋体" w:hAnsi="宋体"/>
        <w:sz w:val="28"/>
        <w:szCs w:val="28"/>
      </w:rPr>
      <w:fldChar w:fldCharType="end"/>
    </w:r>
    <w:r>
      <w:rPr>
        <w:rFonts w:hint="eastAsia" w:ascii="宋体" w:hAnsi="宋体"/>
        <w:sz w:val="28"/>
        <w:szCs w:val="28"/>
      </w:rPr>
      <w:t xml:space="preserve"> —</w:t>
    </w:r>
  </w:p>
  <w:p w14:paraId="2875088C">
    <w:pPr>
      <w:spacing w:line="14" w:lineRule="auto"/>
      <w:rPr>
        <w:rFonts w:ascii="Arial"/>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VhYTg4NGNkZWJkODFjNzcyZDRjM2M4Y2UzNjI5ZmUifQ=="/>
  </w:docVars>
  <w:rsids>
    <w:rsidRoot w:val="00F375A6"/>
    <w:rsid w:val="005C4E23"/>
    <w:rsid w:val="0067701A"/>
    <w:rsid w:val="00F375A6"/>
    <w:rsid w:val="76C8011B"/>
    <w:rsid w:val="77B16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uiPriority="99" w:name="header" w:locked="1"/>
    <w:lsdException w:uiPriority="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semiHidden="0"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7"/>
    <w:semiHidden/>
    <w:unhideWhenUsed/>
    <w:qFormat/>
    <w:locked/>
    <w:uiPriority w:val="99"/>
  </w:style>
  <w:style w:type="paragraph" w:styleId="3">
    <w:name w:val="Body Text"/>
    <w:basedOn w:val="1"/>
    <w:link w:val="26"/>
    <w:qFormat/>
    <w:uiPriority w:val="99"/>
    <w:pPr>
      <w:spacing w:beforeLines="30"/>
    </w:pPr>
    <w:rPr>
      <w:rFonts w:ascii="仿宋_GB2312" w:eastAsia="仿宋_GB2312" w:cs="仿宋_GB2312"/>
      <w:sz w:val="30"/>
      <w:szCs w:val="30"/>
    </w:rPr>
  </w:style>
  <w:style w:type="paragraph" w:styleId="4">
    <w:name w:val="Balloon Text"/>
    <w:basedOn w:val="1"/>
    <w:link w:val="38"/>
    <w:semiHidden/>
    <w:unhideWhenUsed/>
    <w:locked/>
    <w:uiPriority w:val="99"/>
    <w:rPr>
      <w:sz w:val="18"/>
      <w:szCs w:val="18"/>
    </w:rPr>
  </w:style>
  <w:style w:type="paragraph" w:styleId="5">
    <w:name w:val="Normal (Web)"/>
    <w:basedOn w:val="1"/>
    <w:qFormat/>
    <w:uiPriority w:val="99"/>
    <w:pPr>
      <w:spacing w:before="100" w:beforeAutospacing="1" w:after="100" w:afterAutospacing="1"/>
    </w:pPr>
    <w:rPr>
      <w:rFonts w:ascii="Calibri" w:hAnsi="Calibri" w:cs="Calibri"/>
    </w:rPr>
  </w:style>
  <w:style w:type="table" w:styleId="7">
    <w:name w:val="Table Grid"/>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9">
    <w:name w:val="Strong"/>
    <w:basedOn w:val="8"/>
    <w:qFormat/>
    <w:uiPriority w:val="99"/>
    <w:rPr>
      <w:b/>
      <w:bCs/>
    </w:rPr>
  </w:style>
  <w:style w:type="character" w:styleId="10">
    <w:name w:val="Hyperlink"/>
    <w:basedOn w:val="8"/>
    <w:unhideWhenUsed/>
    <w:locked/>
    <w:uiPriority w:val="99"/>
    <w:rPr>
      <w:color w:val="0000FF"/>
      <w:u w:val="single"/>
    </w:rPr>
  </w:style>
  <w:style w:type="character" w:styleId="11">
    <w:name w:val="annotation reference"/>
    <w:basedOn w:val="8"/>
    <w:semiHidden/>
    <w:unhideWhenUsed/>
    <w:locked/>
    <w:uiPriority w:val="99"/>
    <w:rPr>
      <w:sz w:val="21"/>
      <w:szCs w:val="21"/>
    </w:rPr>
  </w:style>
  <w:style w:type="paragraph" w:customStyle="1" w:styleId="12">
    <w:name w:val="Heading 1"/>
    <w:basedOn w:val="1"/>
    <w:link w:val="19"/>
    <w:qFormat/>
    <w:uiPriority w:val="99"/>
    <w:pPr>
      <w:outlineLvl w:val="0"/>
    </w:pPr>
  </w:style>
  <w:style w:type="paragraph" w:customStyle="1" w:styleId="13">
    <w:name w:val="Heading 2"/>
    <w:basedOn w:val="1"/>
    <w:link w:val="20"/>
    <w:qFormat/>
    <w:uiPriority w:val="99"/>
    <w:pPr>
      <w:outlineLvl w:val="1"/>
    </w:pPr>
  </w:style>
  <w:style w:type="character" w:customStyle="1" w:styleId="14">
    <w:name w:val="Heading 1 Char"/>
    <w:basedOn w:val="8"/>
    <w:link w:val="12"/>
    <w:uiPriority w:val="9"/>
    <w:rPr>
      <w:b/>
      <w:bCs/>
      <w:kern w:val="44"/>
      <w:sz w:val="44"/>
      <w:szCs w:val="44"/>
    </w:rPr>
  </w:style>
  <w:style w:type="character" w:customStyle="1" w:styleId="15">
    <w:name w:val="Heading 2 Char"/>
    <w:basedOn w:val="8"/>
    <w:link w:val="13"/>
    <w:semiHidden/>
    <w:uiPriority w:val="9"/>
    <w:rPr>
      <w:rFonts w:ascii="Cambria" w:hAnsi="Cambria" w:eastAsia="宋体" w:cs="Times New Roman"/>
      <w:b/>
      <w:bCs/>
      <w:kern w:val="0"/>
      <w:sz w:val="32"/>
      <w:szCs w:val="32"/>
    </w:rPr>
  </w:style>
  <w:style w:type="character" w:customStyle="1" w:styleId="16">
    <w:name w:val="页脚 Char1"/>
    <w:basedOn w:val="8"/>
    <w:qFormat/>
    <w:locked/>
    <w:uiPriority w:val="99"/>
    <w:rPr>
      <w:sz w:val="18"/>
      <w:szCs w:val="18"/>
    </w:rPr>
  </w:style>
  <w:style w:type="character" w:customStyle="1" w:styleId="17">
    <w:name w:val="页脚 Char"/>
    <w:basedOn w:val="8"/>
    <w:qFormat/>
    <w:locked/>
    <w:uiPriority w:val="0"/>
    <w:rPr>
      <w:sz w:val="18"/>
      <w:szCs w:val="18"/>
    </w:rPr>
  </w:style>
  <w:style w:type="paragraph" w:customStyle="1" w:styleId="18">
    <w:name w:val="Footer"/>
    <w:basedOn w:val="1"/>
    <w:link w:val="27"/>
    <w:qFormat/>
    <w:uiPriority w:val="0"/>
    <w:pPr>
      <w:tabs>
        <w:tab w:val="center" w:pos="4153"/>
        <w:tab w:val="right" w:pos="8306"/>
      </w:tabs>
      <w:snapToGrid w:val="0"/>
    </w:pPr>
    <w:rPr>
      <w:sz w:val="18"/>
      <w:szCs w:val="18"/>
    </w:rPr>
  </w:style>
  <w:style w:type="character" w:customStyle="1" w:styleId="19">
    <w:name w:val="标题 1 Char"/>
    <w:basedOn w:val="8"/>
    <w:link w:val="12"/>
    <w:locked/>
    <w:uiPriority w:val="99"/>
    <w:rPr>
      <w:b/>
      <w:bCs/>
      <w:kern w:val="44"/>
      <w:sz w:val="44"/>
      <w:szCs w:val="44"/>
    </w:rPr>
  </w:style>
  <w:style w:type="character" w:customStyle="1" w:styleId="20">
    <w:name w:val="标题 2 Char"/>
    <w:basedOn w:val="8"/>
    <w:link w:val="13"/>
    <w:locked/>
    <w:uiPriority w:val="99"/>
    <w:rPr>
      <w:rFonts w:ascii="Cambria" w:cs="Cambria"/>
      <w:b/>
      <w:bCs/>
      <w:sz w:val="32"/>
      <w:szCs w:val="32"/>
    </w:rPr>
  </w:style>
  <w:style w:type="character" w:customStyle="1" w:styleId="21">
    <w:name w:val="正文文本 Char"/>
    <w:basedOn w:val="8"/>
    <w:locked/>
    <w:uiPriority w:val="99"/>
  </w:style>
  <w:style w:type="character" w:customStyle="1" w:styleId="22">
    <w:name w:val="页眉 Char"/>
    <w:basedOn w:val="8"/>
    <w:qFormat/>
    <w:locked/>
    <w:uiPriority w:val="99"/>
    <w:rPr>
      <w:sz w:val="18"/>
      <w:szCs w:val="18"/>
    </w:rPr>
  </w:style>
  <w:style w:type="character" w:customStyle="1" w:styleId="23">
    <w:name w:val="正文文本 Char1"/>
    <w:basedOn w:val="8"/>
    <w:link w:val="3"/>
    <w:qFormat/>
    <w:locked/>
    <w:uiPriority w:val="99"/>
  </w:style>
  <w:style w:type="character" w:customStyle="1" w:styleId="24">
    <w:name w:val="页眉 Char1"/>
    <w:basedOn w:val="8"/>
    <w:qFormat/>
    <w:locked/>
    <w:uiPriority w:val="99"/>
    <w:rPr>
      <w:sz w:val="18"/>
      <w:szCs w:val="18"/>
    </w:rPr>
  </w:style>
  <w:style w:type="paragraph" w:customStyle="1" w:styleId="25">
    <w:name w:val="Header"/>
    <w:basedOn w:val="1"/>
    <w:link w:val="28"/>
    <w:uiPriority w:val="99"/>
    <w:pPr>
      <w:pBdr>
        <w:bottom w:val="single" w:color="auto" w:sz="6" w:space="1"/>
      </w:pBdr>
      <w:tabs>
        <w:tab w:val="center" w:pos="4153"/>
        <w:tab w:val="right" w:pos="8306"/>
      </w:tabs>
      <w:snapToGrid w:val="0"/>
      <w:jc w:val="center"/>
    </w:pPr>
    <w:rPr>
      <w:sz w:val="18"/>
      <w:szCs w:val="18"/>
    </w:rPr>
  </w:style>
  <w:style w:type="character" w:customStyle="1" w:styleId="26">
    <w:name w:val="Body Text Char"/>
    <w:basedOn w:val="8"/>
    <w:link w:val="3"/>
    <w:semiHidden/>
    <w:qFormat/>
    <w:uiPriority w:val="99"/>
    <w:rPr>
      <w:kern w:val="0"/>
      <w:sz w:val="24"/>
      <w:szCs w:val="24"/>
    </w:rPr>
  </w:style>
  <w:style w:type="character" w:customStyle="1" w:styleId="27">
    <w:name w:val="Footer Char"/>
    <w:basedOn w:val="8"/>
    <w:link w:val="18"/>
    <w:semiHidden/>
    <w:uiPriority w:val="99"/>
    <w:rPr>
      <w:kern w:val="0"/>
      <w:sz w:val="18"/>
      <w:szCs w:val="18"/>
    </w:rPr>
  </w:style>
  <w:style w:type="character" w:customStyle="1" w:styleId="28">
    <w:name w:val="Header Char"/>
    <w:basedOn w:val="8"/>
    <w:link w:val="25"/>
    <w:semiHidden/>
    <w:qFormat/>
    <w:uiPriority w:val="99"/>
    <w:rPr>
      <w:kern w:val="0"/>
      <w:sz w:val="18"/>
      <w:szCs w:val="18"/>
    </w:rPr>
  </w:style>
  <w:style w:type="paragraph" w:customStyle="1" w:styleId="29">
    <w:name w:val="TOC 1"/>
    <w:basedOn w:val="1"/>
    <w:next w:val="1"/>
    <w:autoRedefine/>
    <w:qFormat/>
    <w:uiPriority w:val="39"/>
    <w:pPr>
      <w:tabs>
        <w:tab w:val="right" w:leader="dot" w:pos="8835"/>
      </w:tabs>
      <w:spacing w:line="576" w:lineRule="exact"/>
    </w:pPr>
    <w:rPr>
      <w:rFonts w:ascii="黑体" w:hAnsi="黑体" w:eastAsia="黑体"/>
      <w:bCs/>
      <w:kern w:val="44"/>
      <w:sz w:val="32"/>
      <w:szCs w:val="32"/>
    </w:rPr>
  </w:style>
  <w:style w:type="paragraph" w:customStyle="1" w:styleId="30">
    <w:name w:val="TOC 2"/>
    <w:basedOn w:val="1"/>
    <w:next w:val="1"/>
    <w:autoRedefine/>
    <w:qFormat/>
    <w:uiPriority w:val="39"/>
    <w:pPr>
      <w:ind w:left="420" w:leftChars="200"/>
    </w:pPr>
  </w:style>
  <w:style w:type="paragraph" w:customStyle="1" w:styleId="31">
    <w:name w:val="WPSOffice手动目录 2"/>
    <w:uiPriority w:val="99"/>
    <w:pPr>
      <w:ind w:left="200" w:leftChars="200"/>
    </w:pPr>
    <w:rPr>
      <w:rFonts w:ascii="Times New Roman" w:hAnsi="Times New Roman" w:eastAsia="宋体" w:cs="Times New Roman"/>
      <w:lang w:val="en-US" w:eastAsia="zh-CN" w:bidi="ar-SA"/>
    </w:rPr>
  </w:style>
  <w:style w:type="paragraph" w:customStyle="1" w:styleId="32">
    <w:name w:val="TableOfAuthoring"/>
    <w:basedOn w:val="1"/>
    <w:next w:val="1"/>
    <w:uiPriority w:val="99"/>
    <w:pPr>
      <w:ind w:left="200" w:leftChars="200"/>
      <w:textAlignment w:val="baseline"/>
    </w:pPr>
  </w:style>
  <w:style w:type="paragraph" w:customStyle="1" w:styleId="33">
    <w:name w:val="Table Text"/>
    <w:basedOn w:val="1"/>
    <w:qFormat/>
    <w:uiPriority w:val="99"/>
    <w:rPr>
      <w:rFonts w:ascii="宋体" w:hAnsi="宋体" w:cs="宋体"/>
      <w:sz w:val="19"/>
      <w:szCs w:val="19"/>
      <w:lang w:eastAsia="en-US"/>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WPSOffice手动目录 1"/>
    <w:qFormat/>
    <w:uiPriority w:val="99"/>
    <w:rPr>
      <w:rFonts w:ascii="Times New Roman" w:hAnsi="Times New Roman" w:eastAsia="宋体" w:cs="Times New Roman"/>
      <w:lang w:val="en-US" w:eastAsia="zh-CN" w:bidi="ar-SA"/>
    </w:rPr>
  </w:style>
  <w:style w:type="character" w:customStyle="1" w:styleId="36">
    <w:name w:val="Page Number"/>
    <w:basedOn w:val="8"/>
    <w:qFormat/>
    <w:locked/>
    <w:uiPriority w:val="0"/>
  </w:style>
  <w:style w:type="character" w:customStyle="1" w:styleId="37">
    <w:name w:val="批注文字 Char"/>
    <w:basedOn w:val="8"/>
    <w:link w:val="2"/>
    <w:semiHidden/>
    <w:qFormat/>
    <w:uiPriority w:val="99"/>
    <w:rPr>
      <w:sz w:val="24"/>
      <w:szCs w:val="24"/>
    </w:rPr>
  </w:style>
  <w:style w:type="character" w:customStyle="1" w:styleId="38">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29</TotalTime>
  <Pages>37</Pages>
  <Words>3084</Words>
  <Characters>17582</Characters>
  <Application>Microsoft Office Word</Application>
  <DocSecurity>0</DocSecurity>
  <Lines>146</Lines>
  <Paragraphs>41</Paragraphs>
  <ScaleCrop>false</ScaleCrop>
  <Company>微软中国</Company>
  <LinksUpToDate>false</LinksUpToDate>
  <CharactersWithSpaces>20625</CharactersWithSpaces>
  <SharedDoc>false</SharedDoc>
  <HyperlinksChanged>false</HyperlinksChanged>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四川省广元市昭化区工商业联合会</dc:title>
  <dc:subject/>
  <dc:creator>Administrator</dc:creator>
  <cp:keywords/>
  <dc:description/>
  <cp:lastModifiedBy>Administrator</cp:lastModifiedBy>
  <cp:revision>6</cp:revision>
  <dcterms:created xsi:type="dcterms:W3CDTF">2024-09-27T02:06:00Z</dcterms:created>
  <dcterms:modified xsi:type="dcterms:W3CDTF">2024-09-27T02:55:00Z</dcterms:modified>
</cp:coreProperties>
</file>

<file path=customXml/itemProps1.xml><?xml version="1.0" encoding="utf-8"?>
<ds:datastoreItem xmlns:ds="http://schemas.openxmlformats.org/officeDocument/2006/customXml" ds:itemID="{4248A652-91A0-4E4A-89F1-939A3ED9E8CB}">
  <ds:schemaRefs/>
</ds:datastoreItem>
</file>

<file path=customXml/itemProps2.xml><?xml version="1.0" encoding="utf-8"?>
<ds:datastoreItem xmlns:ds="http://schemas.openxmlformats.org/officeDocument/2006/customXml" ds:itemID="{8474FEFA-4356-488C-AE2B-AF60ECDEE50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16763</Words>
  <Characters>17677</Characters>
  <Lines>146</Lines>
  <Paragraphs>41</Paragraphs>
  <TotalTime>34</TotalTime>
  <ScaleCrop>false</ScaleCrop>
  <LinksUpToDate>false</LinksUpToDate>
  <CharactersWithSpaces>17859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2024-09-27T02:06:00Z</dcterms:created>
  <dc:creator>Administrator</dc:creator>
  <cp:lastModifiedBy>昭化融媒体</cp:lastModifiedBy>
  <dcterms:modified xsi:type="dcterms:W3CDTF">2024-10-11T02:26:17Z</dcterms:modified>
  <dc:title>四川省广元市昭化区工商业联合会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58A3132F9F594A5A82818B5D17023ECD_12</vt:lpwstr>
  </property>
</Properties>
</file>