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both"/>
        <w:rPr>
          <w:rFonts w:hint="eastAsia" w:ascii="黑体" w:hAnsi="黑体" w:eastAsia="黑体"/>
          <w:color w:val="000000"/>
          <w:kern w:val="2"/>
          <w:sz w:val="72"/>
          <w:szCs w:val="24"/>
        </w:rPr>
      </w:pPr>
      <w:bookmarkStart w:id="0" w:name="_GoBack"/>
      <w:bookmarkEnd w:id="0"/>
    </w:p>
    <w:p>
      <w:pPr>
        <w:spacing w:line="360" w:lineRule="auto"/>
        <w:jc w:val="center"/>
        <w:rPr>
          <w:rFonts w:hint="eastAsia" w:ascii="黑体" w:hAnsi="黑体" w:eastAsia="黑体"/>
          <w:color w:val="000000"/>
          <w:kern w:val="2"/>
          <w:sz w:val="72"/>
          <w:szCs w:val="24"/>
        </w:rPr>
      </w:pPr>
    </w:p>
    <w:p>
      <w:pPr>
        <w:spacing w:line="1400" w:lineRule="exact"/>
        <w:jc w:val="center"/>
        <w:rPr>
          <w:rFonts w:hint="eastAsia" w:ascii="方正小标宋简体" w:hAnsi="黑体" w:eastAsia="方正小标宋简体"/>
          <w:color w:val="000000"/>
          <w:kern w:val="2"/>
          <w:sz w:val="72"/>
          <w:szCs w:val="24"/>
        </w:rPr>
      </w:pPr>
      <w:r>
        <w:rPr>
          <w:rFonts w:hint="eastAsia" w:ascii="方正小标宋简体" w:hAnsi="黑体" w:eastAsia="方正小标宋简体"/>
          <w:color w:val="000000"/>
          <w:kern w:val="2"/>
          <w:sz w:val="72"/>
          <w:szCs w:val="24"/>
        </w:rPr>
        <w:t>2023年度</w:t>
      </w:r>
    </w:p>
    <w:p>
      <w:pPr>
        <w:spacing w:line="1400" w:lineRule="exact"/>
        <w:jc w:val="center"/>
        <w:rPr>
          <w:rFonts w:hint="eastAsia" w:ascii="方正小标宋简体" w:hAnsi="黑体" w:eastAsia="方正小标宋简体"/>
          <w:color w:val="000000"/>
          <w:kern w:val="2"/>
          <w:sz w:val="72"/>
          <w:szCs w:val="24"/>
        </w:rPr>
      </w:pPr>
      <w:r>
        <w:rPr>
          <w:rFonts w:hint="eastAsia" w:ascii="方正小标宋简体" w:hAnsi="黑体" w:eastAsia="方正小标宋简体"/>
          <w:color w:val="000000"/>
          <w:kern w:val="2"/>
          <w:sz w:val="72"/>
          <w:szCs w:val="24"/>
        </w:rPr>
        <w:t>中共广元市昭化区委机构</w:t>
      </w:r>
    </w:p>
    <w:p>
      <w:pPr>
        <w:spacing w:line="1400" w:lineRule="exact"/>
        <w:jc w:val="center"/>
        <w:rPr>
          <w:rFonts w:hint="eastAsia" w:ascii="方正小标宋简体" w:hAnsi="仿宋" w:eastAsia="方正小标宋简体"/>
          <w:color w:val="000000"/>
          <w:kern w:val="2"/>
          <w:sz w:val="52"/>
          <w:szCs w:val="24"/>
          <w:highlight w:val="white"/>
        </w:rPr>
      </w:pPr>
      <w:r>
        <w:rPr>
          <w:rFonts w:hint="eastAsia" w:ascii="方正小标宋简体" w:hAnsi="黑体" w:eastAsia="方正小标宋简体"/>
          <w:color w:val="000000"/>
          <w:kern w:val="2"/>
          <w:sz w:val="72"/>
          <w:szCs w:val="24"/>
        </w:rPr>
        <w:t>编制委员会办公室</w:t>
      </w:r>
      <w:r>
        <w:rPr>
          <w:rFonts w:hint="eastAsia" w:ascii="方正小标宋简体" w:hAnsi="黑体" w:eastAsia="方正小标宋简体"/>
          <w:color w:val="000000"/>
          <w:kern w:val="2"/>
          <w:sz w:val="72"/>
          <w:szCs w:val="24"/>
          <w:lang w:eastAsia="zh-CN"/>
        </w:rPr>
        <w:t>单位</w:t>
      </w:r>
      <w:r>
        <w:rPr>
          <w:rFonts w:hint="eastAsia" w:ascii="方正小标宋简体" w:hAnsi="黑体" w:eastAsia="方正小标宋简体"/>
          <w:color w:val="000000"/>
          <w:kern w:val="2"/>
          <w:sz w:val="72"/>
          <w:szCs w:val="24"/>
        </w:rPr>
        <w:t>决算</w:t>
      </w:r>
    </w:p>
    <w:p>
      <w:pPr>
        <w:keepNext/>
        <w:keepLines/>
        <w:spacing w:line="576" w:lineRule="exact"/>
        <w:jc w:val="center"/>
        <w:rPr>
          <w:rFonts w:hint="eastAsia" w:ascii="黑体" w:hAnsi="黑体" w:eastAsia="黑体" w:cs="黑体"/>
          <w:kern w:val="2"/>
          <w:sz w:val="32"/>
          <w:szCs w:val="32"/>
        </w:rPr>
        <w:sectPr>
          <w:pgSz w:w="12240" w:h="15840"/>
          <w:pgMar w:top="2098" w:right="1474" w:bottom="1984" w:left="1587" w:header="720" w:footer="720" w:gutter="0"/>
          <w:lnNumType w:countBy="0" w:distance="360"/>
          <w:pgNumType w:fmt="decimal"/>
          <w:cols w:space="720" w:num="1"/>
        </w:sectPr>
      </w:pPr>
    </w:p>
    <w:p>
      <w:pPr>
        <w:keepNext/>
        <w:keepLines/>
        <w:spacing w:line="576" w:lineRule="exact"/>
        <w:jc w:val="center"/>
        <w:rPr>
          <w:rFonts w:hint="eastAsia" w:ascii="黑体" w:hAnsi="黑体" w:eastAsia="黑体" w:cs="黑体"/>
          <w:kern w:val="2"/>
          <w:sz w:val="32"/>
          <w:szCs w:val="32"/>
        </w:rPr>
      </w:pPr>
      <w:r>
        <w:rPr>
          <w:rFonts w:hint="eastAsia" w:ascii="黑体" w:hAnsi="黑体" w:eastAsia="黑体" w:cs="黑体"/>
          <w:kern w:val="2"/>
          <w:sz w:val="32"/>
          <w:szCs w:val="32"/>
        </w:rPr>
        <w:t>目    录</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Times New Roman" w:hAnsi="Times New Roman" w:eastAsia="仿宋_GB2312" w:cs="Times New Roman"/>
          <w:b/>
          <w:sz w:val="32"/>
          <w:szCs w:val="32"/>
          <w:lang w:val="zh-CN" w:eastAsia="zh-CN"/>
        </w:rPr>
      </w:pPr>
      <w:r>
        <w:rPr>
          <w:rFonts w:hint="default" w:ascii="Times New Roman" w:hAnsi="Times New Roman" w:eastAsia="仿宋_GB2312" w:cs="Times New Roman"/>
          <w:sz w:val="32"/>
          <w:szCs w:val="32"/>
          <w:lang w:val="zh-CN"/>
        </w:rPr>
        <w:t>第一部分 单位概况</w:t>
      </w:r>
      <w:r>
        <w:rPr>
          <w:rFonts w:hint="default" w:ascii="Times New Roman" w:hAnsi="Times New Roman" w:eastAsia="仿宋_GB2312" w:cs="Times New Roman"/>
          <w:sz w:val="32"/>
          <w:szCs w:val="32"/>
          <w:lang w:val="zh-CN"/>
        </w:rPr>
        <w:tab/>
      </w:r>
      <w:r>
        <w:rPr>
          <w:rFonts w:hint="eastAsia" w:ascii="Times New Roman" w:hAnsi="Times New Roman" w:eastAsia="仿宋_GB2312" w:cs="Times New Roman"/>
          <w:sz w:val="32"/>
          <w:szCs w:val="32"/>
          <w:lang w:val="en-US" w:eastAsia="zh-CN"/>
        </w:rPr>
        <w:t>1</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一、主要职责</w:t>
      </w:r>
      <w:r>
        <w:rPr>
          <w:rFonts w:hint="default" w:ascii="Times New Roman" w:hAnsi="Times New Roman" w:eastAsia="仿宋_GB2312" w:cs="Times New Roman"/>
          <w:sz w:val="32"/>
          <w:szCs w:val="32"/>
          <w:lang w:val="zh-CN"/>
        </w:rPr>
        <w:tab/>
      </w:r>
      <w:r>
        <w:rPr>
          <w:rFonts w:hint="default" w:ascii="Times New Roman" w:hAnsi="Times New Roman" w:eastAsia="仿宋_GB2312" w:cs="Times New Roman"/>
          <w:sz w:val="32"/>
          <w:szCs w:val="32"/>
          <w:lang w:val="zh-CN"/>
        </w:rPr>
        <w:t>1</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rPr>
        <w:t>二、机构设置</w:t>
      </w:r>
      <w:r>
        <w:rPr>
          <w:rFonts w:hint="default" w:ascii="Times New Roman" w:hAnsi="Times New Roman" w:eastAsia="仿宋_GB2312" w:cs="Times New Roman"/>
          <w:sz w:val="32"/>
          <w:szCs w:val="32"/>
          <w:lang w:val="zh-CN"/>
        </w:rPr>
        <w:tab/>
      </w:r>
      <w:r>
        <w:rPr>
          <w:rFonts w:hint="eastAsia" w:ascii="Times New Roman" w:hAnsi="Times New Roman" w:eastAsia="仿宋_GB2312" w:cs="Times New Roman"/>
          <w:sz w:val="32"/>
          <w:szCs w:val="32"/>
          <w:lang w:val="en-US" w:eastAsia="zh-CN"/>
        </w:rPr>
        <w:t>7</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rPr>
        <w:t>第二部分 202</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zh-CN"/>
        </w:rPr>
        <w:t>年度单位决算情况说明</w:t>
      </w:r>
      <w:r>
        <w:rPr>
          <w:rFonts w:hint="default" w:ascii="Times New Roman" w:hAnsi="Times New Roman" w:eastAsia="仿宋_GB2312" w:cs="Times New Roman"/>
          <w:sz w:val="32"/>
          <w:szCs w:val="32"/>
          <w:lang w:val="zh-CN"/>
        </w:rPr>
        <w:tab/>
      </w:r>
      <w:r>
        <w:rPr>
          <w:rFonts w:hint="eastAsia" w:ascii="Times New Roman" w:hAnsi="Times New Roman" w:eastAsia="仿宋_GB2312" w:cs="Times New Roman"/>
          <w:sz w:val="32"/>
          <w:szCs w:val="32"/>
          <w:lang w:val="en-US" w:eastAsia="zh-CN"/>
        </w:rPr>
        <w:t>8</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rPr>
        <w:t>一、收入支出决算总体情况说明</w:t>
      </w:r>
      <w:r>
        <w:rPr>
          <w:rFonts w:hint="default" w:ascii="Times New Roman" w:hAnsi="Times New Roman" w:eastAsia="仿宋_GB2312" w:cs="Times New Roman"/>
          <w:sz w:val="32"/>
          <w:szCs w:val="32"/>
          <w:lang w:val="zh-CN"/>
        </w:rPr>
        <w:tab/>
      </w:r>
      <w:r>
        <w:rPr>
          <w:rFonts w:hint="eastAsia" w:ascii="Times New Roman" w:hAnsi="Times New Roman" w:eastAsia="仿宋_GB2312" w:cs="Times New Roman"/>
          <w:sz w:val="32"/>
          <w:szCs w:val="32"/>
          <w:lang w:val="en-US" w:eastAsia="zh-CN"/>
        </w:rPr>
        <w:t>8</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rPr>
        <w:t>二、收入决算情况说明</w:t>
      </w:r>
      <w:r>
        <w:rPr>
          <w:rFonts w:hint="default" w:ascii="Times New Roman" w:hAnsi="Times New Roman" w:eastAsia="仿宋_GB2312" w:cs="Times New Roman"/>
          <w:sz w:val="32"/>
          <w:szCs w:val="32"/>
          <w:lang w:val="zh-CN"/>
        </w:rPr>
        <w:tab/>
      </w:r>
      <w:r>
        <w:rPr>
          <w:rFonts w:hint="eastAsia" w:ascii="Times New Roman" w:hAnsi="Times New Roman" w:eastAsia="仿宋_GB2312" w:cs="Times New Roman"/>
          <w:sz w:val="32"/>
          <w:szCs w:val="32"/>
          <w:lang w:val="en-US" w:eastAsia="zh-CN"/>
        </w:rPr>
        <w:t>8</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三、支出决算情况说明</w:t>
      </w:r>
      <w:r>
        <w:rPr>
          <w:rFonts w:hint="default" w:ascii="Times New Roman" w:hAnsi="Times New Roman" w:eastAsia="仿宋_GB2312" w:cs="Times New Roman"/>
          <w:sz w:val="32"/>
          <w:szCs w:val="32"/>
          <w:lang w:val="zh-CN"/>
        </w:rPr>
        <w:tab/>
      </w:r>
      <w:r>
        <w:rPr>
          <w:rFonts w:hint="eastAsia" w:ascii="Times New Roman" w:hAnsi="Times New Roman" w:eastAsia="仿宋_GB2312" w:cs="Times New Roman"/>
          <w:sz w:val="32"/>
          <w:szCs w:val="32"/>
          <w:lang w:val="en-US" w:eastAsia="zh-CN"/>
        </w:rPr>
        <w:t>9</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四、财政拨款收入支出决算总体情况说明</w:t>
      </w:r>
      <w:r>
        <w:rPr>
          <w:rFonts w:hint="default" w:ascii="Times New Roman" w:hAnsi="Times New Roman" w:eastAsia="仿宋_GB2312" w:cs="Times New Roman"/>
          <w:sz w:val="32"/>
          <w:szCs w:val="32"/>
          <w:lang w:val="zh-CN"/>
        </w:rPr>
        <w:tab/>
      </w:r>
      <w:r>
        <w:rPr>
          <w:rFonts w:hint="eastAsia" w:ascii="Times New Roman" w:hAnsi="Times New Roman" w:eastAsia="仿宋_GB2312" w:cs="Times New Roman"/>
          <w:sz w:val="32"/>
          <w:szCs w:val="32"/>
          <w:lang w:val="en-US" w:eastAsia="zh-CN"/>
        </w:rPr>
        <w:t>10</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五、一般公共预算财政拨款支出决算情况说明</w:t>
      </w:r>
      <w:r>
        <w:rPr>
          <w:rFonts w:hint="default" w:ascii="Times New Roman" w:hAnsi="Times New Roman" w:eastAsia="仿宋_GB2312" w:cs="Times New Roman"/>
          <w:sz w:val="32"/>
          <w:szCs w:val="32"/>
          <w:lang w:val="zh-CN"/>
        </w:rPr>
        <w:tab/>
      </w:r>
      <w:r>
        <w:rPr>
          <w:rFonts w:hint="eastAsia" w:ascii="Times New Roman" w:hAnsi="Times New Roman" w:eastAsia="仿宋_GB2312" w:cs="Times New Roman"/>
          <w:sz w:val="32"/>
          <w:szCs w:val="32"/>
          <w:lang w:val="en-US" w:eastAsia="zh-CN"/>
        </w:rPr>
        <w:t>10</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六、一般公共预算财政拨款基本支出决算情况说明</w:t>
      </w:r>
      <w:r>
        <w:rPr>
          <w:rFonts w:hint="default" w:ascii="Times New Roman" w:hAnsi="Times New Roman" w:eastAsia="仿宋_GB2312" w:cs="Times New Roman"/>
          <w:sz w:val="32"/>
          <w:szCs w:val="32"/>
          <w:lang w:val="zh-CN"/>
        </w:rPr>
        <w:tab/>
      </w:r>
      <w:r>
        <w:rPr>
          <w:rFonts w:hint="eastAsia" w:ascii="Times New Roman" w:hAnsi="Times New Roman" w:eastAsia="仿宋_GB2312" w:cs="Times New Roman"/>
          <w:sz w:val="32"/>
          <w:szCs w:val="32"/>
          <w:lang w:val="en-US" w:eastAsia="zh-CN"/>
        </w:rPr>
        <w:t>12</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七、财政拨款“三公”经费支出决算情况说明</w:t>
      </w:r>
      <w:r>
        <w:rPr>
          <w:rFonts w:hint="default" w:ascii="Times New Roman" w:hAnsi="Times New Roman" w:eastAsia="仿宋_GB2312" w:cs="Times New Roman"/>
          <w:sz w:val="32"/>
          <w:szCs w:val="32"/>
          <w:lang w:val="zh-CN"/>
        </w:rPr>
        <w:tab/>
      </w:r>
      <w:r>
        <w:rPr>
          <w:rFonts w:hint="eastAsia" w:ascii="Times New Roman" w:hAnsi="Times New Roman" w:eastAsia="仿宋_GB2312" w:cs="Times New Roman"/>
          <w:sz w:val="32"/>
          <w:szCs w:val="32"/>
          <w:lang w:val="en-US" w:eastAsia="zh-CN"/>
        </w:rPr>
        <w:t>13</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八、政府性基金预算支出决算情况说明</w:t>
      </w:r>
      <w:r>
        <w:rPr>
          <w:rFonts w:hint="default" w:ascii="Times New Roman" w:hAnsi="Times New Roman" w:eastAsia="仿宋_GB2312" w:cs="Times New Roman"/>
          <w:sz w:val="32"/>
          <w:szCs w:val="32"/>
          <w:lang w:val="zh-CN"/>
        </w:rPr>
        <w:tab/>
      </w:r>
      <w:r>
        <w:rPr>
          <w:rFonts w:hint="eastAsia" w:ascii="Times New Roman" w:hAnsi="Times New Roman" w:eastAsia="仿宋_GB2312" w:cs="Times New Roman"/>
          <w:sz w:val="32"/>
          <w:szCs w:val="32"/>
          <w:lang w:val="en-US" w:eastAsia="zh-CN"/>
        </w:rPr>
        <w:t>15</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九、国有资本经营预算支出决算情况说明</w:t>
      </w:r>
      <w:r>
        <w:rPr>
          <w:rFonts w:hint="default" w:ascii="Times New Roman" w:hAnsi="Times New Roman" w:eastAsia="仿宋_GB2312" w:cs="Times New Roman"/>
          <w:sz w:val="32"/>
          <w:szCs w:val="32"/>
          <w:lang w:val="zh-CN"/>
        </w:rPr>
        <w:tab/>
      </w:r>
      <w:r>
        <w:rPr>
          <w:rFonts w:hint="eastAsia" w:ascii="Times New Roman" w:hAnsi="Times New Roman" w:eastAsia="仿宋_GB2312" w:cs="Times New Roman"/>
          <w:sz w:val="32"/>
          <w:szCs w:val="32"/>
          <w:lang w:val="en-US" w:eastAsia="zh-CN"/>
        </w:rPr>
        <w:t>15</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十、其他重要事项的情况说明</w:t>
      </w:r>
      <w:r>
        <w:rPr>
          <w:rFonts w:hint="default" w:ascii="Times New Roman" w:hAnsi="Times New Roman" w:eastAsia="仿宋_GB2312" w:cs="Times New Roman"/>
          <w:sz w:val="32"/>
          <w:szCs w:val="32"/>
          <w:lang w:val="zh-CN"/>
        </w:rPr>
        <w:tab/>
      </w:r>
      <w:r>
        <w:rPr>
          <w:rFonts w:hint="eastAsia" w:ascii="Times New Roman" w:hAnsi="Times New Roman" w:eastAsia="仿宋_GB2312" w:cs="Times New Roman"/>
          <w:sz w:val="32"/>
          <w:szCs w:val="32"/>
          <w:lang w:val="en-US" w:eastAsia="zh-CN"/>
        </w:rPr>
        <w:t>15</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第三部分</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zh-CN"/>
        </w:rPr>
        <w:t>名词解释</w:t>
      </w:r>
      <w:r>
        <w:rPr>
          <w:rFonts w:hint="default" w:ascii="Times New Roman" w:hAnsi="Times New Roman" w:eastAsia="仿宋_GB2312" w:cs="Times New Roman"/>
          <w:sz w:val="32"/>
          <w:szCs w:val="32"/>
          <w:lang w:val="zh-CN"/>
        </w:rPr>
        <w:tab/>
      </w:r>
      <w:r>
        <w:rPr>
          <w:rFonts w:hint="eastAsia" w:ascii="Times New Roman" w:hAnsi="Times New Roman" w:eastAsia="仿宋_GB2312" w:cs="Times New Roman"/>
          <w:sz w:val="32"/>
          <w:szCs w:val="32"/>
          <w:lang w:val="en-US" w:eastAsia="zh-CN"/>
        </w:rPr>
        <w:t>17</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sz w:val="32"/>
          <w:szCs w:val="32"/>
          <w:lang w:val="zh-CN"/>
        </w:rPr>
        <w:t>第四部分 附件</w:t>
      </w:r>
      <w:r>
        <w:rPr>
          <w:rFonts w:hint="default" w:ascii="Times New Roman" w:hAnsi="Times New Roman" w:eastAsia="仿宋_GB2312" w:cs="Times New Roman"/>
          <w:sz w:val="32"/>
          <w:szCs w:val="32"/>
          <w:lang w:val="zh-CN"/>
        </w:rPr>
        <w:tab/>
      </w:r>
      <w:r>
        <w:rPr>
          <w:rFonts w:hint="eastAsia" w:ascii="Times New Roman" w:hAnsi="Times New Roman" w:eastAsia="仿宋_GB2312" w:cs="Times New Roman"/>
          <w:sz w:val="32"/>
          <w:szCs w:val="32"/>
          <w:lang w:val="en-US" w:eastAsia="zh-CN"/>
        </w:rPr>
        <w:t>20</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第五部分 附表</w:t>
      </w:r>
      <w:r>
        <w:rPr>
          <w:rFonts w:hint="default" w:ascii="Times New Roman" w:hAnsi="Times New Roman" w:eastAsia="仿宋_GB2312" w:cs="Times New Roman"/>
          <w:sz w:val="32"/>
          <w:szCs w:val="32"/>
          <w:lang w:val="zh-CN"/>
        </w:rPr>
        <w:tab/>
      </w:r>
      <w:r>
        <w:rPr>
          <w:rFonts w:hint="eastAsia" w:ascii="Times New Roman" w:hAnsi="Times New Roman" w:eastAsia="仿宋_GB2312" w:cs="Times New Roman"/>
          <w:sz w:val="32"/>
          <w:szCs w:val="32"/>
          <w:lang w:val="en-US" w:eastAsia="zh-CN"/>
        </w:rPr>
        <w:t>23</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一、收入支出决算总表</w:t>
      </w:r>
      <w:r>
        <w:rPr>
          <w:rFonts w:hint="default" w:ascii="Times New Roman" w:hAnsi="Times New Roman" w:eastAsia="仿宋_GB2312" w:cs="Times New Roman"/>
          <w:sz w:val="32"/>
          <w:szCs w:val="32"/>
          <w:lang w:val="zh-CN"/>
        </w:rPr>
        <w:tab/>
      </w:r>
      <w:r>
        <w:rPr>
          <w:rFonts w:hint="eastAsia" w:ascii="Times New Roman" w:hAnsi="Times New Roman" w:eastAsia="仿宋_GB2312" w:cs="Times New Roman"/>
          <w:sz w:val="32"/>
          <w:szCs w:val="32"/>
          <w:lang w:val="en-US" w:eastAsia="zh-CN"/>
        </w:rPr>
        <w:t>23</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二、收入决算表</w:t>
      </w:r>
      <w:r>
        <w:rPr>
          <w:rFonts w:hint="default" w:ascii="Times New Roman" w:hAnsi="Times New Roman" w:eastAsia="仿宋_GB2312" w:cs="Times New Roman"/>
          <w:sz w:val="32"/>
          <w:szCs w:val="32"/>
          <w:lang w:val="zh-CN"/>
        </w:rPr>
        <w:tab/>
      </w:r>
      <w:r>
        <w:rPr>
          <w:rFonts w:hint="eastAsia" w:ascii="Times New Roman" w:hAnsi="Times New Roman" w:eastAsia="仿宋_GB2312" w:cs="Times New Roman"/>
          <w:sz w:val="32"/>
          <w:szCs w:val="32"/>
          <w:lang w:val="en-US" w:eastAsia="zh-CN"/>
        </w:rPr>
        <w:t>23</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Times New Roman" w:hAnsi="Times New Roman" w:eastAsia="仿宋_GB2312" w:cs="Times New Roman"/>
          <w:sz w:val="32"/>
          <w:szCs w:val="32"/>
          <w:lang w:val="zh-CN"/>
        </w:rPr>
        <w:sectPr>
          <w:footerReference r:id="rId3" w:type="default"/>
          <w:pgSz w:w="12240" w:h="15840"/>
          <w:pgMar w:top="2098" w:right="1474" w:bottom="1984" w:left="1587" w:header="720" w:footer="720" w:gutter="0"/>
          <w:lnNumType w:countBy="0" w:distance="360"/>
          <w:pgNumType w:fmt="decimal" w:start="1"/>
          <w:cols w:space="720" w:num="1"/>
        </w:sectPr>
      </w:pP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三、支出决算表</w:t>
      </w:r>
      <w:r>
        <w:rPr>
          <w:rFonts w:hint="default" w:ascii="Times New Roman" w:hAnsi="Times New Roman" w:eastAsia="仿宋_GB2312" w:cs="Times New Roman"/>
          <w:sz w:val="32"/>
          <w:szCs w:val="32"/>
          <w:lang w:val="zh-CN"/>
        </w:rPr>
        <w:tab/>
      </w:r>
      <w:r>
        <w:rPr>
          <w:rFonts w:hint="eastAsia" w:ascii="Times New Roman" w:hAnsi="Times New Roman" w:eastAsia="仿宋_GB2312" w:cs="Times New Roman"/>
          <w:sz w:val="32"/>
          <w:szCs w:val="32"/>
          <w:lang w:val="en-US" w:eastAsia="zh-CN"/>
        </w:rPr>
        <w:t>23</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四、财政拨款收入支出决算总表</w:t>
      </w:r>
      <w:r>
        <w:rPr>
          <w:rFonts w:hint="default" w:ascii="Times New Roman" w:hAnsi="Times New Roman" w:eastAsia="仿宋_GB2312" w:cs="Times New Roman"/>
          <w:sz w:val="32"/>
          <w:szCs w:val="32"/>
          <w:lang w:val="zh-CN"/>
        </w:rPr>
        <w:tab/>
      </w:r>
      <w:r>
        <w:rPr>
          <w:rFonts w:hint="eastAsia" w:ascii="Times New Roman" w:hAnsi="Times New Roman" w:eastAsia="仿宋_GB2312" w:cs="Times New Roman"/>
          <w:sz w:val="32"/>
          <w:szCs w:val="32"/>
          <w:lang w:val="en-US" w:eastAsia="zh-CN"/>
        </w:rPr>
        <w:t>23</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五、财政拨款支出决算明细表</w:t>
      </w:r>
      <w:r>
        <w:rPr>
          <w:rFonts w:hint="default" w:ascii="Times New Roman" w:hAnsi="Times New Roman" w:eastAsia="仿宋_GB2312" w:cs="Times New Roman"/>
          <w:sz w:val="32"/>
          <w:szCs w:val="32"/>
          <w:lang w:val="zh-CN"/>
        </w:rPr>
        <w:tab/>
      </w:r>
      <w:r>
        <w:rPr>
          <w:rFonts w:hint="eastAsia" w:ascii="Times New Roman" w:hAnsi="Times New Roman" w:eastAsia="仿宋_GB2312" w:cs="Times New Roman"/>
          <w:sz w:val="32"/>
          <w:szCs w:val="32"/>
          <w:lang w:val="en-US" w:eastAsia="zh-CN"/>
        </w:rPr>
        <w:t>23</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六、一般公共预算财政拨款支出决算表</w:t>
      </w:r>
      <w:r>
        <w:rPr>
          <w:rFonts w:hint="default" w:ascii="Times New Roman" w:hAnsi="Times New Roman" w:eastAsia="仿宋_GB2312" w:cs="Times New Roman"/>
          <w:sz w:val="32"/>
          <w:szCs w:val="32"/>
          <w:lang w:val="zh-CN"/>
        </w:rPr>
        <w:tab/>
      </w:r>
      <w:r>
        <w:rPr>
          <w:rFonts w:hint="eastAsia" w:ascii="Times New Roman" w:hAnsi="Times New Roman" w:eastAsia="仿宋_GB2312" w:cs="Times New Roman"/>
          <w:sz w:val="32"/>
          <w:szCs w:val="32"/>
          <w:lang w:val="en-US" w:eastAsia="zh-CN"/>
        </w:rPr>
        <w:t>23</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rPr>
        <w:t>七、一般公共预算财政拨款支出决算明细表</w:t>
      </w:r>
      <w:r>
        <w:rPr>
          <w:rFonts w:hint="default" w:ascii="Times New Roman" w:hAnsi="Times New Roman" w:eastAsia="仿宋_GB2312" w:cs="Times New Roman"/>
          <w:sz w:val="32"/>
          <w:szCs w:val="32"/>
          <w:lang w:val="zh-CN"/>
        </w:rPr>
        <w:tab/>
      </w:r>
      <w:r>
        <w:rPr>
          <w:rFonts w:hint="default" w:ascii="Times New Roman" w:hAnsi="Times New Roman" w:eastAsia="仿宋_GB2312" w:cs="Times New Roman"/>
          <w:sz w:val="32"/>
          <w:szCs w:val="32"/>
          <w:lang w:val="zh-CN"/>
        </w:rPr>
        <w:t>2</w:t>
      </w:r>
      <w:r>
        <w:rPr>
          <w:rFonts w:hint="eastAsia" w:ascii="Times New Roman" w:hAnsi="Times New Roman" w:eastAsia="仿宋_GB2312" w:cs="Times New Roman"/>
          <w:sz w:val="32"/>
          <w:szCs w:val="32"/>
          <w:lang w:val="en-US" w:eastAsia="zh-CN"/>
        </w:rPr>
        <w:t>3</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八、一般公共预算财政拨款基本支出决算表</w:t>
      </w:r>
      <w:r>
        <w:rPr>
          <w:rFonts w:hint="default" w:ascii="Times New Roman" w:hAnsi="Times New Roman" w:eastAsia="仿宋_GB2312" w:cs="Times New Roman"/>
          <w:sz w:val="32"/>
          <w:szCs w:val="32"/>
          <w:lang w:val="zh-CN"/>
        </w:rPr>
        <w:tab/>
      </w:r>
      <w:r>
        <w:rPr>
          <w:rFonts w:hint="default" w:ascii="Times New Roman" w:hAnsi="Times New Roman" w:eastAsia="仿宋_GB2312" w:cs="Times New Roman"/>
          <w:sz w:val="32"/>
          <w:szCs w:val="32"/>
          <w:lang w:val="zh-CN"/>
        </w:rPr>
        <w:t>2</w:t>
      </w:r>
      <w:r>
        <w:rPr>
          <w:rFonts w:hint="eastAsia" w:ascii="Times New Roman" w:hAnsi="Times New Roman" w:eastAsia="仿宋_GB2312" w:cs="Times New Roman"/>
          <w:sz w:val="32"/>
          <w:szCs w:val="32"/>
          <w:lang w:val="en-US" w:eastAsia="zh-CN"/>
        </w:rPr>
        <w:t>3</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rPr>
        <w:t>九、一般公共预算财政拨款项目支出决算表</w:t>
      </w:r>
      <w:r>
        <w:rPr>
          <w:rFonts w:hint="default" w:ascii="Times New Roman" w:hAnsi="Times New Roman" w:eastAsia="仿宋_GB2312" w:cs="Times New Roman"/>
          <w:sz w:val="32"/>
          <w:szCs w:val="32"/>
          <w:lang w:val="zh-CN"/>
        </w:rPr>
        <w:tab/>
      </w:r>
      <w:r>
        <w:rPr>
          <w:rFonts w:hint="default" w:ascii="Times New Roman" w:hAnsi="Times New Roman" w:eastAsia="仿宋_GB2312" w:cs="Times New Roman"/>
          <w:sz w:val="32"/>
          <w:szCs w:val="32"/>
          <w:lang w:val="zh-CN"/>
        </w:rPr>
        <w:t>2</w:t>
      </w:r>
      <w:r>
        <w:rPr>
          <w:rFonts w:hint="eastAsia" w:ascii="Times New Roman" w:hAnsi="Times New Roman" w:eastAsia="仿宋_GB2312" w:cs="Times New Roman"/>
          <w:sz w:val="32"/>
          <w:szCs w:val="32"/>
          <w:lang w:val="en-US" w:eastAsia="zh-CN"/>
        </w:rPr>
        <w:t>3</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十、政府性基金预算财政拨款收入支出决算表</w:t>
      </w:r>
      <w:r>
        <w:rPr>
          <w:rFonts w:hint="default" w:ascii="Times New Roman" w:hAnsi="Times New Roman" w:eastAsia="仿宋_GB2312" w:cs="Times New Roman"/>
          <w:sz w:val="32"/>
          <w:szCs w:val="32"/>
          <w:lang w:val="zh-CN"/>
        </w:rPr>
        <w:tab/>
      </w:r>
      <w:r>
        <w:rPr>
          <w:rFonts w:hint="default" w:ascii="Times New Roman" w:hAnsi="Times New Roman" w:eastAsia="仿宋_GB2312" w:cs="Times New Roman"/>
          <w:sz w:val="32"/>
          <w:szCs w:val="32"/>
          <w:lang w:val="zh-CN"/>
        </w:rPr>
        <w:t>2</w:t>
      </w:r>
      <w:r>
        <w:rPr>
          <w:rFonts w:hint="eastAsia" w:ascii="Times New Roman" w:hAnsi="Times New Roman" w:eastAsia="仿宋_GB2312" w:cs="Times New Roman"/>
          <w:sz w:val="32"/>
          <w:szCs w:val="32"/>
          <w:lang w:val="en-US" w:eastAsia="zh-CN"/>
        </w:rPr>
        <w:t>3</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rPr>
        <w:t>十一、国有资本经营预算财政拨款收入支出决算表</w:t>
      </w:r>
      <w:r>
        <w:rPr>
          <w:rFonts w:hint="default" w:ascii="Times New Roman" w:hAnsi="Times New Roman" w:eastAsia="仿宋_GB2312" w:cs="Times New Roman"/>
          <w:sz w:val="32"/>
          <w:szCs w:val="32"/>
          <w:lang w:val="zh-CN"/>
        </w:rPr>
        <w:tab/>
      </w:r>
      <w:r>
        <w:rPr>
          <w:rFonts w:hint="default" w:ascii="Times New Roman" w:hAnsi="Times New Roman" w:eastAsia="仿宋_GB2312" w:cs="Times New Roman"/>
          <w:sz w:val="32"/>
          <w:szCs w:val="32"/>
          <w:lang w:val="zh-CN"/>
        </w:rPr>
        <w:t>2</w:t>
      </w:r>
      <w:r>
        <w:rPr>
          <w:rFonts w:hint="eastAsia" w:ascii="Times New Roman" w:hAnsi="Times New Roman" w:eastAsia="仿宋_GB2312" w:cs="Times New Roman"/>
          <w:sz w:val="32"/>
          <w:szCs w:val="32"/>
          <w:lang w:val="en-US" w:eastAsia="zh-CN"/>
        </w:rPr>
        <w:t>3</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十二、国有资本经营预算财政拨款支出决算表</w:t>
      </w:r>
      <w:r>
        <w:rPr>
          <w:rFonts w:hint="default" w:ascii="Times New Roman" w:hAnsi="Times New Roman" w:eastAsia="仿宋_GB2312" w:cs="Times New Roman"/>
          <w:sz w:val="32"/>
          <w:szCs w:val="32"/>
          <w:lang w:val="zh-CN"/>
        </w:rPr>
        <w:tab/>
      </w:r>
      <w:r>
        <w:rPr>
          <w:rFonts w:hint="default" w:ascii="Times New Roman" w:hAnsi="Times New Roman" w:eastAsia="仿宋_GB2312" w:cs="Times New Roman"/>
          <w:sz w:val="32"/>
          <w:szCs w:val="32"/>
          <w:lang w:val="zh-CN"/>
        </w:rPr>
        <w:t>2</w:t>
      </w:r>
      <w:r>
        <w:rPr>
          <w:rFonts w:hint="eastAsia" w:ascii="Times New Roman" w:hAnsi="Times New Roman" w:eastAsia="仿宋_GB2312" w:cs="Times New Roman"/>
          <w:sz w:val="32"/>
          <w:szCs w:val="32"/>
          <w:lang w:val="en-US" w:eastAsia="zh-CN"/>
        </w:rPr>
        <w:t>3</w:t>
      </w:r>
    </w:p>
    <w:p>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十三、财政拨款“三公”经费支出决算表</w:t>
      </w:r>
      <w:r>
        <w:rPr>
          <w:rFonts w:hint="default" w:ascii="Times New Roman" w:hAnsi="Times New Roman" w:eastAsia="仿宋_GB2312" w:cs="Times New Roman"/>
          <w:sz w:val="32"/>
          <w:szCs w:val="32"/>
          <w:lang w:val="zh-CN"/>
        </w:rPr>
        <w:tab/>
      </w:r>
      <w:r>
        <w:rPr>
          <w:rFonts w:hint="default" w:ascii="Times New Roman" w:hAnsi="Times New Roman" w:eastAsia="仿宋_GB2312" w:cs="Times New Roman"/>
          <w:sz w:val="32"/>
          <w:szCs w:val="32"/>
          <w:lang w:val="zh-CN"/>
        </w:rPr>
        <w:t>2</w:t>
      </w:r>
      <w:r>
        <w:rPr>
          <w:rFonts w:hint="eastAsia" w:ascii="Times New Roman" w:hAnsi="Times New Roman" w:eastAsia="仿宋_GB2312" w:cs="Times New Roman"/>
          <w:sz w:val="32"/>
          <w:szCs w:val="32"/>
          <w:lang w:val="en-US" w:eastAsia="zh-CN"/>
        </w:rPr>
        <w:t>3</w:t>
      </w:r>
    </w:p>
    <w:p>
      <w:pPr>
        <w:overflowPunct w:val="0"/>
        <w:topLinePunct/>
        <w:jc w:val="center"/>
        <w:rPr>
          <w:rFonts w:hint="eastAsia" w:ascii="方正小标宋简体" w:eastAsia="方正小标宋简体"/>
          <w:sz w:val="44"/>
          <w:szCs w:val="44"/>
        </w:rPr>
        <w:sectPr>
          <w:footerReference r:id="rId4" w:type="default"/>
          <w:pgSz w:w="12240" w:h="15840"/>
          <w:pgMar w:top="2098" w:right="1474" w:bottom="1984" w:left="1587" w:header="720" w:footer="720" w:gutter="0"/>
          <w:lnNumType w:countBy="0" w:distance="360"/>
          <w:pgNumType w:fmt="decimal" w:start="1"/>
          <w:cols w:space="720" w:num="1"/>
        </w:sectPr>
      </w:pPr>
    </w:p>
    <w:p>
      <w:pPr>
        <w:overflowPunct w:val="0"/>
        <w:topLinePunct/>
        <w:jc w:val="center"/>
        <w:rPr>
          <w:rFonts w:hint="eastAsia" w:ascii="方正小标宋简体" w:eastAsia="方正小标宋简体"/>
          <w:sz w:val="44"/>
          <w:szCs w:val="44"/>
        </w:rPr>
      </w:pPr>
      <w:r>
        <w:rPr>
          <w:rFonts w:hint="eastAsia" w:ascii="方正小标宋简体" w:eastAsia="方正小标宋简体"/>
          <w:sz w:val="44"/>
          <w:szCs w:val="44"/>
        </w:rPr>
        <w:t>第一部分</w:t>
      </w: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rPr>
        <w:t>单位概况</w:t>
      </w:r>
    </w:p>
    <w:p>
      <w:pPr>
        <w:pStyle w:val="6"/>
        <w:overflowPunct w:val="0"/>
        <w:topLinePunct/>
        <w:spacing w:before="72"/>
        <w:rPr>
          <w:rFonts w:hint="eastAsia"/>
          <w:sz w:val="30"/>
          <w:szCs w:val="24"/>
        </w:rPr>
      </w:pPr>
    </w:p>
    <w:p>
      <w:pPr>
        <w:pStyle w:val="5"/>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default" w:ascii="Times New Roman" w:hAnsi="Times New Roman" w:eastAsia="黑体" w:cs="Times New Roman"/>
          <w:kern w:val="2"/>
          <w:sz w:val="32"/>
          <w:szCs w:val="24"/>
        </w:rPr>
      </w:pPr>
      <w:r>
        <w:rPr>
          <w:rFonts w:hint="default" w:ascii="Times New Roman" w:hAnsi="Times New Roman" w:eastAsia="黑体" w:cs="Times New Roman"/>
          <w:color w:val="000000"/>
          <w:kern w:val="2"/>
          <w:sz w:val="32"/>
          <w:szCs w:val="24"/>
        </w:rPr>
        <w:t>一、主要职责</w:t>
      </w:r>
    </w:p>
    <w:p>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default" w:ascii="Times New Roman" w:hAnsi="Times New Roman" w:eastAsia="仿宋_GB2312" w:cs="Times New Roman"/>
          <w:color w:val="000000"/>
          <w:sz w:val="32"/>
          <w:szCs w:val="24"/>
        </w:rPr>
      </w:pPr>
      <w:r>
        <w:rPr>
          <w:rFonts w:hint="eastAsia" w:ascii="楷体_GB2312" w:hAnsi="楷体_GB2312" w:eastAsia="楷体_GB2312" w:cs="楷体_GB2312"/>
          <w:color w:val="000000"/>
          <w:sz w:val="32"/>
          <w:szCs w:val="24"/>
        </w:rPr>
        <w:t>（一）单位主要职能</w:t>
      </w:r>
      <w:r>
        <w:rPr>
          <w:rFonts w:hint="default" w:ascii="Times New Roman" w:hAnsi="Times New Roman" w:eastAsia="仿宋_GB2312" w:cs="Times New Roman"/>
          <w:color w:val="000000"/>
          <w:sz w:val="32"/>
          <w:szCs w:val="24"/>
        </w:rPr>
        <w:t>。</w:t>
      </w:r>
    </w:p>
    <w:p>
      <w:pPr>
        <w:keepNext w:val="0"/>
        <w:keepLines w:val="0"/>
        <w:pageBreakBefore w:val="0"/>
        <w:widowControl w:val="0"/>
        <w:kinsoku/>
        <w:wordWrap/>
        <w:bidi w:val="0"/>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贯彻执行中央关于行政管理体制改革和机构改革、事业单位改革及机构编制管理的方针政策、法律法规规章，研究起草规章草案、规范性文件，制定相关政策并监督实施。</w:t>
      </w:r>
    </w:p>
    <w:p>
      <w:pPr>
        <w:keepNext w:val="0"/>
        <w:keepLines w:val="0"/>
        <w:pageBreakBefore w:val="0"/>
        <w:widowControl w:val="0"/>
        <w:kinsoku/>
        <w:wordWrap/>
        <w:bidi w:val="0"/>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研究拟订全区行政管理体制改革和机构改革方案，审核区级部门“三定”规定和乡镇（街道）机构改革方案，指导各乡镇（街道）、各部门行政管理体制改革和机构改革，评估改革效果，参与行政审批制度改革和行政区划调整的有关工作。</w:t>
      </w:r>
    </w:p>
    <w:p>
      <w:pPr>
        <w:keepNext w:val="0"/>
        <w:keepLines w:val="0"/>
        <w:pageBreakBefore w:val="0"/>
        <w:widowControl w:val="0"/>
        <w:kinsoku/>
        <w:wordWrap/>
        <w:bidi w:val="0"/>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拟订全区各级行政编制总额分配方案，分配政法专项编制。负责全区行政事业编制总量控制和机关事业单位机构编制实名制管理工作，对区直机关和区属事业单位使用空缺编制补充人员进行核批。</w:t>
      </w:r>
    </w:p>
    <w:p>
      <w:pPr>
        <w:keepNext w:val="0"/>
        <w:keepLines w:val="0"/>
        <w:pageBreakBefore w:val="0"/>
        <w:widowControl w:val="0"/>
        <w:kinsoku/>
        <w:wordWrap/>
        <w:bidi w:val="0"/>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负责区委、区政府各部门，区人大、区政协机关，区法院、区检察院机关，各民主党派区委机关、区人民团体机关的机构编制管理工作。协调区级部门之间的职责分工。</w:t>
      </w:r>
    </w:p>
    <w:p>
      <w:pPr>
        <w:keepNext w:val="0"/>
        <w:keepLines w:val="0"/>
        <w:pageBreakBefore w:val="0"/>
        <w:widowControl w:val="0"/>
        <w:kinsoku/>
        <w:wordWrap/>
        <w:bidi w:val="0"/>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给市委编委呈报副科级或按照副科级及以上规格管理机构的设置、调整。</w:t>
      </w:r>
    </w:p>
    <w:p>
      <w:pPr>
        <w:keepNext w:val="0"/>
        <w:keepLines w:val="0"/>
        <w:pageBreakBefore w:val="0"/>
        <w:widowControl w:val="0"/>
        <w:kinsoku/>
        <w:wordWrap/>
        <w:bidi w:val="0"/>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研究拟订全区事业单位改革方案和事业单位编制标准及实施意见，负责区属事业单位机构编制管理，审核区属事业单位的机构编制方案，负责参照</w:t>
      </w:r>
      <w:r>
        <w:rPr>
          <w:rFonts w:hint="eastAsia" w:ascii="Times New Roman" w:hAnsi="Times New Roman" w:eastAsia="仿宋_GB2312" w:cs="Times New Roman"/>
          <w:sz w:val="32"/>
          <w:szCs w:val="32"/>
          <w:lang w:eastAsia="zh-CN"/>
        </w:rPr>
        <w:t>《中华人民共和国公务员法》</w:t>
      </w:r>
      <w:r>
        <w:rPr>
          <w:rFonts w:hint="default" w:ascii="Times New Roman" w:hAnsi="Times New Roman" w:eastAsia="仿宋_GB2312" w:cs="Times New Roman"/>
          <w:sz w:val="32"/>
          <w:szCs w:val="32"/>
        </w:rPr>
        <w:t>管理事业单位职责的审核工作。</w:t>
      </w:r>
    </w:p>
    <w:p>
      <w:pPr>
        <w:keepNext w:val="0"/>
        <w:keepLines w:val="0"/>
        <w:pageBreakBefore w:val="0"/>
        <w:widowControl w:val="0"/>
        <w:kinsoku/>
        <w:wordWrap/>
        <w:bidi w:val="0"/>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监督检查全区行政管理体制改革和机构改革方案及机构编制规定执行情况，按照市委编委的要求，建立机构编制工作考核评估制度，会同有关部门查处机构编制违法违纪行为。</w:t>
      </w:r>
    </w:p>
    <w:p>
      <w:pPr>
        <w:keepNext w:val="0"/>
        <w:keepLines w:val="0"/>
        <w:pageBreakBefore w:val="0"/>
        <w:widowControl w:val="0"/>
        <w:kinsoku/>
        <w:wordWrap/>
        <w:bidi w:val="0"/>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负责全区事业单位登记管理工作。</w:t>
      </w:r>
    </w:p>
    <w:p>
      <w:pPr>
        <w:keepNext w:val="0"/>
        <w:keepLines w:val="0"/>
        <w:pageBreakBefore w:val="0"/>
        <w:widowControl w:val="0"/>
        <w:kinsoku/>
        <w:wordWrap/>
        <w:bidi w:val="0"/>
        <w:snapToGrid/>
        <w:spacing w:line="576" w:lineRule="exact"/>
        <w:ind w:firstLine="640" w:firstLineChars="200"/>
        <w:textAlignment w:val="auto"/>
        <w:rPr>
          <w:rFonts w:hint="default" w:ascii="Times New Roman" w:hAnsi="Times New Roman" w:cs="Times New Roman"/>
          <w:sz w:val="24"/>
          <w:szCs w:val="24"/>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承办区委、区政府和区委编委交办的其他事项。</w:t>
      </w:r>
    </w:p>
    <w:p>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default" w:ascii="楷体_GB2312" w:hAnsi="楷体_GB2312" w:eastAsia="楷体_GB2312" w:cs="楷体_GB2312"/>
          <w:color w:val="000000"/>
          <w:sz w:val="32"/>
          <w:szCs w:val="24"/>
        </w:rPr>
      </w:pPr>
      <w:r>
        <w:rPr>
          <w:rFonts w:hint="default" w:ascii="楷体_GB2312" w:hAnsi="楷体_GB2312" w:eastAsia="楷体_GB2312" w:cs="楷体_GB2312"/>
          <w:color w:val="000000"/>
          <w:sz w:val="32"/>
          <w:szCs w:val="24"/>
        </w:rPr>
        <w:t>（二）2023年重点工作完成情况。</w:t>
      </w:r>
    </w:p>
    <w:p>
      <w:pPr>
        <w:pStyle w:val="2"/>
        <w:keepNext w:val="0"/>
        <w:keepLines w:val="0"/>
        <w:pageBreakBefore w:val="0"/>
        <w:widowControl w:val="0"/>
        <w:numPr>
          <w:ilvl w:val="0"/>
          <w:numId w:val="0"/>
        </w:numPr>
        <w:kinsoku/>
        <w:wordWrap/>
        <w:autoSpaceDE/>
        <w:autoSpaceDN/>
        <w:bidi w:val="0"/>
        <w:adjustRightInd/>
        <w:snapToGrid/>
        <w:spacing w:after="0" w:line="576"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sz w:val="32"/>
          <w:szCs w:val="32"/>
        </w:rPr>
        <w:t>坚定用党的创新理论凝心铸魂。深刻领悟“两个确立”的决定性意义，扎实开展</w:t>
      </w:r>
      <w:r>
        <w:rPr>
          <w:rFonts w:hint="eastAsia" w:ascii="Times New Roman" w:hAnsi="Times New Roman" w:eastAsia="仿宋_GB2312" w:cs="Times New Roman"/>
          <w:color w:val="auto"/>
          <w:sz w:val="32"/>
          <w:szCs w:val="32"/>
          <w:lang w:eastAsia="zh-CN"/>
        </w:rPr>
        <w:t>学习贯彻习近平新时代中国特色社会主义思想主题教育</w:t>
      </w:r>
      <w:r>
        <w:rPr>
          <w:rFonts w:hint="default" w:ascii="Times New Roman" w:hAnsi="Times New Roman" w:eastAsia="仿宋_GB2312" w:cs="Times New Roman"/>
          <w:color w:val="auto"/>
          <w:sz w:val="32"/>
          <w:szCs w:val="32"/>
        </w:rPr>
        <w:t>，坚持聚焦</w:t>
      </w:r>
      <w:r>
        <w:rPr>
          <w:rFonts w:hint="default" w:ascii="Times New Roman" w:hAnsi="Times New Roman" w:eastAsia="仿宋_GB2312" w:cs="Times New Roman"/>
          <w:kern w:val="2"/>
          <w:sz w:val="32"/>
          <w:szCs w:val="32"/>
        </w:rPr>
        <w:t>“学思想、强党性、重实践、建新功”的总要求，紧紧锚定根本任务和具体目标，</w:t>
      </w:r>
      <w:r>
        <w:rPr>
          <w:rFonts w:hint="default" w:ascii="Times New Roman" w:hAnsi="Times New Roman" w:eastAsia="仿宋_GB2312" w:cs="Times New Roman"/>
          <w:color w:val="auto"/>
          <w:sz w:val="32"/>
          <w:szCs w:val="32"/>
        </w:rPr>
        <w:t>牢牢把握新时代机构编制工作的目标方向和根本任务；</w:t>
      </w:r>
      <w:r>
        <w:rPr>
          <w:rFonts w:hint="default" w:ascii="Times New Roman" w:hAnsi="Times New Roman" w:eastAsia="仿宋_GB2312" w:cs="Times New Roman"/>
          <w:kern w:val="2"/>
          <w:sz w:val="32"/>
          <w:szCs w:val="32"/>
        </w:rPr>
        <w:t>坚持党管机构编制工作原则。</w:t>
      </w:r>
      <w:r>
        <w:rPr>
          <w:rFonts w:hint="default" w:ascii="Times New Roman" w:hAnsi="Times New Roman" w:eastAsia="仿宋_GB2312" w:cs="Times New Roman"/>
          <w:color w:val="auto"/>
          <w:sz w:val="32"/>
          <w:szCs w:val="32"/>
        </w:rPr>
        <w:t>坚决贯彻党的路线、方针、政策，严格执行《条例》，完善和规范审批程序，落实</w:t>
      </w:r>
      <w:r>
        <w:rPr>
          <w:rFonts w:hint="default" w:ascii="Times New Roman" w:hAnsi="Times New Roman" w:eastAsia="仿宋_GB2312" w:cs="Times New Roman"/>
          <w:kern w:val="2"/>
          <w:sz w:val="32"/>
          <w:szCs w:val="32"/>
        </w:rPr>
        <w:t>“一支笔”审批制度，落实归口管理要求，坚持重大事项及时请示报告、重要政策提前沟通协商、重要业务主动对接衔接，严格机构编制审批权限和程序，确保机构编制资源始终为党所有、为党所管、为党所用；</w:t>
      </w:r>
      <w:r>
        <w:rPr>
          <w:rFonts w:hint="default" w:ascii="Times New Roman" w:hAnsi="Times New Roman" w:eastAsia="仿宋_GB2312" w:cs="Times New Roman"/>
          <w:color w:val="auto"/>
          <w:sz w:val="32"/>
          <w:szCs w:val="32"/>
        </w:rPr>
        <w:t>健全完善党的全面领导体制机制。加强党委职能部门归口管理，健全党对国家安全、国防动员、意识形态、人才等重大工作领导体制，完善教育、卫健等事业单位党的领导体制机制，强化党组织在同级组织中的领导地位，着力提升各级党组织把方向、谋大局、定政策、促改革的能力水平；持续优化党政机构职能体系。扎实开展议事协调机构的清理规范，严格控制数量，探索议事协调机构运行情况评估，综合组建区重点产业发展领导小组及其重点产业专班，优化撤销区未成年人社会保护工作领导小组、城区棚户区改造领导小组等议事协调机构4个，调整优化国防动员、卫健、统计等领域9个议事协调机构，支持区安办专班实战化运行。持续跟踪《广元市昭化区赋予乡镇县级行政权力事项清单（第二批）》实施情况，动态调整区市场监管局、区人社局、区综合行政执法局等5个部门共27项行政权力，推动区城市管理执法工作权责边界更加明晰；深入开展机构改革调研谋划。聚焦本轮机构改革重点领域和关键环节，精心构建“精细谋划选准题、沉浸一线摸实情、分析梳理把关键、评估问诊聚良方”工作体系，筛选确定涉改部门及重点产业领域履职情况、镇级机构编制资源优化配置情况和科级事业单位履职情况等等3个年度调研课题，出台“1+3”调研方案，深入27个乡镇和部门（单位）沉浸调研，对照调研发现和反馈的问题，按照“清单制+责任制”方式，逐项制定整改清单和整改措施，区分当下改、适时改、长久立等不同情况，建立3类22项专门整改台账，拟制机构改革初步方案，积极推动区审计局等3个“当下改”事项落实并销号，切实把调研成果转化为推进工作的实际成效。全力做好省、市委编办主要领导及遂宁等地系统来昭调研考察6批次，有效展示和对外彰显我区近年来机构编制工作的成功做法和经验；对标推进区疾控体制改革。根据省委编办、市委编委相关文件精神，深入调研、分析论证，区疾控局顺利按期组建、挂牌，区疾控中心职能职责得以优化调整，为进一步提高疾</w:t>
      </w:r>
      <w:r>
        <w:rPr>
          <w:rFonts w:hint="default" w:ascii="Times New Roman" w:hAnsi="Times New Roman" w:eastAsia="仿宋_GB2312" w:cs="Times New Roman"/>
          <w:sz w:val="32"/>
          <w:szCs w:val="40"/>
        </w:rPr>
        <w:t>病预防控制能力、充分发挥公益服务水平奠定了基础；持续深化行政执法体制改革。</w:t>
      </w:r>
      <w:r>
        <w:rPr>
          <w:rFonts w:hint="default" w:ascii="Times New Roman" w:hAnsi="Times New Roman" w:eastAsia="仿宋_GB2312" w:cs="Times New Roman"/>
          <w:color w:val="000000"/>
          <w:sz w:val="32"/>
          <w:szCs w:val="32"/>
        </w:rPr>
        <w:t>大力整合执法资源、优化执法配置、下移执法重心，实现机构重组、力量重构、要素重整，构建横向到边、纵向到底、边界清晰的全覆盖监管和执法体系；立足职能职责，以建立“法治账</w:t>
      </w:r>
      <w:r>
        <w:rPr>
          <w:rFonts w:hint="default" w:ascii="Times New Roman" w:hAnsi="Times New Roman" w:eastAsia="仿宋_GB2312" w:cs="Times New Roman"/>
          <w:sz w:val="32"/>
          <w:szCs w:val="32"/>
        </w:rPr>
        <w:t>图”、健全权责清单体系、建立部门职责分工协调机制为抓手，推动部门依法行政、高效履</w:t>
      </w:r>
      <w:r>
        <w:rPr>
          <w:rFonts w:hint="default" w:ascii="Times New Roman" w:hAnsi="Times New Roman" w:eastAsia="仿宋_GB2312" w:cs="Times New Roman"/>
          <w:color w:val="000000"/>
          <w:sz w:val="32"/>
          <w:szCs w:val="32"/>
        </w:rPr>
        <w:t>职，为创建全国法治政府建设示范</w:t>
      </w:r>
      <w:r>
        <w:rPr>
          <w:rFonts w:hint="default" w:ascii="Times New Roman" w:hAnsi="Times New Roman" w:cs="Times New Roman"/>
          <w:color w:val="000000"/>
          <w:sz w:val="32"/>
          <w:szCs w:val="32"/>
        </w:rPr>
        <w:t>区</w:t>
      </w:r>
      <w:r>
        <w:rPr>
          <w:rFonts w:hint="default" w:ascii="Times New Roman" w:hAnsi="Times New Roman" w:eastAsia="仿宋_GB2312" w:cs="Times New Roman"/>
          <w:color w:val="000000"/>
          <w:sz w:val="32"/>
          <w:szCs w:val="32"/>
        </w:rPr>
        <w:t>提供有力的体制机制保障。《1344提升区镇综合行政执法效能》等经验做法被《调查与决策》等省市媒体刊载；持续深化事业单位改革。不断做好“小、弱、散”公益类事业单位和职责相同相近事业单位的撤并、整合工作，不断优化机构编制资源配置，将区优化营商环境服务中心升格为副科，将区委党史研究室主要负责人职级升格为正科，增加人</w:t>
      </w:r>
      <w:r>
        <w:rPr>
          <w:rFonts w:hint="default" w:ascii="Times New Roman" w:hAnsi="Times New Roman" w:eastAsia="仿宋_GB2312" w:cs="Times New Roman"/>
          <w:sz w:val="32"/>
          <w:szCs w:val="32"/>
        </w:rPr>
        <w:t>员编制，保障工作力量。对区网络管理中心等4个事业单位名称进行了变更，规范区文化旅游事务服务中心等6个事业单位工作职责，调减区政协机关信息中心事业编制5名，进一步优化配置了事业机构编制资源；聚</w:t>
      </w:r>
      <w:r>
        <w:rPr>
          <w:rStyle w:val="18"/>
          <w:rFonts w:hint="default" w:ascii="Times New Roman" w:hAnsi="Times New Roman" w:eastAsia="仿宋_GB2312" w:cs="Times New Roman"/>
          <w:sz w:val="32"/>
          <w:szCs w:val="32"/>
        </w:rPr>
        <w:t>力推动区委“1456”战略部署落地见效。组建区绿色家居产业推进中心、经济合作和外事中心，优化营商环境服务中心等事业单位，为经开区等重点经济部门所属事业单位增核事业编制近30名，健全完善经济开发区和营商环境工作体制机制，调整优化民营经济等相关服务机构及职责，统筹推进“村能办”“企能办”服务体系建设，全力打造让企业办事省心的政务服务营商环境，经验做法被省委《调查与决策》2023年6期刊载交流，并被区委全会报告点赞；服务保障全区重点领域创建。</w:t>
      </w:r>
      <w:r>
        <w:rPr>
          <w:rFonts w:hint="default" w:ascii="Times New Roman" w:hAnsi="Times New Roman" w:eastAsia="仿宋_GB2312" w:cs="Times New Roman"/>
          <w:sz w:val="32"/>
          <w:szCs w:val="32"/>
        </w:rPr>
        <w:t>聚焦</w:t>
      </w:r>
      <w:r>
        <w:rPr>
          <w:rFonts w:hint="default" w:ascii="Times New Roman" w:hAnsi="Times New Roman" w:eastAsia="仿宋_GB2312" w:cs="Times New Roman"/>
          <w:color w:val="000000"/>
          <w:sz w:val="32"/>
          <w:szCs w:val="32"/>
        </w:rPr>
        <w:t>乡村振兴实绩考核和乡村振兴成效显著县，优化区委农办机构设置和职能配置，建立粮食流通执法监管跨部门协调联动长效机制，督促落实“三农”有关机构编制事项落实落地。创新旅游管理体制机制，</w:t>
      </w:r>
      <w:r>
        <w:rPr>
          <w:rFonts w:hint="default" w:ascii="Times New Roman" w:hAnsi="Times New Roman" w:eastAsia="仿宋_GB2312" w:cs="Times New Roman"/>
          <w:spacing w:val="8"/>
          <w:sz w:val="32"/>
          <w:szCs w:val="32"/>
        </w:rPr>
        <w:t>组建旅游景区综合服务机构，建立了多部门参与的旅游工作联席会议制度，深化古城管理运行体制，优化职责分工体系，建立综合管理执法保障运行体系，助力全区天府旅游名县创建。进一步优化</w:t>
      </w:r>
      <w:r>
        <w:rPr>
          <w:rFonts w:hint="default" w:ascii="Times New Roman" w:hAnsi="Times New Roman" w:eastAsia="仿宋_GB2312" w:cs="Times New Roman"/>
          <w:color w:val="000000"/>
          <w:sz w:val="32"/>
          <w:szCs w:val="32"/>
        </w:rPr>
        <w:t>法治政府、人才招引、民族团结等机构编制，</w:t>
      </w:r>
      <w:r>
        <w:rPr>
          <w:rFonts w:hint="default" w:ascii="Times New Roman" w:hAnsi="Times New Roman" w:eastAsia="仿宋_GB2312" w:cs="Times New Roman"/>
          <w:spacing w:val="8"/>
          <w:sz w:val="32"/>
          <w:szCs w:val="32"/>
        </w:rPr>
        <w:t>服务保障</w:t>
      </w:r>
      <w:r>
        <w:rPr>
          <w:rFonts w:hint="default" w:ascii="Times New Roman" w:hAnsi="Times New Roman" w:eastAsia="仿宋_GB2312" w:cs="Times New Roman"/>
          <w:color w:val="000000"/>
          <w:sz w:val="32"/>
          <w:szCs w:val="32"/>
        </w:rPr>
        <w:t>法治政府示范区、人才先行区、民族团结进步示范创建高效推进；</w:t>
      </w:r>
      <w:r>
        <w:rPr>
          <w:rFonts w:hint="default" w:ascii="Times New Roman" w:hAnsi="Times New Roman" w:eastAsia="仿宋_GB2312" w:cs="Times New Roman"/>
          <w:spacing w:val="8"/>
          <w:sz w:val="32"/>
          <w:szCs w:val="32"/>
        </w:rPr>
        <w:t>切实夯实安全生产领域机构编制保障。</w:t>
      </w:r>
      <w:r>
        <w:rPr>
          <w:rFonts w:hint="default" w:ascii="Times New Roman" w:hAnsi="Times New Roman" w:eastAsia="仿宋_GB2312" w:cs="Times New Roman"/>
          <w:sz w:val="32"/>
          <w:szCs w:val="32"/>
        </w:rPr>
        <w:t>坚持问题导向，联合区安办全覆盖开展检视整改，采取“四查四看”全覆盖开展安全生产监管责任落实问题自查检视整改工作。自查本镇、本部门（单位）安全监管职责明确情况、安全监管职责压实情况、安全监管职责履行情况、安全监管职责履行过程中存在的问题以及对做好安全监管工作的意见建议，督促安全监管责任压紧压实，经验做法被省委《调查与决策》2023年8期刊载交流；全力保障重点领域编制需求。聚焦人才招引、政</w:t>
      </w:r>
      <w:r>
        <w:rPr>
          <w:rStyle w:val="18"/>
          <w:rFonts w:hint="default" w:ascii="Times New Roman" w:hAnsi="Times New Roman" w:eastAsia="仿宋_GB2312" w:cs="Times New Roman"/>
          <w:sz w:val="32"/>
          <w:szCs w:val="32"/>
        </w:rPr>
        <w:t>策性安置、应急管理、“三农”方面和民生领域等编制需求实际，规范办理编制变更530余人，其中人才引进52人，公开招聘97人，退役军人安置19人，“三支一扶”安置3人，免费医学生安置8人，免费师范生安置3人。全区</w:t>
      </w:r>
      <w:r>
        <w:rPr>
          <w:rFonts w:hint="default" w:ascii="Times New Roman" w:hAnsi="Times New Roman" w:eastAsia="仿宋_GB2312" w:cs="Times New Roman"/>
          <w:color w:val="auto"/>
          <w:kern w:val="2"/>
          <w:sz w:val="32"/>
          <w:szCs w:val="32"/>
        </w:rPr>
        <w:t>编制占用率99.68%，发挥了资源的最大效益。</w:t>
      </w:r>
    </w:p>
    <w:p>
      <w:pPr>
        <w:pStyle w:val="2"/>
        <w:keepNext w:val="0"/>
        <w:keepLines w:val="0"/>
        <w:pageBreakBefore w:val="0"/>
        <w:widowControl w:val="0"/>
        <w:numPr>
          <w:ilvl w:val="0"/>
          <w:numId w:val="0"/>
        </w:numPr>
        <w:kinsoku/>
        <w:wordWrap/>
        <w:autoSpaceDE/>
        <w:autoSpaceDN/>
        <w:bidi w:val="0"/>
        <w:adjustRightInd/>
        <w:snapToGrid/>
        <w:spacing w:after="0" w:line="576" w:lineRule="exact"/>
        <w:ind w:firstLine="640" w:firstLineChars="200"/>
        <w:textAlignment w:val="auto"/>
        <w:rPr>
          <w:rFonts w:hint="default" w:ascii="Times New Roman" w:hAnsi="Times New Roman" w:eastAsia="仿宋_GB2312" w:cs="Times New Roman"/>
          <w:sz w:val="32"/>
          <w:szCs w:val="32"/>
        </w:rPr>
      </w:pPr>
      <w:r>
        <w:rPr>
          <w:rStyle w:val="18"/>
          <w:rFonts w:hint="default" w:ascii="Times New Roman" w:hAnsi="Times New Roman" w:eastAsia="仿宋_GB2312" w:cs="Times New Roman"/>
          <w:sz w:val="32"/>
          <w:szCs w:val="32"/>
        </w:rPr>
        <w:t>加强机构编制违规违纪违法行为的预防教育。将</w:t>
      </w:r>
      <w:r>
        <w:rPr>
          <w:rFonts w:hint="default" w:ascii="Times New Roman" w:hAnsi="Times New Roman" w:eastAsia="仿宋_GB2312" w:cs="Times New Roman"/>
          <w:color w:val="auto"/>
          <w:kern w:val="2"/>
          <w:sz w:val="32"/>
          <w:szCs w:val="32"/>
        </w:rPr>
        <w:t>机构编制法规制度和纪律规定纳入常委会、理论学习中心组、党校主体班学习内容，在全区2023年乡科级领导干部进修班等多个班次开展专题辅导，切实提高领导干部机构编制纪律意识；严守改革期间有关机构编制工作纪律。</w:t>
      </w:r>
      <w:r>
        <w:rPr>
          <w:rStyle w:val="18"/>
          <w:rFonts w:hint="default" w:ascii="Times New Roman" w:hAnsi="Times New Roman" w:eastAsia="仿宋_GB2312" w:cs="Times New Roman"/>
          <w:sz w:val="32"/>
          <w:szCs w:val="32"/>
        </w:rPr>
        <w:t>在全面准确把握上级有关精神的基础上，结合我区实际，</w:t>
      </w:r>
      <w:r>
        <w:rPr>
          <w:rFonts w:hint="default" w:ascii="Times New Roman" w:hAnsi="Times New Roman" w:eastAsia="仿宋_GB2312" w:cs="Times New Roman"/>
          <w:color w:val="auto"/>
          <w:sz w:val="32"/>
          <w:szCs w:val="32"/>
          <w:shd w:val="clear" w:color="auto" w:fill="FFFFFF"/>
        </w:rPr>
        <w:t>制发</w:t>
      </w:r>
      <w:r>
        <w:rPr>
          <w:rFonts w:hint="default" w:ascii="Times New Roman" w:hAnsi="Times New Roman" w:eastAsia="仿宋_GB2312" w:cs="Times New Roman"/>
          <w:color w:val="000000"/>
          <w:sz w:val="32"/>
          <w:szCs w:val="32"/>
        </w:rPr>
        <w:t>《关于规范机构改革期间机构编制服务保障工作的通知》，严控</w:t>
      </w:r>
      <w:r>
        <w:rPr>
          <w:rFonts w:hint="default" w:ascii="Times New Roman" w:hAnsi="Times New Roman" w:eastAsia="仿宋_GB2312" w:cs="Times New Roman"/>
          <w:color w:val="auto"/>
          <w:sz w:val="32"/>
          <w:szCs w:val="32"/>
          <w:shd w:val="clear" w:color="auto" w:fill="FFFFFF"/>
        </w:rPr>
        <w:t>影响年度超编消化任务的区外调入人员</w:t>
      </w:r>
      <w:r>
        <w:rPr>
          <w:rFonts w:hint="default" w:ascii="Times New Roman" w:hAnsi="Times New Roman" w:eastAsia="仿宋_GB2312" w:cs="Times New Roman"/>
          <w:color w:val="000000"/>
          <w:sz w:val="32"/>
          <w:szCs w:val="32"/>
        </w:rPr>
        <w:t>，加强历史遗留问题的消化整改，确保改革期间有关机构编制工作有序规范办理；</w:t>
      </w:r>
      <w:r>
        <w:rPr>
          <w:rFonts w:hint="default" w:ascii="Times New Roman" w:hAnsi="Times New Roman" w:eastAsia="仿宋_GB2312" w:cs="Times New Roman"/>
          <w:sz w:val="32"/>
          <w:szCs w:val="32"/>
        </w:rPr>
        <w:t>配合完成参照管理单位清理。根据省市区关于参照管理单位清理有关工作要求，积极配合区委组织部完成相关清理工作。共计查找、复印46个单位参照管理事业单位成立、更名、整合、撤销、职责编制调整等各类机构编制文件120余份，对文件不齐全、零编运行、名称不一致的，撰写各类情况说明5份次，为省委组织部重新认定参照管理单位奠定了坚实基础；强化机构编制实名制和事业单位登记管理。稳步推进机构编制实名制登记“不见面”办理模式，严格机构编制实名制数据管理，机构编制统计工作“精准化”“科学化”“规范化”水平进一步提升，2022年全区机构编制统计工作受到市委编办通报表扬。加强事业单位登记管理，全年累计办理118家机关群团事业单位各类登记业务，其中设立6家，变更61家，补领3家，到期换领28家，注销20家，制作各类公告69条。全面完成区防灾减灾应急指挥保障中心等10家事业单位信用等级评定和区养老服务中心等5家事业单位绩效评估，高效推进机关事业单位中文域名清理、网站资格审核和加挂标识以及中文域名注册续费工作，全覆盖、常态化开展“双随机、一公开”监管，年度报告公示事项、网上名称管理准确、规范、合法。</w:t>
      </w:r>
    </w:p>
    <w:p>
      <w:pPr>
        <w:pStyle w:val="5"/>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default" w:ascii="Times New Roman" w:hAnsi="Times New Roman" w:cs="Times New Roman"/>
          <w:kern w:val="2"/>
          <w:sz w:val="32"/>
          <w:szCs w:val="24"/>
        </w:rPr>
      </w:pPr>
      <w:r>
        <w:rPr>
          <w:rFonts w:hint="default" w:ascii="Times New Roman" w:hAnsi="Times New Roman" w:eastAsia="黑体" w:cs="Times New Roman"/>
          <w:color w:val="000000"/>
          <w:kern w:val="2"/>
          <w:sz w:val="32"/>
          <w:szCs w:val="24"/>
        </w:rPr>
        <w:t>二、机</w:t>
      </w:r>
      <w:r>
        <w:rPr>
          <w:rFonts w:hint="default" w:ascii="Times New Roman" w:hAnsi="Times New Roman" w:eastAsia="黑体" w:cs="Times New Roman"/>
          <w:kern w:val="2"/>
          <w:sz w:val="32"/>
          <w:szCs w:val="24"/>
        </w:rPr>
        <w:t>构设置</w:t>
      </w:r>
    </w:p>
    <w:p>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default" w:ascii="Times New Roman" w:hAnsi="Times New Roman" w:eastAsia="仿宋_GB2312" w:cs="Times New Roman"/>
          <w:kern w:val="2"/>
          <w:sz w:val="32"/>
          <w:szCs w:val="24"/>
        </w:rPr>
      </w:pPr>
      <w:r>
        <w:rPr>
          <w:rFonts w:hint="default" w:ascii="Times New Roman" w:hAnsi="Times New Roman" w:eastAsia="仿宋_GB2312" w:cs="Times New Roman"/>
          <w:kern w:val="2"/>
          <w:sz w:val="32"/>
          <w:szCs w:val="24"/>
        </w:rPr>
        <w:t>中共广元市昭化区委机构编制委员会办公室属于一级预算单位，无二级预算单位，下设独立编制机构1个，其中行政机构1个，参照公务员法管理的事业机构1个，其他事业机构0个。</w:t>
      </w:r>
    </w:p>
    <w:p>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default" w:ascii="Times New Roman" w:hAnsi="Times New Roman" w:eastAsia="仿宋_GB2312" w:cs="Times New Roman"/>
          <w:color w:val="000000"/>
          <w:sz w:val="32"/>
          <w:szCs w:val="24"/>
        </w:rPr>
      </w:pPr>
      <w:r>
        <w:rPr>
          <w:rFonts w:hint="default" w:ascii="Times New Roman" w:hAnsi="Times New Roman" w:eastAsia="仿宋_GB2312" w:cs="Times New Roman"/>
          <w:color w:val="000000"/>
          <w:sz w:val="32"/>
          <w:szCs w:val="24"/>
        </w:rPr>
        <w:t>纳入2023年度单位决算编制范围的独立编制机构包括：</w:t>
      </w:r>
      <w:r>
        <w:rPr>
          <w:rFonts w:hint="default" w:ascii="Times New Roman" w:hAnsi="Times New Roman" w:eastAsia="仿宋_GB2312" w:cs="Times New Roman"/>
          <w:kern w:val="2"/>
          <w:sz w:val="32"/>
          <w:szCs w:val="24"/>
        </w:rPr>
        <w:t>中共广元市昭化区委机构编制委员会办公室。</w:t>
      </w:r>
    </w:p>
    <w:p>
      <w:pPr>
        <w:overflowPunct w:val="0"/>
        <w:topLinePunct/>
        <w:jc w:val="center"/>
        <w:rPr>
          <w:rFonts w:hint="eastAsia" w:ascii="方正小标宋简体" w:eastAsia="方正小标宋简体"/>
          <w:sz w:val="44"/>
          <w:szCs w:val="44"/>
        </w:rPr>
      </w:pPr>
    </w:p>
    <w:p>
      <w:pPr>
        <w:pStyle w:val="2"/>
        <w:rPr>
          <w:rFonts w:hint="eastAsia"/>
        </w:rPr>
      </w:pPr>
    </w:p>
    <w:p>
      <w:pPr>
        <w:keepNext w:val="0"/>
        <w:keepLines w:val="0"/>
        <w:pageBreakBefore w:val="0"/>
        <w:widowControl w:val="0"/>
        <w:kinsoku/>
        <w:wordWrap/>
        <w:overflowPunct w:val="0"/>
        <w:topLinePunct/>
        <w:autoSpaceDE w:val="0"/>
        <w:autoSpaceDN w:val="0"/>
        <w:bidi w:val="0"/>
        <w:adjustRightInd w:val="0"/>
        <w:snapToGrid/>
        <w:spacing w:line="576" w:lineRule="exact"/>
        <w:ind w:left="0" w:leftChars="0" w:firstLine="0" w:firstLineChars="0"/>
        <w:jc w:val="center"/>
        <w:textAlignment w:val="auto"/>
        <w:rPr>
          <w:rFonts w:hint="default" w:ascii="Times New Roman" w:hAnsi="Times New Roman" w:cs="Times New Roman"/>
          <w:sz w:val="30"/>
          <w:szCs w:val="24"/>
        </w:rPr>
      </w:pPr>
      <w:r>
        <w:rPr>
          <w:rFonts w:hint="default" w:ascii="Times New Roman" w:hAnsi="Times New Roman" w:eastAsia="方正小标宋简体" w:cs="Times New Roman"/>
          <w:sz w:val="44"/>
          <w:szCs w:val="44"/>
        </w:rPr>
        <w:t>第二部分</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2023年度单位决算情况说明</w:t>
      </w:r>
    </w:p>
    <w:p>
      <w:pPr>
        <w:pStyle w:val="5"/>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黑体" w:cs="Times New Roman"/>
          <w:color w:val="000000"/>
          <w:kern w:val="2"/>
          <w:sz w:val="32"/>
          <w:szCs w:val="24"/>
        </w:rPr>
      </w:pPr>
    </w:p>
    <w:p>
      <w:pPr>
        <w:pStyle w:val="5"/>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黑体" w:cs="Times New Roman"/>
          <w:kern w:val="2"/>
          <w:sz w:val="32"/>
          <w:szCs w:val="24"/>
        </w:rPr>
      </w:pPr>
      <w:r>
        <w:rPr>
          <w:rFonts w:hint="default" w:ascii="Times New Roman" w:hAnsi="Times New Roman" w:eastAsia="黑体" w:cs="Times New Roman"/>
          <w:color w:val="000000"/>
          <w:kern w:val="2"/>
          <w:sz w:val="32"/>
          <w:szCs w:val="24"/>
        </w:rPr>
        <w:t>一、收</w:t>
      </w:r>
      <w:r>
        <w:rPr>
          <w:rFonts w:hint="default" w:ascii="Times New Roman" w:hAnsi="Times New Roman" w:eastAsia="黑体" w:cs="Times New Roman"/>
          <w:kern w:val="2"/>
          <w:sz w:val="32"/>
          <w:szCs w:val="24"/>
        </w:rPr>
        <w:t>入支出决算总体情况说明</w:t>
      </w:r>
    </w:p>
    <w:p>
      <w:pPr>
        <w:keepNext w:val="0"/>
        <w:keepLines w:val="0"/>
        <w:pageBreakBefore w:val="0"/>
        <w:widowControl w:val="0"/>
        <w:kinsoku/>
        <w:wordWrap/>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2023年度收、支总计均为281.5万元。与2022年度相比，收、支总计各增加40.53万元，增长16.8%。主要变动原因是</w:t>
      </w:r>
      <w:r>
        <w:rPr>
          <w:rFonts w:hint="default" w:ascii="Times New Roman" w:hAnsi="Times New Roman" w:eastAsia="仿宋_GB2312" w:cs="Times New Roman"/>
          <w:kern w:val="2"/>
          <w:sz w:val="32"/>
          <w:szCs w:val="32"/>
        </w:rPr>
        <w:t>增加丧葬抚恤和遗属补助支出、干部职务职级晋升。</w:t>
      </w:r>
    </w:p>
    <w:p>
      <w:pPr>
        <w:pStyle w:val="6"/>
        <w:jc w:val="center"/>
        <w:rPr>
          <w:rFonts w:hint="eastAsia" w:hAnsi="仿宋_GB2312"/>
          <w:color w:val="000000"/>
          <w:kern w:val="2"/>
          <w:sz w:val="32"/>
          <w:szCs w:val="24"/>
          <w:highlight w:val="yellow"/>
        </w:rPr>
      </w:pPr>
      <w:r>
        <w:rPr>
          <w:rFonts w:hint="default" w:hAnsi="仿宋_GB2312"/>
          <w:color w:val="000000"/>
          <w:kern w:val="2"/>
          <w:sz w:val="32"/>
          <w:szCs w:val="24"/>
          <w:highlight w:val="yellow"/>
        </w:rPr>
        <w:object>
          <v:shape id="_x0000_i1025" o:spt="75" type="#_x0000_t75" style="height:233.25pt;width:406.8pt;" o:ole="t" filled="f" o:preferrelative="t" stroked="f" coordsize="21600,21600">
            <v:path/>
            <v:fill on="f" focussize="0,0"/>
            <v:stroke on="f"/>
            <v:imagedata r:id="rId8" o:title=""/>
            <o:lock v:ext="edit" aspectratio="t"/>
            <w10:wrap type="none"/>
            <w10:anchorlock/>
          </v:shape>
          <o:OLEObject Type="Embed" ProgID="Excel.Chart.8" ShapeID="_x0000_i1025" DrawAspect="Content" ObjectID="_1468075725" r:id="rId7">
            <o:LockedField>false</o:LockedField>
          </o:OLEObject>
        </w:object>
      </w:r>
    </w:p>
    <w:p>
      <w:pPr>
        <w:pStyle w:val="6"/>
        <w:ind w:firstLine="1280" w:firstLineChars="400"/>
        <w:rPr>
          <w:rFonts w:hint="eastAsia" w:hAnsi="仿宋_GB2312"/>
          <w:color w:val="000000"/>
          <w:kern w:val="2"/>
          <w:sz w:val="32"/>
          <w:szCs w:val="24"/>
        </w:rPr>
      </w:pPr>
      <w:r>
        <w:rPr>
          <w:rFonts w:hint="eastAsia" w:hAnsi="仿宋_GB2312"/>
          <w:color w:val="000000"/>
          <w:kern w:val="2"/>
          <w:sz w:val="32"/>
          <w:szCs w:val="24"/>
        </w:rPr>
        <w:t>图1：收、支决算总计变动情况图</w:t>
      </w:r>
    </w:p>
    <w:p>
      <w:pPr>
        <w:pStyle w:val="6"/>
        <w:rPr>
          <w:rFonts w:hint="eastAsia" w:hAnsi="仿宋_GB2312"/>
          <w:color w:val="000000"/>
          <w:kern w:val="2"/>
          <w:sz w:val="32"/>
          <w:szCs w:val="24"/>
          <w:highlight w:val="yellow"/>
        </w:rPr>
      </w:pPr>
    </w:p>
    <w:p>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eastAsia" w:ascii="仿宋_GB2312" w:hAnsi="仿宋_GB2312" w:eastAsia="仿宋_GB2312"/>
          <w:color w:val="000000"/>
          <w:kern w:val="2"/>
          <w:sz w:val="32"/>
          <w:szCs w:val="24"/>
        </w:rPr>
      </w:pPr>
      <w:r>
        <w:rPr>
          <w:rFonts w:hint="default" w:ascii="Times New Roman" w:hAnsi="Times New Roman" w:eastAsia="仿宋_GB2312" w:cs="Times New Roman"/>
          <w:color w:val="000000"/>
          <w:kern w:val="2"/>
          <w:sz w:val="32"/>
          <w:szCs w:val="24"/>
        </w:rPr>
        <w:t>2023年本年收入合计281.5万元，其中：一般公共预算财政拨款收入281.5万元，占100%。</w:t>
      </w:r>
    </w:p>
    <w:p>
      <w:pPr>
        <w:pStyle w:val="6"/>
        <w:jc w:val="center"/>
        <w:rPr>
          <w:rFonts w:hint="eastAsia" w:hAnsi="仿宋_GB2312"/>
          <w:color w:val="000000"/>
          <w:kern w:val="2"/>
          <w:sz w:val="32"/>
          <w:szCs w:val="24"/>
        </w:rPr>
      </w:pPr>
      <w:r>
        <w:rPr>
          <w:rFonts w:hint="default" w:eastAsia="仿宋"/>
          <w:sz w:val="30"/>
          <w:szCs w:val="24"/>
        </w:rPr>
        <w:object>
          <v:shape id="_x0000_i1026" o:spt="75" type="#_x0000_t75" style="height:191.4pt;width:349.5pt;" o:ole="t" filled="f" o:preferrelative="t" stroked="f" coordsize="21600,21600">
            <v:path/>
            <v:fill on="f" focussize="0,0"/>
            <v:stroke on="f"/>
            <v:imagedata r:id="rId10" o:title=""/>
            <o:lock v:ext="edit" aspectratio="t"/>
            <w10:wrap type="none"/>
            <w10:anchorlock/>
          </v:shape>
          <o:OLEObject Type="Embed" ProgID="Excel.Sheet.8" ShapeID="_x0000_i1026" DrawAspect="Content" ObjectID="_1468075726" r:id="rId9">
            <o:LockedField>false</o:LockedField>
          </o:OLEObject>
        </w:object>
      </w:r>
    </w:p>
    <w:p>
      <w:pPr>
        <w:overflowPunct w:val="0"/>
        <w:topLinePunct/>
        <w:spacing w:line="576" w:lineRule="exact"/>
        <w:ind w:firstLine="1280" w:firstLineChars="4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图2：收入决算结构图</w:t>
      </w:r>
    </w:p>
    <w:p>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cs="Times New Roman"/>
          <w:color w:val="000000"/>
          <w:kern w:val="2"/>
          <w:sz w:val="32"/>
          <w:szCs w:val="24"/>
        </w:rPr>
      </w:pPr>
      <w:r>
        <w:rPr>
          <w:rFonts w:hint="default" w:ascii="Times New Roman" w:hAnsi="Times New Roman" w:eastAsia="仿宋_GB2312" w:cs="Times New Roman"/>
          <w:color w:val="000000"/>
          <w:kern w:val="2"/>
          <w:sz w:val="32"/>
          <w:szCs w:val="24"/>
        </w:rPr>
        <w:t>2023年本年支出合计281.5万元，其中：基本支出218.72万元，占77.7%；项目支出62.78万元，占22.3%。</w:t>
      </w:r>
    </w:p>
    <w:p>
      <w:pPr>
        <w:pStyle w:val="6"/>
        <w:jc w:val="center"/>
        <w:rPr>
          <w:rFonts w:hint="default" w:hAnsi="仿宋_GB2312"/>
          <w:color w:val="000000"/>
          <w:kern w:val="2"/>
          <w:sz w:val="32"/>
          <w:szCs w:val="24"/>
        </w:rPr>
      </w:pPr>
      <w:r>
        <w:rPr>
          <w:rFonts w:hint="default" w:hAnsi="仿宋_GB2312"/>
          <w:color w:val="000000"/>
          <w:kern w:val="2"/>
          <w:sz w:val="32"/>
          <w:szCs w:val="24"/>
        </w:rPr>
        <w:object>
          <v:shape id="_x0000_i1033" o:spt="75" type="#_x0000_t75" style="height:184.15pt;width:341.25pt;" o:ole="t" filled="f" o:preferrelative="t" stroked="f" coordsize="21600,21600">
            <v:path/>
            <v:fill on="f" focussize="0,0"/>
            <v:stroke on="f"/>
            <v:imagedata r:id="rId12" o:title=""/>
            <o:lock v:ext="edit" aspectratio="t"/>
            <w10:wrap type="none"/>
            <w10:anchorlock/>
          </v:shape>
          <o:OLEObject Type="Embed" ProgID="Excel.Chart.8" ShapeID="_x0000_i1033" DrawAspect="Content" ObjectID="_1468075727" r:id="rId11">
            <o:LockedField>false</o:LockedField>
          </o:OLEObject>
        </w:object>
      </w:r>
    </w:p>
    <w:p>
      <w:pPr>
        <w:pStyle w:val="6"/>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图3：支出决算结构图</w:t>
      </w:r>
    </w:p>
    <w:p>
      <w:pPr>
        <w:overflowPunct w:val="0"/>
        <w:topLinePunct/>
        <w:spacing w:line="576" w:lineRule="exact"/>
        <w:ind w:firstLine="640" w:firstLineChars="200"/>
        <w:jc w:val="both"/>
        <w:rPr>
          <w:rFonts w:hint="eastAsia" w:ascii="黑体" w:hAnsi="黑体" w:eastAsia="黑体"/>
          <w:color w:val="000000"/>
          <w:kern w:val="2"/>
          <w:sz w:val="32"/>
          <w:szCs w:val="24"/>
        </w:rPr>
      </w:pPr>
    </w:p>
    <w:p>
      <w:pPr>
        <w:overflowPunct w:val="0"/>
        <w:topLinePunct/>
        <w:spacing w:line="576" w:lineRule="exact"/>
        <w:ind w:firstLine="640" w:firstLineChars="200"/>
        <w:jc w:val="both"/>
        <w:rPr>
          <w:rFonts w:hint="eastAsia" w:ascii="黑体" w:hAnsi="黑体" w:eastAsia="黑体"/>
          <w:color w:val="000000"/>
          <w:kern w:val="2"/>
          <w:sz w:val="32"/>
          <w:szCs w:val="24"/>
        </w:rPr>
      </w:pPr>
    </w:p>
    <w:p>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2023年度财政拨款收、支总计均为281.5万元。与2022年度相比，财政拨款收、支总计各增加40.53万元，增长16.8%。主要变动原因是</w:t>
      </w:r>
      <w:r>
        <w:rPr>
          <w:rFonts w:hint="default" w:ascii="Times New Roman" w:hAnsi="Times New Roman" w:eastAsia="仿宋_GB2312" w:cs="Times New Roman"/>
          <w:kern w:val="2"/>
          <w:sz w:val="32"/>
          <w:szCs w:val="32"/>
        </w:rPr>
        <w:t>增加丧葬抚恤和遗属补助支出、干部职务职级晋升</w:t>
      </w:r>
      <w:r>
        <w:rPr>
          <w:rFonts w:hint="default" w:ascii="Times New Roman" w:hAnsi="Times New Roman" w:eastAsia="仿宋_GB2312" w:cs="Times New Roman"/>
          <w:color w:val="000000"/>
          <w:kern w:val="2"/>
          <w:sz w:val="32"/>
          <w:szCs w:val="24"/>
        </w:rPr>
        <w:t>。</w:t>
      </w:r>
    </w:p>
    <w:p>
      <w:pPr>
        <w:pStyle w:val="6"/>
        <w:jc w:val="center"/>
        <w:rPr>
          <w:rFonts w:hint="eastAsia" w:hAnsi="仿宋_GB2312"/>
          <w:color w:val="000000"/>
          <w:kern w:val="2"/>
          <w:sz w:val="32"/>
          <w:szCs w:val="24"/>
        </w:rPr>
      </w:pPr>
      <w:r>
        <w:rPr>
          <w:rFonts w:hint="default" w:hAnsi="仿宋_GB2312"/>
          <w:color w:val="000000"/>
          <w:kern w:val="2"/>
          <w:sz w:val="32"/>
          <w:szCs w:val="24"/>
          <w:highlight w:val="yellow"/>
        </w:rPr>
        <w:object>
          <v:shape id="_x0000_i1028" o:spt="75" type="#_x0000_t75" style="height:227.8pt;width:430.25pt;" o:ole="t" filled="f" o:preferrelative="t" stroked="f" coordsize="21600,21600">
            <v:path/>
            <v:fill on="f" focussize="0,0"/>
            <v:stroke on="f"/>
            <v:imagedata r:id="rId14" o:title=""/>
            <o:lock v:ext="edit" aspectratio="t"/>
            <w10:wrap type="none"/>
            <w10:anchorlock/>
          </v:shape>
          <o:OLEObject Type="Embed" ProgID="Excel.Chart.8" ShapeID="_x0000_i1028" DrawAspect="Content" ObjectID="_1468075728" r:id="rId13">
            <o:LockedField>false</o:LockedField>
          </o:OLEObject>
        </w:object>
      </w:r>
      <w:r>
        <w:rPr>
          <w:rFonts w:hint="eastAsia" w:hAnsi="仿宋_GB2312"/>
          <w:color w:val="000000"/>
          <w:kern w:val="2"/>
          <w:sz w:val="32"/>
          <w:szCs w:val="24"/>
        </w:rPr>
        <w:t xml:space="preserve">            </w:t>
      </w:r>
      <w:r>
        <w:rPr>
          <w:rFonts w:hint="default" w:ascii="Times New Roman" w:hAnsi="Times New Roman" w:cs="Times New Roman"/>
          <w:color w:val="000000"/>
          <w:kern w:val="2"/>
          <w:sz w:val="32"/>
          <w:szCs w:val="24"/>
        </w:rPr>
        <w:t>图4：财政拨款收、支决算总计变动情况</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黑体" w:cs="Times New Roman"/>
          <w:kern w:val="2"/>
          <w:sz w:val="32"/>
          <w:szCs w:val="24"/>
        </w:rPr>
      </w:pPr>
      <w:r>
        <w:rPr>
          <w:rFonts w:hint="default" w:ascii="Times New Roman" w:hAnsi="Times New Roman" w:eastAsia="黑体" w:cs="Times New Roman"/>
          <w:color w:val="000000"/>
          <w:kern w:val="2"/>
          <w:sz w:val="32"/>
          <w:szCs w:val="24"/>
        </w:rPr>
        <w:t>五、</w:t>
      </w:r>
      <w:r>
        <w:rPr>
          <w:rFonts w:hint="default" w:ascii="Times New Roman" w:hAnsi="Times New Roman" w:eastAsia="黑体" w:cs="Times New Roman"/>
          <w:b/>
          <w:color w:val="000000"/>
          <w:kern w:val="2"/>
          <w:sz w:val="32"/>
          <w:szCs w:val="24"/>
        </w:rPr>
        <w:t>一</w:t>
      </w:r>
      <w:r>
        <w:rPr>
          <w:rFonts w:hint="default" w:ascii="Times New Roman" w:hAnsi="Times New Roman" w:eastAsia="黑体" w:cs="Times New Roman"/>
          <w:kern w:val="2"/>
          <w:sz w:val="32"/>
          <w:szCs w:val="24"/>
        </w:rPr>
        <w:t>般公共预算财政拨款支出决算情况说明</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楷体_GB2312" w:cs="Times New Roman"/>
          <w:b w:val="0"/>
          <w:bCs/>
          <w:color w:val="000000"/>
          <w:kern w:val="2"/>
          <w:sz w:val="32"/>
          <w:szCs w:val="24"/>
        </w:rPr>
      </w:pPr>
      <w:r>
        <w:rPr>
          <w:rFonts w:hint="default" w:ascii="Times New Roman" w:hAnsi="Times New Roman" w:eastAsia="楷体_GB2312" w:cs="Times New Roman"/>
          <w:b w:val="0"/>
          <w:bCs/>
          <w:color w:val="000000"/>
          <w:kern w:val="2"/>
          <w:sz w:val="32"/>
          <w:szCs w:val="24"/>
        </w:rPr>
        <w:t>（一）一般公共预算财政拨款支出决算总体情况</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2023年度一般公共预算财政拨款支出281.5万元，占本年支出合计的100%。与2022年度相比，一般公共预算财政拨款支出增加40.53万元，增长16.8%。主要变动原因是</w:t>
      </w:r>
      <w:r>
        <w:rPr>
          <w:rFonts w:hint="default" w:ascii="Times New Roman" w:hAnsi="Times New Roman" w:eastAsia="仿宋_GB2312" w:cs="Times New Roman"/>
          <w:kern w:val="2"/>
          <w:sz w:val="32"/>
          <w:szCs w:val="32"/>
        </w:rPr>
        <w:t>增加丧葬抚恤和遗属补助支出、干部职务职级晋升</w:t>
      </w:r>
      <w:r>
        <w:rPr>
          <w:rFonts w:hint="default" w:ascii="Times New Roman" w:hAnsi="Times New Roman" w:eastAsia="仿宋_GB2312" w:cs="Times New Roman"/>
          <w:color w:val="000000"/>
          <w:kern w:val="2"/>
          <w:sz w:val="32"/>
          <w:szCs w:val="24"/>
        </w:rPr>
        <w:t>。</w:t>
      </w:r>
    </w:p>
    <w:p>
      <w:pPr>
        <w:pStyle w:val="6"/>
        <w:jc w:val="center"/>
        <w:rPr>
          <w:rFonts w:hint="eastAsia" w:hAnsi="仿宋_GB2312"/>
          <w:color w:val="000000"/>
          <w:kern w:val="2"/>
          <w:sz w:val="32"/>
          <w:szCs w:val="24"/>
          <w:highlight w:val="yellow"/>
        </w:rPr>
      </w:pPr>
      <w:r>
        <w:rPr>
          <w:rFonts w:hint="default" w:hAnsi="仿宋_GB2312"/>
          <w:color w:val="000000"/>
          <w:kern w:val="2"/>
          <w:sz w:val="32"/>
          <w:szCs w:val="24"/>
          <w:highlight w:val="yellow"/>
        </w:rPr>
        <w:object>
          <v:shape id="_x0000_i1029" o:spt="75" type="#_x0000_t75" style="height:197.15pt;width:353.1pt;" o:ole="t" filled="f" o:preferrelative="t" stroked="f" coordsize="21600,21600">
            <v:path/>
            <v:fill on="f" focussize="0,0"/>
            <v:stroke on="f"/>
            <v:imagedata r:id="rId16" o:title=""/>
            <o:lock v:ext="edit" aspectratio="t"/>
            <w10:wrap type="none"/>
            <w10:anchorlock/>
          </v:shape>
          <o:OLEObject Type="Embed" ProgID="Excel.Chart.8" ShapeID="_x0000_i1029" DrawAspect="Content" ObjectID="_1468075729" r:id="rId15">
            <o:LockedField>false</o:LockedField>
          </o:OLEObject>
        </w:objec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center"/>
        <w:textAlignment w:val="auto"/>
        <w:rPr>
          <w:rFonts w:hint="default" w:ascii="Times New Roman" w:hAnsi="Times New Roman" w:eastAsia="仿宋_GB2312" w:cs="Times New Roman"/>
          <w:i/>
          <w:color w:val="000000"/>
          <w:kern w:val="2"/>
          <w:sz w:val="32"/>
          <w:szCs w:val="24"/>
          <w:highlight w:val="yellow"/>
        </w:rPr>
      </w:pPr>
      <w:r>
        <w:rPr>
          <w:rFonts w:hint="default" w:ascii="Times New Roman" w:hAnsi="Times New Roman" w:eastAsia="仿宋_GB2312" w:cs="Times New Roman"/>
          <w:color w:val="000000"/>
          <w:kern w:val="2"/>
          <w:sz w:val="32"/>
          <w:szCs w:val="24"/>
        </w:rPr>
        <w:t>图5：一般公共预算财政拨款支出决算变动情况</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楷体_GB2312" w:cs="Times New Roman"/>
          <w:b w:val="0"/>
          <w:bCs/>
          <w:color w:val="000000"/>
          <w:kern w:val="2"/>
          <w:sz w:val="32"/>
          <w:szCs w:val="24"/>
        </w:rPr>
      </w:pPr>
      <w:r>
        <w:rPr>
          <w:rFonts w:hint="default" w:ascii="Times New Roman" w:hAnsi="Times New Roman" w:eastAsia="楷体_GB2312" w:cs="Times New Roman"/>
          <w:b w:val="0"/>
          <w:bCs/>
          <w:color w:val="000000"/>
          <w:kern w:val="2"/>
          <w:sz w:val="32"/>
          <w:szCs w:val="24"/>
        </w:rPr>
        <w:t>（二）一般公共预算财政拨款支出决算结构情况</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eastAsia" w:ascii="仿宋_GB2312" w:hAnsi="仿宋_GB2312" w:eastAsia="仿宋_GB2312"/>
          <w:color w:val="000000"/>
          <w:kern w:val="2"/>
          <w:sz w:val="32"/>
          <w:szCs w:val="24"/>
        </w:rPr>
      </w:pPr>
      <w:r>
        <w:rPr>
          <w:rFonts w:hint="default" w:ascii="Times New Roman" w:hAnsi="Times New Roman" w:eastAsia="仿宋_GB2312" w:cs="Times New Roman"/>
          <w:color w:val="000000"/>
          <w:kern w:val="2"/>
          <w:sz w:val="32"/>
          <w:szCs w:val="24"/>
        </w:rPr>
        <w:t>2023年度一般公共预算财政拨款支出281.5万元，主要用于以下方面:一般公共服务支出212.9万元，占75.6%；社会保障和就业支出44.29万元，占15.8%；卫生健康支出8.18万元，占2.9%；住房保障支出16.13万元，占5.7%。</w:t>
      </w:r>
    </w:p>
    <w:p>
      <w:pPr>
        <w:pStyle w:val="6"/>
        <w:jc w:val="center"/>
        <w:rPr>
          <w:rFonts w:hint="default" w:hAnsi="仿宋_GB2312"/>
          <w:color w:val="000000"/>
          <w:kern w:val="2"/>
          <w:sz w:val="32"/>
          <w:szCs w:val="24"/>
        </w:rPr>
      </w:pPr>
      <w:r>
        <w:rPr>
          <w:rFonts w:hint="default" w:hAnsi="仿宋_GB2312"/>
          <w:color w:val="000000"/>
          <w:kern w:val="2"/>
          <w:sz w:val="32"/>
          <w:szCs w:val="24"/>
        </w:rPr>
        <w:object>
          <v:shape id="_x0000_i1037" o:spt="75" type="#_x0000_t75" style="height:173.85pt;width:330.8pt;" o:ole="t" filled="f" o:preferrelative="t" stroked="f" coordsize="21600,21600">
            <v:path/>
            <v:fill on="f" focussize="0,0"/>
            <v:stroke on="f"/>
            <v:imagedata r:id="rId18" o:title=""/>
            <o:lock v:ext="edit" aspectratio="t"/>
            <w10:wrap type="none"/>
            <w10:anchorlock/>
          </v:shape>
          <o:OLEObject Type="Embed" ProgID="Excel.Chart.8" ShapeID="_x0000_i1037" DrawAspect="Content" ObjectID="_1468075730" r:id="rId17">
            <o:LockedField>false</o:LockedField>
          </o:OLEObject>
        </w:object>
      </w:r>
    </w:p>
    <w:p>
      <w:pPr>
        <w:pStyle w:val="6"/>
        <w:jc w:val="center"/>
        <w:rPr>
          <w:rFonts w:hint="eastAsia" w:ascii="楷体_GB2312" w:hAnsi="楷体_GB2312" w:eastAsia="楷体_GB2312" w:cs="楷体_GB2312"/>
          <w:b w:val="0"/>
          <w:bCs/>
          <w:color w:val="000000"/>
          <w:kern w:val="2"/>
          <w:sz w:val="32"/>
          <w:szCs w:val="24"/>
        </w:rPr>
      </w:pPr>
      <w:r>
        <w:rPr>
          <w:rFonts w:hint="eastAsia" w:ascii="仿宋_GB2312" w:hAnsi="仿宋_GB2312" w:eastAsia="仿宋_GB2312"/>
          <w:color w:val="000000"/>
          <w:kern w:val="2"/>
          <w:sz w:val="32"/>
          <w:szCs w:val="24"/>
        </w:rPr>
        <w:t>图6：一般公共预算财政拨款支出决算结构图</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楷体_GB2312" w:cs="Times New Roman"/>
          <w:b w:val="0"/>
          <w:bCs/>
          <w:color w:val="000000"/>
          <w:kern w:val="2"/>
          <w:sz w:val="32"/>
          <w:szCs w:val="24"/>
        </w:rPr>
      </w:pPr>
      <w:r>
        <w:rPr>
          <w:rFonts w:hint="default" w:ascii="Times New Roman" w:hAnsi="Times New Roman" w:eastAsia="楷体_GB2312" w:cs="Times New Roman"/>
          <w:b w:val="0"/>
          <w:bCs/>
          <w:color w:val="000000"/>
          <w:kern w:val="2"/>
          <w:sz w:val="32"/>
          <w:szCs w:val="24"/>
        </w:rPr>
        <w:t>（三）一般公共预算财政拨款支出决算具体情况</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3" w:firstLineChars="200"/>
        <w:jc w:val="both"/>
        <w:textAlignment w:val="auto"/>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2023年度一般公共预算支出全年预算数为281.5万元，支出决算数为281.5元，完成全年预算数的100%。其中：</w:t>
      </w:r>
    </w:p>
    <w:p>
      <w:pPr>
        <w:keepNext w:val="0"/>
        <w:keepLines w:val="0"/>
        <w:pageBreakBefore w:val="0"/>
        <w:widowControl w:val="0"/>
        <w:kinsoku/>
        <w:wordWrap/>
        <w:autoSpaceDE w:val="0"/>
        <w:autoSpaceDN w:val="0"/>
        <w:bidi w:val="0"/>
        <w:adjustRightInd w:val="0"/>
        <w:snapToGrid/>
        <w:spacing w:line="576" w:lineRule="exact"/>
        <w:ind w:firstLine="640" w:firstLineChars="200"/>
        <w:jc w:val="both"/>
        <w:textAlignment w:val="auto"/>
        <w:rPr>
          <w:rFonts w:hint="default" w:ascii="Times New Roman" w:hAnsi="Times New Roman" w:eastAsia="Times New Roman" w:cs="Times New Roman"/>
          <w:kern w:val="2"/>
          <w:sz w:val="32"/>
          <w:szCs w:val="32"/>
        </w:rPr>
      </w:pPr>
      <w:r>
        <w:rPr>
          <w:rFonts w:hint="default" w:ascii="Times New Roman" w:hAnsi="Times New Roman" w:eastAsia="Times New Roman" w:cs="Times New Roman"/>
          <w:kern w:val="2"/>
          <w:sz w:val="32"/>
          <w:szCs w:val="32"/>
        </w:rPr>
        <w:t>1.</w:t>
      </w:r>
      <w:r>
        <w:rPr>
          <w:rFonts w:hint="default" w:ascii="Times New Roman" w:hAnsi="Times New Roman" w:eastAsia="仿宋_GB2312" w:cs="Times New Roman"/>
          <w:kern w:val="2"/>
          <w:sz w:val="32"/>
          <w:szCs w:val="32"/>
        </w:rPr>
        <w:t>一般公共服务（类）党委办公厅（室）及相关机构事务（款）行政事业运行（项）: 支出决算为212.9万元，完成预算100%,与预算数持平。</w:t>
      </w:r>
    </w:p>
    <w:p>
      <w:pPr>
        <w:keepNext w:val="0"/>
        <w:keepLines w:val="0"/>
        <w:pageBreakBefore w:val="0"/>
        <w:widowControl w:val="0"/>
        <w:kinsoku/>
        <w:wordWrap/>
        <w:autoSpaceDE w:val="0"/>
        <w:autoSpaceDN w:val="0"/>
        <w:bidi w:val="0"/>
        <w:adjustRightInd w:val="0"/>
        <w:snapToGrid/>
        <w:spacing w:line="576" w:lineRule="exact"/>
        <w:ind w:firstLine="640" w:firstLineChars="200"/>
        <w:jc w:val="both"/>
        <w:textAlignment w:val="auto"/>
        <w:rPr>
          <w:rFonts w:hint="default" w:ascii="Times New Roman" w:hAnsi="Times New Roman" w:eastAsia="Times New Roman" w:cs="Times New Roman"/>
          <w:kern w:val="2"/>
          <w:sz w:val="32"/>
          <w:szCs w:val="32"/>
        </w:rPr>
      </w:pPr>
      <w:r>
        <w:rPr>
          <w:rFonts w:hint="default" w:ascii="Times New Roman" w:hAnsi="Times New Roman" w:eastAsia="Times New Roman" w:cs="Times New Roman"/>
          <w:kern w:val="2"/>
          <w:sz w:val="32"/>
          <w:szCs w:val="32"/>
        </w:rPr>
        <w:t>2.</w:t>
      </w:r>
      <w:r>
        <w:rPr>
          <w:rFonts w:hint="default" w:ascii="Times New Roman" w:hAnsi="Times New Roman" w:eastAsia="仿宋_GB2312" w:cs="Times New Roman"/>
          <w:kern w:val="2"/>
          <w:sz w:val="32"/>
          <w:szCs w:val="32"/>
        </w:rPr>
        <w:t>社会保障和就业（类）行政事业单位养老支出（款）机关事业单位基本养老保险缴费支出（项）: 支出决算为16.97万元，完成预算100%，与预算数持平。</w:t>
      </w:r>
    </w:p>
    <w:p>
      <w:pPr>
        <w:keepNext w:val="0"/>
        <w:keepLines w:val="0"/>
        <w:pageBreakBefore w:val="0"/>
        <w:widowControl w:val="0"/>
        <w:kinsoku/>
        <w:wordWrap/>
        <w:autoSpaceDE w:val="0"/>
        <w:autoSpaceDN w:val="0"/>
        <w:bidi w:val="0"/>
        <w:adjustRightInd w:val="0"/>
        <w:snapToGrid/>
        <w:spacing w:line="576" w:lineRule="exact"/>
        <w:ind w:firstLine="640" w:firstLineChars="200"/>
        <w:jc w:val="both"/>
        <w:textAlignment w:val="auto"/>
        <w:rPr>
          <w:rFonts w:hint="default" w:ascii="Times New Roman" w:hAnsi="Times New Roman" w:cs="Times New Roman"/>
          <w:sz w:val="24"/>
          <w:szCs w:val="24"/>
        </w:rPr>
      </w:pPr>
      <w:r>
        <w:rPr>
          <w:rFonts w:hint="default" w:ascii="Times New Roman" w:hAnsi="Times New Roman" w:eastAsia="仿宋_GB2312" w:cs="Times New Roman"/>
          <w:kern w:val="2"/>
          <w:sz w:val="32"/>
          <w:szCs w:val="32"/>
        </w:rPr>
        <w:t>3</w:t>
      </w:r>
      <w:r>
        <w:rPr>
          <w:rFonts w:hint="default" w:ascii="Times New Roman" w:hAnsi="Times New Roman" w:eastAsia="Times New Roman" w:cs="Times New Roman"/>
          <w:kern w:val="2"/>
          <w:sz w:val="32"/>
          <w:szCs w:val="32"/>
        </w:rPr>
        <w:t>.</w:t>
      </w:r>
      <w:r>
        <w:rPr>
          <w:rFonts w:hint="default" w:ascii="Times New Roman" w:hAnsi="Times New Roman" w:eastAsia="仿宋_GB2312" w:cs="Times New Roman"/>
          <w:kern w:val="2"/>
          <w:sz w:val="32"/>
          <w:szCs w:val="32"/>
        </w:rPr>
        <w:t>社会保障和就业（类）抚恤（款）死亡抚恤支出（项）: 支出决算为26.85万元，完成预算100%，与预算数持平。</w:t>
      </w:r>
    </w:p>
    <w:p>
      <w:pPr>
        <w:keepNext w:val="0"/>
        <w:keepLines w:val="0"/>
        <w:pageBreakBefore w:val="0"/>
        <w:widowControl w:val="0"/>
        <w:kinsoku/>
        <w:wordWrap/>
        <w:autoSpaceDE w:val="0"/>
        <w:autoSpaceDN w:val="0"/>
        <w:bidi w:val="0"/>
        <w:adjustRightInd w:val="0"/>
        <w:snapToGrid/>
        <w:spacing w:line="576" w:lineRule="exact"/>
        <w:ind w:firstLine="640" w:firstLineChars="200"/>
        <w:jc w:val="both"/>
        <w:textAlignment w:val="auto"/>
        <w:rPr>
          <w:rFonts w:hint="default" w:ascii="Times New Roman" w:hAnsi="Times New Roman" w:eastAsia="Times New Roman" w:cs="Times New Roman"/>
          <w:kern w:val="2"/>
          <w:sz w:val="32"/>
          <w:szCs w:val="32"/>
        </w:rPr>
      </w:pPr>
      <w:r>
        <w:rPr>
          <w:rFonts w:hint="default" w:ascii="Times New Roman" w:hAnsi="Times New Roman" w:eastAsia="仿宋_GB2312" w:cs="Times New Roman"/>
          <w:kern w:val="2"/>
          <w:sz w:val="32"/>
          <w:szCs w:val="32"/>
        </w:rPr>
        <w:t>4</w:t>
      </w:r>
      <w:r>
        <w:rPr>
          <w:rFonts w:hint="default" w:ascii="Times New Roman" w:hAnsi="Times New Roman" w:eastAsia="Times New Roman" w:cs="Times New Roman"/>
          <w:kern w:val="2"/>
          <w:sz w:val="32"/>
          <w:szCs w:val="32"/>
        </w:rPr>
        <w:t>.</w:t>
      </w:r>
      <w:r>
        <w:rPr>
          <w:rFonts w:hint="default" w:ascii="Times New Roman" w:hAnsi="Times New Roman" w:eastAsia="仿宋_GB2312" w:cs="Times New Roman"/>
          <w:kern w:val="2"/>
          <w:sz w:val="32"/>
          <w:szCs w:val="32"/>
        </w:rPr>
        <w:t>社会保障和就业（类）其他社会保障和就业支出（款）其他社会保障和就业支出（项）: 支出决算为0.47万元，完成预算100%，与预算数持平。</w:t>
      </w:r>
    </w:p>
    <w:p>
      <w:pPr>
        <w:keepNext w:val="0"/>
        <w:keepLines w:val="0"/>
        <w:pageBreakBefore w:val="0"/>
        <w:widowControl w:val="0"/>
        <w:kinsoku/>
        <w:wordWrap/>
        <w:autoSpaceDE w:val="0"/>
        <w:autoSpaceDN w:val="0"/>
        <w:bidi w:val="0"/>
        <w:adjustRightInd w:val="0"/>
        <w:snapToGrid/>
        <w:spacing w:line="576" w:lineRule="exact"/>
        <w:ind w:firstLine="640" w:firstLineChars="200"/>
        <w:jc w:val="both"/>
        <w:textAlignment w:val="auto"/>
        <w:rPr>
          <w:rFonts w:hint="default" w:ascii="Times New Roman" w:hAnsi="Times New Roman" w:eastAsia="Times New Roman" w:cs="Times New Roman"/>
          <w:kern w:val="2"/>
          <w:sz w:val="32"/>
          <w:szCs w:val="32"/>
        </w:rPr>
      </w:pPr>
      <w:r>
        <w:rPr>
          <w:rFonts w:hint="default" w:ascii="Times New Roman" w:hAnsi="Times New Roman" w:eastAsia="仿宋_GB2312" w:cs="Times New Roman"/>
          <w:kern w:val="2"/>
          <w:sz w:val="32"/>
          <w:szCs w:val="32"/>
        </w:rPr>
        <w:t>5</w:t>
      </w:r>
      <w:r>
        <w:rPr>
          <w:rFonts w:hint="default" w:ascii="Times New Roman" w:hAnsi="Times New Roman" w:eastAsia="Times New Roman" w:cs="Times New Roman"/>
          <w:kern w:val="2"/>
          <w:sz w:val="32"/>
          <w:szCs w:val="32"/>
        </w:rPr>
        <w:t>.</w:t>
      </w:r>
      <w:r>
        <w:rPr>
          <w:rFonts w:hint="default" w:ascii="Times New Roman" w:hAnsi="Times New Roman" w:eastAsia="仿宋_GB2312" w:cs="Times New Roman"/>
          <w:kern w:val="2"/>
          <w:sz w:val="32"/>
          <w:szCs w:val="32"/>
        </w:rPr>
        <w:t>卫生健康（类）行政事业单位医疗（款）行政事业单位医疗（项）:支出决算为8.18万元，完成预算100%，与预算数持平。</w:t>
      </w:r>
    </w:p>
    <w:p>
      <w:pPr>
        <w:keepNext w:val="0"/>
        <w:keepLines w:val="0"/>
        <w:pageBreakBefore w:val="0"/>
        <w:widowControl w:val="0"/>
        <w:kinsoku/>
        <w:wordWrap/>
        <w:autoSpaceDE w:val="0"/>
        <w:autoSpaceDN w:val="0"/>
        <w:bidi w:val="0"/>
        <w:adjustRightInd w:val="0"/>
        <w:snapToGrid/>
        <w:spacing w:line="576" w:lineRule="exact"/>
        <w:ind w:firstLine="640" w:firstLineChars="200"/>
        <w:jc w:val="both"/>
        <w:textAlignment w:val="auto"/>
        <w:rPr>
          <w:rFonts w:hint="default" w:ascii="Times New Roman" w:hAnsi="Times New Roman" w:eastAsia="仿宋" w:cs="Times New Roman"/>
          <w:b/>
          <w:color w:val="auto"/>
          <w:sz w:val="32"/>
          <w:szCs w:val="32"/>
        </w:rPr>
      </w:pPr>
      <w:r>
        <w:rPr>
          <w:rFonts w:hint="default" w:ascii="Times New Roman" w:hAnsi="Times New Roman" w:eastAsia="Times New Roman" w:cs="Times New Roman"/>
          <w:kern w:val="2"/>
          <w:sz w:val="32"/>
          <w:szCs w:val="32"/>
        </w:rPr>
        <w:t>5.</w:t>
      </w:r>
      <w:r>
        <w:rPr>
          <w:rFonts w:hint="default" w:ascii="Times New Roman" w:hAnsi="Times New Roman" w:eastAsia="仿宋_GB2312" w:cs="Times New Roman"/>
          <w:kern w:val="2"/>
          <w:sz w:val="32"/>
          <w:szCs w:val="32"/>
        </w:rPr>
        <w:t>住房保障支出（类）住房改革支出（款）住房公积金（项）:支出决算数为16.13万元，完成预算100%，与预算数持平。</w:t>
      </w:r>
    </w:p>
    <w:p>
      <w:pPr>
        <w:keepNext w:val="0"/>
        <w:keepLines w:val="0"/>
        <w:pageBreakBefore w:val="0"/>
        <w:widowControl w:val="0"/>
        <w:tabs>
          <w:tab w:val="right" w:pos="8306"/>
        </w:tabs>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cs="Times New Roman"/>
          <w:b/>
          <w:kern w:val="2"/>
          <w:sz w:val="32"/>
          <w:szCs w:val="24"/>
        </w:rPr>
      </w:pPr>
      <w:r>
        <w:rPr>
          <w:rFonts w:hint="default" w:ascii="Times New Roman" w:hAnsi="Times New Roman" w:eastAsia="黑体" w:cs="Times New Roman"/>
          <w:color w:val="000000"/>
          <w:kern w:val="2"/>
          <w:sz w:val="32"/>
          <w:szCs w:val="24"/>
        </w:rPr>
        <w:t>六</w:t>
      </w:r>
      <w:r>
        <w:rPr>
          <w:rFonts w:hint="default" w:ascii="Times New Roman" w:hAnsi="Times New Roman" w:eastAsia="黑体" w:cs="Times New Roman"/>
          <w:b/>
          <w:color w:val="000000"/>
          <w:kern w:val="2"/>
          <w:sz w:val="32"/>
          <w:szCs w:val="24"/>
        </w:rPr>
        <w:t>、一</w:t>
      </w:r>
      <w:r>
        <w:rPr>
          <w:rFonts w:hint="default" w:ascii="Times New Roman" w:hAnsi="Times New Roman" w:eastAsia="黑体" w:cs="Times New Roman"/>
          <w:kern w:val="2"/>
          <w:sz w:val="32"/>
          <w:szCs w:val="24"/>
        </w:rPr>
        <w:t>般公共预算财政拨款基本支出决算情况说明</w:t>
      </w:r>
      <w:r>
        <w:rPr>
          <w:rFonts w:hint="default" w:ascii="Times New Roman" w:hAnsi="Times New Roman" w:eastAsia="黑体" w:cs="Times New Roman"/>
          <w:kern w:val="2"/>
          <w:sz w:val="32"/>
          <w:szCs w:val="24"/>
        </w:rPr>
        <w:tab/>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2023年度一般公共预算财政拨款基本支出218.72万元，其中：</w:t>
      </w:r>
    </w:p>
    <w:p>
      <w:pPr>
        <w:keepNext w:val="0"/>
        <w:keepLines w:val="0"/>
        <w:pageBreakBefore w:val="0"/>
        <w:widowControl w:val="0"/>
        <w:kinsoku/>
        <w:wordWrap/>
        <w:overflowPunct w:val="0"/>
        <w:topLinePunct/>
        <w:autoSpaceDE w:val="0"/>
        <w:autoSpaceDN w:val="0"/>
        <w:bidi w:val="0"/>
        <w:adjustRightInd w:val="0"/>
        <w:snapToGrid/>
        <w:spacing w:line="604" w:lineRule="exact"/>
        <w:ind w:firstLine="643"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人员经费</w:t>
      </w:r>
      <w:r>
        <w:rPr>
          <w:rFonts w:hint="default" w:ascii="Times New Roman" w:hAnsi="Times New Roman" w:eastAsia="仿宋_GB2312" w:cs="Times New Roman"/>
          <w:color w:val="000000"/>
          <w:kern w:val="2"/>
          <w:sz w:val="32"/>
          <w:szCs w:val="24"/>
        </w:rPr>
        <w:t>178.12万元，主要包括：基本工资53.31万元、津贴补贴28.94万元、奖金46.06万元、绩效工资8.06万元、机关事业单位基本养老保险缴费16.97万元、职工基本医疗保险缴费8.18万元、其他社会保障缴费0.47万元、住房公积金16.13万元。</w:t>
      </w:r>
    </w:p>
    <w:p>
      <w:pPr>
        <w:keepNext w:val="0"/>
        <w:keepLines w:val="0"/>
        <w:pageBreakBefore w:val="0"/>
        <w:widowControl w:val="0"/>
        <w:kinsoku/>
        <w:wordWrap/>
        <w:overflowPunct w:val="0"/>
        <w:topLinePunct/>
        <w:autoSpaceDE w:val="0"/>
        <w:autoSpaceDN w:val="0"/>
        <w:bidi w:val="0"/>
        <w:adjustRightInd w:val="0"/>
        <w:snapToGrid/>
        <w:spacing w:line="604" w:lineRule="exact"/>
        <w:ind w:firstLine="643"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公用经费</w:t>
      </w:r>
      <w:r>
        <w:rPr>
          <w:rFonts w:hint="default" w:ascii="Times New Roman" w:hAnsi="Times New Roman" w:eastAsia="仿宋_GB2312" w:cs="Times New Roman"/>
          <w:color w:val="000000"/>
          <w:kern w:val="2"/>
          <w:sz w:val="32"/>
          <w:szCs w:val="24"/>
        </w:rPr>
        <w:t>31.91万元，主要包括：办公费9.22万元、印刷费4.44万元、邮电费0.74万元、差旅费2.99万元、培训费5.27万元、公务接待费1万元、其他交通费8.25万元；</w:t>
      </w:r>
    </w:p>
    <w:p>
      <w:pPr>
        <w:keepNext w:val="0"/>
        <w:keepLines w:val="0"/>
        <w:pageBreakBefore w:val="0"/>
        <w:widowControl w:val="0"/>
        <w:kinsoku/>
        <w:wordWrap/>
        <w:overflowPunct w:val="0"/>
        <w:topLinePunct/>
        <w:autoSpaceDE w:val="0"/>
        <w:autoSpaceDN w:val="0"/>
        <w:bidi w:val="0"/>
        <w:adjustRightInd w:val="0"/>
        <w:snapToGrid/>
        <w:spacing w:line="604" w:lineRule="exact"/>
        <w:ind w:firstLine="640" w:firstLineChars="200"/>
        <w:jc w:val="both"/>
        <w:textAlignment w:val="auto"/>
        <w:rPr>
          <w:rFonts w:hint="default" w:ascii="Times New Roman" w:hAnsi="Times New Roman" w:eastAsia="黑体" w:cs="Times New Roman"/>
          <w:kern w:val="2"/>
          <w:sz w:val="32"/>
          <w:szCs w:val="24"/>
        </w:rPr>
      </w:pPr>
      <w:r>
        <w:rPr>
          <w:rFonts w:hint="default" w:ascii="Times New Roman" w:hAnsi="Times New Roman" w:eastAsia="黑体" w:cs="Times New Roman"/>
          <w:color w:val="000000"/>
          <w:kern w:val="2"/>
          <w:sz w:val="32"/>
          <w:szCs w:val="24"/>
        </w:rPr>
        <w:t>七、</w:t>
      </w:r>
      <w:r>
        <w:rPr>
          <w:rFonts w:hint="default" w:ascii="Times New Roman" w:hAnsi="Times New Roman" w:eastAsia="黑体" w:cs="Times New Roman"/>
          <w:kern w:val="2"/>
          <w:sz w:val="32"/>
          <w:szCs w:val="24"/>
        </w:rPr>
        <w:t>财政拨款</w:t>
      </w:r>
      <w:r>
        <w:rPr>
          <w:rFonts w:hint="default" w:ascii="Times New Roman" w:hAnsi="Times New Roman" w:eastAsia="黑体" w:cs="Times New Roman"/>
          <w:b/>
          <w:kern w:val="2"/>
          <w:sz w:val="32"/>
          <w:szCs w:val="24"/>
        </w:rPr>
        <w:t>“</w:t>
      </w:r>
      <w:r>
        <w:rPr>
          <w:rFonts w:hint="default" w:ascii="Times New Roman" w:hAnsi="Times New Roman" w:eastAsia="黑体" w:cs="Times New Roman"/>
          <w:kern w:val="2"/>
          <w:sz w:val="32"/>
          <w:szCs w:val="24"/>
        </w:rPr>
        <w:t>三公”经费支出决算情况说明</w:t>
      </w:r>
    </w:p>
    <w:p>
      <w:pPr>
        <w:keepNext w:val="0"/>
        <w:keepLines w:val="0"/>
        <w:pageBreakBefore w:val="0"/>
        <w:widowControl w:val="0"/>
        <w:kinsoku/>
        <w:wordWrap/>
        <w:overflowPunct w:val="0"/>
        <w:topLinePunct/>
        <w:autoSpaceDE w:val="0"/>
        <w:autoSpaceDN w:val="0"/>
        <w:bidi w:val="0"/>
        <w:adjustRightInd w:val="0"/>
        <w:snapToGrid/>
        <w:spacing w:line="604" w:lineRule="exact"/>
        <w:ind w:firstLine="640" w:firstLineChars="200"/>
        <w:jc w:val="both"/>
        <w:textAlignment w:val="auto"/>
        <w:rPr>
          <w:rFonts w:hint="eastAsia" w:ascii="楷体_GB2312" w:hAnsi="楷体_GB2312" w:eastAsia="楷体_GB2312" w:cs="楷体_GB2312"/>
          <w:b w:val="0"/>
          <w:bCs/>
          <w:color w:val="000000"/>
          <w:kern w:val="2"/>
          <w:sz w:val="32"/>
          <w:szCs w:val="24"/>
        </w:rPr>
      </w:pPr>
      <w:r>
        <w:rPr>
          <w:rFonts w:hint="eastAsia" w:ascii="楷体_GB2312" w:hAnsi="楷体_GB2312" w:eastAsia="楷体_GB2312" w:cs="楷体_GB2312"/>
          <w:b w:val="0"/>
          <w:bCs/>
          <w:color w:val="000000"/>
          <w:kern w:val="2"/>
          <w:sz w:val="32"/>
          <w:szCs w:val="24"/>
        </w:rPr>
        <w:t>（一）“三公”经费财政拨款支出决算总体情况说明</w:t>
      </w:r>
    </w:p>
    <w:p>
      <w:pPr>
        <w:keepNext w:val="0"/>
        <w:keepLines w:val="0"/>
        <w:pageBreakBefore w:val="0"/>
        <w:widowControl w:val="0"/>
        <w:kinsoku/>
        <w:wordWrap/>
        <w:overflowPunct w:val="0"/>
        <w:topLinePunct/>
        <w:autoSpaceDE w:val="0"/>
        <w:autoSpaceDN w:val="0"/>
        <w:bidi w:val="0"/>
        <w:adjustRightInd w:val="0"/>
        <w:snapToGrid/>
        <w:spacing w:line="604" w:lineRule="exact"/>
        <w:ind w:firstLine="640" w:firstLineChars="200"/>
        <w:jc w:val="both"/>
        <w:textAlignment w:val="auto"/>
        <w:rPr>
          <w:rFonts w:hint="default" w:ascii="Times New Roman" w:hAnsi="Times New Roman" w:eastAsia="仿宋_GB2312" w:cs="Times New Roman"/>
          <w:b/>
          <w:color w:val="FF0000"/>
          <w:kern w:val="2"/>
          <w:sz w:val="32"/>
          <w:szCs w:val="24"/>
        </w:rPr>
      </w:pPr>
      <w:r>
        <w:rPr>
          <w:rFonts w:hint="default" w:ascii="Times New Roman" w:hAnsi="Times New Roman" w:eastAsia="仿宋_GB2312" w:cs="Times New Roman"/>
          <w:color w:val="000000"/>
          <w:kern w:val="2"/>
          <w:sz w:val="32"/>
          <w:szCs w:val="24"/>
        </w:rPr>
        <w:t>2023年度“三公”经费财政拨款支出预算为1万元，支出决算为1万元，完成预算的100%；决算数与预算数持平。“三公”经费财政拨款支出预算比上</w:t>
      </w:r>
      <w:r>
        <w:rPr>
          <w:rFonts w:hint="eastAsia" w:ascii="Times New Roman" w:hAnsi="Times New Roman" w:eastAsia="仿宋_GB2312" w:cs="Times New Roman"/>
          <w:color w:val="000000"/>
          <w:kern w:val="2"/>
          <w:sz w:val="32"/>
          <w:szCs w:val="24"/>
          <w:lang w:val="en-US" w:eastAsia="zh-CN"/>
        </w:rPr>
        <w:t>年</w:t>
      </w:r>
      <w:r>
        <w:rPr>
          <w:rFonts w:hint="default" w:ascii="Times New Roman" w:hAnsi="Times New Roman" w:eastAsia="仿宋_GB2312" w:cs="Times New Roman"/>
          <w:color w:val="000000"/>
          <w:kern w:val="2"/>
          <w:sz w:val="32"/>
          <w:szCs w:val="24"/>
        </w:rPr>
        <w:t>增加0.2万元，主要原因是中央、省级机构改革期间，上级部门来昭调研较多。</w:t>
      </w:r>
    </w:p>
    <w:p>
      <w:pPr>
        <w:keepNext w:val="0"/>
        <w:keepLines w:val="0"/>
        <w:pageBreakBefore w:val="0"/>
        <w:widowControl w:val="0"/>
        <w:kinsoku/>
        <w:wordWrap/>
        <w:overflowPunct w:val="0"/>
        <w:topLinePunct/>
        <w:autoSpaceDE w:val="0"/>
        <w:autoSpaceDN w:val="0"/>
        <w:bidi w:val="0"/>
        <w:adjustRightInd w:val="0"/>
        <w:snapToGrid/>
        <w:spacing w:line="604" w:lineRule="exact"/>
        <w:ind w:firstLine="640" w:firstLineChars="200"/>
        <w:jc w:val="both"/>
        <w:textAlignment w:val="auto"/>
        <w:rPr>
          <w:rFonts w:hint="default" w:ascii="楷体_GB2312" w:hAnsi="楷体_GB2312" w:eastAsia="楷体_GB2312" w:cs="楷体_GB2312"/>
          <w:b w:val="0"/>
          <w:bCs/>
          <w:color w:val="000000"/>
          <w:kern w:val="2"/>
          <w:sz w:val="32"/>
          <w:szCs w:val="24"/>
        </w:rPr>
      </w:pPr>
      <w:r>
        <w:rPr>
          <w:rFonts w:hint="default" w:ascii="楷体_GB2312" w:hAnsi="楷体_GB2312" w:eastAsia="楷体_GB2312" w:cs="楷体_GB2312"/>
          <w:b w:val="0"/>
          <w:bCs/>
          <w:color w:val="000000"/>
          <w:kern w:val="2"/>
          <w:sz w:val="32"/>
          <w:szCs w:val="24"/>
        </w:rPr>
        <w:t>（二）“三公”经费财政拨款支出决算具体情况说明</w:t>
      </w:r>
    </w:p>
    <w:p>
      <w:pPr>
        <w:keepNext w:val="0"/>
        <w:keepLines w:val="0"/>
        <w:pageBreakBefore w:val="0"/>
        <w:widowControl w:val="0"/>
        <w:kinsoku/>
        <w:wordWrap/>
        <w:overflowPunct w:val="0"/>
        <w:topLinePunct/>
        <w:autoSpaceDE w:val="0"/>
        <w:autoSpaceDN w:val="0"/>
        <w:bidi w:val="0"/>
        <w:adjustRightInd w:val="0"/>
        <w:snapToGrid/>
        <w:spacing w:line="604" w:lineRule="exact"/>
        <w:ind w:firstLine="640"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2023年度“三公”经费财政拨款支出决算中，因公出国（境）费支出决算0万元，占0%；公务用车购置及运行维护费支出决算0万元，占0%；公务接待费支出决算1万元，占100%。具体情况如下：</w:t>
      </w:r>
    </w:p>
    <w:p>
      <w:pPr>
        <w:keepNext w:val="0"/>
        <w:keepLines w:val="0"/>
        <w:pageBreakBefore w:val="0"/>
        <w:widowControl w:val="0"/>
        <w:kinsoku/>
        <w:wordWrap/>
        <w:overflowPunct w:val="0"/>
        <w:topLinePunct/>
        <w:autoSpaceDE w:val="0"/>
        <w:autoSpaceDN w:val="0"/>
        <w:bidi w:val="0"/>
        <w:adjustRightInd w:val="0"/>
        <w:snapToGrid/>
        <w:spacing w:line="604" w:lineRule="exact"/>
        <w:ind w:firstLine="640" w:firstLineChars="200"/>
        <w:jc w:val="both"/>
        <w:textAlignment w:val="auto"/>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default" w:ascii="仿宋_GB2312" w:hAnsi="仿宋_GB2312" w:eastAsia="仿宋_GB2312"/>
          <w:color w:val="000000"/>
          <w:kern w:val="2"/>
          <w:sz w:val="32"/>
          <w:szCs w:val="24"/>
        </w:rPr>
        <w:pict>
          <v:shape id="Object 2" o:spid="_x0000_s1026" o:spt="75" type="#_x0000_t75" style="position:absolute;left:0pt;margin-left:49.25pt;margin-top:10.75pt;height:222.75pt;width:311.25pt;z-index:-251657216;mso-width-relative:page;mso-height-relative:page;" o:ole="t" filled="f" o:preferrelative="t" stroked="f" coordsize="21600,21600">
            <v:path/>
            <v:fill on="f" focussize="0,0"/>
            <v:stroke on="f"/>
            <v:imagedata r:id="rId20" o:title=""/>
            <o:lock v:ext="edit" aspectratio="t"/>
          </v:shape>
          <o:OLEObject Type="Embed" ProgID="Excel.Chart.8" ShapeID="Object 2" DrawAspect="Content" ObjectID="_1468075731" r:id="rId19">
            <o:LockedField>false</o:LockedField>
          </o:OLEObject>
        </w:pic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p>
    <w:p>
      <w:pPr>
        <w:overflowPunct w:val="0"/>
        <w:topLinePunct/>
        <w:spacing w:line="576" w:lineRule="exact"/>
        <w:jc w:val="center"/>
        <w:rPr>
          <w:rFonts w:hint="eastAsia" w:ascii="仿宋_GB2312" w:hAnsi="仿宋_GB2312" w:eastAsia="仿宋_GB2312"/>
          <w:color w:val="000000"/>
          <w:kern w:val="2"/>
          <w:sz w:val="32"/>
          <w:szCs w:val="24"/>
        </w:rPr>
      </w:pPr>
    </w:p>
    <w:p>
      <w:pPr>
        <w:overflowPunct w:val="0"/>
        <w:topLinePunct/>
        <w:spacing w:line="576" w:lineRule="exact"/>
        <w:jc w:val="both"/>
        <w:rPr>
          <w:rFonts w:hint="eastAsia" w:ascii="仿宋_GB2312" w:hAnsi="仿宋_GB2312" w:eastAsia="仿宋_GB2312"/>
          <w:color w:val="000000"/>
          <w:kern w:val="2"/>
          <w:sz w:val="32"/>
          <w:szCs w:val="24"/>
        </w:rPr>
      </w:pPr>
    </w:p>
    <w:p>
      <w:pPr>
        <w:overflowPunct w:val="0"/>
        <w:topLinePunct/>
        <w:spacing w:line="576" w:lineRule="exact"/>
        <w:jc w:val="both"/>
        <w:rPr>
          <w:rFonts w:hint="eastAsia" w:ascii="仿宋_GB2312" w:hAnsi="仿宋_GB2312" w:eastAsia="仿宋_GB2312"/>
          <w:color w:val="000000"/>
          <w:kern w:val="2"/>
          <w:sz w:val="32"/>
          <w:szCs w:val="24"/>
        </w:rPr>
      </w:pPr>
    </w:p>
    <w:p>
      <w:pPr>
        <w:overflowPunct w:val="0"/>
        <w:topLinePunct/>
        <w:spacing w:line="576" w:lineRule="exact"/>
        <w:jc w:val="both"/>
        <w:rPr>
          <w:rFonts w:hint="eastAsia" w:ascii="仿宋_GB2312" w:hAnsi="仿宋_GB2312" w:eastAsia="仿宋_GB2312"/>
          <w:color w:val="000000"/>
          <w:kern w:val="2"/>
          <w:sz w:val="32"/>
          <w:szCs w:val="24"/>
        </w:rPr>
      </w:pPr>
    </w:p>
    <w:p>
      <w:pPr>
        <w:overflowPunct w:val="0"/>
        <w:topLinePunct/>
        <w:spacing w:line="576" w:lineRule="exact"/>
        <w:jc w:val="both"/>
        <w:rPr>
          <w:rFonts w:hint="eastAsia" w:ascii="仿宋_GB2312" w:hAnsi="仿宋_GB2312" w:eastAsia="仿宋_GB2312"/>
          <w:color w:val="000000"/>
          <w:kern w:val="2"/>
          <w:sz w:val="32"/>
          <w:szCs w:val="24"/>
        </w:rPr>
      </w:pPr>
    </w:p>
    <w:p>
      <w:pPr>
        <w:keepNext w:val="0"/>
        <w:keepLines w:val="0"/>
        <w:pageBreakBefore w:val="0"/>
        <w:widowControl w:val="0"/>
        <w:kinsoku/>
        <w:wordWrap/>
        <w:overflowPunct w:val="0"/>
        <w:topLinePunct/>
        <w:autoSpaceDE w:val="0"/>
        <w:autoSpaceDN w:val="0"/>
        <w:bidi w:val="0"/>
        <w:adjustRightInd w:val="0"/>
        <w:snapToGrid/>
        <w:spacing w:line="576" w:lineRule="exact"/>
        <w:ind w:left="0" w:leftChars="0" w:firstLine="0" w:firstLineChars="0"/>
        <w:jc w:val="center"/>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图7：“三公”经费财政拨款支出结构图</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1.因公出国（境）经费</w:t>
      </w:r>
      <w:r>
        <w:rPr>
          <w:rFonts w:hint="eastAsia" w:ascii="仿宋_GB2312" w:hAnsi="仿宋_GB2312" w:eastAsia="仿宋_GB2312"/>
          <w:color w:val="000000"/>
          <w:kern w:val="2"/>
          <w:sz w:val="32"/>
          <w:szCs w:val="24"/>
        </w:rPr>
        <w:t>支出0万元，年初未安排预算，因公出国（境）支出决算较2022年度无变化。</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2.公务用车购置及运行维护费</w:t>
      </w:r>
      <w:r>
        <w:rPr>
          <w:rFonts w:hint="eastAsia" w:ascii="仿宋_GB2312" w:hAnsi="仿宋_GB2312" w:eastAsia="仿宋_GB2312"/>
          <w:color w:val="000000"/>
          <w:kern w:val="2"/>
          <w:sz w:val="32"/>
          <w:szCs w:val="24"/>
        </w:rPr>
        <w:t>预算为0万元,支出决算为0万元。公务用车购置及运行维护费支出决算与2022年持平。</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其中：</w:t>
      </w:r>
      <w:r>
        <w:rPr>
          <w:rFonts w:hint="eastAsia" w:ascii="仿宋_GB2312" w:hAnsi="仿宋_GB2312" w:eastAsia="仿宋_GB2312"/>
          <w:b/>
          <w:color w:val="000000"/>
          <w:kern w:val="2"/>
          <w:sz w:val="32"/>
          <w:szCs w:val="24"/>
        </w:rPr>
        <w:t>公务用车购置费</w:t>
      </w:r>
      <w:r>
        <w:rPr>
          <w:rFonts w:hint="eastAsia" w:ascii="仿宋_GB2312" w:hAnsi="仿宋_GB2312" w:eastAsia="仿宋_GB2312"/>
          <w:color w:val="000000"/>
          <w:kern w:val="2"/>
          <w:sz w:val="32"/>
          <w:szCs w:val="24"/>
        </w:rPr>
        <w:t>支出0万元，全年按规定更新购置公务用车0辆。截至2023年12月31日，本部门共有公务用车0辆。</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公务用车运行维护费</w:t>
      </w:r>
      <w:r>
        <w:rPr>
          <w:rFonts w:hint="eastAsia" w:ascii="仿宋_GB2312" w:hAnsi="仿宋_GB2312" w:eastAsia="仿宋_GB2312"/>
          <w:color w:val="000000"/>
          <w:kern w:val="2"/>
          <w:sz w:val="32"/>
          <w:szCs w:val="24"/>
        </w:rPr>
        <w:t>支出0万元。</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3.公务接待费</w:t>
      </w:r>
      <w:r>
        <w:rPr>
          <w:rFonts w:hint="eastAsia" w:ascii="仿宋_GB2312" w:hAnsi="仿宋_GB2312" w:eastAsia="仿宋_GB2312"/>
          <w:color w:val="000000"/>
          <w:kern w:val="2"/>
          <w:sz w:val="32"/>
          <w:szCs w:val="24"/>
        </w:rPr>
        <w:t>预算为1万元，支出决算为1万元，完成预算的100%。公务接待费支出决算与2022年增加0.2万元。主要原因是中央、省级机构改革期间，上级部门来昭调研较多。其中：</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3" w:firstLineChars="200"/>
        <w:jc w:val="both"/>
        <w:textAlignment w:val="auto"/>
        <w:rPr>
          <w:rFonts w:hint="default" w:ascii="Times New Roman" w:hAnsi="Times New Roman" w:eastAsia="仿宋_GB2312" w:cs="Times New Roman"/>
          <w:color w:val="000000"/>
          <w:kern w:val="2"/>
          <w:sz w:val="32"/>
          <w:szCs w:val="24"/>
        </w:rPr>
      </w:pPr>
      <w:r>
        <w:rPr>
          <w:rFonts w:hint="eastAsia" w:ascii="仿宋_GB2312" w:hAnsi="仿宋_GB2312" w:eastAsia="仿宋_GB2312"/>
          <w:b/>
          <w:color w:val="000000"/>
          <w:kern w:val="2"/>
          <w:sz w:val="32"/>
          <w:szCs w:val="24"/>
        </w:rPr>
        <w:t>国内公务接待</w:t>
      </w:r>
      <w:r>
        <w:rPr>
          <w:rFonts w:hint="eastAsia" w:ascii="仿宋_GB2312" w:hAnsi="仿宋_GB2312" w:eastAsia="仿宋_GB2312"/>
          <w:color w:val="000000"/>
          <w:kern w:val="2"/>
          <w:sz w:val="32"/>
          <w:szCs w:val="24"/>
        </w:rPr>
        <w:t>支出1万元。主要用于接待省委编办、市委编办、</w:t>
      </w:r>
      <w:r>
        <w:rPr>
          <w:rFonts w:hint="default" w:ascii="Times New Roman" w:hAnsi="Times New Roman" w:eastAsia="仿宋_GB2312" w:cs="Times New Roman"/>
          <w:color w:val="000000"/>
          <w:kern w:val="2"/>
          <w:sz w:val="32"/>
          <w:szCs w:val="24"/>
        </w:rPr>
        <w:t>兄弟县区来昭执行公务、开展业务活动开支的餐费、住宿费等。国内公务接待11批次，87人次，共计支出1万元，具体内容包括：省委编办来昭调研指导、市委编办来昭指导调研机构编制监督检查工作等。</w:t>
      </w:r>
    </w:p>
    <w:p>
      <w:pPr>
        <w:pStyle w:val="6"/>
        <w:keepNext w:val="0"/>
        <w:keepLines w:val="0"/>
        <w:pageBreakBefore w:val="0"/>
        <w:widowControl w:val="0"/>
        <w:kinsoku/>
        <w:wordWrap/>
        <w:overflowPunct w:val="0"/>
        <w:topLinePunct/>
        <w:autoSpaceDE w:val="0"/>
        <w:autoSpaceDN w:val="0"/>
        <w:bidi w:val="0"/>
        <w:adjustRightInd w:val="0"/>
        <w:snapToGrid/>
        <w:spacing w:before="72" w:line="576" w:lineRule="exact"/>
        <w:ind w:firstLine="643" w:firstLineChars="200"/>
        <w:jc w:val="both"/>
        <w:textAlignment w:val="auto"/>
        <w:rPr>
          <w:rFonts w:hint="default" w:ascii="Times New Roman" w:hAnsi="Times New Roman" w:cs="Times New Roman"/>
          <w:color w:val="000000"/>
          <w:kern w:val="2"/>
          <w:sz w:val="32"/>
          <w:szCs w:val="24"/>
        </w:rPr>
      </w:pPr>
      <w:r>
        <w:rPr>
          <w:rFonts w:hint="default" w:ascii="Times New Roman" w:hAnsi="Times New Roman" w:cs="Times New Roman"/>
          <w:b/>
          <w:color w:val="000000"/>
          <w:kern w:val="2"/>
          <w:sz w:val="32"/>
          <w:szCs w:val="24"/>
        </w:rPr>
        <w:t>外事接待</w:t>
      </w:r>
      <w:r>
        <w:rPr>
          <w:rFonts w:hint="default" w:ascii="Times New Roman" w:hAnsi="Times New Roman" w:cs="Times New Roman"/>
          <w:color w:val="000000"/>
          <w:kern w:val="2"/>
          <w:sz w:val="32"/>
          <w:szCs w:val="24"/>
        </w:rPr>
        <w:t>支出0万元，外事接待0批次，0人，共计支出0万元。</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黑体" w:cs="Times New Roman"/>
          <w:b/>
          <w:kern w:val="2"/>
          <w:sz w:val="32"/>
          <w:szCs w:val="24"/>
        </w:rPr>
      </w:pPr>
      <w:r>
        <w:rPr>
          <w:rFonts w:hint="default" w:ascii="Times New Roman" w:hAnsi="Times New Roman" w:eastAsia="黑体" w:cs="Times New Roman"/>
          <w:color w:val="000000"/>
          <w:kern w:val="2"/>
          <w:sz w:val="32"/>
          <w:szCs w:val="24"/>
        </w:rPr>
        <w:t>八、</w:t>
      </w:r>
      <w:r>
        <w:rPr>
          <w:rFonts w:hint="default" w:ascii="Times New Roman" w:hAnsi="Times New Roman" w:eastAsia="黑体" w:cs="Times New Roman"/>
          <w:kern w:val="2"/>
          <w:sz w:val="32"/>
          <w:szCs w:val="24"/>
        </w:rPr>
        <w:t>政府性基金预算支出决算情况说明</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2023年政府性基金预算拨款支出0万元。</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黑体" w:cs="Times New Roman"/>
          <w:kern w:val="2"/>
          <w:sz w:val="32"/>
          <w:szCs w:val="24"/>
        </w:rPr>
      </w:pPr>
      <w:r>
        <w:rPr>
          <w:rFonts w:hint="default" w:ascii="Times New Roman" w:hAnsi="Times New Roman" w:eastAsia="黑体" w:cs="Times New Roman"/>
          <w:kern w:val="2"/>
          <w:sz w:val="32"/>
          <w:szCs w:val="24"/>
        </w:rPr>
        <w:t>九、国有资本经营预算支出决算情况说明</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2023年国有资本经营预算拨款支出0万元。</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黑体" w:cs="Times New Roman"/>
          <w:b/>
          <w:kern w:val="2"/>
          <w:sz w:val="32"/>
          <w:szCs w:val="24"/>
        </w:rPr>
      </w:pPr>
      <w:r>
        <w:rPr>
          <w:rFonts w:hint="default" w:ascii="Times New Roman" w:hAnsi="Times New Roman" w:eastAsia="黑体" w:cs="Times New Roman"/>
          <w:color w:val="000000"/>
          <w:kern w:val="2"/>
          <w:sz w:val="32"/>
          <w:szCs w:val="24"/>
        </w:rPr>
        <w:t>十</w:t>
      </w:r>
      <w:r>
        <w:rPr>
          <w:rFonts w:hint="default" w:ascii="Times New Roman" w:hAnsi="Times New Roman" w:eastAsia="黑体" w:cs="Times New Roman"/>
          <w:b/>
          <w:kern w:val="2"/>
          <w:sz w:val="32"/>
          <w:szCs w:val="24"/>
        </w:rPr>
        <w:t>、</w:t>
      </w:r>
      <w:r>
        <w:rPr>
          <w:rFonts w:hint="default" w:ascii="Times New Roman" w:hAnsi="Times New Roman" w:eastAsia="黑体" w:cs="Times New Roman"/>
          <w:kern w:val="2"/>
          <w:sz w:val="32"/>
          <w:szCs w:val="24"/>
        </w:rPr>
        <w:t>其他重要事项的情况说明</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eastAsia" w:ascii="楷体_GB2312" w:hAnsi="楷体_GB2312" w:eastAsia="楷体_GB2312" w:cs="楷体_GB2312"/>
          <w:b w:val="0"/>
          <w:bCs/>
          <w:color w:val="000000"/>
          <w:kern w:val="2"/>
          <w:sz w:val="32"/>
          <w:szCs w:val="24"/>
        </w:rPr>
      </w:pPr>
      <w:r>
        <w:rPr>
          <w:rFonts w:hint="eastAsia" w:ascii="楷体_GB2312" w:hAnsi="楷体_GB2312" w:eastAsia="楷体_GB2312" w:cs="楷体_GB2312"/>
          <w:b w:val="0"/>
          <w:bCs/>
          <w:color w:val="000000"/>
          <w:kern w:val="2"/>
          <w:sz w:val="32"/>
          <w:szCs w:val="24"/>
        </w:rPr>
        <w:t>（一）机关运行经费支出情况</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2023年度，区委编办机关运行经费支出31.91万元，比2022年度减少32.96万元，下降51%，主要原因是2022年将其他运转类项目纳入机关运行费核算，2023年其他运转类项目纳入项目支出核算。</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楷体_GB2312" w:hAnsi="楷体_GB2312" w:eastAsia="楷体_GB2312" w:cs="楷体_GB2312"/>
          <w:b w:val="0"/>
          <w:bCs/>
          <w:color w:val="000000"/>
          <w:kern w:val="2"/>
          <w:sz w:val="32"/>
          <w:szCs w:val="24"/>
        </w:rPr>
      </w:pPr>
      <w:r>
        <w:rPr>
          <w:rFonts w:hint="default" w:ascii="楷体_GB2312" w:hAnsi="楷体_GB2312" w:eastAsia="楷体_GB2312" w:cs="楷体_GB2312"/>
          <w:b w:val="0"/>
          <w:bCs/>
          <w:color w:val="000000"/>
          <w:kern w:val="2"/>
          <w:sz w:val="32"/>
          <w:szCs w:val="24"/>
        </w:rPr>
        <w:t>（二）政府采购支出情况</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2023年，区委编办未发生政府采购支出。</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楷体_GB2312" w:hAnsi="楷体_GB2312" w:eastAsia="楷体_GB2312" w:cs="楷体_GB2312"/>
          <w:b w:val="0"/>
          <w:bCs/>
          <w:color w:val="000000"/>
          <w:kern w:val="2"/>
          <w:sz w:val="32"/>
          <w:szCs w:val="24"/>
        </w:rPr>
      </w:pPr>
      <w:r>
        <w:rPr>
          <w:rFonts w:hint="default" w:ascii="楷体_GB2312" w:hAnsi="楷体_GB2312" w:eastAsia="楷体_GB2312" w:cs="楷体_GB2312"/>
          <w:b w:val="0"/>
          <w:bCs/>
          <w:color w:val="000000"/>
          <w:kern w:val="2"/>
          <w:sz w:val="32"/>
          <w:szCs w:val="24"/>
        </w:rPr>
        <w:t>（三）国有资产占有使用情况</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截至2023年12月31日，本单位无公务用车辆。</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b/>
          <w:color w:val="FF0000"/>
          <w:kern w:val="2"/>
          <w:sz w:val="32"/>
          <w:szCs w:val="24"/>
        </w:rPr>
      </w:pPr>
      <w:r>
        <w:rPr>
          <w:rFonts w:hint="default" w:ascii="Times New Roman" w:hAnsi="Times New Roman" w:eastAsia="仿宋_GB2312" w:cs="Times New Roman"/>
          <w:color w:val="000000"/>
          <w:kern w:val="2"/>
          <w:sz w:val="32"/>
          <w:szCs w:val="24"/>
        </w:rPr>
        <w:t>单价100万元（含）以上设备0台（套）。</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楷体_GB2312" w:hAnsi="楷体_GB2312" w:eastAsia="楷体_GB2312" w:cs="楷体_GB2312"/>
          <w:b w:val="0"/>
          <w:bCs/>
          <w:color w:val="000000"/>
          <w:kern w:val="2"/>
          <w:sz w:val="32"/>
          <w:szCs w:val="24"/>
        </w:rPr>
      </w:pPr>
      <w:r>
        <w:rPr>
          <w:rFonts w:hint="default" w:ascii="楷体_GB2312" w:hAnsi="楷体_GB2312" w:eastAsia="楷体_GB2312" w:cs="楷体_GB2312"/>
          <w:b w:val="0"/>
          <w:bCs/>
          <w:color w:val="000000"/>
          <w:kern w:val="2"/>
          <w:sz w:val="32"/>
          <w:szCs w:val="24"/>
        </w:rPr>
        <w:t>（四）预算绩效管理情况。</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i/>
          <w:kern w:val="2"/>
          <w:sz w:val="32"/>
          <w:szCs w:val="24"/>
          <w:highlight w:val="white"/>
        </w:rPr>
      </w:pPr>
      <w:r>
        <w:rPr>
          <w:rFonts w:hint="default" w:ascii="Times New Roman" w:hAnsi="Times New Roman" w:eastAsia="仿宋_GB2312" w:cs="Times New Roman"/>
          <w:kern w:val="2"/>
          <w:sz w:val="32"/>
          <w:szCs w:val="24"/>
        </w:rPr>
        <w:t>根据预算绩效管理要求，本单位在2023年度预算编制阶段，组织对事业单位年检、登记工作经费等</w:t>
      </w:r>
      <w:r>
        <w:rPr>
          <w:rFonts w:hint="eastAsia" w:ascii="Times New Roman" w:hAnsi="Times New Roman" w:eastAsia="仿宋_GB2312" w:cs="Times New Roman"/>
          <w:kern w:val="2"/>
          <w:sz w:val="32"/>
          <w:szCs w:val="24"/>
          <w:lang w:val="en-US" w:eastAsia="zh-CN"/>
        </w:rPr>
        <w:t>5</w:t>
      </w:r>
      <w:r>
        <w:rPr>
          <w:rFonts w:hint="default" w:ascii="Times New Roman" w:hAnsi="Times New Roman" w:eastAsia="仿宋_GB2312" w:cs="Times New Roman"/>
          <w:kern w:val="2"/>
          <w:sz w:val="32"/>
          <w:szCs w:val="24"/>
        </w:rPr>
        <w:t>个运转类项目开展了预算事前绩效评估，对</w:t>
      </w:r>
      <w:r>
        <w:rPr>
          <w:rFonts w:hint="eastAsia" w:ascii="Times New Roman" w:hAnsi="Times New Roman" w:eastAsia="仿宋_GB2312" w:cs="Times New Roman"/>
          <w:kern w:val="2"/>
          <w:sz w:val="32"/>
          <w:szCs w:val="24"/>
          <w:lang w:val="en-US" w:eastAsia="zh-CN"/>
        </w:rPr>
        <w:t>5</w:t>
      </w:r>
      <w:r>
        <w:rPr>
          <w:rFonts w:hint="default" w:ascii="Times New Roman" w:hAnsi="Times New Roman" w:eastAsia="仿宋_GB2312" w:cs="Times New Roman"/>
          <w:kern w:val="2"/>
          <w:sz w:val="32"/>
          <w:szCs w:val="24"/>
        </w:rPr>
        <w:t>个运转类项目编制了绩效目标，预算执行过程中，选取</w:t>
      </w:r>
      <w:r>
        <w:rPr>
          <w:rFonts w:hint="eastAsia" w:ascii="Times New Roman" w:hAnsi="Times New Roman" w:eastAsia="仿宋_GB2312" w:cs="Times New Roman"/>
          <w:kern w:val="2"/>
          <w:sz w:val="32"/>
          <w:szCs w:val="24"/>
          <w:lang w:val="en-US" w:eastAsia="zh-CN"/>
        </w:rPr>
        <w:t>5</w:t>
      </w:r>
      <w:r>
        <w:rPr>
          <w:rFonts w:hint="default" w:ascii="Times New Roman" w:hAnsi="Times New Roman" w:eastAsia="仿宋_GB2312" w:cs="Times New Roman"/>
          <w:kern w:val="2"/>
          <w:sz w:val="32"/>
          <w:szCs w:val="24"/>
        </w:rPr>
        <w:t>个运转类项目开展绩效监控，组织对</w:t>
      </w:r>
      <w:r>
        <w:rPr>
          <w:rFonts w:hint="eastAsia" w:ascii="Times New Roman" w:hAnsi="Times New Roman" w:eastAsia="仿宋_GB2312" w:cs="Times New Roman"/>
          <w:kern w:val="2"/>
          <w:sz w:val="32"/>
          <w:szCs w:val="24"/>
          <w:lang w:val="en-US" w:eastAsia="zh-CN"/>
        </w:rPr>
        <w:t>5</w:t>
      </w:r>
      <w:r>
        <w:rPr>
          <w:rFonts w:hint="default" w:ascii="Times New Roman" w:hAnsi="Times New Roman" w:eastAsia="仿宋_GB2312" w:cs="Times New Roman"/>
          <w:kern w:val="2"/>
          <w:sz w:val="32"/>
          <w:szCs w:val="24"/>
        </w:rPr>
        <w:t>个运转类项目开展绩效评价，绩效自评报表见第四部分附件。</w:t>
      </w:r>
    </w:p>
    <w:p>
      <w:pPr>
        <w:overflowPunct w:val="0"/>
        <w:topLinePunct/>
        <w:spacing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br w:type="page"/>
      </w:r>
      <w:r>
        <w:rPr>
          <w:rFonts w:hint="eastAsia" w:ascii="方正小标宋简体" w:hAnsi="方正小标宋简体" w:eastAsia="方正小标宋简体" w:cs="方正小标宋简体"/>
          <w:color w:val="000000"/>
          <w:kern w:val="2"/>
          <w:sz w:val="44"/>
          <w:szCs w:val="44"/>
        </w:rPr>
        <w:t>第三部分</w:t>
      </w:r>
      <w:r>
        <w:rPr>
          <w:rFonts w:hint="eastAsia" w:ascii="方正小标宋简体" w:hAnsi="方正小标宋简体" w:eastAsia="方正小标宋简体" w:cs="方正小标宋简体"/>
          <w:color w:val="000000"/>
          <w:kern w:val="2"/>
          <w:sz w:val="44"/>
          <w:szCs w:val="44"/>
          <w:lang w:val="en-US" w:eastAsia="zh-CN"/>
        </w:rPr>
        <w:t xml:space="preserve">  </w:t>
      </w:r>
      <w:r>
        <w:rPr>
          <w:rFonts w:hint="eastAsia" w:ascii="方正小标宋简体" w:hAnsi="方正小标宋简体" w:eastAsia="方正小标宋简体" w:cs="方正小标宋简体"/>
          <w:color w:val="000000"/>
          <w:kern w:val="2"/>
          <w:sz w:val="44"/>
          <w:szCs w:val="44"/>
        </w:rPr>
        <w:t>名</w:t>
      </w:r>
      <w:r>
        <w:rPr>
          <w:rFonts w:hint="eastAsia" w:ascii="方正小标宋简体" w:hAnsi="方正小标宋简体" w:eastAsia="方正小标宋简体" w:cs="方正小标宋简体"/>
          <w:kern w:val="44"/>
          <w:sz w:val="44"/>
          <w:szCs w:val="44"/>
        </w:rPr>
        <w:t>词解释</w:t>
      </w:r>
    </w:p>
    <w:p>
      <w:pPr>
        <w:pStyle w:val="6"/>
        <w:spacing w:before="72"/>
        <w:rPr>
          <w:rFonts w:hint="eastAsia"/>
          <w:sz w:val="30"/>
          <w:szCs w:val="24"/>
        </w:rPr>
      </w:pP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000000"/>
          <w:sz w:val="32"/>
          <w:szCs w:val="24"/>
        </w:rPr>
      </w:pPr>
      <w:r>
        <w:rPr>
          <w:rFonts w:hint="eastAsia" w:ascii="黑体" w:hAnsi="黑体" w:eastAsia="黑体" w:cs="黑体"/>
          <w:color w:val="000000"/>
          <w:sz w:val="32"/>
          <w:szCs w:val="24"/>
        </w:rPr>
        <w:t>一、财政拨款收入</w:t>
      </w:r>
      <w:r>
        <w:rPr>
          <w:rFonts w:hint="default" w:ascii="Times New Roman" w:hAnsi="Times New Roman" w:eastAsia="仿宋_GB2312" w:cs="Times New Roman"/>
          <w:color w:val="000000"/>
          <w:sz w:val="32"/>
          <w:szCs w:val="24"/>
        </w:rPr>
        <w:t>：指单位从同级财政部门取得的财政预算资金。</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000000"/>
          <w:sz w:val="32"/>
          <w:szCs w:val="24"/>
        </w:rPr>
      </w:pPr>
      <w:r>
        <w:rPr>
          <w:rFonts w:hint="default" w:ascii="黑体" w:hAnsi="黑体" w:eastAsia="黑体" w:cs="黑体"/>
          <w:color w:val="000000"/>
          <w:sz w:val="32"/>
          <w:szCs w:val="24"/>
        </w:rPr>
        <w:t>二、事业收入：</w:t>
      </w:r>
      <w:r>
        <w:rPr>
          <w:rFonts w:hint="default" w:ascii="Times New Roman" w:hAnsi="Times New Roman" w:eastAsia="仿宋_GB2312" w:cs="Times New Roman"/>
          <w:color w:val="000000"/>
          <w:sz w:val="32"/>
          <w:szCs w:val="24"/>
        </w:rPr>
        <w:t>指事业单位开展专业业务活动及辅助活动取得的收入。</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000000"/>
          <w:sz w:val="32"/>
          <w:szCs w:val="24"/>
        </w:rPr>
      </w:pPr>
      <w:r>
        <w:rPr>
          <w:rFonts w:hint="default" w:ascii="黑体" w:hAnsi="黑体" w:eastAsia="黑体" w:cs="黑体"/>
          <w:color w:val="000000"/>
          <w:sz w:val="32"/>
          <w:szCs w:val="24"/>
        </w:rPr>
        <w:t>三、经营收入：</w:t>
      </w:r>
      <w:r>
        <w:rPr>
          <w:rFonts w:hint="default" w:ascii="Times New Roman" w:hAnsi="Times New Roman" w:eastAsia="仿宋_GB2312" w:cs="Times New Roman"/>
          <w:color w:val="000000"/>
          <w:sz w:val="32"/>
          <w:szCs w:val="24"/>
        </w:rPr>
        <w:t>指事业单位在专业业务活动及其辅助活动之外开展非独立核算经营活动取得的收入。</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000000"/>
          <w:sz w:val="32"/>
          <w:szCs w:val="24"/>
        </w:rPr>
      </w:pPr>
      <w:r>
        <w:rPr>
          <w:rFonts w:hint="default" w:ascii="黑体" w:hAnsi="黑体" w:eastAsia="黑体" w:cs="黑体"/>
          <w:color w:val="000000"/>
          <w:sz w:val="32"/>
          <w:szCs w:val="24"/>
        </w:rPr>
        <w:t>四、其他收入：</w:t>
      </w:r>
      <w:r>
        <w:rPr>
          <w:rFonts w:hint="default" w:ascii="Times New Roman" w:hAnsi="Times New Roman" w:eastAsia="仿宋_GB2312" w:cs="Times New Roman"/>
          <w:color w:val="000000"/>
          <w:sz w:val="32"/>
          <w:szCs w:val="24"/>
        </w:rPr>
        <w:t>指单位取得的除上述收入以外的各项收入。</w:t>
      </w:r>
    </w:p>
    <w:p>
      <w:pPr>
        <w:pStyle w:val="17"/>
        <w:keepNext w:val="0"/>
        <w:keepLines w:val="0"/>
        <w:pageBreakBefore w:val="0"/>
        <w:widowControl w:val="0"/>
        <w:kinsoku/>
        <w:wordWrap/>
        <w:autoSpaceDE w:val="0"/>
        <w:autoSpaceDN w:val="0"/>
        <w:bidi w:val="0"/>
        <w:adjustRightInd w:val="0"/>
        <w:snapToGrid/>
        <w:spacing w:beforeLines="0" w:afterLines="0"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黑体" w:hAnsi="黑体" w:eastAsia="黑体" w:cs="黑体"/>
          <w:color w:val="000000"/>
          <w:sz w:val="32"/>
          <w:szCs w:val="24"/>
          <w:lang w:val="en-US" w:eastAsia="zh-CN" w:bidi="ar-SA"/>
        </w:rPr>
        <w:t>五、使用非财政拨款结余（含专用结余）</w:t>
      </w:r>
      <w:r>
        <w:rPr>
          <w:rFonts w:hint="default" w:ascii="Times New Roman" w:hAnsi="Times New Roman" w:eastAsia="仿宋_GB2312" w:cs="Times New Roman"/>
          <w:color w:val="auto"/>
          <w:sz w:val="32"/>
          <w:szCs w:val="32"/>
        </w:rPr>
        <w:t xml:space="preserve">：指事业单位使用以前年度积累的非财政拨款结余弥补当年收支差额的金额。 </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000000"/>
          <w:sz w:val="32"/>
          <w:szCs w:val="24"/>
        </w:rPr>
      </w:pPr>
      <w:r>
        <w:rPr>
          <w:rFonts w:hint="default" w:ascii="黑体" w:hAnsi="黑体" w:eastAsia="黑体" w:cs="黑体"/>
          <w:color w:val="000000"/>
          <w:sz w:val="32"/>
          <w:szCs w:val="24"/>
        </w:rPr>
        <w:t>六、年初结转和结余：</w:t>
      </w:r>
      <w:r>
        <w:rPr>
          <w:rFonts w:hint="default" w:ascii="Times New Roman" w:hAnsi="Times New Roman" w:eastAsia="仿宋_GB2312" w:cs="Times New Roman"/>
          <w:color w:val="000000"/>
          <w:sz w:val="32"/>
          <w:szCs w:val="24"/>
        </w:rPr>
        <w:t xml:space="preserve">指以前年度尚未完成、结转到本年按有关规定继续使用的资金。 </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000000"/>
          <w:sz w:val="32"/>
          <w:szCs w:val="24"/>
        </w:rPr>
      </w:pPr>
      <w:r>
        <w:rPr>
          <w:rFonts w:hint="default" w:ascii="黑体" w:hAnsi="黑体" w:eastAsia="黑体" w:cs="黑体"/>
          <w:color w:val="000000"/>
          <w:sz w:val="32"/>
          <w:szCs w:val="24"/>
        </w:rPr>
        <w:t>七、结余分配：</w:t>
      </w:r>
      <w:r>
        <w:rPr>
          <w:rFonts w:hint="default" w:ascii="Times New Roman" w:hAnsi="Times New Roman" w:eastAsia="仿宋_GB2312" w:cs="Times New Roman"/>
          <w:color w:val="000000"/>
          <w:sz w:val="32"/>
          <w:szCs w:val="24"/>
        </w:rPr>
        <w:t>指事业单位按照会计制度规定缴纳的所得税、提取的专用结余以及转入非财政拨款结余的金额等。</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000000"/>
          <w:sz w:val="32"/>
          <w:szCs w:val="24"/>
        </w:rPr>
      </w:pPr>
      <w:r>
        <w:rPr>
          <w:rFonts w:hint="default" w:ascii="黑体" w:hAnsi="黑体" w:eastAsia="黑体" w:cs="黑体"/>
          <w:color w:val="000000"/>
          <w:sz w:val="32"/>
          <w:szCs w:val="24"/>
        </w:rPr>
        <w:t>八、年末结转和结余：</w:t>
      </w:r>
      <w:r>
        <w:rPr>
          <w:rFonts w:hint="default" w:ascii="Times New Roman" w:hAnsi="Times New Roman" w:eastAsia="仿宋_GB2312" w:cs="Times New Roman"/>
          <w:color w:val="000000"/>
          <w:sz w:val="32"/>
          <w:szCs w:val="24"/>
        </w:rPr>
        <w:t>指单位按有关规定结转到下年或以后年度继续使用的资金。</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黑体" w:hAnsi="黑体" w:eastAsia="黑体" w:cs="黑体"/>
          <w:color w:val="000000"/>
          <w:sz w:val="32"/>
          <w:szCs w:val="24"/>
        </w:rPr>
        <w:t>九、一般公共服务（类）党委办公厅（室）及相关机构事务（款）行政运行（项）：</w:t>
      </w:r>
      <w:r>
        <w:rPr>
          <w:rFonts w:hint="default" w:ascii="Times New Roman" w:hAnsi="Times New Roman" w:eastAsia="仿宋_GB2312" w:cs="Times New Roman"/>
          <w:color w:val="auto"/>
          <w:sz w:val="32"/>
          <w:szCs w:val="32"/>
        </w:rPr>
        <w:t>指区委编办及下属事业单位用于保障机构正常运行、开展日常工作的基本支出</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黑体" w:hAnsi="黑体" w:eastAsia="黑体" w:cs="黑体"/>
          <w:color w:val="000000"/>
          <w:sz w:val="32"/>
          <w:szCs w:val="24"/>
        </w:rPr>
        <w:t>十、社会保障和就业（类）行政事业单位养老支出（款）机关事业单位基本养老保险缴费支出（项）</w:t>
      </w:r>
      <w:r>
        <w:rPr>
          <w:rFonts w:hint="default" w:ascii="Times New Roman" w:hAnsi="Times New Roman" w:eastAsia="仿宋_GB2312" w:cs="Times New Roman"/>
          <w:color w:val="auto"/>
          <w:sz w:val="32"/>
          <w:szCs w:val="32"/>
        </w:rPr>
        <w:t>：指保障编办及参公管理事业单位和其他事业单位人员养老保险单位部分经费支出。</w:t>
      </w:r>
    </w:p>
    <w:p>
      <w:pPr>
        <w:keepNext w:val="0"/>
        <w:keepLines w:val="0"/>
        <w:pageBreakBefore w:val="0"/>
        <w:widowControl w:val="0"/>
        <w:kinsoku/>
        <w:wordWrap/>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黑体" w:hAnsi="黑体" w:eastAsia="黑体" w:cs="黑体"/>
          <w:color w:val="000000"/>
          <w:sz w:val="32"/>
          <w:szCs w:val="24"/>
        </w:rPr>
        <w:t>十一、卫生健康支出（类）行政事业单位医疗（款）行政单位医疗（项）：</w:t>
      </w:r>
      <w:r>
        <w:rPr>
          <w:rFonts w:hint="default" w:ascii="Times New Roman" w:hAnsi="Times New Roman" w:eastAsia="仿宋_GB2312" w:cs="Times New Roman"/>
          <w:color w:val="auto"/>
          <w:sz w:val="32"/>
          <w:szCs w:val="32"/>
        </w:rPr>
        <w:t>指保障编办及参公管理事业单位和其他事业单位人员按规定由单位缴纳的基本医疗保险、工伤保险、生育保险、失业保险单位部分支出。</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黑体" w:hAnsi="黑体" w:eastAsia="黑体" w:cs="黑体"/>
          <w:color w:val="000000"/>
          <w:sz w:val="32"/>
          <w:szCs w:val="24"/>
        </w:rPr>
        <w:t>十二、住房保障（类）住房改革支出（款）住房公积金（项）：</w:t>
      </w:r>
      <w:r>
        <w:rPr>
          <w:rFonts w:hint="default" w:ascii="Times New Roman" w:hAnsi="Times New Roman" w:eastAsia="仿宋_GB2312" w:cs="Times New Roman"/>
          <w:color w:val="auto"/>
          <w:sz w:val="32"/>
          <w:szCs w:val="32"/>
        </w:rPr>
        <w:t>指部门按人力资源和社会保障部、财政部规定的基本工资和津贴补贴以及规定比例为职工缴纳的住房公积金单位部分支出。</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000000"/>
          <w:kern w:val="2"/>
          <w:sz w:val="32"/>
          <w:szCs w:val="24"/>
        </w:rPr>
      </w:pPr>
      <w:r>
        <w:rPr>
          <w:rFonts w:hint="default" w:ascii="黑体" w:hAnsi="黑体" w:eastAsia="黑体" w:cs="黑体"/>
          <w:color w:val="000000"/>
          <w:sz w:val="32"/>
          <w:szCs w:val="24"/>
        </w:rPr>
        <w:t>十三、基本支出：</w:t>
      </w:r>
      <w:r>
        <w:rPr>
          <w:rFonts w:hint="default" w:ascii="Times New Roman" w:hAnsi="Times New Roman" w:eastAsia="仿宋_GB2312" w:cs="Times New Roman"/>
          <w:color w:val="000000"/>
          <w:kern w:val="2"/>
          <w:sz w:val="32"/>
          <w:szCs w:val="24"/>
        </w:rPr>
        <w:t>指为保障机构正常运转、完成日常工作任务而发生的人员支出和公用支出。</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000000"/>
          <w:kern w:val="2"/>
          <w:sz w:val="32"/>
          <w:szCs w:val="24"/>
        </w:rPr>
      </w:pPr>
      <w:r>
        <w:rPr>
          <w:rFonts w:hint="default" w:ascii="黑体" w:hAnsi="黑体" w:eastAsia="黑体" w:cs="黑体"/>
          <w:color w:val="000000"/>
          <w:sz w:val="32"/>
          <w:szCs w:val="24"/>
        </w:rPr>
        <w:t>十四、项目支出：</w:t>
      </w:r>
      <w:r>
        <w:rPr>
          <w:rFonts w:hint="default" w:ascii="Times New Roman" w:hAnsi="Times New Roman" w:eastAsia="仿宋_GB2312" w:cs="Times New Roman"/>
          <w:color w:val="000000"/>
          <w:kern w:val="2"/>
          <w:sz w:val="32"/>
          <w:szCs w:val="24"/>
        </w:rPr>
        <w:t xml:space="preserve">指在基本支出之外为完成特定行政任务和事业发展目标所发生的支出。 </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000000"/>
          <w:sz w:val="32"/>
          <w:szCs w:val="24"/>
        </w:rPr>
      </w:pPr>
      <w:r>
        <w:rPr>
          <w:rFonts w:hint="default" w:ascii="黑体" w:hAnsi="黑体" w:eastAsia="黑体" w:cs="黑体"/>
          <w:color w:val="000000"/>
          <w:sz w:val="32"/>
          <w:szCs w:val="24"/>
        </w:rPr>
        <w:t>十五、“三公”经费：</w:t>
      </w:r>
      <w:r>
        <w:rPr>
          <w:rFonts w:hint="default" w:ascii="Times New Roman" w:hAnsi="Times New Roman" w:eastAsia="仿宋_GB2312" w:cs="Times New Roman"/>
          <w:color w:val="000000"/>
          <w:sz w:val="32"/>
          <w:szCs w:val="24"/>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000000"/>
          <w:sz w:val="32"/>
          <w:szCs w:val="24"/>
        </w:rPr>
      </w:pPr>
      <w:r>
        <w:rPr>
          <w:rFonts w:hint="default" w:ascii="黑体" w:hAnsi="黑体" w:eastAsia="黑体" w:cs="黑体"/>
          <w:color w:val="000000"/>
          <w:sz w:val="32"/>
          <w:szCs w:val="24"/>
        </w:rPr>
        <w:t>十六、机关运行经费：</w:t>
      </w:r>
      <w:r>
        <w:rPr>
          <w:rFonts w:hint="default" w:ascii="Times New Roman" w:hAnsi="Times New Roman" w:eastAsia="仿宋_GB2312" w:cs="Times New Roman"/>
          <w:color w:val="000000"/>
          <w:sz w:val="32"/>
          <w:szCs w:val="24"/>
        </w:rPr>
        <w:t>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overflowPunct w:val="0"/>
        <w:topLinePunct/>
        <w:spacing w:line="576" w:lineRule="exact"/>
        <w:ind w:firstLine="880" w:firstLineChars="200"/>
        <w:jc w:val="both"/>
        <w:rPr>
          <w:rFonts w:hint="eastAsia" w:ascii="黑体" w:hAnsi="黑体" w:eastAsia="黑体"/>
          <w:color w:val="000000"/>
          <w:kern w:val="2"/>
          <w:sz w:val="44"/>
          <w:szCs w:val="24"/>
        </w:rPr>
      </w:pPr>
    </w:p>
    <w:p>
      <w:pPr>
        <w:overflowPunct w:val="0"/>
        <w:topLinePunct/>
        <w:spacing w:line="576" w:lineRule="exact"/>
        <w:ind w:firstLine="880" w:firstLineChars="200"/>
        <w:jc w:val="both"/>
        <w:rPr>
          <w:rFonts w:hint="eastAsia" w:ascii="黑体" w:hAnsi="黑体" w:eastAsia="黑体"/>
          <w:color w:val="000000"/>
          <w:kern w:val="2"/>
          <w:sz w:val="44"/>
          <w:szCs w:val="24"/>
        </w:rPr>
      </w:pPr>
    </w:p>
    <w:p>
      <w:pPr>
        <w:overflowPunct w:val="0"/>
        <w:topLinePunct/>
        <w:spacing w:line="576" w:lineRule="exact"/>
        <w:ind w:firstLine="880" w:firstLineChars="200"/>
        <w:jc w:val="both"/>
        <w:rPr>
          <w:rFonts w:hint="eastAsia" w:ascii="黑体" w:hAnsi="黑体" w:eastAsia="黑体"/>
          <w:color w:val="000000"/>
          <w:kern w:val="2"/>
          <w:sz w:val="44"/>
          <w:szCs w:val="24"/>
        </w:rPr>
      </w:pPr>
    </w:p>
    <w:p>
      <w:pPr>
        <w:overflowPunct w:val="0"/>
        <w:topLinePunct/>
        <w:spacing w:line="576" w:lineRule="exact"/>
        <w:ind w:firstLine="880" w:firstLineChars="200"/>
        <w:jc w:val="both"/>
        <w:rPr>
          <w:rFonts w:hint="eastAsia" w:ascii="黑体" w:hAnsi="黑体" w:eastAsia="黑体"/>
          <w:color w:val="000000"/>
          <w:kern w:val="2"/>
          <w:sz w:val="44"/>
          <w:szCs w:val="24"/>
        </w:rPr>
      </w:pPr>
    </w:p>
    <w:p>
      <w:pPr>
        <w:overflowPunct w:val="0"/>
        <w:topLinePunct/>
        <w:spacing w:line="576" w:lineRule="exact"/>
        <w:ind w:firstLine="880" w:firstLineChars="200"/>
        <w:jc w:val="both"/>
        <w:rPr>
          <w:rFonts w:hint="eastAsia" w:ascii="黑体" w:hAnsi="黑体" w:eastAsia="黑体"/>
          <w:color w:val="000000"/>
          <w:kern w:val="2"/>
          <w:sz w:val="44"/>
          <w:szCs w:val="24"/>
        </w:rPr>
      </w:pPr>
    </w:p>
    <w:p>
      <w:pPr>
        <w:overflowPunct w:val="0"/>
        <w:topLinePunct/>
        <w:spacing w:line="576" w:lineRule="exact"/>
        <w:ind w:firstLine="880" w:firstLineChars="200"/>
        <w:jc w:val="both"/>
        <w:rPr>
          <w:rFonts w:hint="eastAsia" w:ascii="黑体" w:hAnsi="黑体" w:eastAsia="黑体"/>
          <w:color w:val="000000"/>
          <w:kern w:val="2"/>
          <w:sz w:val="44"/>
          <w:szCs w:val="24"/>
        </w:rPr>
        <w:sectPr>
          <w:footerReference r:id="rId5" w:type="default"/>
          <w:pgSz w:w="12240" w:h="15840"/>
          <w:pgMar w:top="2098" w:right="1474" w:bottom="1984" w:left="1587" w:header="850" w:footer="1531" w:gutter="0"/>
          <w:paperSrc/>
          <w:lnNumType w:countBy="0" w:distance="360"/>
          <w:pgNumType w:fmt="decimal" w:start="1"/>
          <w:cols w:space="720" w:num="1"/>
          <w:rtlGutter w:val="0"/>
          <w:docGrid w:linePitch="0" w:charSpace="0"/>
        </w:sectPr>
      </w:pPr>
    </w:p>
    <w:p>
      <w:pPr>
        <w:keepNext w:val="0"/>
        <w:keepLines w:val="0"/>
        <w:pageBreakBefore w:val="0"/>
        <w:widowControl w:val="0"/>
        <w:kinsoku/>
        <w:wordWrap/>
        <w:overflowPunct w:val="0"/>
        <w:topLinePunct/>
        <w:autoSpaceDE w:val="0"/>
        <w:autoSpaceDN w:val="0"/>
        <w:bidi w:val="0"/>
        <w:adjustRightInd w:val="0"/>
        <w:snapToGrid/>
        <w:spacing w:line="576" w:lineRule="exact"/>
        <w:ind w:left="0" w:leftChars="0" w:firstLine="0" w:firstLineChars="0"/>
        <w:jc w:val="center"/>
        <w:textAlignment w:val="auto"/>
        <w:rPr>
          <w:rFonts w:hint="eastAsia" w:ascii="方正小标宋简体" w:hAnsi="方正小标宋简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rPr>
        <w:t>第四部分</w:t>
      </w:r>
      <w:r>
        <w:rPr>
          <w:rFonts w:hint="eastAsia" w:ascii="方正小标宋简体" w:hAnsi="方正小标宋简体" w:eastAsia="方正小标宋简体" w:cs="方正小标宋简体"/>
          <w:color w:val="000000"/>
          <w:kern w:val="2"/>
          <w:sz w:val="44"/>
          <w:szCs w:val="44"/>
          <w:lang w:val="en-US" w:eastAsia="zh-CN"/>
        </w:rPr>
        <w:t xml:space="preserve">  </w:t>
      </w:r>
      <w:r>
        <w:rPr>
          <w:rFonts w:hint="eastAsia" w:ascii="方正小标宋简体" w:hAnsi="方正小标宋简体" w:eastAsia="方正小标宋简体" w:cs="方正小标宋简体"/>
          <w:color w:val="000000"/>
          <w:kern w:val="2"/>
          <w:sz w:val="44"/>
          <w:szCs w:val="44"/>
        </w:rPr>
        <w:t>附件</w:t>
      </w:r>
    </w:p>
    <w:p>
      <w:pPr>
        <w:pStyle w:val="6"/>
        <w:keepNext w:val="0"/>
        <w:keepLines w:val="0"/>
        <w:pageBreakBefore w:val="0"/>
        <w:widowControl w:val="0"/>
        <w:kinsoku/>
        <w:wordWrap/>
        <w:autoSpaceDE w:val="0"/>
        <w:autoSpaceDN w:val="0"/>
        <w:bidi w:val="0"/>
        <w:adjustRightInd w:val="0"/>
        <w:snapToGrid/>
        <w:spacing w:beforeLines="0" w:line="576" w:lineRule="exact"/>
        <w:ind w:leftChars="0" w:firstLine="600" w:firstLineChars="200"/>
        <w:textAlignment w:val="auto"/>
        <w:rPr>
          <w:rFonts w:hint="default" w:ascii="Times New Roman" w:hAnsi="Times New Roman" w:cs="Times New Roman"/>
          <w:sz w:val="30"/>
          <w:szCs w:val="24"/>
        </w:rPr>
      </w:pPr>
    </w:p>
    <w:p>
      <w:pPr>
        <w:keepNext w:val="0"/>
        <w:keepLines w:val="0"/>
        <w:pageBreakBefore w:val="0"/>
        <w:widowControl w:val="0"/>
        <w:kinsoku/>
        <w:wordWrap/>
        <w:overflowPunct w:val="0"/>
        <w:topLinePunct/>
        <w:autoSpaceDE w:val="0"/>
        <w:autoSpaceDN w:val="0"/>
        <w:bidi w:val="0"/>
        <w:adjustRightInd w:val="0"/>
        <w:snapToGrid/>
        <w:spacing w:line="576" w:lineRule="exact"/>
        <w:ind w:left="0" w:leftChars="0" w:firstLine="0" w:firstLineChars="0"/>
        <w:jc w:val="both"/>
        <w:textAlignment w:val="auto"/>
        <w:rPr>
          <w:rFonts w:hint="default" w:ascii="Times New Roman" w:hAnsi="Times New Roman" w:eastAsia="黑体" w:cs="Times New Roman"/>
          <w:kern w:val="2"/>
          <w:sz w:val="32"/>
          <w:szCs w:val="24"/>
        </w:rPr>
      </w:pPr>
      <w:r>
        <w:rPr>
          <w:rFonts w:hint="default" w:ascii="Times New Roman" w:hAnsi="Times New Roman" w:eastAsia="黑体" w:cs="Times New Roman"/>
          <w:kern w:val="2"/>
          <w:sz w:val="32"/>
          <w:szCs w:val="24"/>
        </w:rPr>
        <w:t>部门预算项目支出绩效自评表（2023年度）</w:t>
      </w:r>
    </w:p>
    <w:p>
      <w:pPr>
        <w:keepNext w:val="0"/>
        <w:keepLines w:val="0"/>
        <w:pageBreakBefore w:val="0"/>
        <w:widowControl w:val="0"/>
        <w:kinsoku/>
        <w:wordWrap/>
        <w:autoSpaceDE w:val="0"/>
        <w:autoSpaceDN w:val="0"/>
        <w:bidi w:val="0"/>
        <w:adjustRightInd w:val="0"/>
        <w:snapToGrid/>
        <w:spacing w:line="576" w:lineRule="exact"/>
        <w:ind w:leftChars="0" w:firstLine="480" w:firstLineChars="200"/>
        <w:textAlignment w:val="auto"/>
        <w:rPr>
          <w:rFonts w:hint="default"/>
          <w:sz w:val="24"/>
          <w:szCs w:val="24"/>
        </w:rPr>
      </w:pPr>
    </w:p>
    <w:p>
      <w:pPr>
        <w:pStyle w:val="2"/>
        <w:keepNext w:val="0"/>
        <w:keepLines w:val="0"/>
        <w:pageBreakBefore w:val="0"/>
        <w:widowControl w:val="0"/>
        <w:kinsoku/>
        <w:wordWrap/>
        <w:autoSpaceDE w:val="0"/>
        <w:autoSpaceDN w:val="0"/>
        <w:bidi w:val="0"/>
        <w:adjustRightInd w:val="0"/>
        <w:snapToGrid/>
        <w:spacing w:after="0" w:line="576" w:lineRule="exact"/>
        <w:ind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附件1：事业单位年检、登记工作经费支出绩效自评表</w:t>
      </w:r>
    </w:p>
    <w:p>
      <w:pPr>
        <w:pStyle w:val="2"/>
        <w:keepNext w:val="0"/>
        <w:keepLines w:val="0"/>
        <w:pageBreakBefore w:val="0"/>
        <w:widowControl w:val="0"/>
        <w:kinsoku/>
        <w:wordWrap/>
        <w:autoSpaceDE w:val="0"/>
        <w:autoSpaceDN w:val="0"/>
        <w:bidi w:val="0"/>
        <w:adjustRightInd w:val="0"/>
        <w:snapToGrid/>
        <w:spacing w:after="0" w:line="576" w:lineRule="exact"/>
        <w:ind w:leftChars="0" w:firstLine="640" w:firstLineChars="200"/>
        <w:textAlignment w:val="auto"/>
        <w:rPr>
          <w:rFonts w:hint="default" w:ascii="Times New Roman" w:hAnsi="Times New Roman" w:eastAsia="黑体" w:cs="Times New Roman"/>
          <w:sz w:val="32"/>
          <w:szCs w:val="32"/>
        </w:rPr>
        <w:sectPr>
          <w:pgSz w:w="12240" w:h="15840"/>
          <w:pgMar w:top="2098" w:right="1474" w:bottom="1984" w:left="1587" w:header="720" w:footer="720" w:gutter="0"/>
          <w:lnNumType w:countBy="0" w:distance="360"/>
          <w:pgNumType w:fmt="decimal"/>
          <w:cols w:space="720" w:num="1"/>
        </w:sectPr>
      </w:pPr>
      <w:r>
        <w:rPr>
          <w:rFonts w:hint="default" w:ascii="Times New Roman" w:hAnsi="Times New Roman" w:eastAsia="黑体" w:cs="Times New Roman"/>
          <w:sz w:val="32"/>
          <w:szCs w:val="32"/>
        </w:rPr>
        <w:t>附件2：审改办经费等4个运转类项目支出绩效自评表</w:t>
      </w:r>
    </w:p>
    <w:p>
      <w:pPr>
        <w:pStyle w:val="2"/>
        <w:ind w:leftChars="0" w:firstLine="0" w:firstLineChars="0"/>
        <w:rPr>
          <w:rFonts w:hint="eastAsia" w:ascii="黑体" w:hAnsi="黑体" w:eastAsia="黑体" w:cs="黑体"/>
          <w:sz w:val="32"/>
          <w:szCs w:val="32"/>
        </w:rPr>
      </w:pPr>
      <w:r>
        <w:rPr>
          <w:rFonts w:hint="eastAsia" w:ascii="黑体" w:hAnsi="黑体" w:eastAsia="黑体" w:cs="黑体"/>
          <w:sz w:val="32"/>
          <w:szCs w:val="32"/>
        </w:rPr>
        <w:t>附件1</w:t>
      </w:r>
    </w:p>
    <w:p>
      <w:pPr>
        <w:pStyle w:val="2"/>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color w:val="000000"/>
          <w:sz w:val="36"/>
          <w:szCs w:val="36"/>
          <w:lang w:bidi="ar"/>
        </w:rPr>
        <w:t>广元市昭化区财政项目（政策）支出绩效自评表</w:t>
      </w:r>
    </w:p>
    <w:p>
      <w:pPr>
        <w:jc w:val="center"/>
        <w:rPr>
          <w:rFonts w:hint="eastAsia" w:eastAsia="黑体"/>
          <w:sz w:val="24"/>
          <w:szCs w:val="24"/>
        </w:rPr>
      </w:pPr>
      <w:r>
        <w:rPr>
          <w:rFonts w:hint="default" w:hAnsi="宋体" w:cs="宋体"/>
          <w:b/>
          <w:color w:val="000000"/>
          <w:sz w:val="24"/>
          <w:szCs w:val="24"/>
          <w:lang w:bidi="ar"/>
        </w:rPr>
        <w:t>（2023年度）</w:t>
      </w:r>
    </w:p>
    <w:tbl>
      <w:tblPr>
        <w:tblStyle w:val="10"/>
        <w:tblW w:w="98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7"/>
        <w:gridCol w:w="795"/>
        <w:gridCol w:w="1129"/>
        <w:gridCol w:w="1140"/>
        <w:gridCol w:w="2038"/>
        <w:gridCol w:w="1380"/>
        <w:gridCol w:w="1065"/>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171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810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事业单位年检、登记工作经费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71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430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中共广元市昭化区委机构编制委员会办公室</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24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中共广元市昭化区委机构编制委员会办公室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12"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269" w:type="dxa"/>
            <w:gridSpan w:val="2"/>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2038"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380"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065"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350"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12"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9.44</w:t>
            </w:r>
          </w:p>
        </w:tc>
        <w:tc>
          <w:tcPr>
            <w:tcW w:w="1350"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12"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9.44</w:t>
            </w:r>
          </w:p>
        </w:tc>
        <w:tc>
          <w:tcPr>
            <w:tcW w:w="1350"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12"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9.44</w:t>
            </w:r>
          </w:p>
        </w:tc>
        <w:tc>
          <w:tcPr>
            <w:tcW w:w="1350" w:type="dxa"/>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12"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712"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12"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91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510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37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91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510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对符合法定条件的登记申请应当核准登记，向核准设立登记的事业单位颁发《事业单位法人证书》，通过年度报告书，掌握事业单位的运转情况，对事业单位进行动态管理。</w:t>
            </w:r>
          </w:p>
        </w:tc>
        <w:tc>
          <w:tcPr>
            <w:tcW w:w="37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全区机关事业单位登记、年检覆盖率超过100%且质量较高，公示公告完成单位超过100家；且社会评价度好，年检注册单位满意度较高，各项指标完成全年计划的100%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91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eastAsia="宋体" w:cs="宋体"/>
                <w:color w:val="000000"/>
                <w:sz w:val="18"/>
                <w:szCs w:val="18"/>
                <w:lang w:eastAsia="zh-CN" w:bidi="ar"/>
              </w:rPr>
            </w:pPr>
            <w:r>
              <w:rPr>
                <w:rFonts w:hint="default" w:hAnsi="宋体" w:cs="宋体"/>
                <w:color w:val="000000"/>
                <w:sz w:val="18"/>
                <w:szCs w:val="18"/>
                <w:lang w:bidi="ar"/>
              </w:rPr>
              <w:t>绩效</w:t>
            </w:r>
          </w:p>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7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1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79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12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公示公告完成情况</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≥100处</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113处</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1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指标2：</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Style w:val="19"/>
                <w:rFonts w:hint="default"/>
                <w:sz w:val="18"/>
                <w:szCs w:val="18"/>
                <w:lang w:bidi="ar"/>
              </w:rPr>
              <w:t>机关事业单位覆盖率（实际年检单位/应登记年检单位个数）*100%）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1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按要求完成事业单位年检、登记工作</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高中低</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高</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91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Style w:val="19"/>
                <w:rFonts w:hint="default"/>
                <w:sz w:val="18"/>
                <w:szCs w:val="18"/>
                <w:lang w:bidi="ar"/>
              </w:rPr>
              <w:t>登记完成时间及时率(计划完成任务时间-实际完成任务时间/计划完成任务时间)</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91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年检、登记公示成本</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≤100000元</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94418.72元</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1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7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129" w:type="dxa"/>
            <w:tcBorders>
              <w:top w:val="single" w:color="000000" w:sz="4" w:space="0"/>
              <w:left w:val="single" w:color="000000" w:sz="4" w:space="0"/>
              <w:bottom w:val="nil"/>
              <w:right w:val="single" w:color="000000" w:sz="4" w:space="0"/>
              <w:tl2br w:val="nil"/>
              <w:tr2bl w:val="nil"/>
            </w:tcBorders>
            <w:noWrap w:val="0"/>
            <w:vAlign w:val="center"/>
          </w:tcPr>
          <w:p>
            <w:pPr>
              <w:widowControl/>
              <w:jc w:val="center"/>
              <w:textAlignment w:val="center"/>
              <w:rPr>
                <w:rFonts w:hint="eastAsia" w:hAnsi="宋体" w:eastAsia="宋体" w:cs="宋体"/>
                <w:color w:val="000000"/>
                <w:sz w:val="18"/>
                <w:szCs w:val="18"/>
                <w:lang w:eastAsia="zh-CN" w:bidi="ar"/>
              </w:rPr>
            </w:pPr>
            <w:r>
              <w:rPr>
                <w:rFonts w:hint="default" w:hAnsi="宋体" w:cs="宋体"/>
                <w:color w:val="000000"/>
                <w:sz w:val="18"/>
                <w:szCs w:val="18"/>
                <w:lang w:bidi="ar"/>
              </w:rPr>
              <w:t>社会效益</w:t>
            </w:r>
          </w:p>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社会评价度</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高中低</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高</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1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c>
          <w:tcPr>
            <w:tcW w:w="7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eastAsia="宋体" w:cs="宋体"/>
                <w:color w:val="000000"/>
                <w:sz w:val="18"/>
                <w:szCs w:val="18"/>
                <w:lang w:eastAsia="zh-CN" w:bidi="ar"/>
              </w:rPr>
            </w:pPr>
            <w:r>
              <w:rPr>
                <w:rFonts w:hint="default" w:hAnsi="宋体" w:cs="宋体"/>
                <w:color w:val="000000"/>
                <w:sz w:val="18"/>
                <w:szCs w:val="18"/>
                <w:lang w:bidi="ar"/>
              </w:rPr>
              <w:t>满意度</w:t>
            </w:r>
          </w:p>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指标：</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登记、年检注册单位满意度</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hAnsi="宋体" w:cs="宋体"/>
                <w:color w:val="000000"/>
                <w:sz w:val="18"/>
                <w:szCs w:val="18"/>
              </w:rPr>
            </w:pPr>
          </w:p>
        </w:tc>
      </w:tr>
    </w:tbl>
    <w:p>
      <w:pPr>
        <w:pStyle w:val="2"/>
        <w:ind w:leftChars="0" w:firstLine="0" w:firstLineChars="0"/>
        <w:jc w:val="center"/>
        <w:rPr>
          <w:rFonts w:hint="eastAsia" w:ascii="黑体" w:hAnsi="黑体" w:eastAsia="黑体"/>
          <w:kern w:val="44"/>
          <w:sz w:val="44"/>
          <w:szCs w:val="24"/>
        </w:rPr>
      </w:pPr>
      <w:r>
        <w:rPr>
          <w:rFonts w:hint="default"/>
          <w:sz w:val="24"/>
          <w:szCs w:val="24"/>
        </w:rPr>
        <w:object>
          <v:shape id="_x0000_i1046" o:spt="75" type="#_x0000_t75" style="height:582.05pt;width:470.05pt;" o:ole="t" filled="f" o:preferrelative="t" stroked="f" coordsize="21600,21600">
            <v:path/>
            <v:fill on="f" focussize="0,0"/>
            <v:stroke on="f"/>
            <v:imagedata r:id="rId22" o:title=""/>
            <o:lock v:ext="edit" aspectratio="t"/>
            <w10:wrap type="none"/>
            <w10:anchorlock/>
          </v:shape>
          <o:OLEObject Type="Embed" ProgID="Excel.Sheet.8" ShapeID="_x0000_i1046" DrawAspect="Content" ObjectID="_1468075732" r:id="rId21">
            <o:LockedField>false</o:LockedField>
          </o:OLEObject>
        </w:object>
      </w:r>
      <w:r>
        <w:rPr>
          <w:rFonts w:hint="eastAsia" w:ascii="方正小标宋简体" w:hAnsi="方正小标宋简体" w:eastAsia="方正小标宋简体" w:cs="方正小标宋简体"/>
          <w:color w:val="000000"/>
          <w:kern w:val="2"/>
          <w:sz w:val="44"/>
          <w:szCs w:val="44"/>
        </w:rPr>
        <w:t>第</w:t>
      </w:r>
      <w:r>
        <w:rPr>
          <w:rFonts w:hint="eastAsia" w:ascii="方正小标宋简体" w:hAnsi="方正小标宋简体" w:eastAsia="方正小标宋简体" w:cs="方正小标宋简体"/>
          <w:kern w:val="44"/>
          <w:sz w:val="44"/>
          <w:szCs w:val="44"/>
        </w:rPr>
        <w:t>五部分</w:t>
      </w:r>
      <w:r>
        <w:rPr>
          <w:rFonts w:hint="eastAsia" w:ascii="方正小标宋简体" w:hAnsi="方正小标宋简体" w:eastAsia="方正小标宋简体" w:cs="方正小标宋简体"/>
          <w:kern w:val="44"/>
          <w:sz w:val="44"/>
          <w:szCs w:val="44"/>
          <w:lang w:val="en-US" w:eastAsia="zh-CN"/>
        </w:rPr>
        <w:t xml:space="preserve">  </w:t>
      </w:r>
      <w:r>
        <w:rPr>
          <w:rFonts w:hint="eastAsia" w:ascii="方正小标宋简体" w:hAnsi="方正小标宋简体" w:eastAsia="方正小标宋简体" w:cs="方正小标宋简体"/>
          <w:kern w:val="44"/>
          <w:sz w:val="44"/>
          <w:szCs w:val="44"/>
        </w:rPr>
        <w:t>附表</w:t>
      </w:r>
    </w:p>
    <w:p>
      <w:pPr>
        <w:pStyle w:val="6"/>
        <w:spacing w:before="72"/>
        <w:rPr>
          <w:rFonts w:hint="eastAsia"/>
          <w:sz w:val="30"/>
          <w:szCs w:val="24"/>
        </w:rPr>
      </w:pPr>
    </w:p>
    <w:p>
      <w:pPr>
        <w:pStyle w:val="5"/>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p>
    <w:p>
      <w:pPr>
        <w:pStyle w:val="5"/>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p>
    <w:p>
      <w:pPr>
        <w:pStyle w:val="5"/>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p>
    <w:p>
      <w:pPr>
        <w:pStyle w:val="5"/>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p>
    <w:p>
      <w:pPr>
        <w:pStyle w:val="5"/>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p>
    <w:p>
      <w:pPr>
        <w:pStyle w:val="5"/>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p>
    <w:p>
      <w:pPr>
        <w:pStyle w:val="5"/>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p>
    <w:p>
      <w:pPr>
        <w:pStyle w:val="5"/>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p>
    <w:p>
      <w:pPr>
        <w:pStyle w:val="5"/>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p>
    <w:p>
      <w:pPr>
        <w:pStyle w:val="5"/>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p>
    <w:p>
      <w:pPr>
        <w:pStyle w:val="5"/>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十一、国有资本经营预算财政拨款收入支出决算表</w:t>
      </w:r>
    </w:p>
    <w:p>
      <w:pPr>
        <w:pStyle w:val="5"/>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p>
    <w:p>
      <w:pPr>
        <w:pStyle w:val="5"/>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十三、财政拨款“三公”经费支出决算表</w:t>
      </w:r>
    </w:p>
    <w:p>
      <w:pPr>
        <w:overflowPunct w:val="0"/>
        <w:topLinePunct/>
        <w:spacing w:line="576" w:lineRule="exact"/>
        <w:ind w:firstLine="600" w:firstLineChars="200"/>
        <w:jc w:val="both"/>
        <w:rPr>
          <w:rFonts w:hint="eastAsia" w:ascii="方正小标宋简体" w:hAnsi="方正小标宋简体" w:eastAsia="方正小标宋简体"/>
          <w:color w:val="000000"/>
          <w:kern w:val="2"/>
          <w:sz w:val="30"/>
          <w:szCs w:val="24"/>
        </w:rPr>
      </w:pPr>
    </w:p>
    <w:sectPr>
      <w:pgSz w:w="12240" w:h="15840"/>
      <w:pgMar w:top="2098" w:right="1474" w:bottom="1984" w:left="1587" w:header="720" w:footer="720" w:gutter="0"/>
      <w:lnNumType w:countBy="0" w:distance="36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E74E10-4220-40AF-9AAB-E61BCB6A39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1" w:usb1="080E0000" w:usb2="00000000" w:usb3="00000000" w:csb0="00040000" w:csb1="00000000"/>
    <w:embedRegular r:id="rId2" w:fontKey="{A547CE01-8CAD-4F53-8E9A-FF94EE613D31}"/>
  </w:font>
  <w:font w:name="仿宋">
    <w:panose1 w:val="02010609060101010101"/>
    <w:charset w:val="86"/>
    <w:family w:val="auto"/>
    <w:pitch w:val="default"/>
    <w:sig w:usb0="800002BF" w:usb1="38CF7CFA" w:usb2="00000016" w:usb3="00000000" w:csb0="00040001" w:csb1="00000000"/>
    <w:embedRegular r:id="rId3" w:fontKey="{2DACA64E-362B-4D2F-A6AB-63E2BC4AAB19}"/>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4" w:fontKey="{6295676C-0796-4585-9971-6F57A29378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keepNext w:val="0"/>
                            <w:keepLines w:val="0"/>
                            <w:pageBreakBefore w:val="0"/>
                            <w:widowControl w:val="0"/>
                            <w:kinsoku/>
                            <w:wordWrap/>
                            <w:overflowPunct/>
                            <w:topLinePunct w:val="0"/>
                            <w:bidi w:val="0"/>
                            <w:adjustRightInd w:val="0"/>
                            <w:snapToGrid w:val="0"/>
                            <w:ind w:left="240" w:leftChars="100" w:right="24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pPr>
                      <w:pStyle w:val="7"/>
                      <w:keepNext w:val="0"/>
                      <w:keepLines w:val="0"/>
                      <w:pageBreakBefore w:val="0"/>
                      <w:widowControl w:val="0"/>
                      <w:kinsoku/>
                      <w:wordWrap/>
                      <w:overflowPunct/>
                      <w:topLinePunct w:val="0"/>
                      <w:bidi w:val="0"/>
                      <w:adjustRightInd w:val="0"/>
                      <w:snapToGrid w:val="0"/>
                      <w:ind w:left="240" w:leftChars="100" w:right="24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172A27"/>
    <w:rsid w:val="03EB097D"/>
    <w:rsid w:val="19AA1F2B"/>
    <w:rsid w:val="2DAC7415"/>
    <w:rsid w:val="354A1615"/>
    <w:rsid w:val="39DD25C0"/>
    <w:rsid w:val="441647C1"/>
    <w:rsid w:val="49023AFF"/>
    <w:rsid w:val="4E793E05"/>
    <w:rsid w:val="50680375"/>
    <w:rsid w:val="6B18480D"/>
    <w:rsid w:val="6C6E4693"/>
    <w:rsid w:val="7C5C7A03"/>
    <w:rsid w:val="7FD21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next w:val="2"/>
    <w:unhideWhenUsed/>
    <w:qFormat/>
    <w:uiPriority w:val="99"/>
    <w:pPr>
      <w:widowControl w:val="0"/>
      <w:autoSpaceDE w:val="0"/>
      <w:autoSpaceDN w:val="0"/>
      <w:adjustRightInd w:val="0"/>
    </w:pPr>
    <w:rPr>
      <w:rFonts w:hint="default" w:ascii="宋体" w:hAnsi="Times New Roman" w:eastAsia="宋体" w:cs="Times New Roman"/>
      <w:sz w:val="24"/>
      <w:szCs w:val="24"/>
      <w:lang w:val="en-US" w:eastAsia="zh-CN" w:bidi="ar-SA"/>
    </w:rPr>
  </w:style>
  <w:style w:type="paragraph" w:styleId="4">
    <w:name w:val="heading 1"/>
    <w:basedOn w:val="1"/>
    <w:link w:val="12"/>
    <w:unhideWhenUsed/>
    <w:qFormat/>
    <w:uiPriority w:val="99"/>
    <w:pPr>
      <w:outlineLvl w:val="0"/>
    </w:pPr>
    <w:rPr>
      <w:rFonts w:hint="default"/>
      <w:sz w:val="24"/>
      <w:szCs w:val="24"/>
    </w:rPr>
  </w:style>
  <w:style w:type="paragraph" w:styleId="5">
    <w:name w:val="heading 2"/>
    <w:basedOn w:val="1"/>
    <w:link w:val="13"/>
    <w:unhideWhenUsed/>
    <w:qFormat/>
    <w:uiPriority w:val="99"/>
    <w:pPr>
      <w:outlineLvl w:val="1"/>
    </w:pPr>
    <w:rPr>
      <w:rFonts w:hint="default"/>
      <w:sz w:val="24"/>
      <w:szCs w:val="24"/>
    </w:rPr>
  </w:style>
  <w:style w:type="character" w:default="1" w:styleId="11">
    <w:name w:val="Default Paragraph Font"/>
    <w:unhideWhenUsed/>
    <w:uiPriority w:val="99"/>
    <w:rPr>
      <w:rFonts w:hint="default"/>
      <w:sz w:val="24"/>
      <w:szCs w:val="24"/>
    </w:rPr>
  </w:style>
  <w:style w:type="table" w:default="1" w:styleId="10">
    <w:name w:val="Normal Table"/>
    <w:qFormat/>
    <w:uiPriority w:val="99"/>
    <w:tblPr>
      <w:tblStyle w:val="10"/>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rPr>
      <w:rFonts w:hint="default"/>
      <w:sz w:val="24"/>
      <w:szCs w:val="32"/>
    </w:rPr>
  </w:style>
  <w:style w:type="paragraph" w:styleId="3">
    <w:name w:val="Body Text Indent"/>
    <w:basedOn w:val="1"/>
    <w:unhideWhenUsed/>
    <w:qFormat/>
    <w:uiPriority w:val="0"/>
    <w:pPr>
      <w:spacing w:after="120"/>
      <w:ind w:leftChars="200"/>
    </w:pPr>
    <w:rPr>
      <w:rFonts w:hint="default"/>
      <w:sz w:val="24"/>
      <w:szCs w:val="32"/>
    </w:rPr>
  </w:style>
  <w:style w:type="paragraph" w:styleId="6">
    <w:name w:val="Body Text"/>
    <w:basedOn w:val="1"/>
    <w:link w:val="14"/>
    <w:unhideWhenUsed/>
    <w:qFormat/>
    <w:uiPriority w:val="99"/>
    <w:pPr>
      <w:spacing w:beforeLines="30"/>
    </w:pPr>
    <w:rPr>
      <w:rFonts w:hint="eastAsia" w:ascii="仿宋_GB2312" w:eastAsia="仿宋_GB2312"/>
      <w:sz w:val="30"/>
      <w:szCs w:val="24"/>
    </w:rPr>
  </w:style>
  <w:style w:type="paragraph" w:styleId="7">
    <w:name w:val="footer"/>
    <w:basedOn w:val="1"/>
    <w:link w:val="15"/>
    <w:unhideWhenUsed/>
    <w:qFormat/>
    <w:uiPriority w:val="99"/>
    <w:pPr>
      <w:tabs>
        <w:tab w:val="center" w:pos="4153"/>
        <w:tab w:val="right" w:pos="8306"/>
      </w:tabs>
      <w:snapToGrid w:val="0"/>
    </w:pPr>
    <w:rPr>
      <w:rFonts w:hint="default"/>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hint="default"/>
      <w:sz w:val="18"/>
      <w:szCs w:val="18"/>
    </w:rPr>
  </w:style>
  <w:style w:type="paragraph" w:styleId="9">
    <w:name w:val="footnote text"/>
    <w:basedOn w:val="1"/>
    <w:next w:val="2"/>
    <w:unhideWhenUsed/>
    <w:qFormat/>
    <w:uiPriority w:val="0"/>
    <w:pPr>
      <w:snapToGrid w:val="0"/>
    </w:pPr>
    <w:rPr>
      <w:rFonts w:hint="default"/>
      <w:sz w:val="18"/>
      <w:szCs w:val="18"/>
    </w:rPr>
  </w:style>
  <w:style w:type="character" w:customStyle="1" w:styleId="12">
    <w:name w:val="标题 1 Char"/>
    <w:basedOn w:val="11"/>
    <w:link w:val="4"/>
    <w:unhideWhenUsed/>
    <w:locked/>
    <w:uiPriority w:val="9"/>
    <w:rPr>
      <w:rFonts w:hint="default" w:cs="Times New Roman"/>
      <w:b/>
      <w:kern w:val="44"/>
      <w:sz w:val="44"/>
      <w:szCs w:val="44"/>
    </w:rPr>
  </w:style>
  <w:style w:type="character" w:customStyle="1" w:styleId="13">
    <w:name w:val="标题 2 Char"/>
    <w:basedOn w:val="11"/>
    <w:link w:val="5"/>
    <w:unhideWhenUsed/>
    <w:locked/>
    <w:uiPriority w:val="9"/>
    <w:rPr>
      <w:rFonts w:hint="default" w:ascii="宋体" w:hAnsi="Cambria" w:eastAsia="宋体" w:cs="Times New Roman"/>
      <w:b/>
      <w:sz w:val="32"/>
      <w:szCs w:val="32"/>
    </w:rPr>
  </w:style>
  <w:style w:type="character" w:customStyle="1" w:styleId="14">
    <w:name w:val="正文文本 Char"/>
    <w:basedOn w:val="11"/>
    <w:link w:val="6"/>
    <w:unhideWhenUsed/>
    <w:locked/>
    <w:uiPriority w:val="99"/>
    <w:rPr>
      <w:rFonts w:hint="default" w:cs="Times New Roman"/>
      <w:sz w:val="24"/>
      <w:szCs w:val="24"/>
    </w:rPr>
  </w:style>
  <w:style w:type="character" w:customStyle="1" w:styleId="15">
    <w:name w:val="页脚 Char"/>
    <w:basedOn w:val="11"/>
    <w:link w:val="7"/>
    <w:unhideWhenUsed/>
    <w:locked/>
    <w:uiPriority w:val="99"/>
    <w:rPr>
      <w:rFonts w:hint="default" w:cs="Times New Roman"/>
      <w:sz w:val="18"/>
      <w:szCs w:val="18"/>
    </w:rPr>
  </w:style>
  <w:style w:type="character" w:customStyle="1" w:styleId="16">
    <w:name w:val="页眉 Char"/>
    <w:basedOn w:val="11"/>
    <w:link w:val="8"/>
    <w:unhideWhenUsed/>
    <w:locked/>
    <w:uiPriority w:val="99"/>
    <w:rPr>
      <w:rFonts w:hint="default" w:cs="Times New Roman"/>
      <w:sz w:val="18"/>
      <w:szCs w:val="18"/>
    </w:rPr>
  </w:style>
  <w:style w:type="paragraph" w:customStyle="1" w:styleId="17">
    <w:name w:val="Default"/>
    <w:unhideWhenUsed/>
    <w:qFormat/>
    <w:uiPriority w:val="99"/>
    <w:pPr>
      <w:widowControl w:val="0"/>
      <w:autoSpaceDE w:val="0"/>
      <w:autoSpaceDN w:val="0"/>
      <w:adjustRightInd w:val="0"/>
      <w:spacing w:beforeLines="0" w:afterLines="0"/>
    </w:pPr>
    <w:rPr>
      <w:rFonts w:hint="eastAsia" w:ascii="仿宋" w:hAnsi="Calibri" w:eastAsia="仿宋" w:cs="仿宋"/>
      <w:color w:val="000000"/>
      <w:sz w:val="24"/>
      <w:szCs w:val="24"/>
      <w:lang w:val="en-US" w:eastAsia="zh-CN" w:bidi="ar-SA"/>
    </w:rPr>
  </w:style>
  <w:style w:type="character" w:customStyle="1" w:styleId="18">
    <w:name w:val="NormalCharacter"/>
    <w:unhideWhenUsed/>
    <w:qFormat/>
    <w:uiPriority w:val="0"/>
    <w:rPr>
      <w:rFonts w:hint="eastAsia" w:ascii="Times New Roman" w:hAnsi="Times New Roman" w:eastAsia="Times New Roman" w:cs="Times New Roman"/>
      <w:sz w:val="24"/>
      <w:szCs w:val="24"/>
    </w:rPr>
  </w:style>
  <w:style w:type="character" w:customStyle="1" w:styleId="19">
    <w:name w:val="font41"/>
    <w:basedOn w:val="11"/>
    <w:unhideWhenUsed/>
    <w:uiPriority w:val="0"/>
    <w:rPr>
      <w:rFonts w:hint="default"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8.emf"/><Relationship Id="rId21" Type="http://schemas.openxmlformats.org/officeDocument/2006/relationships/oleObject" Target="embeddings/oleObject8.bin"/><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8366</Words>
  <Characters>8875</Characters>
  <TotalTime>7</TotalTime>
  <ScaleCrop>false</ScaleCrop>
  <LinksUpToDate>false</LinksUpToDate>
  <CharactersWithSpaces>8953</CharactersWithSpaces>
  <Application>WPS Office_11.1.0.11194_F1E327BC-269C-435d-A152-05C5408002CA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2024-09-25T07:47:15Z</dcterms:created>
  <dc:creator>Administrator</dc:creator>
  <cp:lastModifiedBy>生生不息</cp:lastModifiedBy>
  <cp:lastPrinted>2024-09-26T06:47:13Z</cp:lastPrinted>
  <dcterms:modified xsi:type="dcterms:W3CDTF">2024-09-26T08:26:35Z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0AF4319A835B42B2913C7D49AD7909A2</vt:lpwstr>
  </property>
</Properties>
</file>