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9706">
      <w:pPr>
        <w:spacing w:line="600" w:lineRule="exact"/>
        <w:jc w:val="center"/>
        <w:outlineLvl w:val="0"/>
        <w:rPr>
          <w:rFonts w:ascii="方正小标宋简体" w:hAnsi="宋体" w:eastAsia="方正小标宋简体"/>
          <w:sz w:val="72"/>
          <w:szCs w:val="72"/>
        </w:rPr>
      </w:pPr>
      <w:bookmarkStart w:id="0" w:name="_Toc15306267"/>
    </w:p>
    <w:p w14:paraId="1852561B">
      <w:pPr>
        <w:spacing w:line="600" w:lineRule="exact"/>
        <w:jc w:val="center"/>
        <w:outlineLvl w:val="0"/>
        <w:rPr>
          <w:rFonts w:ascii="方正小标宋简体" w:hAnsi="宋体" w:eastAsia="方正小标宋简体"/>
          <w:sz w:val="72"/>
          <w:szCs w:val="72"/>
        </w:rPr>
      </w:pPr>
    </w:p>
    <w:bookmarkEnd w:id="0"/>
    <w:p w14:paraId="6A6DBA3B">
      <w:pPr>
        <w:adjustRightInd w:val="0"/>
        <w:snapToGrid w:val="0"/>
        <w:spacing w:line="1000" w:lineRule="exact"/>
        <w:jc w:val="center"/>
        <w:outlineLvl w:val="0"/>
        <w:rPr>
          <w:rFonts w:hint="eastAsia" w:ascii="方正小标宋简体" w:hAnsi="宋体" w:eastAsia="方正小标宋简体"/>
          <w:color w:val="000000"/>
          <w:sz w:val="44"/>
          <w:szCs w:val="44"/>
        </w:rPr>
      </w:pPr>
      <w:bookmarkStart w:id="1" w:name="_Toc15377426"/>
      <w:bookmarkStart w:id="2" w:name="_Toc15396476"/>
      <w:bookmarkStart w:id="3" w:name="_Toc15396598"/>
      <w:bookmarkStart w:id="4" w:name="_Toc15377194"/>
      <w:bookmarkStart w:id="5" w:name="_Toc15378442"/>
      <w:bookmarkStart w:id="6" w:name="_Toc15306268"/>
      <w:r>
        <w:rPr>
          <w:rFonts w:hint="eastAsia" w:ascii="方正小标宋简体" w:hAnsi="宋体" w:eastAsia="方正小标宋简体"/>
          <w:color w:val="000000"/>
          <w:sz w:val="44"/>
          <w:szCs w:val="44"/>
        </w:rPr>
        <w:t>四川省广元市昭化区</w:t>
      </w:r>
    </w:p>
    <w:p w14:paraId="26344E12">
      <w:pPr>
        <w:adjustRightInd w:val="0"/>
        <w:snapToGrid w:val="0"/>
        <w:spacing w:line="1000" w:lineRule="exact"/>
        <w:jc w:val="center"/>
        <w:outlineLvl w:val="0"/>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人民代表大会常务委员会办公室</w:t>
      </w:r>
    </w:p>
    <w:p w14:paraId="0B9D6DFA">
      <w:pPr>
        <w:adjustRightInd w:val="0"/>
        <w:snapToGrid w:val="0"/>
        <w:spacing w:line="1000" w:lineRule="exact"/>
        <w:jc w:val="center"/>
        <w:outlineLvl w:val="0"/>
        <w:rPr>
          <w:rFonts w:hint="eastAsia" w:ascii="方正小标宋简体" w:hAnsi="宋体" w:eastAsia="方正小标宋简体"/>
          <w:color w:val="000000"/>
          <w:sz w:val="44"/>
          <w:szCs w:val="44"/>
          <w:lang w:eastAsia="zh-CN"/>
        </w:rPr>
      </w:pPr>
      <w:r>
        <w:rPr>
          <w:rFonts w:hint="eastAsia" w:ascii="方正小标宋简体" w:hAnsi="宋体" w:eastAsia="方正小标宋简体"/>
          <w:color w:val="000000"/>
          <w:sz w:val="44"/>
          <w:szCs w:val="44"/>
          <w:lang w:val="en-US" w:eastAsia="zh-CN"/>
        </w:rPr>
        <w:t>2023年度</w:t>
      </w:r>
      <w:r>
        <w:rPr>
          <w:rFonts w:hint="eastAsia" w:ascii="方正小标宋简体" w:hAnsi="宋体" w:eastAsia="方正小标宋简体"/>
          <w:color w:val="000000"/>
          <w:sz w:val="44"/>
          <w:szCs w:val="44"/>
        </w:rPr>
        <w:t>部门决算</w:t>
      </w:r>
      <w:bookmarkEnd w:id="1"/>
      <w:bookmarkEnd w:id="2"/>
      <w:bookmarkEnd w:id="3"/>
      <w:bookmarkEnd w:id="4"/>
      <w:bookmarkEnd w:id="5"/>
      <w:bookmarkEnd w:id="6"/>
      <w:r>
        <w:rPr>
          <w:rFonts w:hint="eastAsia" w:ascii="方正小标宋简体" w:hAnsi="宋体" w:eastAsia="方正小标宋简体"/>
          <w:color w:val="000000"/>
          <w:sz w:val="44"/>
          <w:szCs w:val="44"/>
          <w:lang w:eastAsia="zh-CN"/>
        </w:rPr>
        <w:t>公开</w:t>
      </w:r>
    </w:p>
    <w:p w14:paraId="38F98AA6">
      <w:pPr>
        <w:pStyle w:val="7"/>
      </w:pPr>
    </w:p>
    <w:p w14:paraId="294A68EA">
      <w:pPr>
        <w:widowControl/>
        <w:jc w:val="center"/>
        <w:rPr>
          <w:rFonts w:ascii="黑体" w:hAnsi="黑体" w:eastAsia="黑体"/>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30D440AE">
      <w:pPr>
        <w:widowControl/>
        <w:jc w:val="center"/>
        <w:rPr>
          <w:rFonts w:ascii="黑体" w:hAnsi="黑体" w:eastAsia="黑体"/>
          <w:sz w:val="48"/>
          <w:szCs w:val="48"/>
        </w:rPr>
      </w:pPr>
      <w:r>
        <w:rPr>
          <w:rFonts w:hint="eastAsia" w:ascii="黑体" w:hAnsi="黑体" w:eastAsia="黑体"/>
          <w:sz w:val="48"/>
          <w:szCs w:val="48"/>
        </w:rPr>
        <w:t>目    录</w:t>
      </w:r>
    </w:p>
    <w:p w14:paraId="3D6400B8">
      <w:pPr>
        <w:pStyle w:val="12"/>
        <w:adjustRightInd w:val="0"/>
        <w:snapToGrid w:val="0"/>
        <w:spacing w:before="0" w:line="460" w:lineRule="exact"/>
        <w:jc w:val="left"/>
        <w:rPr>
          <w:rFonts w:cstheme="minorBidi"/>
          <w:sz w:val="24"/>
          <w:szCs w:val="24"/>
        </w:rPr>
      </w:pPr>
      <w:r>
        <w:rPr>
          <w:rFonts w:hint="eastAsia"/>
          <w:sz w:val="24"/>
        </w:rPr>
        <w:t>第一部分</w:t>
      </w:r>
      <w:r>
        <w:rPr>
          <w:sz w:val="24"/>
        </w:rPr>
        <w:t xml:space="preserve"> </w:t>
      </w:r>
      <w:r>
        <w:rPr>
          <w:rFonts w:hint="eastAsia"/>
          <w:sz w:val="24"/>
        </w:rPr>
        <w:t>部门概况...................................................1</w:t>
      </w:r>
    </w:p>
    <w:p w14:paraId="1B25E976">
      <w:pPr>
        <w:pStyle w:val="13"/>
        <w:adjustRightInd w:val="0"/>
        <w:snapToGrid w:val="0"/>
        <w:spacing w:line="460" w:lineRule="exact"/>
        <w:jc w:val="left"/>
        <w:rPr>
          <w:rFonts w:ascii="仿宋" w:hAnsi="仿宋" w:eastAsia="仿宋"/>
          <w:sz w:val="24"/>
        </w:rPr>
      </w:pPr>
      <w:r>
        <w:rPr>
          <w:rFonts w:hint="eastAsia"/>
          <w:sz w:val="24"/>
        </w:rPr>
        <w:t>一、部门职责……………………………………………………………………1</w:t>
      </w:r>
    </w:p>
    <w:p w14:paraId="5355F34F">
      <w:pPr>
        <w:pStyle w:val="13"/>
        <w:adjustRightInd w:val="0"/>
        <w:snapToGrid w:val="0"/>
        <w:spacing w:line="460" w:lineRule="exact"/>
        <w:jc w:val="left"/>
        <w:rPr>
          <w:rFonts w:hint="eastAsia" w:ascii="仿宋" w:hAnsi="仿宋" w:eastAsia="宋体" w:cstheme="minorBidi"/>
          <w:sz w:val="24"/>
          <w:lang w:eastAsia="zh-CN"/>
        </w:rPr>
      </w:pPr>
      <w:r>
        <w:rPr>
          <w:rFonts w:hint="eastAsia"/>
          <w:sz w:val="24"/>
        </w:rPr>
        <w:t>二、机构设置……………………………………………………………………</w:t>
      </w:r>
      <w:r>
        <w:rPr>
          <w:rFonts w:hint="eastAsia"/>
          <w:sz w:val="24"/>
          <w:lang w:val="en-US" w:eastAsia="zh-CN"/>
        </w:rPr>
        <w:t>4</w:t>
      </w:r>
    </w:p>
    <w:p w14:paraId="3F7B0623">
      <w:pPr>
        <w:pStyle w:val="12"/>
        <w:adjustRightInd w:val="0"/>
        <w:snapToGrid w:val="0"/>
        <w:spacing w:before="0" w:line="460" w:lineRule="exact"/>
        <w:jc w:val="left"/>
        <w:rPr>
          <w:rFonts w:hint="eastAsia" w:eastAsia="仿宋"/>
          <w:sz w:val="24"/>
          <w:szCs w:val="24"/>
          <w:lang w:eastAsia="zh-CN"/>
        </w:rPr>
      </w:pPr>
      <w:r>
        <w:rPr>
          <w:rFonts w:hint="eastAsia"/>
          <w:sz w:val="24"/>
        </w:rPr>
        <w:t>第二部分 2023年度部门决算情况说明..................................</w:t>
      </w:r>
      <w:r>
        <w:rPr>
          <w:rFonts w:hint="eastAsia"/>
          <w:sz w:val="24"/>
          <w:lang w:val="en-US" w:eastAsia="zh-CN"/>
        </w:rPr>
        <w:t>5</w:t>
      </w:r>
    </w:p>
    <w:p w14:paraId="58FFECDC">
      <w:pPr>
        <w:pStyle w:val="13"/>
        <w:adjustRightInd w:val="0"/>
        <w:snapToGrid w:val="0"/>
        <w:spacing w:line="460" w:lineRule="exact"/>
        <w:jc w:val="left"/>
        <w:rPr>
          <w:rFonts w:hint="eastAsia" w:ascii="仿宋" w:hAnsi="仿宋" w:eastAsia="宋体" w:cstheme="minorBidi"/>
          <w:sz w:val="24"/>
          <w:lang w:eastAsia="zh-CN"/>
        </w:rPr>
      </w:pPr>
      <w:r>
        <w:rPr>
          <w:rFonts w:hint="eastAsia"/>
          <w:sz w:val="24"/>
        </w:rPr>
        <w:t>一、收入支出决算总体情况说明………………………………………………</w:t>
      </w:r>
      <w:r>
        <w:rPr>
          <w:rFonts w:hint="eastAsia"/>
          <w:sz w:val="24"/>
          <w:lang w:val="en-US" w:eastAsia="zh-CN"/>
        </w:rPr>
        <w:t>5</w:t>
      </w:r>
    </w:p>
    <w:p w14:paraId="72513E2C">
      <w:pPr>
        <w:pStyle w:val="13"/>
        <w:adjustRightInd w:val="0"/>
        <w:snapToGrid w:val="0"/>
        <w:spacing w:line="460" w:lineRule="exact"/>
        <w:jc w:val="left"/>
        <w:rPr>
          <w:rFonts w:hint="eastAsia" w:ascii="仿宋" w:hAnsi="仿宋" w:eastAsia="宋体" w:cstheme="minorBidi"/>
          <w:sz w:val="24"/>
          <w:lang w:eastAsia="zh-CN"/>
        </w:rPr>
      </w:pPr>
      <w:r>
        <w:rPr>
          <w:rFonts w:hint="eastAsia"/>
          <w:sz w:val="24"/>
        </w:rPr>
        <w:t>二、收入决算情况说明…………………………………………………………</w:t>
      </w:r>
      <w:r>
        <w:rPr>
          <w:rFonts w:hint="eastAsia"/>
          <w:sz w:val="24"/>
          <w:lang w:val="en-US" w:eastAsia="zh-CN"/>
        </w:rPr>
        <w:t>5</w:t>
      </w:r>
    </w:p>
    <w:p w14:paraId="65AE02A1">
      <w:pPr>
        <w:pStyle w:val="13"/>
        <w:adjustRightInd w:val="0"/>
        <w:snapToGrid w:val="0"/>
        <w:spacing w:line="460" w:lineRule="exact"/>
        <w:jc w:val="left"/>
        <w:rPr>
          <w:rFonts w:hint="eastAsia" w:ascii="仿宋" w:hAnsi="仿宋" w:eastAsia="宋体" w:cstheme="minorBidi"/>
          <w:sz w:val="24"/>
          <w:lang w:eastAsia="zh-CN"/>
        </w:rPr>
      </w:pPr>
      <w:r>
        <w:rPr>
          <w:rFonts w:hint="eastAsia"/>
          <w:sz w:val="24"/>
        </w:rPr>
        <w:t>三、支出决算情况说明…………………………………………………………</w:t>
      </w:r>
      <w:r>
        <w:rPr>
          <w:rFonts w:hint="eastAsia"/>
          <w:sz w:val="24"/>
          <w:lang w:val="en-US" w:eastAsia="zh-CN"/>
        </w:rPr>
        <w:t>6</w:t>
      </w:r>
    </w:p>
    <w:p w14:paraId="3589453C">
      <w:pPr>
        <w:pStyle w:val="13"/>
        <w:adjustRightInd w:val="0"/>
        <w:snapToGrid w:val="0"/>
        <w:spacing w:line="460" w:lineRule="exact"/>
        <w:jc w:val="left"/>
        <w:rPr>
          <w:rFonts w:hint="eastAsia" w:ascii="仿宋" w:hAnsi="仿宋" w:eastAsia="宋体" w:cstheme="minorBidi"/>
          <w:sz w:val="24"/>
          <w:lang w:eastAsia="zh-CN"/>
        </w:rPr>
      </w:pPr>
      <w:r>
        <w:rPr>
          <w:rFonts w:hint="eastAsia"/>
          <w:sz w:val="24"/>
        </w:rPr>
        <w:t>四、财政拨款收入支出决算总体情况说明……………………………………</w:t>
      </w:r>
      <w:r>
        <w:rPr>
          <w:rFonts w:hint="eastAsia"/>
          <w:sz w:val="24"/>
          <w:lang w:val="en-US" w:eastAsia="zh-CN"/>
        </w:rPr>
        <w:t>6</w:t>
      </w:r>
    </w:p>
    <w:p w14:paraId="6CC2731C">
      <w:pPr>
        <w:pStyle w:val="13"/>
        <w:adjustRightInd w:val="0"/>
        <w:snapToGrid w:val="0"/>
        <w:spacing w:line="460" w:lineRule="exact"/>
        <w:jc w:val="left"/>
        <w:rPr>
          <w:rFonts w:hint="eastAsia" w:ascii="仿宋" w:hAnsi="仿宋" w:eastAsia="宋体" w:cstheme="minorBidi"/>
          <w:sz w:val="24"/>
          <w:lang w:eastAsia="zh-CN"/>
        </w:rPr>
      </w:pPr>
      <w:r>
        <w:rPr>
          <w:rFonts w:hint="eastAsia"/>
          <w:sz w:val="24"/>
        </w:rPr>
        <w:t>五、一般公共预算财政拨款支出决算情况说明………………………………</w:t>
      </w:r>
      <w:r>
        <w:rPr>
          <w:rFonts w:hint="eastAsia"/>
          <w:sz w:val="24"/>
          <w:lang w:val="en-US" w:eastAsia="zh-CN"/>
        </w:rPr>
        <w:t>7</w:t>
      </w:r>
    </w:p>
    <w:p w14:paraId="4FBEE383">
      <w:pPr>
        <w:pStyle w:val="13"/>
        <w:adjustRightInd w:val="0"/>
        <w:snapToGrid w:val="0"/>
        <w:spacing w:line="460" w:lineRule="exact"/>
        <w:jc w:val="left"/>
        <w:rPr>
          <w:rFonts w:hint="eastAsia" w:ascii="仿宋" w:hAnsi="仿宋" w:eastAsia="宋体" w:cstheme="minorBidi"/>
          <w:sz w:val="24"/>
          <w:lang w:eastAsia="zh-CN"/>
        </w:rPr>
      </w:pPr>
      <w:r>
        <w:rPr>
          <w:rFonts w:hint="eastAsia"/>
          <w:sz w:val="24"/>
        </w:rPr>
        <w:t>六、一般公共预算财政拨款基本支出决算情况说明…………………………</w:t>
      </w:r>
      <w:r>
        <w:rPr>
          <w:rFonts w:hint="eastAsia"/>
          <w:sz w:val="24"/>
          <w:lang w:val="en-US" w:eastAsia="zh-CN"/>
        </w:rPr>
        <w:t>9</w:t>
      </w:r>
    </w:p>
    <w:p w14:paraId="46DC29CA">
      <w:pPr>
        <w:pStyle w:val="13"/>
        <w:adjustRightInd w:val="0"/>
        <w:snapToGrid w:val="0"/>
        <w:spacing w:line="46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10</w:t>
      </w:r>
    </w:p>
    <w:p w14:paraId="76172242">
      <w:pPr>
        <w:pStyle w:val="13"/>
        <w:adjustRightInd w:val="0"/>
        <w:snapToGrid w:val="0"/>
        <w:spacing w:line="46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11</w:t>
      </w:r>
    </w:p>
    <w:p w14:paraId="108E19E5">
      <w:pPr>
        <w:pStyle w:val="13"/>
        <w:adjustRightInd w:val="0"/>
        <w:snapToGrid w:val="0"/>
        <w:spacing w:line="460" w:lineRule="exact"/>
        <w:ind w:leftChars="0"/>
        <w:jc w:val="left"/>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sz w:val="24"/>
        </w:rPr>
        <w:t>……………………………………</w:t>
      </w:r>
      <w:r>
        <w:rPr>
          <w:rFonts w:hint="eastAsia"/>
          <w:sz w:val="24"/>
          <w:lang w:val="en-US" w:eastAsia="zh-CN"/>
        </w:rPr>
        <w:t>11</w:t>
      </w:r>
    </w:p>
    <w:p w14:paraId="1AD97D5E">
      <w:pPr>
        <w:adjustRightInd w:val="0"/>
        <w:snapToGrid w:val="0"/>
        <w:spacing w:line="460" w:lineRule="exact"/>
        <w:ind w:firstLine="420" w:firstLineChars="175"/>
        <w:jc w:val="left"/>
        <w:rPr>
          <w:rFonts w:hint="default" w:eastAsia="宋体" w:asciiTheme="minorEastAsia" w:hAnsiTheme="minorEastAsia" w:cstheme="minorEastAsia"/>
          <w:sz w:val="24"/>
          <w:lang w:val="en-US" w:eastAsia="zh-CN"/>
        </w:rPr>
      </w:pPr>
      <w:r>
        <w:rPr>
          <w:rStyle w:val="20"/>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sz w:val="24"/>
        </w:rPr>
        <w:t>…………………………………………………</w:t>
      </w:r>
      <w:r>
        <w:rPr>
          <w:rFonts w:hint="eastAsia"/>
          <w:sz w:val="24"/>
          <w:lang w:val="en-US" w:eastAsia="zh-CN"/>
        </w:rPr>
        <w:t>11</w:t>
      </w:r>
    </w:p>
    <w:p w14:paraId="05633996">
      <w:pPr>
        <w:pStyle w:val="12"/>
        <w:adjustRightInd w:val="0"/>
        <w:snapToGrid w:val="0"/>
        <w:spacing w:before="0" w:line="460" w:lineRule="exact"/>
        <w:jc w:val="left"/>
        <w:rPr>
          <w:rFonts w:hint="eastAsia" w:eastAsia="仿宋" w:cstheme="minorBidi"/>
          <w:sz w:val="24"/>
          <w:szCs w:val="24"/>
          <w:lang w:eastAsia="zh-CN"/>
        </w:rPr>
      </w:pPr>
      <w:r>
        <w:rPr>
          <w:rFonts w:hint="eastAsia"/>
          <w:sz w:val="24"/>
        </w:rPr>
        <w:t>第三部分</w:t>
      </w:r>
      <w:r>
        <w:rPr>
          <w:sz w:val="24"/>
        </w:rPr>
        <w:t xml:space="preserve"> </w:t>
      </w:r>
      <w:r>
        <w:rPr>
          <w:rFonts w:hint="eastAsia"/>
          <w:sz w:val="24"/>
        </w:rPr>
        <w:t>名词解释..................................................1</w:t>
      </w:r>
      <w:r>
        <w:rPr>
          <w:rFonts w:hint="eastAsia"/>
          <w:sz w:val="24"/>
          <w:lang w:val="en-US" w:eastAsia="zh-CN"/>
        </w:rPr>
        <w:t>3</w:t>
      </w:r>
    </w:p>
    <w:p w14:paraId="76E4A63B">
      <w:pPr>
        <w:pStyle w:val="12"/>
        <w:adjustRightInd w:val="0"/>
        <w:snapToGrid w:val="0"/>
        <w:spacing w:before="0" w:line="460" w:lineRule="exact"/>
        <w:jc w:val="left"/>
        <w:rPr>
          <w:rFonts w:hint="eastAsia" w:eastAsia="仿宋" w:cstheme="minorBidi"/>
          <w:sz w:val="24"/>
          <w:szCs w:val="24"/>
          <w:lang w:eastAsia="zh-CN"/>
        </w:rPr>
      </w:pPr>
      <w:r>
        <w:rPr>
          <w:rFonts w:hint="eastAsia"/>
          <w:sz w:val="24"/>
        </w:rPr>
        <w:t>第四部分</w:t>
      </w:r>
      <w:r>
        <w:rPr>
          <w:sz w:val="24"/>
        </w:rPr>
        <w:t xml:space="preserve"> </w:t>
      </w:r>
      <w:r>
        <w:rPr>
          <w:rFonts w:hint="eastAsia"/>
          <w:sz w:val="24"/>
        </w:rPr>
        <w:t>附件......................................................1</w:t>
      </w:r>
      <w:r>
        <w:rPr>
          <w:rFonts w:hint="eastAsia"/>
          <w:sz w:val="24"/>
          <w:lang w:val="en-US" w:eastAsia="zh-CN"/>
        </w:rPr>
        <w:t>5</w:t>
      </w:r>
    </w:p>
    <w:p w14:paraId="4F5BD9E4">
      <w:pPr>
        <w:pStyle w:val="12"/>
        <w:adjustRightInd w:val="0"/>
        <w:snapToGrid w:val="0"/>
        <w:spacing w:before="0" w:line="460" w:lineRule="exact"/>
        <w:jc w:val="left"/>
        <w:rPr>
          <w:rFonts w:hint="eastAsia" w:eastAsia="仿宋" w:cstheme="minorBidi"/>
          <w:sz w:val="24"/>
          <w:szCs w:val="24"/>
          <w:lang w:eastAsia="zh-CN"/>
        </w:rPr>
      </w:pPr>
      <w:r>
        <w:rPr>
          <w:rFonts w:hint="eastAsia"/>
          <w:sz w:val="24"/>
        </w:rPr>
        <w:t>第五部分</w:t>
      </w:r>
      <w:r>
        <w:rPr>
          <w:sz w:val="24"/>
        </w:rPr>
        <w:t xml:space="preserve"> </w:t>
      </w:r>
      <w:r>
        <w:rPr>
          <w:rFonts w:hint="eastAsia"/>
          <w:sz w:val="24"/>
        </w:rPr>
        <w:t>附表......................................................3</w:t>
      </w:r>
      <w:r>
        <w:rPr>
          <w:rFonts w:hint="eastAsia"/>
          <w:sz w:val="24"/>
          <w:lang w:val="en-US" w:eastAsia="zh-CN"/>
        </w:rPr>
        <w:t>6</w:t>
      </w:r>
    </w:p>
    <w:p w14:paraId="6EB0680F">
      <w:pPr>
        <w:pStyle w:val="13"/>
        <w:adjustRightInd w:val="0"/>
        <w:snapToGrid w:val="0"/>
        <w:spacing w:line="460" w:lineRule="exact"/>
        <w:jc w:val="left"/>
        <w:rPr>
          <w:rFonts w:hint="eastAsia" w:eastAsia="宋体"/>
          <w:sz w:val="24"/>
          <w:lang w:eastAsia="zh-CN"/>
        </w:rPr>
      </w:pPr>
      <w:r>
        <w:rPr>
          <w:rFonts w:hint="eastAsia"/>
          <w:sz w:val="24"/>
        </w:rPr>
        <w:t>一、收入支出决算总表…………………………………………………………3</w:t>
      </w:r>
      <w:r>
        <w:rPr>
          <w:rFonts w:hint="eastAsia"/>
          <w:sz w:val="24"/>
          <w:lang w:val="en-US" w:eastAsia="zh-CN"/>
        </w:rPr>
        <w:t>6</w:t>
      </w:r>
    </w:p>
    <w:p w14:paraId="539665AD">
      <w:pPr>
        <w:pStyle w:val="13"/>
        <w:adjustRightInd w:val="0"/>
        <w:snapToGrid w:val="0"/>
        <w:spacing w:line="460" w:lineRule="exact"/>
        <w:jc w:val="left"/>
        <w:rPr>
          <w:rFonts w:hint="eastAsia" w:eastAsia="宋体"/>
          <w:sz w:val="24"/>
          <w:lang w:eastAsia="zh-CN"/>
        </w:rPr>
      </w:pPr>
      <w:r>
        <w:rPr>
          <w:rFonts w:hint="eastAsia"/>
          <w:sz w:val="24"/>
        </w:rPr>
        <w:t>二、收入决算表…………………………………………………………………3</w:t>
      </w:r>
      <w:r>
        <w:rPr>
          <w:rFonts w:hint="eastAsia"/>
          <w:sz w:val="24"/>
          <w:lang w:val="en-US" w:eastAsia="zh-CN"/>
        </w:rPr>
        <w:t>6</w:t>
      </w:r>
    </w:p>
    <w:p w14:paraId="65525E76">
      <w:pPr>
        <w:pStyle w:val="13"/>
        <w:adjustRightInd w:val="0"/>
        <w:snapToGrid w:val="0"/>
        <w:spacing w:line="460" w:lineRule="exact"/>
        <w:jc w:val="left"/>
        <w:rPr>
          <w:rFonts w:hint="eastAsia" w:eastAsia="宋体"/>
          <w:sz w:val="24"/>
          <w:lang w:eastAsia="zh-CN"/>
        </w:rPr>
      </w:pPr>
      <w:r>
        <w:rPr>
          <w:rFonts w:hint="eastAsia"/>
          <w:sz w:val="24"/>
        </w:rPr>
        <w:t>三、支出决算表…………………………………………………………………3</w:t>
      </w:r>
      <w:r>
        <w:rPr>
          <w:rFonts w:hint="eastAsia"/>
          <w:sz w:val="24"/>
          <w:lang w:val="en-US" w:eastAsia="zh-CN"/>
        </w:rPr>
        <w:t>6</w:t>
      </w:r>
    </w:p>
    <w:p w14:paraId="53ACCAED">
      <w:pPr>
        <w:pStyle w:val="13"/>
        <w:adjustRightInd w:val="0"/>
        <w:snapToGrid w:val="0"/>
        <w:spacing w:line="460" w:lineRule="exact"/>
        <w:jc w:val="left"/>
        <w:rPr>
          <w:rFonts w:hint="eastAsia" w:eastAsia="宋体"/>
          <w:sz w:val="24"/>
          <w:lang w:eastAsia="zh-CN"/>
        </w:rPr>
      </w:pPr>
      <w:r>
        <w:rPr>
          <w:rFonts w:hint="eastAsia"/>
          <w:sz w:val="24"/>
        </w:rPr>
        <w:t>四、财政拨款收入支出决算总表………………………………………………3</w:t>
      </w:r>
      <w:r>
        <w:rPr>
          <w:rFonts w:hint="eastAsia"/>
          <w:sz w:val="24"/>
          <w:lang w:val="en-US" w:eastAsia="zh-CN"/>
        </w:rPr>
        <w:t>6</w:t>
      </w:r>
    </w:p>
    <w:p w14:paraId="3C5F8EB6">
      <w:pPr>
        <w:pStyle w:val="13"/>
        <w:adjustRightInd w:val="0"/>
        <w:snapToGrid w:val="0"/>
        <w:spacing w:line="460" w:lineRule="exact"/>
        <w:jc w:val="left"/>
        <w:rPr>
          <w:rFonts w:hint="eastAsia" w:eastAsia="宋体"/>
          <w:sz w:val="24"/>
          <w:lang w:eastAsia="zh-CN"/>
        </w:rPr>
      </w:pPr>
      <w:r>
        <w:rPr>
          <w:rFonts w:hint="eastAsia"/>
          <w:sz w:val="24"/>
        </w:rPr>
        <w:t>五、财政拨款支出决算明细表…………………………………………………3</w:t>
      </w:r>
      <w:r>
        <w:rPr>
          <w:rFonts w:hint="eastAsia"/>
          <w:sz w:val="24"/>
          <w:lang w:val="en-US" w:eastAsia="zh-CN"/>
        </w:rPr>
        <w:t>6</w:t>
      </w:r>
    </w:p>
    <w:p w14:paraId="26020123">
      <w:pPr>
        <w:pStyle w:val="13"/>
        <w:adjustRightInd w:val="0"/>
        <w:snapToGrid w:val="0"/>
        <w:spacing w:line="460" w:lineRule="exact"/>
        <w:jc w:val="left"/>
        <w:rPr>
          <w:rFonts w:hint="eastAsia" w:eastAsia="宋体"/>
          <w:sz w:val="24"/>
          <w:lang w:eastAsia="zh-CN"/>
        </w:rPr>
      </w:pPr>
      <w:r>
        <w:rPr>
          <w:rFonts w:hint="eastAsia"/>
          <w:sz w:val="24"/>
        </w:rPr>
        <w:t>六、一般公共预算财政拨款支出决算表………………………………………3</w:t>
      </w:r>
      <w:r>
        <w:rPr>
          <w:rFonts w:hint="eastAsia"/>
          <w:sz w:val="24"/>
          <w:lang w:val="en-US" w:eastAsia="zh-CN"/>
        </w:rPr>
        <w:t>6</w:t>
      </w:r>
    </w:p>
    <w:p w14:paraId="4D9A02CD">
      <w:pPr>
        <w:pStyle w:val="13"/>
        <w:adjustRightInd w:val="0"/>
        <w:snapToGrid w:val="0"/>
        <w:spacing w:line="460" w:lineRule="exact"/>
        <w:jc w:val="left"/>
        <w:rPr>
          <w:rFonts w:hint="eastAsia" w:eastAsia="宋体"/>
          <w:sz w:val="24"/>
          <w:lang w:eastAsia="zh-CN"/>
        </w:rPr>
      </w:pPr>
      <w:r>
        <w:rPr>
          <w:rFonts w:hint="eastAsia"/>
          <w:sz w:val="24"/>
        </w:rPr>
        <w:t>七、一般公共预算财政拨款支出决算明细表…………………………………3</w:t>
      </w:r>
      <w:r>
        <w:rPr>
          <w:rFonts w:hint="eastAsia"/>
          <w:sz w:val="24"/>
          <w:lang w:val="en-US" w:eastAsia="zh-CN"/>
        </w:rPr>
        <w:t>6</w:t>
      </w:r>
    </w:p>
    <w:p w14:paraId="305B5B58">
      <w:pPr>
        <w:pStyle w:val="13"/>
        <w:adjustRightInd w:val="0"/>
        <w:snapToGrid w:val="0"/>
        <w:spacing w:line="460" w:lineRule="exact"/>
        <w:jc w:val="left"/>
        <w:rPr>
          <w:rFonts w:hint="eastAsia" w:eastAsia="宋体"/>
          <w:sz w:val="24"/>
          <w:lang w:eastAsia="zh-CN"/>
        </w:rPr>
      </w:pPr>
      <w:r>
        <w:rPr>
          <w:rFonts w:hint="eastAsia"/>
          <w:sz w:val="24"/>
        </w:rPr>
        <w:t>八、一般公共预算财政拨款基本支出决算明细表……………………………3</w:t>
      </w:r>
      <w:r>
        <w:rPr>
          <w:rFonts w:hint="eastAsia"/>
          <w:sz w:val="24"/>
          <w:lang w:val="en-US" w:eastAsia="zh-CN"/>
        </w:rPr>
        <w:t>6</w:t>
      </w:r>
    </w:p>
    <w:p w14:paraId="4BD9A35C">
      <w:pPr>
        <w:pStyle w:val="13"/>
        <w:adjustRightInd w:val="0"/>
        <w:snapToGrid w:val="0"/>
        <w:spacing w:line="460" w:lineRule="exact"/>
        <w:jc w:val="left"/>
        <w:rPr>
          <w:rFonts w:hint="eastAsia"/>
          <w:sz w:val="24"/>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14:paraId="7035FA3D">
      <w:pPr>
        <w:pStyle w:val="13"/>
        <w:adjustRightInd w:val="0"/>
        <w:snapToGrid w:val="0"/>
        <w:spacing w:line="460" w:lineRule="exact"/>
        <w:jc w:val="left"/>
        <w:rPr>
          <w:rFonts w:hint="eastAsia" w:eastAsia="宋体"/>
          <w:sz w:val="24"/>
          <w:lang w:eastAsia="zh-CN"/>
        </w:rPr>
      </w:pPr>
      <w:r>
        <w:rPr>
          <w:rFonts w:hint="eastAsia"/>
          <w:sz w:val="24"/>
        </w:rPr>
        <w:t>九、一般公共预算财政拨款项目支出决算明细表……………………………3</w:t>
      </w:r>
      <w:r>
        <w:rPr>
          <w:rFonts w:hint="eastAsia"/>
          <w:sz w:val="24"/>
          <w:lang w:val="en-US" w:eastAsia="zh-CN"/>
        </w:rPr>
        <w:t>6</w:t>
      </w:r>
    </w:p>
    <w:p w14:paraId="0377283A">
      <w:pPr>
        <w:pStyle w:val="13"/>
        <w:adjustRightInd w:val="0"/>
        <w:snapToGrid w:val="0"/>
        <w:spacing w:line="460" w:lineRule="exact"/>
        <w:jc w:val="left"/>
        <w:rPr>
          <w:rFonts w:hint="eastAsia" w:eastAsia="宋体"/>
          <w:sz w:val="24"/>
          <w:lang w:eastAsia="zh-CN"/>
        </w:rPr>
      </w:pPr>
      <w:r>
        <w:rPr>
          <w:rFonts w:hint="eastAsia"/>
          <w:sz w:val="24"/>
        </w:rPr>
        <w:t>十、政府性基金预算财政拨款收入支出决算表………………………………3</w:t>
      </w:r>
      <w:r>
        <w:rPr>
          <w:rFonts w:hint="eastAsia"/>
          <w:sz w:val="24"/>
          <w:lang w:val="en-US" w:eastAsia="zh-CN"/>
        </w:rPr>
        <w:t>6</w:t>
      </w:r>
    </w:p>
    <w:p w14:paraId="509AE168">
      <w:pPr>
        <w:pStyle w:val="13"/>
        <w:adjustRightInd w:val="0"/>
        <w:snapToGrid w:val="0"/>
        <w:spacing w:line="460" w:lineRule="exact"/>
        <w:jc w:val="left"/>
        <w:rPr>
          <w:rFonts w:hint="eastAsia" w:eastAsia="宋体"/>
          <w:sz w:val="24"/>
          <w:lang w:eastAsia="zh-CN"/>
        </w:rPr>
      </w:pPr>
      <w:r>
        <w:rPr>
          <w:rFonts w:hint="eastAsia"/>
          <w:sz w:val="24"/>
        </w:rPr>
        <w:t>十一、国有资本经营预算财政拨款收入支出决算表…………………………3</w:t>
      </w:r>
      <w:r>
        <w:rPr>
          <w:rFonts w:hint="eastAsia"/>
          <w:sz w:val="24"/>
          <w:lang w:val="en-US" w:eastAsia="zh-CN"/>
        </w:rPr>
        <w:t>6</w:t>
      </w:r>
    </w:p>
    <w:p w14:paraId="37D2D14F">
      <w:pPr>
        <w:pStyle w:val="13"/>
        <w:adjustRightInd w:val="0"/>
        <w:snapToGrid w:val="0"/>
        <w:spacing w:line="460" w:lineRule="exact"/>
        <w:jc w:val="left"/>
        <w:rPr>
          <w:rFonts w:hint="eastAsia" w:eastAsia="宋体"/>
          <w:sz w:val="24"/>
          <w:lang w:eastAsia="zh-CN"/>
        </w:rPr>
      </w:pPr>
      <w:r>
        <w:rPr>
          <w:rFonts w:hint="eastAsia"/>
          <w:sz w:val="24"/>
        </w:rPr>
        <w:t>十二、国有资本经营预算财政拨款支出决算表………………………………3</w:t>
      </w:r>
      <w:r>
        <w:rPr>
          <w:rFonts w:hint="eastAsia"/>
          <w:sz w:val="24"/>
          <w:lang w:val="en-US" w:eastAsia="zh-CN"/>
        </w:rPr>
        <w:t>6</w:t>
      </w:r>
    </w:p>
    <w:p w14:paraId="1C1BB1FB">
      <w:pPr>
        <w:pStyle w:val="13"/>
        <w:adjustRightInd w:val="0"/>
        <w:snapToGrid w:val="0"/>
        <w:spacing w:line="460" w:lineRule="exact"/>
        <w:jc w:val="left"/>
        <w:rPr>
          <w:rFonts w:hint="eastAsia" w:eastAsia="宋体" w:asciiTheme="minorEastAsia" w:hAnsiTheme="minorEastAsia" w:cstheme="minorEastAsia"/>
          <w:sz w:val="24"/>
          <w:lang w:eastAsia="zh-CN"/>
        </w:rPr>
      </w:pPr>
      <w:r>
        <w:rPr>
          <w:rFonts w:hint="eastAsia"/>
          <w:sz w:val="24"/>
        </w:rPr>
        <w:t>十三、财政拨款“三公”经费支出决算表……………………………………3</w:t>
      </w:r>
      <w:r>
        <w:rPr>
          <w:rFonts w:hint="eastAsia"/>
          <w:sz w:val="24"/>
          <w:lang w:val="en-US" w:eastAsia="zh-CN"/>
        </w:rPr>
        <w:t>6</w:t>
      </w:r>
    </w:p>
    <w:p w14:paraId="7853D997">
      <w:pPr>
        <w:widowControl/>
        <w:adjustRightInd w:val="0"/>
        <w:snapToGrid w:val="0"/>
        <w:spacing w:line="440" w:lineRule="exact"/>
        <w:ind w:firstLine="1320" w:firstLineChars="550"/>
        <w:jc w:val="left"/>
        <w:rPr>
          <w:rFonts w:ascii="仿宋" w:hAnsi="仿宋" w:eastAsia="仿宋"/>
          <w:sz w:val="24"/>
        </w:rPr>
      </w:pPr>
    </w:p>
    <w:p w14:paraId="0DCAC4C2">
      <w:pPr>
        <w:pStyle w:val="3"/>
        <w:spacing w:line="560" w:lineRule="exact"/>
        <w:jc w:val="center"/>
        <w:rPr>
          <w:rFonts w:ascii="黑体" w:hAnsi="黑体" w:eastAsia="黑体"/>
          <w:b w:val="0"/>
        </w:rPr>
        <w:sectPr>
          <w:footerReference r:id="rId7" w:type="default"/>
          <w:pgSz w:w="11906" w:h="16838"/>
          <w:pgMar w:top="1440" w:right="1800" w:bottom="1440" w:left="1800" w:header="851" w:footer="992" w:gutter="0"/>
          <w:pgNumType w:fmt="decimal" w:start="1"/>
          <w:cols w:space="425" w:num="1"/>
          <w:docGrid w:type="lines" w:linePitch="312" w:charSpace="0"/>
        </w:sectPr>
      </w:pPr>
      <w:bookmarkStart w:id="7" w:name="_Toc15396599"/>
      <w:bookmarkStart w:id="8" w:name="_Toc15377196"/>
    </w:p>
    <w:p w14:paraId="6607AC00">
      <w:pPr>
        <w:pStyle w:val="3"/>
        <w:spacing w:line="560" w:lineRule="exact"/>
        <w:jc w:val="center"/>
        <w:rPr>
          <w:rStyle w:val="29"/>
          <w:rFonts w:ascii="黑体" w:hAnsi="黑体" w:eastAsia="黑体"/>
          <w:b/>
          <w:bCs w:val="0"/>
        </w:rPr>
      </w:pPr>
      <w:r>
        <w:rPr>
          <w:rFonts w:hint="eastAsia" w:ascii="黑体" w:hAnsi="黑体" w:eastAsia="黑体"/>
          <w:b w:val="0"/>
        </w:rPr>
        <w:t>第一部分 部门</w:t>
      </w:r>
      <w:r>
        <w:rPr>
          <w:rStyle w:val="29"/>
          <w:rFonts w:hint="eastAsia" w:ascii="黑体" w:hAnsi="黑体" w:eastAsia="黑体"/>
          <w:b w:val="0"/>
          <w:bCs w:val="0"/>
        </w:rPr>
        <w:t>概况</w:t>
      </w:r>
      <w:bookmarkEnd w:id="7"/>
      <w:bookmarkEnd w:id="8"/>
    </w:p>
    <w:p w14:paraId="3CA89EF8">
      <w:pPr>
        <w:pStyle w:val="4"/>
        <w:pageBreakBefore w:val="0"/>
        <w:kinsoku/>
        <w:wordWrap/>
        <w:autoSpaceDE/>
        <w:autoSpaceDN/>
        <w:bidi w:val="0"/>
        <w:adjustRightInd/>
        <w:snapToGrid/>
        <w:spacing w:before="0" w:after="0" w:line="500" w:lineRule="exact"/>
        <w:ind w:firstLine="640" w:firstLineChars="200"/>
        <w:textAlignment w:val="auto"/>
        <w:rPr>
          <w:rFonts w:eastAsia="黑体"/>
        </w:rPr>
      </w:pPr>
      <w:bookmarkStart w:id="9" w:name="_Toc15377197"/>
      <w:bookmarkStart w:id="10" w:name="_Toc15396600"/>
      <w:r>
        <w:rPr>
          <w:rStyle w:val="30"/>
          <w:rFonts w:hint="eastAsia" w:ascii="黑体" w:hAnsi="黑体" w:eastAsia="黑体"/>
          <w:b w:val="0"/>
          <w:bCs w:val="0"/>
        </w:rPr>
        <w:t>一、部门职责</w:t>
      </w:r>
    </w:p>
    <w:p w14:paraId="614468E1">
      <w:pPr>
        <w:pageBreakBefore w:val="0"/>
        <w:kinsoku/>
        <w:wordWrap/>
        <w:autoSpaceDE/>
        <w:autoSpaceDN/>
        <w:bidi w:val="0"/>
        <w:adjustRightInd/>
        <w:snapToGrid/>
        <w:spacing w:line="500" w:lineRule="exact"/>
        <w:ind w:firstLine="640"/>
        <w:textAlignment w:val="auto"/>
        <w:rPr>
          <w:rFonts w:hint="eastAsia" w:ascii="楷体" w:hAnsi="楷体" w:eastAsia="楷体" w:cs="楷体"/>
          <w:sz w:val="32"/>
          <w:szCs w:val="32"/>
        </w:rPr>
      </w:pPr>
      <w:r>
        <w:rPr>
          <w:rFonts w:hint="eastAsia" w:ascii="楷体" w:hAnsi="楷体" w:eastAsia="楷体" w:cs="楷体"/>
          <w:sz w:val="32"/>
        </w:rPr>
        <w:t>（一）主要职能</w:t>
      </w:r>
    </w:p>
    <w:p w14:paraId="7B38101C">
      <w:pPr>
        <w:pStyle w:val="14"/>
        <w:pageBreakBefore w:val="0"/>
        <w:widowControl/>
        <w:shd w:val="clear" w:color="auto" w:fill="FFFFFF"/>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宪法和地方组织法的规定：“地方各级人民代表大会是地方国家权力机关”、“县级以上的地方各级人民代表大会常务委员会是本级人民代表大会的常设机构”，《中华人民共和国宪法》第104条和新修订的《中华人民共和国地方各级人民代表大会和地方各级人民政府组织法》第50条赋予</w:t>
      </w:r>
      <w:r>
        <w:rPr>
          <w:rFonts w:hint="eastAsia" w:ascii="仿宋_GB2312" w:hAnsi="仿宋_GB2312" w:eastAsia="仿宋_GB2312" w:cs="仿宋_GB2312"/>
          <w:sz w:val="32"/>
          <w:szCs w:val="32"/>
          <w:lang w:eastAsia="zh-CN"/>
        </w:rPr>
        <w:t>县级以上</w:t>
      </w:r>
      <w:r>
        <w:rPr>
          <w:rFonts w:hint="eastAsia" w:ascii="仿宋_GB2312" w:hAnsi="仿宋_GB2312" w:eastAsia="仿宋_GB2312" w:cs="仿宋_GB2312"/>
          <w:sz w:val="32"/>
          <w:szCs w:val="32"/>
        </w:rPr>
        <w:t>地方各级人大常委会在本级人民代表大会闭会期间，行使18项职权。</w:t>
      </w:r>
    </w:p>
    <w:p w14:paraId="480751E1">
      <w:pPr>
        <w:pageBreakBefore w:val="0"/>
        <w:kinsoku/>
        <w:wordWrap/>
        <w:autoSpaceDE/>
        <w:autoSpaceDN/>
        <w:bidi w:val="0"/>
        <w:adjustRightInd/>
        <w:snapToGrid/>
        <w:spacing w:line="500" w:lineRule="exact"/>
        <w:ind w:firstLine="640"/>
        <w:textAlignment w:val="auto"/>
      </w:pPr>
      <w:r>
        <w:rPr>
          <w:rFonts w:hint="eastAsia" w:ascii="楷体" w:hAnsi="楷体" w:eastAsia="楷体" w:cs="楷体"/>
          <w:b w:val="0"/>
          <w:bCs w:val="0"/>
          <w:kern w:val="2"/>
          <w:sz w:val="32"/>
          <w:szCs w:val="24"/>
          <w:lang w:val="en-US" w:eastAsia="zh-CN" w:bidi="ar-SA"/>
        </w:rPr>
        <w:t>（二）2023年重点工作完成情况</w:t>
      </w:r>
    </w:p>
    <w:p w14:paraId="4B5A8944">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1.坚持党建引领，以更高站位把牢正确政治方向</w:t>
      </w:r>
    </w:p>
    <w:p w14:paraId="25C05BB2">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强化理论武装。深入贯彻习近平总书记来川视察重要指示精神、</w:t>
      </w:r>
      <w:r>
        <w:rPr>
          <w:rFonts w:hint="eastAsia" w:ascii="仿宋_GB2312" w:hAnsi="仿宋_GB2312" w:eastAsia="仿宋_GB2312" w:cs="仿宋_GB2312"/>
          <w:sz w:val="32"/>
          <w:szCs w:val="32"/>
          <w:lang w:eastAsia="zh-CN"/>
        </w:rPr>
        <w:t>习近平</w:t>
      </w:r>
      <w:r>
        <w:rPr>
          <w:rFonts w:ascii="仿宋_GB2312" w:hAnsi="仿宋_GB2312" w:eastAsia="仿宋_GB2312" w:cs="仿宋_GB2312"/>
          <w:sz w:val="32"/>
          <w:szCs w:val="32"/>
        </w:rPr>
        <w:t>总书记主题教育系列讲话精神和重要指示批示精神，全面落实新时代党的建设总要求；通过理论学习中心组学习6次、组织生活会学习2次、书记上党课3堂、重温入党誓词3次等学习形式，不断提高机关党员运用党史经验和创新理论指导推动工作的能力，</w:t>
      </w:r>
      <w:r>
        <w:rPr>
          <w:rFonts w:hint="eastAsia" w:ascii="仿宋_GB2312" w:hAnsi="仿宋_GB2312" w:eastAsia="仿宋_GB2312" w:cs="仿宋_GB2312"/>
          <w:sz w:val="32"/>
          <w:szCs w:val="32"/>
        </w:rPr>
        <w:t>同时，上年度</w:t>
      </w:r>
      <w:r>
        <w:rPr>
          <w:rFonts w:ascii="仿宋_GB2312" w:hAnsi="仿宋_GB2312" w:eastAsia="仿宋_GB2312" w:cs="仿宋_GB2312"/>
          <w:sz w:val="32"/>
          <w:szCs w:val="32"/>
        </w:rPr>
        <w:t>党建方面4个问题得到全面整改。</w:t>
      </w:r>
    </w:p>
    <w:p w14:paraId="3BAD350D">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强化政治铸魂。在深刻领悟“两个确立”的决定性意义，增强“四个意识”、坚定“四个自信”、做到“两个维护”的基础上，始终坚决响应中央和省市区委作出的各项决策部署，聚焦“1456”发展战略，自觉做到“四个服从”，对重大决策不折不扣地执行，对重点工作不折不扣落实。</w:t>
      </w:r>
    </w:p>
    <w:p w14:paraId="63F69F91">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强化党性教育。组织机关党员干部开展“重温入党誓词·永葆入党初心”“走进广元铁路港·见证广元高质量发展”“体验5G·感知大数据”等主题党日活动3场，举办“政治生日忆初心 牢记使命勇担当”集体政治生日活动1场，组织青年党员干部开展廉洁教育和家风教育活动3</w:t>
      </w:r>
      <w:r>
        <w:rPr>
          <w:rFonts w:hint="eastAsia" w:ascii="仿宋_GB2312" w:hAnsi="仿宋_GB2312" w:eastAsia="仿宋_GB2312" w:cs="仿宋_GB2312"/>
          <w:sz w:val="32"/>
          <w:szCs w:val="32"/>
          <w:lang w:eastAsia="zh-CN"/>
        </w:rPr>
        <w:t>次</w:t>
      </w:r>
      <w:r>
        <w:rPr>
          <w:rFonts w:ascii="仿宋_GB2312" w:hAnsi="仿宋_GB2312" w:eastAsia="仿宋_GB2312" w:cs="仿宋_GB2312"/>
          <w:sz w:val="32"/>
          <w:szCs w:val="32"/>
        </w:rPr>
        <w:t>，组织退休老党员前往渣滓洞革命遗址、三峡大坝水利工程等</w:t>
      </w:r>
      <w:r>
        <w:rPr>
          <w:rFonts w:hint="eastAsia" w:ascii="仿宋_GB2312" w:hAnsi="仿宋_GB2312" w:eastAsia="仿宋_GB2312" w:cs="仿宋_GB2312"/>
          <w:sz w:val="32"/>
          <w:szCs w:val="32"/>
        </w:rPr>
        <w:t>地</w:t>
      </w:r>
      <w:r>
        <w:rPr>
          <w:rFonts w:ascii="仿宋_GB2312" w:hAnsi="仿宋_GB2312" w:eastAsia="仿宋_GB2312" w:cs="仿宋_GB2312"/>
          <w:sz w:val="32"/>
          <w:szCs w:val="32"/>
        </w:rPr>
        <w:t>参观学习4次。</w:t>
      </w:r>
    </w:p>
    <w:p w14:paraId="20C5C7AB">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强化主题教育。贯彻落实中央和省、市、区委关于主题教育部署安排，深度聚焦总要求、根本任务和具体目标，高起点谋划，高标准推进机关主题教育工作，把理论学习、调查研究、推动发展、检视整改贯通起来，开展集中自学7次、“解放思想大讨论”4次、“学习身边榜样”党性教育4次。坚持以“四下基层”为重要抓手，组织党员干部深入一线知民情、解民忧、办实事、促发展，推动主题教育走深走实、见行见效。按程序完成退休支部换届选举等工作，切实发挥党建引领作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落实领导干部“一岗双责”，把党建工作与业务工作同谋划、同部署、同推进</w:t>
      </w:r>
      <w:r>
        <w:rPr>
          <w:rFonts w:hint="eastAsia" w:ascii="仿宋_GB2312" w:hAnsi="仿宋_GB2312" w:eastAsia="仿宋_GB2312" w:cs="仿宋_GB2312"/>
          <w:sz w:val="32"/>
          <w:szCs w:val="32"/>
        </w:rPr>
        <w:t>。</w:t>
      </w:r>
    </w:p>
    <w:p w14:paraId="0FD4F3C5">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2.坚持底线思维，以更大力度促进目标任务全面完成</w:t>
      </w:r>
    </w:p>
    <w:p w14:paraId="62538B64">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会议保障更优。机关协调配合，既各司其职、各负其责，又通畅信息、统筹协调，形成筹备工作合力，</w:t>
      </w:r>
      <w:r>
        <w:rPr>
          <w:rFonts w:ascii="仿宋_GB2312" w:hAnsi="仿宋_GB2312" w:eastAsia="仿宋_GB2312" w:cs="仿宋_GB2312"/>
          <w:sz w:val="32"/>
          <w:szCs w:val="32"/>
        </w:rPr>
        <w:t>顺利召开区八届人大三次会议，完成既定目标任务；</w:t>
      </w:r>
      <w:r>
        <w:rPr>
          <w:rFonts w:hint="eastAsia" w:ascii="仿宋_GB2312" w:hAnsi="仿宋_GB2312" w:eastAsia="仿宋_GB2312" w:cs="仿宋_GB2312"/>
          <w:sz w:val="32"/>
          <w:szCs w:val="32"/>
        </w:rPr>
        <w:t>优化服务，保障常委会</w:t>
      </w:r>
      <w:r>
        <w:rPr>
          <w:rFonts w:ascii="仿宋_GB2312" w:hAnsi="仿宋_GB2312" w:eastAsia="仿宋_GB2312" w:cs="仿宋_GB2312"/>
          <w:sz w:val="32"/>
          <w:szCs w:val="32"/>
        </w:rPr>
        <w:t>党组会议19次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主任会议11次、常委会会议8次，听取审议“十四五”规划纲要实施中期评估、上半年计划执行、重点项目建设管理情况报告和国有资产管理情况综合报告、行政事业性国有资产管理情况专项报告</w:t>
      </w:r>
      <w:r>
        <w:rPr>
          <w:rFonts w:hint="eastAsia" w:ascii="仿宋_GB2312" w:hAnsi="仿宋_GB2312" w:eastAsia="仿宋_GB2312" w:cs="仿宋_GB2312"/>
          <w:sz w:val="32"/>
          <w:szCs w:val="32"/>
        </w:rPr>
        <w:t>、法治政府建设报告、</w:t>
      </w:r>
      <w:r>
        <w:rPr>
          <w:rFonts w:ascii="仿宋_GB2312" w:hAnsi="仿宋_GB2312" w:eastAsia="仿宋_GB2312" w:cs="仿宋_GB2312"/>
          <w:sz w:val="32"/>
          <w:szCs w:val="32"/>
        </w:rPr>
        <w:t>年度乡村振兴专项工作报告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年度环境状况和环境保护目标完成情况报告</w:t>
      </w:r>
      <w:r>
        <w:rPr>
          <w:rFonts w:hint="eastAsia" w:ascii="仿宋_GB2312" w:hAnsi="仿宋_GB2312" w:eastAsia="仿宋_GB2312" w:cs="仿宋_GB2312"/>
          <w:sz w:val="32"/>
          <w:szCs w:val="32"/>
        </w:rPr>
        <w:t>、法检“两院”半年工作报告等</w:t>
      </w:r>
      <w:r>
        <w:rPr>
          <w:rFonts w:ascii="仿宋_GB2312" w:hAnsi="仿宋_GB2312" w:eastAsia="仿宋_GB2312" w:cs="仿宋_GB2312"/>
          <w:sz w:val="32"/>
          <w:szCs w:val="32"/>
        </w:rPr>
        <w:t>，依法审议和表决通过预算执行及调整等重大事项，及时作出决议决定。</w:t>
      </w:r>
    </w:p>
    <w:p w14:paraId="2177145E">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依法开展监督。</w:t>
      </w:r>
      <w:r>
        <w:rPr>
          <w:rFonts w:ascii="仿宋_GB2312" w:hAnsi="仿宋_GB2312" w:eastAsia="仿宋_GB2312" w:cs="仿宋_GB2312"/>
          <w:sz w:val="32"/>
          <w:szCs w:val="32"/>
        </w:rPr>
        <w:t>开展《中华人民共和国残疾人保障法》及《四川省〈中华人民共和国残疾人保障法〉实施办法》、《广元市剑门蜀道保护条例》执法检查，专题调研就业补助资金使用管理、全区饮用水安全、养老服务工作开展、村级集体经济发展、区公安分局基层派出所工作开展情况。对全区城乡建设用地增减挂钩项目及亭子湖环湖旅游公路建设工作、突破性发展高中教育工作情况开展视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对区市场监管局优化营商环境开展工作评议</w:t>
      </w:r>
      <w:r>
        <w:rPr>
          <w:rFonts w:hint="eastAsia" w:ascii="仿宋_GB2312" w:hAnsi="仿宋_GB2312" w:eastAsia="仿宋_GB2312" w:cs="仿宋_GB2312"/>
          <w:sz w:val="32"/>
          <w:szCs w:val="32"/>
        </w:rPr>
        <w:t>，一批市场主体关注的痛点、堵点、难点问题得到解决，营商环境工作机制进一步完善</w:t>
      </w:r>
      <w:r>
        <w:rPr>
          <w:rFonts w:ascii="仿宋_GB2312" w:hAnsi="仿宋_GB2312" w:eastAsia="仿宋_GB2312" w:cs="仿宋_GB2312"/>
          <w:sz w:val="32"/>
          <w:szCs w:val="32"/>
        </w:rPr>
        <w:t>。</w:t>
      </w:r>
    </w:p>
    <w:p w14:paraId="28A1947D">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强化代表工作。</w:t>
      </w:r>
      <w:r>
        <w:rPr>
          <w:rFonts w:ascii="仿宋_GB2312" w:hAnsi="仿宋_GB2312" w:eastAsia="仿宋_GB2312" w:cs="仿宋_GB2312"/>
          <w:sz w:val="32"/>
          <w:szCs w:val="32"/>
        </w:rPr>
        <w:t>对全体区人大代表开展学习贯彻党的二十大精神、依法履职等开展专题培训，组织部分区人大代表和人大干部150余人次到全国人大培训基地参加培训。6个行业代表小组围绕“教育优质均衡发展”“大蜀道保护开发利用”“和美乡村建设”“法治昭化建设”“现代农业产业发展”等主题，开展小组活动20余次</w:t>
      </w:r>
      <w:r>
        <w:rPr>
          <w:rFonts w:hint="eastAsia" w:ascii="仿宋_GB2312" w:hAnsi="仿宋_GB2312" w:eastAsia="仿宋_GB2312" w:cs="仿宋_GB2312"/>
          <w:sz w:val="32"/>
          <w:szCs w:val="32"/>
        </w:rPr>
        <w:t>，充分发挥主体作用，为昭化经济社会发展建言献策。</w:t>
      </w:r>
    </w:p>
    <w:p w14:paraId="2EBAAEB0">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强化工作宣传。</w:t>
      </w:r>
      <w:r>
        <w:rPr>
          <w:rFonts w:ascii="仿宋_GB2312" w:hAnsi="仿宋_GB2312" w:eastAsia="仿宋_GB2312" w:cs="仿宋_GB2312"/>
          <w:sz w:val="32"/>
          <w:szCs w:val="32"/>
        </w:rPr>
        <w:t>印发常委会公报6期，持续开办“建设四城新区—人大代表在行动”电视宣传专栏，宣传报道区八届人大代表24人；《广元市昭化区人大：学思践悟强本领·笃行实干担使命》《“小手工”编织“大幸福”》《一腔热血践使命 栉风沐雨映丹心》等反映我区各级人大代表示范带头作用的宣传报道在四川人大网、人民权力报、广元人大网刊登，肖华、何雪松、陈建等先进事迹和昭化代表工作先进经验，被省市主流媒体刊登转载。</w:t>
      </w:r>
    </w:p>
    <w:p w14:paraId="68F4FAA9">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积极服务中心大局。</w:t>
      </w:r>
      <w:r>
        <w:rPr>
          <w:rFonts w:ascii="仿宋_GB2312" w:hAnsi="仿宋_GB2312" w:eastAsia="仿宋_GB2312" w:cs="仿宋_GB2312"/>
          <w:sz w:val="32"/>
          <w:szCs w:val="32"/>
        </w:rPr>
        <w:t>选派6名机关干部充实到要素保障等6个专班，助力常委会领导推进产业发展；积极承担文旅“三创”、助推乡村振兴、天雄村农旅融合示范建设、信访维稳、巡河巡田等工作。</w:t>
      </w:r>
    </w:p>
    <w:p w14:paraId="61AA1415">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3.坚持强基固本，以更严要求建设“四个机关”</w:t>
      </w:r>
    </w:p>
    <w:p w14:paraId="7904FC74">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断加强政治建设。贯彻落实党中央和省委、市委、区委重大决策部署，加强与相关部门的协调对接，在监督中服务、在服务中监督，共同推动区委重大决策部署落地落实。严格落实意识形态工作责任制，讲好全过程人民民主昭化故事、昭化人大故事，在四川人大网等媒体发表理论文章、工作经验和信息91篇。</w:t>
      </w:r>
    </w:p>
    <w:p w14:paraId="745C4D0C">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持续深化作风建设。严格执行中央八项规定及省市区相关规定和要求，支持机关纪检监察组工作，持之以恒纠治“四风”，落实精文简会要求，提升办文办会质效。</w:t>
      </w:r>
    </w:p>
    <w:p w14:paraId="57F2ED4E">
      <w:pPr>
        <w:pageBreakBefore w:val="0"/>
        <w:kinsoku/>
        <w:wordWrap/>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强化制度建设。修订完善区人民代表大会、区人大常委会和主任会议等相关制度24项，编印《广元市昭化区人民代表大会常务委员会工作制度汇编》，优化会议组织流程，规范审议、表决等程序，提高议事质量和效率。</w:t>
      </w:r>
    </w:p>
    <w:p w14:paraId="7DA374B6">
      <w:pPr>
        <w:pageBreakBefore w:val="0"/>
        <w:kinsoku/>
        <w:wordWrap/>
        <w:autoSpaceDE/>
        <w:autoSpaceDN/>
        <w:bidi w:val="0"/>
        <w:adjustRightInd/>
        <w:snapToGrid/>
        <w:spacing w:line="500" w:lineRule="exact"/>
        <w:ind w:firstLine="640" w:firstLineChars="200"/>
        <w:textAlignment w:val="auto"/>
      </w:pPr>
      <w:r>
        <w:rPr>
          <w:rFonts w:hint="eastAsia" w:ascii="仿宋_GB2312" w:hAnsi="仿宋_GB2312" w:eastAsia="仿宋_GB2312" w:cs="仿宋_GB2312"/>
          <w:sz w:val="32"/>
          <w:szCs w:val="32"/>
        </w:rPr>
        <w:t>加强“活力人大”建设。支持青年学习小组成员上“讲堂”、当“主讲”，制度化开展机关干部学习教育培训，着力打造政治坚定、服务人民、尊崇法治、发扬民主、勤勉尽责的人大工作队伍。精心组织工会活动，坚持工作日工间操锻炼，“活力人大”建设效果明显。</w:t>
      </w:r>
    </w:p>
    <w:p w14:paraId="0A399D4D">
      <w:pPr>
        <w:pStyle w:val="4"/>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ascii="黑体" w:hAnsi="黑体" w:eastAsia="黑体"/>
          <w:b w:val="0"/>
        </w:rPr>
      </w:pPr>
      <w:r>
        <w:rPr>
          <w:rFonts w:hint="eastAsia" w:ascii="黑体" w:hAnsi="黑体" w:eastAsia="黑体"/>
          <w:b w:val="0"/>
        </w:rPr>
        <w:t>二、机构设置</w:t>
      </w:r>
    </w:p>
    <w:p w14:paraId="2F66699C">
      <w:pPr>
        <w:pageBreakBefore w:val="0"/>
        <w:kinsoku/>
        <w:wordWrap/>
        <w:overflowPunct w:val="0"/>
        <w:topLinePunct/>
        <w:autoSpaceDE/>
        <w:autoSpaceDN/>
        <w:bidi w:val="0"/>
        <w:adjustRightInd/>
        <w:snapToGrid/>
        <w:spacing w:line="500" w:lineRule="exact"/>
        <w:ind w:firstLine="640" w:firstLineChars="200"/>
        <w:jc w:val="both"/>
        <w:textAlignment w:val="auto"/>
        <w:rPr>
          <w:rFonts w:hint="eastAsia" w:ascii="Times New Roman" w:eastAsia="仿宋_GB2312"/>
          <w:color w:val="333333"/>
          <w:sz w:val="32"/>
          <w:szCs w:val="32"/>
          <w:shd w:val="clear" w:color="auto" w:fill="FFFFFF"/>
        </w:rPr>
      </w:pPr>
      <w:r>
        <w:rPr>
          <w:rFonts w:hint="eastAsia" w:ascii="Times New Roman" w:eastAsia="仿宋_GB2312"/>
          <w:color w:val="333333"/>
          <w:sz w:val="32"/>
          <w:szCs w:val="32"/>
          <w:shd w:val="clear" w:color="auto" w:fill="FFFFFF"/>
          <w:lang w:eastAsia="zh-CN"/>
        </w:rPr>
        <w:t>广元市昭化区人民代表大会常务委员会办公室属于</w:t>
      </w:r>
      <w:r>
        <w:rPr>
          <w:rFonts w:hint="eastAsia" w:ascii="Times New Roman" w:eastAsia="仿宋_GB2312"/>
          <w:color w:val="333333"/>
          <w:sz w:val="32"/>
          <w:szCs w:val="32"/>
          <w:shd w:val="clear" w:color="auto" w:fill="FFFFFF"/>
        </w:rPr>
        <w:t>一级预算单位，</w:t>
      </w:r>
      <w:r>
        <w:rPr>
          <w:rFonts w:hint="eastAsia" w:ascii="Times New Roman" w:eastAsia="仿宋_GB2312"/>
          <w:color w:val="333333"/>
          <w:sz w:val="32"/>
          <w:szCs w:val="32"/>
          <w:shd w:val="clear" w:color="auto" w:fill="FFFFFF"/>
          <w:lang w:eastAsia="zh-CN"/>
        </w:rPr>
        <w:t>无</w:t>
      </w:r>
      <w:r>
        <w:rPr>
          <w:rFonts w:hint="eastAsia" w:ascii="Times New Roman" w:eastAsia="仿宋_GB2312"/>
          <w:color w:val="333333"/>
          <w:sz w:val="32"/>
          <w:szCs w:val="32"/>
          <w:shd w:val="clear" w:color="auto" w:fill="FFFFFF"/>
        </w:rPr>
        <w:t>二级预算单位</w:t>
      </w:r>
      <w:r>
        <w:rPr>
          <w:rFonts w:hint="eastAsia" w:ascii="Times New Roman" w:eastAsia="仿宋_GB2312"/>
          <w:color w:val="333333"/>
          <w:sz w:val="32"/>
          <w:szCs w:val="32"/>
          <w:shd w:val="clear" w:color="auto" w:fill="FFFFFF"/>
          <w:lang w:eastAsia="zh-CN"/>
        </w:rPr>
        <w:t>，</w:t>
      </w:r>
      <w:r>
        <w:rPr>
          <w:rFonts w:hint="eastAsia" w:ascii="Times New Roman" w:eastAsia="仿宋_GB2312"/>
          <w:sz w:val="32"/>
          <w:szCs w:val="32"/>
          <w:lang w:eastAsia="zh-CN"/>
        </w:rPr>
        <w:t>下设独立编制机构</w:t>
      </w:r>
      <w:r>
        <w:rPr>
          <w:rFonts w:hint="eastAsia" w:eastAsia="仿宋_GB2312"/>
          <w:sz w:val="32"/>
          <w:szCs w:val="32"/>
          <w:lang w:val="en-US" w:eastAsia="zh-CN"/>
        </w:rPr>
        <w:t>0</w:t>
      </w:r>
      <w:r>
        <w:rPr>
          <w:rFonts w:hint="eastAsia" w:ascii="Times New Roman" w:eastAsia="仿宋_GB2312"/>
          <w:sz w:val="32"/>
          <w:szCs w:val="32"/>
          <w:lang w:val="en-US" w:eastAsia="zh-CN"/>
        </w:rPr>
        <w:t>个，其中行政机构</w:t>
      </w:r>
      <w:r>
        <w:rPr>
          <w:rFonts w:hint="eastAsia" w:eastAsia="仿宋_GB2312"/>
          <w:sz w:val="32"/>
          <w:szCs w:val="32"/>
          <w:lang w:val="en-US" w:eastAsia="zh-CN"/>
        </w:rPr>
        <w:t>0</w:t>
      </w:r>
      <w:r>
        <w:rPr>
          <w:rFonts w:hint="eastAsia" w:ascii="Times New Roman" w:eastAsia="仿宋_GB2312"/>
          <w:sz w:val="32"/>
          <w:szCs w:val="32"/>
          <w:lang w:val="en-US" w:eastAsia="zh-CN"/>
        </w:rPr>
        <w:t>个，参照公务员法管理的事业机构0个，其他事业机构0个</w:t>
      </w:r>
      <w:r>
        <w:rPr>
          <w:rFonts w:hint="eastAsia" w:ascii="Times New Roman" w:eastAsia="仿宋_GB2312"/>
          <w:color w:val="333333"/>
          <w:sz w:val="32"/>
          <w:szCs w:val="32"/>
          <w:shd w:val="clear" w:color="auto" w:fill="FFFFFF"/>
        </w:rPr>
        <w:t>。</w:t>
      </w:r>
    </w:p>
    <w:p w14:paraId="6374AB3E">
      <w:pPr>
        <w:pageBreakBefore w:val="0"/>
        <w:widowControl w:val="0"/>
        <w:pBdr>
          <w:bottom w:val="single" w:color="FFFFFF" w:sz="8" w:space="31"/>
        </w:pBdr>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r>
        <w:rPr>
          <w:rFonts w:hint="eastAsia" w:eastAsia="仿宋_GB2312" w:cs="Times New Roman"/>
          <w:color w:val="333333"/>
          <w:sz w:val="32"/>
          <w:szCs w:val="32"/>
          <w:shd w:val="clear" w:color="auto" w:fill="FFFFFF"/>
          <w:lang w:val="en-US" w:eastAsia="zh-CN"/>
        </w:rPr>
        <w:t>纳入2023年度部门决算编制范围的二级预算单位包括：无。</w:t>
      </w:r>
      <w:bookmarkEnd w:id="9"/>
      <w:bookmarkEnd w:id="10"/>
    </w:p>
    <w:p w14:paraId="53943FB1">
      <w:pPr>
        <w:pStyle w:val="3"/>
        <w:ind w:right="440"/>
        <w:jc w:val="center"/>
        <w:rPr>
          <w:rStyle w:val="29"/>
          <w:rFonts w:ascii="黑体" w:hAnsi="黑体" w:eastAsia="黑体"/>
          <w:b w:val="0"/>
          <w:bCs/>
        </w:rPr>
      </w:pPr>
      <w:bookmarkStart w:id="11" w:name="_Toc15377204"/>
      <w:bookmarkStart w:id="12" w:name="_Toc15396602"/>
      <w:r>
        <w:rPr>
          <w:rFonts w:hint="eastAsia" w:ascii="黑体" w:hAnsi="黑体" w:eastAsia="黑体"/>
          <w:b w:val="0"/>
        </w:rPr>
        <w:t>第二部分 2023年度部门</w:t>
      </w:r>
      <w:r>
        <w:rPr>
          <w:rStyle w:val="29"/>
          <w:rFonts w:hint="eastAsia" w:ascii="黑体" w:hAnsi="黑体" w:eastAsia="黑体"/>
          <w:b w:val="0"/>
          <w:bCs/>
        </w:rPr>
        <w:t>决算情况说明</w:t>
      </w:r>
      <w:bookmarkEnd w:id="11"/>
      <w:bookmarkEnd w:id="12"/>
    </w:p>
    <w:p w14:paraId="26BA0EF5"/>
    <w:p w14:paraId="22B5834E">
      <w:pPr>
        <w:pStyle w:val="28"/>
        <w:numPr>
          <w:ilvl w:val="0"/>
          <w:numId w:val="1"/>
        </w:numPr>
        <w:spacing w:line="600" w:lineRule="exact"/>
        <w:ind w:firstLineChars="0"/>
        <w:outlineLvl w:val="1"/>
        <w:rPr>
          <w:rStyle w:val="30"/>
          <w:rFonts w:ascii="黑体" w:hAnsi="黑体" w:eastAsia="黑体"/>
          <w:b w:val="0"/>
        </w:rPr>
      </w:pPr>
      <w:bookmarkStart w:id="13" w:name="_Toc15377205"/>
      <w:bookmarkStart w:id="14"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3"/>
      <w:bookmarkEnd w:id="14"/>
    </w:p>
    <w:p w14:paraId="2272485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2023年度收、支总计1365.82万元。与2022年相比，收、支总计均增加29.44万元，</w:t>
      </w:r>
      <w:r>
        <w:rPr>
          <w:rFonts w:hint="eastAsia" w:ascii="仿宋" w:hAnsi="仿宋" w:eastAsia="仿宋"/>
          <w:color w:val="000000" w:themeColor="text1"/>
          <w:sz w:val="32"/>
          <w:szCs w:val="32"/>
          <w14:textFill>
            <w14:solidFill>
              <w14:schemeClr w14:val="tx1"/>
            </w14:solidFill>
          </w14:textFill>
        </w:rPr>
        <w:t>均增长2.2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w:t>
      </w:r>
      <w:r>
        <w:rPr>
          <w:rFonts w:hint="eastAsia" w:ascii="仿宋" w:hAnsi="仿宋" w:eastAsia="仿宋"/>
          <w:sz w:val="32"/>
          <w:szCs w:val="32"/>
        </w:rPr>
        <w:t>要变动原因是职业年金做实、退休人员一次性补贴等预算调整导致。</w:t>
      </w:r>
    </w:p>
    <w:p w14:paraId="50378603">
      <w:pPr>
        <w:pStyle w:val="2"/>
      </w:pPr>
    </w:p>
    <w:p w14:paraId="411CC9CC">
      <w:pPr>
        <w:pStyle w:val="2"/>
        <w:spacing w:before="93"/>
        <w:rPr>
          <w:rFonts w:hint="eastAsia"/>
        </w:rPr>
      </w:pPr>
      <w:r>
        <w:drawing>
          <wp:inline distT="0" distB="0" distL="0" distR="0">
            <wp:extent cx="4834255" cy="2821305"/>
            <wp:effectExtent l="0" t="0" r="23495" b="17145"/>
            <wp:docPr id="10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FFAB28">
      <w:pPr>
        <w:pStyle w:val="2"/>
        <w:spacing w:before="93"/>
        <w:jc w:val="center"/>
        <w:rPr>
          <w:rFonts w:hint="eastAsia" w:ascii="仿宋" w:hAnsi="仿宋" w:eastAsia="仿宋"/>
          <w:kern w:val="2"/>
          <w:sz w:val="32"/>
          <w:szCs w:val="32"/>
        </w:rPr>
      </w:pPr>
      <w:r>
        <w:rPr>
          <w:rFonts w:hint="eastAsia"/>
        </w:rPr>
        <w:t>图1：</w:t>
      </w:r>
      <w:r>
        <w:rPr>
          <w:rFonts w:hint="eastAsia" w:ascii="仿宋" w:hAnsi="仿宋" w:eastAsia="仿宋"/>
          <w:kern w:val="2"/>
          <w:sz w:val="32"/>
          <w:szCs w:val="32"/>
        </w:rPr>
        <w:t>收、支决算总计变动情况图（单位：万元）</w:t>
      </w:r>
    </w:p>
    <w:p w14:paraId="39A1B7F1">
      <w:pPr>
        <w:pStyle w:val="2"/>
        <w:spacing w:before="93"/>
        <w:jc w:val="center"/>
        <w:rPr>
          <w:rFonts w:hint="eastAsia" w:ascii="仿宋" w:hAnsi="仿宋" w:eastAsia="仿宋"/>
          <w:kern w:val="2"/>
          <w:sz w:val="32"/>
          <w:szCs w:val="32"/>
        </w:rPr>
      </w:pPr>
    </w:p>
    <w:p w14:paraId="2EAECC93">
      <w:pPr>
        <w:pStyle w:val="28"/>
        <w:numPr>
          <w:ilvl w:val="0"/>
          <w:numId w:val="1"/>
        </w:numPr>
        <w:spacing w:line="600" w:lineRule="exact"/>
        <w:ind w:firstLineChars="0"/>
        <w:outlineLvl w:val="1"/>
        <w:rPr>
          <w:rStyle w:val="30"/>
          <w:rFonts w:ascii="黑体" w:hAnsi="黑体" w:eastAsia="黑体"/>
          <w:b w:val="0"/>
        </w:rPr>
      </w:pPr>
      <w:bookmarkStart w:id="15" w:name="_Toc15377206"/>
      <w:bookmarkStart w:id="16" w:name="_Toc15396604"/>
      <w:r>
        <w:rPr>
          <w:rFonts w:hint="eastAsia" w:ascii="黑体" w:hAnsi="黑体" w:eastAsia="黑体"/>
          <w:sz w:val="32"/>
          <w:szCs w:val="32"/>
        </w:rPr>
        <w:t>收</w:t>
      </w:r>
      <w:r>
        <w:rPr>
          <w:rStyle w:val="30"/>
          <w:rFonts w:hint="eastAsia" w:ascii="黑体" w:hAnsi="黑体" w:eastAsia="黑体"/>
          <w:b w:val="0"/>
        </w:rPr>
        <w:t>入决算情况说明</w:t>
      </w:r>
      <w:bookmarkEnd w:id="15"/>
      <w:bookmarkEnd w:id="16"/>
    </w:p>
    <w:p w14:paraId="4AE80CD1">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2023年本年收入合计1365.82万元，其中：一般公共预算财政拨款收入1365.82万元，占100</w:t>
      </w:r>
      <w:r>
        <w:rPr>
          <w:rFonts w:ascii="仿宋" w:hAnsi="仿宋" w:eastAsia="仿宋"/>
          <w:sz w:val="32"/>
          <w:szCs w:val="32"/>
        </w:rPr>
        <w:t>%</w:t>
      </w:r>
      <w:r>
        <w:rPr>
          <w:rFonts w:hint="eastAsia" w:ascii="仿宋" w:hAnsi="仿宋" w:eastAsia="仿宋"/>
          <w:sz w:val="32"/>
          <w:szCs w:val="32"/>
        </w:rPr>
        <w:t>。</w:t>
      </w:r>
    </w:p>
    <w:p w14:paraId="7DC8A70D">
      <w:pPr>
        <w:pStyle w:val="2"/>
        <w:spacing w:before="93"/>
        <w:jc w:val="center"/>
        <w:rPr>
          <w:rFonts w:hint="eastAsia"/>
        </w:rPr>
      </w:pPr>
      <w:r>
        <w:drawing>
          <wp:inline distT="0" distB="0" distL="0" distR="0">
            <wp:extent cx="3832225" cy="2236470"/>
            <wp:effectExtent l="0" t="0" r="15875" b="11430"/>
            <wp:docPr id="102"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FA0BCB">
      <w:pPr>
        <w:pStyle w:val="2"/>
        <w:spacing w:before="93"/>
        <w:jc w:val="center"/>
      </w:pPr>
      <w:r>
        <w:rPr>
          <w:rFonts w:hint="eastAsia"/>
        </w:rPr>
        <w:t>图2：收入决算结构图</w:t>
      </w:r>
      <w:r>
        <w:rPr>
          <w:rFonts w:hint="eastAsia" w:ascii="仿宋" w:hAnsi="仿宋" w:eastAsia="仿宋"/>
          <w:kern w:val="2"/>
          <w:sz w:val="32"/>
          <w:szCs w:val="32"/>
        </w:rPr>
        <w:t>（单位：万元）</w:t>
      </w:r>
    </w:p>
    <w:p w14:paraId="63BF9E9D">
      <w:pPr>
        <w:pStyle w:val="28"/>
        <w:numPr>
          <w:ilvl w:val="0"/>
          <w:numId w:val="1"/>
        </w:numPr>
        <w:spacing w:line="600" w:lineRule="exact"/>
        <w:ind w:firstLineChars="0"/>
        <w:outlineLvl w:val="1"/>
        <w:rPr>
          <w:rStyle w:val="30"/>
          <w:rFonts w:ascii="黑体" w:hAnsi="黑体" w:eastAsia="黑体"/>
          <w:b w:val="0"/>
        </w:rPr>
      </w:pPr>
      <w:bookmarkStart w:id="17" w:name="_Toc15396605"/>
      <w:bookmarkStart w:id="18" w:name="_Toc15377207"/>
      <w:r>
        <w:rPr>
          <w:rFonts w:hint="eastAsia" w:ascii="黑体" w:hAnsi="黑体" w:eastAsia="黑体"/>
          <w:sz w:val="32"/>
          <w:szCs w:val="32"/>
        </w:rPr>
        <w:t>支</w:t>
      </w:r>
      <w:r>
        <w:rPr>
          <w:rStyle w:val="30"/>
          <w:rFonts w:hint="eastAsia" w:ascii="黑体" w:hAnsi="黑体" w:eastAsia="黑体"/>
          <w:b w:val="0"/>
        </w:rPr>
        <w:t>出决算情况说明</w:t>
      </w:r>
      <w:bookmarkEnd w:id="17"/>
      <w:bookmarkEnd w:id="18"/>
    </w:p>
    <w:p w14:paraId="1C58C074">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2023年本年支出合计1365.82万元，其中：基本支出1030.6万元，占75.</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；项目支出335.22万元，占24.5</w:t>
      </w:r>
      <w:r>
        <w:rPr>
          <w:rFonts w:ascii="仿宋" w:hAnsi="仿宋" w:eastAsia="仿宋"/>
          <w:sz w:val="32"/>
          <w:szCs w:val="32"/>
        </w:rPr>
        <w:t>%</w:t>
      </w:r>
      <w:r>
        <w:rPr>
          <w:rFonts w:hint="eastAsia" w:ascii="仿宋" w:hAnsi="仿宋" w:eastAsia="仿宋"/>
          <w:sz w:val="32"/>
          <w:szCs w:val="32"/>
        </w:rPr>
        <w:t>。</w:t>
      </w:r>
    </w:p>
    <w:p w14:paraId="1E9F7FA1">
      <w:pPr>
        <w:pStyle w:val="7"/>
        <w:rPr>
          <w:rFonts w:hint="eastAsia"/>
        </w:rPr>
      </w:pPr>
      <w:r>
        <w:drawing>
          <wp:inline distT="0" distB="0" distL="0" distR="0">
            <wp:extent cx="4094480" cy="2390140"/>
            <wp:effectExtent l="0" t="0" r="20320" b="10160"/>
            <wp:docPr id="103"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E98E49">
      <w:pPr>
        <w:jc w:val="center"/>
      </w:pPr>
      <w:r>
        <w:rPr>
          <w:rFonts w:hint="eastAsia" w:ascii="仿宋" w:hAnsi="仿宋" w:eastAsia="仿宋"/>
          <w:sz w:val="32"/>
          <w:szCs w:val="32"/>
        </w:rPr>
        <w:t>图3：支出决算结构图（单位：万元）</w:t>
      </w:r>
    </w:p>
    <w:p w14:paraId="1F06A3FF">
      <w:pPr>
        <w:spacing w:line="600" w:lineRule="exact"/>
        <w:ind w:firstLine="640" w:firstLineChars="200"/>
        <w:outlineLvl w:val="1"/>
        <w:rPr>
          <w:rStyle w:val="30"/>
          <w:rFonts w:ascii="黑体" w:hAnsi="黑体" w:eastAsia="黑体"/>
          <w:b w:val="0"/>
        </w:rPr>
      </w:pPr>
      <w:bookmarkStart w:id="19" w:name="_Toc15396606"/>
      <w:bookmarkStart w:id="20"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19"/>
      <w:bookmarkEnd w:id="20"/>
    </w:p>
    <w:p w14:paraId="53D53A60">
      <w:pPr>
        <w:spacing w:line="600" w:lineRule="exact"/>
        <w:ind w:firstLine="640"/>
        <w:rPr>
          <w:rFonts w:ascii="仿宋" w:hAnsi="仿宋" w:eastAsia="仿宋"/>
          <w:sz w:val="32"/>
          <w:szCs w:val="32"/>
        </w:rPr>
      </w:pPr>
      <w:r>
        <w:rPr>
          <w:rFonts w:hint="eastAsia" w:ascii="仿宋" w:hAnsi="仿宋" w:eastAsia="仿宋"/>
          <w:sz w:val="32"/>
          <w:szCs w:val="32"/>
        </w:rPr>
        <w:t>2023年财政拨款收、支总计1365.82万元。与2022年相比，财政拨款收、支均增加29.44万元，均增长2.2</w:t>
      </w:r>
      <w:r>
        <w:rPr>
          <w:rFonts w:ascii="仿宋" w:hAnsi="仿宋" w:eastAsia="仿宋"/>
          <w:sz w:val="32"/>
          <w:szCs w:val="32"/>
        </w:rPr>
        <w:t>%</w:t>
      </w:r>
      <w:r>
        <w:rPr>
          <w:rFonts w:hint="eastAsia" w:ascii="仿宋" w:hAnsi="仿宋" w:eastAsia="仿宋"/>
          <w:sz w:val="32"/>
          <w:szCs w:val="32"/>
        </w:rPr>
        <w:t>。主要变动原因是职业年金做实、退休人员一次性补贴等预算调整导致。</w:t>
      </w:r>
    </w:p>
    <w:p w14:paraId="1344B323">
      <w:pPr>
        <w:pStyle w:val="2"/>
        <w:spacing w:before="93"/>
        <w:jc w:val="center"/>
        <w:rPr>
          <w:rFonts w:hint="eastAsia"/>
        </w:rPr>
      </w:pPr>
      <w:r>
        <w:drawing>
          <wp:inline distT="0" distB="0" distL="0" distR="0">
            <wp:extent cx="4118610" cy="2404110"/>
            <wp:effectExtent l="0" t="0" r="15240" b="15240"/>
            <wp:docPr id="104"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D21CA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 w:hAnsi="仿宋" w:eastAsia="仿宋"/>
          <w:sz w:val="32"/>
          <w:szCs w:val="32"/>
        </w:rPr>
      </w:pPr>
      <w:r>
        <w:rPr>
          <w:rFonts w:hint="eastAsia" w:ascii="仿宋" w:hAnsi="仿宋" w:eastAsia="仿宋"/>
          <w:sz w:val="32"/>
          <w:szCs w:val="32"/>
        </w:rPr>
        <w:t>图4：财政拨款收、支决算总计变动情况（单位：万元）</w:t>
      </w:r>
    </w:p>
    <w:p w14:paraId="389C32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Style w:val="30"/>
          <w:rFonts w:ascii="黑体" w:hAnsi="黑体" w:eastAsia="黑体"/>
          <w:b w:val="0"/>
        </w:rPr>
      </w:pPr>
      <w:bookmarkStart w:id="21" w:name="_Toc15377209"/>
      <w:bookmarkStart w:id="22"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1"/>
      <w:bookmarkEnd w:id="22"/>
    </w:p>
    <w:p w14:paraId="5191BAB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ascii="仿宋" w:hAnsi="仿宋" w:eastAsia="仿宋"/>
          <w:b/>
          <w:sz w:val="32"/>
          <w:szCs w:val="32"/>
        </w:rPr>
      </w:pPr>
      <w:bookmarkStart w:id="23" w:name="_Toc15377210"/>
      <w:r>
        <w:rPr>
          <w:rFonts w:hint="eastAsia" w:ascii="仿宋" w:hAnsi="仿宋" w:eastAsia="仿宋"/>
          <w:b/>
          <w:sz w:val="32"/>
          <w:szCs w:val="32"/>
        </w:rPr>
        <w:t>（一）一般公共预算财政拨款支出决算总体情况</w:t>
      </w:r>
      <w:bookmarkEnd w:id="23"/>
    </w:p>
    <w:p w14:paraId="76ACA1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2023年一般公共预算财政拨款支出1365.82万元，占本年支出合计的100</w:t>
      </w:r>
      <w:r>
        <w:rPr>
          <w:rFonts w:ascii="仿宋" w:hAnsi="仿宋" w:eastAsia="仿宋"/>
          <w:sz w:val="32"/>
          <w:szCs w:val="32"/>
        </w:rPr>
        <w:t>%</w:t>
      </w:r>
      <w:r>
        <w:rPr>
          <w:rFonts w:hint="eastAsia" w:ascii="仿宋" w:hAnsi="仿宋" w:eastAsia="仿宋"/>
          <w:sz w:val="32"/>
          <w:szCs w:val="32"/>
        </w:rPr>
        <w:t>。与2022年相比，一般公共预算财政拨款支出增加29.44万元，增长2.2%。主要变动原因是职业年金做实、退休人员一次性补贴等预算调整导致。</w:t>
      </w:r>
    </w:p>
    <w:p w14:paraId="37C55B92">
      <w:pPr>
        <w:pStyle w:val="2"/>
        <w:spacing w:before="93"/>
        <w:jc w:val="center"/>
        <w:rPr>
          <w:rFonts w:hint="eastAsia"/>
        </w:rPr>
      </w:pPr>
      <w:r>
        <w:drawing>
          <wp:inline distT="0" distB="0" distL="0" distR="0">
            <wp:extent cx="4070985" cy="2376170"/>
            <wp:effectExtent l="0" t="0" r="24765" b="24130"/>
            <wp:docPr id="105"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A4DB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sz w:val="32"/>
          <w:szCs w:val="32"/>
        </w:rPr>
      </w:pPr>
      <w:r>
        <w:rPr>
          <w:rFonts w:hint="eastAsia" w:ascii="仿宋" w:hAnsi="仿宋" w:eastAsia="仿宋"/>
          <w:sz w:val="32"/>
          <w:szCs w:val="32"/>
        </w:rPr>
        <w:t>图5：一般公共预算财政拨款支出决算变动情况（单位：万元）</w:t>
      </w:r>
    </w:p>
    <w:p w14:paraId="2614F52D">
      <w:pPr>
        <w:spacing w:line="600" w:lineRule="exact"/>
        <w:ind w:firstLine="643" w:firstLineChars="200"/>
        <w:outlineLvl w:val="2"/>
        <w:rPr>
          <w:rFonts w:ascii="仿宋" w:hAnsi="仿宋" w:eastAsia="仿宋"/>
          <w:b/>
          <w:sz w:val="32"/>
          <w:szCs w:val="32"/>
        </w:rPr>
      </w:pPr>
      <w:bookmarkStart w:id="24" w:name="_Toc15377211"/>
      <w:r>
        <w:rPr>
          <w:rFonts w:hint="eastAsia" w:ascii="仿宋" w:hAnsi="仿宋" w:eastAsia="仿宋"/>
          <w:b/>
          <w:sz w:val="32"/>
          <w:szCs w:val="32"/>
        </w:rPr>
        <w:t>（二）一般公共预算财政拨款支出决算结构情况</w:t>
      </w:r>
      <w:bookmarkEnd w:id="24"/>
    </w:p>
    <w:p w14:paraId="0BA89762">
      <w:pPr>
        <w:spacing w:line="600" w:lineRule="exact"/>
        <w:ind w:firstLine="640"/>
        <w:rPr>
          <w:rFonts w:ascii="仿宋_GB2312" w:hAnsi="仿宋_GB2312" w:eastAsia="仿宋_GB2312"/>
          <w:color w:val="000000"/>
          <w:sz w:val="32"/>
        </w:rPr>
      </w:pPr>
      <w:r>
        <w:rPr>
          <w:rFonts w:hint="eastAsia" w:ascii="仿宋" w:hAnsi="仿宋" w:eastAsia="仿宋"/>
          <w:sz w:val="32"/>
          <w:szCs w:val="32"/>
        </w:rPr>
        <w:t>2023年一般公共预算财政拨款支出1365.82万元，主要用于以下方面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支出1107.4万元，占81.</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支出154.74万元，占11.</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33.2万元，占2.</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；住房保障支出70.48万元，占5.</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p>
    <w:p w14:paraId="2C10E43C">
      <w:pPr>
        <w:pStyle w:val="2"/>
        <w:spacing w:before="93"/>
        <w:jc w:val="center"/>
        <w:rPr>
          <w:rFonts w:hint="eastAsia"/>
        </w:rPr>
      </w:pPr>
      <w:r>
        <w:drawing>
          <wp:inline distT="0" distB="0" distL="0" distR="0">
            <wp:extent cx="3943350" cy="2301875"/>
            <wp:effectExtent l="0" t="0" r="19050" b="22225"/>
            <wp:docPr id="106"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604EDB">
      <w:pPr>
        <w:jc w:val="center"/>
        <w:rPr>
          <w:rFonts w:ascii="仿宋" w:hAnsi="仿宋" w:eastAsia="仿宋"/>
          <w:sz w:val="32"/>
          <w:szCs w:val="32"/>
        </w:rPr>
      </w:pPr>
      <w:r>
        <w:rPr>
          <w:rFonts w:hint="eastAsia" w:ascii="仿宋" w:hAnsi="仿宋" w:eastAsia="仿宋"/>
          <w:sz w:val="32"/>
          <w:szCs w:val="32"/>
        </w:rPr>
        <w:t>图6：一般公共预算财政拨款支出决算结构（单位：万元）</w:t>
      </w:r>
    </w:p>
    <w:p w14:paraId="1EDBFCB5">
      <w:pPr>
        <w:spacing w:line="600" w:lineRule="exact"/>
        <w:ind w:firstLine="643" w:firstLineChars="200"/>
        <w:outlineLvl w:val="2"/>
        <w:rPr>
          <w:rFonts w:ascii="仿宋" w:hAnsi="仿宋" w:eastAsia="仿宋"/>
          <w:b/>
          <w:sz w:val="32"/>
          <w:szCs w:val="32"/>
        </w:rPr>
      </w:pPr>
      <w:bookmarkStart w:id="25" w:name="_Toc15377212"/>
      <w:r>
        <w:rPr>
          <w:rFonts w:hint="eastAsia" w:ascii="仿宋" w:hAnsi="仿宋" w:eastAsia="仿宋"/>
          <w:b/>
          <w:sz w:val="32"/>
          <w:szCs w:val="32"/>
        </w:rPr>
        <w:t>（三）一般公共预算财政拨款支出决算具体情况</w:t>
      </w:r>
      <w:bookmarkEnd w:id="25"/>
    </w:p>
    <w:p w14:paraId="511FDD6F">
      <w:pPr>
        <w:spacing w:line="600" w:lineRule="exact"/>
        <w:ind w:firstLine="643" w:firstLineChars="200"/>
        <w:outlineLvl w:val="2"/>
        <w:rPr>
          <w:rFonts w:ascii="仿宋" w:hAnsi="仿宋" w:eastAsia="仿宋"/>
          <w:sz w:val="32"/>
          <w:szCs w:val="32"/>
        </w:rPr>
      </w:pPr>
      <w:bookmarkStart w:id="26" w:name="_Toc15377444"/>
      <w:bookmarkStart w:id="27" w:name="_Toc15377213"/>
      <w:bookmarkStart w:id="28" w:name="_Toc15378460"/>
      <w:r>
        <w:rPr>
          <w:rFonts w:hint="eastAsia" w:ascii="仿宋" w:hAnsi="仿宋" w:eastAsia="仿宋"/>
          <w:b/>
          <w:sz w:val="32"/>
          <w:szCs w:val="32"/>
        </w:rPr>
        <w:t>2023年一般公共预算支出决算数为</w:t>
      </w:r>
      <w:r>
        <w:rPr>
          <w:rFonts w:hint="eastAsia" w:ascii="仿宋" w:hAnsi="仿宋" w:eastAsia="仿宋"/>
          <w:sz w:val="32"/>
          <w:szCs w:val="32"/>
        </w:rPr>
        <w:t>1365.82，</w:t>
      </w:r>
      <w:r>
        <w:rPr>
          <w:rStyle w:val="19"/>
          <w:rFonts w:hint="eastAsia" w:ascii="仿宋" w:hAnsi="仿宋" w:eastAsia="仿宋"/>
          <w:bCs/>
          <w:sz w:val="32"/>
          <w:szCs w:val="32"/>
        </w:rPr>
        <w:t>完成预算100</w:t>
      </w:r>
      <w:r>
        <w:rPr>
          <w:rStyle w:val="19"/>
          <w:rFonts w:ascii="仿宋" w:hAnsi="仿宋" w:eastAsia="仿宋"/>
          <w:bCs/>
          <w:sz w:val="32"/>
          <w:szCs w:val="32"/>
        </w:rPr>
        <w:t>%</w:t>
      </w:r>
      <w:r>
        <w:rPr>
          <w:rStyle w:val="19"/>
          <w:rFonts w:hint="eastAsia" w:ascii="仿宋" w:hAnsi="仿宋" w:eastAsia="仿宋"/>
          <w:bCs/>
          <w:sz w:val="32"/>
          <w:szCs w:val="32"/>
        </w:rPr>
        <w:t>。其中：</w:t>
      </w:r>
      <w:bookmarkEnd w:id="26"/>
      <w:bookmarkEnd w:id="27"/>
      <w:bookmarkEnd w:id="28"/>
    </w:p>
    <w:p w14:paraId="5A0CC712">
      <w:pPr>
        <w:spacing w:line="600" w:lineRule="exact"/>
        <w:ind w:firstLine="643" w:firstLineChars="200"/>
        <w:rPr>
          <w:rFonts w:ascii="仿宋" w:hAnsi="仿宋" w:eastAsia="仿宋"/>
          <w:b/>
          <w:color w:val="000000"/>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人大事务（款）行政运行（项）</w:t>
      </w:r>
      <w:r>
        <w:rPr>
          <w:rStyle w:val="19"/>
          <w:rFonts w:ascii="仿宋" w:hAnsi="仿宋" w:eastAsia="仿宋"/>
          <w:bCs/>
          <w:sz w:val="32"/>
          <w:szCs w:val="32"/>
        </w:rPr>
        <w:t>:</w:t>
      </w:r>
      <w:r>
        <w:rPr>
          <w:rStyle w:val="19"/>
          <w:rFonts w:hint="eastAsia" w:ascii="仿宋" w:hAnsi="仿宋" w:eastAsia="仿宋"/>
          <w:b w:val="0"/>
          <w:bCs/>
          <w:sz w:val="32"/>
          <w:szCs w:val="32"/>
        </w:rPr>
        <w:t>支出决算为746.81万元，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5C8C5310">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sz w:val="32"/>
          <w:szCs w:val="32"/>
        </w:rPr>
        <w:t>2</w:t>
      </w:r>
      <w:r>
        <w:rPr>
          <w:rStyle w:val="19"/>
          <w:rFonts w:ascii="仿宋" w:hAnsi="仿宋" w:eastAsia="仿宋"/>
          <w:bCs/>
          <w:sz w:val="32"/>
          <w:szCs w:val="32"/>
        </w:rPr>
        <w:t>.</w:t>
      </w: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人大事务（款）机关服务（项）</w:t>
      </w:r>
      <w:r>
        <w:rPr>
          <w:rStyle w:val="19"/>
          <w:rFonts w:ascii="仿宋" w:hAnsi="仿宋" w:eastAsia="仿宋"/>
          <w:bCs/>
          <w:sz w:val="32"/>
          <w:szCs w:val="32"/>
        </w:rPr>
        <w:t>:</w:t>
      </w:r>
      <w:r>
        <w:rPr>
          <w:rStyle w:val="19"/>
          <w:rFonts w:hint="eastAsia" w:ascii="仿宋" w:hAnsi="仿宋" w:eastAsia="仿宋"/>
          <w:b w:val="0"/>
          <w:bCs/>
          <w:sz w:val="32"/>
          <w:szCs w:val="32"/>
        </w:rPr>
        <w:t>支出决算为38.5万元，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49429F37">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sz w:val="32"/>
          <w:szCs w:val="32"/>
        </w:rPr>
        <w:t>3</w:t>
      </w:r>
      <w:r>
        <w:rPr>
          <w:rStyle w:val="19"/>
          <w:rFonts w:ascii="仿宋" w:hAnsi="仿宋" w:eastAsia="仿宋"/>
          <w:bCs/>
          <w:sz w:val="32"/>
          <w:szCs w:val="32"/>
        </w:rPr>
        <w:t>.</w:t>
      </w: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人大事务（款）人大会议（项）</w:t>
      </w:r>
      <w:r>
        <w:rPr>
          <w:rStyle w:val="19"/>
          <w:rFonts w:ascii="仿宋" w:hAnsi="仿宋" w:eastAsia="仿宋"/>
          <w:bCs/>
          <w:sz w:val="32"/>
          <w:szCs w:val="32"/>
        </w:rPr>
        <w:t>:</w:t>
      </w:r>
      <w:r>
        <w:rPr>
          <w:rStyle w:val="19"/>
          <w:rFonts w:hint="eastAsia" w:ascii="仿宋" w:hAnsi="仿宋" w:eastAsia="仿宋"/>
          <w:b w:val="0"/>
          <w:bCs/>
          <w:sz w:val="32"/>
          <w:szCs w:val="32"/>
        </w:rPr>
        <w:t>支出决算为59.12万元，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2838DA08">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sz w:val="32"/>
          <w:szCs w:val="32"/>
        </w:rPr>
        <w:t>4</w:t>
      </w:r>
      <w:r>
        <w:rPr>
          <w:rStyle w:val="19"/>
          <w:rFonts w:ascii="仿宋" w:hAnsi="仿宋" w:eastAsia="仿宋"/>
          <w:bCs/>
          <w:sz w:val="32"/>
          <w:szCs w:val="32"/>
        </w:rPr>
        <w:t>.</w:t>
      </w: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人大事务（款）人大监督（项）</w:t>
      </w:r>
      <w:r>
        <w:rPr>
          <w:rStyle w:val="19"/>
          <w:rFonts w:ascii="仿宋" w:hAnsi="仿宋" w:eastAsia="仿宋"/>
          <w:bCs/>
          <w:sz w:val="32"/>
          <w:szCs w:val="32"/>
        </w:rPr>
        <w:t>:</w:t>
      </w:r>
      <w:r>
        <w:rPr>
          <w:rStyle w:val="19"/>
          <w:rFonts w:hint="eastAsia" w:ascii="仿宋" w:hAnsi="仿宋" w:eastAsia="仿宋"/>
          <w:b w:val="0"/>
          <w:bCs/>
          <w:sz w:val="32"/>
          <w:szCs w:val="32"/>
        </w:rPr>
        <w:t>支出决算为147.6万元，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637B766B">
      <w:pPr>
        <w:spacing w:line="600" w:lineRule="exact"/>
        <w:ind w:firstLine="643" w:firstLineChars="200"/>
        <w:rPr>
          <w:rStyle w:val="19"/>
          <w:rFonts w:ascii="仿宋" w:hAnsi="仿宋" w:eastAsia="仿宋"/>
          <w:bCs/>
          <w:sz w:val="32"/>
          <w:szCs w:val="32"/>
        </w:rPr>
      </w:pPr>
      <w:r>
        <w:rPr>
          <w:rStyle w:val="19"/>
          <w:rFonts w:hint="eastAsia" w:ascii="仿宋" w:hAnsi="仿宋" w:eastAsia="仿宋"/>
          <w:bCs/>
          <w:sz w:val="32"/>
          <w:szCs w:val="32"/>
        </w:rPr>
        <w:t>5</w:t>
      </w:r>
      <w:r>
        <w:rPr>
          <w:rStyle w:val="19"/>
          <w:rFonts w:ascii="仿宋" w:hAnsi="仿宋" w:eastAsia="仿宋"/>
          <w:bCs/>
          <w:sz w:val="32"/>
          <w:szCs w:val="32"/>
        </w:rPr>
        <w:t>.</w:t>
      </w: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人大事务（款）代表工作（项）</w:t>
      </w:r>
      <w:r>
        <w:rPr>
          <w:rStyle w:val="19"/>
          <w:rFonts w:ascii="仿宋" w:hAnsi="仿宋" w:eastAsia="仿宋"/>
          <w:bCs/>
          <w:sz w:val="32"/>
          <w:szCs w:val="32"/>
        </w:rPr>
        <w:t>:</w:t>
      </w:r>
      <w:r>
        <w:rPr>
          <w:rStyle w:val="19"/>
          <w:rFonts w:hint="eastAsia" w:ascii="仿宋" w:hAnsi="仿宋" w:eastAsia="仿宋"/>
          <w:b w:val="0"/>
          <w:bCs/>
          <w:sz w:val="32"/>
          <w:szCs w:val="32"/>
        </w:rPr>
        <w:t>支出决算为70万元，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481244AC">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sz w:val="32"/>
          <w:szCs w:val="32"/>
        </w:rPr>
        <w:t>6</w:t>
      </w:r>
      <w:r>
        <w:rPr>
          <w:rStyle w:val="19"/>
          <w:rFonts w:ascii="仿宋" w:hAnsi="仿宋" w:eastAsia="仿宋"/>
          <w:bCs/>
          <w:sz w:val="32"/>
          <w:szCs w:val="32"/>
        </w:rPr>
        <w:t>.</w:t>
      </w: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人大事务（款）事业运行（项）</w:t>
      </w:r>
      <w:r>
        <w:rPr>
          <w:rStyle w:val="19"/>
          <w:rFonts w:ascii="仿宋" w:hAnsi="仿宋" w:eastAsia="仿宋"/>
          <w:bCs/>
          <w:sz w:val="32"/>
          <w:szCs w:val="32"/>
        </w:rPr>
        <w:t>:</w:t>
      </w:r>
      <w:r>
        <w:rPr>
          <w:rStyle w:val="19"/>
          <w:rFonts w:hint="eastAsia" w:ascii="仿宋" w:hAnsi="仿宋" w:eastAsia="仿宋"/>
          <w:b w:val="0"/>
          <w:bCs/>
          <w:sz w:val="32"/>
          <w:szCs w:val="32"/>
        </w:rPr>
        <w:t>支出决算为25.38万元，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65282720">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sz w:val="32"/>
          <w:szCs w:val="32"/>
        </w:rPr>
        <w:t>7.一般公共服务（类）</w:t>
      </w:r>
      <w:r>
        <w:rPr>
          <w:rStyle w:val="19"/>
          <w:rFonts w:hint="eastAsia" w:ascii="仿宋" w:hAnsi="仿宋" w:eastAsia="仿宋"/>
          <w:bCs/>
          <w:color w:val="000000"/>
          <w:sz w:val="32"/>
          <w:szCs w:val="32"/>
        </w:rPr>
        <w:t>人大事务（款）其他人大事务支出（项）</w:t>
      </w:r>
      <w:r>
        <w:rPr>
          <w:rStyle w:val="19"/>
          <w:rFonts w:ascii="仿宋" w:hAnsi="仿宋" w:eastAsia="仿宋"/>
          <w:bCs/>
          <w:sz w:val="32"/>
          <w:szCs w:val="32"/>
        </w:rPr>
        <w:t>:</w:t>
      </w:r>
      <w:r>
        <w:rPr>
          <w:rStyle w:val="19"/>
          <w:rFonts w:hint="eastAsia" w:ascii="仿宋" w:hAnsi="仿宋" w:eastAsia="仿宋"/>
          <w:b w:val="0"/>
          <w:bCs/>
          <w:sz w:val="32"/>
          <w:szCs w:val="32"/>
        </w:rPr>
        <w:t>支出决算为20万元，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62A113EA">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sz w:val="32"/>
          <w:szCs w:val="32"/>
        </w:rPr>
        <w:t>8</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社会保障和就业（类）行政事业单位养老支出（款）机关事业单位基本养老保险缴费支出（项）</w:t>
      </w:r>
      <w:r>
        <w:rPr>
          <w:rStyle w:val="19"/>
          <w:rFonts w:ascii="仿宋" w:hAnsi="仿宋" w:eastAsia="仿宋"/>
          <w:bCs/>
          <w:sz w:val="32"/>
          <w:szCs w:val="32"/>
        </w:rPr>
        <w:t>:</w:t>
      </w:r>
      <w:r>
        <w:rPr>
          <w:rStyle w:val="19"/>
          <w:rFonts w:hint="eastAsia" w:ascii="仿宋" w:hAnsi="仿宋" w:eastAsia="仿宋"/>
          <w:b w:val="0"/>
          <w:bCs/>
          <w:sz w:val="32"/>
          <w:szCs w:val="32"/>
        </w:rPr>
        <w:t>支出决算为154.74万元，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3DF3A5D2">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sz w:val="32"/>
          <w:szCs w:val="32"/>
        </w:rPr>
        <w:t>9</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（类）行政事业单位医疗（款）行政事业单位医疗（项）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支出决算为33.20万元，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75B2A525">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000000"/>
          <w:sz w:val="32"/>
          <w:szCs w:val="32"/>
        </w:rPr>
        <w:t>10</w:t>
      </w:r>
      <w:r>
        <w:rPr>
          <w:rStyle w:val="19"/>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9"/>
          <w:rFonts w:hint="eastAsia" w:ascii="仿宋" w:hAnsi="仿宋" w:eastAsia="仿宋"/>
          <w:bCs/>
          <w:color w:val="000000"/>
          <w:sz w:val="32"/>
          <w:szCs w:val="32"/>
        </w:rPr>
        <w:t>（类）住房改革支出（款）住房公积金（项）</w:t>
      </w:r>
      <w:r>
        <w:rPr>
          <w:rStyle w:val="19"/>
          <w:rFonts w:ascii="仿宋" w:hAnsi="仿宋" w:eastAsia="仿宋"/>
          <w:bCs/>
          <w:color w:val="000000"/>
          <w:sz w:val="32"/>
          <w:szCs w:val="32"/>
        </w:rPr>
        <w:t>:</w:t>
      </w:r>
      <w:r>
        <w:rPr>
          <w:rStyle w:val="19"/>
          <w:rFonts w:hint="eastAsia" w:ascii="仿宋" w:hAnsi="仿宋" w:eastAsia="仿宋"/>
          <w:b w:val="0"/>
          <w:bCs/>
          <w:color w:val="000000"/>
          <w:sz w:val="32"/>
          <w:szCs w:val="32"/>
        </w:rPr>
        <w:t>支出决算为70.48万元，完成预算100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14:paraId="3DFC5352">
      <w:pPr>
        <w:tabs>
          <w:tab w:val="right" w:pos="8306"/>
        </w:tabs>
        <w:spacing w:line="600" w:lineRule="exact"/>
        <w:ind w:firstLine="640"/>
        <w:outlineLvl w:val="1"/>
        <w:rPr>
          <w:rStyle w:val="30"/>
        </w:rPr>
      </w:pPr>
      <w:bookmarkStart w:id="29" w:name="_Toc15396608"/>
      <w:bookmarkStart w:id="3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29"/>
      <w:bookmarkEnd w:id="30"/>
      <w:r>
        <w:rPr>
          <w:rStyle w:val="30"/>
          <w:rFonts w:ascii="黑体" w:hAnsi="黑体" w:eastAsia="黑体"/>
          <w:b w:val="0"/>
        </w:rPr>
        <w:tab/>
      </w:r>
    </w:p>
    <w:p w14:paraId="5CA12105">
      <w:pPr>
        <w:spacing w:line="600" w:lineRule="exact"/>
        <w:ind w:firstLine="645"/>
        <w:rPr>
          <w:rFonts w:ascii="仿宋" w:hAnsi="仿宋" w:eastAsia="仿宋"/>
          <w:sz w:val="32"/>
          <w:szCs w:val="32"/>
        </w:rPr>
      </w:pPr>
      <w:r>
        <w:rPr>
          <w:rFonts w:hint="eastAsia" w:ascii="仿宋" w:hAnsi="仿宋" w:eastAsia="仿宋"/>
          <w:sz w:val="32"/>
          <w:szCs w:val="32"/>
        </w:rPr>
        <w:t>2023年一般公共预算财政拨款基本支出1030.60万元，其中：</w:t>
      </w:r>
    </w:p>
    <w:p w14:paraId="70E64A39">
      <w:pPr>
        <w:spacing w:line="600" w:lineRule="exact"/>
        <w:ind w:firstLine="645"/>
        <w:rPr>
          <w:rFonts w:ascii="仿宋" w:hAnsi="仿宋" w:eastAsia="仿宋"/>
          <w:sz w:val="32"/>
          <w:szCs w:val="32"/>
        </w:rPr>
      </w:pPr>
      <w:r>
        <w:rPr>
          <w:rFonts w:hint="eastAsia" w:ascii="仿宋" w:hAnsi="仿宋" w:eastAsia="仿宋"/>
          <w:sz w:val="32"/>
          <w:szCs w:val="32"/>
        </w:rPr>
        <w:t>人员经费902.68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C1F4525">
      <w:pPr>
        <w:spacing w:line="600" w:lineRule="exact"/>
        <w:ind w:firstLine="645"/>
        <w:rPr>
          <w:rFonts w:ascii="仿宋" w:hAnsi="仿宋" w:eastAsia="仿宋"/>
          <w:sz w:val="32"/>
          <w:szCs w:val="32"/>
        </w:rPr>
      </w:pPr>
      <w:r>
        <w:rPr>
          <w:rFonts w:hint="eastAsia" w:ascii="仿宋" w:hAnsi="仿宋" w:eastAsia="仿宋"/>
          <w:sz w:val="32"/>
          <w:szCs w:val="32"/>
        </w:rPr>
        <w:t>公用经费127.92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8A542C6">
      <w:pPr>
        <w:spacing w:line="600" w:lineRule="exact"/>
        <w:ind w:firstLine="640"/>
        <w:outlineLvl w:val="1"/>
        <w:rPr>
          <w:rFonts w:ascii="仿宋" w:hAnsi="仿宋" w:eastAsia="仿宋"/>
          <w:b/>
          <w:sz w:val="32"/>
          <w:szCs w:val="32"/>
        </w:rPr>
      </w:pPr>
      <w:bookmarkStart w:id="31" w:name="_Toc15377215"/>
      <w:bookmarkStart w:id="32"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1"/>
      <w:bookmarkEnd w:id="32"/>
      <w:bookmarkStart w:id="33" w:name="_Toc15377216"/>
    </w:p>
    <w:p w14:paraId="3EFF7670">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bookmarkEnd w:id="33"/>
    </w:p>
    <w:p w14:paraId="7AC275DA">
      <w:pPr>
        <w:spacing w:line="600" w:lineRule="exact"/>
        <w:ind w:firstLine="640"/>
        <w:rPr>
          <w:rFonts w:ascii="仿宋" w:hAnsi="仿宋" w:eastAsia="仿宋"/>
          <w:sz w:val="32"/>
          <w:szCs w:val="32"/>
        </w:rPr>
      </w:pPr>
      <w:r>
        <w:rPr>
          <w:rFonts w:hint="eastAsia" w:ascii="仿宋" w:hAnsi="仿宋" w:eastAsia="仿宋"/>
          <w:sz w:val="32"/>
          <w:szCs w:val="32"/>
        </w:rPr>
        <w:t>2023年“三公”经费财政拨款支出决算为12.51万元，完成预算100</w:t>
      </w:r>
      <w:r>
        <w:rPr>
          <w:rFonts w:ascii="仿宋" w:hAnsi="仿宋" w:eastAsia="仿宋"/>
          <w:sz w:val="32"/>
          <w:szCs w:val="32"/>
        </w:rPr>
        <w:t>%</w:t>
      </w:r>
      <w:r>
        <w:rPr>
          <w:rFonts w:hint="eastAsia" w:ascii="仿宋" w:hAnsi="仿宋" w:eastAsia="仿宋"/>
          <w:sz w:val="32"/>
          <w:szCs w:val="32"/>
        </w:rPr>
        <w:t>。较上年减少0.12万元，下降1%。决算数小于预算数的主要原因是坚持厉行节约，严格控制“三公”经费支出。</w:t>
      </w:r>
    </w:p>
    <w:p w14:paraId="7BE18C6E">
      <w:pPr>
        <w:spacing w:line="600" w:lineRule="exact"/>
        <w:ind w:firstLine="640"/>
        <w:outlineLvl w:val="2"/>
        <w:rPr>
          <w:rFonts w:ascii="仿宋" w:hAnsi="仿宋" w:eastAsia="仿宋"/>
          <w:b/>
          <w:sz w:val="32"/>
          <w:szCs w:val="32"/>
        </w:rPr>
      </w:pPr>
      <w:bookmarkStart w:id="34" w:name="_Toc15377217"/>
      <w:r>
        <w:rPr>
          <w:rFonts w:hint="eastAsia" w:ascii="仿宋" w:hAnsi="仿宋" w:eastAsia="仿宋"/>
          <w:b/>
          <w:sz w:val="32"/>
          <w:szCs w:val="32"/>
        </w:rPr>
        <w:t>（二）“三公”经费财政拨款支出决算具体情况说明</w:t>
      </w:r>
      <w:bookmarkEnd w:id="34"/>
    </w:p>
    <w:p w14:paraId="0892FCD6">
      <w:pPr>
        <w:spacing w:line="600" w:lineRule="exact"/>
        <w:ind w:firstLine="640"/>
        <w:rPr>
          <w:rFonts w:ascii="仿宋" w:hAnsi="仿宋" w:eastAsia="仿宋"/>
          <w:sz w:val="32"/>
          <w:szCs w:val="32"/>
        </w:rPr>
      </w:pPr>
      <w:r>
        <w:rPr>
          <w:rFonts w:hint="eastAsia" w:ascii="仿宋" w:hAnsi="仿宋" w:eastAsia="仿宋"/>
          <w:sz w:val="32"/>
          <w:szCs w:val="32"/>
        </w:rPr>
        <w:t>2023年“三公”经费财政拨款支出决算中，因公出国（境）费支出决算0万元；公务用车购置及运行维护费支出决算0万元；公务接待费支出决算12.51万元，占100</w:t>
      </w:r>
      <w:r>
        <w:rPr>
          <w:rFonts w:ascii="仿宋" w:hAnsi="仿宋" w:eastAsia="仿宋"/>
          <w:sz w:val="32"/>
          <w:szCs w:val="32"/>
        </w:rPr>
        <w:t>%</w:t>
      </w:r>
      <w:r>
        <w:rPr>
          <w:rFonts w:hint="eastAsia" w:ascii="仿宋" w:hAnsi="仿宋" w:eastAsia="仿宋"/>
          <w:sz w:val="32"/>
          <w:szCs w:val="32"/>
        </w:rPr>
        <w:t>。具体情况如下：</w:t>
      </w:r>
    </w:p>
    <w:p w14:paraId="01240320">
      <w:pPr>
        <w:numPr>
          <w:ilvl w:val="0"/>
          <w:numId w:val="2"/>
        </w:numPr>
        <w:spacing w:line="600" w:lineRule="exact"/>
        <w:ind w:firstLine="640"/>
        <w:rPr>
          <w:rFonts w:ascii="仿宋" w:hAnsi="仿宋" w:eastAsia="仿宋"/>
          <w:bCs/>
          <w:sz w:val="32"/>
          <w:szCs w:val="32"/>
        </w:rPr>
      </w:pPr>
      <w:r>
        <w:rPr>
          <w:rFonts w:hint="eastAsia" w:ascii="仿宋_GB2312" w:eastAsia="仿宋_GB2312"/>
          <w:b/>
          <w:sz w:val="32"/>
          <w:szCs w:val="32"/>
        </w:rPr>
        <w:t>因公出国（境）经费支出</w:t>
      </w:r>
      <w:r>
        <w:rPr>
          <w:rFonts w:hint="eastAsia" w:ascii="仿宋_GB2312" w:eastAsia="仿宋_GB2312"/>
          <w:sz w:val="32"/>
          <w:szCs w:val="32"/>
        </w:rPr>
        <w:t>0万元，</w:t>
      </w:r>
      <w:r>
        <w:rPr>
          <w:rFonts w:hint="eastAsia" w:ascii="仿宋" w:hAnsi="仿宋" w:eastAsia="仿宋"/>
          <w:bCs/>
          <w:sz w:val="32"/>
          <w:szCs w:val="32"/>
        </w:rPr>
        <w:t>年初未安排预算，因公出国</w:t>
      </w:r>
      <w:r>
        <w:rPr>
          <w:rFonts w:hint="eastAsia" w:ascii="仿宋_GB2312" w:eastAsia="仿宋_GB2312"/>
          <w:bCs/>
          <w:sz w:val="32"/>
          <w:szCs w:val="32"/>
        </w:rPr>
        <w:t>（境）</w:t>
      </w:r>
      <w:r>
        <w:rPr>
          <w:rFonts w:hint="eastAsia" w:ascii="仿宋" w:hAnsi="仿宋" w:eastAsia="仿宋"/>
          <w:bCs/>
          <w:sz w:val="32"/>
          <w:szCs w:val="32"/>
        </w:rPr>
        <w:t>支出决算较2022年无变化。</w:t>
      </w:r>
    </w:p>
    <w:p w14:paraId="26C29FD4">
      <w:pPr>
        <w:spacing w:line="576"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 w:hAnsi="仿宋" w:eastAsia="仿宋"/>
          <w:bCs/>
          <w:sz w:val="32"/>
          <w:szCs w:val="32"/>
        </w:rPr>
        <w:t>年初未安排预算，因公出国</w:t>
      </w:r>
      <w:r>
        <w:rPr>
          <w:rFonts w:hint="eastAsia" w:ascii="仿宋_GB2312" w:eastAsia="仿宋_GB2312"/>
          <w:bCs/>
          <w:sz w:val="32"/>
          <w:szCs w:val="32"/>
        </w:rPr>
        <w:t>（境）</w:t>
      </w:r>
      <w:r>
        <w:rPr>
          <w:rFonts w:hint="eastAsia" w:ascii="仿宋" w:hAnsi="仿宋" w:eastAsia="仿宋"/>
          <w:bCs/>
          <w:sz w:val="32"/>
          <w:szCs w:val="32"/>
        </w:rPr>
        <w:t>支出决算较2022年无变化</w:t>
      </w:r>
      <w:r>
        <w:rPr>
          <w:rFonts w:hint="eastAsia" w:ascii="仿宋" w:hAnsi="仿宋" w:eastAsia="仿宋"/>
          <w:b/>
          <w:sz w:val="32"/>
          <w:szCs w:val="32"/>
        </w:rPr>
        <w:t>。</w:t>
      </w:r>
      <w:r>
        <w:rPr>
          <w:rFonts w:hint="eastAsia" w:ascii="仿宋_GB2312" w:eastAsia="仿宋_GB2312"/>
          <w:sz w:val="32"/>
          <w:szCs w:val="32"/>
        </w:rPr>
        <w:t>在公务用车制度改革后，不允许单位购买公务用车。因公出差向机关事务局申请公务用车，公务用车有保障。</w:t>
      </w:r>
    </w:p>
    <w:p w14:paraId="42367FBE">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12.51万元，</w:t>
      </w:r>
      <w:r>
        <w:rPr>
          <w:rStyle w:val="19"/>
          <w:rFonts w:hint="eastAsia" w:ascii="仿宋" w:hAnsi="仿宋" w:eastAsia="仿宋"/>
          <w:b w:val="0"/>
          <w:bCs/>
          <w:sz w:val="32"/>
          <w:szCs w:val="32"/>
        </w:rPr>
        <w:t>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公务接待费支出决算比2022年略有下降。主要原因</w:t>
      </w:r>
      <w:r>
        <w:rPr>
          <w:rFonts w:hint="eastAsia" w:ascii="仿宋" w:hAnsi="仿宋" w:eastAsia="仿宋"/>
          <w:sz w:val="32"/>
          <w:szCs w:val="32"/>
        </w:rPr>
        <w:t>是坚持厉行节约，严格控制“三公”经费支出。</w:t>
      </w:r>
      <w:r>
        <w:rPr>
          <w:rFonts w:hint="eastAsia" w:ascii="仿宋_GB2312" w:eastAsia="仿宋_GB2312"/>
          <w:sz w:val="32"/>
          <w:szCs w:val="32"/>
        </w:rPr>
        <w:t>其中：</w:t>
      </w:r>
    </w:p>
    <w:p w14:paraId="627D3E38">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12.51</w:t>
      </w:r>
      <w:r>
        <w:rPr>
          <w:rFonts w:hint="eastAsia" w:ascii="仿宋_GB2312" w:eastAsia="仿宋_GB2312"/>
          <w:sz w:val="32"/>
          <w:szCs w:val="32"/>
        </w:rPr>
        <w:t>万元，主要用于开展业务活动开支的交通费、住宿费、用餐费等。国内公务接待152批次，1601人次（不包括陪同人员），共计支出12.51万元。</w:t>
      </w:r>
    </w:p>
    <w:p w14:paraId="01C22AB6">
      <w:pPr>
        <w:spacing w:line="600" w:lineRule="exact"/>
        <w:ind w:firstLine="640"/>
        <w:outlineLvl w:val="1"/>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万元，无</w:t>
      </w:r>
      <w:r>
        <w:rPr>
          <w:rFonts w:hint="eastAsia" w:ascii="仿宋_GB2312" w:eastAsia="仿宋_GB2312"/>
          <w:sz w:val="32"/>
          <w:szCs w:val="32"/>
          <w:lang w:eastAsia="zh-CN"/>
        </w:rPr>
        <w:t>外事</w:t>
      </w:r>
      <w:r>
        <w:rPr>
          <w:rFonts w:hint="eastAsia" w:ascii="仿宋_GB2312" w:eastAsia="仿宋_GB2312"/>
          <w:sz w:val="32"/>
          <w:szCs w:val="32"/>
        </w:rPr>
        <w:t>接待支出。</w:t>
      </w:r>
      <w:bookmarkStart w:id="35" w:name="_Toc15396610"/>
      <w:bookmarkStart w:id="36" w:name="_Toc15377218"/>
    </w:p>
    <w:p w14:paraId="73A2B47D">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35"/>
      <w:bookmarkEnd w:id="36"/>
    </w:p>
    <w:p w14:paraId="09C75E18">
      <w:pPr>
        <w:spacing w:line="600" w:lineRule="exact"/>
        <w:ind w:firstLine="640"/>
        <w:rPr>
          <w:rFonts w:ascii="仿宋_GB2312" w:eastAsia="仿宋_GB2312"/>
          <w:sz w:val="32"/>
          <w:szCs w:val="32"/>
        </w:rPr>
      </w:pPr>
      <w:r>
        <w:rPr>
          <w:rFonts w:hint="eastAsia" w:ascii="仿宋_GB2312" w:eastAsia="仿宋_GB2312"/>
          <w:sz w:val="32"/>
          <w:szCs w:val="32"/>
        </w:rPr>
        <w:t>2023年政府性基金预算财政拨款支出0万元。</w:t>
      </w:r>
    </w:p>
    <w:p w14:paraId="3E4492E0">
      <w:pPr>
        <w:numPr>
          <w:ilvl w:val="0"/>
          <w:numId w:val="3"/>
        </w:numPr>
        <w:spacing w:line="600" w:lineRule="exact"/>
        <w:ind w:firstLine="640"/>
        <w:outlineLvl w:val="1"/>
        <w:rPr>
          <w:rStyle w:val="30"/>
          <w:rFonts w:ascii="黑体" w:hAnsi="黑体" w:eastAsia="黑体"/>
          <w:b w:val="0"/>
        </w:rPr>
      </w:pPr>
      <w:bookmarkStart w:id="37" w:name="_Toc15377219"/>
      <w:bookmarkStart w:id="38" w:name="_Toc15396611"/>
      <w:r>
        <w:rPr>
          <w:rStyle w:val="30"/>
          <w:rFonts w:hint="eastAsia" w:ascii="黑体" w:hAnsi="黑体" w:eastAsia="黑体"/>
          <w:b w:val="0"/>
        </w:rPr>
        <w:t>国有资本经营预算支出决算情况说明</w:t>
      </w:r>
      <w:bookmarkEnd w:id="37"/>
      <w:bookmarkEnd w:id="38"/>
    </w:p>
    <w:p w14:paraId="63063EFE">
      <w:pPr>
        <w:spacing w:line="600" w:lineRule="exact"/>
        <w:ind w:firstLine="640"/>
        <w:rPr>
          <w:rFonts w:ascii="仿宋_GB2312" w:eastAsia="仿宋_GB2312"/>
          <w:sz w:val="32"/>
          <w:szCs w:val="32"/>
        </w:rPr>
      </w:pPr>
      <w:r>
        <w:rPr>
          <w:rFonts w:hint="eastAsia" w:ascii="仿宋_GB2312" w:eastAsia="仿宋_GB2312"/>
          <w:sz w:val="32"/>
          <w:szCs w:val="32"/>
        </w:rPr>
        <w:t>2023年国有资本经营预算财政拨款支出0万元。</w:t>
      </w:r>
    </w:p>
    <w:p w14:paraId="4F1E51FF">
      <w:pPr>
        <w:spacing w:line="600" w:lineRule="exact"/>
        <w:ind w:firstLine="640" w:firstLineChars="200"/>
        <w:outlineLvl w:val="1"/>
        <w:rPr>
          <w:rStyle w:val="30"/>
          <w:rFonts w:ascii="黑体" w:hAnsi="黑体" w:eastAsia="黑体"/>
          <w:b w:val="0"/>
        </w:rPr>
      </w:pPr>
      <w:bookmarkStart w:id="39" w:name="_Toc15396612"/>
      <w:bookmarkStart w:id="40" w:name="_Toc15377221"/>
      <w:r>
        <w:rPr>
          <w:rStyle w:val="30"/>
          <w:rFonts w:hint="eastAsia" w:ascii="黑体" w:hAnsi="黑体" w:eastAsia="黑体"/>
          <w:b w:val="0"/>
        </w:rPr>
        <w:t>十</w:t>
      </w:r>
      <w:r>
        <w:rPr>
          <w:rFonts w:hint="eastAsia" w:ascii="仿宋_GB2312" w:hAnsi="仿宋_GB2312" w:eastAsia="仿宋_GB2312" w:cs="仿宋_GB2312"/>
          <w:sz w:val="32"/>
          <w:szCs w:val="32"/>
        </w:rPr>
        <w:t>、</w:t>
      </w:r>
      <w:r>
        <w:rPr>
          <w:rStyle w:val="30"/>
          <w:rFonts w:hint="eastAsia" w:ascii="黑体" w:hAnsi="黑体" w:eastAsia="黑体"/>
          <w:b w:val="0"/>
        </w:rPr>
        <w:t>其他重要事项的情况说明</w:t>
      </w:r>
      <w:bookmarkEnd w:id="39"/>
      <w:bookmarkEnd w:id="40"/>
    </w:p>
    <w:p w14:paraId="558D9DDF">
      <w:pPr>
        <w:spacing w:line="600" w:lineRule="exact"/>
        <w:ind w:firstLine="643" w:firstLineChars="200"/>
        <w:outlineLvl w:val="2"/>
        <w:rPr>
          <w:rFonts w:ascii="仿宋" w:hAnsi="仿宋" w:eastAsia="仿宋"/>
          <w:sz w:val="32"/>
          <w:szCs w:val="32"/>
        </w:rPr>
      </w:pPr>
      <w:bookmarkStart w:id="41" w:name="_Toc15377222"/>
      <w:r>
        <w:rPr>
          <w:rFonts w:hint="eastAsia" w:ascii="仿宋" w:hAnsi="仿宋" w:eastAsia="仿宋"/>
          <w:b/>
          <w:sz w:val="32"/>
          <w:szCs w:val="32"/>
        </w:rPr>
        <w:t>（一）机关运行经费支出情况</w:t>
      </w:r>
      <w:bookmarkEnd w:id="41"/>
    </w:p>
    <w:p w14:paraId="0010E520">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2023年，区人大常委会办公室机关运行经费支出154.5万元，比2022年减少26.58万元，下降17.2</w:t>
      </w:r>
      <w:r>
        <w:rPr>
          <w:rFonts w:ascii="仿宋_GB2312" w:eastAsia="仿宋_GB2312"/>
          <w:sz w:val="32"/>
          <w:szCs w:val="32"/>
        </w:rPr>
        <w:t>%</w:t>
      </w:r>
      <w:r>
        <w:rPr>
          <w:rFonts w:hint="eastAsia" w:ascii="仿宋_GB2312" w:eastAsia="仿宋_GB2312"/>
          <w:sz w:val="32"/>
          <w:szCs w:val="32"/>
        </w:rPr>
        <w:t>。主要原因是人员调整</w:t>
      </w:r>
      <w:r>
        <w:rPr>
          <w:rFonts w:hint="eastAsia" w:ascii="仿宋_GB2312" w:eastAsia="仿宋_GB2312"/>
          <w:sz w:val="32"/>
          <w:szCs w:val="32"/>
          <w:lang w:eastAsia="zh-CN"/>
        </w:rPr>
        <w:t>、</w:t>
      </w:r>
      <w:r>
        <w:rPr>
          <w:rFonts w:hint="eastAsia" w:ascii="仿宋_GB2312" w:eastAsia="仿宋_GB2312"/>
          <w:sz w:val="32"/>
          <w:szCs w:val="32"/>
        </w:rPr>
        <w:t>退休导致。</w:t>
      </w:r>
    </w:p>
    <w:p w14:paraId="0D63B81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2" w:name="_Toc15377223"/>
      <w:r>
        <w:rPr>
          <w:rFonts w:hint="eastAsia" w:ascii="仿宋" w:hAnsi="仿宋" w:eastAsia="仿宋"/>
          <w:b/>
          <w:sz w:val="32"/>
          <w:szCs w:val="32"/>
        </w:rPr>
        <w:t>（二）政府采购支出情况</w:t>
      </w:r>
      <w:bookmarkEnd w:id="42"/>
    </w:p>
    <w:p w14:paraId="042DF997">
      <w:pPr>
        <w:spacing w:line="600" w:lineRule="exact"/>
        <w:ind w:firstLine="640" w:firstLineChars="200"/>
        <w:rPr>
          <w:rFonts w:ascii="仿宋_GB2312" w:eastAsia="仿宋_GB2312"/>
          <w:sz w:val="32"/>
          <w:szCs w:val="32"/>
        </w:rPr>
      </w:pPr>
      <w:r>
        <w:rPr>
          <w:rFonts w:hint="eastAsia" w:ascii="仿宋_GB2312" w:eastAsia="仿宋_GB2312"/>
          <w:sz w:val="32"/>
          <w:szCs w:val="32"/>
        </w:rPr>
        <w:t>2023年，本单位</w:t>
      </w:r>
      <w:r>
        <w:rPr>
          <w:rFonts w:hint="eastAsia" w:ascii="仿宋_GB2312" w:eastAsia="仿宋_GB2312"/>
          <w:sz w:val="32"/>
          <w:szCs w:val="32"/>
          <w:lang w:eastAsia="zh-CN"/>
        </w:rPr>
        <w:t>未发生</w:t>
      </w:r>
      <w:r>
        <w:rPr>
          <w:rFonts w:hint="eastAsia" w:ascii="仿宋_GB2312" w:eastAsia="仿宋_GB2312"/>
          <w:sz w:val="32"/>
          <w:szCs w:val="32"/>
        </w:rPr>
        <w:t>政府采购支出</w:t>
      </w:r>
      <w:r>
        <w:rPr>
          <w:rFonts w:hint="eastAsia" w:ascii="仿宋" w:hAnsi="仿宋" w:eastAsia="仿宋"/>
          <w:bCs/>
          <w:sz w:val="32"/>
          <w:szCs w:val="32"/>
        </w:rPr>
        <w:t>。</w:t>
      </w:r>
    </w:p>
    <w:p w14:paraId="1D1FED4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3" w:name="_Toc15377224"/>
      <w:r>
        <w:rPr>
          <w:rFonts w:hint="eastAsia" w:ascii="仿宋" w:hAnsi="仿宋" w:eastAsia="仿宋"/>
          <w:b/>
          <w:sz w:val="32"/>
          <w:szCs w:val="32"/>
        </w:rPr>
        <w:t>（三）国有资产占有使用情况</w:t>
      </w:r>
      <w:bookmarkEnd w:id="43"/>
    </w:p>
    <w:p w14:paraId="149FE214">
      <w:pPr>
        <w:overflowPunct w:val="0"/>
        <w:topLinePunct/>
        <w:spacing w:beforeLines="0" w:afterLines="0" w:line="576" w:lineRule="exact"/>
        <w:ind w:firstLine="640" w:firstLineChars="200"/>
        <w:jc w:val="both"/>
        <w:rPr>
          <w:rFonts w:hint="default"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截至2023年12月31日，共有车辆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辆，其中：副部（省）级及以上领导用车</w:t>
      </w:r>
      <w:r>
        <w:rPr>
          <w:rFonts w:hint="default" w:ascii="仿宋_GB2312" w:hAnsi="仿宋_GB2312" w:eastAsia="仿宋_GB2312"/>
          <w:color w:val="000000"/>
          <w:kern w:val="2"/>
          <w:sz w:val="32"/>
          <w:szCs w:val="24"/>
        </w:rPr>
        <w:t>0</w:t>
      </w:r>
      <w:r>
        <w:rPr>
          <w:rFonts w:hint="eastAsia" w:ascii="仿宋_GB2312" w:hAnsi="仿宋_GB2312" w:eastAsia="仿宋_GB2312"/>
          <w:color w:val="000000"/>
          <w:kern w:val="2"/>
          <w:sz w:val="32"/>
          <w:szCs w:val="24"/>
        </w:rPr>
        <w:t>辆、主要负责人用车</w:t>
      </w:r>
      <w:r>
        <w:rPr>
          <w:rFonts w:hint="default" w:ascii="仿宋_GB2312" w:hAnsi="仿宋_GB2312" w:eastAsia="仿宋_GB2312"/>
          <w:color w:val="000000"/>
          <w:kern w:val="2"/>
          <w:sz w:val="32"/>
          <w:szCs w:val="24"/>
        </w:rPr>
        <w:t>0</w:t>
      </w:r>
      <w:r>
        <w:rPr>
          <w:rFonts w:hint="eastAsia" w:ascii="仿宋_GB2312" w:hAnsi="仿宋_GB2312" w:eastAsia="仿宋_GB2312"/>
          <w:color w:val="000000"/>
          <w:kern w:val="2"/>
          <w:sz w:val="32"/>
          <w:szCs w:val="24"/>
        </w:rPr>
        <w:t>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辆、应急保障用车</w:t>
      </w:r>
      <w:r>
        <w:rPr>
          <w:rFonts w:hint="default" w:ascii="仿宋_GB2312" w:hAnsi="仿宋_GB2312" w:eastAsia="仿宋_GB2312"/>
          <w:color w:val="000000"/>
          <w:kern w:val="2"/>
          <w:sz w:val="32"/>
          <w:szCs w:val="24"/>
        </w:rPr>
        <w:t>0</w:t>
      </w:r>
      <w:r>
        <w:rPr>
          <w:rFonts w:hint="eastAsia" w:ascii="仿宋_GB2312" w:hAnsi="仿宋_GB2312" w:eastAsia="仿宋_GB2312"/>
          <w:color w:val="000000"/>
          <w:kern w:val="2"/>
          <w:sz w:val="32"/>
          <w:szCs w:val="24"/>
        </w:rPr>
        <w:t>辆、执法执勤用车</w:t>
      </w:r>
      <w:r>
        <w:rPr>
          <w:rFonts w:hint="default" w:ascii="仿宋_GB2312" w:hAnsi="仿宋_GB2312" w:eastAsia="仿宋_GB2312"/>
          <w:color w:val="000000"/>
          <w:kern w:val="2"/>
          <w:sz w:val="32"/>
          <w:szCs w:val="24"/>
        </w:rPr>
        <w:t>0</w:t>
      </w:r>
      <w:r>
        <w:rPr>
          <w:rFonts w:hint="eastAsia" w:ascii="仿宋_GB2312" w:hAnsi="仿宋_GB2312" w:eastAsia="仿宋_GB2312"/>
          <w:color w:val="000000"/>
          <w:kern w:val="2"/>
          <w:sz w:val="32"/>
          <w:szCs w:val="24"/>
        </w:rPr>
        <w:t>辆、特种专业技术用车</w:t>
      </w:r>
      <w:r>
        <w:rPr>
          <w:rFonts w:hint="default" w:ascii="仿宋_GB2312" w:hAnsi="仿宋_GB2312" w:eastAsia="仿宋_GB2312"/>
          <w:color w:val="000000"/>
          <w:kern w:val="2"/>
          <w:sz w:val="32"/>
          <w:szCs w:val="24"/>
        </w:rPr>
        <w:t>0</w:t>
      </w:r>
      <w:r>
        <w:rPr>
          <w:rFonts w:hint="eastAsia" w:ascii="仿宋_GB2312" w:hAnsi="仿宋_GB2312" w:eastAsia="仿宋_GB2312"/>
          <w:color w:val="000000"/>
          <w:kern w:val="2"/>
          <w:sz w:val="32"/>
          <w:szCs w:val="24"/>
        </w:rPr>
        <w:t>辆、离退休干部服务用车</w:t>
      </w:r>
      <w:r>
        <w:rPr>
          <w:rFonts w:hint="default" w:ascii="仿宋_GB2312" w:hAnsi="仿宋_GB2312" w:eastAsia="仿宋_GB2312"/>
          <w:color w:val="000000"/>
          <w:kern w:val="2"/>
          <w:sz w:val="32"/>
          <w:szCs w:val="24"/>
        </w:rPr>
        <w:t>0</w:t>
      </w:r>
      <w:r>
        <w:rPr>
          <w:rFonts w:hint="eastAsia" w:ascii="仿宋_GB2312" w:hAnsi="仿宋_GB2312" w:eastAsia="仿宋_GB2312"/>
          <w:color w:val="000000"/>
          <w:kern w:val="2"/>
          <w:sz w:val="32"/>
          <w:szCs w:val="24"/>
        </w:rPr>
        <w:t>辆、其他用车</w:t>
      </w:r>
      <w:r>
        <w:rPr>
          <w:rFonts w:hint="default" w:ascii="仿宋_GB2312" w:hAnsi="仿宋_GB2312" w:eastAsia="仿宋_GB2312"/>
          <w:color w:val="000000"/>
          <w:kern w:val="2"/>
          <w:sz w:val="32"/>
          <w:szCs w:val="24"/>
        </w:rPr>
        <w:t>0</w:t>
      </w:r>
      <w:r>
        <w:rPr>
          <w:rFonts w:hint="eastAsia" w:ascii="仿宋_GB2312" w:hAnsi="仿宋_GB2312" w:eastAsia="仿宋_GB2312"/>
          <w:color w:val="000000"/>
          <w:kern w:val="2"/>
          <w:sz w:val="32"/>
          <w:szCs w:val="24"/>
        </w:rPr>
        <w:t>辆。单价100万元（含）以上设备</w:t>
      </w:r>
      <w:r>
        <w:rPr>
          <w:rFonts w:hint="default" w:ascii="仿宋_GB2312" w:hAnsi="仿宋_GB2312" w:eastAsia="仿宋_GB2312"/>
          <w:color w:val="000000"/>
          <w:kern w:val="2"/>
          <w:sz w:val="32"/>
          <w:szCs w:val="24"/>
        </w:rPr>
        <w:t>0</w:t>
      </w:r>
      <w:r>
        <w:rPr>
          <w:rFonts w:hint="eastAsia" w:ascii="仿宋_GB2312" w:hAnsi="仿宋_GB2312" w:eastAsia="仿宋_GB2312"/>
          <w:color w:val="000000"/>
          <w:kern w:val="2"/>
          <w:sz w:val="32"/>
          <w:szCs w:val="24"/>
        </w:rPr>
        <w:t>台（套）。</w:t>
      </w:r>
    </w:p>
    <w:p w14:paraId="219FD8AD">
      <w:pPr>
        <w:spacing w:line="600" w:lineRule="exact"/>
        <w:ind w:firstLine="640" w:firstLineChars="200"/>
        <w:outlineLvl w:val="1"/>
        <w:rPr>
          <w:rStyle w:val="30"/>
          <w:rFonts w:ascii="黑体" w:hAnsi="黑体" w:eastAsia="黑体"/>
          <w:b w:val="0"/>
        </w:rPr>
      </w:pPr>
      <w:r>
        <w:rPr>
          <w:rStyle w:val="30"/>
          <w:rFonts w:hint="eastAsia" w:ascii="黑体" w:hAnsi="黑体" w:eastAsia="黑体"/>
          <w:b w:val="0"/>
        </w:rPr>
        <w:t>（四）预算绩效管理情况</w:t>
      </w:r>
    </w:p>
    <w:p w14:paraId="51895B9E">
      <w:pPr>
        <w:autoSpaceDE w:val="0"/>
        <w:autoSpaceDN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2023年度预算编制阶段，对部门整体和所有项目（政策）支出编制了绩效目标，预算执行中，按照财政要求全面开展了绩效运行监控；组织对2023年度一般公共预算支出开展了绩效自评，形成了广元市昭化区人大常委会办公室2023年部门整体支出绩效自评报告（表)、广元市昭化区人大常委会办公室2023年人大会议经费人大代表经费等5个项目支出绩效自评报告（表），其中，部门整体绩效自评得分为95分；人大会议预算项目绩效自评得分为98分，人大代表预算项目绩效自评得分为98分，人大业务预算项目绩效自评得分为97分，机关管理预算项目绩效自评得分为97分，乡村振兴及其他人大事务预算项目绩效自评得分为98分。《广元市昭化区人大常委会办公室2023年部门整体绩效自评报告（表）》和《广元市昭化区人大常委会办公室2023年人大会议经费人大代表经费等5个项目支出绩效自评报告（表）》详见附件。</w:t>
      </w:r>
    </w:p>
    <w:p w14:paraId="4679D6B0">
      <w:pPr>
        <w:autoSpaceDE w:val="0"/>
        <w:autoSpaceDN w:val="0"/>
        <w:spacing w:line="560" w:lineRule="exact"/>
        <w:ind w:firstLine="420" w:firstLineChars="200"/>
        <w:jc w:val="left"/>
        <w:rPr>
          <w:rFonts w:ascii="仿宋_GB2312" w:eastAsia="仿宋_GB2312"/>
          <w:b/>
          <w:sz w:val="32"/>
          <w:szCs w:val="32"/>
        </w:rPr>
      </w:pPr>
      <w:r>
        <w:br w:type="page"/>
      </w:r>
    </w:p>
    <w:p w14:paraId="5F8AFA70">
      <w:pPr>
        <w:numPr>
          <w:ilvl w:val="0"/>
          <w:numId w:val="4"/>
        </w:numPr>
        <w:spacing w:line="600" w:lineRule="exact"/>
        <w:ind w:firstLine="660" w:firstLineChars="150"/>
        <w:jc w:val="center"/>
        <w:outlineLvl w:val="0"/>
        <w:rPr>
          <w:rStyle w:val="29"/>
          <w:rFonts w:ascii="黑体" w:hAnsi="黑体" w:eastAsia="黑体"/>
          <w:b w:val="0"/>
        </w:rPr>
      </w:pPr>
      <w:bookmarkStart w:id="44" w:name="_Toc15396613"/>
      <w:bookmarkStart w:id="45" w:name="_Toc15377225"/>
      <w:r>
        <w:rPr>
          <w:rFonts w:hint="eastAsia" w:ascii="黑体" w:hAnsi="黑体" w:eastAsia="黑体"/>
          <w:sz w:val="44"/>
          <w:szCs w:val="44"/>
        </w:rPr>
        <w:t>名</w:t>
      </w:r>
      <w:r>
        <w:rPr>
          <w:rStyle w:val="29"/>
          <w:rFonts w:hint="eastAsia" w:ascii="黑体" w:hAnsi="黑体" w:eastAsia="黑体"/>
          <w:b w:val="0"/>
        </w:rPr>
        <w:t>词解释</w:t>
      </w:r>
      <w:bookmarkEnd w:id="44"/>
      <w:bookmarkEnd w:id="45"/>
    </w:p>
    <w:p w14:paraId="78192512">
      <w:pPr>
        <w:pStyle w:val="2"/>
      </w:pPr>
    </w:p>
    <w:p w14:paraId="4ABD0BDE">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14:paraId="02F8C263">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14:paraId="4C4CC450">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三、经营收入：指事业单位在专业业务活动及其辅助活动之外开展非独立核算经营活动取得的收入。</w:t>
      </w:r>
    </w:p>
    <w:p w14:paraId="430470E4">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四、其他收入：指单位取得的除上述收入以外的各项收入。</w:t>
      </w:r>
    </w:p>
    <w:p w14:paraId="3384DDFD">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color w:val="auto"/>
          <w:sz w:val="32"/>
          <w:szCs w:val="32"/>
        </w:rPr>
      </w:pPr>
      <w:r>
        <w:rPr>
          <w:rFonts w:hint="eastAsia" w:ascii="仿宋_GB2312" w:hAnsi="仿宋_GB2312" w:eastAsia="仿宋_GB2312"/>
          <w:kern w:val="2"/>
          <w:sz w:val="32"/>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571E01AB">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14:paraId="2C2D4F01">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14:paraId="245FD351">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14:paraId="6896D67F">
      <w:pPr>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九、一般公共服务（类）人大事务（款）行政运行（项）：指</w:t>
      </w:r>
      <w:r>
        <w:rPr>
          <w:rFonts w:hint="eastAsia" w:ascii="仿宋_GB2312" w:eastAsia="仿宋_GB2312"/>
          <w:sz w:val="32"/>
          <w:szCs w:val="32"/>
          <w:lang w:eastAsia="zh-CN"/>
        </w:rPr>
        <w:t>人大常委会机关</w:t>
      </w:r>
      <w:r>
        <w:rPr>
          <w:rFonts w:hint="eastAsia" w:ascii="仿宋_GB2312" w:eastAsia="仿宋_GB2312"/>
          <w:sz w:val="32"/>
          <w:szCs w:val="32"/>
        </w:rPr>
        <w:t>开展会议、监督、调研、视察等工作需要用于购买货物和服务的各项支出。</w:t>
      </w:r>
    </w:p>
    <w:p w14:paraId="1C1CA18D">
      <w:pPr>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十、社会保障和就业（类）行政事业单位养老支出（款）机关事业单位基本养老保险缴费支出（项）：</w:t>
      </w:r>
      <w:r>
        <w:rPr>
          <w:rFonts w:hint="eastAsia" w:ascii="仿宋_GB2312" w:eastAsia="仿宋_GB2312"/>
          <w:color w:val="000000"/>
          <w:sz w:val="32"/>
          <w:szCs w:val="32"/>
        </w:rPr>
        <w:t>指机关事业单位实施养老保险制度由单位缴纳的基本养老保险费支出</w:t>
      </w:r>
      <w:r>
        <w:rPr>
          <w:rFonts w:hint="eastAsia" w:ascii="仿宋_GB2312" w:eastAsia="仿宋_GB2312"/>
          <w:sz w:val="32"/>
          <w:szCs w:val="32"/>
        </w:rPr>
        <w:t>。</w:t>
      </w:r>
    </w:p>
    <w:p w14:paraId="5563BB78">
      <w:pPr>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十一、医疗卫生与计划生育（类）</w:t>
      </w:r>
      <w:r>
        <w:rPr>
          <w:rFonts w:hint="eastAsia" w:ascii="仿宋_GB2312" w:eastAsia="仿宋_GB2312"/>
          <w:color w:val="000000"/>
          <w:sz w:val="32"/>
          <w:szCs w:val="32"/>
        </w:rPr>
        <w:t>行政事业单位医疗</w:t>
      </w:r>
      <w:r>
        <w:rPr>
          <w:rFonts w:hint="eastAsia" w:ascii="仿宋_GB2312" w:eastAsia="仿宋_GB2312"/>
          <w:sz w:val="32"/>
          <w:szCs w:val="32"/>
        </w:rPr>
        <w:t>（款）</w:t>
      </w:r>
      <w:r>
        <w:rPr>
          <w:rFonts w:hint="eastAsia" w:ascii="仿宋_GB2312" w:eastAsia="仿宋_GB2312"/>
          <w:color w:val="000000"/>
          <w:sz w:val="32"/>
          <w:szCs w:val="32"/>
        </w:rPr>
        <w:t>行政事业单位医疗</w:t>
      </w:r>
      <w:r>
        <w:rPr>
          <w:rFonts w:hint="eastAsia" w:ascii="仿宋_GB2312" w:eastAsia="仿宋_GB2312"/>
          <w:sz w:val="32"/>
          <w:szCs w:val="32"/>
        </w:rPr>
        <w:t>（项）：指</w:t>
      </w:r>
      <w:r>
        <w:rPr>
          <w:rFonts w:hint="eastAsia" w:ascii="仿宋_GB2312" w:eastAsia="仿宋_GB2312"/>
          <w:color w:val="000000"/>
          <w:sz w:val="32"/>
          <w:szCs w:val="32"/>
        </w:rPr>
        <w:t>财政部门安排的行政事业单位基本医疗保险缴费经费</w:t>
      </w:r>
      <w:r>
        <w:rPr>
          <w:rFonts w:hint="eastAsia" w:ascii="仿宋_GB2312" w:eastAsia="仿宋_GB2312"/>
          <w:sz w:val="32"/>
          <w:szCs w:val="32"/>
        </w:rPr>
        <w:t>。</w:t>
      </w:r>
    </w:p>
    <w:p w14:paraId="7A4C26FA">
      <w:pPr>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十二、住房保障（类）</w:t>
      </w:r>
      <w:r>
        <w:rPr>
          <w:rFonts w:hint="eastAsia" w:ascii="仿宋_GB2312" w:eastAsia="仿宋_GB2312"/>
          <w:color w:val="000000"/>
          <w:sz w:val="32"/>
          <w:szCs w:val="32"/>
        </w:rPr>
        <w:t>住房改革支出</w:t>
      </w:r>
      <w:r>
        <w:rPr>
          <w:rFonts w:hint="eastAsia" w:ascii="仿宋_GB2312" w:eastAsia="仿宋_GB2312"/>
          <w:sz w:val="32"/>
          <w:szCs w:val="32"/>
        </w:rPr>
        <w:t>（款）</w:t>
      </w:r>
      <w:r>
        <w:rPr>
          <w:rFonts w:hint="eastAsia" w:ascii="仿宋_GB2312" w:eastAsia="仿宋_GB2312"/>
          <w:color w:val="000000"/>
          <w:sz w:val="32"/>
          <w:szCs w:val="32"/>
        </w:rPr>
        <w:t>住房公积金</w:t>
      </w:r>
      <w:r>
        <w:rPr>
          <w:rFonts w:hint="eastAsia" w:ascii="仿宋_GB2312" w:eastAsia="仿宋_GB2312"/>
          <w:sz w:val="32"/>
          <w:szCs w:val="32"/>
        </w:rPr>
        <w:t>（项）：指</w:t>
      </w:r>
      <w:r>
        <w:rPr>
          <w:rFonts w:hint="eastAsia" w:ascii="仿宋_GB2312" w:eastAsia="仿宋_GB2312"/>
          <w:color w:val="000000"/>
          <w:sz w:val="32"/>
          <w:szCs w:val="32"/>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14:paraId="7D08D2A6">
      <w:pPr>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十三、基本支出：指为保障机构正常运转、完成日常工作任务而发生的人员支出和公用支出。</w:t>
      </w:r>
    </w:p>
    <w:p w14:paraId="46A1D12E">
      <w:pPr>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十四、项目支出：指在基本支出之外为完成特定行政任务和事业发展目标所发生的支出。</w:t>
      </w:r>
      <w:r>
        <w:rPr>
          <w:rFonts w:ascii="仿宋_GB2312" w:eastAsia="仿宋_GB2312"/>
          <w:sz w:val="32"/>
          <w:szCs w:val="32"/>
        </w:rPr>
        <w:t xml:space="preserve"> </w:t>
      </w:r>
    </w:p>
    <w:p w14:paraId="7F8BE5B7">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十五、“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3F7D7D">
      <w:pPr>
        <w:pStyle w:val="21"/>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十六、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B750039">
      <w:pPr>
        <w:spacing w:line="600" w:lineRule="exact"/>
        <w:jc w:val="center"/>
        <w:outlineLvl w:val="0"/>
        <w:rPr>
          <w:rFonts w:ascii="宋体"/>
          <w:b/>
          <w:sz w:val="44"/>
          <w:szCs w:val="44"/>
        </w:rPr>
      </w:pPr>
      <w:bookmarkStart w:id="46" w:name="_Toc15377226"/>
      <w:r>
        <w:br w:type="page"/>
      </w:r>
      <w:bookmarkStart w:id="47" w:name="_Toc15396618"/>
    </w:p>
    <w:p w14:paraId="01E56B72">
      <w:pPr>
        <w:spacing w:line="600" w:lineRule="exact"/>
        <w:jc w:val="center"/>
        <w:outlineLvl w:val="0"/>
        <w:rPr>
          <w:rStyle w:val="29"/>
          <w:rFonts w:ascii="黑体" w:hAnsi="黑体" w:eastAsia="黑体"/>
          <w:b w:val="0"/>
        </w:rPr>
      </w:pPr>
      <w:bookmarkStart w:id="48" w:name="_Toc15396614"/>
      <w:r>
        <w:rPr>
          <w:rFonts w:hint="eastAsia" w:ascii="黑体" w:hAnsi="黑体" w:eastAsia="黑体"/>
          <w:sz w:val="44"/>
          <w:szCs w:val="44"/>
        </w:rPr>
        <w:t>第</w:t>
      </w:r>
      <w:r>
        <w:rPr>
          <w:rStyle w:val="29"/>
          <w:rFonts w:hint="eastAsia" w:ascii="黑体" w:hAnsi="黑体" w:eastAsia="黑体"/>
          <w:b w:val="0"/>
        </w:rPr>
        <w:t>四部分 附件</w:t>
      </w:r>
      <w:bookmarkEnd w:id="48"/>
    </w:p>
    <w:p w14:paraId="3558B6DA">
      <w:pPr>
        <w:spacing w:line="576" w:lineRule="exact"/>
        <w:jc w:val="center"/>
        <w:rPr>
          <w:rFonts w:ascii="方正小标宋简体" w:hAnsi="方正小标宋简体" w:eastAsia="方正小标宋简体" w:cs="方正小标宋简体"/>
          <w:bCs/>
          <w:sz w:val="44"/>
          <w:szCs w:val="44"/>
        </w:rPr>
      </w:pPr>
    </w:p>
    <w:p w14:paraId="2CBE6558">
      <w:pPr>
        <w:spacing w:line="576"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Cs/>
          <w:sz w:val="44"/>
          <w:szCs w:val="44"/>
        </w:rPr>
        <w:t>2023年预算绩效评价报告</w:t>
      </w:r>
    </w:p>
    <w:p w14:paraId="6C7200E2">
      <w:pPr>
        <w:pStyle w:val="14"/>
        <w:shd w:val="clear" w:color="auto" w:fill="FFFFFF"/>
        <w:spacing w:line="540" w:lineRule="exact"/>
        <w:rPr>
          <w:rFonts w:eastAsia="仿宋_GB2312"/>
          <w:color w:val="000000"/>
          <w:sz w:val="32"/>
          <w:szCs w:val="32"/>
        </w:rPr>
      </w:pPr>
    </w:p>
    <w:p w14:paraId="3BB26071">
      <w:pPr>
        <w:spacing w:line="540" w:lineRule="exact"/>
        <w:ind w:firstLine="640" w:firstLineChars="200"/>
        <w:rPr>
          <w:rFonts w:eastAsia="黑体"/>
          <w:bCs/>
          <w:sz w:val="32"/>
          <w:szCs w:val="32"/>
        </w:rPr>
      </w:pPr>
      <w:r>
        <w:rPr>
          <w:rFonts w:eastAsia="黑体"/>
          <w:bCs/>
          <w:sz w:val="32"/>
          <w:szCs w:val="32"/>
        </w:rPr>
        <w:t>一、</w:t>
      </w:r>
      <w:r>
        <w:rPr>
          <w:rFonts w:hint="eastAsia" w:eastAsia="黑体"/>
          <w:bCs/>
          <w:sz w:val="32"/>
          <w:szCs w:val="32"/>
        </w:rPr>
        <w:t>部门基本情况</w:t>
      </w:r>
    </w:p>
    <w:p w14:paraId="0566930A">
      <w:pPr>
        <w:pStyle w:val="2"/>
        <w:autoSpaceDE w:val="0"/>
        <w:autoSpaceDN w:val="0"/>
        <w:spacing w:beforeLines="0" w:line="540" w:lineRule="exact"/>
        <w:ind w:right="431" w:firstLine="640" w:firstLineChars="200"/>
        <w:rPr>
          <w:rFonts w:ascii="Times New Roman"/>
          <w:sz w:val="32"/>
          <w:szCs w:val="32"/>
        </w:rPr>
      </w:pPr>
      <w:r>
        <w:rPr>
          <w:rFonts w:hint="eastAsia" w:ascii="Times New Roman"/>
          <w:sz w:val="32"/>
          <w:szCs w:val="32"/>
        </w:rPr>
        <w:t>（一）机构组成</w:t>
      </w:r>
    </w:p>
    <w:p w14:paraId="14A3A49C">
      <w:pPr>
        <w:spacing w:line="540" w:lineRule="exact"/>
        <w:ind w:firstLine="640" w:firstLineChars="200"/>
        <w:rPr>
          <w:rFonts w:eastAsia="仿宋_GB2312"/>
          <w:kern w:val="0"/>
          <w:sz w:val="32"/>
          <w:szCs w:val="32"/>
        </w:rPr>
      </w:pPr>
      <w:r>
        <w:rPr>
          <w:rFonts w:eastAsia="仿宋_GB2312"/>
          <w:kern w:val="0"/>
          <w:sz w:val="32"/>
          <w:szCs w:val="32"/>
        </w:rPr>
        <w:t>区人大常委会有6个正科级专门委员会（区人大财政经济委员会、区人大监察和司法委员会、区人大社会建设委员会、区人大农业农村委员会、区人大教育科学文化卫生委员会、区人大城乡建设环境资源保护委员会），正科级办事工作机构8个（区人大常委会办公室、区人大常委会法制工作委员会、区人大常委会财政经济工作委员会（加挂区人大常委会预算工作委员会牌子）、区人大常委会农业工作委员会、区人大常委会人事代表工作委员会、区人大常委会教科文卫工作委员会、区人大常委会城环资工作委员会、区人大常委会信访工作办公室），副科级工作机构1个（区人大常委会机关党委），事业机构1个（区人大常委会预算联网审查监督中心）。</w:t>
      </w:r>
    </w:p>
    <w:p w14:paraId="0E496967">
      <w:pPr>
        <w:pStyle w:val="2"/>
        <w:autoSpaceDE w:val="0"/>
        <w:autoSpaceDN w:val="0"/>
        <w:spacing w:beforeLines="0" w:line="540" w:lineRule="exact"/>
        <w:ind w:right="431" w:firstLine="640" w:firstLineChars="200"/>
      </w:pPr>
      <w:r>
        <w:rPr>
          <w:rFonts w:hint="eastAsia" w:ascii="Times New Roman"/>
          <w:sz w:val="32"/>
          <w:szCs w:val="32"/>
        </w:rPr>
        <w:t>区人大常委会办公室为一级预算单位，单位性质为行政单位，执行行政单位会计制度。</w:t>
      </w:r>
    </w:p>
    <w:p w14:paraId="6065EFCD">
      <w:pPr>
        <w:spacing w:line="54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二</w:t>
      </w:r>
      <w:r>
        <w:rPr>
          <w:rFonts w:eastAsia="仿宋_GB2312"/>
          <w:kern w:val="0"/>
          <w:sz w:val="32"/>
          <w:szCs w:val="32"/>
        </w:rPr>
        <w:t>）机构职能</w:t>
      </w:r>
    </w:p>
    <w:p w14:paraId="6BA2272E">
      <w:pPr>
        <w:spacing w:line="540" w:lineRule="exact"/>
        <w:ind w:firstLine="640" w:firstLineChars="200"/>
        <w:rPr>
          <w:rFonts w:eastAsia="仿宋_GB2312"/>
          <w:kern w:val="0"/>
          <w:sz w:val="32"/>
          <w:szCs w:val="32"/>
        </w:rPr>
      </w:pPr>
      <w:r>
        <w:rPr>
          <w:rFonts w:eastAsia="仿宋_GB2312"/>
          <w:kern w:val="0"/>
          <w:sz w:val="32"/>
          <w:szCs w:val="32"/>
        </w:rPr>
        <w:t>根据宪法和地方组织法的规定：“地方各级人民代表大会是地方国家权力机关”、“县级以上的地方各级人民代表大会常务委员会是本级人民代表大会的常设机构”，《中华人民共和国宪法》第104条和新修订的《中华人民共和国地方各级人民代表大会和地方各级人民政府组织法》第50条赋予</w:t>
      </w:r>
      <w:r>
        <w:rPr>
          <w:rFonts w:hint="eastAsia" w:eastAsia="仿宋_GB2312"/>
          <w:kern w:val="0"/>
          <w:sz w:val="32"/>
          <w:szCs w:val="32"/>
          <w:lang w:eastAsia="zh-CN"/>
        </w:rPr>
        <w:t>县级以上</w:t>
      </w:r>
      <w:r>
        <w:rPr>
          <w:rFonts w:eastAsia="仿宋_GB2312"/>
          <w:kern w:val="0"/>
          <w:sz w:val="32"/>
          <w:szCs w:val="32"/>
        </w:rPr>
        <w:t>地方各级人大常委会在本级人民代表大会闭会期间，行使18项职权。</w:t>
      </w:r>
    </w:p>
    <w:p w14:paraId="5FC68F88">
      <w:pPr>
        <w:spacing w:line="54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三</w:t>
      </w:r>
      <w:r>
        <w:rPr>
          <w:rFonts w:eastAsia="仿宋_GB2312"/>
          <w:kern w:val="0"/>
          <w:sz w:val="32"/>
          <w:szCs w:val="32"/>
        </w:rPr>
        <w:t>）人员概况</w:t>
      </w:r>
    </w:p>
    <w:p w14:paraId="5F1A3297">
      <w:pPr>
        <w:spacing w:line="540" w:lineRule="exact"/>
        <w:ind w:firstLine="640" w:firstLineChars="200"/>
        <w:rPr>
          <w:rFonts w:eastAsia="仿宋_GB2312"/>
          <w:kern w:val="0"/>
          <w:sz w:val="32"/>
          <w:szCs w:val="32"/>
        </w:rPr>
      </w:pPr>
      <w:r>
        <w:rPr>
          <w:rFonts w:eastAsia="仿宋_GB2312"/>
          <w:kern w:val="0"/>
          <w:sz w:val="32"/>
          <w:szCs w:val="32"/>
        </w:rPr>
        <w:t>202</w:t>
      </w:r>
      <w:r>
        <w:rPr>
          <w:rFonts w:hint="eastAsia" w:eastAsia="仿宋_GB2312"/>
          <w:kern w:val="0"/>
          <w:sz w:val="32"/>
          <w:szCs w:val="32"/>
        </w:rPr>
        <w:t>3</w:t>
      </w:r>
      <w:r>
        <w:rPr>
          <w:rFonts w:eastAsia="仿宋_GB2312"/>
          <w:kern w:val="0"/>
          <w:sz w:val="32"/>
          <w:szCs w:val="32"/>
        </w:rPr>
        <w:t>年底决算实有在职编制内人员</w:t>
      </w:r>
      <w:r>
        <w:rPr>
          <w:rFonts w:hint="eastAsia" w:eastAsia="仿宋_GB2312"/>
          <w:kern w:val="0"/>
          <w:sz w:val="32"/>
          <w:szCs w:val="32"/>
        </w:rPr>
        <w:t>45</w:t>
      </w:r>
      <w:r>
        <w:rPr>
          <w:rFonts w:eastAsia="仿宋_GB2312"/>
          <w:kern w:val="0"/>
          <w:sz w:val="32"/>
          <w:szCs w:val="32"/>
        </w:rPr>
        <w:t>人，较去年</w:t>
      </w:r>
      <w:r>
        <w:rPr>
          <w:rFonts w:hint="eastAsia" w:eastAsia="仿宋_GB2312"/>
          <w:kern w:val="0"/>
          <w:sz w:val="32"/>
          <w:szCs w:val="32"/>
        </w:rPr>
        <w:t>47</w:t>
      </w:r>
      <w:r>
        <w:rPr>
          <w:rFonts w:eastAsia="仿宋_GB2312"/>
          <w:kern w:val="0"/>
          <w:sz w:val="32"/>
          <w:szCs w:val="32"/>
        </w:rPr>
        <w:t>人</w:t>
      </w:r>
      <w:r>
        <w:rPr>
          <w:rFonts w:hint="eastAsia" w:eastAsia="仿宋_GB2312"/>
          <w:kern w:val="0"/>
          <w:sz w:val="32"/>
          <w:szCs w:val="32"/>
        </w:rPr>
        <w:t>减少了2</w:t>
      </w:r>
      <w:r>
        <w:rPr>
          <w:rFonts w:eastAsia="仿宋_GB2312"/>
          <w:kern w:val="0"/>
          <w:sz w:val="32"/>
          <w:szCs w:val="32"/>
        </w:rPr>
        <w:t>人，其中：行政人员</w:t>
      </w:r>
      <w:r>
        <w:rPr>
          <w:rFonts w:hint="eastAsia" w:eastAsia="仿宋_GB2312"/>
          <w:kern w:val="0"/>
          <w:sz w:val="32"/>
          <w:szCs w:val="32"/>
        </w:rPr>
        <w:t>42</w:t>
      </w:r>
      <w:r>
        <w:rPr>
          <w:rFonts w:eastAsia="仿宋_GB2312"/>
          <w:kern w:val="0"/>
          <w:sz w:val="32"/>
          <w:szCs w:val="32"/>
        </w:rPr>
        <w:t>人，其他事业人员</w:t>
      </w:r>
      <w:r>
        <w:rPr>
          <w:rFonts w:hint="eastAsia" w:eastAsia="仿宋_GB2312"/>
          <w:kern w:val="0"/>
          <w:sz w:val="32"/>
          <w:szCs w:val="32"/>
        </w:rPr>
        <w:t>3</w:t>
      </w:r>
      <w:r>
        <w:rPr>
          <w:rFonts w:eastAsia="仿宋_GB2312"/>
          <w:kern w:val="0"/>
          <w:sz w:val="32"/>
          <w:szCs w:val="32"/>
        </w:rPr>
        <w:t>人。</w:t>
      </w:r>
    </w:p>
    <w:p w14:paraId="76801A98">
      <w:pPr>
        <w:numPr>
          <w:ilvl w:val="0"/>
          <w:numId w:val="5"/>
        </w:numPr>
        <w:spacing w:line="540" w:lineRule="exact"/>
        <w:ind w:firstLine="640" w:firstLineChars="200"/>
        <w:rPr>
          <w:rFonts w:eastAsia="黑体"/>
          <w:bCs/>
          <w:sz w:val="32"/>
          <w:szCs w:val="32"/>
        </w:rPr>
      </w:pPr>
      <w:r>
        <w:rPr>
          <w:rFonts w:hint="eastAsia" w:eastAsia="黑体"/>
          <w:bCs/>
          <w:sz w:val="32"/>
          <w:szCs w:val="32"/>
        </w:rPr>
        <w:t>部门资金收支</w:t>
      </w:r>
      <w:r>
        <w:rPr>
          <w:rFonts w:eastAsia="黑体"/>
          <w:bCs/>
          <w:sz w:val="32"/>
          <w:szCs w:val="32"/>
        </w:rPr>
        <w:t>情况</w:t>
      </w:r>
    </w:p>
    <w:p w14:paraId="59C70BED">
      <w:pPr>
        <w:overflowPunct w:val="0"/>
        <w:spacing w:line="540" w:lineRule="exact"/>
        <w:ind w:firstLine="640" w:firstLineChars="200"/>
        <w:rPr>
          <w:rFonts w:eastAsia="仿宋_GB2312"/>
          <w:kern w:val="0"/>
          <w:sz w:val="32"/>
          <w:szCs w:val="32"/>
        </w:rPr>
      </w:pPr>
      <w:r>
        <w:rPr>
          <w:rFonts w:hint="eastAsia" w:eastAsia="仿宋_GB2312"/>
          <w:kern w:val="0"/>
          <w:sz w:val="32"/>
          <w:szCs w:val="32"/>
        </w:rPr>
        <w:t>（一）收入情况</w:t>
      </w:r>
    </w:p>
    <w:p w14:paraId="7EFE6EDE">
      <w:pPr>
        <w:pStyle w:val="14"/>
        <w:overflowPunct w:val="0"/>
        <w:spacing w:line="540" w:lineRule="exact"/>
        <w:ind w:firstLine="640" w:firstLineChars="200"/>
        <w:rPr>
          <w:rFonts w:eastAsia="仿宋_GB2312"/>
          <w:kern w:val="0"/>
          <w:sz w:val="32"/>
          <w:szCs w:val="32"/>
        </w:rPr>
      </w:pPr>
      <w:r>
        <w:rPr>
          <w:rFonts w:eastAsia="仿宋_GB2312"/>
          <w:kern w:val="0"/>
          <w:sz w:val="32"/>
          <w:szCs w:val="32"/>
        </w:rPr>
        <w:t>202</w:t>
      </w:r>
      <w:r>
        <w:rPr>
          <w:rFonts w:hint="eastAsia" w:eastAsia="仿宋_GB2312"/>
          <w:kern w:val="0"/>
          <w:sz w:val="32"/>
          <w:szCs w:val="32"/>
        </w:rPr>
        <w:t>3年初财政批复预算收入1297.76万元（其中：基本支出962.54万元、项目支出335.22万元）；年度执行中追加工作经费68.06万元，全年收入合计1365.82万元，其中：基本支出1030.6万元，项目支出335.22万元。</w:t>
      </w:r>
    </w:p>
    <w:p w14:paraId="49E38B52">
      <w:pPr>
        <w:overflowPunct w:val="0"/>
        <w:spacing w:line="540" w:lineRule="exact"/>
        <w:ind w:firstLine="640" w:firstLineChars="200"/>
        <w:rPr>
          <w:rFonts w:eastAsia="仿宋_GB2312"/>
          <w:kern w:val="0"/>
          <w:sz w:val="32"/>
          <w:szCs w:val="32"/>
        </w:rPr>
      </w:pPr>
      <w:r>
        <w:rPr>
          <w:rFonts w:hint="eastAsia" w:eastAsia="仿宋_GB2312"/>
          <w:kern w:val="0"/>
          <w:sz w:val="32"/>
          <w:szCs w:val="32"/>
        </w:rPr>
        <w:t>（二）支出情况</w:t>
      </w:r>
    </w:p>
    <w:p w14:paraId="64445812">
      <w:pPr>
        <w:pStyle w:val="14"/>
        <w:shd w:val="clear" w:color="auto" w:fill="FFFFFF"/>
        <w:adjustRightInd w:val="0"/>
        <w:snapToGrid w:val="0"/>
        <w:spacing w:line="540" w:lineRule="exact"/>
        <w:ind w:firstLine="640" w:firstLineChars="200"/>
        <w:rPr>
          <w:rFonts w:eastAsia="仿宋_GB2312"/>
          <w:sz w:val="32"/>
          <w:szCs w:val="32"/>
        </w:rPr>
      </w:pPr>
      <w:r>
        <w:rPr>
          <w:rFonts w:eastAsia="仿宋_GB2312"/>
          <w:kern w:val="0"/>
          <w:sz w:val="32"/>
          <w:szCs w:val="32"/>
        </w:rPr>
        <w:t>202</w:t>
      </w:r>
      <w:r>
        <w:rPr>
          <w:rFonts w:hint="eastAsia" w:eastAsia="仿宋_GB2312"/>
          <w:kern w:val="0"/>
          <w:sz w:val="32"/>
          <w:szCs w:val="32"/>
        </w:rPr>
        <w:t>3年度本年支出合计1365.82万元，其中：基本支出1030.6万元，项目支出335.22万元</w:t>
      </w:r>
      <w:r>
        <w:rPr>
          <w:rFonts w:eastAsia="仿宋_GB2312"/>
          <w:kern w:val="0"/>
          <w:sz w:val="32"/>
          <w:szCs w:val="32"/>
        </w:rPr>
        <w:t>。</w:t>
      </w:r>
      <w:r>
        <w:rPr>
          <w:rFonts w:eastAsia="仿宋_GB2312"/>
          <w:color w:val="000000"/>
          <w:sz w:val="32"/>
          <w:szCs w:val="32"/>
        </w:rPr>
        <w:t>主要用于以下</w:t>
      </w:r>
      <w:r>
        <w:rPr>
          <w:rFonts w:hint="eastAsia" w:eastAsia="仿宋_GB2312"/>
          <w:color w:val="000000"/>
          <w:sz w:val="32"/>
          <w:szCs w:val="32"/>
        </w:rPr>
        <w:t>方面</w:t>
      </w:r>
      <w:r>
        <w:rPr>
          <w:rFonts w:hint="eastAsia" w:eastAsia="仿宋_GB2312"/>
          <w:sz w:val="32"/>
          <w:szCs w:val="32"/>
        </w:rPr>
        <w:t>：</w:t>
      </w:r>
      <w:r>
        <w:rPr>
          <w:rFonts w:eastAsia="仿宋_GB2312"/>
          <w:sz w:val="32"/>
          <w:szCs w:val="32"/>
        </w:rPr>
        <w:t>行使好决定权、监督权、任免权等职能职权；做好人大会议、信访、调研、视察，</w:t>
      </w:r>
      <w:r>
        <w:rPr>
          <w:rFonts w:hint="eastAsia" w:eastAsia="仿宋_GB2312"/>
          <w:sz w:val="32"/>
          <w:szCs w:val="32"/>
        </w:rPr>
        <w:t>执法检查、民生实事项目、</w:t>
      </w:r>
      <w:r>
        <w:rPr>
          <w:rFonts w:eastAsia="仿宋_GB2312"/>
          <w:sz w:val="32"/>
          <w:szCs w:val="32"/>
        </w:rPr>
        <w:t>人大代表管理，退休干部管理</w:t>
      </w:r>
      <w:r>
        <w:rPr>
          <w:rFonts w:hint="eastAsia" w:eastAsia="仿宋_GB2312"/>
          <w:sz w:val="32"/>
          <w:szCs w:val="32"/>
        </w:rPr>
        <w:t>、乡村振兴</w:t>
      </w:r>
      <w:r>
        <w:rPr>
          <w:rFonts w:eastAsia="仿宋_GB2312"/>
          <w:sz w:val="32"/>
          <w:szCs w:val="32"/>
        </w:rPr>
        <w:t>等工作。</w:t>
      </w:r>
    </w:p>
    <w:p w14:paraId="44D36DD6">
      <w:pPr>
        <w:keepNext/>
        <w:keepLines/>
        <w:spacing w:line="576" w:lineRule="exact"/>
        <w:ind w:firstLine="643"/>
        <w:rPr>
          <w:rFonts w:ascii="楷体_GB2312" w:hAnsi="楷体_GB2312" w:eastAsia="楷体_GB2312"/>
          <w:bCs/>
          <w:color w:val="000000"/>
          <w:sz w:val="32"/>
        </w:rPr>
      </w:pPr>
      <w:r>
        <w:rPr>
          <w:rFonts w:hint="eastAsia" w:ascii="楷体_GB2312" w:hAnsi="楷体_GB2312" w:eastAsia="楷体_GB2312"/>
          <w:bCs/>
          <w:color w:val="000000"/>
          <w:sz w:val="32"/>
        </w:rPr>
        <w:t>（三）结余分配和结转结余情况。</w:t>
      </w:r>
    </w:p>
    <w:p w14:paraId="35536794">
      <w:pPr>
        <w:pStyle w:val="2"/>
        <w:autoSpaceDE w:val="0"/>
        <w:autoSpaceDN w:val="0"/>
        <w:spacing w:beforeLines="0" w:line="540" w:lineRule="exact"/>
        <w:ind w:firstLine="556" w:firstLineChars="200"/>
        <w:rPr>
          <w:rFonts w:hAnsi="仿宋_GB2312" w:cs="仿宋_GB2312"/>
          <w:spacing w:val="-21"/>
          <w:sz w:val="32"/>
          <w:szCs w:val="32"/>
        </w:rPr>
      </w:pPr>
      <w:r>
        <w:rPr>
          <w:rFonts w:hint="eastAsia" w:hAnsi="仿宋_GB2312" w:cs="仿宋_GB2312"/>
          <w:spacing w:val="-21"/>
          <w:sz w:val="32"/>
          <w:szCs w:val="32"/>
        </w:rPr>
        <w:t>2023年度单位无结余分配和结转结余情况。</w:t>
      </w:r>
    </w:p>
    <w:p w14:paraId="456AD4D4">
      <w:pPr>
        <w:pStyle w:val="2"/>
        <w:autoSpaceDE w:val="0"/>
        <w:autoSpaceDN w:val="0"/>
        <w:spacing w:beforeLines="0" w:line="540" w:lineRule="exact"/>
        <w:ind w:firstLine="556" w:firstLineChars="200"/>
        <w:rPr>
          <w:rFonts w:hAnsi="仿宋_GB2312" w:cs="仿宋_GB2312"/>
          <w:sz w:val="32"/>
          <w:szCs w:val="32"/>
        </w:rPr>
      </w:pPr>
      <w:r>
        <w:rPr>
          <w:rFonts w:hint="eastAsia" w:hAnsi="仿宋_GB2312" w:cs="仿宋_GB2312"/>
          <w:spacing w:val="-21"/>
          <w:sz w:val="32"/>
          <w:szCs w:val="32"/>
        </w:rPr>
        <w:t>三、部门预算绩效分析</w:t>
      </w:r>
    </w:p>
    <w:p w14:paraId="179A3D30">
      <w:pPr>
        <w:pStyle w:val="2"/>
        <w:autoSpaceDE w:val="0"/>
        <w:autoSpaceDN w:val="0"/>
        <w:spacing w:beforeLines="0" w:line="540" w:lineRule="exact"/>
        <w:ind w:left="747"/>
        <w:rPr>
          <w:rFonts w:hAnsi="仿宋_GB2312" w:cs="仿宋_GB2312"/>
          <w:sz w:val="32"/>
          <w:szCs w:val="32"/>
        </w:rPr>
      </w:pPr>
      <w:r>
        <w:rPr>
          <w:rFonts w:hint="eastAsia" w:hAnsi="仿宋_GB2312" w:cs="仿宋_GB2312"/>
          <w:sz w:val="32"/>
          <w:szCs w:val="32"/>
        </w:rPr>
        <w:t>（一）</w:t>
      </w:r>
      <w:r>
        <w:rPr>
          <w:rFonts w:hint="eastAsia" w:ascii="楷体_GB2312" w:hAnsi="楷体_GB2312" w:eastAsia="楷体_GB2312"/>
          <w:b/>
          <w:color w:val="000000"/>
          <w:sz w:val="32"/>
          <w:lang w:val="zh-CN"/>
        </w:rPr>
        <w:t>部门预算总体绩效分析。</w:t>
      </w:r>
    </w:p>
    <w:p w14:paraId="1E9F31F7">
      <w:pPr>
        <w:pStyle w:val="2"/>
        <w:autoSpaceDE w:val="0"/>
        <w:autoSpaceDN w:val="0"/>
        <w:spacing w:beforeLines="0" w:line="540" w:lineRule="exact"/>
        <w:ind w:left="747"/>
        <w:rPr>
          <w:rFonts w:hAnsi="仿宋_GB2312" w:cs="仿宋_GB2312"/>
          <w:sz w:val="32"/>
          <w:szCs w:val="32"/>
        </w:rPr>
      </w:pPr>
      <w:r>
        <w:rPr>
          <w:rFonts w:hint="eastAsia" w:hAnsi="仿宋_GB2312" w:cs="仿宋_GB2312"/>
          <w:sz w:val="32"/>
          <w:szCs w:val="32"/>
        </w:rPr>
        <w:t>（一）部门预算项目绩效管理</w:t>
      </w:r>
    </w:p>
    <w:p w14:paraId="65774E82">
      <w:pPr>
        <w:spacing w:line="540" w:lineRule="exact"/>
        <w:ind w:firstLine="640" w:firstLineChars="200"/>
        <w:rPr>
          <w:rFonts w:eastAsia="仿宋_GB2312"/>
          <w:kern w:val="0"/>
          <w:sz w:val="3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rPr>
        <w:t>.</w:t>
      </w:r>
      <w:r>
        <w:rPr>
          <w:rFonts w:hint="eastAsia" w:ascii="仿宋_GB2312" w:hAnsi="仿宋_GB2312" w:eastAsia="仿宋_GB2312" w:cs="仿宋_GB2312"/>
          <w:sz w:val="32"/>
          <w:szCs w:val="32"/>
        </w:rPr>
        <w:t>部门绩效目标制定情况。</w:t>
      </w:r>
    </w:p>
    <w:p w14:paraId="2DECCE24">
      <w:pPr>
        <w:spacing w:line="540" w:lineRule="exact"/>
        <w:ind w:firstLine="640" w:firstLineChars="200"/>
        <w:rPr>
          <w:rFonts w:eastAsia="仿宋_GB2312"/>
          <w:sz w:val="32"/>
          <w:szCs w:val="32"/>
        </w:rPr>
      </w:pPr>
      <w:r>
        <w:rPr>
          <w:rFonts w:hint="eastAsia" w:eastAsia="仿宋_GB2312"/>
          <w:kern w:val="0"/>
          <w:sz w:val="32"/>
          <w:szCs w:val="32"/>
        </w:rPr>
        <w:t>我办高度重视预算绩效管理工作，</w:t>
      </w:r>
      <w:r>
        <w:rPr>
          <w:rFonts w:eastAsia="仿宋_GB2312"/>
          <w:kern w:val="0"/>
          <w:sz w:val="32"/>
          <w:szCs w:val="32"/>
        </w:rPr>
        <w:t>依据</w:t>
      </w:r>
      <w:r>
        <w:rPr>
          <w:rFonts w:hint="eastAsia" w:eastAsia="仿宋_GB2312"/>
          <w:kern w:val="0"/>
          <w:sz w:val="32"/>
          <w:szCs w:val="32"/>
        </w:rPr>
        <w:t>区委区政府下达的年度综合目标任务结合我办职能职责，从产出指标、效益指标、满意度指标等方面制定了绩效目标，全面实现了要素完整、指标细化量化的具体要求，机关党组会议讨论通过后进行了申报。</w:t>
      </w:r>
      <w:r>
        <w:rPr>
          <w:rFonts w:eastAsia="仿宋_GB2312"/>
          <w:sz w:val="32"/>
          <w:szCs w:val="32"/>
        </w:rPr>
        <w:t>部门预算项目绩效稳步推进，保障了工作的正常运转，在工作中继续发挥</w:t>
      </w:r>
      <w:r>
        <w:rPr>
          <w:rFonts w:hint="eastAsia" w:eastAsia="仿宋_GB2312"/>
          <w:sz w:val="32"/>
          <w:szCs w:val="32"/>
        </w:rPr>
        <w:t>人大</w:t>
      </w:r>
      <w:r>
        <w:rPr>
          <w:rFonts w:eastAsia="仿宋_GB2312"/>
          <w:sz w:val="32"/>
          <w:szCs w:val="32"/>
        </w:rPr>
        <w:t>的</w:t>
      </w:r>
      <w:r>
        <w:rPr>
          <w:rFonts w:hint="eastAsia" w:eastAsia="仿宋_GB2312"/>
          <w:sz w:val="32"/>
          <w:szCs w:val="32"/>
        </w:rPr>
        <w:t>立法权、决定权、任免权和监督权等几</w:t>
      </w:r>
      <w:r>
        <w:rPr>
          <w:rFonts w:eastAsia="仿宋_GB2312"/>
          <w:sz w:val="32"/>
          <w:szCs w:val="32"/>
        </w:rPr>
        <w:t>大职能，组织和引导</w:t>
      </w:r>
      <w:r>
        <w:rPr>
          <w:rFonts w:hint="eastAsia" w:eastAsia="仿宋_GB2312"/>
          <w:sz w:val="32"/>
          <w:szCs w:val="32"/>
        </w:rPr>
        <w:t>人大代表</w:t>
      </w:r>
      <w:r>
        <w:rPr>
          <w:rFonts w:eastAsia="仿宋_GB2312"/>
          <w:sz w:val="32"/>
          <w:szCs w:val="32"/>
        </w:rPr>
        <w:t>对全区重要举措以及经济建设、政治建设、文化建设、社会建设、生态文明建设中的重要问题，通过提出建议</w:t>
      </w:r>
      <w:r>
        <w:rPr>
          <w:rFonts w:hint="eastAsia" w:eastAsia="仿宋_GB2312"/>
          <w:sz w:val="32"/>
          <w:szCs w:val="32"/>
        </w:rPr>
        <w:t>、表决、质询、提案等</w:t>
      </w:r>
      <w:r>
        <w:rPr>
          <w:rFonts w:eastAsia="仿宋_GB2312"/>
          <w:sz w:val="32"/>
          <w:szCs w:val="32"/>
        </w:rPr>
        <w:t>方式进行</w:t>
      </w:r>
      <w:r>
        <w:rPr>
          <w:rFonts w:hint="eastAsia" w:eastAsia="仿宋_GB2312"/>
          <w:sz w:val="32"/>
          <w:szCs w:val="32"/>
        </w:rPr>
        <w:t>监督</w:t>
      </w:r>
      <w:r>
        <w:rPr>
          <w:rFonts w:eastAsia="仿宋_GB2312"/>
          <w:sz w:val="32"/>
          <w:szCs w:val="32"/>
        </w:rPr>
        <w:t>。围绕年初重点工作计划组织</w:t>
      </w:r>
      <w:r>
        <w:rPr>
          <w:rFonts w:hint="eastAsia" w:eastAsia="仿宋_GB2312"/>
          <w:sz w:val="32"/>
          <w:szCs w:val="32"/>
        </w:rPr>
        <w:t>人大代表</w:t>
      </w:r>
      <w:r>
        <w:rPr>
          <w:rFonts w:eastAsia="仿宋_GB2312"/>
          <w:sz w:val="32"/>
          <w:szCs w:val="32"/>
        </w:rPr>
        <w:t>开展视察调研活动，收集</w:t>
      </w:r>
      <w:r>
        <w:rPr>
          <w:rFonts w:hint="eastAsia" w:eastAsia="仿宋_GB2312"/>
          <w:sz w:val="32"/>
          <w:szCs w:val="32"/>
        </w:rPr>
        <w:t>意见建议</w:t>
      </w:r>
      <w:r>
        <w:rPr>
          <w:rFonts w:eastAsia="仿宋_GB2312"/>
          <w:sz w:val="32"/>
          <w:szCs w:val="32"/>
        </w:rPr>
        <w:t>，积极为昭化区经济社会的发展建言献策，不断提高社会对</w:t>
      </w:r>
      <w:r>
        <w:rPr>
          <w:rFonts w:hint="eastAsia" w:eastAsia="仿宋_GB2312"/>
          <w:sz w:val="32"/>
          <w:szCs w:val="32"/>
        </w:rPr>
        <w:t>人大</w:t>
      </w:r>
      <w:r>
        <w:rPr>
          <w:rFonts w:eastAsia="仿宋_GB2312"/>
          <w:sz w:val="32"/>
          <w:szCs w:val="32"/>
        </w:rPr>
        <w:t>工作的满意度。部门预算项目绩效管理有序，资金分配严格按照财政预算及实际工作需要，按照项目的进度情况，合理安排，资金使用严格按照规范程序申请、管理和使用。通过项目的实施，充分保障了各项工作需求，提高干部职工的工作积极性，确保</w:t>
      </w:r>
      <w:r>
        <w:rPr>
          <w:rFonts w:hint="eastAsia" w:eastAsia="仿宋_GB2312"/>
          <w:sz w:val="32"/>
          <w:szCs w:val="32"/>
        </w:rPr>
        <w:t>会议、视察、调研、监督、执法检查、信访、专委会、民生实事项目、代表联络等</w:t>
      </w:r>
      <w:r>
        <w:rPr>
          <w:rFonts w:eastAsia="仿宋_GB2312"/>
          <w:sz w:val="32"/>
          <w:szCs w:val="32"/>
        </w:rPr>
        <w:t>工作任务的落实，有效推动了全区经济社会发展。</w:t>
      </w:r>
    </w:p>
    <w:p w14:paraId="14DB161F">
      <w:pPr>
        <w:pStyle w:val="28"/>
        <w:tabs>
          <w:tab w:val="left" w:pos="989"/>
        </w:tabs>
        <w:autoSpaceDE w:val="0"/>
        <w:autoSpaceDN w:val="0"/>
        <w:spacing w:line="540" w:lineRule="exact"/>
        <w:ind w:firstLine="640"/>
        <w:jc w:val="left"/>
        <w:rPr>
          <w:rFonts w:eastAsia="仿宋_GB2312"/>
          <w:kern w:val="0"/>
          <w:sz w:val="32"/>
        </w:rPr>
      </w:pPr>
      <w:r>
        <w:rPr>
          <w:rFonts w:hint="eastAsia" w:eastAsia="仿宋_GB2312"/>
          <w:sz w:val="32"/>
          <w:szCs w:val="32"/>
        </w:rPr>
        <w:t>2.部门绩效目标实现情况。一是人员类绩效目标实现情况，人员类支出902.68万元，主要包括:基本工资、津贴补贴、奖金、机关事业单位基本养老保险缴费、职业年金缴费、职工基本医疗保险缴费、其他社会保障缴费、住房公积金、其他工资福利支出和对个人和家庭的补助。该项经费有效保障了干部职工</w:t>
      </w:r>
      <w:r>
        <w:rPr>
          <w:rFonts w:hint="eastAsia" w:ascii="仿宋_GB2312" w:hAnsi="仿宋_GB2312" w:eastAsia="仿宋_GB2312" w:cs="仿宋_GB2312"/>
          <w:sz w:val="32"/>
          <w:szCs w:val="32"/>
        </w:rPr>
        <w:t>的工资福利和对个人家庭的补助资金，人员经费发放及时</w:t>
      </w:r>
      <w:r>
        <w:rPr>
          <w:rFonts w:hint="eastAsia" w:ascii="仿宋_GB2312" w:hAnsi="仿宋_GB2312" w:cs="仿宋_GB2312"/>
          <w:sz w:val="32"/>
          <w:szCs w:val="32"/>
        </w:rPr>
        <w:t>，</w:t>
      </w:r>
      <w:r>
        <w:rPr>
          <w:rFonts w:hint="eastAsia" w:ascii="仿宋_GB2312" w:hAnsi="仿宋_GB2312" w:eastAsia="仿宋_GB2312" w:cs="仿宋_GB2312"/>
          <w:sz w:val="32"/>
          <w:szCs w:val="32"/>
        </w:rPr>
        <w:t>单位职工满意度为100%，圆满完成了人员经费的绩效目标任务。二是运转类经费绩效目标实现情况，单位定额公用经费，共计支出70.5元，主要用于保障单位运转及工作开展的水电、办公、打印、差旅等费用支出，部门运转类目标绩效良好，各项指标均达到预期效果。三是项目类绩效目标实现情况，项目类支出335.22万元。人大会议、人大业务、人大代表、机关管理、乡村振兴等工作开展顺利开展。</w:t>
      </w:r>
      <w:r>
        <w:rPr>
          <w:rFonts w:ascii="仿宋_GB2312" w:hAnsi="仿宋_GB2312" w:eastAsia="仿宋_GB2312" w:cs="仿宋_GB2312"/>
          <w:sz w:val="32"/>
          <w:szCs w:val="32"/>
        </w:rPr>
        <w:t>项目具有良好的经济、社会、生态效益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广大群众满意度较高。</w:t>
      </w:r>
    </w:p>
    <w:p w14:paraId="3351AE66">
      <w:pPr>
        <w:spacing w:line="576" w:lineRule="exact"/>
        <w:ind w:firstLine="640" w:firstLineChars="200"/>
        <w:rPr>
          <w:rFonts w:ascii="仿宋_GB2312" w:hAnsi="仿宋_GB2312" w:eastAsia="仿宋_GB2312" w:cs="仿宋_GB2312"/>
          <w:sz w:val="32"/>
          <w:szCs w:val="32"/>
        </w:rPr>
      </w:pPr>
      <w:r>
        <w:rPr>
          <w:rFonts w:hint="eastAsia" w:eastAsia="仿宋_GB2312"/>
          <w:kern w:val="0"/>
          <w:sz w:val="32"/>
        </w:rPr>
        <w:t>3.</w:t>
      </w:r>
      <w:r>
        <w:rPr>
          <w:rFonts w:hint="eastAsia" w:ascii="仿宋_GB2312" w:hAnsi="仿宋_GB2312" w:eastAsia="仿宋_GB2312" w:cs="仿宋_GB2312"/>
          <w:sz w:val="32"/>
          <w:szCs w:val="32"/>
        </w:rPr>
        <w:t>支出控制。部门预算日常公用经费、其他运转类中“办公费、印刷费、差旅费、会议费、培训费、公务接待费”等科目预算数分别为：67.5万元、25万元、84.8万元、59.12万元、20万元、12.6万元，决算数分别为：67.5万元、20万元、100.8万元、59.12万元、38.09万元、12.51万元。按照权重不同综合计算，预决算偏差度为0.25%。我办绩效监控调整取消额与结余注销额均为零。</w:t>
      </w:r>
    </w:p>
    <w:p w14:paraId="3D4D268B">
      <w:pPr>
        <w:pStyle w:val="28"/>
        <w:tabs>
          <w:tab w:val="left" w:pos="989"/>
        </w:tabs>
        <w:autoSpaceDE w:val="0"/>
        <w:autoSpaceDN w:val="0"/>
        <w:spacing w:line="540" w:lineRule="exact"/>
        <w:ind w:firstLine="640"/>
        <w:jc w:val="left"/>
        <w:rPr>
          <w:rFonts w:ascii="仿宋_GB2312" w:hAnsi="仿宋_GB2312" w:eastAsia="仿宋_GB2312" w:cs="仿宋_GB2312"/>
          <w:sz w:val="32"/>
          <w:szCs w:val="32"/>
        </w:rPr>
      </w:pPr>
      <w:r>
        <w:rPr>
          <w:rFonts w:hint="eastAsia" w:eastAsia="仿宋_GB2312"/>
          <w:kern w:val="0"/>
          <w:sz w:val="32"/>
          <w:szCs w:val="32"/>
        </w:rPr>
        <w:t>4.</w:t>
      </w:r>
      <w:r>
        <w:rPr>
          <w:rFonts w:hint="eastAsia" w:ascii="仿宋_GB2312" w:hAnsi="仿宋_GB2312" w:eastAsia="仿宋_GB2312" w:cs="仿宋_GB2312"/>
          <w:sz w:val="32"/>
          <w:szCs w:val="32"/>
        </w:rPr>
        <w:t>及时处置和执行进度。部门预算执行进度在6、9、11月达到序时进度的40%、80%、90%，即实际支出进度达到40%、69.65%、82.5%；6、9、11月部门预算执行进度达到量化指标。本部门预算项目年终12月预算执行进度达到100%。部门预算项目资金无结余。依据评价年度审计监督、财政检查结果，本单位预算管理方面无违纪违规问题。</w:t>
      </w:r>
    </w:p>
    <w:p w14:paraId="79BAC2DA">
      <w:pPr>
        <w:pStyle w:val="2"/>
        <w:autoSpaceDE w:val="0"/>
        <w:autoSpaceDN w:val="0"/>
        <w:spacing w:beforeLines="0" w:line="540" w:lineRule="exact"/>
        <w:ind w:left="747"/>
        <w:rPr>
          <w:rFonts w:hAnsi="仿宋_GB2312" w:cs="仿宋_GB2312"/>
          <w:b/>
          <w:bCs/>
          <w:sz w:val="32"/>
          <w:szCs w:val="32"/>
        </w:rPr>
      </w:pPr>
      <w:r>
        <w:rPr>
          <w:rFonts w:hint="eastAsia" w:hAnsi="仿宋_GB2312" w:cs="仿宋_GB2312"/>
          <w:b/>
          <w:bCs/>
          <w:sz w:val="32"/>
          <w:szCs w:val="32"/>
        </w:rPr>
        <w:t>（二）结果应用公开情况</w:t>
      </w:r>
    </w:p>
    <w:p w14:paraId="1ABA80B7">
      <w:pPr>
        <w:spacing w:line="54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内部应用：我</w:t>
      </w:r>
      <w:r>
        <w:rPr>
          <w:rFonts w:hint="eastAsia"/>
          <w:sz w:val="32"/>
          <w:szCs w:val="32"/>
        </w:rPr>
        <w:t>办</w:t>
      </w:r>
      <w:r>
        <w:rPr>
          <w:rFonts w:hint="eastAsia" w:eastAsia="仿宋_GB2312"/>
          <w:sz w:val="32"/>
          <w:szCs w:val="32"/>
        </w:rPr>
        <w:t>制定了《</w:t>
      </w:r>
      <w:r>
        <w:rPr>
          <w:rFonts w:hint="eastAsia" w:ascii="仿宋_GB2312" w:hAnsi="仿宋_GB2312" w:eastAsia="仿宋_GB2312" w:cs="仿宋_GB2312"/>
          <w:sz w:val="32"/>
          <w:szCs w:val="32"/>
        </w:rPr>
        <w:t>预算项目</w:t>
      </w:r>
      <w:r>
        <w:rPr>
          <w:rFonts w:hint="eastAsia" w:eastAsia="仿宋_GB2312"/>
          <w:sz w:val="32"/>
          <w:szCs w:val="32"/>
        </w:rPr>
        <w:t>绩效管理制度及考核办法》，根据单位年度总体绩效目标，按照</w:t>
      </w:r>
      <w:r>
        <w:rPr>
          <w:rFonts w:hint="eastAsia"/>
          <w:sz w:val="32"/>
          <w:szCs w:val="32"/>
        </w:rPr>
        <w:t>各</w:t>
      </w:r>
      <w:r>
        <w:rPr>
          <w:rFonts w:hint="eastAsia" w:eastAsia="仿宋_GB2312"/>
          <w:sz w:val="32"/>
          <w:szCs w:val="32"/>
        </w:rPr>
        <w:t>委室的分工不同，我单位对各委室设定了绩效目标，制定了相匹配的考核办法，并在年终考核汇总后，成为单位绩效目标完成情况的基础。并为下年的绩效目标申报提供了可参考的指标。</w:t>
      </w:r>
    </w:p>
    <w:p w14:paraId="0A14C2CD">
      <w:pPr>
        <w:spacing w:line="54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自评公开：按区财政局照财政统一安排，我</w:t>
      </w:r>
      <w:r>
        <w:rPr>
          <w:rFonts w:hint="eastAsia"/>
          <w:sz w:val="32"/>
          <w:szCs w:val="32"/>
        </w:rPr>
        <w:t>办</w:t>
      </w:r>
      <w:r>
        <w:rPr>
          <w:rFonts w:hint="eastAsia" w:eastAsia="仿宋_GB2312"/>
          <w:sz w:val="32"/>
          <w:szCs w:val="32"/>
        </w:rPr>
        <w:t>将相关绩效信息随同预算、决算公开在政府门户网站进行了公开</w:t>
      </w:r>
      <w:r>
        <w:rPr>
          <w:rFonts w:eastAsia="仿宋_GB2312"/>
          <w:sz w:val="32"/>
          <w:szCs w:val="32"/>
        </w:rPr>
        <w:t>。</w:t>
      </w:r>
    </w:p>
    <w:p w14:paraId="75E62309">
      <w:pPr>
        <w:spacing w:line="54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问题整改:根据上年度第三方绩效评价提出的项目实施进度缓慢的情况，我办加强了和项目方的对接，确保项目施工进度。  </w:t>
      </w:r>
    </w:p>
    <w:p w14:paraId="51EAB6C1">
      <w:pPr>
        <w:spacing w:line="540" w:lineRule="exact"/>
        <w:ind w:firstLine="640" w:firstLineChars="200"/>
      </w:pPr>
      <w:r>
        <w:rPr>
          <w:rFonts w:hint="eastAsia" w:eastAsia="仿宋_GB2312"/>
          <w:sz w:val="32"/>
          <w:szCs w:val="32"/>
        </w:rPr>
        <w:t>4</w:t>
      </w:r>
      <w:r>
        <w:rPr>
          <w:rFonts w:eastAsia="仿宋_GB2312"/>
          <w:sz w:val="32"/>
          <w:szCs w:val="32"/>
        </w:rPr>
        <w:t>.</w:t>
      </w:r>
      <w:r>
        <w:rPr>
          <w:rFonts w:hint="eastAsia" w:eastAsia="仿宋_GB2312"/>
          <w:sz w:val="32"/>
          <w:szCs w:val="32"/>
        </w:rPr>
        <w:t>应用反馈:根据自评及第三方现场评价发现的问题及情况，我办及时进行了完善整改，目前单位绩效目标设置合理规范，绩效管理高效有序，绩效运行监督机制运行流畅。</w:t>
      </w:r>
    </w:p>
    <w:p w14:paraId="48C55EB8">
      <w:pPr>
        <w:pStyle w:val="2"/>
        <w:autoSpaceDE w:val="0"/>
        <w:autoSpaceDN w:val="0"/>
        <w:spacing w:beforeLines="0" w:line="540" w:lineRule="exact"/>
        <w:ind w:left="747"/>
        <w:rPr>
          <w:rFonts w:ascii="Times New Roman"/>
          <w:kern w:val="2"/>
          <w:sz w:val="32"/>
          <w:szCs w:val="32"/>
        </w:rPr>
      </w:pPr>
      <w:r>
        <w:rPr>
          <w:rFonts w:ascii="Times New Roman"/>
          <w:kern w:val="2"/>
          <w:sz w:val="32"/>
          <w:szCs w:val="32"/>
        </w:rPr>
        <w:t>（三）自评质量</w:t>
      </w:r>
    </w:p>
    <w:p w14:paraId="20A5D667">
      <w:pPr>
        <w:spacing w:line="540" w:lineRule="exact"/>
        <w:ind w:firstLine="640" w:firstLineChars="200"/>
        <w:jc w:val="left"/>
        <w:rPr>
          <w:rFonts w:eastAsia="仿宋_GB2312"/>
          <w:sz w:val="32"/>
          <w:szCs w:val="32"/>
        </w:rPr>
      </w:pPr>
      <w:r>
        <w:rPr>
          <w:rFonts w:hint="eastAsia" w:eastAsia="仿宋_GB2312"/>
          <w:sz w:val="32"/>
          <w:szCs w:val="32"/>
        </w:rPr>
        <w:t>按照2023年单位预算收支执行情况及单位绩效目标的编制、实施过程及完成情况，</w:t>
      </w:r>
      <w:r>
        <w:rPr>
          <w:rFonts w:eastAsia="仿宋_GB2312"/>
          <w:sz w:val="32"/>
          <w:szCs w:val="32"/>
        </w:rPr>
        <w:t>强化管理，不断建立健全内部管理制度，梳理内部管理流程，整体支出管理水平得到提升，各项指标均达到了预期效果</w:t>
      </w:r>
      <w:r>
        <w:rPr>
          <w:rFonts w:hint="eastAsia" w:eastAsia="仿宋_GB2312"/>
          <w:sz w:val="32"/>
          <w:szCs w:val="32"/>
        </w:rPr>
        <w:t>，我办对绩效管理工作做了客观合理的自评。</w:t>
      </w:r>
    </w:p>
    <w:p w14:paraId="22125C88">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14:paraId="68FCE539">
      <w:pPr>
        <w:spacing w:line="540" w:lineRule="exact"/>
        <w:ind w:firstLine="640" w:firstLineChars="200"/>
        <w:rPr>
          <w:rFonts w:eastAsia="仿宋_GB2312"/>
          <w:sz w:val="32"/>
          <w:szCs w:val="32"/>
        </w:rPr>
      </w:pPr>
      <w:r>
        <w:rPr>
          <w:rFonts w:eastAsia="仿宋_GB2312"/>
          <w:sz w:val="32"/>
          <w:szCs w:val="32"/>
        </w:rPr>
        <w:t>（一）自评结论</w:t>
      </w:r>
    </w:p>
    <w:p w14:paraId="2EE6B226">
      <w:pPr>
        <w:spacing w:line="540" w:lineRule="exact"/>
        <w:ind w:firstLine="640" w:firstLineChars="200"/>
        <w:rPr>
          <w:rFonts w:eastAsia="仿宋_GB2312"/>
          <w:color w:val="000000"/>
          <w:sz w:val="32"/>
          <w:szCs w:val="32"/>
        </w:rPr>
      </w:pPr>
      <w:r>
        <w:rPr>
          <w:rFonts w:eastAsia="仿宋_GB2312"/>
          <w:sz w:val="32"/>
          <w:szCs w:val="32"/>
        </w:rPr>
        <w:t>202</w:t>
      </w:r>
      <w:r>
        <w:rPr>
          <w:rFonts w:hint="eastAsia" w:eastAsia="仿宋_GB2312"/>
          <w:sz w:val="32"/>
          <w:szCs w:val="32"/>
        </w:rPr>
        <w:t>3</w:t>
      </w:r>
      <w:r>
        <w:rPr>
          <w:rFonts w:eastAsia="仿宋_GB2312"/>
          <w:sz w:val="32"/>
          <w:szCs w:val="32"/>
        </w:rPr>
        <w:t>年通过各项经费的使用，保障了干部职工的基本利益，提高了干部职工的工作积极性和责任心，保障了各项工作的高效进行，为单位高效运转提供了坚定保障，实现</w:t>
      </w:r>
      <w:r>
        <w:rPr>
          <w:rFonts w:eastAsia="仿宋_GB2312"/>
          <w:color w:val="000000"/>
          <w:sz w:val="32"/>
          <w:szCs w:val="32"/>
        </w:rPr>
        <w:t>了年初制定的目标任务。从完成效果来看，较好的达到了预期目标。因此，从项目决策、项目管理、项目完成和项目效果来看，都较好地达到了预期的效果。经自评，我单位202</w:t>
      </w:r>
      <w:r>
        <w:rPr>
          <w:rFonts w:hint="eastAsia" w:eastAsia="仿宋_GB2312"/>
          <w:color w:val="000000"/>
          <w:sz w:val="32"/>
          <w:szCs w:val="32"/>
        </w:rPr>
        <w:t>3</w:t>
      </w:r>
      <w:r>
        <w:rPr>
          <w:rFonts w:eastAsia="仿宋_GB2312"/>
          <w:color w:val="000000"/>
          <w:sz w:val="32"/>
          <w:szCs w:val="32"/>
        </w:rPr>
        <w:t>年部门整体支出绩效</w:t>
      </w:r>
      <w:r>
        <w:rPr>
          <w:rFonts w:hint="eastAsia" w:eastAsia="仿宋_GB2312"/>
          <w:color w:val="000000"/>
          <w:sz w:val="32"/>
          <w:szCs w:val="32"/>
        </w:rPr>
        <w:t>自评</w:t>
      </w:r>
      <w:r>
        <w:rPr>
          <w:rFonts w:eastAsia="仿宋_GB2312"/>
          <w:color w:val="000000"/>
          <w:sz w:val="32"/>
          <w:szCs w:val="32"/>
        </w:rPr>
        <w:t>得分为95分，因此我单位202</w:t>
      </w:r>
      <w:r>
        <w:rPr>
          <w:rFonts w:hint="eastAsia" w:eastAsia="仿宋_GB2312"/>
          <w:color w:val="000000"/>
          <w:sz w:val="32"/>
          <w:szCs w:val="32"/>
        </w:rPr>
        <w:t>3</w:t>
      </w:r>
      <w:r>
        <w:rPr>
          <w:rFonts w:eastAsia="仿宋_GB2312"/>
          <w:color w:val="000000"/>
          <w:sz w:val="32"/>
          <w:szCs w:val="32"/>
        </w:rPr>
        <w:t>年部门整体支出绩效</w:t>
      </w:r>
      <w:r>
        <w:rPr>
          <w:rFonts w:hint="eastAsia" w:eastAsia="仿宋_GB2312"/>
          <w:color w:val="000000"/>
          <w:sz w:val="32"/>
          <w:szCs w:val="32"/>
        </w:rPr>
        <w:t>自评结果</w:t>
      </w:r>
      <w:r>
        <w:rPr>
          <w:rFonts w:eastAsia="仿宋_GB2312"/>
          <w:color w:val="000000"/>
          <w:sz w:val="32"/>
          <w:szCs w:val="32"/>
        </w:rPr>
        <w:t>为优秀。</w:t>
      </w:r>
    </w:p>
    <w:p w14:paraId="7F00CC32">
      <w:pPr>
        <w:spacing w:line="540" w:lineRule="exact"/>
        <w:ind w:firstLine="640" w:firstLineChars="200"/>
        <w:rPr>
          <w:rFonts w:eastAsia="楷体_GB2312"/>
          <w:sz w:val="32"/>
          <w:szCs w:val="32"/>
        </w:rPr>
      </w:pPr>
      <w:r>
        <w:rPr>
          <w:rFonts w:eastAsia="楷体_GB2312"/>
          <w:sz w:val="32"/>
          <w:szCs w:val="32"/>
        </w:rPr>
        <w:t>（二）存在问题</w:t>
      </w:r>
    </w:p>
    <w:p w14:paraId="4560A84F">
      <w:pPr>
        <w:spacing w:line="540" w:lineRule="exact"/>
        <w:ind w:firstLine="640" w:firstLineChars="200"/>
        <w:rPr>
          <w:rFonts w:eastAsia="仿宋_GB2312"/>
          <w:color w:val="000000"/>
          <w:sz w:val="32"/>
          <w:szCs w:val="32"/>
        </w:rPr>
      </w:pPr>
      <w:r>
        <w:rPr>
          <w:rFonts w:eastAsia="仿宋_GB2312"/>
          <w:color w:val="000000"/>
          <w:sz w:val="32"/>
          <w:szCs w:val="32"/>
        </w:rPr>
        <w:t>预算编制精准性还有待进一步提高。在预算编制过程中与业务股室沟通不够，造成在过程中应急性时间较多，造成预算与实际支出费用存在偏差，在支出时也还存在申报计划是功能科目与实际支出不一致的情况，从而造成预算编制不够精确。</w:t>
      </w:r>
    </w:p>
    <w:p w14:paraId="15EEDEAE">
      <w:pPr>
        <w:spacing w:line="540" w:lineRule="exact"/>
        <w:ind w:firstLine="640" w:firstLineChars="200"/>
        <w:rPr>
          <w:rFonts w:eastAsia="楷体_GB2312"/>
          <w:sz w:val="32"/>
          <w:szCs w:val="32"/>
        </w:rPr>
      </w:pPr>
      <w:r>
        <w:rPr>
          <w:rFonts w:eastAsia="楷体_GB2312"/>
          <w:sz w:val="32"/>
          <w:szCs w:val="32"/>
        </w:rPr>
        <w:t>（三）改进建议</w:t>
      </w:r>
    </w:p>
    <w:p w14:paraId="00CBAC6E">
      <w:pPr>
        <w:pStyle w:val="14"/>
        <w:shd w:val="clear" w:color="auto" w:fill="FFFFFF"/>
        <w:spacing w:line="540" w:lineRule="exact"/>
        <w:ind w:firstLine="640" w:firstLineChars="200"/>
        <w:rPr>
          <w:rFonts w:eastAsia="仿宋_GB2312"/>
          <w:color w:val="000000"/>
          <w:sz w:val="32"/>
          <w:szCs w:val="32"/>
        </w:rPr>
      </w:pPr>
      <w:r>
        <w:rPr>
          <w:rFonts w:eastAsia="仿宋_GB2312"/>
          <w:color w:val="000000"/>
          <w:sz w:val="32"/>
          <w:szCs w:val="32"/>
        </w:rPr>
        <w:t>一是加强财务管理。二是强化预算执行。三是优化绩效管理。四是确保绩效目标。五是保障资金安全。</w:t>
      </w:r>
    </w:p>
    <w:p w14:paraId="44C3A38D">
      <w:pPr>
        <w:spacing w:line="540" w:lineRule="exact"/>
        <w:ind w:firstLine="640" w:firstLineChars="200"/>
        <w:rPr>
          <w:rFonts w:eastAsia="仿宋_GB2312"/>
          <w:color w:val="000000"/>
          <w:sz w:val="32"/>
          <w:szCs w:val="32"/>
        </w:rPr>
      </w:pPr>
      <w:r>
        <w:rPr>
          <w:rFonts w:hint="eastAsia" w:eastAsia="仿宋_GB2312"/>
          <w:color w:val="000000"/>
          <w:sz w:val="32"/>
          <w:szCs w:val="32"/>
        </w:rPr>
        <w:t>附件:区人大常委会办公室2023年部门整体支出绩效自评表</w:t>
      </w:r>
    </w:p>
    <w:p w14:paraId="5775253B">
      <w:pPr>
        <w:spacing w:line="540" w:lineRule="exact"/>
        <w:ind w:firstLine="640" w:firstLineChars="200"/>
        <w:rPr>
          <w:rFonts w:eastAsia="仿宋_GB2312"/>
          <w:kern w:val="0"/>
          <w:sz w:val="32"/>
        </w:rPr>
      </w:pPr>
    </w:p>
    <w:p w14:paraId="582026E1">
      <w:pPr>
        <w:pStyle w:val="14"/>
        <w:shd w:val="clear" w:color="auto" w:fill="FFFFFF"/>
        <w:spacing w:line="540" w:lineRule="exact"/>
        <w:ind w:firstLine="640" w:firstLineChars="200"/>
        <w:rPr>
          <w:rFonts w:eastAsia="仿宋_GB2312"/>
          <w:color w:val="000000"/>
          <w:sz w:val="32"/>
          <w:szCs w:val="32"/>
        </w:rPr>
      </w:pPr>
    </w:p>
    <w:p w14:paraId="019C14DB">
      <w:r>
        <w:br w:type="page"/>
      </w:r>
    </w:p>
    <w:p w14:paraId="58ADA2D5">
      <w:pPr>
        <w:pStyle w:val="7"/>
        <w:spacing w:after="0" w:line="400" w:lineRule="exact"/>
      </w:pPr>
    </w:p>
    <w:tbl>
      <w:tblPr>
        <w:tblStyle w:val="16"/>
        <w:tblW w:w="9320" w:type="dxa"/>
        <w:jc w:val="center"/>
        <w:tblLayout w:type="fixed"/>
        <w:tblCellMar>
          <w:top w:w="0" w:type="dxa"/>
          <w:left w:w="108" w:type="dxa"/>
          <w:bottom w:w="0" w:type="dxa"/>
          <w:right w:w="108" w:type="dxa"/>
        </w:tblCellMar>
      </w:tblPr>
      <w:tblGrid>
        <w:gridCol w:w="589"/>
        <w:gridCol w:w="584"/>
        <w:gridCol w:w="420"/>
        <w:gridCol w:w="1368"/>
        <w:gridCol w:w="929"/>
        <w:gridCol w:w="1052"/>
        <w:gridCol w:w="1219"/>
        <w:gridCol w:w="503"/>
        <w:gridCol w:w="1274"/>
        <w:gridCol w:w="1382"/>
      </w:tblGrid>
      <w:tr w14:paraId="191B9CF7">
        <w:tblPrEx>
          <w:tblCellMar>
            <w:top w:w="0" w:type="dxa"/>
            <w:left w:w="108" w:type="dxa"/>
            <w:bottom w:w="0" w:type="dxa"/>
            <w:right w:w="108" w:type="dxa"/>
          </w:tblCellMar>
        </w:tblPrEx>
        <w:trPr>
          <w:trHeight w:val="90" w:hRule="atLeast"/>
          <w:jc w:val="center"/>
        </w:trPr>
        <w:tc>
          <w:tcPr>
            <w:tcW w:w="9320" w:type="dxa"/>
            <w:gridSpan w:val="10"/>
            <w:tcBorders>
              <w:top w:val="nil"/>
              <w:left w:val="nil"/>
              <w:bottom w:val="nil"/>
              <w:right w:val="nil"/>
            </w:tcBorders>
            <w:shd w:val="clear" w:color="auto" w:fill="auto"/>
            <w:vAlign w:val="center"/>
          </w:tcPr>
          <w:p w14:paraId="186AD492">
            <w:pPr>
              <w:widowControl/>
              <w:spacing w:line="520" w:lineRule="exact"/>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广元市昭化区人民代表大会常务委员会办公室                  2023年部门整体支出绩效目标自评表</w:t>
            </w:r>
          </w:p>
        </w:tc>
      </w:tr>
      <w:tr w14:paraId="1CF96946">
        <w:tblPrEx>
          <w:tblCellMar>
            <w:top w:w="0" w:type="dxa"/>
            <w:left w:w="108" w:type="dxa"/>
            <w:bottom w:w="0" w:type="dxa"/>
            <w:right w:w="108" w:type="dxa"/>
          </w:tblCellMar>
        </w:tblPrEx>
        <w:trPr>
          <w:trHeight w:val="451" w:hRule="atLeast"/>
          <w:jc w:val="center"/>
        </w:trPr>
        <w:tc>
          <w:tcPr>
            <w:tcW w:w="9320" w:type="dxa"/>
            <w:gridSpan w:val="10"/>
            <w:tcBorders>
              <w:top w:val="nil"/>
              <w:left w:val="nil"/>
              <w:bottom w:val="nil"/>
              <w:right w:val="nil"/>
            </w:tcBorders>
            <w:shd w:val="clear" w:color="auto" w:fill="auto"/>
          </w:tcPr>
          <w:p w14:paraId="1DADBCB3">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rPr>
              <w:t>（2023年度）</w:t>
            </w:r>
          </w:p>
        </w:tc>
      </w:tr>
      <w:tr w14:paraId="5DFEBBAC">
        <w:tblPrEx>
          <w:tblCellMar>
            <w:top w:w="0" w:type="dxa"/>
            <w:left w:w="108" w:type="dxa"/>
            <w:bottom w:w="0" w:type="dxa"/>
            <w:right w:w="108" w:type="dxa"/>
          </w:tblCellMar>
        </w:tblPrEx>
        <w:trPr>
          <w:trHeight w:val="585" w:hRule="atLeast"/>
          <w:jc w:val="center"/>
        </w:trPr>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A13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主管部门</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722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广元市昭化区人民代表大会常务委员会办公室</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B9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实施单位</w:t>
            </w:r>
          </w:p>
        </w:tc>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9DA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广元市昭化区人民代表大会常务委员会办公室</w:t>
            </w:r>
          </w:p>
        </w:tc>
      </w:tr>
      <w:tr w14:paraId="7A4363F3">
        <w:tblPrEx>
          <w:tblCellMar>
            <w:top w:w="0" w:type="dxa"/>
            <w:left w:w="108" w:type="dxa"/>
            <w:bottom w:w="0" w:type="dxa"/>
            <w:right w:w="108" w:type="dxa"/>
          </w:tblCellMar>
        </w:tblPrEx>
        <w:trPr>
          <w:trHeight w:val="573" w:hRule="atLeast"/>
          <w:jc w:val="center"/>
        </w:trPr>
        <w:tc>
          <w:tcPr>
            <w:tcW w:w="1173"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8879D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项目（政策）资金（万元）</w:t>
            </w:r>
          </w:p>
        </w:tc>
        <w:tc>
          <w:tcPr>
            <w:tcW w:w="1788" w:type="dxa"/>
            <w:gridSpan w:val="2"/>
            <w:tcBorders>
              <w:top w:val="nil"/>
              <w:left w:val="single" w:color="000000" w:sz="4" w:space="0"/>
              <w:bottom w:val="single" w:color="000000" w:sz="4" w:space="0"/>
              <w:right w:val="single" w:color="000000" w:sz="4" w:space="0"/>
            </w:tcBorders>
            <w:shd w:val="clear" w:color="auto" w:fill="auto"/>
            <w:vAlign w:val="center"/>
          </w:tcPr>
          <w:p w14:paraId="493B8CB0">
            <w:pPr>
              <w:widowControl/>
              <w:spacing w:line="240" w:lineRule="exact"/>
              <w:jc w:val="center"/>
              <w:rPr>
                <w:rFonts w:ascii="宋体" w:hAnsi="宋体" w:cs="宋体"/>
                <w:color w:val="000000"/>
                <w:sz w:val="18"/>
                <w:szCs w:val="18"/>
              </w:rPr>
            </w:pPr>
          </w:p>
        </w:tc>
        <w:tc>
          <w:tcPr>
            <w:tcW w:w="929" w:type="dxa"/>
            <w:tcBorders>
              <w:top w:val="nil"/>
              <w:left w:val="single" w:color="000000" w:sz="4" w:space="0"/>
              <w:bottom w:val="single" w:color="000000" w:sz="4" w:space="0"/>
              <w:right w:val="single" w:color="000000" w:sz="4" w:space="0"/>
            </w:tcBorders>
            <w:shd w:val="clear" w:color="auto" w:fill="auto"/>
            <w:vAlign w:val="center"/>
          </w:tcPr>
          <w:p w14:paraId="0FD85B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年初预算数</w:t>
            </w:r>
          </w:p>
        </w:tc>
        <w:tc>
          <w:tcPr>
            <w:tcW w:w="1052" w:type="dxa"/>
            <w:tcBorders>
              <w:top w:val="nil"/>
              <w:left w:val="single" w:color="000000" w:sz="4" w:space="0"/>
              <w:bottom w:val="single" w:color="000000" w:sz="4" w:space="0"/>
              <w:right w:val="single" w:color="000000" w:sz="4" w:space="0"/>
            </w:tcBorders>
            <w:shd w:val="clear" w:color="auto" w:fill="auto"/>
            <w:vAlign w:val="center"/>
          </w:tcPr>
          <w:p w14:paraId="2339B851">
            <w:pPr>
              <w:widowControl/>
              <w:spacing w:line="240" w:lineRule="exact"/>
              <w:jc w:val="both"/>
              <w:textAlignment w:val="center"/>
              <w:rPr>
                <w:rFonts w:ascii="宋体" w:hAnsi="宋体" w:cs="宋体"/>
                <w:color w:val="000000"/>
                <w:sz w:val="18"/>
                <w:szCs w:val="18"/>
              </w:rPr>
            </w:pPr>
            <w:r>
              <w:rPr>
                <w:rFonts w:hint="eastAsia" w:ascii="宋体" w:hAnsi="宋体" w:cs="宋体"/>
                <w:color w:val="000000"/>
                <w:kern w:val="0"/>
                <w:sz w:val="18"/>
                <w:szCs w:val="18"/>
              </w:rPr>
              <w:t>全年预算数</w:t>
            </w:r>
          </w:p>
        </w:tc>
        <w:tc>
          <w:tcPr>
            <w:tcW w:w="1219" w:type="dxa"/>
            <w:tcBorders>
              <w:top w:val="nil"/>
              <w:left w:val="single" w:color="000000" w:sz="4" w:space="0"/>
              <w:bottom w:val="single" w:color="000000" w:sz="4" w:space="0"/>
              <w:right w:val="single" w:color="000000" w:sz="4" w:space="0"/>
            </w:tcBorders>
            <w:shd w:val="clear" w:color="auto" w:fill="auto"/>
            <w:vAlign w:val="center"/>
          </w:tcPr>
          <w:p w14:paraId="3FE89C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全年执行数</w:t>
            </w: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14:paraId="5F9459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执行率(%)</w:t>
            </w:r>
          </w:p>
        </w:tc>
      </w:tr>
      <w:tr w14:paraId="246E998C">
        <w:tblPrEx>
          <w:tblCellMar>
            <w:top w:w="0" w:type="dxa"/>
            <w:left w:w="108" w:type="dxa"/>
            <w:bottom w:w="0" w:type="dxa"/>
            <w:right w:w="108" w:type="dxa"/>
          </w:tblCellMar>
        </w:tblPrEx>
        <w:trPr>
          <w:trHeight w:val="372"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822F6BE">
            <w:pPr>
              <w:jc w:val="center"/>
              <w:rPr>
                <w:rFonts w:ascii="宋体" w:hAnsi="宋体" w:cs="宋体"/>
                <w:color w:val="000000"/>
                <w:sz w:val="18"/>
                <w:szCs w:val="18"/>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A17E9">
            <w:pPr>
              <w:widowControl/>
              <w:textAlignment w:val="center"/>
              <w:rPr>
                <w:rFonts w:ascii="宋体" w:hAnsi="宋体" w:cs="宋体"/>
                <w:color w:val="000000"/>
                <w:sz w:val="18"/>
                <w:szCs w:val="18"/>
              </w:rPr>
            </w:pPr>
            <w:r>
              <w:rPr>
                <w:rFonts w:hint="eastAsia" w:ascii="宋体" w:hAnsi="宋体" w:cs="宋体"/>
                <w:color w:val="000000"/>
                <w:kern w:val="0"/>
                <w:sz w:val="18"/>
                <w:szCs w:val="18"/>
              </w:rPr>
              <w:t>年度资金总额</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59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1297.76</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A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1297.76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62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1297.76</w:t>
            </w: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14:paraId="76CBE9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14:paraId="46DD0D22">
        <w:tblPrEx>
          <w:tblCellMar>
            <w:top w:w="0" w:type="dxa"/>
            <w:left w:w="108" w:type="dxa"/>
            <w:bottom w:w="0" w:type="dxa"/>
            <w:right w:w="108" w:type="dxa"/>
          </w:tblCellMar>
        </w:tblPrEx>
        <w:trPr>
          <w:trHeight w:val="468"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C1DAEA">
            <w:pPr>
              <w:jc w:val="center"/>
              <w:rPr>
                <w:rFonts w:ascii="宋体" w:hAnsi="宋体" w:cs="宋体"/>
                <w:color w:val="000000"/>
                <w:sz w:val="18"/>
                <w:szCs w:val="18"/>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812E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（一）财政拨款小计</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82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1297.76</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41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1297.76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80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1297.76</w:t>
            </w: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14:paraId="33B742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14:paraId="50020041">
        <w:tblPrEx>
          <w:tblCellMar>
            <w:top w:w="0" w:type="dxa"/>
            <w:left w:w="108" w:type="dxa"/>
            <w:bottom w:w="0" w:type="dxa"/>
            <w:right w:w="108" w:type="dxa"/>
          </w:tblCellMar>
        </w:tblPrEx>
        <w:trPr>
          <w:trHeight w:val="513"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557570">
            <w:pPr>
              <w:jc w:val="center"/>
              <w:rPr>
                <w:rFonts w:ascii="宋体" w:hAnsi="宋体" w:cs="宋体"/>
                <w:color w:val="000000"/>
                <w:sz w:val="18"/>
                <w:szCs w:val="18"/>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770E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1.一般公共预算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06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1297.76</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66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1297.76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5F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1297.76</w:t>
            </w: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14:paraId="1E25AC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14:paraId="21461B45">
        <w:tblPrEx>
          <w:tblCellMar>
            <w:top w:w="0" w:type="dxa"/>
            <w:left w:w="108" w:type="dxa"/>
            <w:bottom w:w="0" w:type="dxa"/>
            <w:right w:w="108" w:type="dxa"/>
          </w:tblCellMar>
        </w:tblPrEx>
        <w:trPr>
          <w:trHeight w:val="438"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8EF357">
            <w:pPr>
              <w:jc w:val="center"/>
              <w:rPr>
                <w:rFonts w:ascii="宋体" w:hAnsi="宋体" w:cs="宋体"/>
                <w:color w:val="000000"/>
                <w:sz w:val="18"/>
                <w:szCs w:val="18"/>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D563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2.政府性基金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FC94">
            <w:pPr>
              <w:jc w:val="center"/>
              <w:rPr>
                <w:rFonts w:ascii="宋体" w:hAnsi="宋体" w:cs="宋体"/>
                <w:color w:val="000000"/>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7216">
            <w:pPr>
              <w:jc w:val="center"/>
              <w:rPr>
                <w:rFonts w:ascii="宋体" w:hAnsi="宋体" w:cs="宋体"/>
                <w:color w:val="000000"/>
                <w:sz w:val="18"/>
                <w:szCs w:val="18"/>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B515">
            <w:pPr>
              <w:jc w:val="center"/>
              <w:rPr>
                <w:rFonts w:ascii="宋体" w:hAnsi="宋体" w:cs="宋体"/>
                <w:color w:val="000000"/>
                <w:sz w:val="18"/>
                <w:szCs w:val="18"/>
              </w:rPr>
            </w:pP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14:paraId="3001E04F">
            <w:pPr>
              <w:jc w:val="center"/>
              <w:rPr>
                <w:rFonts w:ascii="宋体" w:hAnsi="宋体" w:cs="宋体"/>
                <w:color w:val="000000"/>
                <w:sz w:val="18"/>
                <w:szCs w:val="18"/>
              </w:rPr>
            </w:pPr>
          </w:p>
        </w:tc>
      </w:tr>
      <w:tr w14:paraId="07F748BF">
        <w:tblPrEx>
          <w:tblCellMar>
            <w:top w:w="0" w:type="dxa"/>
            <w:left w:w="108" w:type="dxa"/>
            <w:bottom w:w="0" w:type="dxa"/>
            <w:right w:w="108" w:type="dxa"/>
          </w:tblCellMar>
        </w:tblPrEx>
        <w:trPr>
          <w:trHeight w:val="558"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31BF552">
            <w:pPr>
              <w:jc w:val="center"/>
              <w:rPr>
                <w:rFonts w:ascii="宋体" w:hAnsi="宋体" w:cs="宋体"/>
                <w:color w:val="000000"/>
                <w:sz w:val="18"/>
                <w:szCs w:val="18"/>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C48B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3.国有资本经营预算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EC29">
            <w:pPr>
              <w:jc w:val="left"/>
              <w:rPr>
                <w:rFonts w:ascii="宋体" w:hAnsi="宋体" w:cs="宋体"/>
                <w:color w:val="000000"/>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58E7">
            <w:pPr>
              <w:jc w:val="center"/>
              <w:rPr>
                <w:rFonts w:ascii="宋体" w:hAnsi="宋体" w:cs="宋体"/>
                <w:color w:val="000000"/>
                <w:sz w:val="18"/>
                <w:szCs w:val="18"/>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F275">
            <w:pPr>
              <w:jc w:val="center"/>
              <w:rPr>
                <w:rFonts w:ascii="宋体" w:hAnsi="宋体" w:cs="宋体"/>
                <w:color w:val="000000"/>
                <w:sz w:val="18"/>
                <w:szCs w:val="18"/>
              </w:rPr>
            </w:pP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14:paraId="2DACEC22">
            <w:pPr>
              <w:jc w:val="center"/>
              <w:rPr>
                <w:rFonts w:ascii="宋体" w:hAnsi="宋体" w:cs="宋体"/>
                <w:color w:val="000000"/>
                <w:sz w:val="18"/>
                <w:szCs w:val="18"/>
              </w:rPr>
            </w:pPr>
          </w:p>
        </w:tc>
      </w:tr>
      <w:tr w14:paraId="787384F3">
        <w:tblPrEx>
          <w:tblCellMar>
            <w:top w:w="0" w:type="dxa"/>
            <w:left w:w="108" w:type="dxa"/>
            <w:bottom w:w="0" w:type="dxa"/>
            <w:right w:w="108" w:type="dxa"/>
          </w:tblCellMar>
        </w:tblPrEx>
        <w:trPr>
          <w:trHeight w:val="412"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3341104">
            <w:pPr>
              <w:jc w:val="center"/>
              <w:rPr>
                <w:rFonts w:ascii="宋体" w:hAnsi="宋体" w:cs="宋体"/>
                <w:color w:val="000000"/>
                <w:sz w:val="18"/>
                <w:szCs w:val="18"/>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CA09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4.社保基金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F2F5">
            <w:pPr>
              <w:jc w:val="left"/>
              <w:rPr>
                <w:rFonts w:ascii="宋体" w:hAnsi="宋体" w:cs="宋体"/>
                <w:color w:val="000000"/>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A60">
            <w:pPr>
              <w:jc w:val="center"/>
              <w:rPr>
                <w:rFonts w:ascii="宋体" w:hAnsi="宋体" w:cs="宋体"/>
                <w:color w:val="000000"/>
                <w:sz w:val="18"/>
                <w:szCs w:val="18"/>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C56">
            <w:pPr>
              <w:jc w:val="center"/>
              <w:rPr>
                <w:rFonts w:ascii="宋体" w:hAnsi="宋体" w:cs="宋体"/>
                <w:color w:val="000000"/>
                <w:sz w:val="18"/>
                <w:szCs w:val="18"/>
              </w:rPr>
            </w:pP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14:paraId="7749B7BB">
            <w:pPr>
              <w:jc w:val="center"/>
              <w:rPr>
                <w:rFonts w:ascii="宋体" w:hAnsi="宋体" w:cs="宋体"/>
                <w:color w:val="000000"/>
                <w:sz w:val="18"/>
                <w:szCs w:val="18"/>
              </w:rPr>
            </w:pPr>
          </w:p>
        </w:tc>
      </w:tr>
      <w:tr w14:paraId="2543532B">
        <w:tblPrEx>
          <w:tblCellMar>
            <w:top w:w="0" w:type="dxa"/>
            <w:left w:w="108" w:type="dxa"/>
            <w:bottom w:w="0" w:type="dxa"/>
            <w:right w:w="108" w:type="dxa"/>
          </w:tblCellMar>
        </w:tblPrEx>
        <w:trPr>
          <w:trHeight w:val="412"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55CDC2">
            <w:pPr>
              <w:jc w:val="center"/>
              <w:rPr>
                <w:rFonts w:ascii="宋体" w:hAnsi="宋体" w:cs="宋体"/>
                <w:color w:val="000000"/>
                <w:sz w:val="18"/>
                <w:szCs w:val="18"/>
              </w:rPr>
            </w:pPr>
          </w:p>
        </w:tc>
        <w:tc>
          <w:tcPr>
            <w:tcW w:w="1788" w:type="dxa"/>
            <w:gridSpan w:val="2"/>
            <w:tcBorders>
              <w:top w:val="single" w:color="000000" w:sz="4" w:space="0"/>
              <w:left w:val="single" w:color="000000" w:sz="4" w:space="0"/>
              <w:bottom w:val="nil"/>
              <w:right w:val="single" w:color="000000" w:sz="4" w:space="0"/>
            </w:tcBorders>
            <w:shd w:val="clear" w:color="auto" w:fill="auto"/>
            <w:vAlign w:val="center"/>
          </w:tcPr>
          <w:p w14:paraId="083907E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（二）其他资金</w:t>
            </w:r>
          </w:p>
        </w:tc>
        <w:tc>
          <w:tcPr>
            <w:tcW w:w="929" w:type="dxa"/>
            <w:tcBorders>
              <w:top w:val="single" w:color="000000" w:sz="4" w:space="0"/>
              <w:left w:val="single" w:color="000000" w:sz="4" w:space="0"/>
              <w:bottom w:val="nil"/>
              <w:right w:val="single" w:color="000000" w:sz="4" w:space="0"/>
            </w:tcBorders>
            <w:shd w:val="clear" w:color="auto" w:fill="auto"/>
            <w:vAlign w:val="center"/>
          </w:tcPr>
          <w:p w14:paraId="751578E4">
            <w:pPr>
              <w:rPr>
                <w:rFonts w:ascii="宋体" w:hAnsi="宋体" w:cs="宋体"/>
                <w:color w:val="000000"/>
                <w:sz w:val="18"/>
                <w:szCs w:val="18"/>
              </w:rPr>
            </w:pPr>
          </w:p>
        </w:tc>
        <w:tc>
          <w:tcPr>
            <w:tcW w:w="1052" w:type="dxa"/>
            <w:tcBorders>
              <w:top w:val="single" w:color="000000" w:sz="4" w:space="0"/>
              <w:left w:val="single" w:color="000000" w:sz="4" w:space="0"/>
              <w:bottom w:val="nil"/>
              <w:right w:val="single" w:color="000000" w:sz="4" w:space="0"/>
            </w:tcBorders>
            <w:shd w:val="clear" w:color="auto" w:fill="auto"/>
            <w:vAlign w:val="center"/>
          </w:tcPr>
          <w:p w14:paraId="23746DBC">
            <w:pPr>
              <w:jc w:val="center"/>
              <w:rPr>
                <w:rFonts w:ascii="宋体" w:hAnsi="宋体" w:cs="宋体"/>
                <w:color w:val="000000"/>
                <w:sz w:val="18"/>
                <w:szCs w:val="18"/>
              </w:rPr>
            </w:pP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0E72E504">
            <w:pPr>
              <w:jc w:val="center"/>
              <w:rPr>
                <w:rFonts w:ascii="宋体" w:hAnsi="宋体" w:cs="宋体"/>
                <w:color w:val="000000"/>
                <w:sz w:val="18"/>
                <w:szCs w:val="18"/>
              </w:rPr>
            </w:pPr>
          </w:p>
        </w:tc>
        <w:tc>
          <w:tcPr>
            <w:tcW w:w="3159" w:type="dxa"/>
            <w:gridSpan w:val="3"/>
            <w:tcBorders>
              <w:top w:val="nil"/>
              <w:left w:val="single" w:color="000000" w:sz="4" w:space="0"/>
              <w:bottom w:val="nil"/>
              <w:right w:val="single" w:color="000000" w:sz="4" w:space="0"/>
            </w:tcBorders>
            <w:shd w:val="clear" w:color="auto" w:fill="auto"/>
            <w:vAlign w:val="center"/>
          </w:tcPr>
          <w:p w14:paraId="07CD9F9B">
            <w:pPr>
              <w:jc w:val="center"/>
              <w:rPr>
                <w:rFonts w:ascii="宋体" w:hAnsi="宋体" w:cs="宋体"/>
                <w:color w:val="000000"/>
                <w:sz w:val="18"/>
                <w:szCs w:val="18"/>
              </w:rPr>
            </w:pPr>
          </w:p>
        </w:tc>
      </w:tr>
      <w:tr w14:paraId="5A98F80F">
        <w:tblPrEx>
          <w:tblCellMar>
            <w:top w:w="0" w:type="dxa"/>
            <w:left w:w="108" w:type="dxa"/>
            <w:bottom w:w="0" w:type="dxa"/>
            <w:right w:w="108" w:type="dxa"/>
          </w:tblCellMar>
        </w:tblPrEx>
        <w:trPr>
          <w:trHeight w:val="412"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0878D">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整体</w:t>
            </w:r>
          </w:p>
          <w:p w14:paraId="639340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w:t>
            </w:r>
          </w:p>
        </w:tc>
        <w:tc>
          <w:tcPr>
            <w:tcW w:w="43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E53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年度目标</w:t>
            </w:r>
          </w:p>
        </w:tc>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C06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完成情况</w:t>
            </w:r>
          </w:p>
        </w:tc>
      </w:tr>
      <w:tr w14:paraId="05A9414C">
        <w:tblPrEx>
          <w:tblCellMar>
            <w:top w:w="0" w:type="dxa"/>
            <w:left w:w="108" w:type="dxa"/>
            <w:bottom w:w="0" w:type="dxa"/>
            <w:right w:w="108" w:type="dxa"/>
          </w:tblCellMar>
        </w:tblPrEx>
        <w:trPr>
          <w:trHeight w:val="3744" w:hRule="atLeast"/>
          <w:jc w:val="center"/>
        </w:trPr>
        <w:tc>
          <w:tcPr>
            <w:tcW w:w="58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6DA0F69">
            <w:pPr>
              <w:jc w:val="center"/>
              <w:rPr>
                <w:rFonts w:ascii="宋体" w:hAnsi="宋体" w:cs="宋体"/>
                <w:color w:val="000000"/>
                <w:sz w:val="18"/>
                <w:szCs w:val="18"/>
              </w:rPr>
            </w:pPr>
          </w:p>
        </w:tc>
        <w:tc>
          <w:tcPr>
            <w:tcW w:w="4353" w:type="dxa"/>
            <w:gridSpan w:val="5"/>
            <w:tcBorders>
              <w:top w:val="single" w:color="000000" w:sz="4" w:space="0"/>
              <w:left w:val="single" w:color="000000" w:sz="4" w:space="0"/>
              <w:bottom w:val="single" w:color="000000" w:sz="4" w:space="0"/>
              <w:right w:val="nil"/>
            </w:tcBorders>
            <w:shd w:val="clear" w:color="auto" w:fill="auto"/>
            <w:vAlign w:val="center"/>
          </w:tcPr>
          <w:p w14:paraId="330513A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全面落实中央人大工作会议精神，在区委的坚强领导下，自觉担负起新时代赋予人大的历史使命，主动作为，奋发进取，坚定不移发展全过程人民民主，切实增强监督实效，强化代表履职担当，持之以恒建设“四个机关”，奋力谱写人大工作崭新篇章，为全面建设“四城新区”作出更大贡献。高质量完成区八届二次人代会、人大常委会、主任会议等的筹备、服务保障、会议召开及宣传工作；行使好决定权、监督权、任免权等职能职权；做好人大信访、调研、视察，人大代表管理，退休干部管理等工作。会议按期完成及时率达到100%，各项工作按期完成及时率达到100%，确保各部门及参会人员满意度均达到100%。</w:t>
            </w:r>
          </w:p>
        </w:tc>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C1E5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2023年通过各项经费的使用，保障了干部职工的基本利益，提高了干部职工的工作积极性和责任心，保障了各项工作的高效进行，为单位高效运转提供了坚定保障，实现了年初制定的目标任务。从完成效果来看，较好</w:t>
            </w:r>
            <w:r>
              <w:rPr>
                <w:rFonts w:hint="eastAsia" w:ascii="宋体" w:hAnsi="宋体" w:cs="宋体"/>
                <w:color w:val="000000"/>
                <w:kern w:val="0"/>
                <w:sz w:val="18"/>
                <w:szCs w:val="18"/>
                <w:lang w:eastAsia="zh-CN"/>
              </w:rPr>
              <w:t>地</w:t>
            </w:r>
            <w:r>
              <w:rPr>
                <w:rFonts w:hint="eastAsia" w:ascii="宋体" w:hAnsi="宋体" w:cs="宋体"/>
                <w:color w:val="000000"/>
                <w:kern w:val="0"/>
                <w:sz w:val="18"/>
                <w:szCs w:val="18"/>
              </w:rPr>
              <w:t>达到了预期目标。因此，从项目决策、项目管理、项目完成和项目效果来看，都较好地达到了预期的效果。</w:t>
            </w:r>
          </w:p>
        </w:tc>
      </w:tr>
      <w:tr w14:paraId="32358AC5">
        <w:tblPrEx>
          <w:tblCellMar>
            <w:top w:w="0" w:type="dxa"/>
            <w:left w:w="108" w:type="dxa"/>
            <w:bottom w:w="0" w:type="dxa"/>
            <w:right w:w="108" w:type="dxa"/>
          </w:tblCellMar>
        </w:tblPrEx>
        <w:trPr>
          <w:trHeight w:val="629" w:hRule="atLeast"/>
          <w:jc w:val="center"/>
        </w:trPr>
        <w:tc>
          <w:tcPr>
            <w:tcW w:w="5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8522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部门整体绩效指标</w:t>
            </w:r>
          </w:p>
        </w:tc>
        <w:tc>
          <w:tcPr>
            <w:tcW w:w="100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D15B49D">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3CC2">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C956D">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6B79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年度指标值</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F0E">
            <w:pPr>
              <w:widowControl/>
              <w:jc w:val="center"/>
              <w:textAlignment w:val="center"/>
              <w:rPr>
                <w:rFonts w:ascii="宋体" w:hAnsi="宋体" w:cs="宋体"/>
                <w:color w:val="000000"/>
                <w:sz w:val="18"/>
                <w:szCs w:val="18"/>
              </w:rPr>
            </w:pPr>
            <w:r>
              <w:rPr>
                <w:rFonts w:ascii="宋体" w:hAnsi="宋体" w:cs="宋体"/>
                <w:color w:val="000000"/>
                <w:kern w:val="0"/>
                <w:sz w:val="18"/>
                <w:szCs w:val="18"/>
              </w:rPr>
              <w:t>实际完成值</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F4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偏差原因分析及改进措施</w:t>
            </w:r>
          </w:p>
        </w:tc>
      </w:tr>
      <w:tr w14:paraId="73AC9F76">
        <w:tblPrEx>
          <w:tblCellMar>
            <w:top w:w="0" w:type="dxa"/>
            <w:left w:w="108" w:type="dxa"/>
            <w:bottom w:w="0" w:type="dxa"/>
            <w:right w:w="108" w:type="dxa"/>
          </w:tblCellMar>
        </w:tblPrEx>
        <w:trPr>
          <w:trHeight w:val="588"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9AD6A">
            <w:pPr>
              <w:jc w:val="center"/>
              <w:rPr>
                <w:rFonts w:ascii="宋体" w:hAnsi="宋体" w:cs="宋体"/>
                <w:color w:val="000000"/>
                <w:sz w:val="18"/>
                <w:szCs w:val="18"/>
              </w:rPr>
            </w:pPr>
          </w:p>
        </w:tc>
        <w:tc>
          <w:tcPr>
            <w:tcW w:w="1004" w:type="dxa"/>
            <w:gridSpan w:val="2"/>
            <w:vMerge w:val="restart"/>
            <w:tcBorders>
              <w:top w:val="single" w:color="000000" w:sz="4" w:space="0"/>
              <w:left w:val="single" w:color="auto" w:sz="4" w:space="0"/>
              <w:right w:val="single" w:color="000000" w:sz="4" w:space="0"/>
            </w:tcBorders>
            <w:shd w:val="clear" w:color="auto" w:fill="auto"/>
            <w:vAlign w:val="center"/>
          </w:tcPr>
          <w:p w14:paraId="017FE857">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2B9D1">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D25A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人大常委会例会、主任会议次数</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35ACC">
            <w:pPr>
              <w:widowControl/>
              <w:jc w:val="left"/>
              <w:textAlignment w:val="center"/>
              <w:rPr>
                <w:rFonts w:ascii="宋体" w:hAnsi="宋体" w:cs="宋体"/>
                <w:color w:val="000000"/>
                <w:sz w:val="18"/>
                <w:szCs w:val="18"/>
              </w:rPr>
            </w:pPr>
            <w:r>
              <w:rPr>
                <w:rFonts w:ascii="宋体" w:hAnsi="宋体" w:cs="宋体"/>
                <w:color w:val="000000"/>
                <w:kern w:val="0"/>
                <w:sz w:val="18"/>
                <w:szCs w:val="18"/>
              </w:rPr>
              <w:t>＝12次</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6844">
            <w:pPr>
              <w:widowControl/>
              <w:jc w:val="left"/>
              <w:textAlignment w:val="center"/>
              <w:rPr>
                <w:rFonts w:ascii="宋体" w:hAnsi="宋体" w:cs="宋体"/>
                <w:color w:val="000000"/>
                <w:sz w:val="18"/>
                <w:szCs w:val="18"/>
              </w:rPr>
            </w:pPr>
            <w:r>
              <w:rPr>
                <w:rFonts w:ascii="宋体" w:hAnsi="宋体" w:cs="宋体"/>
                <w:color w:val="000000"/>
                <w:kern w:val="0"/>
                <w:sz w:val="18"/>
                <w:szCs w:val="18"/>
              </w:rPr>
              <w:t>12次</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172A">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13657A77">
        <w:tblPrEx>
          <w:tblCellMar>
            <w:top w:w="0" w:type="dxa"/>
            <w:left w:w="108" w:type="dxa"/>
            <w:bottom w:w="0" w:type="dxa"/>
            <w:right w:w="108" w:type="dxa"/>
          </w:tblCellMar>
        </w:tblPrEx>
        <w:trPr>
          <w:trHeight w:val="523"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918C1">
            <w:pPr>
              <w:jc w:val="center"/>
              <w:rPr>
                <w:rFonts w:ascii="宋体" w:hAnsi="宋体" w:cs="宋体"/>
                <w:color w:val="000000"/>
                <w:sz w:val="18"/>
                <w:szCs w:val="18"/>
              </w:rPr>
            </w:pPr>
          </w:p>
        </w:tc>
        <w:tc>
          <w:tcPr>
            <w:tcW w:w="1004" w:type="dxa"/>
            <w:gridSpan w:val="2"/>
            <w:vMerge w:val="continue"/>
            <w:tcBorders>
              <w:left w:val="single" w:color="auto" w:sz="4" w:space="0"/>
              <w:right w:val="single" w:color="000000" w:sz="4" w:space="0"/>
            </w:tcBorders>
            <w:shd w:val="clear" w:color="auto" w:fill="auto"/>
            <w:vAlign w:val="center"/>
          </w:tcPr>
          <w:p w14:paraId="05E39CAB">
            <w:pPr>
              <w:jc w:val="left"/>
              <w:rPr>
                <w:rFonts w:ascii="宋体" w:hAnsi="宋体" w:cs="宋体"/>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ED00">
            <w:pPr>
              <w:jc w:val="left"/>
              <w:rPr>
                <w:rFonts w:ascii="宋体" w:hAnsi="宋体" w:cs="宋体"/>
                <w:color w:val="000000"/>
                <w:sz w:val="18"/>
                <w:szCs w:val="18"/>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0EDA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异地人大代表工作站数量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4AD8F">
            <w:pPr>
              <w:widowControl/>
              <w:jc w:val="left"/>
              <w:textAlignment w:val="center"/>
              <w:rPr>
                <w:rFonts w:ascii="宋体" w:hAnsi="宋体" w:cs="宋体"/>
                <w:color w:val="000000"/>
                <w:sz w:val="18"/>
                <w:szCs w:val="18"/>
              </w:rPr>
            </w:pPr>
            <w:r>
              <w:rPr>
                <w:rFonts w:ascii="宋体" w:hAnsi="宋体" w:cs="宋体"/>
                <w:color w:val="000000"/>
                <w:kern w:val="0"/>
                <w:sz w:val="18"/>
                <w:szCs w:val="18"/>
              </w:rPr>
              <w:t>＝4个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E7FE">
            <w:pPr>
              <w:widowControl/>
              <w:jc w:val="left"/>
              <w:textAlignment w:val="center"/>
              <w:rPr>
                <w:rFonts w:ascii="宋体" w:hAnsi="宋体" w:cs="宋体"/>
                <w:color w:val="000000"/>
                <w:sz w:val="18"/>
                <w:szCs w:val="18"/>
              </w:rPr>
            </w:pPr>
            <w:r>
              <w:rPr>
                <w:rFonts w:ascii="宋体" w:hAnsi="宋体" w:cs="宋体"/>
                <w:color w:val="000000"/>
                <w:kern w:val="0"/>
                <w:sz w:val="18"/>
                <w:szCs w:val="18"/>
              </w:rPr>
              <w:t>4个</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1221">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106567D3">
        <w:tblPrEx>
          <w:tblCellMar>
            <w:top w:w="0" w:type="dxa"/>
            <w:left w:w="108" w:type="dxa"/>
            <w:bottom w:w="0" w:type="dxa"/>
            <w:right w:w="108" w:type="dxa"/>
          </w:tblCellMar>
        </w:tblPrEx>
        <w:trPr>
          <w:trHeight w:val="553"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C2F09">
            <w:pPr>
              <w:jc w:val="center"/>
              <w:rPr>
                <w:rFonts w:ascii="宋体" w:hAnsi="宋体" w:cs="宋体"/>
                <w:color w:val="000000"/>
                <w:sz w:val="18"/>
                <w:szCs w:val="18"/>
              </w:rPr>
            </w:pPr>
          </w:p>
        </w:tc>
        <w:tc>
          <w:tcPr>
            <w:tcW w:w="1004" w:type="dxa"/>
            <w:gridSpan w:val="2"/>
            <w:vMerge w:val="continue"/>
            <w:tcBorders>
              <w:left w:val="single" w:color="auto" w:sz="4" w:space="0"/>
              <w:right w:val="single" w:color="000000" w:sz="4" w:space="0"/>
            </w:tcBorders>
            <w:shd w:val="clear" w:color="auto" w:fill="auto"/>
            <w:vAlign w:val="center"/>
          </w:tcPr>
          <w:p w14:paraId="2EA01380">
            <w:pPr>
              <w:jc w:val="left"/>
              <w:rPr>
                <w:rFonts w:ascii="宋体" w:hAnsi="宋体" w:cs="宋体"/>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F34E">
            <w:pPr>
              <w:jc w:val="left"/>
              <w:rPr>
                <w:rFonts w:ascii="宋体" w:hAnsi="宋体" w:cs="宋体"/>
                <w:color w:val="000000"/>
                <w:sz w:val="18"/>
                <w:szCs w:val="18"/>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5DE9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预算执行在线监督一级预算单位数量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C933D">
            <w:pPr>
              <w:widowControl/>
              <w:jc w:val="left"/>
              <w:textAlignment w:val="center"/>
              <w:rPr>
                <w:rFonts w:ascii="宋体" w:hAnsi="宋体" w:cs="宋体"/>
                <w:color w:val="000000"/>
                <w:sz w:val="18"/>
                <w:szCs w:val="18"/>
              </w:rPr>
            </w:pPr>
            <w:r>
              <w:rPr>
                <w:rFonts w:ascii="宋体" w:hAnsi="宋体" w:cs="宋体"/>
                <w:color w:val="000000"/>
                <w:kern w:val="0"/>
                <w:sz w:val="18"/>
                <w:szCs w:val="18"/>
              </w:rPr>
              <w:t>＝75个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68CB">
            <w:pPr>
              <w:widowControl/>
              <w:jc w:val="left"/>
              <w:textAlignment w:val="center"/>
              <w:rPr>
                <w:rFonts w:ascii="宋体" w:hAnsi="宋体" w:cs="宋体"/>
                <w:color w:val="000000"/>
                <w:sz w:val="18"/>
                <w:szCs w:val="18"/>
              </w:rPr>
            </w:pPr>
            <w:r>
              <w:rPr>
                <w:rFonts w:ascii="宋体" w:hAnsi="宋体" w:cs="宋体"/>
                <w:color w:val="000000"/>
                <w:kern w:val="0"/>
                <w:sz w:val="18"/>
                <w:szCs w:val="18"/>
              </w:rPr>
              <w:t>75个</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4997">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62F0FE90">
        <w:tblPrEx>
          <w:tblCellMar>
            <w:top w:w="0" w:type="dxa"/>
            <w:left w:w="108" w:type="dxa"/>
            <w:bottom w:w="0" w:type="dxa"/>
            <w:right w:w="108" w:type="dxa"/>
          </w:tblCellMar>
        </w:tblPrEx>
        <w:trPr>
          <w:trHeight w:val="441"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18723">
            <w:pPr>
              <w:jc w:val="center"/>
              <w:rPr>
                <w:rFonts w:ascii="宋体" w:hAnsi="宋体" w:cs="宋体"/>
                <w:color w:val="000000"/>
                <w:sz w:val="18"/>
                <w:szCs w:val="18"/>
              </w:rPr>
            </w:pPr>
          </w:p>
        </w:tc>
        <w:tc>
          <w:tcPr>
            <w:tcW w:w="1004" w:type="dxa"/>
            <w:gridSpan w:val="2"/>
            <w:vMerge w:val="continue"/>
            <w:tcBorders>
              <w:left w:val="single" w:color="auto" w:sz="4" w:space="0"/>
              <w:right w:val="single" w:color="000000" w:sz="4" w:space="0"/>
            </w:tcBorders>
            <w:shd w:val="clear" w:color="auto" w:fill="auto"/>
            <w:vAlign w:val="center"/>
          </w:tcPr>
          <w:p w14:paraId="16FA8664">
            <w:pPr>
              <w:jc w:val="left"/>
              <w:rPr>
                <w:rFonts w:ascii="宋体" w:hAnsi="宋体" w:cs="宋体"/>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6423">
            <w:pPr>
              <w:jc w:val="left"/>
              <w:rPr>
                <w:rFonts w:ascii="宋体" w:hAnsi="宋体" w:cs="宋体"/>
                <w:color w:val="000000"/>
                <w:sz w:val="18"/>
                <w:szCs w:val="18"/>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B35A">
            <w:pPr>
              <w:widowControl/>
              <w:jc w:val="left"/>
              <w:textAlignment w:val="center"/>
              <w:rPr>
                <w:rFonts w:ascii="宋体" w:hAnsi="宋体" w:cs="宋体"/>
                <w:color w:val="000000"/>
                <w:sz w:val="18"/>
                <w:szCs w:val="18"/>
              </w:rPr>
            </w:pPr>
            <w:r>
              <w:rPr>
                <w:rFonts w:ascii="宋体" w:hAnsi="宋体" w:cs="宋体"/>
                <w:color w:val="000000"/>
                <w:kern w:val="0"/>
                <w:sz w:val="18"/>
                <w:szCs w:val="18"/>
              </w:rPr>
              <w:t>在职干部数量</w:t>
            </w:r>
          </w:p>
        </w:tc>
        <w:tc>
          <w:tcPr>
            <w:tcW w:w="1722" w:type="dxa"/>
            <w:gridSpan w:val="2"/>
            <w:tcBorders>
              <w:top w:val="nil"/>
              <w:left w:val="single" w:color="000000" w:sz="4" w:space="0"/>
              <w:bottom w:val="single" w:color="000000" w:sz="4" w:space="0"/>
              <w:right w:val="single" w:color="000000" w:sz="4" w:space="0"/>
            </w:tcBorders>
            <w:shd w:val="clear" w:color="auto" w:fill="auto"/>
            <w:vAlign w:val="center"/>
          </w:tcPr>
          <w:p w14:paraId="3FF7FC2E">
            <w:pPr>
              <w:widowControl/>
              <w:jc w:val="left"/>
              <w:textAlignment w:val="center"/>
              <w:rPr>
                <w:rFonts w:ascii="宋体" w:hAnsi="宋体" w:cs="宋体"/>
                <w:color w:val="000000"/>
                <w:sz w:val="18"/>
                <w:szCs w:val="18"/>
              </w:rPr>
            </w:pPr>
            <w:r>
              <w:rPr>
                <w:rFonts w:ascii="宋体" w:hAnsi="宋体" w:cs="宋体"/>
                <w:color w:val="000000"/>
                <w:kern w:val="0"/>
                <w:sz w:val="18"/>
                <w:szCs w:val="18"/>
              </w:rPr>
              <w:t>49个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71FD">
            <w:pPr>
              <w:widowControl/>
              <w:jc w:val="left"/>
              <w:textAlignment w:val="center"/>
              <w:rPr>
                <w:rFonts w:ascii="宋体" w:hAnsi="宋体" w:cs="宋体"/>
                <w:color w:val="000000"/>
                <w:sz w:val="18"/>
                <w:szCs w:val="18"/>
              </w:rPr>
            </w:pPr>
            <w:r>
              <w:rPr>
                <w:rFonts w:ascii="宋体" w:hAnsi="宋体" w:cs="宋体"/>
                <w:color w:val="000000"/>
                <w:kern w:val="0"/>
                <w:sz w:val="18"/>
                <w:szCs w:val="18"/>
              </w:rPr>
              <w:t>49个</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9C97">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4C29C329">
        <w:tblPrEx>
          <w:tblCellMar>
            <w:top w:w="0" w:type="dxa"/>
            <w:left w:w="108" w:type="dxa"/>
            <w:bottom w:w="0" w:type="dxa"/>
            <w:right w:w="108" w:type="dxa"/>
          </w:tblCellMar>
        </w:tblPrEx>
        <w:trPr>
          <w:trHeight w:val="446"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D30A2">
            <w:pPr>
              <w:jc w:val="center"/>
              <w:rPr>
                <w:rFonts w:ascii="宋体" w:hAnsi="宋体" w:cs="宋体"/>
                <w:color w:val="000000"/>
                <w:sz w:val="18"/>
                <w:szCs w:val="18"/>
              </w:rPr>
            </w:pPr>
          </w:p>
        </w:tc>
        <w:tc>
          <w:tcPr>
            <w:tcW w:w="1004" w:type="dxa"/>
            <w:gridSpan w:val="2"/>
            <w:vMerge w:val="continue"/>
            <w:tcBorders>
              <w:left w:val="single" w:color="auto" w:sz="4" w:space="0"/>
              <w:bottom w:val="single" w:color="000000" w:sz="4" w:space="0"/>
              <w:right w:val="single" w:color="000000" w:sz="4" w:space="0"/>
            </w:tcBorders>
            <w:shd w:val="clear" w:color="auto" w:fill="auto"/>
            <w:vAlign w:val="center"/>
          </w:tcPr>
          <w:p w14:paraId="0E45A438">
            <w:pPr>
              <w:jc w:val="left"/>
              <w:rPr>
                <w:rFonts w:ascii="宋体" w:hAnsi="宋体" w:cs="宋体"/>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74E1">
            <w:pPr>
              <w:jc w:val="left"/>
              <w:rPr>
                <w:rFonts w:ascii="宋体" w:hAnsi="宋体" w:cs="宋体"/>
                <w:color w:val="000000"/>
                <w:sz w:val="18"/>
                <w:szCs w:val="18"/>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D9950">
            <w:pPr>
              <w:widowControl/>
              <w:jc w:val="left"/>
              <w:textAlignment w:val="center"/>
              <w:rPr>
                <w:rFonts w:ascii="宋体" w:hAnsi="宋体" w:cs="宋体"/>
                <w:color w:val="000000"/>
                <w:sz w:val="18"/>
                <w:szCs w:val="18"/>
              </w:rPr>
            </w:pPr>
            <w:r>
              <w:rPr>
                <w:rFonts w:ascii="宋体" w:hAnsi="宋体" w:cs="宋体"/>
                <w:color w:val="000000"/>
                <w:kern w:val="0"/>
                <w:sz w:val="18"/>
                <w:szCs w:val="18"/>
              </w:rPr>
              <w:t>专委会</w:t>
            </w:r>
            <w:r>
              <w:rPr>
                <w:rFonts w:hint="eastAsia" w:ascii="宋体" w:hAnsi="宋体" w:cs="宋体"/>
                <w:color w:val="000000"/>
                <w:kern w:val="0"/>
                <w:sz w:val="18"/>
                <w:szCs w:val="18"/>
                <w:lang w:eastAsia="zh-CN"/>
              </w:rPr>
              <w:t>和</w:t>
            </w:r>
            <w:r>
              <w:rPr>
                <w:rFonts w:ascii="宋体" w:hAnsi="宋体" w:cs="宋体"/>
                <w:color w:val="000000"/>
                <w:kern w:val="0"/>
                <w:sz w:val="18"/>
                <w:szCs w:val="18"/>
              </w:rPr>
              <w:t>委室</w:t>
            </w:r>
            <w:r>
              <w:rPr>
                <w:rFonts w:hint="eastAsia" w:ascii="宋体" w:hAnsi="宋体" w:cs="宋体"/>
                <w:color w:val="000000"/>
                <w:kern w:val="0"/>
                <w:sz w:val="18"/>
                <w:szCs w:val="18"/>
                <w:lang w:eastAsia="zh-CN"/>
              </w:rPr>
              <w:t>的</w:t>
            </w:r>
            <w:r>
              <w:rPr>
                <w:rFonts w:ascii="宋体" w:hAnsi="宋体" w:cs="宋体"/>
                <w:color w:val="000000"/>
                <w:kern w:val="0"/>
                <w:sz w:val="18"/>
                <w:szCs w:val="18"/>
              </w:rPr>
              <w:t>数量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19EE8">
            <w:pPr>
              <w:widowControl/>
              <w:jc w:val="left"/>
              <w:textAlignment w:val="center"/>
              <w:rPr>
                <w:rFonts w:ascii="宋体" w:hAnsi="宋体" w:cs="宋体"/>
                <w:color w:val="000000"/>
                <w:sz w:val="18"/>
                <w:szCs w:val="18"/>
              </w:rPr>
            </w:pPr>
            <w:r>
              <w:rPr>
                <w:rFonts w:ascii="宋体" w:hAnsi="宋体" w:cs="宋体"/>
                <w:color w:val="000000"/>
                <w:kern w:val="0"/>
                <w:sz w:val="18"/>
                <w:szCs w:val="18"/>
              </w:rPr>
              <w:t>12个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FD5">
            <w:pPr>
              <w:widowControl/>
              <w:jc w:val="left"/>
              <w:textAlignment w:val="center"/>
              <w:rPr>
                <w:rFonts w:ascii="宋体" w:hAnsi="宋体" w:cs="宋体"/>
                <w:color w:val="000000"/>
                <w:sz w:val="18"/>
                <w:szCs w:val="18"/>
              </w:rPr>
            </w:pPr>
            <w:r>
              <w:rPr>
                <w:rFonts w:ascii="宋体" w:hAnsi="宋体" w:cs="宋体"/>
                <w:color w:val="000000"/>
                <w:kern w:val="0"/>
                <w:sz w:val="18"/>
                <w:szCs w:val="18"/>
              </w:rPr>
              <w:t>12个</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1DCC">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589A0CA2">
        <w:tblPrEx>
          <w:tblCellMar>
            <w:top w:w="0" w:type="dxa"/>
            <w:left w:w="108" w:type="dxa"/>
            <w:bottom w:w="0" w:type="dxa"/>
            <w:right w:w="108" w:type="dxa"/>
          </w:tblCellMar>
        </w:tblPrEx>
        <w:trPr>
          <w:trHeight w:val="667" w:hRule="atLeast"/>
          <w:jc w:val="center"/>
        </w:trPr>
        <w:tc>
          <w:tcPr>
            <w:tcW w:w="5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F7E48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部门整体绩效指标</w:t>
            </w:r>
          </w:p>
        </w:tc>
        <w:tc>
          <w:tcPr>
            <w:tcW w:w="1004" w:type="dxa"/>
            <w:gridSpan w:val="2"/>
            <w:vMerge w:val="restart"/>
            <w:tcBorders>
              <w:top w:val="single" w:color="000000" w:sz="4" w:space="0"/>
              <w:left w:val="nil"/>
              <w:right w:val="single" w:color="000000" w:sz="4" w:space="0"/>
            </w:tcBorders>
            <w:shd w:val="clear" w:color="auto" w:fill="auto"/>
            <w:vAlign w:val="center"/>
          </w:tcPr>
          <w:p w14:paraId="492B19C4">
            <w:pPr>
              <w:jc w:val="left"/>
              <w:rPr>
                <w:rFonts w:ascii="宋体" w:hAnsi="宋体" w:cs="宋体"/>
                <w:color w:val="000000"/>
                <w:sz w:val="18"/>
                <w:szCs w:val="18"/>
              </w:rPr>
            </w:pPr>
            <w:r>
              <w:rPr>
                <w:rFonts w:ascii="宋体" w:hAnsi="宋体" w:cs="宋体"/>
                <w:color w:val="000000"/>
                <w:kern w:val="0"/>
                <w:sz w:val="18"/>
                <w:szCs w:val="18"/>
              </w:rPr>
              <w:t>产出指标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0C45">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4427D">
            <w:pPr>
              <w:widowControl/>
              <w:jc w:val="left"/>
              <w:textAlignment w:val="center"/>
              <w:rPr>
                <w:rFonts w:ascii="宋体" w:hAnsi="宋体" w:cs="宋体"/>
                <w:color w:val="000000"/>
                <w:sz w:val="18"/>
                <w:szCs w:val="18"/>
              </w:rPr>
            </w:pPr>
            <w:r>
              <w:rPr>
                <w:rFonts w:ascii="宋体" w:hAnsi="宋体" w:cs="宋体"/>
                <w:color w:val="000000"/>
                <w:kern w:val="0"/>
                <w:sz w:val="18"/>
                <w:szCs w:val="18"/>
              </w:rPr>
              <w:t>各项工作完成率</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A1BE9">
            <w:pPr>
              <w:widowControl/>
              <w:jc w:val="left"/>
              <w:textAlignment w:val="center"/>
              <w:rPr>
                <w:rFonts w:ascii="宋体" w:hAnsi="宋体" w:cs="宋体"/>
                <w:color w:val="000000"/>
                <w:sz w:val="18"/>
                <w:szCs w:val="18"/>
              </w:rPr>
            </w:pPr>
            <w:r>
              <w:rPr>
                <w:rFonts w:ascii="宋体" w:hAnsi="宋体" w:cs="宋体"/>
                <w:color w:val="000000"/>
                <w:kern w:val="0"/>
                <w:sz w:val="18"/>
                <w:szCs w:val="18"/>
              </w:rPr>
              <w:t>定性优</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5F3A">
            <w:pPr>
              <w:widowControl/>
              <w:jc w:val="left"/>
              <w:textAlignment w:val="center"/>
              <w:rPr>
                <w:rFonts w:ascii="宋体" w:hAnsi="宋体" w:cs="宋体"/>
                <w:color w:val="000000"/>
                <w:sz w:val="18"/>
                <w:szCs w:val="18"/>
              </w:rPr>
            </w:pPr>
            <w:r>
              <w:rPr>
                <w:rFonts w:ascii="宋体" w:hAnsi="宋体" w:cs="宋体"/>
                <w:color w:val="000000"/>
                <w:kern w:val="0"/>
                <w:sz w:val="18"/>
                <w:szCs w:val="18"/>
              </w:rPr>
              <w:t>优</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2621">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64C91BA5">
        <w:tblPrEx>
          <w:tblCellMar>
            <w:top w:w="0" w:type="dxa"/>
            <w:left w:w="108" w:type="dxa"/>
            <w:bottom w:w="0" w:type="dxa"/>
            <w:right w:w="108" w:type="dxa"/>
          </w:tblCellMar>
        </w:tblPrEx>
        <w:trPr>
          <w:trHeight w:val="944"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171727">
            <w:pPr>
              <w:jc w:val="center"/>
              <w:rPr>
                <w:rFonts w:ascii="宋体" w:hAnsi="宋体" w:cs="宋体"/>
                <w:color w:val="000000"/>
                <w:sz w:val="18"/>
                <w:szCs w:val="18"/>
              </w:rPr>
            </w:pPr>
          </w:p>
        </w:tc>
        <w:tc>
          <w:tcPr>
            <w:tcW w:w="1004" w:type="dxa"/>
            <w:gridSpan w:val="2"/>
            <w:vMerge w:val="continue"/>
            <w:tcBorders>
              <w:left w:val="nil"/>
              <w:right w:val="single" w:color="000000" w:sz="4" w:space="0"/>
            </w:tcBorders>
            <w:shd w:val="clear" w:color="auto" w:fill="auto"/>
            <w:vAlign w:val="center"/>
          </w:tcPr>
          <w:p w14:paraId="7D543C5C">
            <w:pPr>
              <w:jc w:val="left"/>
              <w:rPr>
                <w:rFonts w:ascii="宋体" w:hAnsi="宋体" w:cs="宋体"/>
                <w:color w:val="000000"/>
                <w:sz w:val="18"/>
                <w:szCs w:val="18"/>
              </w:rPr>
            </w:pP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474B5">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D43DD">
            <w:pPr>
              <w:widowControl/>
              <w:jc w:val="left"/>
              <w:textAlignment w:val="center"/>
              <w:rPr>
                <w:rFonts w:ascii="宋体" w:hAnsi="宋体" w:cs="宋体"/>
                <w:color w:val="000000"/>
                <w:sz w:val="18"/>
                <w:szCs w:val="18"/>
              </w:rPr>
            </w:pPr>
            <w:r>
              <w:rPr>
                <w:rFonts w:ascii="宋体" w:hAnsi="宋体" w:cs="宋体"/>
                <w:color w:val="000000"/>
                <w:kern w:val="0"/>
                <w:sz w:val="18"/>
                <w:szCs w:val="18"/>
              </w:rPr>
              <w:t>各项工作完成时间</w:t>
            </w:r>
            <w:r>
              <w:rPr>
                <w:rFonts w:hint="eastAsia" w:ascii="宋体" w:hAnsi="宋体" w:cs="宋体"/>
                <w:color w:val="000000"/>
                <w:kern w:val="0"/>
                <w:sz w:val="18"/>
                <w:szCs w:val="18"/>
                <w:lang w:eastAsia="zh-CN"/>
              </w:rPr>
              <w:t>为</w:t>
            </w:r>
            <w:r>
              <w:rPr>
                <w:rFonts w:ascii="宋体" w:hAnsi="宋体" w:cs="宋体"/>
                <w:color w:val="000000"/>
                <w:kern w:val="0"/>
                <w:sz w:val="18"/>
                <w:szCs w:val="18"/>
              </w:rPr>
              <w:t>202</w:t>
            </w:r>
            <w:r>
              <w:rPr>
                <w:rFonts w:hint="eastAsia" w:ascii="宋体" w:hAnsi="宋体" w:cs="宋体"/>
                <w:color w:val="000000"/>
                <w:kern w:val="0"/>
                <w:sz w:val="18"/>
                <w:szCs w:val="18"/>
              </w:rPr>
              <w:t>3</w:t>
            </w:r>
            <w:r>
              <w:rPr>
                <w:rFonts w:ascii="宋体" w:hAnsi="宋体" w:cs="宋体"/>
                <w:color w:val="000000"/>
                <w:kern w:val="0"/>
                <w:sz w:val="18"/>
                <w:szCs w:val="18"/>
              </w:rPr>
              <w:t>年1月至202</w:t>
            </w:r>
            <w:r>
              <w:rPr>
                <w:rFonts w:hint="eastAsia" w:ascii="宋体" w:hAnsi="宋体" w:cs="宋体"/>
                <w:color w:val="000000"/>
                <w:kern w:val="0"/>
                <w:sz w:val="18"/>
                <w:szCs w:val="18"/>
              </w:rPr>
              <w:t>3</w:t>
            </w:r>
            <w:r>
              <w:rPr>
                <w:rFonts w:ascii="宋体" w:hAnsi="宋体" w:cs="宋体"/>
                <w:color w:val="000000"/>
                <w:kern w:val="0"/>
                <w:sz w:val="18"/>
                <w:szCs w:val="18"/>
              </w:rPr>
              <w:t>年12月</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3F0BC">
            <w:pPr>
              <w:widowControl/>
              <w:jc w:val="left"/>
              <w:textAlignment w:val="center"/>
              <w:rPr>
                <w:rFonts w:ascii="宋体" w:hAnsi="宋体" w:cs="宋体"/>
                <w:color w:val="000000"/>
                <w:sz w:val="18"/>
                <w:szCs w:val="18"/>
              </w:rPr>
            </w:pPr>
            <w:r>
              <w:rPr>
                <w:rFonts w:ascii="宋体" w:hAnsi="宋体" w:cs="宋体"/>
                <w:color w:val="000000"/>
                <w:kern w:val="0"/>
                <w:sz w:val="18"/>
                <w:szCs w:val="18"/>
              </w:rPr>
              <w:t>＝12月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65E1">
            <w:pPr>
              <w:widowControl/>
              <w:jc w:val="left"/>
              <w:textAlignment w:val="center"/>
              <w:rPr>
                <w:rFonts w:ascii="宋体" w:hAnsi="宋体" w:cs="宋体"/>
                <w:color w:val="000000"/>
                <w:sz w:val="18"/>
                <w:szCs w:val="18"/>
              </w:rPr>
            </w:pPr>
            <w:r>
              <w:rPr>
                <w:rFonts w:ascii="宋体" w:hAnsi="宋体" w:cs="宋体"/>
                <w:color w:val="000000"/>
                <w:kern w:val="0"/>
                <w:sz w:val="18"/>
                <w:szCs w:val="18"/>
              </w:rPr>
              <w:t>12月</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83A">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0FE198F0">
        <w:tblPrEx>
          <w:tblCellMar>
            <w:top w:w="0" w:type="dxa"/>
            <w:left w:w="108" w:type="dxa"/>
            <w:bottom w:w="0" w:type="dxa"/>
            <w:right w:w="108" w:type="dxa"/>
          </w:tblCellMar>
        </w:tblPrEx>
        <w:trPr>
          <w:trHeight w:val="549"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3DC964">
            <w:pPr>
              <w:jc w:val="center"/>
              <w:rPr>
                <w:rFonts w:ascii="宋体" w:hAnsi="宋体" w:cs="宋体"/>
                <w:color w:val="000000"/>
                <w:sz w:val="18"/>
                <w:szCs w:val="18"/>
              </w:rPr>
            </w:pPr>
          </w:p>
        </w:tc>
        <w:tc>
          <w:tcPr>
            <w:tcW w:w="1004" w:type="dxa"/>
            <w:gridSpan w:val="2"/>
            <w:vMerge w:val="continue"/>
            <w:tcBorders>
              <w:left w:val="nil"/>
              <w:bottom w:val="single" w:color="000000" w:sz="4" w:space="0"/>
              <w:right w:val="single" w:color="000000" w:sz="4" w:space="0"/>
            </w:tcBorders>
            <w:shd w:val="clear" w:color="auto" w:fill="auto"/>
            <w:vAlign w:val="center"/>
          </w:tcPr>
          <w:p w14:paraId="211C5B0B">
            <w:pPr>
              <w:jc w:val="left"/>
              <w:rPr>
                <w:rFonts w:ascii="宋体" w:hAnsi="宋体" w:cs="宋体"/>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2106">
            <w:pPr>
              <w:jc w:val="left"/>
              <w:rPr>
                <w:rFonts w:ascii="宋体" w:hAnsi="宋体" w:cs="宋体"/>
                <w:color w:val="000000"/>
                <w:sz w:val="18"/>
                <w:szCs w:val="18"/>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A8596">
            <w:pPr>
              <w:widowControl/>
              <w:jc w:val="left"/>
              <w:textAlignment w:val="center"/>
              <w:rPr>
                <w:rFonts w:ascii="宋体" w:hAnsi="宋体" w:cs="宋体"/>
                <w:color w:val="000000"/>
                <w:sz w:val="18"/>
                <w:szCs w:val="18"/>
              </w:rPr>
            </w:pPr>
            <w:r>
              <w:rPr>
                <w:rFonts w:ascii="宋体" w:hAnsi="宋体" w:cs="宋体"/>
                <w:color w:val="000000"/>
                <w:kern w:val="0"/>
                <w:sz w:val="18"/>
                <w:szCs w:val="18"/>
              </w:rPr>
              <w:t>资金拨付及时情况</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1C981">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219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401">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0048E2AC">
        <w:tblPrEx>
          <w:tblCellMar>
            <w:top w:w="0" w:type="dxa"/>
            <w:left w:w="108" w:type="dxa"/>
            <w:bottom w:w="0" w:type="dxa"/>
            <w:right w:w="108" w:type="dxa"/>
          </w:tblCellMar>
        </w:tblPrEx>
        <w:trPr>
          <w:trHeight w:val="1255"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B48BE9">
            <w:pPr>
              <w:jc w:val="center"/>
              <w:rPr>
                <w:rFonts w:ascii="宋体" w:hAnsi="宋体" w:cs="宋体"/>
                <w:color w:val="000000"/>
                <w:sz w:val="18"/>
                <w:szCs w:val="18"/>
              </w:rPr>
            </w:pPr>
          </w:p>
        </w:tc>
        <w:tc>
          <w:tcPr>
            <w:tcW w:w="100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2B3DDDB2">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9754">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CFF3B">
            <w:pPr>
              <w:widowControl/>
              <w:jc w:val="left"/>
              <w:textAlignment w:val="center"/>
              <w:rPr>
                <w:rFonts w:ascii="宋体" w:hAnsi="宋体" w:cs="宋体"/>
                <w:color w:val="000000"/>
                <w:sz w:val="18"/>
                <w:szCs w:val="18"/>
              </w:rPr>
            </w:pPr>
            <w:r>
              <w:rPr>
                <w:rFonts w:ascii="宋体" w:hAnsi="宋体" w:cs="宋体"/>
                <w:color w:val="000000"/>
                <w:kern w:val="0"/>
                <w:sz w:val="18"/>
                <w:szCs w:val="18"/>
              </w:rPr>
              <w:t>通过调研、视察等工作方式为民解难题办实事，助力产业发展，助农增收</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EBB06">
            <w:pPr>
              <w:widowControl/>
              <w:jc w:val="left"/>
              <w:textAlignment w:val="center"/>
              <w:rPr>
                <w:rFonts w:ascii="宋体" w:hAnsi="宋体" w:cs="宋体"/>
                <w:color w:val="000000"/>
                <w:sz w:val="18"/>
                <w:szCs w:val="18"/>
              </w:rPr>
            </w:pPr>
            <w:r>
              <w:rPr>
                <w:rFonts w:ascii="宋体" w:hAnsi="宋体" w:cs="宋体"/>
                <w:color w:val="000000"/>
                <w:kern w:val="0"/>
                <w:sz w:val="18"/>
                <w:szCs w:val="18"/>
              </w:rPr>
              <w:t>定性优</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F49">
            <w:pPr>
              <w:widowControl/>
              <w:jc w:val="left"/>
              <w:textAlignment w:val="center"/>
              <w:rPr>
                <w:rFonts w:ascii="宋体" w:hAnsi="宋体" w:cs="宋体"/>
                <w:color w:val="000000"/>
                <w:sz w:val="18"/>
                <w:szCs w:val="18"/>
              </w:rPr>
            </w:pPr>
            <w:r>
              <w:rPr>
                <w:rFonts w:ascii="宋体" w:hAnsi="宋体" w:cs="宋体"/>
                <w:color w:val="000000"/>
                <w:kern w:val="0"/>
                <w:sz w:val="18"/>
                <w:szCs w:val="18"/>
              </w:rPr>
              <w:t>优</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F989">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3F3D3CDF">
        <w:tblPrEx>
          <w:tblCellMar>
            <w:top w:w="0" w:type="dxa"/>
            <w:left w:w="108" w:type="dxa"/>
            <w:bottom w:w="0" w:type="dxa"/>
            <w:right w:w="108" w:type="dxa"/>
          </w:tblCellMar>
        </w:tblPrEx>
        <w:trPr>
          <w:trHeight w:val="1877"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337EDE">
            <w:pPr>
              <w:jc w:val="center"/>
              <w:rPr>
                <w:rFonts w:ascii="宋体" w:hAnsi="宋体" w:cs="宋体"/>
                <w:color w:val="000000"/>
                <w:sz w:val="18"/>
                <w:szCs w:val="18"/>
              </w:rPr>
            </w:pPr>
          </w:p>
        </w:tc>
        <w:tc>
          <w:tcPr>
            <w:tcW w:w="100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A9479DE">
            <w:pPr>
              <w:jc w:val="left"/>
              <w:rPr>
                <w:rFonts w:ascii="宋体" w:hAnsi="宋体" w:cs="宋体"/>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233">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B1821">
            <w:pPr>
              <w:widowControl/>
              <w:jc w:val="left"/>
              <w:textAlignment w:val="center"/>
              <w:rPr>
                <w:rFonts w:ascii="宋体" w:hAnsi="宋体" w:cs="宋体"/>
                <w:color w:val="000000"/>
                <w:sz w:val="18"/>
                <w:szCs w:val="18"/>
              </w:rPr>
            </w:pPr>
            <w:r>
              <w:rPr>
                <w:rFonts w:ascii="宋体" w:hAnsi="宋体" w:cs="宋体"/>
                <w:color w:val="000000"/>
                <w:kern w:val="0"/>
                <w:sz w:val="18"/>
                <w:szCs w:val="18"/>
              </w:rPr>
              <w:t>人大各项工作为改革发展稳定的重大问题、人民群众普遍关注的热点、难点问题，乡村振兴问题等提供有效数据</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A13F5">
            <w:pPr>
              <w:widowControl/>
              <w:jc w:val="left"/>
              <w:textAlignment w:val="center"/>
              <w:rPr>
                <w:rFonts w:ascii="宋体" w:hAnsi="宋体" w:cs="宋体"/>
                <w:color w:val="000000"/>
                <w:sz w:val="18"/>
                <w:szCs w:val="18"/>
              </w:rPr>
            </w:pPr>
            <w:r>
              <w:rPr>
                <w:rFonts w:ascii="宋体" w:hAnsi="宋体" w:cs="宋体"/>
                <w:color w:val="000000"/>
                <w:kern w:val="0"/>
                <w:sz w:val="18"/>
                <w:szCs w:val="18"/>
              </w:rPr>
              <w:t>定性优</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C305">
            <w:pPr>
              <w:widowControl/>
              <w:jc w:val="left"/>
              <w:textAlignment w:val="center"/>
              <w:rPr>
                <w:rFonts w:ascii="宋体" w:hAnsi="宋体" w:cs="宋体"/>
                <w:color w:val="000000"/>
                <w:sz w:val="18"/>
                <w:szCs w:val="18"/>
              </w:rPr>
            </w:pPr>
            <w:r>
              <w:rPr>
                <w:rFonts w:ascii="宋体" w:hAnsi="宋体" w:cs="宋体"/>
                <w:color w:val="000000"/>
                <w:kern w:val="0"/>
                <w:sz w:val="18"/>
                <w:szCs w:val="18"/>
              </w:rPr>
              <w:t>优</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9C6">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3798CB9A">
        <w:tblPrEx>
          <w:tblCellMar>
            <w:top w:w="0" w:type="dxa"/>
            <w:left w:w="108" w:type="dxa"/>
            <w:bottom w:w="0" w:type="dxa"/>
            <w:right w:w="108" w:type="dxa"/>
          </w:tblCellMar>
        </w:tblPrEx>
        <w:trPr>
          <w:trHeight w:val="326"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169F28">
            <w:pPr>
              <w:jc w:val="center"/>
              <w:rPr>
                <w:rFonts w:ascii="宋体" w:hAnsi="宋体" w:cs="宋体"/>
                <w:color w:val="000000"/>
                <w:sz w:val="18"/>
                <w:szCs w:val="18"/>
              </w:rPr>
            </w:pPr>
          </w:p>
        </w:tc>
        <w:tc>
          <w:tcPr>
            <w:tcW w:w="100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D5B976B">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6DB11">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2B503">
            <w:pPr>
              <w:widowControl/>
              <w:jc w:val="left"/>
              <w:textAlignment w:val="center"/>
              <w:rPr>
                <w:rFonts w:ascii="宋体" w:hAnsi="宋体" w:cs="宋体"/>
                <w:color w:val="000000"/>
                <w:sz w:val="18"/>
                <w:szCs w:val="18"/>
              </w:rPr>
            </w:pPr>
            <w:r>
              <w:rPr>
                <w:rFonts w:ascii="宋体" w:hAnsi="宋体" w:cs="宋体"/>
                <w:color w:val="000000"/>
                <w:kern w:val="0"/>
                <w:sz w:val="18"/>
                <w:szCs w:val="18"/>
              </w:rPr>
              <w:t>各部门满意度</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5BDF7">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4456">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EDFC">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0893B781">
        <w:tblPrEx>
          <w:tblCellMar>
            <w:top w:w="0" w:type="dxa"/>
            <w:left w:w="108" w:type="dxa"/>
            <w:bottom w:w="0" w:type="dxa"/>
            <w:right w:w="108" w:type="dxa"/>
          </w:tblCellMar>
        </w:tblPrEx>
        <w:trPr>
          <w:trHeight w:val="326"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C1210F">
            <w:pPr>
              <w:jc w:val="center"/>
              <w:rPr>
                <w:rFonts w:ascii="宋体" w:hAnsi="宋体" w:cs="宋体"/>
                <w:color w:val="000000"/>
                <w:sz w:val="18"/>
                <w:szCs w:val="18"/>
              </w:rPr>
            </w:pPr>
          </w:p>
        </w:tc>
        <w:tc>
          <w:tcPr>
            <w:tcW w:w="100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CA308EF">
            <w:pPr>
              <w:jc w:val="left"/>
              <w:rPr>
                <w:rFonts w:ascii="宋体" w:hAnsi="宋体" w:cs="宋体"/>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0B649">
            <w:pPr>
              <w:jc w:val="left"/>
              <w:rPr>
                <w:rFonts w:ascii="宋体" w:hAnsi="宋体" w:cs="宋体"/>
                <w:color w:val="000000"/>
                <w:sz w:val="18"/>
                <w:szCs w:val="18"/>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1E9DE">
            <w:pPr>
              <w:widowControl/>
              <w:jc w:val="left"/>
              <w:textAlignment w:val="center"/>
              <w:rPr>
                <w:rFonts w:ascii="宋体" w:hAnsi="宋体" w:cs="宋体"/>
                <w:color w:val="000000"/>
                <w:sz w:val="18"/>
                <w:szCs w:val="18"/>
              </w:rPr>
            </w:pPr>
            <w:r>
              <w:rPr>
                <w:rFonts w:ascii="宋体" w:hAnsi="宋体" w:cs="宋体"/>
                <w:color w:val="000000"/>
                <w:kern w:val="0"/>
                <w:sz w:val="18"/>
                <w:szCs w:val="18"/>
              </w:rPr>
              <w:t>人民群众满意度</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5400E">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2262">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51AF">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1B44488F">
        <w:tblPrEx>
          <w:tblCellMar>
            <w:top w:w="0" w:type="dxa"/>
            <w:left w:w="108" w:type="dxa"/>
            <w:bottom w:w="0" w:type="dxa"/>
            <w:right w:w="108" w:type="dxa"/>
          </w:tblCellMar>
        </w:tblPrEx>
        <w:trPr>
          <w:trHeight w:val="633"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69FBD9">
            <w:pPr>
              <w:jc w:val="center"/>
              <w:rPr>
                <w:rFonts w:ascii="宋体" w:hAnsi="宋体" w:cs="宋体"/>
                <w:color w:val="000000"/>
                <w:sz w:val="18"/>
                <w:szCs w:val="18"/>
              </w:rPr>
            </w:pPr>
          </w:p>
        </w:tc>
        <w:tc>
          <w:tcPr>
            <w:tcW w:w="100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6CAE4822">
            <w:pPr>
              <w:widowControl/>
              <w:jc w:val="left"/>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40B02">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14127">
            <w:pPr>
              <w:widowControl/>
              <w:jc w:val="left"/>
              <w:textAlignment w:val="center"/>
              <w:rPr>
                <w:rFonts w:ascii="宋体" w:hAnsi="宋体" w:cs="宋体"/>
                <w:color w:val="000000"/>
                <w:sz w:val="18"/>
                <w:szCs w:val="18"/>
              </w:rPr>
            </w:pPr>
            <w:r>
              <w:rPr>
                <w:rFonts w:ascii="宋体" w:hAnsi="宋体" w:cs="宋体"/>
                <w:color w:val="000000"/>
                <w:kern w:val="0"/>
                <w:sz w:val="18"/>
                <w:szCs w:val="18"/>
              </w:rPr>
              <w:t>单位日常公用保障成本控制额</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7AFE8">
            <w:pPr>
              <w:widowControl/>
              <w:jc w:val="left"/>
              <w:textAlignment w:val="center"/>
              <w:rPr>
                <w:rFonts w:ascii="宋体" w:hAnsi="宋体" w:cs="宋体"/>
                <w:color w:val="00000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0</w:t>
            </w:r>
            <w:r>
              <w:rPr>
                <w:rFonts w:ascii="宋体" w:hAnsi="宋体" w:cs="宋体"/>
                <w:color w:val="000000"/>
                <w:kern w:val="0"/>
                <w:sz w:val="18"/>
                <w:szCs w:val="18"/>
              </w:rPr>
              <w:t>5000元</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02E3">
            <w:pPr>
              <w:widowControl/>
              <w:jc w:val="left"/>
              <w:textAlignment w:val="center"/>
              <w:rPr>
                <w:rFonts w:ascii="宋体" w:hAnsi="宋体" w:cs="宋体"/>
                <w:color w:val="00000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0</w:t>
            </w:r>
            <w:r>
              <w:rPr>
                <w:rFonts w:ascii="宋体" w:hAnsi="宋体" w:cs="宋体"/>
                <w:color w:val="000000"/>
                <w:kern w:val="0"/>
                <w:sz w:val="18"/>
                <w:szCs w:val="18"/>
              </w:rPr>
              <w:t>5000元</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7D7D">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7365C9B4">
        <w:tblPrEx>
          <w:tblCellMar>
            <w:top w:w="0" w:type="dxa"/>
            <w:left w:w="108" w:type="dxa"/>
            <w:bottom w:w="0" w:type="dxa"/>
            <w:right w:w="108" w:type="dxa"/>
          </w:tblCellMar>
        </w:tblPrEx>
        <w:trPr>
          <w:trHeight w:val="944"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28CE4B">
            <w:pPr>
              <w:jc w:val="center"/>
              <w:rPr>
                <w:rFonts w:ascii="宋体" w:hAnsi="宋体" w:cs="宋体"/>
                <w:color w:val="000000"/>
                <w:sz w:val="18"/>
                <w:szCs w:val="18"/>
              </w:rPr>
            </w:pPr>
          </w:p>
        </w:tc>
        <w:tc>
          <w:tcPr>
            <w:tcW w:w="100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010289D">
            <w:pPr>
              <w:jc w:val="left"/>
              <w:rPr>
                <w:rFonts w:ascii="宋体" w:hAnsi="宋体" w:cs="宋体"/>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1DC1">
            <w:pPr>
              <w:jc w:val="left"/>
              <w:rPr>
                <w:rFonts w:ascii="宋体" w:hAnsi="宋体" w:cs="宋体"/>
                <w:color w:val="000000"/>
                <w:sz w:val="18"/>
                <w:szCs w:val="18"/>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3A8A2">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人大会议、人大会议、业务、代表等工作成本控制</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CECD7">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r>
              <w:rPr>
                <w:rFonts w:hint="eastAsia" w:ascii="宋体" w:hAnsi="宋体" w:cs="宋体"/>
                <w:color w:val="000000"/>
                <w:kern w:val="0"/>
                <w:sz w:val="18"/>
                <w:szCs w:val="18"/>
              </w:rPr>
              <w:t>335</w:t>
            </w:r>
            <w:r>
              <w:rPr>
                <w:rFonts w:ascii="宋体" w:hAnsi="宋体" w:cs="宋体"/>
                <w:color w:val="000000"/>
                <w:kern w:val="0"/>
                <w:sz w:val="18"/>
                <w:szCs w:val="18"/>
              </w:rPr>
              <w:t>2160元</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21DD">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r>
              <w:rPr>
                <w:rFonts w:hint="eastAsia" w:ascii="宋体" w:hAnsi="宋体" w:cs="宋体"/>
                <w:color w:val="000000"/>
                <w:kern w:val="0"/>
                <w:sz w:val="18"/>
                <w:szCs w:val="18"/>
              </w:rPr>
              <w:t>335</w:t>
            </w:r>
            <w:r>
              <w:rPr>
                <w:rFonts w:ascii="宋体" w:hAnsi="宋体" w:cs="宋体"/>
                <w:color w:val="000000"/>
                <w:kern w:val="0"/>
                <w:sz w:val="18"/>
                <w:szCs w:val="18"/>
              </w:rPr>
              <w:t>2160元</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257F">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7D7C3B54">
        <w:tblPrEx>
          <w:tblCellMar>
            <w:top w:w="0" w:type="dxa"/>
            <w:left w:w="108" w:type="dxa"/>
            <w:bottom w:w="0" w:type="dxa"/>
            <w:right w:w="108" w:type="dxa"/>
          </w:tblCellMar>
        </w:tblPrEx>
        <w:trPr>
          <w:trHeight w:val="633"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A72D72">
            <w:pPr>
              <w:jc w:val="center"/>
              <w:rPr>
                <w:rFonts w:ascii="宋体" w:hAnsi="宋体" w:cs="宋体"/>
                <w:color w:val="000000"/>
                <w:sz w:val="18"/>
                <w:szCs w:val="18"/>
              </w:rPr>
            </w:pPr>
          </w:p>
        </w:tc>
        <w:tc>
          <w:tcPr>
            <w:tcW w:w="100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D3E88B7">
            <w:pPr>
              <w:jc w:val="left"/>
              <w:rPr>
                <w:rFonts w:ascii="宋体" w:hAnsi="宋体" w:cs="宋体"/>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523B3">
            <w:pPr>
              <w:jc w:val="left"/>
              <w:rPr>
                <w:rFonts w:ascii="宋体" w:hAnsi="宋体" w:cs="宋体"/>
                <w:color w:val="000000"/>
                <w:sz w:val="18"/>
                <w:szCs w:val="18"/>
              </w:rPr>
            </w:pPr>
          </w:p>
        </w:tc>
        <w:tc>
          <w:tcPr>
            <w:tcW w:w="1981" w:type="dxa"/>
            <w:gridSpan w:val="2"/>
            <w:tcBorders>
              <w:top w:val="single" w:color="000000" w:sz="4" w:space="0"/>
              <w:left w:val="single" w:color="000000" w:sz="4" w:space="0"/>
              <w:bottom w:val="nil"/>
              <w:right w:val="single" w:color="000000" w:sz="4" w:space="0"/>
            </w:tcBorders>
            <w:shd w:val="clear" w:color="auto" w:fill="auto"/>
            <w:vAlign w:val="center"/>
          </w:tcPr>
          <w:p w14:paraId="7695E63C">
            <w:pPr>
              <w:widowControl/>
              <w:jc w:val="left"/>
              <w:textAlignment w:val="center"/>
              <w:rPr>
                <w:rFonts w:ascii="宋体" w:hAnsi="宋体" w:cs="宋体"/>
                <w:color w:val="000000"/>
                <w:sz w:val="18"/>
                <w:szCs w:val="18"/>
              </w:rPr>
            </w:pPr>
            <w:r>
              <w:rPr>
                <w:rFonts w:ascii="宋体" w:hAnsi="宋体" w:cs="宋体"/>
                <w:color w:val="000000"/>
                <w:kern w:val="0"/>
                <w:sz w:val="18"/>
                <w:szCs w:val="18"/>
              </w:rPr>
              <w:t>人员经费保障成本控制额</w:t>
            </w:r>
          </w:p>
        </w:tc>
        <w:tc>
          <w:tcPr>
            <w:tcW w:w="1722" w:type="dxa"/>
            <w:gridSpan w:val="2"/>
            <w:tcBorders>
              <w:top w:val="single" w:color="000000" w:sz="4" w:space="0"/>
              <w:left w:val="single" w:color="000000" w:sz="4" w:space="0"/>
              <w:bottom w:val="nil"/>
              <w:right w:val="single" w:color="000000" w:sz="4" w:space="0"/>
            </w:tcBorders>
            <w:shd w:val="clear" w:color="auto" w:fill="auto"/>
            <w:vAlign w:val="center"/>
          </w:tcPr>
          <w:p w14:paraId="1AC4031F">
            <w:pPr>
              <w:widowControl/>
              <w:jc w:val="left"/>
              <w:textAlignment w:val="center"/>
              <w:rPr>
                <w:rFonts w:ascii="宋体" w:hAnsi="宋体" w:cs="宋体"/>
                <w:color w:val="000000"/>
                <w:sz w:val="18"/>
                <w:szCs w:val="18"/>
              </w:rPr>
            </w:pPr>
            <w:r>
              <w:rPr>
                <w:rFonts w:ascii="宋体" w:hAnsi="宋体" w:cs="宋体"/>
                <w:color w:val="000000"/>
                <w:kern w:val="0"/>
                <w:sz w:val="18"/>
                <w:szCs w:val="18"/>
              </w:rPr>
              <w:t>≤8647108.84元</w:t>
            </w:r>
          </w:p>
        </w:tc>
        <w:tc>
          <w:tcPr>
            <w:tcW w:w="1274" w:type="dxa"/>
            <w:tcBorders>
              <w:top w:val="single" w:color="000000" w:sz="4" w:space="0"/>
              <w:left w:val="single" w:color="000000" w:sz="4" w:space="0"/>
              <w:bottom w:val="nil"/>
              <w:right w:val="single" w:color="000000" w:sz="4" w:space="0"/>
            </w:tcBorders>
            <w:shd w:val="clear" w:color="auto" w:fill="auto"/>
            <w:vAlign w:val="center"/>
          </w:tcPr>
          <w:p w14:paraId="59E84E50">
            <w:pPr>
              <w:widowControl/>
              <w:jc w:val="left"/>
              <w:textAlignment w:val="center"/>
              <w:rPr>
                <w:rFonts w:ascii="宋体" w:hAnsi="宋体" w:cs="宋体"/>
                <w:color w:val="000000"/>
                <w:sz w:val="18"/>
                <w:szCs w:val="18"/>
              </w:rPr>
            </w:pPr>
            <w:r>
              <w:rPr>
                <w:rFonts w:ascii="宋体" w:hAnsi="宋体" w:cs="宋体"/>
                <w:color w:val="000000"/>
                <w:kern w:val="0"/>
                <w:sz w:val="18"/>
                <w:szCs w:val="18"/>
              </w:rPr>
              <w:t>≤8647108.84元</w:t>
            </w:r>
          </w:p>
        </w:tc>
        <w:tc>
          <w:tcPr>
            <w:tcW w:w="1382" w:type="dxa"/>
            <w:tcBorders>
              <w:top w:val="single" w:color="000000" w:sz="4" w:space="0"/>
              <w:left w:val="single" w:color="000000" w:sz="4" w:space="0"/>
              <w:bottom w:val="nil"/>
              <w:right w:val="single" w:color="000000" w:sz="4" w:space="0"/>
            </w:tcBorders>
            <w:shd w:val="clear" w:color="auto" w:fill="auto"/>
            <w:vAlign w:val="center"/>
          </w:tcPr>
          <w:p w14:paraId="0A4D079F">
            <w:pPr>
              <w:widowControl/>
              <w:jc w:val="center"/>
              <w:textAlignment w:val="center"/>
              <w:rPr>
                <w:rFonts w:ascii="宋体" w:hAnsi="宋体" w:cs="宋体"/>
                <w:color w:val="000000"/>
                <w:sz w:val="18"/>
                <w:szCs w:val="18"/>
              </w:rPr>
            </w:pPr>
            <w:r>
              <w:rPr>
                <w:rFonts w:ascii="宋体" w:hAnsi="宋体" w:cs="宋体"/>
                <w:color w:val="000000"/>
                <w:kern w:val="0"/>
                <w:sz w:val="18"/>
                <w:szCs w:val="18"/>
              </w:rPr>
              <w:t>无</w:t>
            </w:r>
          </w:p>
        </w:tc>
      </w:tr>
      <w:tr w14:paraId="4EFE75C8">
        <w:tblPrEx>
          <w:tblCellMar>
            <w:top w:w="0" w:type="dxa"/>
            <w:left w:w="108" w:type="dxa"/>
            <w:bottom w:w="0" w:type="dxa"/>
            <w:right w:w="108" w:type="dxa"/>
          </w:tblCellMar>
        </w:tblPrEx>
        <w:trPr>
          <w:trHeight w:val="345" w:hRule="atLeast"/>
          <w:jc w:val="center"/>
        </w:trPr>
        <w:tc>
          <w:tcPr>
            <w:tcW w:w="793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9C71">
            <w:pPr>
              <w:widowControl/>
              <w:jc w:val="center"/>
              <w:textAlignment w:val="center"/>
              <w:rPr>
                <w:rFonts w:ascii="宋体" w:hAnsi="宋体" w:cs="宋体"/>
                <w:color w:val="000000"/>
                <w:sz w:val="24"/>
              </w:rPr>
            </w:pPr>
            <w:r>
              <w:rPr>
                <w:rFonts w:hint="eastAsia" w:ascii="宋体" w:hAnsi="宋体" w:cs="宋体"/>
                <w:color w:val="000000"/>
                <w:kern w:val="0"/>
                <w:sz w:val="24"/>
              </w:rPr>
              <w:t>得  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AA03">
            <w:pPr>
              <w:widowControl/>
              <w:jc w:val="center"/>
              <w:textAlignment w:val="center"/>
              <w:rPr>
                <w:rFonts w:ascii="宋体" w:hAnsi="宋体" w:cs="宋体"/>
                <w:color w:val="000000"/>
                <w:sz w:val="24"/>
              </w:rPr>
            </w:pPr>
            <w:r>
              <w:rPr>
                <w:rFonts w:hint="eastAsia" w:ascii="宋体" w:hAnsi="宋体" w:cs="宋体"/>
                <w:color w:val="000000"/>
                <w:kern w:val="0"/>
                <w:sz w:val="24"/>
              </w:rPr>
              <w:t>95</w:t>
            </w:r>
          </w:p>
        </w:tc>
      </w:tr>
    </w:tbl>
    <w:p w14:paraId="262C1DEC">
      <w:pPr>
        <w:pStyle w:val="2"/>
        <w:spacing w:before="93"/>
      </w:pPr>
    </w:p>
    <w:p w14:paraId="11960F7A"/>
    <w:p w14:paraId="09690FC0">
      <w:pPr>
        <w:pStyle w:val="2"/>
        <w:spacing w:before="93"/>
      </w:pPr>
    </w:p>
    <w:p w14:paraId="38B81090"/>
    <w:p w14:paraId="26634454">
      <w:pPr>
        <w:pStyle w:val="2"/>
        <w:spacing w:before="93"/>
      </w:pPr>
    </w:p>
    <w:p w14:paraId="619A74A1"/>
    <w:p w14:paraId="26293520">
      <w:pPr>
        <w:pStyle w:val="2"/>
        <w:spacing w:before="93"/>
      </w:pPr>
    </w:p>
    <w:p w14:paraId="0BCC81C6"/>
    <w:p w14:paraId="6FDAEDBB">
      <w:pPr>
        <w:pStyle w:val="2"/>
        <w:spacing w:before="93"/>
      </w:pPr>
    </w:p>
    <w:p w14:paraId="2A0B65AE"/>
    <w:p w14:paraId="0843C168">
      <w:pPr>
        <w:pStyle w:val="2"/>
        <w:spacing w:before="93" w:line="560" w:lineRule="exact"/>
        <w:rPr>
          <w:rFonts w:ascii="Times New Roman"/>
          <w:sz w:val="8"/>
        </w:rPr>
      </w:pPr>
    </w:p>
    <w:p w14:paraId="467ED0FC">
      <w:pPr>
        <w:autoSpaceDE w:val="0"/>
        <w:autoSpaceDN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广元市昭化区人大常委会办公室</w:t>
      </w:r>
    </w:p>
    <w:p w14:paraId="7F73D159">
      <w:pPr>
        <w:tabs>
          <w:tab w:val="left" w:pos="8400"/>
        </w:tabs>
        <w:autoSpaceDE w:val="0"/>
        <w:autoSpaceDN w:val="0"/>
        <w:spacing w:line="560" w:lineRule="exact"/>
        <w:jc w:val="center"/>
        <w:rPr>
          <w:rFonts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关于2023年人大会议经费人大代表经费等</w:t>
      </w:r>
    </w:p>
    <w:p w14:paraId="0CDC593F">
      <w:pPr>
        <w:tabs>
          <w:tab w:val="left" w:pos="8400"/>
        </w:tabs>
        <w:autoSpaceDE w:val="0"/>
        <w:autoSpaceDN w:val="0"/>
        <w:spacing w:line="560" w:lineRule="exact"/>
        <w:jc w:val="center"/>
        <w:rPr>
          <w:rFonts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5个项目支出绩效自评报告</w:t>
      </w:r>
    </w:p>
    <w:p w14:paraId="30C18871">
      <w:pPr>
        <w:pStyle w:val="2"/>
        <w:spacing w:beforeLines="0" w:line="560" w:lineRule="exact"/>
        <w:rPr>
          <w:sz w:val="46"/>
        </w:rPr>
      </w:pPr>
    </w:p>
    <w:p w14:paraId="00547F0E">
      <w:pPr>
        <w:pStyle w:val="2"/>
        <w:autoSpaceDE w:val="0"/>
        <w:autoSpaceDN w:val="0"/>
        <w:spacing w:beforeLines="0" w:line="540" w:lineRule="exact"/>
        <w:ind w:left="108"/>
        <w:rPr>
          <w:rFonts w:ascii="Times New Roman"/>
          <w:sz w:val="32"/>
          <w:szCs w:val="32"/>
        </w:rPr>
      </w:pPr>
      <w:r>
        <w:rPr>
          <w:rFonts w:ascii="Times New Roman"/>
          <w:sz w:val="32"/>
          <w:szCs w:val="32"/>
        </w:rPr>
        <w:t>区财政局：</w:t>
      </w:r>
    </w:p>
    <w:p w14:paraId="4380CE55">
      <w:pPr>
        <w:pStyle w:val="2"/>
        <w:autoSpaceDE w:val="0"/>
        <w:autoSpaceDN w:val="0"/>
        <w:spacing w:beforeLines="0" w:line="540" w:lineRule="exact"/>
        <w:ind w:firstLine="640" w:firstLineChars="200"/>
        <w:rPr>
          <w:rFonts w:ascii="Times New Roman"/>
          <w:sz w:val="32"/>
          <w:szCs w:val="32"/>
        </w:rPr>
      </w:pPr>
      <w:r>
        <w:rPr>
          <w:rFonts w:ascii="Times New Roman"/>
          <w:sz w:val="32"/>
          <w:szCs w:val="32"/>
        </w:rPr>
        <w:t>为了进一步加强财政支付预算管理，提高财政资金使用效益，根据《关于开展2023年部门、政策和项目支出绩效评价工作的通知》(昭财发〔2023〕12号)的要求，现将我办202</w:t>
      </w:r>
      <w:r>
        <w:rPr>
          <w:rFonts w:hint="eastAsia" w:ascii="Times New Roman"/>
          <w:sz w:val="32"/>
          <w:szCs w:val="32"/>
        </w:rPr>
        <w:t>3</w:t>
      </w:r>
      <w:r>
        <w:rPr>
          <w:rFonts w:ascii="Times New Roman"/>
          <w:sz w:val="32"/>
          <w:szCs w:val="32"/>
        </w:rPr>
        <w:t>年人大会议经费</w:t>
      </w:r>
      <w:r>
        <w:rPr>
          <w:rFonts w:hint="eastAsia" w:ascii="Times New Roman"/>
          <w:sz w:val="32"/>
          <w:szCs w:val="32"/>
          <w:lang w:eastAsia="zh-CN"/>
        </w:rPr>
        <w:t>人大代表经费</w:t>
      </w:r>
      <w:r>
        <w:rPr>
          <w:rFonts w:ascii="Times New Roman"/>
          <w:sz w:val="32"/>
          <w:szCs w:val="32"/>
        </w:rPr>
        <w:t>等5个项目支出绩效自评报告如下：</w:t>
      </w:r>
    </w:p>
    <w:p w14:paraId="04ABAE9A">
      <w:pPr>
        <w:pStyle w:val="2"/>
        <w:spacing w:beforeLines="0" w:line="540" w:lineRule="exact"/>
        <w:ind w:firstLine="600" w:firstLineChars="200"/>
        <w:rPr>
          <w:rFonts w:ascii="黑体" w:eastAsia="黑体"/>
        </w:rPr>
      </w:pPr>
      <w:r>
        <w:rPr>
          <w:rFonts w:hint="eastAsia" w:ascii="黑体" w:eastAsia="黑体"/>
        </w:rPr>
        <w:t>一、项目概况</w:t>
      </w:r>
    </w:p>
    <w:p w14:paraId="057D1098">
      <w:pPr>
        <w:pStyle w:val="2"/>
        <w:autoSpaceDE w:val="0"/>
        <w:autoSpaceDN w:val="0"/>
        <w:spacing w:beforeLines="0" w:line="540" w:lineRule="exact"/>
        <w:ind w:firstLine="640" w:firstLineChars="200"/>
        <w:rPr>
          <w:rFonts w:ascii="Times New Roman"/>
          <w:sz w:val="32"/>
          <w:szCs w:val="32"/>
        </w:rPr>
      </w:pPr>
      <w:r>
        <w:rPr>
          <w:rFonts w:hint="eastAsia" w:ascii="Times New Roman"/>
          <w:sz w:val="32"/>
          <w:szCs w:val="32"/>
        </w:rPr>
        <w:t>本单位2023年预算的有人大会议经费、人大代表经费、人大业务经费、机关管理经费及乡村振兴及其它人大事务性经费等5个项目，这些项目都是基本运转类项目。</w:t>
      </w:r>
    </w:p>
    <w:p w14:paraId="0CA4CECF">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14:paraId="0B153CCC">
      <w:pPr>
        <w:pStyle w:val="2"/>
        <w:autoSpaceDE w:val="0"/>
        <w:autoSpaceDN w:val="0"/>
        <w:spacing w:beforeLines="0" w:line="540" w:lineRule="exact"/>
        <w:ind w:firstLine="640" w:firstLineChars="200"/>
        <w:rPr>
          <w:rFonts w:ascii="Times New Roman"/>
          <w:sz w:val="32"/>
          <w:szCs w:val="32"/>
        </w:rPr>
      </w:pPr>
      <w:r>
        <w:rPr>
          <w:rFonts w:hint="eastAsia" w:ascii="Times New Roman"/>
          <w:sz w:val="32"/>
          <w:szCs w:val="32"/>
        </w:rPr>
        <w:t>该5个项目均是2023年预算的项目，该项目长期使用，以2023年预算批复为准。</w:t>
      </w:r>
    </w:p>
    <w:p w14:paraId="1226D60F">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14:paraId="7186F609">
      <w:pPr>
        <w:pStyle w:val="28"/>
        <w:tabs>
          <w:tab w:val="left" w:pos="1076"/>
        </w:tabs>
        <w:autoSpaceDE w:val="0"/>
        <w:autoSpaceDN w:val="0"/>
        <w:spacing w:line="540" w:lineRule="exact"/>
        <w:ind w:firstLine="640"/>
        <w:rPr>
          <w:rFonts w:eastAsia="仿宋_GB2312"/>
          <w:kern w:val="0"/>
          <w:sz w:val="32"/>
          <w:szCs w:val="32"/>
        </w:rPr>
      </w:pPr>
      <w:r>
        <w:rPr>
          <w:rFonts w:hint="eastAsia" w:eastAsia="仿宋_GB2312"/>
          <w:kern w:val="0"/>
          <w:sz w:val="32"/>
          <w:szCs w:val="32"/>
        </w:rPr>
        <w:t>1.人大会议经费（区人民代表大会、区人大常委会、主任会议、市人民代表大会、省市人大工作研讨会）。该项目资金主要用于确保区八届二次</w:t>
      </w:r>
      <w:r>
        <w:rPr>
          <w:rFonts w:hint="eastAsia" w:eastAsia="仿宋_GB2312"/>
          <w:kern w:val="0"/>
          <w:sz w:val="32"/>
          <w:szCs w:val="32"/>
          <w:lang w:eastAsia="zh-CN"/>
        </w:rPr>
        <w:t>人民代表大会</w:t>
      </w:r>
      <w:r>
        <w:rPr>
          <w:rFonts w:hint="eastAsia" w:eastAsia="仿宋_GB2312"/>
          <w:kern w:val="0"/>
          <w:sz w:val="32"/>
          <w:szCs w:val="32"/>
        </w:rPr>
        <w:t>，2023年度</w:t>
      </w:r>
      <w:r>
        <w:rPr>
          <w:rFonts w:hint="eastAsia" w:eastAsia="仿宋_GB2312"/>
          <w:kern w:val="0"/>
          <w:sz w:val="32"/>
          <w:szCs w:val="32"/>
          <w:lang w:eastAsia="zh-CN"/>
        </w:rPr>
        <w:t>区</w:t>
      </w:r>
      <w:r>
        <w:rPr>
          <w:rFonts w:hint="eastAsia" w:eastAsia="仿宋_GB2312"/>
          <w:kern w:val="0"/>
          <w:sz w:val="32"/>
          <w:szCs w:val="32"/>
        </w:rPr>
        <w:t>人大常委会8次例会、12次主任会议，参加省市人大工作研讨会，昭化代表团参加市八届二次</w:t>
      </w:r>
      <w:r>
        <w:rPr>
          <w:rFonts w:hint="eastAsia" w:eastAsia="仿宋_GB2312"/>
          <w:kern w:val="0"/>
          <w:sz w:val="32"/>
          <w:szCs w:val="32"/>
          <w:lang w:eastAsia="zh-CN"/>
        </w:rPr>
        <w:t>人民代表大会</w:t>
      </w:r>
      <w:r>
        <w:rPr>
          <w:rFonts w:hint="eastAsia" w:eastAsia="仿宋_GB2312"/>
          <w:kern w:val="0"/>
          <w:sz w:val="32"/>
          <w:szCs w:val="32"/>
        </w:rPr>
        <w:t>等会议工作圆满顺利完成，保障到位，会议达到预期效果，全面落实中央人大工作会议精神，在区委的坚强领导下，自觉担负起新时代赋予人大的历史使命，主动作为，奋发进取，坚定不移发展全过程人民民主，凝聚思想共识，交流履职体会，明确工作重点，强化上下对接，提振信心士气，切实增强监督实效，强化代表履职担当，持之以恒建设“四个机关”，奋力谱写人大工作崭新篇章，为全面建设“四城新区”作出更大贡献。</w:t>
      </w:r>
    </w:p>
    <w:p w14:paraId="32C34E58">
      <w:pPr>
        <w:pStyle w:val="28"/>
        <w:tabs>
          <w:tab w:val="left" w:pos="1069"/>
        </w:tabs>
        <w:autoSpaceDE w:val="0"/>
        <w:autoSpaceDN w:val="0"/>
        <w:spacing w:line="540" w:lineRule="exact"/>
        <w:ind w:firstLine="640"/>
        <w:rPr>
          <w:rFonts w:ascii="仿宋_GB2312" w:hAnsi="仿宋_GB2312" w:eastAsia="仿宋_GB2312" w:cs="仿宋_GB2312"/>
          <w:sz w:val="32"/>
          <w:szCs w:val="32"/>
        </w:rPr>
      </w:pPr>
      <w:r>
        <w:rPr>
          <w:rFonts w:hint="eastAsia" w:eastAsia="仿宋_GB2312"/>
          <w:kern w:val="0"/>
          <w:sz w:val="32"/>
          <w:szCs w:val="32"/>
        </w:rPr>
        <w:t>2.人大代表经费（代表履职能力提升及平台建设、异地人大代表联络站、民生实事项目人大代表票决制）。该项目主要用于确保区、镇代表履职能力提升及平台建设、异地人大代表联络站工作开展、镇村人大代表家站室建设、民生实事项目人大代表票决制等项目的高效运转。一是提高代表意识、提高代表写说能力、提高代表的学习水平、提高代表的调研能力、提高代表的审议能力、提高代表的群众工作水平等，使得人大代表履职能力提升按期完成率达到100%，履职能力提升培训合格率达到100%，各部门和人民群众的满意度达到100%。二是围绕全区范围内围绕国民经济和社会发展计划执行情况，改革发展稳定的重大问题、人民群众普遍关注的热点、难点问题，精准扶贫问题等进行调研视察，采取“走、看、听、评”等方法，按期完成代表视察工作，为改革发展稳定的重大问题、人民群众普遍关注的热点、难点问题，乡村振兴问题等提供有效数据，使得各部门及视察对象满意度均达到100%。三是确实保障我区在北京、重庆、广东、浙江建立的异地人大工作站更好</w:t>
      </w:r>
      <w:r>
        <w:rPr>
          <w:rFonts w:hint="eastAsia" w:eastAsia="仿宋_GB2312"/>
          <w:kern w:val="0"/>
          <w:sz w:val="32"/>
          <w:szCs w:val="32"/>
          <w:lang w:eastAsia="zh-CN"/>
        </w:rPr>
        <w:t>地</w:t>
      </w:r>
      <w:r>
        <w:rPr>
          <w:rFonts w:hint="eastAsia" w:eastAsia="仿宋_GB2312"/>
          <w:kern w:val="0"/>
          <w:sz w:val="32"/>
          <w:szCs w:val="32"/>
        </w:rPr>
        <w:t>发挥作用。四是全面推进民生实事项目人大代表票决制工作，做到民生实事项目应办尽办，真正做到为民办实事、解难题，分民忧，确保各部门及服务对象满意度均达到100%。</w:t>
      </w:r>
    </w:p>
    <w:p w14:paraId="117309E5">
      <w:pPr>
        <w:pStyle w:val="28"/>
        <w:tabs>
          <w:tab w:val="left" w:pos="1076"/>
        </w:tabs>
        <w:autoSpaceDE w:val="0"/>
        <w:autoSpaceDN w:val="0"/>
        <w:spacing w:line="540" w:lineRule="exact"/>
        <w:ind w:firstLine="640"/>
        <w:rPr>
          <w:rFonts w:eastAsia="仿宋_GB2312"/>
          <w:kern w:val="0"/>
          <w:sz w:val="32"/>
          <w:szCs w:val="32"/>
        </w:rPr>
      </w:pPr>
      <w:r>
        <w:rPr>
          <w:rFonts w:hint="eastAsia" w:eastAsia="仿宋_GB2312"/>
          <w:kern w:val="0"/>
          <w:sz w:val="32"/>
          <w:szCs w:val="32"/>
        </w:rPr>
        <w:t>3.人大业务经费(人大监督、视察、调研、执法检查、全省预算执行在线监督、15个专委会工作、信访工作）。该项目主要确保顺利开展人大监督、视察、调研、执法检查、全省预算执行在线监督、15个专委会工作及信访等工作。自觉担负起新时代赋予人大的历史使命，主动作为，奋发进取，坚定不移发展全过程人民民主，切实增强监督实效，强化代表履职担当，加强对镇人大的指导，使全区人大工作水平得到整体提升；为改革发展稳定的重大问题、人民群众普遍关注的热点、难点问题，乡村振兴问题等提供有效数据。确保各项人大业务工作按期完成及时率达到100%，工作质量合格率达到100%，使得各部门和服务对象满意度均达到100%。</w:t>
      </w:r>
    </w:p>
    <w:p w14:paraId="7F5BD502">
      <w:pPr>
        <w:pStyle w:val="28"/>
        <w:tabs>
          <w:tab w:val="left" w:pos="1076"/>
        </w:tabs>
        <w:autoSpaceDE w:val="0"/>
        <w:autoSpaceDN w:val="0"/>
        <w:spacing w:line="540" w:lineRule="exact"/>
        <w:ind w:firstLine="640"/>
        <w:rPr>
          <w:rFonts w:eastAsia="仿宋_GB2312"/>
          <w:kern w:val="0"/>
          <w:sz w:val="32"/>
          <w:szCs w:val="32"/>
        </w:rPr>
      </w:pPr>
      <w:r>
        <w:rPr>
          <w:rFonts w:hint="eastAsia" w:eastAsia="仿宋_GB2312"/>
          <w:kern w:val="0"/>
          <w:sz w:val="32"/>
          <w:szCs w:val="32"/>
        </w:rPr>
        <w:t>4.机关管理经费(退休老干部管理、《人大志》编撰及临聘人员经费）。该项目一是完成对15年的人大工作进行编纂，形成《人大志》，编撰工作按期完成及时率达到100%，编撰成果质量效率达到100%；二是加强对27名退休干部的管理工作，包含会议、学习、参观、体检、慰问等工作。确保工作按期完成及时率达到100%、各部门及老干部自身满意度均达到100%。</w:t>
      </w:r>
    </w:p>
    <w:p w14:paraId="07C1DF48">
      <w:pPr>
        <w:pStyle w:val="28"/>
        <w:tabs>
          <w:tab w:val="left" w:pos="1076"/>
        </w:tabs>
        <w:autoSpaceDE w:val="0"/>
        <w:autoSpaceDN w:val="0"/>
        <w:spacing w:line="540" w:lineRule="exact"/>
        <w:ind w:firstLine="640"/>
        <w:rPr>
          <w:rFonts w:eastAsia="仿宋_GB2312"/>
          <w:kern w:val="0"/>
          <w:sz w:val="32"/>
          <w:szCs w:val="32"/>
        </w:rPr>
      </w:pPr>
      <w:r>
        <w:rPr>
          <w:rFonts w:hint="eastAsia" w:eastAsia="仿宋_GB2312"/>
          <w:kern w:val="0"/>
          <w:sz w:val="32"/>
          <w:szCs w:val="32"/>
        </w:rPr>
        <w:t>5.乡村振兴及其它人大事务性经费。该项目为了认真贯彻落实区委《广元市昭化区乡村振兴战略规划（2018-2022）》</w:t>
      </w:r>
      <w:r>
        <w:rPr>
          <w:rFonts w:hint="eastAsia" w:eastAsia="仿宋_GB2312"/>
          <w:kern w:val="0"/>
          <w:sz w:val="32"/>
          <w:szCs w:val="32"/>
          <w:lang w:eastAsia="zh-CN"/>
        </w:rPr>
        <w:t>战</w:t>
      </w:r>
      <w:r>
        <w:rPr>
          <w:rFonts w:hint="eastAsia" w:eastAsia="仿宋_GB2312"/>
          <w:kern w:val="0"/>
          <w:sz w:val="32"/>
          <w:szCs w:val="32"/>
        </w:rPr>
        <w:t>略部署，紧紧围绕我区“三农”工作重点，认真履行宪法和法律赋予的职权，依法加强</w:t>
      </w:r>
      <w:r>
        <w:rPr>
          <w:rFonts w:hint="eastAsia" w:eastAsia="仿宋_GB2312"/>
          <w:kern w:val="0"/>
          <w:sz w:val="32"/>
          <w:szCs w:val="32"/>
          <w:lang w:eastAsia="zh-CN"/>
        </w:rPr>
        <w:t>监</w:t>
      </w:r>
      <w:r>
        <w:rPr>
          <w:rFonts w:hint="eastAsia" w:eastAsia="仿宋_GB2312"/>
          <w:kern w:val="0"/>
          <w:sz w:val="32"/>
          <w:szCs w:val="32"/>
        </w:rPr>
        <w:t>督，更好地服务于新形势下的现代</w:t>
      </w:r>
      <w:r>
        <w:rPr>
          <w:rFonts w:hint="eastAsia" w:eastAsia="仿宋_GB2312"/>
          <w:kern w:val="0"/>
          <w:sz w:val="32"/>
          <w:szCs w:val="32"/>
          <w:lang w:eastAsia="zh-CN"/>
        </w:rPr>
        <w:t>农业</w:t>
      </w:r>
      <w:r>
        <w:rPr>
          <w:rFonts w:hint="eastAsia" w:eastAsia="仿宋_GB2312"/>
          <w:kern w:val="0"/>
          <w:sz w:val="32"/>
          <w:szCs w:val="32"/>
        </w:rPr>
        <w:t>产业发展。开展对沈家阁、石井铺2村的帮扶联系工作及其它事务性工作，工作按期完成及时率达到100%，工作成效提升率达到100%，切实为民解难题办实事，助力产业发展，助农增收，使得各部门及帮扶对象满意度均达到100%。</w:t>
      </w:r>
    </w:p>
    <w:p w14:paraId="613A6E6D">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（三）项目资金申报相符性</w:t>
      </w:r>
    </w:p>
    <w:p w14:paraId="2AF55025">
      <w:pPr>
        <w:pStyle w:val="2"/>
        <w:autoSpaceDE w:val="0"/>
        <w:autoSpaceDN w:val="0"/>
        <w:spacing w:beforeLines="0" w:line="540" w:lineRule="exact"/>
        <w:ind w:firstLine="640" w:firstLineChars="200"/>
        <w:rPr>
          <w:rFonts w:ascii="Times New Roman"/>
          <w:sz w:val="32"/>
          <w:szCs w:val="32"/>
        </w:rPr>
      </w:pPr>
      <w:r>
        <w:rPr>
          <w:rFonts w:hint="eastAsia" w:ascii="Times New Roman"/>
          <w:sz w:val="32"/>
          <w:szCs w:val="32"/>
        </w:rPr>
        <w:t>该5个项目，每一笔经费开支在核定的支出限额和范围内实行据实凭票报账制，严格资金审批制度，附件完整齐全，经层层把关，审核签字，财务通过一体化平台支付款项。每笔资金都用于相关业务，申报内容与具体实施内容相符，申报目标具体量化、合理可行。</w:t>
      </w:r>
    </w:p>
    <w:p w14:paraId="38423447">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（四）自评步骤及方法</w:t>
      </w:r>
    </w:p>
    <w:p w14:paraId="7409B7FD">
      <w:pPr>
        <w:pStyle w:val="2"/>
        <w:autoSpaceDE w:val="0"/>
        <w:autoSpaceDN w:val="0"/>
        <w:spacing w:beforeLines="0" w:line="540" w:lineRule="exact"/>
        <w:ind w:firstLine="640" w:firstLineChars="200"/>
        <w:rPr>
          <w:rFonts w:ascii="Times New Roman"/>
          <w:sz w:val="32"/>
          <w:szCs w:val="32"/>
        </w:rPr>
      </w:pPr>
      <w:r>
        <w:rPr>
          <w:rFonts w:hint="eastAsia" w:ascii="Times New Roman"/>
          <w:sz w:val="32"/>
          <w:szCs w:val="32"/>
        </w:rPr>
        <w:t>通过撰写自评报告、结合自评表和自评打分体系打分，查漏补缺，做到有计划、有安排。按照区财政局下达的项目支出绩效评价指标体系，针对申报内容、实施情况、资金支付、财务管理、经济效益、社会效益等评价内容作出自我评价，形成自评报告，并向区财政局报送电子和纸质资料。</w:t>
      </w:r>
    </w:p>
    <w:p w14:paraId="3E132293">
      <w:pPr>
        <w:pStyle w:val="2"/>
        <w:autoSpaceDE w:val="0"/>
        <w:autoSpaceDN w:val="0"/>
        <w:spacing w:beforeLines="0" w:line="540" w:lineRule="exact"/>
        <w:ind w:firstLine="600" w:firstLineChars="200"/>
        <w:rPr>
          <w:rFonts w:ascii="黑体" w:eastAsia="黑体"/>
        </w:rPr>
      </w:pPr>
      <w:r>
        <w:rPr>
          <w:rFonts w:hint="eastAsia" w:ascii="黑体" w:eastAsia="黑体"/>
        </w:rPr>
        <w:t>二、项目实施及管理情况</w:t>
      </w:r>
    </w:p>
    <w:p w14:paraId="6D36B2DA">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（一）资金计划、到位及使用情况</w:t>
      </w:r>
    </w:p>
    <w:p w14:paraId="1FB7874B">
      <w:pPr>
        <w:pStyle w:val="2"/>
        <w:autoSpaceDE w:val="0"/>
        <w:autoSpaceDN w:val="0"/>
        <w:spacing w:beforeLines="0" w:line="540" w:lineRule="exact"/>
        <w:ind w:firstLine="640" w:firstLineChars="200"/>
        <w:rPr>
          <w:rFonts w:ascii="Times New Roman"/>
          <w:sz w:val="32"/>
          <w:szCs w:val="32"/>
        </w:rPr>
      </w:pPr>
      <w:r>
        <w:rPr>
          <w:rFonts w:hint="eastAsia" w:ascii="Times New Roman"/>
          <w:sz w:val="32"/>
          <w:szCs w:val="32"/>
        </w:rPr>
        <w:t>2023年3月22日，资金预算批复全部到位，资金到位率100%、资金到位及时。截止2023年12月31日支付机关管理经费（退休老干部管理、《人大志》编撰等）共计38.5万元；人大会议经费（区人民代表大会、区人大常委会、主任会议、市人民代表大会、省市人大工作研讨会等）共计59.12万元；人大代表经费（代表履职能力提升及平台建设、异地人大代表联络站、民生实事项目人大代表票决制等）共计147.6万元；人大业务经费（人大监督、视察、调研、执法检查、全省预算执行在线监督、信访工作、15个专委会等）共计70万元；乡村振兴及其他人大事务性经费共计20万元。支付依据合规合法，资金支付与预算、追加相符。严格审核费用的标准、范围及其合规性。对每一笔经费开支在核定的支出限额和范围内实行据实凭票报账制，严格资金审批制度，附件完整齐全，通过层层把关，审核签字，通过一体化平台支付款项，支出完成率达100%。</w:t>
      </w:r>
    </w:p>
    <w:p w14:paraId="2EA07A25">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（二）项目财务管理情况</w:t>
      </w:r>
    </w:p>
    <w:p w14:paraId="3A6FCCA8">
      <w:pPr>
        <w:pStyle w:val="2"/>
        <w:autoSpaceDE w:val="0"/>
        <w:autoSpaceDN w:val="0"/>
        <w:spacing w:beforeLines="0" w:line="540" w:lineRule="exact"/>
        <w:ind w:firstLine="640" w:firstLineChars="200"/>
        <w:rPr>
          <w:rFonts w:ascii="Times New Roman"/>
          <w:sz w:val="32"/>
          <w:szCs w:val="32"/>
        </w:rPr>
      </w:pPr>
      <w:r>
        <w:rPr>
          <w:rFonts w:hint="eastAsia" w:ascii="Times New Roman"/>
          <w:sz w:val="32"/>
          <w:szCs w:val="32"/>
        </w:rPr>
        <w:t>严格按照财务规定和程序实行国库集中支付方式实施项目资金分配,并进行严格监督检查，在资金使用过程中无截留、挤占、挪用、虚列支出等情况，做到了专款专用，提高了资金使用效率，并在项目实施完成后及时开展绩效自评，按规定按月及时处理账务，账务核算规范准确。</w:t>
      </w:r>
    </w:p>
    <w:p w14:paraId="0FB9C087">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（三）项目组织实施情况</w:t>
      </w:r>
    </w:p>
    <w:p w14:paraId="11F06CB8">
      <w:pPr>
        <w:pStyle w:val="2"/>
        <w:autoSpaceDE w:val="0"/>
        <w:autoSpaceDN w:val="0"/>
        <w:spacing w:beforeLines="0" w:line="540" w:lineRule="exact"/>
        <w:ind w:firstLine="640" w:firstLineChars="200"/>
        <w:rPr>
          <w:rFonts w:ascii="Times New Roman"/>
          <w:sz w:val="32"/>
          <w:szCs w:val="32"/>
        </w:rPr>
      </w:pPr>
      <w:r>
        <w:rPr>
          <w:rFonts w:hint="eastAsia" w:ascii="Times New Roman"/>
          <w:sz w:val="32"/>
          <w:szCs w:val="32"/>
        </w:rPr>
        <w:t>该5个项目</w:t>
      </w:r>
      <w:r>
        <w:rPr>
          <w:rFonts w:hint="eastAsia" w:ascii="Times New Roman"/>
          <w:sz w:val="32"/>
          <w:szCs w:val="32"/>
          <w:lang w:eastAsia="zh-CN"/>
        </w:rPr>
        <w:t>为</w:t>
      </w:r>
      <w:r>
        <w:rPr>
          <w:rFonts w:hint="eastAsia" w:ascii="Times New Roman"/>
          <w:sz w:val="32"/>
          <w:szCs w:val="32"/>
        </w:rPr>
        <w:t>基本运转类项目，是长期使用的项目。这些项目开始时间为2023年1月，完成时间</w:t>
      </w:r>
      <w:r>
        <w:rPr>
          <w:rFonts w:hint="eastAsia"/>
          <w:lang w:eastAsia="zh-CN"/>
        </w:rPr>
        <w:t>为</w:t>
      </w:r>
      <w:r>
        <w:rPr>
          <w:rFonts w:hint="eastAsia" w:ascii="Times New Roman"/>
          <w:sz w:val="32"/>
          <w:szCs w:val="32"/>
        </w:rPr>
        <w:t>2023年12月。根据项目申报有关要求，编制项目支出计划。在对各项目申报材料和项目支出预算合理性、可行性和必要性进行审核的基础上，并按照部门预算管理程序和要求编制项目支出预算。在项目组织的过程中，能做到有依有据，合理合法，监管与审核并重，项目绩效与预决算一同在区人民政府</w:t>
      </w:r>
      <w:r>
        <w:rPr>
          <w:rFonts w:hint="eastAsia" w:ascii="Times New Roman"/>
          <w:sz w:val="32"/>
          <w:szCs w:val="32"/>
          <w:lang w:eastAsia="zh-CN"/>
        </w:rPr>
        <w:t>政务公开</w:t>
      </w:r>
      <w:r>
        <w:rPr>
          <w:rFonts w:hint="eastAsia" w:ascii="Times New Roman"/>
          <w:sz w:val="32"/>
          <w:szCs w:val="32"/>
        </w:rPr>
        <w:t>。</w:t>
      </w:r>
    </w:p>
    <w:p w14:paraId="2044B7F9">
      <w:pPr>
        <w:pStyle w:val="2"/>
        <w:autoSpaceDE w:val="0"/>
        <w:autoSpaceDN w:val="0"/>
        <w:spacing w:beforeLines="0" w:line="540" w:lineRule="exact"/>
        <w:ind w:firstLine="600" w:firstLineChars="200"/>
        <w:rPr>
          <w:rFonts w:ascii="黑体" w:hAnsi="黑体" w:eastAsia="黑体" w:cs="黑体"/>
        </w:rPr>
      </w:pPr>
      <w:r>
        <w:rPr>
          <w:rFonts w:hint="eastAsia" w:ascii="黑体" w:hAnsi="黑体" w:eastAsia="黑体" w:cs="黑体"/>
        </w:rPr>
        <w:t>三、项目绩效情况</w:t>
      </w:r>
    </w:p>
    <w:p w14:paraId="4BEE7983">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14:paraId="409A8963">
      <w:pPr>
        <w:pStyle w:val="28"/>
        <w:tabs>
          <w:tab w:val="left" w:pos="1076"/>
        </w:tabs>
        <w:autoSpaceDE w:val="0"/>
        <w:autoSpaceDN w:val="0"/>
        <w:spacing w:line="540" w:lineRule="exact"/>
        <w:ind w:firstLine="640"/>
        <w:rPr>
          <w:rFonts w:eastAsia="仿宋_GB2312"/>
          <w:kern w:val="0"/>
          <w:sz w:val="32"/>
          <w:szCs w:val="32"/>
        </w:rPr>
      </w:pPr>
      <w:r>
        <w:rPr>
          <w:rFonts w:hint="eastAsia" w:eastAsia="仿宋_GB2312"/>
          <w:kern w:val="0"/>
          <w:sz w:val="32"/>
          <w:szCs w:val="32"/>
        </w:rPr>
        <w:t>1.人大会议经费（区人民代表大会、区人大常委会、主任会议、市人民代表大会、省市人大工作研讨会）。完成1次区八届二次</w:t>
      </w:r>
      <w:r>
        <w:rPr>
          <w:rFonts w:hint="eastAsia" w:eastAsia="仿宋_GB2312"/>
          <w:kern w:val="0"/>
          <w:sz w:val="32"/>
          <w:szCs w:val="32"/>
          <w:lang w:eastAsia="zh-CN"/>
        </w:rPr>
        <w:t>人民代表大会</w:t>
      </w:r>
      <w:r>
        <w:rPr>
          <w:rFonts w:hint="eastAsia" w:eastAsia="仿宋_GB2312"/>
          <w:kern w:val="0"/>
          <w:sz w:val="32"/>
          <w:szCs w:val="32"/>
        </w:rPr>
        <w:t>，2023年度人大常委会8次例会、12次主任会议，参加6此省市人大工作研讨会，昭化代表团参加1次市八届二次</w:t>
      </w:r>
      <w:r>
        <w:rPr>
          <w:rFonts w:hint="eastAsia" w:eastAsia="仿宋_GB2312"/>
          <w:kern w:val="0"/>
          <w:sz w:val="32"/>
          <w:szCs w:val="32"/>
          <w:lang w:eastAsia="zh-CN"/>
        </w:rPr>
        <w:t>人民代表大会</w:t>
      </w:r>
      <w:r>
        <w:rPr>
          <w:rFonts w:hint="eastAsia" w:eastAsia="仿宋_GB2312"/>
          <w:kern w:val="0"/>
          <w:sz w:val="32"/>
          <w:szCs w:val="32"/>
        </w:rPr>
        <w:t>。</w:t>
      </w:r>
    </w:p>
    <w:p w14:paraId="1AA10C80">
      <w:pPr>
        <w:pStyle w:val="28"/>
        <w:tabs>
          <w:tab w:val="left" w:pos="1069"/>
        </w:tabs>
        <w:autoSpaceDE w:val="0"/>
        <w:autoSpaceDN w:val="0"/>
        <w:spacing w:line="540" w:lineRule="exact"/>
        <w:ind w:firstLine="640"/>
        <w:rPr>
          <w:rFonts w:eastAsia="仿宋_GB2312"/>
          <w:kern w:val="0"/>
          <w:sz w:val="32"/>
          <w:szCs w:val="32"/>
        </w:rPr>
      </w:pPr>
      <w:r>
        <w:rPr>
          <w:rFonts w:hint="eastAsia" w:eastAsia="仿宋_GB2312"/>
          <w:kern w:val="0"/>
          <w:sz w:val="32"/>
          <w:szCs w:val="32"/>
        </w:rPr>
        <w:t>2.人大代表经费（代表履职能力提升及平台建设、异地人大代表联络站、民生实事项目人大代表票决制）。确保了区、镇12个代表履职能力提升及平台建设、保障了4个异地人大代表联络站工作开展，实现12件民生实事项目有效监督。使得人大代表履职能力提升按期完成率达到100%，履职能力提升培训合格率达到100%，各部门和人民群众的满意度达到100%。</w:t>
      </w:r>
    </w:p>
    <w:p w14:paraId="2B35715B">
      <w:pPr>
        <w:pStyle w:val="28"/>
        <w:tabs>
          <w:tab w:val="left" w:pos="1076"/>
        </w:tabs>
        <w:autoSpaceDE w:val="0"/>
        <w:autoSpaceDN w:val="0"/>
        <w:spacing w:line="540" w:lineRule="exact"/>
        <w:ind w:firstLine="640"/>
        <w:rPr>
          <w:rFonts w:eastAsia="仿宋_GB2312"/>
          <w:kern w:val="0"/>
          <w:sz w:val="32"/>
          <w:szCs w:val="32"/>
        </w:rPr>
      </w:pPr>
      <w:r>
        <w:rPr>
          <w:rFonts w:hint="eastAsia" w:eastAsia="仿宋_GB2312"/>
          <w:kern w:val="0"/>
          <w:sz w:val="32"/>
          <w:szCs w:val="32"/>
        </w:rPr>
        <w:t>3.人大业务经费(人大监督、视察、调研、执法检查、全省预算执行在线监督、15个专委会工作、信访工作）。人大监督有效监督百余次、视察12次、调研120余次、执法检查30次、78个一级预算单位预算执行在线监督全覆盖、保障了15个专委会工作及信访等工作顺利开展。确保各项人大业务工作按期完成及时率达到100%。</w:t>
      </w:r>
    </w:p>
    <w:p w14:paraId="2DB744AC">
      <w:pPr>
        <w:pStyle w:val="28"/>
        <w:tabs>
          <w:tab w:val="left" w:pos="1076"/>
        </w:tabs>
        <w:autoSpaceDE w:val="0"/>
        <w:autoSpaceDN w:val="0"/>
        <w:spacing w:line="540" w:lineRule="exact"/>
        <w:ind w:firstLine="640"/>
        <w:rPr>
          <w:rFonts w:eastAsia="仿宋_GB2312"/>
          <w:kern w:val="0"/>
          <w:sz w:val="32"/>
          <w:szCs w:val="32"/>
        </w:rPr>
      </w:pPr>
      <w:r>
        <w:rPr>
          <w:rFonts w:hint="eastAsia" w:eastAsia="仿宋_GB2312"/>
          <w:kern w:val="0"/>
          <w:sz w:val="32"/>
          <w:szCs w:val="32"/>
        </w:rPr>
        <w:t>4.机关管理经费(退休老干部管理、《人大志》编撰）。该项目一是完成对15年的人大工作进行编纂，形成《人大志》，编撰工作完成30%；二是加强对27名退休干部的管理工作，包含会议、学习、参观、体检、慰问等工作，各部门及老干部自身满意度均达到100%。</w:t>
      </w:r>
    </w:p>
    <w:p w14:paraId="1F340D07">
      <w:pPr>
        <w:pStyle w:val="2"/>
        <w:autoSpaceDE w:val="0"/>
        <w:autoSpaceDN w:val="0"/>
        <w:spacing w:beforeLines="0" w:line="540" w:lineRule="exact"/>
        <w:ind w:firstLine="640" w:firstLineChars="200"/>
        <w:rPr>
          <w:rFonts w:ascii="Times New Roman"/>
          <w:sz w:val="32"/>
          <w:szCs w:val="32"/>
        </w:rPr>
      </w:pPr>
      <w:r>
        <w:rPr>
          <w:rFonts w:hint="eastAsia" w:ascii="Times New Roman"/>
          <w:sz w:val="32"/>
          <w:szCs w:val="32"/>
        </w:rPr>
        <w:t>5.乡村振兴及</w:t>
      </w:r>
      <w:r>
        <w:rPr>
          <w:rFonts w:hint="eastAsia" w:ascii="Times New Roman"/>
          <w:sz w:val="32"/>
          <w:szCs w:val="32"/>
          <w:lang w:eastAsia="zh-CN"/>
        </w:rPr>
        <w:t>其他</w:t>
      </w:r>
      <w:r>
        <w:rPr>
          <w:rFonts w:hint="eastAsia" w:ascii="Times New Roman"/>
          <w:sz w:val="32"/>
          <w:szCs w:val="32"/>
        </w:rPr>
        <w:t>人大事务性经费。完成了对沈家阁、石井铺2村的帮扶联系工作及其它事务性工作，工作按期完成及时率达到100%，工作成效提升率达到100%，切实为民解难题办实事，助力产业发展，助农增收，使得各部门及帮扶对象满意度均达到100%。</w:t>
      </w:r>
    </w:p>
    <w:p w14:paraId="0F3BCFE7">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（二）项目效益情况</w:t>
      </w:r>
    </w:p>
    <w:p w14:paraId="256E5114">
      <w:pPr>
        <w:spacing w:line="540" w:lineRule="exact"/>
        <w:ind w:firstLine="640" w:firstLineChars="200"/>
        <w:rPr>
          <w:rFonts w:eastAsia="仿宋_GB2312"/>
          <w:kern w:val="0"/>
          <w:sz w:val="32"/>
          <w:szCs w:val="32"/>
        </w:rPr>
      </w:pPr>
      <w:r>
        <w:rPr>
          <w:rFonts w:hint="eastAsia" w:eastAsia="仿宋_GB2312"/>
          <w:kern w:val="0"/>
          <w:sz w:val="32"/>
          <w:szCs w:val="32"/>
        </w:rPr>
        <w:t>通</w:t>
      </w:r>
      <w:r>
        <w:rPr>
          <w:rFonts w:hint="eastAsia" w:eastAsia="仿宋_GB2312"/>
          <w:kern w:val="0"/>
          <w:sz w:val="32"/>
          <w:szCs w:val="32"/>
          <w:lang w:eastAsia="zh-CN"/>
        </w:rPr>
        <w:t>过</w:t>
      </w:r>
      <w:r>
        <w:rPr>
          <w:rFonts w:hint="eastAsia" w:eastAsia="仿宋_GB2312"/>
          <w:kern w:val="0"/>
          <w:sz w:val="32"/>
          <w:szCs w:val="32"/>
        </w:rPr>
        <w:t>该项目实施后，使我办各项业务工作得到了较好保障，人民代表的职能作用得到更充分发挥，</w:t>
      </w:r>
      <w:r>
        <w:rPr>
          <w:rFonts w:eastAsia="仿宋_GB2312"/>
          <w:kern w:val="0"/>
          <w:sz w:val="32"/>
          <w:szCs w:val="32"/>
        </w:rPr>
        <w:t>从经济效益分析，圆满完成全年工作目标，为昭化的高质量发展贡献了智慧和力量。从社会效益分析，了解民意，体察民情，集中民智。从生态效益分析，助推了城乡环境的改善。从可持续影响分析，进一步丰富拓展了</w:t>
      </w:r>
      <w:r>
        <w:rPr>
          <w:rFonts w:hint="eastAsia" w:eastAsia="仿宋_GB2312"/>
          <w:kern w:val="0"/>
          <w:sz w:val="32"/>
          <w:szCs w:val="32"/>
        </w:rPr>
        <w:t>人民当家</w:t>
      </w:r>
      <w:r>
        <w:rPr>
          <w:rFonts w:hint="eastAsia" w:eastAsia="仿宋_GB2312"/>
          <w:kern w:val="0"/>
          <w:sz w:val="32"/>
          <w:szCs w:val="32"/>
          <w:lang w:eastAsia="zh-CN"/>
        </w:rPr>
        <w:t>作</w:t>
      </w:r>
      <w:r>
        <w:rPr>
          <w:rFonts w:hint="eastAsia" w:eastAsia="仿宋_GB2312"/>
          <w:kern w:val="0"/>
          <w:sz w:val="32"/>
          <w:szCs w:val="32"/>
        </w:rPr>
        <w:t>主</w:t>
      </w:r>
      <w:r>
        <w:rPr>
          <w:rFonts w:eastAsia="仿宋_GB2312"/>
          <w:kern w:val="0"/>
          <w:sz w:val="32"/>
          <w:szCs w:val="32"/>
        </w:rPr>
        <w:t>的途径和方式，提升了各项工作水平。</w:t>
      </w:r>
      <w:r>
        <w:rPr>
          <w:rFonts w:hint="eastAsia" w:eastAsia="仿宋_GB2312"/>
          <w:kern w:val="0"/>
          <w:sz w:val="32"/>
          <w:szCs w:val="32"/>
        </w:rPr>
        <w:t>各项工作按期完成率达到100%，各部门及群众满意度100%。</w:t>
      </w:r>
    </w:p>
    <w:p w14:paraId="0724D745">
      <w:pPr>
        <w:pStyle w:val="2"/>
        <w:autoSpaceDE w:val="0"/>
        <w:autoSpaceDN w:val="0"/>
        <w:spacing w:beforeLines="0" w:line="54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四、评价结论及问题建议</w:t>
      </w:r>
    </w:p>
    <w:p w14:paraId="12E55394">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14:paraId="4AFE98A0">
      <w:pPr>
        <w:pStyle w:val="2"/>
        <w:autoSpaceDE w:val="0"/>
        <w:autoSpaceDN w:val="0"/>
        <w:spacing w:beforeLines="0" w:line="540" w:lineRule="exact"/>
        <w:ind w:firstLine="640" w:firstLineChars="200"/>
        <w:rPr>
          <w:rFonts w:ascii="Times New Roman"/>
          <w:sz w:val="32"/>
          <w:szCs w:val="32"/>
        </w:rPr>
      </w:pPr>
      <w:r>
        <w:rPr>
          <w:rFonts w:ascii="Times New Roman"/>
          <w:sz w:val="32"/>
          <w:szCs w:val="32"/>
        </w:rPr>
        <w:t>通过对202</w:t>
      </w:r>
      <w:r>
        <w:rPr>
          <w:rFonts w:hint="eastAsia" w:ascii="Times New Roman"/>
          <w:sz w:val="32"/>
          <w:szCs w:val="32"/>
        </w:rPr>
        <w:t>3</w:t>
      </w:r>
      <w:r>
        <w:rPr>
          <w:rFonts w:ascii="Times New Roman"/>
          <w:sz w:val="32"/>
          <w:szCs w:val="32"/>
        </w:rPr>
        <w:t>年度项目工作经费的使用，实施绩效进行了评价，各项项目工作经费为</w:t>
      </w:r>
      <w:r>
        <w:rPr>
          <w:rFonts w:hint="eastAsia" w:ascii="Times New Roman"/>
          <w:sz w:val="32"/>
          <w:szCs w:val="32"/>
        </w:rPr>
        <w:t>人大</w:t>
      </w:r>
      <w:r>
        <w:rPr>
          <w:rFonts w:hint="eastAsia" w:ascii="Times New Roman"/>
          <w:sz w:val="32"/>
          <w:szCs w:val="32"/>
          <w:lang w:eastAsia="zh-CN"/>
        </w:rPr>
        <w:t>工作</w:t>
      </w:r>
      <w:r>
        <w:rPr>
          <w:rFonts w:ascii="Times New Roman"/>
          <w:sz w:val="32"/>
          <w:szCs w:val="32"/>
        </w:rPr>
        <w:t>的</w:t>
      </w:r>
      <w:r>
        <w:rPr>
          <w:rFonts w:hint="eastAsia" w:ascii="Times New Roman"/>
          <w:sz w:val="32"/>
          <w:szCs w:val="32"/>
          <w:lang w:eastAsia="zh-CN"/>
        </w:rPr>
        <w:t>推进</w:t>
      </w:r>
      <w:r>
        <w:rPr>
          <w:rFonts w:ascii="Times New Roman"/>
          <w:sz w:val="32"/>
          <w:szCs w:val="32"/>
        </w:rPr>
        <w:t>提供了有效资金保障，</w:t>
      </w:r>
      <w:r>
        <w:rPr>
          <w:rFonts w:hint="eastAsia" w:ascii="Times New Roman"/>
          <w:sz w:val="32"/>
          <w:szCs w:val="32"/>
        </w:rPr>
        <w:t>超额完成全年各项工作，运转正常，代表</w:t>
      </w:r>
      <w:r>
        <w:rPr>
          <w:rFonts w:ascii="Times New Roman"/>
          <w:sz w:val="32"/>
          <w:szCs w:val="32"/>
        </w:rPr>
        <w:t>及群众满意度达100%，</w:t>
      </w:r>
      <w:r>
        <w:rPr>
          <w:rFonts w:hint="eastAsia" w:ascii="Times New Roman"/>
          <w:sz w:val="32"/>
          <w:szCs w:val="32"/>
        </w:rPr>
        <w:t>自评平均得分97.6分。</w:t>
      </w:r>
    </w:p>
    <w:p w14:paraId="300DA32A">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14:paraId="44003007">
      <w:pPr>
        <w:pStyle w:val="2"/>
        <w:autoSpaceDE w:val="0"/>
        <w:autoSpaceDN w:val="0"/>
        <w:spacing w:beforeLines="0" w:line="540" w:lineRule="exact"/>
        <w:ind w:firstLine="640" w:firstLineChars="200"/>
        <w:rPr>
          <w:rFonts w:ascii="Times New Roman"/>
          <w:sz w:val="32"/>
          <w:szCs w:val="32"/>
        </w:rPr>
      </w:pPr>
      <w:r>
        <w:rPr>
          <w:rFonts w:ascii="Times New Roman"/>
          <w:sz w:val="32"/>
          <w:szCs w:val="32"/>
        </w:rPr>
        <w:t>绩效目标编制</w:t>
      </w:r>
      <w:r>
        <w:rPr>
          <w:rFonts w:hint="eastAsia" w:ascii="Times New Roman"/>
          <w:sz w:val="32"/>
          <w:szCs w:val="32"/>
        </w:rPr>
        <w:t>质量</w:t>
      </w:r>
      <w:r>
        <w:rPr>
          <w:rFonts w:ascii="Times New Roman"/>
          <w:sz w:val="32"/>
          <w:szCs w:val="32"/>
        </w:rPr>
        <w:t>有待进一步</w:t>
      </w:r>
      <w:r>
        <w:rPr>
          <w:rFonts w:hint="eastAsia" w:ascii="Times New Roman"/>
          <w:sz w:val="32"/>
          <w:szCs w:val="32"/>
        </w:rPr>
        <w:t>提高。</w:t>
      </w:r>
    </w:p>
    <w:p w14:paraId="12A75DF8">
      <w:pPr>
        <w:pStyle w:val="2"/>
        <w:autoSpaceDE w:val="0"/>
        <w:autoSpaceDN w:val="0"/>
        <w:spacing w:beforeLines="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（三）相关措施建议</w:t>
      </w:r>
    </w:p>
    <w:p w14:paraId="2CB5E458">
      <w:pPr>
        <w:pStyle w:val="2"/>
        <w:autoSpaceDE w:val="0"/>
        <w:autoSpaceDN w:val="0"/>
        <w:spacing w:beforeLines="0" w:line="540" w:lineRule="exact"/>
        <w:ind w:firstLine="640" w:firstLineChars="200"/>
        <w:rPr>
          <w:rFonts w:ascii="Times New Roman"/>
          <w:sz w:val="32"/>
          <w:szCs w:val="32"/>
        </w:rPr>
      </w:pPr>
      <w:r>
        <w:rPr>
          <w:rFonts w:hint="eastAsia" w:ascii="Times New Roman"/>
          <w:sz w:val="32"/>
          <w:szCs w:val="32"/>
        </w:rPr>
        <w:t>建议加强对项目绩效评价工作的指导和培训，使项目编制更加符合绩效评价相关要求。</w:t>
      </w:r>
    </w:p>
    <w:p w14:paraId="62CEE170">
      <w:pPr>
        <w:pStyle w:val="2"/>
        <w:autoSpaceDE w:val="0"/>
        <w:autoSpaceDN w:val="0"/>
        <w:spacing w:beforeLines="0" w:line="540" w:lineRule="exact"/>
        <w:ind w:firstLine="640" w:firstLineChars="200"/>
        <w:rPr>
          <w:rFonts w:ascii="Times New Roman"/>
          <w:sz w:val="32"/>
          <w:szCs w:val="32"/>
        </w:rPr>
      </w:pPr>
    </w:p>
    <w:p w14:paraId="429E0A88">
      <w:pPr>
        <w:pStyle w:val="2"/>
        <w:autoSpaceDE w:val="0"/>
        <w:autoSpaceDN w:val="0"/>
        <w:spacing w:beforeLines="0" w:line="540" w:lineRule="exact"/>
        <w:ind w:firstLine="640" w:firstLineChars="200"/>
      </w:pPr>
      <w:r>
        <w:rPr>
          <w:rFonts w:hint="eastAsia" w:ascii="Times New Roman"/>
          <w:sz w:val="32"/>
          <w:szCs w:val="32"/>
        </w:rPr>
        <w:t>附件：广元市昭化区2023年度财政项目（政策）支出绩效自评表</w:t>
      </w:r>
    </w:p>
    <w:p w14:paraId="5227A1A8">
      <w:pPr>
        <w:rPr>
          <w:rFonts w:ascii="黑体" w:hAnsi="黑体" w:eastAsia="黑体"/>
          <w:sz w:val="44"/>
          <w:szCs w:val="44"/>
        </w:rPr>
        <w:sectPr>
          <w:footerReference r:id="rId8" w:type="default"/>
          <w:pgSz w:w="11906" w:h="16838"/>
          <w:pgMar w:top="1440" w:right="1800" w:bottom="1440" w:left="1800" w:header="851" w:footer="992" w:gutter="0"/>
          <w:pgNumType w:fmt="decimal" w:start="1"/>
          <w:cols w:space="425" w:num="1"/>
          <w:docGrid w:type="lines" w:linePitch="312" w:charSpace="0"/>
        </w:sectPr>
      </w:pPr>
    </w:p>
    <w:p w14:paraId="4011DE0D">
      <w:pPr>
        <w:pStyle w:val="7"/>
        <w:spacing w:after="0" w:line="400" w:lineRule="exact"/>
        <w:ind w:left="0" w:leftChars="0"/>
        <w:rPr>
          <w:rFonts w:ascii="黑体" w:hAnsi="黑体"/>
          <w:sz w:val="44"/>
          <w:szCs w:val="44"/>
        </w:rPr>
      </w:pPr>
    </w:p>
    <w:tbl>
      <w:tblPr>
        <w:tblStyle w:val="16"/>
        <w:tblW w:w="15320" w:type="dxa"/>
        <w:jc w:val="center"/>
        <w:tblLayout w:type="autofit"/>
        <w:tblCellMar>
          <w:top w:w="0" w:type="dxa"/>
          <w:left w:w="108" w:type="dxa"/>
          <w:bottom w:w="0" w:type="dxa"/>
          <w:right w:w="108" w:type="dxa"/>
        </w:tblCellMar>
      </w:tblPr>
      <w:tblGrid>
        <w:gridCol w:w="690"/>
        <w:gridCol w:w="1758"/>
        <w:gridCol w:w="1890"/>
        <w:gridCol w:w="5850"/>
        <w:gridCol w:w="1020"/>
        <w:gridCol w:w="893"/>
        <w:gridCol w:w="931"/>
        <w:gridCol w:w="2288"/>
      </w:tblGrid>
      <w:tr w14:paraId="7FC4913D">
        <w:tblPrEx>
          <w:tblCellMar>
            <w:top w:w="0" w:type="dxa"/>
            <w:left w:w="108" w:type="dxa"/>
            <w:bottom w:w="0" w:type="dxa"/>
            <w:right w:w="108" w:type="dxa"/>
          </w:tblCellMar>
        </w:tblPrEx>
        <w:trPr>
          <w:trHeight w:val="403"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2FCB4A">
            <w:pPr>
              <w:widowControl/>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广元市昭化区2023年度财政项目（政策）支出绩效自评表</w:t>
            </w:r>
          </w:p>
        </w:tc>
      </w:tr>
      <w:tr w14:paraId="4C316027">
        <w:tblPrEx>
          <w:tblCellMar>
            <w:top w:w="0" w:type="dxa"/>
            <w:left w:w="108" w:type="dxa"/>
            <w:bottom w:w="0" w:type="dxa"/>
            <w:right w:w="108" w:type="dxa"/>
          </w:tblCellMar>
        </w:tblPrEx>
        <w:trPr>
          <w:trHeight w:val="315"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D6C89">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5D0C2A">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人大会议经费（区人民代表大会、区人大常委会、主任会议、市人民代表大会、省市人大工作研讨会）</w:t>
            </w:r>
          </w:p>
        </w:tc>
      </w:tr>
      <w:tr w14:paraId="5C38D4CC">
        <w:tblPrEx>
          <w:tblCellMar>
            <w:top w:w="0" w:type="dxa"/>
            <w:left w:w="108" w:type="dxa"/>
            <w:bottom w:w="0" w:type="dxa"/>
            <w:right w:w="108" w:type="dxa"/>
          </w:tblCellMar>
        </w:tblPrEx>
        <w:trPr>
          <w:trHeight w:val="481"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EA425">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D6376">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c>
          <w:tcPr>
            <w:tcW w:w="931" w:type="dxa"/>
            <w:tcBorders>
              <w:top w:val="nil"/>
              <w:left w:val="nil"/>
              <w:bottom w:val="nil"/>
              <w:right w:val="nil"/>
            </w:tcBorders>
            <w:shd w:val="clear" w:color="auto" w:fill="auto"/>
            <w:vAlign w:val="center"/>
          </w:tcPr>
          <w:p w14:paraId="5DC973B6">
            <w:pPr>
              <w:widowControl/>
              <w:spacing w:line="22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85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r>
      <w:tr w14:paraId="0CF2225F">
        <w:tblPrEx>
          <w:tblCellMar>
            <w:top w:w="0" w:type="dxa"/>
            <w:left w:w="108" w:type="dxa"/>
            <w:bottom w:w="0" w:type="dxa"/>
            <w:right w:w="108" w:type="dxa"/>
          </w:tblCellMar>
        </w:tblPrEx>
        <w:trPr>
          <w:trHeight w:val="246"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34519">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2A728">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56E14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3B1B2">
            <w:pPr>
              <w:widowControl/>
              <w:spacing w:line="22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227DB15">
        <w:tblPrEx>
          <w:tblCellMar>
            <w:top w:w="0" w:type="dxa"/>
            <w:left w:w="108" w:type="dxa"/>
            <w:bottom w:w="0" w:type="dxa"/>
            <w:right w:w="108" w:type="dxa"/>
          </w:tblCellMar>
        </w:tblPrEx>
        <w:trPr>
          <w:trHeight w:val="118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52D5">
            <w:pPr>
              <w:widowControl/>
              <w:spacing w:line="220" w:lineRule="exact"/>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614D">
            <w:pPr>
              <w:widowControl/>
              <w:spacing w:line="220" w:lineRule="exact"/>
              <w:rPr>
                <w:rFonts w:ascii="宋体" w:hAnsi="宋体" w:cs="宋体"/>
                <w:color w:val="000000"/>
                <w:sz w:val="18"/>
                <w:szCs w:val="18"/>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CEA5A">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确保区八届二次人代会，202</w:t>
            </w:r>
            <w:r>
              <w:rPr>
                <w:rFonts w:hint="eastAsia" w:ascii="宋体" w:hAnsi="宋体" w:cs="宋体"/>
                <w:color w:val="000000"/>
                <w:kern w:val="0"/>
                <w:sz w:val="18"/>
                <w:szCs w:val="18"/>
              </w:rPr>
              <w:t>3</w:t>
            </w:r>
            <w:r>
              <w:rPr>
                <w:rFonts w:ascii="宋体" w:hAnsi="宋体" w:cs="宋体"/>
                <w:color w:val="000000"/>
                <w:kern w:val="0"/>
                <w:sz w:val="18"/>
                <w:szCs w:val="18"/>
              </w:rPr>
              <w:t>年度人大常委会8次例会、12次主任会议，参加省市人大工作研讨会，昭化代表团参加市八届二次人代会等会议工作圆满顺利完成，保障到位，会议达到预期效果，全面落实中央人大工作会议精神，在区委的坚强领导下，自觉担负起新时代赋予人大的历史使命，主动作为，奋发进取，坚定不移发展全过程人民民主，凝聚思想共识，交流履职体会，明确工作重点，强化上下对接，提振信心士气，切实增强监督实效，强化代表履职担当，持之以恒建设“四个机关”，奋力谱写人大工作崭新篇章，为全面建设“四城新区”作出更大贡献。</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B5DA0">
            <w:pPr>
              <w:widowControl/>
              <w:spacing w:line="22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完成1次区八届二次人代会，2023年度</w:t>
            </w:r>
            <w:r>
              <w:rPr>
                <w:rFonts w:hint="eastAsia" w:ascii="黑体" w:hAnsi="黑体" w:eastAsia="黑体" w:cs="黑体"/>
                <w:color w:val="000000"/>
                <w:kern w:val="0"/>
                <w:sz w:val="18"/>
                <w:szCs w:val="18"/>
                <w:lang w:eastAsia="zh-CN"/>
              </w:rPr>
              <w:t>区</w:t>
            </w:r>
            <w:r>
              <w:rPr>
                <w:rFonts w:hint="eastAsia" w:ascii="黑体" w:hAnsi="黑体" w:eastAsia="黑体" w:cs="黑体"/>
                <w:color w:val="000000"/>
                <w:kern w:val="0"/>
                <w:sz w:val="18"/>
                <w:szCs w:val="18"/>
              </w:rPr>
              <w:t>人大常委会8次例会、12次主任会议，参加6</w:t>
            </w:r>
            <w:r>
              <w:rPr>
                <w:rFonts w:hint="eastAsia" w:ascii="黑体" w:hAnsi="黑体" w:eastAsia="黑体" w:cs="黑体"/>
                <w:color w:val="000000"/>
                <w:kern w:val="0"/>
                <w:sz w:val="18"/>
                <w:szCs w:val="18"/>
                <w:lang w:eastAsia="zh-CN"/>
              </w:rPr>
              <w:t>次</w:t>
            </w:r>
            <w:r>
              <w:rPr>
                <w:rFonts w:hint="eastAsia" w:ascii="黑体" w:hAnsi="黑体" w:eastAsia="黑体" w:cs="黑体"/>
                <w:color w:val="000000"/>
                <w:kern w:val="0"/>
                <w:sz w:val="18"/>
                <w:szCs w:val="18"/>
              </w:rPr>
              <w:t>省市人大工作研讨会，昭化代表团参加1次市八届二次人代会。</w:t>
            </w:r>
          </w:p>
        </w:tc>
      </w:tr>
      <w:tr w14:paraId="52A7847E">
        <w:tblPrEx>
          <w:tblCellMar>
            <w:top w:w="0" w:type="dxa"/>
            <w:left w:w="108" w:type="dxa"/>
            <w:bottom w:w="0" w:type="dxa"/>
            <w:right w:w="108" w:type="dxa"/>
          </w:tblCellMar>
        </w:tblPrEx>
        <w:trPr>
          <w:trHeight w:val="9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45FB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92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938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A93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E16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83C1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r>
      <w:tr w14:paraId="6EAE550B">
        <w:tblPrEx>
          <w:tblCellMar>
            <w:top w:w="0" w:type="dxa"/>
            <w:left w:w="108" w:type="dxa"/>
            <w:bottom w:w="0" w:type="dxa"/>
            <w:right w:w="108" w:type="dxa"/>
          </w:tblCellMar>
        </w:tblPrEx>
        <w:trPr>
          <w:trHeight w:val="29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7237">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084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0CA3">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59.12</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27B5">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59.12</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B1F2F">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59.12</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26F9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r>
      <w:tr w14:paraId="048863E6">
        <w:tblPrEx>
          <w:tblCellMar>
            <w:top w:w="0" w:type="dxa"/>
            <w:left w:w="108" w:type="dxa"/>
            <w:bottom w:w="0" w:type="dxa"/>
            <w:right w:w="108" w:type="dxa"/>
          </w:tblCellMar>
        </w:tblPrEx>
        <w:trPr>
          <w:trHeight w:val="27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4596">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139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A997">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59.12</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BAC1">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59.12</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A3D76">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59.12</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5AD9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r>
      <w:tr w14:paraId="0144E678">
        <w:tblPrEx>
          <w:tblCellMar>
            <w:top w:w="0" w:type="dxa"/>
            <w:left w:w="108" w:type="dxa"/>
            <w:bottom w:w="0" w:type="dxa"/>
            <w:right w:w="108" w:type="dxa"/>
          </w:tblCellMar>
        </w:tblPrEx>
        <w:trPr>
          <w:trHeight w:val="29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725C">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AE7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7C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F9E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908D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5A58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55C2D675">
        <w:tblPrEx>
          <w:tblCellMar>
            <w:top w:w="0" w:type="dxa"/>
            <w:left w:w="108" w:type="dxa"/>
            <w:bottom w:w="0" w:type="dxa"/>
            <w:right w:w="108" w:type="dxa"/>
          </w:tblCellMar>
        </w:tblPrEx>
        <w:trPr>
          <w:trHeight w:val="29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DA9D">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655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EF9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F06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C458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B392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4C0C0E9E">
        <w:tblPrEx>
          <w:tblCellMar>
            <w:top w:w="0" w:type="dxa"/>
            <w:left w:w="108" w:type="dxa"/>
            <w:bottom w:w="0" w:type="dxa"/>
            <w:right w:w="108" w:type="dxa"/>
          </w:tblCellMar>
        </w:tblPrEx>
        <w:trPr>
          <w:trHeight w:val="24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15E6">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265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1967">
            <w:pPr>
              <w:widowControl/>
              <w:spacing w:line="220" w:lineRule="exact"/>
              <w:jc w:val="center"/>
              <w:rPr>
                <w:rFonts w:ascii="微软雅黑" w:hAnsi="微软雅黑" w:eastAsia="微软雅黑" w:cs="微软雅黑"/>
                <w:i/>
                <w:iCs/>
                <w:color w:val="000000"/>
                <w:sz w:val="16"/>
                <w:szCs w:val="16"/>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AAFB">
            <w:pPr>
              <w:widowControl/>
              <w:spacing w:line="220" w:lineRule="exact"/>
              <w:jc w:val="center"/>
              <w:rPr>
                <w:rFonts w:ascii="微软雅黑" w:hAnsi="微软雅黑" w:eastAsia="微软雅黑" w:cs="微软雅黑"/>
                <w:i/>
                <w:iCs/>
                <w:color w:val="000000"/>
                <w:sz w:val="16"/>
                <w:szCs w:val="16"/>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D8ED8">
            <w:pPr>
              <w:widowControl/>
              <w:spacing w:line="220" w:lineRule="exact"/>
              <w:jc w:val="center"/>
              <w:rPr>
                <w:rFonts w:ascii="微软雅黑" w:hAnsi="微软雅黑" w:eastAsia="微软雅黑" w:cs="微软雅黑"/>
                <w:i/>
                <w:iCs/>
                <w:color w:val="000000"/>
                <w:sz w:val="16"/>
                <w:szCs w:val="16"/>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AAC24">
            <w:pPr>
              <w:widowControl/>
              <w:spacing w:line="220" w:lineRule="exact"/>
              <w:jc w:val="center"/>
              <w:rPr>
                <w:rFonts w:ascii="宋体" w:hAnsi="宋体" w:cs="宋体"/>
                <w:color w:val="000000"/>
                <w:sz w:val="18"/>
                <w:szCs w:val="18"/>
              </w:rPr>
            </w:pPr>
          </w:p>
        </w:tc>
      </w:tr>
      <w:tr w14:paraId="01C04F67">
        <w:tblPrEx>
          <w:tblCellMar>
            <w:top w:w="0" w:type="dxa"/>
            <w:left w:w="108" w:type="dxa"/>
            <w:bottom w:w="0" w:type="dxa"/>
            <w:right w:w="108" w:type="dxa"/>
          </w:tblCellMar>
        </w:tblPrEx>
        <w:trPr>
          <w:trHeight w:val="344"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E601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22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8C1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5B7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067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8D8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799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E91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偏差原因分析及改进措施</w:t>
            </w:r>
          </w:p>
        </w:tc>
      </w:tr>
      <w:tr w14:paraId="7344FEC9">
        <w:tblPrEx>
          <w:tblCellMar>
            <w:top w:w="0" w:type="dxa"/>
            <w:left w:w="108" w:type="dxa"/>
            <w:bottom w:w="0" w:type="dxa"/>
            <w:right w:w="108" w:type="dxa"/>
          </w:tblCellMar>
        </w:tblPrEx>
        <w:trPr>
          <w:trHeight w:val="30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F297">
            <w:pPr>
              <w:widowControl/>
              <w:spacing w:line="22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C516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C25C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77B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预计省市人大工作研讨会次数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986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1A0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3F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8C8C">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42508F52">
        <w:tblPrEx>
          <w:tblCellMar>
            <w:top w:w="0" w:type="dxa"/>
            <w:left w:w="108" w:type="dxa"/>
            <w:bottom w:w="0" w:type="dxa"/>
            <w:right w:w="108" w:type="dxa"/>
          </w:tblCellMar>
        </w:tblPrEx>
        <w:trPr>
          <w:trHeight w:val="29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38A7">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D21D2">
            <w:pPr>
              <w:widowControl/>
              <w:spacing w:line="22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ABCA">
            <w:pPr>
              <w:widowControl/>
              <w:spacing w:line="22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D3F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预计人大常委会例会、主任会议次数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B0C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421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CE3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4255">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06B03284">
        <w:tblPrEx>
          <w:tblCellMar>
            <w:top w:w="0" w:type="dxa"/>
            <w:left w:w="108" w:type="dxa"/>
            <w:bottom w:w="0" w:type="dxa"/>
            <w:right w:w="108" w:type="dxa"/>
          </w:tblCellMar>
        </w:tblPrEx>
        <w:trPr>
          <w:trHeight w:val="349"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145F">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E524">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361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97D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推动工作、提高解决问题的效果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1DB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BDC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C46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1F62">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54AA840C">
        <w:tblPrEx>
          <w:tblCellMar>
            <w:top w:w="0" w:type="dxa"/>
            <w:left w:w="108" w:type="dxa"/>
            <w:bottom w:w="0" w:type="dxa"/>
            <w:right w:w="108" w:type="dxa"/>
          </w:tblCellMar>
        </w:tblPrEx>
        <w:trPr>
          <w:trHeight w:val="29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CA19">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7753">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9E4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C2B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E8C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DE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469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666E">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3B8D7AD6">
        <w:tblPrEx>
          <w:tblCellMar>
            <w:top w:w="0" w:type="dxa"/>
            <w:left w:w="108" w:type="dxa"/>
            <w:bottom w:w="0" w:type="dxa"/>
            <w:right w:w="108" w:type="dxa"/>
          </w:tblCellMar>
        </w:tblPrEx>
        <w:trPr>
          <w:trHeight w:val="37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FCA8">
            <w:pPr>
              <w:widowControl/>
              <w:spacing w:line="22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245A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D79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43D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发挥代表</w:t>
            </w:r>
            <w:r>
              <w:rPr>
                <w:rFonts w:hint="eastAsia" w:ascii="宋体" w:hAnsi="宋体" w:cs="宋体"/>
                <w:color w:val="000000"/>
                <w:kern w:val="0"/>
                <w:sz w:val="18"/>
                <w:szCs w:val="18"/>
                <w:lang w:eastAsia="zh-CN"/>
              </w:rPr>
              <w:t>主体</w:t>
            </w:r>
            <w:r>
              <w:rPr>
                <w:rFonts w:ascii="宋体" w:hAnsi="宋体" w:cs="宋体"/>
                <w:color w:val="000000"/>
                <w:kern w:val="0"/>
                <w:sz w:val="18"/>
                <w:szCs w:val="18"/>
              </w:rPr>
              <w:t>作用，持续提升履职水平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75F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961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E9B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634">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46216032">
        <w:tblPrEx>
          <w:tblCellMar>
            <w:top w:w="0" w:type="dxa"/>
            <w:left w:w="108" w:type="dxa"/>
            <w:bottom w:w="0" w:type="dxa"/>
            <w:right w:w="108" w:type="dxa"/>
          </w:tblCellMar>
        </w:tblPrEx>
        <w:trPr>
          <w:trHeight w:val="33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E670">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BC9F">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3D4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A0E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切实增强监督实效，强化代表履职担当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CD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A20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AA8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F9F8">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755FB180">
        <w:tblPrEx>
          <w:tblCellMar>
            <w:top w:w="0" w:type="dxa"/>
            <w:left w:w="108" w:type="dxa"/>
            <w:bottom w:w="0" w:type="dxa"/>
            <w:right w:w="108" w:type="dxa"/>
          </w:tblCellMar>
        </w:tblPrEx>
        <w:trPr>
          <w:trHeight w:val="34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00F6">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836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D9D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EE5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参会人员满意度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3FA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FB0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125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1550">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665E7193">
        <w:tblPrEx>
          <w:tblCellMar>
            <w:top w:w="0" w:type="dxa"/>
            <w:left w:w="108" w:type="dxa"/>
            <w:bottom w:w="0" w:type="dxa"/>
            <w:right w:w="108" w:type="dxa"/>
          </w:tblCellMar>
        </w:tblPrEx>
        <w:trPr>
          <w:trHeight w:val="31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796C">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nil"/>
              <w:right w:val="single" w:color="000000" w:sz="4" w:space="0"/>
            </w:tcBorders>
            <w:shd w:val="clear" w:color="auto" w:fill="auto"/>
            <w:vAlign w:val="center"/>
          </w:tcPr>
          <w:p w14:paraId="127F8F2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890" w:type="dxa"/>
            <w:tcBorders>
              <w:top w:val="single" w:color="000000" w:sz="4" w:space="0"/>
              <w:left w:val="single" w:color="000000" w:sz="4" w:space="0"/>
              <w:bottom w:val="nil"/>
              <w:right w:val="single" w:color="000000" w:sz="4" w:space="0"/>
            </w:tcBorders>
            <w:shd w:val="clear" w:color="auto" w:fill="auto"/>
            <w:vAlign w:val="center"/>
          </w:tcPr>
          <w:p w14:paraId="50A099D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5850" w:type="dxa"/>
            <w:tcBorders>
              <w:top w:val="single" w:color="000000" w:sz="4" w:space="0"/>
              <w:left w:val="single" w:color="000000" w:sz="4" w:space="0"/>
              <w:bottom w:val="nil"/>
              <w:right w:val="single" w:color="000000" w:sz="4" w:space="0"/>
            </w:tcBorders>
            <w:shd w:val="clear" w:color="auto" w:fill="auto"/>
            <w:vAlign w:val="center"/>
          </w:tcPr>
          <w:p w14:paraId="3ABE55F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各种会议工作成本控制额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705B918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14:paraId="23C0D87F">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591160</w:t>
            </w:r>
          </w:p>
        </w:tc>
        <w:tc>
          <w:tcPr>
            <w:tcW w:w="931" w:type="dxa"/>
            <w:tcBorders>
              <w:top w:val="single" w:color="000000" w:sz="4" w:space="0"/>
              <w:left w:val="single" w:color="000000" w:sz="4" w:space="0"/>
              <w:bottom w:val="nil"/>
              <w:right w:val="single" w:color="000000" w:sz="4" w:space="0"/>
            </w:tcBorders>
            <w:shd w:val="clear" w:color="auto" w:fill="auto"/>
            <w:vAlign w:val="center"/>
          </w:tcPr>
          <w:p w14:paraId="684ECABD">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591160</w:t>
            </w:r>
          </w:p>
        </w:tc>
        <w:tc>
          <w:tcPr>
            <w:tcW w:w="2288" w:type="dxa"/>
            <w:tcBorders>
              <w:top w:val="single" w:color="000000" w:sz="4" w:space="0"/>
              <w:left w:val="single" w:color="000000" w:sz="4" w:space="0"/>
              <w:bottom w:val="nil"/>
              <w:right w:val="single" w:color="000000" w:sz="4" w:space="0"/>
            </w:tcBorders>
            <w:shd w:val="clear" w:color="auto" w:fill="auto"/>
            <w:vAlign w:val="center"/>
          </w:tcPr>
          <w:p w14:paraId="60D4AB27">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55814667">
        <w:tblPrEx>
          <w:tblCellMar>
            <w:top w:w="0" w:type="dxa"/>
            <w:left w:w="108" w:type="dxa"/>
            <w:bottom w:w="0" w:type="dxa"/>
            <w:right w:w="108" w:type="dxa"/>
          </w:tblCellMar>
        </w:tblPrEx>
        <w:trPr>
          <w:trHeight w:val="304"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6B1E7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E23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r>
      <w:tr w14:paraId="6238397D">
        <w:tblPrEx>
          <w:tblCellMar>
            <w:top w:w="0" w:type="dxa"/>
            <w:left w:w="108" w:type="dxa"/>
            <w:bottom w:w="0" w:type="dxa"/>
            <w:right w:w="108" w:type="dxa"/>
          </w:tblCellMar>
        </w:tblPrEx>
        <w:trPr>
          <w:trHeight w:val="403"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1DD14E">
            <w:pPr>
              <w:widowControl/>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广元市昭化区2023年度财政项目（政策）支出绩效自评表</w:t>
            </w:r>
          </w:p>
        </w:tc>
      </w:tr>
      <w:tr w14:paraId="7B82B232">
        <w:tblPrEx>
          <w:tblCellMar>
            <w:top w:w="0" w:type="dxa"/>
            <w:left w:w="108" w:type="dxa"/>
            <w:bottom w:w="0" w:type="dxa"/>
            <w:right w:w="108" w:type="dxa"/>
          </w:tblCellMar>
        </w:tblPrEx>
        <w:trPr>
          <w:trHeight w:val="246"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32504">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EB0ACF">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人大业务经费(人大监督、视察、调研、执法检查、全省预算执行在线监督、12个专委会工作、信访工作）</w:t>
            </w:r>
          </w:p>
        </w:tc>
      </w:tr>
      <w:tr w14:paraId="2B329895">
        <w:tblPrEx>
          <w:tblCellMar>
            <w:top w:w="0" w:type="dxa"/>
            <w:left w:w="108" w:type="dxa"/>
            <w:bottom w:w="0" w:type="dxa"/>
            <w:right w:w="108" w:type="dxa"/>
          </w:tblCellMar>
        </w:tblPrEx>
        <w:trPr>
          <w:trHeight w:val="481"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96876">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EA0432">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D7B3">
            <w:pPr>
              <w:widowControl/>
              <w:spacing w:line="22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9D6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r>
      <w:tr w14:paraId="47AF0EDD">
        <w:tblPrEx>
          <w:tblCellMar>
            <w:top w:w="0" w:type="dxa"/>
            <w:left w:w="108" w:type="dxa"/>
            <w:bottom w:w="0" w:type="dxa"/>
            <w:right w:w="108" w:type="dxa"/>
          </w:tblCellMar>
        </w:tblPrEx>
        <w:trPr>
          <w:trHeight w:val="246"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B5ACA">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F4F99">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439E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0D59C">
            <w:pPr>
              <w:widowControl/>
              <w:spacing w:line="22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562A9D3E">
        <w:tblPrEx>
          <w:tblCellMar>
            <w:top w:w="0" w:type="dxa"/>
            <w:left w:w="108" w:type="dxa"/>
            <w:bottom w:w="0" w:type="dxa"/>
            <w:right w:w="108" w:type="dxa"/>
          </w:tblCellMar>
        </w:tblPrEx>
        <w:trPr>
          <w:trHeight w:val="9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D29F">
            <w:pPr>
              <w:widowControl/>
              <w:spacing w:line="220" w:lineRule="exact"/>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93D1">
            <w:pPr>
              <w:widowControl/>
              <w:spacing w:line="220" w:lineRule="exact"/>
              <w:rPr>
                <w:rFonts w:ascii="宋体" w:hAnsi="宋体" w:cs="宋体"/>
                <w:color w:val="000000"/>
                <w:sz w:val="18"/>
                <w:szCs w:val="18"/>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63D22">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人大业务工作主要包含人大监督、视察、调研、执法检查、全省预算执行在线监督、12个专委会工作及信访等工作。自觉担负起新时代赋予人大的历史使命，主动作为，奋发进取，坚定不移发展全过程人民民主，切实增强监督实效，强化代表履职担当，加强对镇人大的指导，使全区人大工作水平得到整体提升；为改革发展稳定的重大问题、人民群众普遍关注的热点、难点问题，乡村振兴问题等提供有效数据。确保各项人大业务工作按期完成及时率达到100%，工作质量合格率达到100%，使得各部门和服务对象满意度均达到100%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DA2AB">
            <w:pPr>
              <w:widowControl/>
              <w:spacing w:line="22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人大监督有效监督百余次、视察12次、调研120余次、执法检查30次、78个一级预算单位预算执行在线监督全覆盖、保障了15个专委会工作及信访等工作顺利开展。确保各项人大业务工作按期完成及时率达到100%。</w:t>
            </w:r>
          </w:p>
        </w:tc>
      </w:tr>
      <w:tr w14:paraId="3D51D7AF">
        <w:tblPrEx>
          <w:tblCellMar>
            <w:top w:w="0" w:type="dxa"/>
            <w:left w:w="108" w:type="dxa"/>
            <w:bottom w:w="0" w:type="dxa"/>
            <w:right w:w="108" w:type="dxa"/>
          </w:tblCellMar>
        </w:tblPrEx>
        <w:trPr>
          <w:trHeight w:val="301"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14:paraId="007DE6E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758" w:type="dxa"/>
            <w:tcBorders>
              <w:top w:val="nil"/>
              <w:left w:val="single" w:color="000000" w:sz="4" w:space="0"/>
              <w:bottom w:val="single" w:color="000000" w:sz="4" w:space="0"/>
              <w:right w:val="single" w:color="000000" w:sz="4" w:space="0"/>
            </w:tcBorders>
            <w:shd w:val="clear" w:color="auto" w:fill="auto"/>
            <w:vAlign w:val="center"/>
          </w:tcPr>
          <w:p w14:paraId="1BBA3C6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890" w:type="dxa"/>
            <w:tcBorders>
              <w:top w:val="nil"/>
              <w:left w:val="single" w:color="000000" w:sz="4" w:space="0"/>
              <w:bottom w:val="single" w:color="000000" w:sz="4" w:space="0"/>
              <w:right w:val="single" w:color="000000" w:sz="4" w:space="0"/>
            </w:tcBorders>
            <w:shd w:val="clear" w:color="auto" w:fill="auto"/>
            <w:vAlign w:val="center"/>
          </w:tcPr>
          <w:p w14:paraId="193A253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5850" w:type="dxa"/>
            <w:tcBorders>
              <w:top w:val="nil"/>
              <w:left w:val="single" w:color="000000" w:sz="4" w:space="0"/>
              <w:bottom w:val="single" w:color="000000" w:sz="4" w:space="0"/>
              <w:right w:val="single" w:color="000000" w:sz="4" w:space="0"/>
            </w:tcBorders>
            <w:shd w:val="clear" w:color="auto" w:fill="auto"/>
            <w:vAlign w:val="center"/>
          </w:tcPr>
          <w:p w14:paraId="17A5974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913" w:type="dxa"/>
            <w:gridSpan w:val="2"/>
            <w:tcBorders>
              <w:top w:val="nil"/>
              <w:left w:val="single" w:color="000000" w:sz="4" w:space="0"/>
              <w:bottom w:val="single" w:color="000000" w:sz="4" w:space="0"/>
              <w:right w:val="single" w:color="000000" w:sz="4" w:space="0"/>
            </w:tcBorders>
            <w:shd w:val="clear" w:color="auto" w:fill="auto"/>
            <w:vAlign w:val="center"/>
          </w:tcPr>
          <w:p w14:paraId="451B745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219" w:type="dxa"/>
            <w:gridSpan w:val="2"/>
            <w:tcBorders>
              <w:top w:val="nil"/>
              <w:left w:val="single" w:color="000000" w:sz="4" w:space="0"/>
              <w:bottom w:val="single" w:color="000000" w:sz="4" w:space="0"/>
              <w:right w:val="single" w:color="000000" w:sz="4" w:space="0"/>
            </w:tcBorders>
            <w:shd w:val="clear" w:color="auto" w:fill="auto"/>
            <w:vAlign w:val="center"/>
          </w:tcPr>
          <w:p w14:paraId="20A9B26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r>
      <w:tr w14:paraId="6C080D2D">
        <w:tblPrEx>
          <w:tblCellMar>
            <w:top w:w="0" w:type="dxa"/>
            <w:left w:w="108" w:type="dxa"/>
            <w:bottom w:w="0" w:type="dxa"/>
            <w:right w:w="108" w:type="dxa"/>
          </w:tblCellMar>
        </w:tblPrEx>
        <w:trPr>
          <w:trHeight w:val="90"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67E50068">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958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6F4D">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147.60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D229">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147.60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55EB1">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147.60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43FC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r>
      <w:tr w14:paraId="4E34F615">
        <w:tblPrEx>
          <w:tblCellMar>
            <w:top w:w="0" w:type="dxa"/>
            <w:left w:w="108" w:type="dxa"/>
            <w:bottom w:w="0" w:type="dxa"/>
            <w:right w:w="108" w:type="dxa"/>
          </w:tblCellMar>
        </w:tblPrEx>
        <w:trPr>
          <w:trHeight w:val="29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66A1B8B3">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6CF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74DC">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147.60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AAAD">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147.60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1BCFA">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147.60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2322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r>
      <w:tr w14:paraId="4A209D15">
        <w:tblPrEx>
          <w:tblCellMar>
            <w:top w:w="0" w:type="dxa"/>
            <w:left w:w="108" w:type="dxa"/>
            <w:bottom w:w="0" w:type="dxa"/>
            <w:right w:w="108" w:type="dxa"/>
          </w:tblCellMar>
        </w:tblPrEx>
        <w:trPr>
          <w:trHeight w:val="290"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2541E6AB">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130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3EB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ED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DB6C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9AD6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2C6BDEC9">
        <w:tblPrEx>
          <w:tblCellMar>
            <w:top w:w="0" w:type="dxa"/>
            <w:left w:w="108" w:type="dxa"/>
            <w:bottom w:w="0" w:type="dxa"/>
            <w:right w:w="108" w:type="dxa"/>
          </w:tblCellMar>
        </w:tblPrEx>
        <w:trPr>
          <w:trHeight w:val="211"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57672E15">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095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630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9EB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9520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CFB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5B3D2B89">
        <w:tblPrEx>
          <w:tblCellMar>
            <w:top w:w="0" w:type="dxa"/>
            <w:left w:w="108" w:type="dxa"/>
            <w:bottom w:w="0" w:type="dxa"/>
            <w:right w:w="108" w:type="dxa"/>
          </w:tblCellMar>
        </w:tblPrEx>
        <w:trPr>
          <w:trHeight w:val="239"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3199C497">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9F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88ED">
            <w:pPr>
              <w:widowControl/>
              <w:spacing w:line="220" w:lineRule="exact"/>
              <w:jc w:val="center"/>
              <w:rPr>
                <w:rFonts w:ascii="微软雅黑" w:hAnsi="微软雅黑" w:eastAsia="微软雅黑" w:cs="微软雅黑"/>
                <w:i/>
                <w:iCs/>
                <w:color w:val="000000"/>
                <w:sz w:val="16"/>
                <w:szCs w:val="16"/>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75C5">
            <w:pPr>
              <w:widowControl/>
              <w:spacing w:line="220" w:lineRule="exact"/>
              <w:jc w:val="center"/>
              <w:rPr>
                <w:rFonts w:ascii="微软雅黑" w:hAnsi="微软雅黑" w:eastAsia="微软雅黑" w:cs="微软雅黑"/>
                <w:i/>
                <w:iCs/>
                <w:color w:val="000000"/>
                <w:sz w:val="16"/>
                <w:szCs w:val="16"/>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51FBC">
            <w:pPr>
              <w:widowControl/>
              <w:spacing w:line="220" w:lineRule="exact"/>
              <w:jc w:val="center"/>
              <w:rPr>
                <w:rFonts w:ascii="微软雅黑" w:hAnsi="微软雅黑" w:eastAsia="微软雅黑" w:cs="微软雅黑"/>
                <w:i/>
                <w:iCs/>
                <w:color w:val="000000"/>
                <w:sz w:val="16"/>
                <w:szCs w:val="16"/>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E599F">
            <w:pPr>
              <w:widowControl/>
              <w:spacing w:line="220" w:lineRule="exact"/>
              <w:jc w:val="center"/>
              <w:rPr>
                <w:rFonts w:ascii="宋体" w:hAnsi="宋体" w:cs="宋体"/>
                <w:color w:val="000000"/>
                <w:sz w:val="18"/>
                <w:szCs w:val="18"/>
              </w:rPr>
            </w:pPr>
          </w:p>
        </w:tc>
      </w:tr>
      <w:tr w14:paraId="62F6D5FF">
        <w:tblPrEx>
          <w:tblCellMar>
            <w:top w:w="0" w:type="dxa"/>
            <w:left w:w="108" w:type="dxa"/>
            <w:bottom w:w="0" w:type="dxa"/>
            <w:right w:w="108" w:type="dxa"/>
          </w:tblCellMar>
        </w:tblPrEx>
        <w:trPr>
          <w:trHeight w:val="239"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138C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39A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934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D3A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4D7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523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8C4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9AA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偏差原因分析及改进措施</w:t>
            </w:r>
          </w:p>
        </w:tc>
      </w:tr>
      <w:tr w14:paraId="1539A4CE">
        <w:tblPrEx>
          <w:tblCellMar>
            <w:top w:w="0" w:type="dxa"/>
            <w:left w:w="108" w:type="dxa"/>
            <w:bottom w:w="0" w:type="dxa"/>
            <w:right w:w="108" w:type="dxa"/>
          </w:tblCellMar>
        </w:tblPrEx>
        <w:trPr>
          <w:trHeight w:val="2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875C">
            <w:pPr>
              <w:widowControl/>
              <w:spacing w:line="22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22EB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12D3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AEA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预算执行在线有效监督一级预算单位数量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D9F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5B7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75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929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75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10BB">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1D73741D">
        <w:tblPrEx>
          <w:tblCellMar>
            <w:top w:w="0" w:type="dxa"/>
            <w:left w:w="108" w:type="dxa"/>
            <w:bottom w:w="0" w:type="dxa"/>
            <w:right w:w="108" w:type="dxa"/>
          </w:tblCellMar>
        </w:tblPrEx>
        <w:trPr>
          <w:trHeight w:val="24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4D9FF">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35E5">
            <w:pPr>
              <w:widowControl/>
              <w:spacing w:line="22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A98B">
            <w:pPr>
              <w:widowControl/>
              <w:spacing w:line="22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643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选择开展省市区人大代表视察活动的点位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ED6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197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C29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9384">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031C09C0">
        <w:tblPrEx>
          <w:tblCellMar>
            <w:top w:w="0" w:type="dxa"/>
            <w:left w:w="108" w:type="dxa"/>
            <w:bottom w:w="0" w:type="dxa"/>
            <w:right w:w="108" w:type="dxa"/>
          </w:tblCellMar>
        </w:tblPrEx>
        <w:trPr>
          <w:trHeight w:val="24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2CFF">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64308">
            <w:pPr>
              <w:widowControl/>
              <w:spacing w:line="22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1D53">
            <w:pPr>
              <w:widowControl/>
              <w:spacing w:line="22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61E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人大</w:t>
            </w:r>
            <w:r>
              <w:rPr>
                <w:rFonts w:hint="eastAsia" w:ascii="宋体" w:hAnsi="宋体" w:cs="宋体"/>
                <w:color w:val="000000"/>
                <w:kern w:val="0"/>
                <w:sz w:val="18"/>
                <w:szCs w:val="18"/>
                <w:lang w:eastAsia="zh-CN"/>
              </w:rPr>
              <w:t>常委会</w:t>
            </w:r>
            <w:r>
              <w:rPr>
                <w:rFonts w:ascii="宋体" w:hAnsi="宋体" w:cs="宋体"/>
                <w:color w:val="000000"/>
                <w:kern w:val="0"/>
                <w:sz w:val="18"/>
                <w:szCs w:val="18"/>
              </w:rPr>
              <w:t>专委会</w:t>
            </w:r>
            <w:r>
              <w:rPr>
                <w:rFonts w:hint="eastAsia" w:ascii="宋体" w:hAnsi="宋体" w:cs="宋体"/>
                <w:color w:val="000000"/>
                <w:kern w:val="0"/>
                <w:sz w:val="18"/>
                <w:szCs w:val="18"/>
                <w:lang w:eastAsia="zh-CN"/>
              </w:rPr>
              <w:t>的</w:t>
            </w:r>
            <w:r>
              <w:rPr>
                <w:rFonts w:ascii="宋体" w:hAnsi="宋体" w:cs="宋体"/>
                <w:color w:val="000000"/>
                <w:kern w:val="0"/>
                <w:sz w:val="18"/>
                <w:szCs w:val="18"/>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BC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696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7AD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4C44">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395D1DC0">
        <w:tblPrEx>
          <w:tblCellMar>
            <w:top w:w="0" w:type="dxa"/>
            <w:left w:w="108" w:type="dxa"/>
            <w:bottom w:w="0" w:type="dxa"/>
            <w:right w:w="108" w:type="dxa"/>
          </w:tblCellMar>
        </w:tblPrEx>
        <w:trPr>
          <w:trHeight w:val="20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CD05">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35B15">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F9D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999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把握监督重点，突出监督实效，有效监督完成情况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C0A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89B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815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2C30">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4B6966EE">
        <w:tblPrEx>
          <w:tblCellMar>
            <w:top w:w="0" w:type="dxa"/>
            <w:left w:w="108" w:type="dxa"/>
            <w:bottom w:w="0" w:type="dxa"/>
            <w:right w:w="108" w:type="dxa"/>
          </w:tblCellMar>
        </w:tblPrEx>
        <w:trPr>
          <w:trHeight w:val="26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AA44">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DAEF8">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4FF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416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003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5BD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0E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D2FA">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117249E6">
        <w:tblPrEx>
          <w:tblCellMar>
            <w:top w:w="0" w:type="dxa"/>
            <w:left w:w="108" w:type="dxa"/>
            <w:bottom w:w="0" w:type="dxa"/>
            <w:right w:w="108" w:type="dxa"/>
          </w:tblCellMar>
        </w:tblPrEx>
        <w:trPr>
          <w:trHeight w:val="44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CA6D5">
            <w:pPr>
              <w:widowControl/>
              <w:spacing w:line="22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4C82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9E7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271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通过视察、调研、执法检查，为改革发展稳定的重大问题、人民群众普遍关注的热点、难点问题，乡村振兴问题等提供有效数据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BC0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381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C1C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9A6C">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6EBC9BE5">
        <w:tblPrEx>
          <w:tblCellMar>
            <w:top w:w="0" w:type="dxa"/>
            <w:left w:w="108" w:type="dxa"/>
            <w:bottom w:w="0" w:type="dxa"/>
            <w:right w:w="108" w:type="dxa"/>
          </w:tblCellMar>
        </w:tblPrEx>
        <w:trPr>
          <w:trHeight w:val="50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FF6C">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CE69">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26A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AFC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把监督和法治教育贯穿信访全过程，引导和支持人民群众理性表达诉求，依法维护权益，做到自觉守法、办事依法。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F6A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0F1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25A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7BE7">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7628BD2C">
        <w:tblPrEx>
          <w:tblCellMar>
            <w:top w:w="0" w:type="dxa"/>
            <w:left w:w="108" w:type="dxa"/>
            <w:bottom w:w="0" w:type="dxa"/>
            <w:right w:w="108" w:type="dxa"/>
          </w:tblCellMar>
        </w:tblPrEx>
        <w:trPr>
          <w:trHeight w:val="28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7E663">
            <w:pPr>
              <w:widowControl/>
              <w:spacing w:line="22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E50D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2D79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B6F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人大代表满意度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BE4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137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9B3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AFD7">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78DCC5C7">
        <w:tblPrEx>
          <w:tblCellMar>
            <w:top w:w="0" w:type="dxa"/>
            <w:left w:w="108" w:type="dxa"/>
            <w:bottom w:w="0" w:type="dxa"/>
            <w:right w:w="108" w:type="dxa"/>
          </w:tblCellMar>
        </w:tblPrEx>
        <w:trPr>
          <w:trHeight w:val="28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47AA">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35A54">
            <w:pPr>
              <w:widowControl/>
              <w:spacing w:line="22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F89AB">
            <w:pPr>
              <w:widowControl/>
              <w:spacing w:line="22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F6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人民群众满意度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9DF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8C9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677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C263">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538B573F">
        <w:tblPrEx>
          <w:tblCellMar>
            <w:top w:w="0" w:type="dxa"/>
            <w:left w:w="108" w:type="dxa"/>
            <w:bottom w:w="0" w:type="dxa"/>
            <w:right w:w="108" w:type="dxa"/>
          </w:tblCellMar>
        </w:tblPrEx>
        <w:trPr>
          <w:trHeight w:val="46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7648">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nil"/>
              <w:right w:val="single" w:color="000000" w:sz="4" w:space="0"/>
            </w:tcBorders>
            <w:shd w:val="clear" w:color="auto" w:fill="auto"/>
            <w:vAlign w:val="center"/>
          </w:tcPr>
          <w:p w14:paraId="71F30DB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890" w:type="dxa"/>
            <w:tcBorders>
              <w:top w:val="single" w:color="000000" w:sz="4" w:space="0"/>
              <w:left w:val="single" w:color="000000" w:sz="4" w:space="0"/>
              <w:bottom w:val="nil"/>
              <w:right w:val="single" w:color="000000" w:sz="4" w:space="0"/>
            </w:tcBorders>
            <w:shd w:val="clear" w:color="auto" w:fill="auto"/>
            <w:vAlign w:val="center"/>
          </w:tcPr>
          <w:p w14:paraId="1514A9D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5850" w:type="dxa"/>
            <w:tcBorders>
              <w:top w:val="single" w:color="000000" w:sz="4" w:space="0"/>
              <w:left w:val="single" w:color="000000" w:sz="4" w:space="0"/>
              <w:bottom w:val="nil"/>
              <w:right w:val="single" w:color="000000" w:sz="4" w:space="0"/>
            </w:tcBorders>
            <w:shd w:val="clear" w:color="auto" w:fill="auto"/>
            <w:vAlign w:val="center"/>
          </w:tcPr>
          <w:p w14:paraId="07A6307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开展预算执行在线监督、人大代表视察、人大立法调研、人大执法检查、人大信访、人大监督等工作成本控制额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4F04D6B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14:paraId="2B177D6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476000</w:t>
            </w:r>
          </w:p>
        </w:tc>
        <w:tc>
          <w:tcPr>
            <w:tcW w:w="931" w:type="dxa"/>
            <w:tcBorders>
              <w:top w:val="single" w:color="000000" w:sz="4" w:space="0"/>
              <w:left w:val="single" w:color="000000" w:sz="4" w:space="0"/>
              <w:bottom w:val="nil"/>
              <w:right w:val="single" w:color="000000" w:sz="4" w:space="0"/>
            </w:tcBorders>
            <w:shd w:val="clear" w:color="auto" w:fill="auto"/>
            <w:vAlign w:val="center"/>
          </w:tcPr>
          <w:p w14:paraId="45A19BDE">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1476000</w:t>
            </w:r>
          </w:p>
        </w:tc>
        <w:tc>
          <w:tcPr>
            <w:tcW w:w="2288" w:type="dxa"/>
            <w:tcBorders>
              <w:top w:val="single" w:color="000000" w:sz="4" w:space="0"/>
              <w:left w:val="single" w:color="000000" w:sz="4" w:space="0"/>
              <w:bottom w:val="nil"/>
              <w:right w:val="single" w:color="000000" w:sz="4" w:space="0"/>
            </w:tcBorders>
            <w:shd w:val="clear" w:color="auto" w:fill="auto"/>
            <w:vAlign w:val="center"/>
          </w:tcPr>
          <w:p w14:paraId="7E2280C6">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1F73BE5D">
        <w:tblPrEx>
          <w:tblCellMar>
            <w:top w:w="0" w:type="dxa"/>
            <w:left w:w="108" w:type="dxa"/>
            <w:bottom w:w="0" w:type="dxa"/>
            <w:right w:w="108" w:type="dxa"/>
          </w:tblCellMar>
        </w:tblPrEx>
        <w:trPr>
          <w:trHeight w:val="246"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D1404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FF9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97</w:t>
            </w:r>
          </w:p>
        </w:tc>
      </w:tr>
      <w:tr w14:paraId="19BE25E8">
        <w:tblPrEx>
          <w:tblCellMar>
            <w:top w:w="0" w:type="dxa"/>
            <w:left w:w="108" w:type="dxa"/>
            <w:bottom w:w="0" w:type="dxa"/>
            <w:right w:w="108" w:type="dxa"/>
          </w:tblCellMar>
        </w:tblPrEx>
        <w:trPr>
          <w:trHeight w:val="700"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3F847A">
            <w:pPr>
              <w:widowControl/>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广元市昭化区2023年度财政项目（政策）支出绩效自评表</w:t>
            </w:r>
          </w:p>
        </w:tc>
      </w:tr>
      <w:tr w14:paraId="650527E3">
        <w:tblPrEx>
          <w:tblCellMar>
            <w:top w:w="0" w:type="dxa"/>
            <w:left w:w="108" w:type="dxa"/>
            <w:bottom w:w="0" w:type="dxa"/>
            <w:right w:w="108" w:type="dxa"/>
          </w:tblCellMar>
        </w:tblPrEx>
        <w:trPr>
          <w:trHeight w:val="465"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B986C">
            <w:pPr>
              <w:widowControl/>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46BDAE">
            <w:pPr>
              <w:widowControl/>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人大代表经费（代表履职能力提升及平台建设、异地人大代表联络站、民生实事项目人大代表票决制）</w:t>
            </w:r>
          </w:p>
        </w:tc>
      </w:tr>
      <w:tr w14:paraId="22A79E27">
        <w:tblPrEx>
          <w:tblCellMar>
            <w:top w:w="0" w:type="dxa"/>
            <w:left w:w="108" w:type="dxa"/>
            <w:bottom w:w="0" w:type="dxa"/>
            <w:right w:w="108" w:type="dxa"/>
          </w:tblCellMar>
        </w:tblPrEx>
        <w:trPr>
          <w:trHeight w:val="675"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B0E65">
            <w:pPr>
              <w:widowControl/>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D43BD">
            <w:pPr>
              <w:widowControl/>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1927">
            <w:pPr>
              <w:widowControl/>
              <w:spacing w:line="26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794E">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r>
      <w:tr w14:paraId="3D79D063">
        <w:tblPrEx>
          <w:tblCellMar>
            <w:top w:w="0" w:type="dxa"/>
            <w:left w:w="108" w:type="dxa"/>
            <w:bottom w:w="0" w:type="dxa"/>
            <w:right w:w="108" w:type="dxa"/>
          </w:tblCellMar>
        </w:tblPrEx>
        <w:trPr>
          <w:trHeight w:val="475"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A95A8">
            <w:pPr>
              <w:widowControl/>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B2ACE">
            <w:pPr>
              <w:widowControl/>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B3F7C">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1B26">
            <w:pPr>
              <w:widowControl/>
              <w:spacing w:line="26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62DBB559">
        <w:tblPrEx>
          <w:tblCellMar>
            <w:top w:w="0" w:type="dxa"/>
            <w:left w:w="108" w:type="dxa"/>
            <w:bottom w:w="0" w:type="dxa"/>
            <w:right w:w="108" w:type="dxa"/>
          </w:tblCellMar>
        </w:tblPrEx>
        <w:trPr>
          <w:trHeight w:val="275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3742">
            <w:pPr>
              <w:widowControl/>
              <w:spacing w:line="260" w:lineRule="exact"/>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580D4">
            <w:pPr>
              <w:widowControl/>
              <w:spacing w:line="260" w:lineRule="exact"/>
              <w:rPr>
                <w:rFonts w:ascii="宋体" w:hAnsi="宋体" w:cs="宋体"/>
                <w:color w:val="000000"/>
                <w:sz w:val="18"/>
                <w:szCs w:val="18"/>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7ED22">
            <w:pPr>
              <w:widowControl/>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主要用于确保区、镇代表履职能力提升及平台建设、异地人大代表联络站工作开展、镇村人大代表家站室建设、民生实事项目人大代表票决制等项目的高效运转。一是提高代表意识、提高代表写说能力、提高代表的学习水平、提高代表的调研能力、提高代表的审议能力、提高代表的群众工作水平等，使得人大代表履职能力提升按期完成率达到100%，履职能力提升培训合格率达到100%，各部门和人民群众的满意度达到100%。二是围绕全区范围内围绕国民经济和社会发展计划执行情况，改革发展稳定的重大问题、人民群众普遍关注的热点、难点问题，精准扶贫问题等进行调研视察，采取“走、看、听、评”等方法，按期完成代表视察工作，为改革发展稳定的重大问题、人民群众普遍关注的热点、难点问题，乡村振兴问题等提供有效数据，使得各部门及视察对象满意度均达到100%。三是确实保障我区在北京、重庆、广东、浙江建立的异地人大工作站更好</w:t>
            </w:r>
            <w:r>
              <w:rPr>
                <w:rFonts w:hint="eastAsia" w:ascii="宋体" w:hAnsi="宋体" w:cs="宋体"/>
                <w:color w:val="000000"/>
                <w:kern w:val="0"/>
                <w:sz w:val="18"/>
                <w:szCs w:val="18"/>
                <w:lang w:eastAsia="zh-CN"/>
              </w:rPr>
              <w:t>地</w:t>
            </w:r>
            <w:r>
              <w:rPr>
                <w:rFonts w:ascii="宋体" w:hAnsi="宋体" w:cs="宋体"/>
                <w:color w:val="000000"/>
                <w:kern w:val="0"/>
                <w:sz w:val="18"/>
                <w:szCs w:val="18"/>
              </w:rPr>
              <w:t>发挥作用。四是全面推进民生实事项目人大代表票决制工作，做到民生实事项目应办尽办，真正做到为民办实事、解难题，分民忧，确保各部门及服务对象满意度均达到100%。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9CDB7">
            <w:pPr>
              <w:widowControl/>
              <w:spacing w:line="26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确保了区、镇12个代表履职能力提升及平台建设、保障了4个异地人大代表联络站工作开展，实现12件民生实事项目有效监督。使得人大代表履职能力提升按期完成率达到100%，履职能力提升培训合格率达到100%，各部门和人民群众的满意度达到100%。</w:t>
            </w:r>
          </w:p>
        </w:tc>
      </w:tr>
      <w:tr w14:paraId="460141BB">
        <w:tblPrEx>
          <w:tblCellMar>
            <w:top w:w="0" w:type="dxa"/>
            <w:left w:w="108" w:type="dxa"/>
            <w:bottom w:w="0" w:type="dxa"/>
            <w:right w:w="108" w:type="dxa"/>
          </w:tblCellMar>
        </w:tblPrEx>
        <w:trPr>
          <w:trHeight w:val="454"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14:paraId="179489A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758" w:type="dxa"/>
            <w:tcBorders>
              <w:top w:val="nil"/>
              <w:left w:val="single" w:color="000000" w:sz="4" w:space="0"/>
              <w:bottom w:val="single" w:color="000000" w:sz="4" w:space="0"/>
              <w:right w:val="single" w:color="000000" w:sz="4" w:space="0"/>
            </w:tcBorders>
            <w:shd w:val="clear" w:color="auto" w:fill="auto"/>
            <w:vAlign w:val="center"/>
          </w:tcPr>
          <w:p w14:paraId="1EEDD889">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890" w:type="dxa"/>
            <w:tcBorders>
              <w:top w:val="nil"/>
              <w:left w:val="single" w:color="000000" w:sz="4" w:space="0"/>
              <w:bottom w:val="single" w:color="000000" w:sz="4" w:space="0"/>
              <w:right w:val="single" w:color="000000" w:sz="4" w:space="0"/>
            </w:tcBorders>
            <w:shd w:val="clear" w:color="auto" w:fill="auto"/>
            <w:vAlign w:val="center"/>
          </w:tcPr>
          <w:p w14:paraId="1CD1D2D3">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5850" w:type="dxa"/>
            <w:tcBorders>
              <w:top w:val="nil"/>
              <w:left w:val="single" w:color="000000" w:sz="4" w:space="0"/>
              <w:bottom w:val="single" w:color="000000" w:sz="4" w:space="0"/>
              <w:right w:val="single" w:color="000000" w:sz="4" w:space="0"/>
            </w:tcBorders>
            <w:shd w:val="clear" w:color="auto" w:fill="auto"/>
            <w:vAlign w:val="center"/>
          </w:tcPr>
          <w:p w14:paraId="1A160B1D">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913" w:type="dxa"/>
            <w:gridSpan w:val="2"/>
            <w:tcBorders>
              <w:top w:val="nil"/>
              <w:left w:val="single" w:color="000000" w:sz="4" w:space="0"/>
              <w:bottom w:val="single" w:color="000000" w:sz="4" w:space="0"/>
              <w:right w:val="single" w:color="000000" w:sz="4" w:space="0"/>
            </w:tcBorders>
            <w:shd w:val="clear" w:color="auto" w:fill="auto"/>
            <w:vAlign w:val="center"/>
          </w:tcPr>
          <w:p w14:paraId="74A6141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219" w:type="dxa"/>
            <w:gridSpan w:val="2"/>
            <w:tcBorders>
              <w:top w:val="nil"/>
              <w:left w:val="single" w:color="000000" w:sz="4" w:space="0"/>
              <w:bottom w:val="single" w:color="000000" w:sz="4" w:space="0"/>
              <w:right w:val="single" w:color="000000" w:sz="4" w:space="0"/>
            </w:tcBorders>
            <w:shd w:val="clear" w:color="auto" w:fill="auto"/>
            <w:vAlign w:val="center"/>
          </w:tcPr>
          <w:p w14:paraId="701FDFC0">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r>
      <w:tr w14:paraId="4F2A3262">
        <w:tblPrEx>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548B977A">
            <w:pPr>
              <w:widowControl/>
              <w:spacing w:line="26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E5D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6CFB">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70.00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BF50">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70.00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8384">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5C13A">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r>
              <w:rPr>
                <w:rFonts w:ascii="宋体" w:hAnsi="宋体" w:cs="宋体"/>
                <w:color w:val="000000"/>
                <w:kern w:val="0"/>
                <w:sz w:val="18"/>
                <w:szCs w:val="18"/>
              </w:rPr>
              <w:t>%</w:t>
            </w:r>
          </w:p>
        </w:tc>
      </w:tr>
      <w:tr w14:paraId="4647CEC2">
        <w:tblPrEx>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5C55D7F0">
            <w:pPr>
              <w:widowControl/>
              <w:spacing w:line="26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299F">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5B7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70.00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0D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70.00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51321">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83826">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r>
              <w:rPr>
                <w:rFonts w:ascii="宋体" w:hAnsi="宋体" w:cs="宋体"/>
                <w:color w:val="000000"/>
                <w:kern w:val="0"/>
                <w:sz w:val="18"/>
                <w:szCs w:val="18"/>
              </w:rPr>
              <w:t>%</w:t>
            </w:r>
          </w:p>
        </w:tc>
      </w:tr>
      <w:tr w14:paraId="254B179E">
        <w:tblPrEx>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4B54E0D3">
            <w:pPr>
              <w:widowControl/>
              <w:spacing w:line="26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530C">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C087">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9A9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EA3DE">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001F3">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6B9B09C5">
        <w:tblPrEx>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43D52892">
            <w:pPr>
              <w:widowControl/>
              <w:spacing w:line="26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8CCB">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F4CA">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AB04">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9DB6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7189B">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0D812265">
        <w:tblPrEx>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4CED20BF">
            <w:pPr>
              <w:widowControl/>
              <w:spacing w:line="26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870F">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28C7">
            <w:pPr>
              <w:widowControl/>
              <w:spacing w:line="260" w:lineRule="exact"/>
              <w:jc w:val="center"/>
              <w:rPr>
                <w:rFonts w:ascii="微软雅黑" w:hAnsi="微软雅黑" w:eastAsia="微软雅黑" w:cs="微软雅黑"/>
                <w:i/>
                <w:iCs/>
                <w:color w:val="000000"/>
                <w:sz w:val="16"/>
                <w:szCs w:val="16"/>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C21F">
            <w:pPr>
              <w:widowControl/>
              <w:spacing w:line="260" w:lineRule="exact"/>
              <w:jc w:val="center"/>
              <w:rPr>
                <w:rFonts w:ascii="微软雅黑" w:hAnsi="微软雅黑" w:eastAsia="微软雅黑" w:cs="微软雅黑"/>
                <w:i/>
                <w:iCs/>
                <w:color w:val="000000"/>
                <w:sz w:val="16"/>
                <w:szCs w:val="16"/>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825F8">
            <w:pPr>
              <w:widowControl/>
              <w:spacing w:line="260" w:lineRule="exact"/>
              <w:jc w:val="center"/>
              <w:rPr>
                <w:rFonts w:ascii="微软雅黑" w:hAnsi="微软雅黑" w:eastAsia="微软雅黑" w:cs="微软雅黑"/>
                <w:i/>
                <w:iCs/>
                <w:color w:val="000000"/>
                <w:sz w:val="16"/>
                <w:szCs w:val="16"/>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27748">
            <w:pPr>
              <w:widowControl/>
              <w:spacing w:line="260" w:lineRule="exact"/>
              <w:jc w:val="center"/>
              <w:rPr>
                <w:rFonts w:ascii="宋体" w:hAnsi="宋体" w:cs="宋体"/>
                <w:color w:val="000000"/>
                <w:sz w:val="18"/>
                <w:szCs w:val="18"/>
              </w:rPr>
            </w:pPr>
          </w:p>
        </w:tc>
      </w:tr>
      <w:tr w14:paraId="313BA10F">
        <w:tblPrEx>
          <w:tblCellMar>
            <w:top w:w="0" w:type="dxa"/>
            <w:left w:w="108" w:type="dxa"/>
            <w:bottom w:w="0" w:type="dxa"/>
            <w:right w:w="108" w:type="dxa"/>
          </w:tblCellMar>
        </w:tblPrEx>
        <w:trPr>
          <w:trHeight w:val="51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6ACB2">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D172">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0E27">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E0CC">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三</w:t>
            </w:r>
            <w:r>
              <w:rPr>
                <w:rFonts w:ascii="宋体" w:hAnsi="宋体" w:cs="宋体"/>
                <w:color w:val="000000"/>
                <w:kern w:val="0"/>
                <w:sz w:val="18"/>
                <w:szCs w:val="18"/>
              </w:rPr>
              <w:t>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5C07">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B75F">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9FC3">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7B71">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偏差原因分析及改进措施</w:t>
            </w:r>
          </w:p>
        </w:tc>
      </w:tr>
      <w:tr w14:paraId="6E1CBC6D">
        <w:tblPrEx>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A679">
            <w:pPr>
              <w:widowControl/>
              <w:spacing w:line="26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78967">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C5720">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42AA">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异地人大代表联络站数量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EEF4">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7819">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B785">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7AD9">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66A7C73D">
        <w:tblPrEx>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23D7">
            <w:pPr>
              <w:widowControl/>
              <w:spacing w:line="26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FD38">
            <w:pPr>
              <w:widowControl/>
              <w:spacing w:line="26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4AF7">
            <w:pPr>
              <w:widowControl/>
              <w:spacing w:line="26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DCEA">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履职平台建设数量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9C5A">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DADC">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3F8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12A3">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160B2AD8">
        <w:tblPrEx>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99F4">
            <w:pPr>
              <w:widowControl/>
              <w:spacing w:line="26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F3D2">
            <w:pPr>
              <w:widowControl/>
              <w:spacing w:line="26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3876">
            <w:pPr>
              <w:widowControl/>
              <w:spacing w:line="26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70C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民生实事项目人大代表票决制工作涉及乡镇数量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58E3">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95BC">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56DA">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56E6">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74D3B8B0">
        <w:tblPrEx>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A2706">
            <w:pPr>
              <w:widowControl/>
              <w:spacing w:line="26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BB70">
            <w:pPr>
              <w:widowControl/>
              <w:spacing w:line="26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9BEB">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867F">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保证民生实事项目的可行性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8353">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BC21">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A17C">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2B34">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411A1EFA">
        <w:tblPrEx>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B36D">
            <w:pPr>
              <w:widowControl/>
              <w:spacing w:line="26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32FB">
            <w:pPr>
              <w:widowControl/>
              <w:spacing w:line="26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F01F">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AE4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AE30">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9EF0">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8ACA">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6737">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57AB1305">
        <w:tblPrEx>
          <w:tblCellMar>
            <w:top w:w="0" w:type="dxa"/>
            <w:left w:w="108" w:type="dxa"/>
            <w:bottom w:w="0" w:type="dxa"/>
            <w:right w:w="108" w:type="dxa"/>
          </w:tblCellMar>
        </w:tblPrEx>
        <w:trPr>
          <w:trHeight w:val="85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B197">
            <w:pPr>
              <w:widowControl/>
              <w:spacing w:line="26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B0B2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E427">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9CF2">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通过视察为改革发展稳定的重大问题、人民群众普遍关注的热点、难点问题，乡村振兴问题等提供有效数据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293B">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88BC">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FB9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38A1">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63E4FC1F">
        <w:tblPrEx>
          <w:tblCellMar>
            <w:top w:w="0" w:type="dxa"/>
            <w:left w:w="108" w:type="dxa"/>
            <w:bottom w:w="0" w:type="dxa"/>
            <w:right w:w="108" w:type="dxa"/>
          </w:tblCellMar>
        </w:tblPrEx>
        <w:trPr>
          <w:trHeight w:val="53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1C74">
            <w:pPr>
              <w:widowControl/>
              <w:spacing w:line="26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B953">
            <w:pPr>
              <w:widowControl/>
              <w:spacing w:line="26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202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FF25">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更好</w:t>
            </w:r>
            <w:r>
              <w:rPr>
                <w:rFonts w:hint="eastAsia" w:ascii="宋体" w:hAnsi="宋体" w:cs="宋体"/>
                <w:color w:val="000000"/>
                <w:kern w:val="0"/>
                <w:sz w:val="18"/>
                <w:szCs w:val="18"/>
                <w:lang w:eastAsia="zh-CN"/>
              </w:rPr>
              <w:t>地</w:t>
            </w:r>
            <w:r>
              <w:rPr>
                <w:rFonts w:ascii="宋体" w:hAnsi="宋体" w:cs="宋体"/>
                <w:color w:val="000000"/>
                <w:kern w:val="0"/>
                <w:sz w:val="18"/>
                <w:szCs w:val="18"/>
              </w:rPr>
              <w:t>行使</w:t>
            </w:r>
            <w:bookmarkStart w:id="50" w:name="_GoBack"/>
            <w:bookmarkEnd w:id="50"/>
            <w:r>
              <w:rPr>
                <w:rFonts w:ascii="宋体" w:hAnsi="宋体" w:cs="宋体"/>
                <w:color w:val="000000"/>
                <w:kern w:val="0"/>
                <w:sz w:val="18"/>
                <w:szCs w:val="18"/>
              </w:rPr>
              <w:t>宪法赋予的职权，促进社会和谐发展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505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40ED">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3ADD">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03AF">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565C2969">
        <w:tblPrEx>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66B4">
            <w:pPr>
              <w:widowControl/>
              <w:spacing w:line="26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5474">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5DC3">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A5EF">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人民群众满意度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EAD">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23E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A57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30D7">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3214AE11">
        <w:tblPrEx>
          <w:tblCellMar>
            <w:top w:w="0" w:type="dxa"/>
            <w:left w:w="108" w:type="dxa"/>
            <w:bottom w:w="0" w:type="dxa"/>
            <w:right w:w="108" w:type="dxa"/>
          </w:tblCellMar>
        </w:tblPrEx>
        <w:trPr>
          <w:trHeight w:val="54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A28D8">
            <w:pPr>
              <w:widowControl/>
              <w:spacing w:line="26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1DA0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189F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64D0">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人大代表履职能力提升工作成本控制额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044">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A433">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200000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4DD2">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200000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E779">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6E502B1E">
        <w:tblPrEx>
          <w:tblCellMar>
            <w:top w:w="0" w:type="dxa"/>
            <w:left w:w="108" w:type="dxa"/>
            <w:bottom w:w="0" w:type="dxa"/>
            <w:right w:w="108" w:type="dxa"/>
          </w:tblCellMar>
        </w:tblPrEx>
        <w:trPr>
          <w:trHeight w:val="5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CFDD">
            <w:pPr>
              <w:widowControl/>
              <w:spacing w:line="26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D950">
            <w:pPr>
              <w:widowControl/>
              <w:spacing w:line="26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0C5B">
            <w:pPr>
              <w:widowControl/>
              <w:spacing w:line="26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6AAF">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民生实事项目人大代表票决制工作成本控制额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4BC2">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8B22">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100000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6A64">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100000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5BEA">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24D75096">
        <w:tblPrEx>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055A">
            <w:pPr>
              <w:widowControl/>
              <w:spacing w:line="26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A0F1">
            <w:pPr>
              <w:widowControl/>
              <w:spacing w:line="26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CCD9">
            <w:pPr>
              <w:widowControl/>
              <w:spacing w:line="26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749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异地人大代表联络站工作成本控制额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88D3">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B96">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200000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D803">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200000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7CAA">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056FD87D">
        <w:tblPrEx>
          <w:tblCellMar>
            <w:top w:w="0" w:type="dxa"/>
            <w:left w:w="108" w:type="dxa"/>
            <w:bottom w:w="0" w:type="dxa"/>
            <w:right w:w="108" w:type="dxa"/>
          </w:tblCellMar>
        </w:tblPrEx>
        <w:trPr>
          <w:trHeight w:val="54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4C91">
            <w:pPr>
              <w:widowControl/>
              <w:spacing w:line="26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F680">
            <w:pPr>
              <w:widowControl/>
              <w:spacing w:line="26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37BC">
            <w:pPr>
              <w:widowControl/>
              <w:spacing w:line="260" w:lineRule="exact"/>
              <w:jc w:val="center"/>
              <w:rPr>
                <w:rFonts w:ascii="宋体" w:hAnsi="宋体" w:cs="宋体"/>
                <w:color w:val="000000"/>
                <w:sz w:val="18"/>
                <w:szCs w:val="18"/>
              </w:rPr>
            </w:pPr>
          </w:p>
        </w:tc>
        <w:tc>
          <w:tcPr>
            <w:tcW w:w="5850" w:type="dxa"/>
            <w:tcBorders>
              <w:top w:val="single" w:color="000000" w:sz="4" w:space="0"/>
              <w:left w:val="single" w:color="000000" w:sz="4" w:space="0"/>
              <w:bottom w:val="nil"/>
              <w:right w:val="single" w:color="000000" w:sz="4" w:space="0"/>
            </w:tcBorders>
            <w:shd w:val="clear" w:color="auto" w:fill="auto"/>
            <w:vAlign w:val="center"/>
          </w:tcPr>
          <w:p w14:paraId="1218B398">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人大代表履职平台建设工作成本控制额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34A4437A">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14:paraId="21DEC1BD">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200000</w:t>
            </w:r>
          </w:p>
        </w:tc>
        <w:tc>
          <w:tcPr>
            <w:tcW w:w="931" w:type="dxa"/>
            <w:tcBorders>
              <w:top w:val="single" w:color="000000" w:sz="4" w:space="0"/>
              <w:left w:val="single" w:color="000000" w:sz="4" w:space="0"/>
              <w:bottom w:val="nil"/>
              <w:right w:val="single" w:color="000000" w:sz="4" w:space="0"/>
            </w:tcBorders>
            <w:shd w:val="clear" w:color="auto" w:fill="auto"/>
            <w:vAlign w:val="center"/>
          </w:tcPr>
          <w:p w14:paraId="4B5BBAD5">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200000</w:t>
            </w:r>
          </w:p>
        </w:tc>
        <w:tc>
          <w:tcPr>
            <w:tcW w:w="2288" w:type="dxa"/>
            <w:tcBorders>
              <w:top w:val="single" w:color="000000" w:sz="4" w:space="0"/>
              <w:left w:val="single" w:color="000000" w:sz="4" w:space="0"/>
              <w:bottom w:val="nil"/>
              <w:right w:val="single" w:color="000000" w:sz="4" w:space="0"/>
            </w:tcBorders>
            <w:shd w:val="clear" w:color="auto" w:fill="auto"/>
            <w:vAlign w:val="center"/>
          </w:tcPr>
          <w:p w14:paraId="009FB12C">
            <w:pPr>
              <w:widowControl/>
              <w:spacing w:line="26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2CA7B123">
        <w:tblPrEx>
          <w:tblCellMar>
            <w:top w:w="0" w:type="dxa"/>
            <w:left w:w="108" w:type="dxa"/>
            <w:bottom w:w="0" w:type="dxa"/>
            <w:right w:w="108" w:type="dxa"/>
          </w:tblCellMar>
        </w:tblPrEx>
        <w:trPr>
          <w:trHeight w:val="575"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BD15DE">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C54E">
            <w:pPr>
              <w:widowControl/>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r>
      <w:tr w14:paraId="0AF8183B">
        <w:tblPrEx>
          <w:tblCellMar>
            <w:top w:w="0" w:type="dxa"/>
            <w:left w:w="108" w:type="dxa"/>
            <w:bottom w:w="0" w:type="dxa"/>
            <w:right w:w="108" w:type="dxa"/>
          </w:tblCellMar>
        </w:tblPrEx>
        <w:trPr>
          <w:trHeight w:val="565"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D4CB46">
            <w:pPr>
              <w:widowControl/>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广元市昭化区2023年度财政项目（政策）支出绩效自评表</w:t>
            </w:r>
          </w:p>
        </w:tc>
      </w:tr>
      <w:tr w14:paraId="4897B243">
        <w:tblPrEx>
          <w:tblCellMar>
            <w:top w:w="0" w:type="dxa"/>
            <w:left w:w="108" w:type="dxa"/>
            <w:bottom w:w="0" w:type="dxa"/>
            <w:right w:w="108" w:type="dxa"/>
          </w:tblCellMar>
        </w:tblPrEx>
        <w:trPr>
          <w:trHeight w:val="246"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9B4A3">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9970A0">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机关管理经费(退休老干部管理、《人大志》编撰）</w:t>
            </w:r>
          </w:p>
        </w:tc>
      </w:tr>
      <w:tr w14:paraId="54FC2798">
        <w:tblPrEx>
          <w:tblCellMar>
            <w:top w:w="0" w:type="dxa"/>
            <w:left w:w="108" w:type="dxa"/>
            <w:bottom w:w="0" w:type="dxa"/>
            <w:right w:w="108" w:type="dxa"/>
          </w:tblCellMar>
        </w:tblPrEx>
        <w:trPr>
          <w:trHeight w:val="481"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EE7B">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2232E1">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00B8">
            <w:pPr>
              <w:widowControl/>
              <w:spacing w:line="22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F78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r>
      <w:tr w14:paraId="1002A866">
        <w:tblPrEx>
          <w:tblCellMar>
            <w:top w:w="0" w:type="dxa"/>
            <w:left w:w="108" w:type="dxa"/>
            <w:bottom w:w="0" w:type="dxa"/>
            <w:right w:w="108" w:type="dxa"/>
          </w:tblCellMar>
        </w:tblPrEx>
        <w:trPr>
          <w:trHeight w:val="246"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60CBD">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99EBD">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D550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4567D">
            <w:pPr>
              <w:widowControl/>
              <w:spacing w:line="22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09D6E768">
        <w:tblPrEx>
          <w:tblCellMar>
            <w:top w:w="0" w:type="dxa"/>
            <w:left w:w="108" w:type="dxa"/>
            <w:bottom w:w="0" w:type="dxa"/>
            <w:right w:w="108" w:type="dxa"/>
          </w:tblCellMar>
        </w:tblPrEx>
        <w:trPr>
          <w:trHeight w:val="130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2DCD">
            <w:pPr>
              <w:widowControl/>
              <w:spacing w:line="220" w:lineRule="exact"/>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9BA3">
            <w:pPr>
              <w:widowControl/>
              <w:spacing w:line="220" w:lineRule="exact"/>
              <w:rPr>
                <w:rFonts w:ascii="宋体" w:hAnsi="宋体" w:cs="宋体"/>
                <w:color w:val="000000"/>
                <w:sz w:val="18"/>
                <w:szCs w:val="18"/>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B2136">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一是完成对15年的人大工作进行编纂，形成《人大志》，编撰工作按期完成及时率达到100%，编撰成果质量效率达到100%；二是加强对27名退休干部的管理工作，包含会议、学习、参观、体检、慰问等工作；确保工作按期完成及时率达到100%、各部门及老干部自身满意度均达到100%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203F5">
            <w:pPr>
              <w:widowControl/>
              <w:spacing w:line="22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该项目一是完成对15年的人大工作进行编纂，形成《人大志》，编撰工作完成30%；二是加强对27名退休干部的管理工作，包含会议、学习、参观、体检、慰问等工作，各部门及老干部自身满意度均达到100%。</w:t>
            </w:r>
          </w:p>
        </w:tc>
      </w:tr>
      <w:tr w14:paraId="53B5D42D">
        <w:tblPrEx>
          <w:tblCellMar>
            <w:top w:w="0" w:type="dxa"/>
            <w:left w:w="108" w:type="dxa"/>
            <w:bottom w:w="0" w:type="dxa"/>
            <w:right w:w="108" w:type="dxa"/>
          </w:tblCellMar>
        </w:tblPrEx>
        <w:trPr>
          <w:trHeight w:val="283"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14:paraId="7341F49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758" w:type="dxa"/>
            <w:tcBorders>
              <w:top w:val="nil"/>
              <w:left w:val="single" w:color="000000" w:sz="4" w:space="0"/>
              <w:bottom w:val="single" w:color="000000" w:sz="4" w:space="0"/>
              <w:right w:val="single" w:color="000000" w:sz="4" w:space="0"/>
            </w:tcBorders>
            <w:shd w:val="clear" w:color="auto" w:fill="auto"/>
            <w:vAlign w:val="center"/>
          </w:tcPr>
          <w:p w14:paraId="5B37DF9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890" w:type="dxa"/>
            <w:tcBorders>
              <w:top w:val="nil"/>
              <w:left w:val="single" w:color="000000" w:sz="4" w:space="0"/>
              <w:bottom w:val="single" w:color="000000" w:sz="4" w:space="0"/>
              <w:right w:val="single" w:color="000000" w:sz="4" w:space="0"/>
            </w:tcBorders>
            <w:shd w:val="clear" w:color="auto" w:fill="auto"/>
            <w:vAlign w:val="center"/>
          </w:tcPr>
          <w:p w14:paraId="3D36C7E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5850" w:type="dxa"/>
            <w:tcBorders>
              <w:top w:val="nil"/>
              <w:left w:val="single" w:color="000000" w:sz="4" w:space="0"/>
              <w:bottom w:val="single" w:color="000000" w:sz="4" w:space="0"/>
              <w:right w:val="single" w:color="000000" w:sz="4" w:space="0"/>
            </w:tcBorders>
            <w:shd w:val="clear" w:color="auto" w:fill="auto"/>
            <w:vAlign w:val="center"/>
          </w:tcPr>
          <w:p w14:paraId="7D3A19D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913" w:type="dxa"/>
            <w:gridSpan w:val="2"/>
            <w:tcBorders>
              <w:top w:val="nil"/>
              <w:left w:val="single" w:color="000000" w:sz="4" w:space="0"/>
              <w:bottom w:val="single" w:color="000000" w:sz="4" w:space="0"/>
              <w:right w:val="single" w:color="000000" w:sz="4" w:space="0"/>
            </w:tcBorders>
            <w:shd w:val="clear" w:color="auto" w:fill="auto"/>
            <w:vAlign w:val="center"/>
          </w:tcPr>
          <w:p w14:paraId="525C272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219" w:type="dxa"/>
            <w:gridSpan w:val="2"/>
            <w:tcBorders>
              <w:top w:val="nil"/>
              <w:left w:val="single" w:color="000000" w:sz="4" w:space="0"/>
              <w:bottom w:val="single" w:color="000000" w:sz="4" w:space="0"/>
              <w:right w:val="single" w:color="000000" w:sz="4" w:space="0"/>
            </w:tcBorders>
            <w:shd w:val="clear" w:color="auto" w:fill="auto"/>
            <w:vAlign w:val="center"/>
          </w:tcPr>
          <w:p w14:paraId="263C389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r>
      <w:tr w14:paraId="46032208">
        <w:tblPrEx>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3325FAA2">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4D8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65D">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38.50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1903">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38.50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1B112">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38.50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15BA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r>
      <w:tr w14:paraId="3C73B696">
        <w:tblPrEx>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44FEA096">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734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B3E7">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38.50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A821">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38.50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7CC49">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38.50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7DFA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r>
      <w:tr w14:paraId="5E54010B">
        <w:tblPrEx>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74C4AD54">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A2F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BB3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4F5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EA9D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A2EC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7A14A2B4">
        <w:tblPrEx>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6C80B4B0">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87E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B0C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264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9C55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0874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01F7F78F">
        <w:tblPrEx>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0A6C6034">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072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1E1">
            <w:pPr>
              <w:widowControl/>
              <w:spacing w:line="220" w:lineRule="exact"/>
              <w:jc w:val="center"/>
              <w:rPr>
                <w:rFonts w:ascii="微软雅黑" w:hAnsi="微软雅黑" w:eastAsia="微软雅黑" w:cs="微软雅黑"/>
                <w:i/>
                <w:iCs/>
                <w:color w:val="000000"/>
                <w:sz w:val="16"/>
                <w:szCs w:val="16"/>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A581">
            <w:pPr>
              <w:widowControl/>
              <w:spacing w:line="220" w:lineRule="exact"/>
              <w:jc w:val="center"/>
              <w:rPr>
                <w:rFonts w:ascii="微软雅黑" w:hAnsi="微软雅黑" w:eastAsia="微软雅黑" w:cs="微软雅黑"/>
                <w:i/>
                <w:iCs/>
                <w:color w:val="000000"/>
                <w:sz w:val="16"/>
                <w:szCs w:val="16"/>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B95C">
            <w:pPr>
              <w:widowControl/>
              <w:spacing w:line="220" w:lineRule="exact"/>
              <w:jc w:val="center"/>
              <w:rPr>
                <w:rFonts w:ascii="微软雅黑" w:hAnsi="微软雅黑" w:eastAsia="微软雅黑" w:cs="微软雅黑"/>
                <w:i/>
                <w:iCs/>
                <w:color w:val="000000"/>
                <w:sz w:val="16"/>
                <w:szCs w:val="16"/>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C7D00">
            <w:pPr>
              <w:widowControl/>
              <w:spacing w:line="220" w:lineRule="exact"/>
              <w:jc w:val="center"/>
              <w:rPr>
                <w:rFonts w:ascii="宋体" w:hAnsi="宋体" w:cs="宋体"/>
                <w:color w:val="000000"/>
                <w:sz w:val="18"/>
                <w:szCs w:val="18"/>
              </w:rPr>
            </w:pPr>
          </w:p>
        </w:tc>
      </w:tr>
      <w:tr w14:paraId="6952F483">
        <w:tblPrEx>
          <w:tblCellMar>
            <w:top w:w="0" w:type="dxa"/>
            <w:left w:w="108" w:type="dxa"/>
            <w:bottom w:w="0" w:type="dxa"/>
            <w:right w:w="108" w:type="dxa"/>
          </w:tblCellMar>
        </w:tblPrEx>
        <w:trPr>
          <w:trHeight w:val="283"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9261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F7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714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075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1EB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F83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16A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902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偏差原因分析及改进措施</w:t>
            </w:r>
          </w:p>
        </w:tc>
      </w:tr>
      <w:tr w14:paraId="4DDBBC1F">
        <w:tblPrEx>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60D12">
            <w:pPr>
              <w:widowControl/>
              <w:spacing w:line="22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C353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B27E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CAF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管理老干部的数量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B7B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3FA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4C7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4B8E">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6F86DC5C">
        <w:tblPrEx>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3515">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87D9">
            <w:pPr>
              <w:widowControl/>
              <w:spacing w:line="22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EDAB">
            <w:pPr>
              <w:widowControl/>
              <w:spacing w:line="22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5A6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《人大志》编撰涉及年限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F6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D1A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2CD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E83F">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1AB1DC8B">
        <w:tblPrEx>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3F837">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19CE">
            <w:pPr>
              <w:widowControl/>
              <w:spacing w:line="220" w:lineRule="exact"/>
              <w:jc w:val="center"/>
              <w:rPr>
                <w:rFonts w:ascii="宋体" w:hAnsi="宋体" w:cs="宋体"/>
                <w:color w:val="000000"/>
                <w:sz w:val="18"/>
                <w:szCs w:val="18"/>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C3D1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D10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丰富老干部的生活质量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5D6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58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3A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9497">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34DE45FA">
        <w:tblPrEx>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FB21">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69A65">
            <w:pPr>
              <w:widowControl/>
              <w:spacing w:line="22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3A11">
            <w:pPr>
              <w:widowControl/>
              <w:spacing w:line="22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126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再现人大制度不断完善发展的生动实践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775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25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F17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1863">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1E830DBA">
        <w:tblPrEx>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B9F6">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750B">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C77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413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A98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BB1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238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4332">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7C5737DB">
        <w:tblPrEx>
          <w:tblCellMar>
            <w:top w:w="0" w:type="dxa"/>
            <w:left w:w="108" w:type="dxa"/>
            <w:bottom w:w="0" w:type="dxa"/>
            <w:right w:w="108" w:type="dxa"/>
          </w:tblCellMar>
        </w:tblPrEx>
        <w:trPr>
          <w:trHeight w:val="52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1E30">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DD6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41A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BF3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使退休老干部在党的关怀下，继续发挥其先锋模范作用，有效指导、监督工作，广泛宣传，继续发光发热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2E3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418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7AD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EDFE">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0A9773AE">
        <w:tblPrEx>
          <w:tblCellMar>
            <w:top w:w="0" w:type="dxa"/>
            <w:left w:w="108" w:type="dxa"/>
            <w:bottom w:w="0" w:type="dxa"/>
            <w:right w:w="108" w:type="dxa"/>
          </w:tblCellMar>
        </w:tblPrEx>
        <w:trPr>
          <w:trHeight w:val="28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7860">
            <w:pPr>
              <w:widowControl/>
              <w:spacing w:line="22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F7B1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109F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5AA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临聘人员的满意度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5EC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3BD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50F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AD26">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15F0CCB6">
        <w:tblPrEx>
          <w:tblCellMar>
            <w:top w:w="0" w:type="dxa"/>
            <w:left w:w="108" w:type="dxa"/>
            <w:bottom w:w="0" w:type="dxa"/>
            <w:right w:w="108" w:type="dxa"/>
          </w:tblCellMar>
        </w:tblPrEx>
        <w:trPr>
          <w:trHeight w:val="28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C81A">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9F69">
            <w:pPr>
              <w:widowControl/>
              <w:spacing w:line="220" w:lineRule="exact"/>
              <w:jc w:val="center"/>
              <w:rPr>
                <w:rFonts w:ascii="宋体" w:hAnsi="宋体" w:cs="宋体"/>
                <w:color w:val="000000"/>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8D7E">
            <w:pPr>
              <w:widowControl/>
              <w:spacing w:line="220" w:lineRule="exact"/>
              <w:jc w:val="center"/>
              <w:rPr>
                <w:rFonts w:ascii="宋体" w:hAnsi="宋体" w:cs="宋体"/>
                <w:color w:val="000000"/>
                <w:sz w:val="18"/>
                <w:szCs w:val="18"/>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E1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退休干部满意度指标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68F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18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D6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B273">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23B2ED93">
        <w:tblPrEx>
          <w:tblCellMar>
            <w:top w:w="0" w:type="dxa"/>
            <w:left w:w="108" w:type="dxa"/>
            <w:bottom w:w="0" w:type="dxa"/>
            <w:right w:w="108" w:type="dxa"/>
          </w:tblCellMar>
        </w:tblPrEx>
        <w:trPr>
          <w:trHeight w:val="38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D788">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nil"/>
              <w:right w:val="single" w:color="000000" w:sz="4" w:space="0"/>
            </w:tcBorders>
            <w:shd w:val="clear" w:color="auto" w:fill="auto"/>
            <w:vAlign w:val="center"/>
          </w:tcPr>
          <w:p w14:paraId="1D59B3B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890" w:type="dxa"/>
            <w:tcBorders>
              <w:top w:val="single" w:color="000000" w:sz="4" w:space="0"/>
              <w:left w:val="single" w:color="000000" w:sz="4" w:space="0"/>
              <w:bottom w:val="nil"/>
              <w:right w:val="single" w:color="000000" w:sz="4" w:space="0"/>
            </w:tcBorders>
            <w:shd w:val="clear" w:color="auto" w:fill="auto"/>
            <w:vAlign w:val="center"/>
          </w:tcPr>
          <w:p w14:paraId="2E110C0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5850" w:type="dxa"/>
            <w:tcBorders>
              <w:top w:val="single" w:color="000000" w:sz="4" w:space="0"/>
              <w:left w:val="single" w:color="000000" w:sz="4" w:space="0"/>
              <w:bottom w:val="nil"/>
              <w:right w:val="single" w:color="000000" w:sz="4" w:space="0"/>
            </w:tcBorders>
            <w:shd w:val="clear" w:color="auto" w:fill="auto"/>
            <w:vAlign w:val="center"/>
          </w:tcPr>
          <w:p w14:paraId="49088EF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老干部管理、《人大志编撰》及临聘人员工作成本控制额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37542A8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14:paraId="712BEDAB">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385000</w:t>
            </w:r>
          </w:p>
        </w:tc>
        <w:tc>
          <w:tcPr>
            <w:tcW w:w="931" w:type="dxa"/>
            <w:tcBorders>
              <w:top w:val="single" w:color="000000" w:sz="4" w:space="0"/>
              <w:left w:val="single" w:color="000000" w:sz="4" w:space="0"/>
              <w:bottom w:val="nil"/>
              <w:right w:val="single" w:color="000000" w:sz="4" w:space="0"/>
            </w:tcBorders>
            <w:shd w:val="clear" w:color="auto" w:fill="auto"/>
            <w:vAlign w:val="center"/>
          </w:tcPr>
          <w:p w14:paraId="1D297C1B">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385000</w:t>
            </w:r>
          </w:p>
        </w:tc>
        <w:tc>
          <w:tcPr>
            <w:tcW w:w="2288" w:type="dxa"/>
            <w:tcBorders>
              <w:top w:val="single" w:color="000000" w:sz="4" w:space="0"/>
              <w:left w:val="single" w:color="000000" w:sz="4" w:space="0"/>
              <w:bottom w:val="nil"/>
              <w:right w:val="single" w:color="000000" w:sz="4" w:space="0"/>
            </w:tcBorders>
            <w:shd w:val="clear" w:color="auto" w:fill="auto"/>
            <w:vAlign w:val="center"/>
          </w:tcPr>
          <w:p w14:paraId="38FE6DDA">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43275BC4">
        <w:tblPrEx>
          <w:tblCellMar>
            <w:top w:w="0" w:type="dxa"/>
            <w:left w:w="108" w:type="dxa"/>
            <w:bottom w:w="0" w:type="dxa"/>
            <w:right w:w="108" w:type="dxa"/>
          </w:tblCellMar>
        </w:tblPrEx>
        <w:trPr>
          <w:trHeight w:val="246"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1BA1C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CC6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97</w:t>
            </w:r>
          </w:p>
        </w:tc>
      </w:tr>
      <w:tr w14:paraId="26BC99E7">
        <w:tblPrEx>
          <w:tblCellMar>
            <w:top w:w="0" w:type="dxa"/>
            <w:left w:w="108" w:type="dxa"/>
            <w:bottom w:w="0" w:type="dxa"/>
            <w:right w:w="108" w:type="dxa"/>
          </w:tblCellMar>
        </w:tblPrEx>
        <w:trPr>
          <w:trHeight w:val="541"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13DCAE">
            <w:pPr>
              <w:widowControl/>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广元市昭化区2023年度财政项目（政策）支出绩效自评表</w:t>
            </w:r>
          </w:p>
        </w:tc>
      </w:tr>
      <w:tr w14:paraId="0F64DBD6">
        <w:tblPrEx>
          <w:tblCellMar>
            <w:top w:w="0" w:type="dxa"/>
            <w:left w:w="108" w:type="dxa"/>
            <w:bottom w:w="0" w:type="dxa"/>
            <w:right w:w="108" w:type="dxa"/>
          </w:tblCellMar>
        </w:tblPrEx>
        <w:trPr>
          <w:trHeight w:val="246"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BB5AB">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179E10">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乡村振兴及</w:t>
            </w:r>
            <w:r>
              <w:rPr>
                <w:rFonts w:hint="eastAsia" w:ascii="宋体" w:hAnsi="宋体" w:cs="宋体"/>
                <w:color w:val="000000"/>
                <w:kern w:val="0"/>
                <w:sz w:val="18"/>
                <w:szCs w:val="18"/>
                <w:lang w:eastAsia="zh-CN"/>
              </w:rPr>
              <w:t>其他</w:t>
            </w:r>
            <w:r>
              <w:rPr>
                <w:rFonts w:ascii="宋体" w:hAnsi="宋体" w:cs="宋体"/>
                <w:color w:val="000000"/>
                <w:kern w:val="0"/>
                <w:sz w:val="18"/>
                <w:szCs w:val="18"/>
              </w:rPr>
              <w:t>人大事务性经费</w:t>
            </w:r>
          </w:p>
        </w:tc>
      </w:tr>
      <w:tr w14:paraId="0A488C6A">
        <w:tblPrEx>
          <w:tblCellMar>
            <w:top w:w="0" w:type="dxa"/>
            <w:left w:w="108" w:type="dxa"/>
            <w:bottom w:w="0" w:type="dxa"/>
            <w:right w:w="108" w:type="dxa"/>
          </w:tblCellMar>
        </w:tblPrEx>
        <w:trPr>
          <w:trHeight w:val="481"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42D83">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E20B4">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06D4">
            <w:pPr>
              <w:widowControl/>
              <w:spacing w:line="22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D99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广元市昭化区人民代表大会常务委员会办公室</w:t>
            </w:r>
          </w:p>
        </w:tc>
      </w:tr>
      <w:tr w14:paraId="1AEC7E1F">
        <w:tblPrEx>
          <w:tblCellMar>
            <w:top w:w="0" w:type="dxa"/>
            <w:left w:w="108" w:type="dxa"/>
            <w:bottom w:w="0" w:type="dxa"/>
            <w:right w:w="108" w:type="dxa"/>
          </w:tblCellMar>
        </w:tblPrEx>
        <w:trPr>
          <w:trHeight w:val="246"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14:paraId="3F292471">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758" w:type="dxa"/>
            <w:vMerge w:val="restart"/>
            <w:tcBorders>
              <w:top w:val="nil"/>
              <w:left w:val="single" w:color="000000" w:sz="4" w:space="0"/>
              <w:bottom w:val="single" w:color="000000" w:sz="4" w:space="0"/>
              <w:right w:val="single" w:color="000000" w:sz="4" w:space="0"/>
            </w:tcBorders>
            <w:shd w:val="clear" w:color="auto" w:fill="auto"/>
            <w:vAlign w:val="center"/>
          </w:tcPr>
          <w:p w14:paraId="069738EC">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9653" w:type="dxa"/>
            <w:gridSpan w:val="4"/>
            <w:tcBorders>
              <w:top w:val="nil"/>
              <w:left w:val="single" w:color="000000" w:sz="4" w:space="0"/>
              <w:bottom w:val="single" w:color="000000" w:sz="4" w:space="0"/>
              <w:right w:val="single" w:color="000000" w:sz="4" w:space="0"/>
            </w:tcBorders>
            <w:shd w:val="clear" w:color="auto" w:fill="auto"/>
            <w:vAlign w:val="center"/>
          </w:tcPr>
          <w:p w14:paraId="7B02FFA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219" w:type="dxa"/>
            <w:gridSpan w:val="2"/>
            <w:tcBorders>
              <w:top w:val="nil"/>
              <w:left w:val="single" w:color="000000" w:sz="4" w:space="0"/>
              <w:bottom w:val="single" w:color="000000" w:sz="4" w:space="0"/>
              <w:right w:val="single" w:color="000000" w:sz="4" w:space="0"/>
            </w:tcBorders>
            <w:shd w:val="clear" w:color="auto" w:fill="auto"/>
            <w:vAlign w:val="center"/>
          </w:tcPr>
          <w:p w14:paraId="78B48D67">
            <w:pPr>
              <w:widowControl/>
              <w:spacing w:line="22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0F5730B9">
        <w:tblPrEx>
          <w:tblCellMar>
            <w:top w:w="0" w:type="dxa"/>
            <w:left w:w="108" w:type="dxa"/>
            <w:bottom w:w="0" w:type="dxa"/>
            <w:right w:w="108" w:type="dxa"/>
          </w:tblCellMar>
        </w:tblPrEx>
        <w:trPr>
          <w:trHeight w:val="1422"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14:paraId="31227F3D">
            <w:pPr>
              <w:widowControl/>
              <w:spacing w:line="220" w:lineRule="exact"/>
              <w:rPr>
                <w:rFonts w:ascii="宋体" w:hAnsi="宋体" w:cs="宋体"/>
                <w:color w:val="000000"/>
                <w:sz w:val="18"/>
                <w:szCs w:val="18"/>
              </w:rPr>
            </w:pPr>
          </w:p>
        </w:tc>
        <w:tc>
          <w:tcPr>
            <w:tcW w:w="1758" w:type="dxa"/>
            <w:vMerge w:val="continue"/>
            <w:tcBorders>
              <w:top w:val="nil"/>
              <w:left w:val="single" w:color="000000" w:sz="4" w:space="0"/>
              <w:bottom w:val="single" w:color="000000" w:sz="4" w:space="0"/>
              <w:right w:val="single" w:color="000000" w:sz="4" w:space="0"/>
            </w:tcBorders>
            <w:shd w:val="clear" w:color="auto" w:fill="auto"/>
            <w:vAlign w:val="center"/>
          </w:tcPr>
          <w:p w14:paraId="3E81792E">
            <w:pPr>
              <w:widowControl/>
              <w:spacing w:line="220" w:lineRule="exact"/>
              <w:rPr>
                <w:rFonts w:ascii="宋体" w:hAnsi="宋体" w:cs="宋体"/>
                <w:color w:val="000000"/>
                <w:sz w:val="18"/>
                <w:szCs w:val="18"/>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B7543">
            <w:pPr>
              <w:widowControl/>
              <w:spacing w:line="220" w:lineRule="exact"/>
              <w:jc w:val="left"/>
              <w:textAlignment w:val="center"/>
              <w:rPr>
                <w:rFonts w:ascii="宋体" w:hAnsi="宋体" w:cs="宋体"/>
                <w:color w:val="000000"/>
                <w:sz w:val="18"/>
                <w:szCs w:val="18"/>
              </w:rPr>
            </w:pPr>
            <w:r>
              <w:rPr>
                <w:rFonts w:ascii="宋体" w:hAnsi="宋体" w:cs="宋体"/>
                <w:color w:val="000000"/>
                <w:kern w:val="0"/>
                <w:sz w:val="18"/>
                <w:szCs w:val="18"/>
              </w:rPr>
              <w:t>为了认真贯彻落实区委《广元市昭化区乡村振兴战略规划（2018-2022）》战略部署，紧紧围绕我区“三农”工作重点，认真履行宪法和法律赋予的职权，依法加强人大监督，更好地服务于新形势下的现代农业产业发展。开展对沈家阁、石井铺2村的帮扶联系工作及其它事务性工作，工作按期完成及时率达到100%，工作成效提升率达到100%，切实为民解难题办实事，助力产业发展，助农增收，使得各部门及帮扶对象满意度均达到100%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9409E">
            <w:pPr>
              <w:widowControl/>
              <w:spacing w:line="22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完成了对沈家阁、石井铺2村的帮扶联系工作及其它事务性工作，工作按期完成及时率达到100%，工作成效提升率达到100%，切实为民解难题办实事，助力产业发展，助农增收，使得各部门及帮扶对象满意度均达到100%。</w:t>
            </w:r>
          </w:p>
        </w:tc>
      </w:tr>
      <w:tr w14:paraId="1EED7A3D">
        <w:tblPrEx>
          <w:tblCellMar>
            <w:top w:w="0" w:type="dxa"/>
            <w:left w:w="108" w:type="dxa"/>
            <w:bottom w:w="0" w:type="dxa"/>
            <w:right w:w="108" w:type="dxa"/>
          </w:tblCellMar>
        </w:tblPrEx>
        <w:trPr>
          <w:trHeight w:val="312"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57B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11C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B2C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BC7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C25C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84CE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r>
      <w:tr w14:paraId="2A3BF4E3">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C046">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A647">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13A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1F9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2EFC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7D36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r>
      <w:tr w14:paraId="61F458E8">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F77B">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49D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714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2C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8017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2B1F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r>
      <w:tr w14:paraId="3D67FA78">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18DA">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C49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212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56D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C17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6D0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34B7002E">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DF9F">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6C9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ED4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229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CD4A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5BAE9">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1D9F252F">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13EE">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4F6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CAFB">
            <w:pPr>
              <w:widowControl/>
              <w:spacing w:line="220" w:lineRule="exact"/>
              <w:jc w:val="center"/>
              <w:rPr>
                <w:rFonts w:ascii="微软雅黑" w:hAnsi="微软雅黑" w:eastAsia="微软雅黑" w:cs="微软雅黑"/>
                <w:i/>
                <w:iCs/>
                <w:color w:val="000000"/>
                <w:sz w:val="16"/>
                <w:szCs w:val="16"/>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12A3">
            <w:pPr>
              <w:widowControl/>
              <w:spacing w:line="220" w:lineRule="exact"/>
              <w:jc w:val="center"/>
              <w:rPr>
                <w:rFonts w:ascii="微软雅黑" w:hAnsi="微软雅黑" w:eastAsia="微软雅黑" w:cs="微软雅黑"/>
                <w:i/>
                <w:iCs/>
                <w:color w:val="000000"/>
                <w:sz w:val="16"/>
                <w:szCs w:val="16"/>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1178C">
            <w:pPr>
              <w:widowControl/>
              <w:spacing w:line="220" w:lineRule="exact"/>
              <w:jc w:val="center"/>
              <w:rPr>
                <w:rFonts w:ascii="微软雅黑" w:hAnsi="微软雅黑" w:eastAsia="微软雅黑" w:cs="微软雅黑"/>
                <w:i/>
                <w:iCs/>
                <w:color w:val="000000"/>
                <w:sz w:val="16"/>
                <w:szCs w:val="16"/>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014ED">
            <w:pPr>
              <w:widowControl/>
              <w:spacing w:line="220" w:lineRule="exact"/>
              <w:jc w:val="center"/>
              <w:rPr>
                <w:rFonts w:ascii="宋体" w:hAnsi="宋体" w:cs="宋体"/>
                <w:color w:val="000000"/>
                <w:sz w:val="18"/>
                <w:szCs w:val="18"/>
              </w:rPr>
            </w:pPr>
          </w:p>
        </w:tc>
      </w:tr>
      <w:tr w14:paraId="52AEFC3A">
        <w:tblPrEx>
          <w:tblCellMar>
            <w:top w:w="0" w:type="dxa"/>
            <w:left w:w="108" w:type="dxa"/>
            <w:bottom w:w="0" w:type="dxa"/>
            <w:right w:w="108" w:type="dxa"/>
          </w:tblCellMar>
        </w:tblPrEx>
        <w:trPr>
          <w:trHeight w:val="312"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B527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3E8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136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557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8EB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732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19F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585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偏差原因分析及改进措施</w:t>
            </w:r>
          </w:p>
        </w:tc>
      </w:tr>
      <w:tr w14:paraId="1B0C817F">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31D5">
            <w:pPr>
              <w:widowControl/>
              <w:spacing w:line="22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DAAB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6BD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C86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帮扶联系工作涉及的村（沈家阁、石井铺）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9E7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0105">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648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1882">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233FACE0">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48D2">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7506">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2C8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1DE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对乡村振兴联系工作完成情况的考核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8AA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B82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F60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FA47">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62880BEC">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4FA7">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E067">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07D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610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0E4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07C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323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2F1E">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3FD4442C">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6B11">
            <w:pPr>
              <w:widowControl/>
              <w:spacing w:line="220" w:lineRule="exact"/>
              <w:jc w:val="center"/>
              <w:rPr>
                <w:rFonts w:ascii="宋体" w:hAnsi="宋体" w:cs="宋体"/>
                <w:color w:val="000000"/>
                <w:sz w:val="18"/>
                <w:szCs w:val="18"/>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8E6A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53B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C8D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为民解难题办实事，助力产业发展，助农增收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9E9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0FA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9B0D">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B098">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38F037CF">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74D5">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1EC5">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117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9F4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为民解难题办实事、促进和谐稳定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F39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5DB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9F0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FB83">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67779F04">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74DD">
            <w:pPr>
              <w:widowControl/>
              <w:spacing w:line="220" w:lineRule="exact"/>
              <w:jc w:val="center"/>
              <w:rPr>
                <w:rFonts w:ascii="宋体" w:hAnsi="宋体" w:cs="宋体"/>
                <w:color w:val="000000"/>
                <w:sz w:val="18"/>
                <w:szCs w:val="1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2998">
            <w:pPr>
              <w:widowControl/>
              <w:spacing w:line="220" w:lineRule="exact"/>
              <w:jc w:val="center"/>
              <w:rPr>
                <w:rFonts w:ascii="宋体" w:hAnsi="宋体" w:cs="宋体"/>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3928">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B89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解难题，分民忧，助力脱贫攻坚与乡村振兴的有效衔接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910C">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066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3F3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E78A">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2DED4C05">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0DF3">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792">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893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帮扶对象满意度指标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F13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联系帮扶对象的满意度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9594">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86A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862F">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EA19">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58308C44">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AE87">
            <w:pPr>
              <w:widowControl/>
              <w:spacing w:line="220" w:lineRule="exact"/>
              <w:jc w:val="center"/>
              <w:rPr>
                <w:rFonts w:ascii="宋体" w:hAnsi="宋体" w:cs="宋体"/>
                <w:color w:val="000000"/>
                <w:sz w:val="18"/>
                <w:szCs w:val="18"/>
              </w:rPr>
            </w:pPr>
          </w:p>
        </w:tc>
        <w:tc>
          <w:tcPr>
            <w:tcW w:w="1758" w:type="dxa"/>
            <w:tcBorders>
              <w:top w:val="single" w:color="000000" w:sz="4" w:space="0"/>
              <w:left w:val="single" w:color="000000" w:sz="4" w:space="0"/>
              <w:bottom w:val="nil"/>
              <w:right w:val="single" w:color="000000" w:sz="4" w:space="0"/>
            </w:tcBorders>
            <w:shd w:val="clear" w:color="auto" w:fill="auto"/>
            <w:vAlign w:val="center"/>
          </w:tcPr>
          <w:p w14:paraId="2984091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890" w:type="dxa"/>
            <w:tcBorders>
              <w:top w:val="single" w:color="000000" w:sz="4" w:space="0"/>
              <w:left w:val="single" w:color="000000" w:sz="4" w:space="0"/>
              <w:bottom w:val="nil"/>
              <w:right w:val="single" w:color="000000" w:sz="4" w:space="0"/>
            </w:tcBorders>
            <w:shd w:val="clear" w:color="auto" w:fill="auto"/>
            <w:vAlign w:val="center"/>
          </w:tcPr>
          <w:p w14:paraId="50E47601">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5850" w:type="dxa"/>
            <w:tcBorders>
              <w:top w:val="single" w:color="000000" w:sz="4" w:space="0"/>
              <w:left w:val="single" w:color="000000" w:sz="4" w:space="0"/>
              <w:bottom w:val="nil"/>
              <w:right w:val="single" w:color="000000" w:sz="4" w:space="0"/>
            </w:tcBorders>
            <w:shd w:val="clear" w:color="auto" w:fill="auto"/>
            <w:vAlign w:val="center"/>
          </w:tcPr>
          <w:p w14:paraId="7AB8542A">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完成该项工作的成本控制额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7FE5A0CB">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14:paraId="0709E6B0">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200000</w:t>
            </w:r>
          </w:p>
        </w:tc>
        <w:tc>
          <w:tcPr>
            <w:tcW w:w="931" w:type="dxa"/>
            <w:tcBorders>
              <w:top w:val="single" w:color="000000" w:sz="4" w:space="0"/>
              <w:left w:val="single" w:color="000000" w:sz="4" w:space="0"/>
              <w:bottom w:val="nil"/>
              <w:right w:val="single" w:color="000000" w:sz="4" w:space="0"/>
            </w:tcBorders>
            <w:shd w:val="clear" w:color="auto" w:fill="auto"/>
            <w:vAlign w:val="center"/>
          </w:tcPr>
          <w:p w14:paraId="5D93F32E">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200000</w:t>
            </w:r>
          </w:p>
        </w:tc>
        <w:tc>
          <w:tcPr>
            <w:tcW w:w="2288" w:type="dxa"/>
            <w:tcBorders>
              <w:top w:val="single" w:color="000000" w:sz="4" w:space="0"/>
              <w:left w:val="single" w:color="000000" w:sz="4" w:space="0"/>
              <w:bottom w:val="nil"/>
              <w:right w:val="single" w:color="000000" w:sz="4" w:space="0"/>
            </w:tcBorders>
            <w:shd w:val="clear" w:color="auto" w:fill="auto"/>
            <w:vAlign w:val="center"/>
          </w:tcPr>
          <w:p w14:paraId="6007B9A2">
            <w:pPr>
              <w:widowControl/>
              <w:spacing w:line="220" w:lineRule="exact"/>
              <w:jc w:val="center"/>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14:paraId="5CF4D6BD">
        <w:tblPrEx>
          <w:tblCellMar>
            <w:top w:w="0" w:type="dxa"/>
            <w:left w:w="108" w:type="dxa"/>
            <w:bottom w:w="0" w:type="dxa"/>
            <w:right w:w="108" w:type="dxa"/>
          </w:tblCellMar>
        </w:tblPrEx>
        <w:trPr>
          <w:trHeight w:val="312"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8D59E3">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FC6">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r>
    </w:tbl>
    <w:p w14:paraId="28F9A52E">
      <w:pPr>
        <w:sectPr>
          <w:pgSz w:w="16838" w:h="11906" w:orient="landscape"/>
          <w:pgMar w:top="1803" w:right="1440" w:bottom="1803" w:left="1440" w:header="851" w:footer="992" w:gutter="0"/>
          <w:pgNumType w:fmt="decimal"/>
          <w:cols w:space="0" w:num="1"/>
          <w:titlePg/>
          <w:docGrid w:type="lines" w:linePitch="319" w:charSpace="0"/>
        </w:sectPr>
      </w:pPr>
    </w:p>
    <w:p w14:paraId="522D6926">
      <w:pPr>
        <w:rPr>
          <w:rFonts w:ascii="黑体" w:hAnsi="黑体" w:eastAsia="黑体"/>
          <w:sz w:val="44"/>
          <w:szCs w:val="44"/>
        </w:rPr>
      </w:pPr>
    </w:p>
    <w:p w14:paraId="348434E9">
      <w:pPr>
        <w:spacing w:line="600" w:lineRule="exact"/>
        <w:ind w:left="315" w:leftChars="150"/>
        <w:jc w:val="center"/>
        <w:outlineLvl w:val="0"/>
        <w:rPr>
          <w:rStyle w:val="29"/>
          <w:rFonts w:ascii="黑体" w:hAnsi="黑体" w:eastAsia="黑体"/>
          <w:b w:val="0"/>
        </w:rPr>
      </w:pPr>
      <w:r>
        <w:rPr>
          <w:rStyle w:val="29"/>
          <w:rFonts w:hint="eastAsia" w:ascii="黑体" w:hAnsi="黑体" w:eastAsia="黑体"/>
          <w:b w:val="0"/>
        </w:rPr>
        <w:t>第五部分 附表</w:t>
      </w:r>
      <w:bookmarkEnd w:id="46"/>
      <w:bookmarkEnd w:id="47"/>
      <w:bookmarkStart w:id="49" w:name="_Toc15396619"/>
      <w:bookmarkEnd w:id="49"/>
    </w:p>
    <w:p w14:paraId="19D0BD34">
      <w:pPr>
        <w:pStyle w:val="4"/>
        <w:keepNext/>
        <w:keepLines/>
        <w:spacing w:beforeLines="0" w:afterLines="0" w:line="576" w:lineRule="exact"/>
        <w:ind w:firstLine="64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一、收</w:t>
      </w:r>
      <w:r>
        <w:rPr>
          <w:rFonts w:hint="eastAsia" w:ascii="仿宋_GB2312" w:hAnsi="仿宋_GB2312" w:eastAsia="仿宋_GB2312"/>
          <w:b w:val="0"/>
          <w:bCs w:val="0"/>
          <w:kern w:val="2"/>
          <w:sz w:val="32"/>
          <w:szCs w:val="24"/>
        </w:rPr>
        <w:t>入支出决算总表</w:t>
      </w:r>
    </w:p>
    <w:p w14:paraId="7FF8B90A">
      <w:pPr>
        <w:pStyle w:val="4"/>
        <w:keepNext/>
        <w:keepLines/>
        <w:spacing w:beforeLines="0" w:afterLines="0" w:line="576" w:lineRule="exact"/>
        <w:ind w:firstLine="64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color w:val="000000"/>
          <w:kern w:val="2"/>
          <w:sz w:val="32"/>
          <w:szCs w:val="24"/>
        </w:rPr>
        <w:t>二、收</w:t>
      </w:r>
      <w:r>
        <w:rPr>
          <w:rFonts w:hint="eastAsia" w:ascii="仿宋_GB2312" w:hAnsi="仿宋_GB2312" w:eastAsia="仿宋_GB2312"/>
          <w:b w:val="0"/>
          <w:bCs w:val="0"/>
          <w:kern w:val="2"/>
          <w:sz w:val="32"/>
          <w:szCs w:val="24"/>
        </w:rPr>
        <w:t>入决算表</w:t>
      </w:r>
    </w:p>
    <w:p w14:paraId="106A558E">
      <w:pPr>
        <w:pStyle w:val="4"/>
        <w:keepNext/>
        <w:keepLines/>
        <w:spacing w:beforeLines="0" w:afterLines="0" w:line="576" w:lineRule="exact"/>
        <w:ind w:firstLine="64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三、</w:t>
      </w:r>
      <w:r>
        <w:rPr>
          <w:rFonts w:hint="eastAsia" w:ascii="仿宋_GB2312" w:hAnsi="仿宋_GB2312" w:eastAsia="仿宋_GB2312"/>
          <w:b w:val="0"/>
          <w:bCs w:val="0"/>
          <w:color w:val="000000"/>
          <w:kern w:val="2"/>
          <w:sz w:val="32"/>
          <w:szCs w:val="24"/>
        </w:rPr>
        <w:t>支</w:t>
      </w:r>
      <w:r>
        <w:rPr>
          <w:rFonts w:hint="eastAsia" w:ascii="仿宋_GB2312" w:hAnsi="仿宋_GB2312" w:eastAsia="仿宋_GB2312"/>
          <w:b w:val="0"/>
          <w:bCs w:val="0"/>
          <w:kern w:val="2"/>
          <w:sz w:val="32"/>
          <w:szCs w:val="24"/>
        </w:rPr>
        <w:t>出决算表</w:t>
      </w:r>
    </w:p>
    <w:p w14:paraId="79BB6A8C">
      <w:pPr>
        <w:pStyle w:val="4"/>
        <w:keepNext/>
        <w:keepLines/>
        <w:spacing w:beforeLines="0" w:afterLines="0" w:line="576" w:lineRule="exact"/>
        <w:ind w:firstLine="64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四、</w:t>
      </w:r>
      <w:r>
        <w:rPr>
          <w:rFonts w:hint="eastAsia" w:ascii="仿宋_GB2312" w:hAnsi="仿宋_GB2312" w:eastAsia="仿宋_GB2312"/>
          <w:b w:val="0"/>
          <w:bCs w:val="0"/>
          <w:color w:val="000000"/>
          <w:kern w:val="2"/>
          <w:sz w:val="32"/>
          <w:szCs w:val="24"/>
        </w:rPr>
        <w:t>财</w:t>
      </w:r>
      <w:r>
        <w:rPr>
          <w:rFonts w:hint="eastAsia" w:ascii="仿宋_GB2312" w:hAnsi="仿宋_GB2312" w:eastAsia="仿宋_GB2312"/>
          <w:b w:val="0"/>
          <w:bCs w:val="0"/>
          <w:kern w:val="2"/>
          <w:sz w:val="32"/>
          <w:szCs w:val="24"/>
        </w:rPr>
        <w:t>政拨款收入支出决算总表</w:t>
      </w:r>
    </w:p>
    <w:p w14:paraId="0446A226">
      <w:pPr>
        <w:pStyle w:val="4"/>
        <w:keepNext/>
        <w:keepLines/>
        <w:spacing w:beforeLines="0" w:afterLines="0" w:line="576" w:lineRule="exact"/>
        <w:ind w:firstLine="640"/>
        <w:jc w:val="both"/>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五、</w:t>
      </w:r>
      <w:r>
        <w:rPr>
          <w:rFonts w:hint="eastAsia" w:ascii="仿宋_GB2312" w:hAnsi="仿宋_GB2312" w:eastAsia="仿宋_GB2312"/>
          <w:b w:val="0"/>
          <w:bCs w:val="0"/>
          <w:color w:val="000000"/>
          <w:kern w:val="2"/>
          <w:sz w:val="32"/>
          <w:szCs w:val="24"/>
        </w:rPr>
        <w:t>财</w:t>
      </w:r>
      <w:r>
        <w:rPr>
          <w:rFonts w:hint="eastAsia" w:ascii="仿宋_GB2312" w:hAnsi="仿宋_GB2312" w:eastAsia="仿宋_GB2312"/>
          <w:b w:val="0"/>
          <w:bCs w:val="0"/>
          <w:kern w:val="2"/>
          <w:sz w:val="32"/>
          <w:szCs w:val="24"/>
        </w:rPr>
        <w:t>政拨款支出决算明细表</w:t>
      </w:r>
    </w:p>
    <w:p w14:paraId="37BE0C7C">
      <w:pPr>
        <w:pStyle w:val="4"/>
        <w:keepNext/>
        <w:keepLines/>
        <w:spacing w:beforeLines="0" w:afterLines="0" w:line="576" w:lineRule="exact"/>
        <w:ind w:firstLine="64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六、</w:t>
      </w:r>
      <w:r>
        <w:rPr>
          <w:rFonts w:hint="eastAsia" w:ascii="仿宋_GB2312" w:hAnsi="仿宋_GB2312" w:eastAsia="仿宋_GB2312"/>
          <w:b w:val="0"/>
          <w:bCs w:val="0"/>
          <w:color w:val="000000"/>
          <w:kern w:val="2"/>
          <w:sz w:val="32"/>
          <w:szCs w:val="24"/>
        </w:rPr>
        <w:t>一</w:t>
      </w:r>
      <w:r>
        <w:rPr>
          <w:rFonts w:hint="eastAsia" w:ascii="仿宋_GB2312" w:hAnsi="仿宋_GB2312" w:eastAsia="仿宋_GB2312"/>
          <w:b w:val="0"/>
          <w:bCs w:val="0"/>
          <w:kern w:val="2"/>
          <w:sz w:val="32"/>
          <w:szCs w:val="24"/>
        </w:rPr>
        <w:t>般公共预算财政拨款支出决算表</w:t>
      </w:r>
    </w:p>
    <w:p w14:paraId="4EFCAE35">
      <w:pPr>
        <w:pStyle w:val="4"/>
        <w:keepNext/>
        <w:keepLines/>
        <w:spacing w:beforeLines="0" w:afterLines="0" w:line="576" w:lineRule="exact"/>
        <w:ind w:firstLine="64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七、</w:t>
      </w:r>
      <w:r>
        <w:rPr>
          <w:rFonts w:hint="eastAsia" w:ascii="仿宋_GB2312" w:hAnsi="仿宋_GB2312" w:eastAsia="仿宋_GB2312"/>
          <w:b w:val="0"/>
          <w:bCs w:val="0"/>
          <w:color w:val="000000"/>
          <w:kern w:val="2"/>
          <w:sz w:val="32"/>
          <w:szCs w:val="24"/>
        </w:rPr>
        <w:t>一</w:t>
      </w:r>
      <w:r>
        <w:rPr>
          <w:rFonts w:hint="eastAsia" w:ascii="仿宋_GB2312" w:hAnsi="仿宋_GB2312" w:eastAsia="仿宋_GB2312"/>
          <w:b w:val="0"/>
          <w:bCs w:val="0"/>
          <w:kern w:val="2"/>
          <w:sz w:val="32"/>
          <w:szCs w:val="24"/>
        </w:rPr>
        <w:t>般公共预算财政拨款支出决算明细表</w:t>
      </w:r>
    </w:p>
    <w:p w14:paraId="37A76A3C">
      <w:pPr>
        <w:pStyle w:val="4"/>
        <w:keepNext/>
        <w:keepLines/>
        <w:spacing w:beforeLines="0" w:afterLines="0" w:line="576" w:lineRule="exact"/>
        <w:ind w:firstLine="64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八、</w:t>
      </w:r>
      <w:r>
        <w:rPr>
          <w:rFonts w:hint="eastAsia" w:ascii="仿宋_GB2312" w:hAnsi="仿宋_GB2312" w:eastAsia="仿宋_GB2312"/>
          <w:b w:val="0"/>
          <w:bCs w:val="0"/>
          <w:color w:val="000000"/>
          <w:kern w:val="2"/>
          <w:sz w:val="32"/>
          <w:szCs w:val="24"/>
        </w:rPr>
        <w:t>一</w:t>
      </w:r>
      <w:r>
        <w:rPr>
          <w:rFonts w:hint="eastAsia" w:ascii="仿宋_GB2312" w:hAnsi="仿宋_GB2312" w:eastAsia="仿宋_GB2312"/>
          <w:b w:val="0"/>
          <w:bCs w:val="0"/>
          <w:kern w:val="2"/>
          <w:sz w:val="32"/>
          <w:szCs w:val="24"/>
        </w:rPr>
        <w:t>般公共预算财政拨款基本支出决算表</w:t>
      </w:r>
    </w:p>
    <w:p w14:paraId="28AF1EA6">
      <w:pPr>
        <w:pStyle w:val="4"/>
        <w:keepNext/>
        <w:keepLines/>
        <w:spacing w:beforeLines="0" w:afterLines="0" w:line="576" w:lineRule="exact"/>
        <w:ind w:firstLine="64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九、</w:t>
      </w:r>
      <w:r>
        <w:rPr>
          <w:rFonts w:hint="eastAsia" w:ascii="仿宋_GB2312" w:hAnsi="仿宋_GB2312" w:eastAsia="仿宋_GB2312"/>
          <w:b w:val="0"/>
          <w:bCs w:val="0"/>
          <w:color w:val="000000"/>
          <w:kern w:val="2"/>
          <w:sz w:val="32"/>
          <w:szCs w:val="24"/>
        </w:rPr>
        <w:t>一</w:t>
      </w:r>
      <w:r>
        <w:rPr>
          <w:rFonts w:hint="eastAsia" w:ascii="仿宋_GB2312" w:hAnsi="仿宋_GB2312" w:eastAsia="仿宋_GB2312"/>
          <w:b w:val="0"/>
          <w:bCs w:val="0"/>
          <w:kern w:val="2"/>
          <w:sz w:val="32"/>
          <w:szCs w:val="24"/>
        </w:rPr>
        <w:t>般公共预算财政拨款项目支出决算表</w:t>
      </w:r>
    </w:p>
    <w:p w14:paraId="281495CC">
      <w:pPr>
        <w:pStyle w:val="4"/>
        <w:keepNext/>
        <w:keepLines/>
        <w:spacing w:beforeLines="0" w:afterLines="0" w:line="576" w:lineRule="exact"/>
        <w:ind w:firstLine="640"/>
        <w:jc w:val="both"/>
        <w:rPr>
          <w:rFonts w:hint="eastAsia" w:ascii="仿宋_GB2312" w:hAnsi="仿宋_GB2312" w:eastAsia="仿宋_GB2312"/>
          <w:b w:val="0"/>
          <w:bCs w:val="0"/>
          <w:color w:val="000000"/>
          <w:kern w:val="2"/>
          <w:sz w:val="32"/>
          <w:szCs w:val="24"/>
        </w:rPr>
      </w:pPr>
      <w:r>
        <w:rPr>
          <w:rFonts w:hint="eastAsia" w:ascii="仿宋_GB2312" w:hAnsi="仿宋_GB2312" w:eastAsia="仿宋_GB2312"/>
          <w:b w:val="0"/>
          <w:bCs w:val="0"/>
          <w:kern w:val="2"/>
          <w:sz w:val="32"/>
          <w:szCs w:val="24"/>
        </w:rPr>
        <w:t>十、</w:t>
      </w:r>
      <w:r>
        <w:rPr>
          <w:rFonts w:hint="eastAsia" w:ascii="仿宋_GB2312" w:hAnsi="仿宋_GB2312" w:eastAsia="仿宋_GB2312"/>
          <w:b w:val="0"/>
          <w:bCs w:val="0"/>
          <w:color w:val="000000"/>
          <w:kern w:val="2"/>
          <w:sz w:val="32"/>
          <w:szCs w:val="24"/>
        </w:rPr>
        <w:t>政</w:t>
      </w:r>
      <w:r>
        <w:rPr>
          <w:rFonts w:hint="eastAsia" w:ascii="仿宋_GB2312" w:hAnsi="仿宋_GB2312" w:eastAsia="仿宋_GB2312"/>
          <w:b w:val="0"/>
          <w:bCs w:val="0"/>
          <w:kern w:val="2"/>
          <w:sz w:val="32"/>
          <w:szCs w:val="24"/>
        </w:rPr>
        <w:t>府性基金预算财政拨款收入支出决算表</w:t>
      </w:r>
    </w:p>
    <w:p w14:paraId="1AA5D9BC">
      <w:pPr>
        <w:pStyle w:val="4"/>
        <w:keepNext/>
        <w:keepLines/>
        <w:spacing w:beforeLines="0" w:afterLines="0" w:line="576" w:lineRule="exact"/>
        <w:ind w:firstLine="640"/>
        <w:jc w:val="both"/>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十一、国有资本经营预算财政拨款收入支出决算表</w:t>
      </w:r>
    </w:p>
    <w:p w14:paraId="360589BB">
      <w:pPr>
        <w:pStyle w:val="4"/>
        <w:keepNext/>
        <w:keepLines/>
        <w:spacing w:beforeLines="0" w:afterLines="0" w:line="576" w:lineRule="exact"/>
        <w:ind w:firstLine="640"/>
        <w:jc w:val="both"/>
        <w:rPr>
          <w:rFonts w:hint="eastAsia" w:ascii="仿宋_GB2312" w:hAnsi="仿宋_GB2312" w:eastAsia="仿宋_GB2312"/>
          <w:b w:val="0"/>
          <w:bCs w:val="0"/>
          <w:kern w:val="2"/>
          <w:sz w:val="32"/>
          <w:szCs w:val="24"/>
        </w:rPr>
      </w:pPr>
      <w:r>
        <w:rPr>
          <w:rFonts w:hint="eastAsia" w:ascii="仿宋_GB2312" w:hAnsi="仿宋_GB2312" w:eastAsia="仿宋_GB2312"/>
          <w:b w:val="0"/>
          <w:bCs w:val="0"/>
          <w:kern w:val="2"/>
          <w:sz w:val="32"/>
          <w:szCs w:val="24"/>
        </w:rPr>
        <w:t>十二、</w:t>
      </w:r>
      <w:r>
        <w:rPr>
          <w:rFonts w:hint="eastAsia" w:ascii="仿宋_GB2312" w:hAnsi="仿宋_GB2312" w:eastAsia="仿宋_GB2312"/>
          <w:b w:val="0"/>
          <w:bCs w:val="0"/>
          <w:color w:val="000000"/>
          <w:kern w:val="2"/>
          <w:sz w:val="32"/>
          <w:szCs w:val="24"/>
        </w:rPr>
        <w:t>国</w:t>
      </w:r>
      <w:r>
        <w:rPr>
          <w:rFonts w:hint="eastAsia" w:ascii="仿宋_GB2312" w:hAnsi="仿宋_GB2312" w:eastAsia="仿宋_GB2312"/>
          <w:b w:val="0"/>
          <w:bCs w:val="0"/>
          <w:kern w:val="2"/>
          <w:sz w:val="32"/>
          <w:szCs w:val="24"/>
        </w:rPr>
        <w:t>有资本经营预算财政拨款支出决算表</w:t>
      </w:r>
    </w:p>
    <w:p w14:paraId="7D9777AD">
      <w:pPr>
        <w:spacing w:beforeLines="0" w:afterLines="0" w:line="576" w:lineRule="exact"/>
        <w:rPr>
          <w:rFonts w:hint="eastAsia" w:ascii="方正小标宋简体" w:hAnsi="方正小标宋简体" w:eastAsia="方正小标宋简体"/>
          <w:b w:val="0"/>
          <w:bCs w:val="0"/>
          <w:color w:val="000000"/>
          <w:kern w:val="2"/>
          <w:sz w:val="30"/>
          <w:szCs w:val="24"/>
        </w:rPr>
      </w:pPr>
      <w:r>
        <w:rPr>
          <w:rFonts w:hint="eastAsia" w:ascii="仿宋_GB2312" w:hAnsi="仿宋_GB2312" w:eastAsia="仿宋_GB2312"/>
          <w:b w:val="0"/>
          <w:bCs w:val="0"/>
          <w:kern w:val="2"/>
          <w:sz w:val="32"/>
          <w:szCs w:val="24"/>
        </w:rPr>
        <w:t xml:space="preserve">    十三、财政拨款“三公”经费支出决算表</w:t>
      </w:r>
    </w:p>
    <w:p w14:paraId="1FE677A4">
      <w:pPr>
        <w:rPr>
          <w:rFonts w:eastAsia="仿宋"/>
        </w:rPr>
      </w:pPr>
    </w:p>
    <w:sectPr>
      <w:pgSz w:w="11906" w:h="16838"/>
      <w:pgMar w:top="1440" w:right="1803" w:bottom="1440" w:left="1803" w:header="851" w:footer="992" w:gutter="0"/>
      <w:pgNumType w:fmt="decimal"/>
      <w:cols w:space="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91C3">
    <w:pPr>
      <w:pStyle w:val="10"/>
      <w:jc w:val="center"/>
    </w:pPr>
  </w:p>
  <w:p w14:paraId="5B49414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50A9">
    <w:pPr>
      <w:pStyle w:val="10"/>
      <w:jc w:val="center"/>
    </w:pPr>
  </w:p>
  <w:p w14:paraId="780F4C0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FDD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145B0E1">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A7zpL1AQIAAAsEAAAOAAAAAAAAAAEAIAAAAB8BAABkcnMvZTJvRG9j&#10;LnhtbFBLBQYAAAAABgAGAFkBAACSBQAAAAA=&#10;">
              <v:fill on="f" focussize="0,0"/>
              <v:stroke on="f"/>
              <v:imagedata o:title=""/>
              <o:lock v:ext="edit" aspectratio="f"/>
              <v:textbox inset="0mm,0mm,0mm,0mm" style="mso-fit-shape-to-text:t;">
                <w:txbxContent>
                  <w:p w14:paraId="6145B0E1">
                    <w:pPr>
                      <w:pStyle w:val="10"/>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2EC59">
    <w:pPr>
      <w:pStyle w:val="10"/>
      <w:jc w:val="center"/>
    </w:pPr>
  </w:p>
  <w:p w14:paraId="42C8A74A">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0BA2">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9B54578">
                          <w:pPr>
                            <w:pStyle w:val="7"/>
                            <w:keepNext w:val="0"/>
                            <w:keepLines w:val="0"/>
                            <w:pageBreakBefore w:val="0"/>
                            <w:widowControl w:val="0"/>
                            <w:kinsoku/>
                            <w:wordWrap/>
                            <w:overflowPunct/>
                            <w:topLinePunct w:val="0"/>
                            <w:bidi w:val="0"/>
                            <w:adjustRightInd/>
                            <w:snapToGrid/>
                            <w:ind w:left="0" w:leftChars="0" w:firstLine="42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Ar6YnzAQIAAAwEAAAOAAAAAAAAAAEAIAAAAB8BAABkcnMvZTJvRG9j&#10;LnhtbFBLBQYAAAAABgAGAFkBAACSBQAAAAA=&#10;">
              <v:fill on="f" focussize="0,0"/>
              <v:stroke on="f"/>
              <v:imagedata o:title=""/>
              <o:lock v:ext="edit" aspectratio="f"/>
              <v:textbox inset="0mm,0mm,0mm,0mm" style="mso-fit-shape-to-text:t;">
                <w:txbxContent>
                  <w:p w14:paraId="79B54578">
                    <w:pPr>
                      <w:pStyle w:val="7"/>
                      <w:keepNext w:val="0"/>
                      <w:keepLines w:val="0"/>
                      <w:pageBreakBefore w:val="0"/>
                      <w:widowControl w:val="0"/>
                      <w:kinsoku/>
                      <w:wordWrap/>
                      <w:overflowPunct/>
                      <w:topLinePunct w:val="0"/>
                      <w:bidi w:val="0"/>
                      <w:adjustRightInd/>
                      <w:snapToGrid/>
                      <w:ind w:left="0" w:leftChars="0" w:firstLine="42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mc:Fallback>
      </mc:AlternateContent>
    </w:r>
  </w:p>
  <w:p w14:paraId="6C8B1B8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3DB3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2"/>
      <w:numFmt w:val="chineseCounting"/>
      <w:suff w:val="nothing"/>
      <w:lvlText w:val="%1、"/>
      <w:lvlJc w:val="left"/>
      <w:rPr>
        <w:rFonts w:hint="eastAsia"/>
      </w:rPr>
    </w:lvl>
  </w:abstractNum>
  <w:abstractNum w:abstractNumId="1">
    <w:nsid w:val="BF205925"/>
    <w:multiLevelType w:val="singleLevel"/>
    <w:tmpl w:val="BF205925"/>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CF092B84"/>
    <w:multiLevelType w:val="singleLevel"/>
    <w:tmpl w:val="CF092B84"/>
    <w:lvl w:ilvl="0" w:tentative="0">
      <w:start w:val="1"/>
      <w:numFmt w:val="decimal"/>
      <w:lvlText w:val="%1."/>
      <w:lvlJc w:val="left"/>
      <w:pPr>
        <w:tabs>
          <w:tab w:val="left" w:pos="312"/>
        </w:tabs>
      </w:pPr>
    </w:lvl>
  </w:abstractNum>
  <w:abstractNum w:abstractNumId="3">
    <w:nsid w:val="0053208E"/>
    <w:multiLevelType w:val="multilevel"/>
    <w:tmpl w:val="0053208E"/>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9ADCABA"/>
    <w:multiLevelType w:val="singleLevel"/>
    <w:tmpl w:val="59ADCABA"/>
    <w:lvl w:ilvl="0" w:tentative="0">
      <w:start w:val="9"/>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revisionView w:markup="0"/>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DAwZmVjYjkwMTNmNjAwN2ZjYWE5NzQxZjFjMWYifQ=="/>
  </w:docVars>
  <w:rsids>
    <w:rsidRoot w:val="00000000"/>
    <w:rsid w:val="0E8C38BE"/>
    <w:rsid w:val="437635CE"/>
    <w:rsid w:val="61B11FF0"/>
    <w:rsid w:val="787D623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99"/>
    <w:pPr>
      <w:ind w:firstLine="630"/>
      <w:jc w:val="left"/>
    </w:pPr>
    <w:rPr>
      <w:rFonts w:eastAsia="黑体"/>
      <w:sz w:val="32"/>
      <w:szCs w:val="32"/>
    </w:rPr>
  </w:style>
  <w:style w:type="paragraph" w:styleId="7">
    <w:name w:val="Body Text First Indent 2"/>
    <w:basedOn w:val="6"/>
    <w:next w:val="1"/>
    <w:qFormat/>
    <w:uiPriority w:val="99"/>
    <w:pPr>
      <w:spacing w:after="120"/>
      <w:ind w:left="420" w:leftChars="200" w:firstLine="42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next w:val="15"/>
    <w:qFormat/>
    <w:uiPriority w:val="0"/>
    <w:rPr>
      <w:sz w:val="24"/>
    </w:rPr>
  </w:style>
  <w:style w:type="paragraph" w:styleId="15">
    <w:name w:val="Body Text First Indent"/>
    <w:basedOn w:val="2"/>
    <w:qFormat/>
    <w:uiPriority w:val="0"/>
    <w:pPr>
      <w:spacing w:after="120"/>
      <w:ind w:firstLine="420" w:firstLineChars="100"/>
    </w:pPr>
    <w:rPr>
      <w:rFonts w:ascii="Times New Roman" w:eastAsia="宋体"/>
      <w:kern w:val="2"/>
      <w:sz w:val="21"/>
    </w:r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Normal (Web)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收、支总体情况</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2022年度</c:v>
                </c:pt>
                <c:pt idx="1">
                  <c:v>2023年度</c:v>
                </c:pt>
              </c:strCache>
            </c:strRef>
          </c:cat>
          <c:val>
            <c:numRef>
              <c:f>Sheet1!$B$2:$B$3</c:f>
              <c:numCache>
                <c:formatCode>General</c:formatCode>
                <c:ptCount val="2"/>
                <c:pt idx="0">
                  <c:v>1336.38</c:v>
                </c:pt>
                <c:pt idx="1">
                  <c:v>1365.82</c:v>
                </c:pt>
              </c:numCache>
            </c:numRef>
          </c:val>
        </c:ser>
        <c:dLbls>
          <c:showLegendKey val="0"/>
          <c:showVal val="0"/>
          <c:showCatName val="0"/>
          <c:showSerName val="0"/>
          <c:showPercent val="0"/>
          <c:showBubbleSize val="0"/>
        </c:dLbls>
        <c:gapWidth val="75"/>
        <c:overlap val="40"/>
        <c:axId val="502297728"/>
        <c:axId val="502960896"/>
      </c:barChart>
      <c:catAx>
        <c:axId val="50229772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2960896"/>
        <c:crosses val="autoZero"/>
        <c:auto val="1"/>
        <c:lblAlgn val="ctr"/>
        <c:lblOffset val="100"/>
        <c:noMultiLvlLbl val="0"/>
      </c:catAx>
      <c:valAx>
        <c:axId val="50296089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22977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2023年本年收入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1365.82</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2023年本年支出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1030.6</c:v>
                </c:pt>
                <c:pt idx="1">
                  <c:v>335.22</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财政拨款收入支出决算总体情况</c:v>
                </c:pt>
              </c:strCache>
            </c:strRef>
          </c:tx>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1336.38</c:v>
                </c:pt>
                <c:pt idx="1">
                  <c:v>1365.82</c:v>
                </c:pt>
              </c:numCache>
            </c:numRef>
          </c:val>
        </c:ser>
        <c:dLbls>
          <c:showLegendKey val="0"/>
          <c:showVal val="0"/>
          <c:showCatName val="0"/>
          <c:showSerName val="0"/>
          <c:showPercent val="0"/>
          <c:showBubbleSize val="0"/>
        </c:dLbls>
        <c:gapWidth val="150"/>
        <c:axId val="503233536"/>
        <c:axId val="503239424"/>
      </c:barChart>
      <c:catAx>
        <c:axId val="50323353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3239424"/>
        <c:crosses val="autoZero"/>
        <c:auto val="1"/>
        <c:lblAlgn val="ctr"/>
        <c:lblOffset val="100"/>
        <c:noMultiLvlLbl val="0"/>
      </c:catAx>
      <c:valAx>
        <c:axId val="50323942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323353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c:v>
                </c:pt>
              </c:strCache>
            </c:strRef>
          </c:tx>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1336.38</c:v>
                </c:pt>
                <c:pt idx="1">
                  <c:v>1365.82</c:v>
                </c:pt>
              </c:numCache>
            </c:numRef>
          </c:val>
        </c:ser>
        <c:dLbls>
          <c:showLegendKey val="0"/>
          <c:showVal val="0"/>
          <c:showCatName val="0"/>
          <c:showSerName val="0"/>
          <c:showPercent val="0"/>
          <c:showBubbleSize val="0"/>
        </c:dLbls>
        <c:gapWidth val="150"/>
        <c:axId val="470030208"/>
        <c:axId val="470031744"/>
      </c:barChart>
      <c:catAx>
        <c:axId val="47003020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70031744"/>
        <c:crosses val="autoZero"/>
        <c:auto val="1"/>
        <c:lblAlgn val="ctr"/>
        <c:lblOffset val="100"/>
        <c:noMultiLvlLbl val="0"/>
      </c:catAx>
      <c:valAx>
        <c:axId val="47003174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7003020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一般公共预算财政拨款支出决算结构情况</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一般公共服务（类）</c:v>
                </c:pt>
                <c:pt idx="1">
                  <c:v>社会保障和就业（类）</c:v>
                </c:pt>
                <c:pt idx="2">
                  <c:v>卫生健康支出</c:v>
                </c:pt>
                <c:pt idx="3">
                  <c:v>住房保障支出支出</c:v>
                </c:pt>
              </c:strCache>
            </c:strRef>
          </c:cat>
          <c:val>
            <c:numRef>
              <c:f>Sheet1!$B$2:$B$5</c:f>
              <c:numCache>
                <c:formatCode>General</c:formatCode>
                <c:ptCount val="4"/>
                <c:pt idx="0">
                  <c:v>1107.4</c:v>
                </c:pt>
                <c:pt idx="1">
                  <c:v>154.74</c:v>
                </c:pt>
                <c:pt idx="2">
                  <c:v>33.2</c:v>
                </c:pt>
                <c:pt idx="3">
                  <c:v>70.48</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2023-09-25T10:09:00Z</dcterms:created>
  <dc:creator>曹颖</dc:creator>
  <cp:lastModifiedBy>生生不息</cp:lastModifiedBy>
  <cp:lastPrinted>2024-09-25T08:04:00Z</cp:lastPrinted>
  <dcterms:modified xsi:type="dcterms:W3CDTF">2024-09-26T02:15:09Z</dcterms:modified>
  <dc:title>四川省***</dc:title>
  <cp:revision>7</cp:revision>
</cp:coreProperties>
</file>

<file path=customXml/item3.xml><?xml version="1.0" encoding="utf-8"?>
<Properties xmlns="http://schemas.openxmlformats.org/officeDocument/2006/extended-properties" xmlns:vt="http://schemas.openxmlformats.org/officeDocument/2006/docPropsVTypes">
  <Template>Normal</Template>
  <Company>四川省财政厅</Company>
  <Pages>39</Pages>
  <Words>19258</Words>
  <Characters>21025</Characters>
  <Lines>159</Lines>
  <Paragraphs>44</Paragraphs>
  <TotalTime>20</TotalTime>
  <ScaleCrop>false</ScaleCrop>
  <LinksUpToDate>false</LinksUpToDate>
  <CharactersWithSpaces>21097</CharactersWithSpaces>
  <Application>WPS Office_11.1.0.11194_F1E327BC-269C-435d-A152-05C5408002CA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D38A591E1FCD484FACA0E73C41C19527</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99950-2df8-47a7-927f-d40ecd65351f}">
  <ds:schemaRefs/>
</ds:datastoreItem>
</file>

<file path=customXml/itemProps3.xml><?xml version="1.0" encoding="utf-8"?>
<ds:datastoreItem xmlns:ds="http://schemas.openxmlformats.org/officeDocument/2006/customXml" ds:itemID="{d8f386d0-6598-446f-b169-76374c8c204c}">
  <ds:schemaRefs/>
</ds:datastoreItem>
</file>

<file path=customXml/itemProps4.xml><?xml version="1.0" encoding="utf-8"?>
<ds:datastoreItem xmlns:ds="http://schemas.openxmlformats.org/officeDocument/2006/customXml" ds:itemID="{e6518063-e485-497a-8ef1-c4d8c89c56f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19279</Words>
  <Characters>21046</Characters>
  <Lines>159</Lines>
  <Paragraphs>44</Paragraphs>
  <TotalTime>49</TotalTime>
  <ScaleCrop>false</ScaleCrop>
  <LinksUpToDate>false</LinksUpToDate>
  <CharactersWithSpaces>21118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2023-09-25T10:09:00Z</dcterms:created>
  <dc:creator>曹颖</dc:creator>
  <cp:lastModifiedBy>WPS_1482196198</cp:lastModifiedBy>
  <cp:lastPrinted>2024-09-25T08:04:00Z</cp:lastPrinted>
  <dcterms:modified xsi:type="dcterms:W3CDTF">2024-09-26T03:23:22Z</dcterms:modified>
  <dc:title>四川省_x002A__x002A__x002A_</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D38A591E1FCD484FACA0E73C41C19527</vt:lpwstr>
  </property>
</Properties>
</file>