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CA12AD">
      <w:pPr>
        <w:spacing w:beforeLines="0" w:afterLines="0" w:line="360" w:lineRule="auto"/>
        <w:jc w:val="both"/>
        <w:rPr>
          <w:rFonts w:hint="eastAsia" w:ascii="黑体" w:hAnsi="黑体" w:eastAsia="黑体"/>
          <w:color w:val="000000"/>
          <w:kern w:val="2"/>
          <w:sz w:val="72"/>
          <w:szCs w:val="24"/>
        </w:rPr>
      </w:pPr>
      <w:bookmarkStart w:id="0" w:name="_GoBack"/>
      <w:bookmarkEnd w:id="0"/>
    </w:p>
    <w:p w14:paraId="121E4330">
      <w:pPr>
        <w:spacing w:beforeLines="0" w:afterLines="0" w:line="360" w:lineRule="auto"/>
        <w:jc w:val="center"/>
        <w:rPr>
          <w:rFonts w:hint="eastAsia" w:ascii="黑体" w:hAnsi="黑体" w:eastAsia="黑体"/>
          <w:color w:val="000000"/>
          <w:kern w:val="2"/>
          <w:sz w:val="72"/>
          <w:szCs w:val="24"/>
        </w:rPr>
      </w:pPr>
    </w:p>
    <w:p w14:paraId="2B5DCFEB">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25A260FD">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广元市昭化区融媒体中心</w:t>
      </w:r>
    </w:p>
    <w:p w14:paraId="7A0735FB">
      <w:pPr>
        <w:spacing w:beforeLines="0" w:afterLines="0"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部门决算</w:t>
      </w:r>
    </w:p>
    <w:p w14:paraId="3BE12FFA">
      <w:pPr>
        <w:keepNext/>
        <w:keepLines/>
        <w:spacing w:beforeLines="0" w:afterLines="0" w:line="576" w:lineRule="exact"/>
        <w:jc w:val="center"/>
        <w:rPr>
          <w:rFonts w:hint="eastAsia" w:ascii="黑体" w:hAnsi="黑体" w:eastAsia="黑体"/>
          <w:kern w:val="2"/>
          <w:sz w:val="48"/>
          <w:szCs w:val="24"/>
        </w:rPr>
        <w:sectPr>
          <w:footerReference r:id="rId4" w:type="default"/>
          <w:pgSz w:w="12240" w:h="15840"/>
          <w:pgMar w:top="1440" w:right="1800" w:bottom="1440" w:left="1800" w:header="720" w:footer="720" w:gutter="0"/>
          <w:lnNumType w:countBy="0" w:distance="360"/>
          <w:cols w:space="720" w:num="1"/>
        </w:sectPr>
      </w:pPr>
    </w:p>
    <w:p w14:paraId="44733315">
      <w:pPr>
        <w:keepNext/>
        <w:keepLines/>
        <w:spacing w:beforeLines="0" w:afterLines="0" w:line="576" w:lineRule="exact"/>
        <w:jc w:val="center"/>
        <w:rPr>
          <w:rFonts w:hint="eastAsia" w:ascii="黑体" w:hAnsi="黑体" w:eastAsia="黑体"/>
          <w:kern w:val="2"/>
          <w:sz w:val="48"/>
          <w:szCs w:val="24"/>
        </w:rPr>
      </w:pPr>
      <w:r>
        <w:rPr>
          <w:rFonts w:hint="eastAsia" w:ascii="黑体" w:hAnsi="黑体" w:eastAsia="黑体"/>
          <w:kern w:val="2"/>
          <w:sz w:val="48"/>
          <w:szCs w:val="24"/>
        </w:rPr>
        <w:t>目    录</w:t>
      </w:r>
    </w:p>
    <w:p w14:paraId="5B2127AA">
      <w:pPr>
        <w:keepNext/>
        <w:keepLines/>
        <w:spacing w:before="120" w:beforeLines="50" w:after="480" w:afterLines="200"/>
        <w:jc w:val="center"/>
        <w:rPr>
          <w:rFonts w:hint="eastAsia" w:ascii="楷体_GB2312" w:eastAsia="楷体_GB2312"/>
          <w:b/>
          <w:kern w:val="2"/>
          <w:sz w:val="32"/>
          <w:szCs w:val="32"/>
        </w:rPr>
      </w:pPr>
      <w:r>
        <w:rPr>
          <w:rFonts w:hint="eastAsia" w:ascii="楷体_GB2312" w:hAnsi="仿宋" w:eastAsia="楷体_GB2312"/>
          <w:kern w:val="2"/>
          <w:sz w:val="32"/>
          <w:szCs w:val="32"/>
        </w:rPr>
        <w:t>公开时间：2024年9月24日</w:t>
      </w:r>
    </w:p>
    <w:p w14:paraId="0B88EB29">
      <w:pPr>
        <w:keepNext/>
        <w:keepLines/>
        <w:tabs>
          <w:tab w:val="right" w:leader="dot" w:pos="8845"/>
        </w:tabs>
        <w:spacing w:beforeLines="0" w:afterLines="0" w:line="440" w:lineRule="exact"/>
        <w:jc w:val="center"/>
        <w:rPr>
          <w:rFonts w:hint="eastAsia" w:eastAsia="仿宋"/>
          <w:b/>
          <w:sz w:val="24"/>
          <w:szCs w:val="24"/>
          <w:lang w:val="zh-CN"/>
        </w:rPr>
      </w:pPr>
      <w:r>
        <w:rPr>
          <w:rFonts w:hint="eastAsia" w:ascii="仿宋" w:hAnsi="仿宋" w:eastAsia="仿宋"/>
          <w:sz w:val="24"/>
          <w:szCs w:val="24"/>
          <w:lang w:val="zh-CN"/>
        </w:rPr>
        <w:t>第一部分 单位概况</w:t>
      </w:r>
      <w:r>
        <w:rPr>
          <w:rFonts w:hint="eastAsia" w:ascii="仿宋" w:hAnsi="仿宋" w:eastAsia="仿宋"/>
          <w:sz w:val="24"/>
          <w:szCs w:val="24"/>
          <w:lang w:val="zh-CN"/>
        </w:rPr>
        <w:tab/>
      </w:r>
      <w:r>
        <w:rPr>
          <w:rFonts w:hint="eastAsia" w:ascii="仿宋" w:hAnsi="仿宋" w:eastAsia="仿宋"/>
          <w:sz w:val="24"/>
          <w:szCs w:val="24"/>
        </w:rPr>
        <w:t>3</w:t>
      </w:r>
    </w:p>
    <w:p w14:paraId="25ABA708">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一、主要职责</w:t>
      </w:r>
      <w:r>
        <w:rPr>
          <w:rFonts w:hint="eastAsia" w:cs="宋体"/>
          <w:sz w:val="24"/>
          <w:szCs w:val="24"/>
          <w:lang w:val="zh-CN"/>
        </w:rPr>
        <w:tab/>
      </w:r>
      <w:r>
        <w:rPr>
          <w:rFonts w:hint="eastAsia" w:ascii="宋体" w:hAnsi="宋体" w:cs="宋体"/>
          <w:sz w:val="24"/>
          <w:szCs w:val="24"/>
        </w:rPr>
        <w:t>3</w:t>
      </w:r>
    </w:p>
    <w:p w14:paraId="4398E07C">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二、机构设置</w:t>
      </w:r>
      <w:r>
        <w:rPr>
          <w:rFonts w:hint="eastAsia" w:cs="宋体"/>
          <w:sz w:val="24"/>
          <w:szCs w:val="24"/>
          <w:lang w:val="zh-CN"/>
        </w:rPr>
        <w:tab/>
      </w:r>
      <w:r>
        <w:rPr>
          <w:rFonts w:hint="eastAsia" w:ascii="宋体" w:hAnsi="宋体" w:cs="宋体"/>
          <w:sz w:val="24"/>
          <w:szCs w:val="24"/>
        </w:rPr>
        <w:t>7</w:t>
      </w:r>
    </w:p>
    <w:p w14:paraId="69C22B77">
      <w:pPr>
        <w:keepNext/>
        <w:keepLines/>
        <w:tabs>
          <w:tab w:val="right" w:leader="dot" w:pos="8845"/>
        </w:tabs>
        <w:spacing w:beforeLines="0" w:afterLines="0" w:line="440" w:lineRule="exact"/>
        <w:jc w:val="center"/>
        <w:rPr>
          <w:rFonts w:hint="eastAsia" w:eastAsia="仿宋"/>
          <w:sz w:val="24"/>
          <w:szCs w:val="24"/>
          <w:lang w:val="zh-CN"/>
        </w:rPr>
      </w:pPr>
      <w:r>
        <w:rPr>
          <w:rFonts w:hint="eastAsia" w:ascii="仿宋" w:hAnsi="仿宋" w:eastAsia="仿宋"/>
          <w:sz w:val="24"/>
          <w:szCs w:val="24"/>
          <w:lang w:val="zh-CN"/>
        </w:rPr>
        <w:t>第二部分 202</w:t>
      </w:r>
      <w:r>
        <w:rPr>
          <w:rFonts w:hint="eastAsia" w:ascii="仿宋" w:hAnsi="仿宋" w:eastAsia="仿宋"/>
          <w:sz w:val="24"/>
          <w:szCs w:val="24"/>
        </w:rPr>
        <w:t>3</w:t>
      </w:r>
      <w:r>
        <w:rPr>
          <w:rFonts w:hint="eastAsia" w:ascii="仿宋" w:hAnsi="仿宋" w:eastAsia="仿宋"/>
          <w:sz w:val="24"/>
          <w:szCs w:val="24"/>
          <w:lang w:val="zh-CN"/>
        </w:rPr>
        <w:t>年度单位决算情况说明</w:t>
      </w:r>
      <w:r>
        <w:rPr>
          <w:rFonts w:hint="eastAsia" w:ascii="仿宋" w:hAnsi="仿宋" w:eastAsia="仿宋"/>
          <w:sz w:val="24"/>
          <w:szCs w:val="24"/>
          <w:lang w:val="zh-CN"/>
        </w:rPr>
        <w:tab/>
      </w:r>
      <w:r>
        <w:rPr>
          <w:rFonts w:hint="eastAsia" w:ascii="仿宋" w:hAnsi="仿宋" w:eastAsia="仿宋"/>
          <w:sz w:val="24"/>
          <w:szCs w:val="24"/>
        </w:rPr>
        <w:t>8</w:t>
      </w:r>
    </w:p>
    <w:p w14:paraId="20C4CF64">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一、收入支出决算总体情况说明</w:t>
      </w:r>
      <w:r>
        <w:rPr>
          <w:rFonts w:hint="eastAsia" w:cs="宋体"/>
          <w:sz w:val="24"/>
          <w:szCs w:val="24"/>
          <w:lang w:val="zh-CN"/>
        </w:rPr>
        <w:tab/>
      </w:r>
      <w:r>
        <w:rPr>
          <w:rFonts w:hint="eastAsia" w:ascii="宋体" w:hAnsi="宋体" w:cs="宋体"/>
          <w:sz w:val="24"/>
          <w:szCs w:val="24"/>
        </w:rPr>
        <w:t>8</w:t>
      </w:r>
    </w:p>
    <w:p w14:paraId="7908AADE">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二、收入决算情况说明</w:t>
      </w:r>
      <w:r>
        <w:rPr>
          <w:rFonts w:hint="eastAsia" w:cs="宋体"/>
          <w:sz w:val="24"/>
          <w:szCs w:val="24"/>
          <w:lang w:val="zh-CN"/>
        </w:rPr>
        <w:tab/>
      </w:r>
      <w:r>
        <w:rPr>
          <w:rFonts w:hint="eastAsia" w:ascii="宋体" w:hAnsi="宋体" w:cs="宋体"/>
          <w:sz w:val="24"/>
          <w:szCs w:val="24"/>
        </w:rPr>
        <w:t>8</w:t>
      </w:r>
    </w:p>
    <w:p w14:paraId="1450A1AE">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三、支出决算情况说明</w:t>
      </w:r>
      <w:r>
        <w:rPr>
          <w:rFonts w:hint="eastAsia" w:cs="宋体"/>
          <w:sz w:val="24"/>
          <w:szCs w:val="24"/>
          <w:lang w:val="zh-CN"/>
        </w:rPr>
        <w:tab/>
      </w:r>
      <w:r>
        <w:rPr>
          <w:rFonts w:hint="eastAsia" w:ascii="宋体" w:hAnsi="宋体" w:cs="宋体"/>
          <w:sz w:val="24"/>
          <w:szCs w:val="24"/>
        </w:rPr>
        <w:t>9</w:t>
      </w:r>
    </w:p>
    <w:p w14:paraId="4EF2C6FE">
      <w:pPr>
        <w:keepNext/>
        <w:keepLines/>
        <w:tabs>
          <w:tab w:val="right" w:leader="dot" w:pos="8845"/>
        </w:tabs>
        <w:spacing w:beforeLines="0" w:afterLines="0" w:line="440" w:lineRule="exact"/>
        <w:jc w:val="center"/>
        <w:rPr>
          <w:rFonts w:hint="eastAsia" w:ascii="宋体" w:hAnsi="宋体" w:cs="宋体"/>
          <w:sz w:val="24"/>
          <w:szCs w:val="24"/>
        </w:rPr>
      </w:pPr>
      <w:r>
        <w:rPr>
          <w:rFonts w:hint="eastAsia" w:ascii="宋体" w:hAnsi="宋体" w:cs="宋体"/>
          <w:sz w:val="24"/>
          <w:szCs w:val="24"/>
          <w:lang w:val="zh-CN"/>
        </w:rPr>
        <w:t>四、财政拨款收入支出决算总体情况说明</w:t>
      </w:r>
      <w:r>
        <w:rPr>
          <w:rFonts w:hint="eastAsia" w:cs="宋体"/>
          <w:sz w:val="24"/>
          <w:szCs w:val="24"/>
          <w:lang w:val="zh-CN"/>
        </w:rPr>
        <w:tab/>
      </w:r>
      <w:r>
        <w:rPr>
          <w:rFonts w:hint="eastAsia" w:ascii="宋体" w:hAnsi="宋体" w:cs="宋体"/>
          <w:sz w:val="24"/>
          <w:szCs w:val="24"/>
        </w:rPr>
        <w:t>10</w:t>
      </w:r>
    </w:p>
    <w:p w14:paraId="6D8D4A43">
      <w:pPr>
        <w:keepNext/>
        <w:keepLines/>
        <w:tabs>
          <w:tab w:val="right" w:leader="dot" w:pos="8845"/>
        </w:tabs>
        <w:spacing w:beforeLines="0" w:afterLines="0" w:line="440" w:lineRule="exact"/>
        <w:jc w:val="center"/>
        <w:rPr>
          <w:rFonts w:hint="eastAsia" w:ascii="宋体" w:hAnsi="宋体" w:cs="宋体"/>
          <w:sz w:val="24"/>
          <w:szCs w:val="24"/>
        </w:rPr>
      </w:pPr>
      <w:r>
        <w:rPr>
          <w:rFonts w:hint="eastAsia" w:ascii="宋体" w:hAnsi="宋体" w:cs="宋体"/>
          <w:sz w:val="24"/>
          <w:szCs w:val="24"/>
          <w:lang w:val="zh-CN"/>
        </w:rPr>
        <w:t>五、一般公共预算财政拨款支出决算情况说明</w:t>
      </w:r>
      <w:r>
        <w:rPr>
          <w:rFonts w:hint="eastAsia" w:cs="宋体"/>
          <w:sz w:val="24"/>
          <w:szCs w:val="24"/>
          <w:lang w:val="zh-CN"/>
        </w:rPr>
        <w:tab/>
      </w:r>
      <w:r>
        <w:rPr>
          <w:rFonts w:hint="eastAsia" w:ascii="宋体" w:hAnsi="宋体" w:cs="宋体"/>
          <w:sz w:val="24"/>
          <w:szCs w:val="24"/>
        </w:rPr>
        <w:t>10</w:t>
      </w:r>
    </w:p>
    <w:p w14:paraId="511474DD">
      <w:pPr>
        <w:keepNext/>
        <w:keepLines/>
        <w:tabs>
          <w:tab w:val="right" w:leader="dot" w:pos="8845"/>
        </w:tabs>
        <w:spacing w:beforeLines="0" w:afterLines="0" w:line="440" w:lineRule="exact"/>
        <w:jc w:val="center"/>
        <w:rPr>
          <w:rFonts w:hint="eastAsia" w:ascii="宋体" w:hAnsi="宋体" w:cs="宋体"/>
          <w:sz w:val="24"/>
          <w:szCs w:val="24"/>
        </w:rPr>
      </w:pPr>
      <w:r>
        <w:rPr>
          <w:rFonts w:hint="eastAsia" w:ascii="宋体" w:hAnsi="宋体" w:cs="宋体"/>
          <w:sz w:val="24"/>
          <w:szCs w:val="24"/>
          <w:lang w:val="zh-CN"/>
        </w:rPr>
        <w:t>六、一般公共预算财政拨款基本支出决算情况说明</w:t>
      </w:r>
      <w:r>
        <w:rPr>
          <w:rFonts w:hint="eastAsia" w:cs="宋体"/>
          <w:sz w:val="24"/>
          <w:szCs w:val="24"/>
          <w:lang w:val="zh-CN"/>
        </w:rPr>
        <w:tab/>
      </w:r>
      <w:r>
        <w:rPr>
          <w:rFonts w:hint="eastAsia" w:ascii="宋体" w:hAnsi="宋体" w:cs="宋体"/>
          <w:sz w:val="24"/>
          <w:szCs w:val="24"/>
        </w:rPr>
        <w:t>12</w:t>
      </w:r>
    </w:p>
    <w:p w14:paraId="29FFFB82">
      <w:pPr>
        <w:keepNext/>
        <w:keepLines/>
        <w:tabs>
          <w:tab w:val="right" w:leader="dot" w:pos="8845"/>
        </w:tabs>
        <w:spacing w:beforeLines="0" w:afterLines="0" w:line="440" w:lineRule="exact"/>
        <w:jc w:val="center"/>
        <w:rPr>
          <w:rFonts w:hint="eastAsia" w:ascii="宋体" w:hAnsi="宋体" w:cs="宋体"/>
          <w:sz w:val="24"/>
          <w:szCs w:val="24"/>
        </w:rPr>
      </w:pPr>
      <w:r>
        <w:rPr>
          <w:rFonts w:hint="eastAsia" w:ascii="宋体" w:hAnsi="宋体" w:cs="宋体"/>
          <w:sz w:val="24"/>
          <w:szCs w:val="24"/>
          <w:lang w:val="zh-CN"/>
        </w:rPr>
        <w:t>七、财政拨款“三公”经费支出决算情况说明</w:t>
      </w:r>
      <w:r>
        <w:rPr>
          <w:rFonts w:hint="eastAsia" w:cs="宋体"/>
          <w:sz w:val="24"/>
          <w:szCs w:val="24"/>
          <w:lang w:val="zh-CN"/>
        </w:rPr>
        <w:tab/>
      </w:r>
      <w:r>
        <w:rPr>
          <w:rFonts w:hint="eastAsia" w:ascii="宋体" w:hAnsi="宋体" w:cs="宋体"/>
          <w:sz w:val="24"/>
          <w:szCs w:val="24"/>
        </w:rPr>
        <w:t>13</w:t>
      </w:r>
    </w:p>
    <w:p w14:paraId="5F9326B9">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八、政府性基金预算支出决算情况说明</w:t>
      </w:r>
      <w:r>
        <w:rPr>
          <w:rFonts w:hint="eastAsia" w:cs="宋体"/>
          <w:sz w:val="24"/>
          <w:szCs w:val="24"/>
          <w:lang w:val="zh-CN"/>
        </w:rPr>
        <w:tab/>
      </w:r>
      <w:r>
        <w:rPr>
          <w:rFonts w:hint="eastAsia" w:ascii="宋体" w:hAnsi="宋体" w:cs="宋体"/>
          <w:sz w:val="24"/>
          <w:szCs w:val="24"/>
          <w:lang w:val="zh-CN"/>
        </w:rPr>
        <w:t>1</w:t>
      </w:r>
      <w:r>
        <w:rPr>
          <w:rFonts w:hint="eastAsia" w:ascii="宋体" w:hAnsi="宋体" w:cs="宋体"/>
          <w:sz w:val="24"/>
          <w:szCs w:val="24"/>
        </w:rPr>
        <w:t>5</w:t>
      </w:r>
    </w:p>
    <w:p w14:paraId="142390DB">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九、国有资本经营预算支出决算情况说明</w:t>
      </w:r>
      <w:r>
        <w:rPr>
          <w:rFonts w:hint="eastAsia" w:cs="宋体"/>
          <w:sz w:val="24"/>
          <w:szCs w:val="24"/>
          <w:lang w:val="zh-CN"/>
        </w:rPr>
        <w:tab/>
      </w:r>
      <w:r>
        <w:rPr>
          <w:rFonts w:hint="eastAsia" w:ascii="宋体" w:hAnsi="宋体" w:cs="宋体"/>
          <w:sz w:val="24"/>
          <w:szCs w:val="24"/>
          <w:lang w:val="zh-CN"/>
        </w:rPr>
        <w:t>1</w:t>
      </w:r>
      <w:r>
        <w:rPr>
          <w:rFonts w:hint="eastAsia" w:ascii="宋体" w:hAnsi="宋体" w:cs="宋体"/>
          <w:sz w:val="24"/>
          <w:szCs w:val="24"/>
        </w:rPr>
        <w:t>5</w:t>
      </w:r>
    </w:p>
    <w:p w14:paraId="422236DF">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十、其他重要事项的情况说明</w:t>
      </w:r>
      <w:r>
        <w:rPr>
          <w:rFonts w:hint="eastAsia" w:cs="宋体"/>
          <w:sz w:val="24"/>
          <w:szCs w:val="24"/>
          <w:lang w:val="zh-CN"/>
        </w:rPr>
        <w:tab/>
      </w:r>
      <w:r>
        <w:rPr>
          <w:rFonts w:hint="eastAsia" w:ascii="宋体" w:hAnsi="宋体" w:cs="宋体"/>
          <w:sz w:val="24"/>
          <w:szCs w:val="24"/>
          <w:lang w:val="zh-CN"/>
        </w:rPr>
        <w:t>1</w:t>
      </w:r>
      <w:r>
        <w:rPr>
          <w:rFonts w:hint="eastAsia" w:ascii="宋体" w:hAnsi="宋体" w:cs="宋体"/>
          <w:sz w:val="24"/>
          <w:szCs w:val="24"/>
        </w:rPr>
        <w:t>5</w:t>
      </w:r>
    </w:p>
    <w:p w14:paraId="01365A5C">
      <w:pPr>
        <w:keepNext/>
        <w:keepLines/>
        <w:tabs>
          <w:tab w:val="right" w:leader="dot" w:pos="8845"/>
        </w:tabs>
        <w:spacing w:beforeLines="0" w:afterLines="0" w:line="440" w:lineRule="exact"/>
        <w:jc w:val="center"/>
        <w:rPr>
          <w:rFonts w:hint="eastAsia" w:ascii="仿宋" w:hAnsi="仿宋" w:eastAsia="仿宋"/>
          <w:sz w:val="24"/>
          <w:szCs w:val="24"/>
          <w:lang w:val="zh-CN"/>
        </w:rPr>
      </w:pPr>
      <w:r>
        <w:rPr>
          <w:rFonts w:hint="eastAsia" w:ascii="仿宋" w:hAnsi="仿宋" w:eastAsia="仿宋"/>
          <w:sz w:val="24"/>
          <w:szCs w:val="24"/>
          <w:lang w:val="zh-CN"/>
        </w:rPr>
        <w:t>第三部分</w:t>
      </w:r>
      <w:r>
        <w:rPr>
          <w:rFonts w:hint="eastAsia" w:ascii="仿宋" w:hAnsi="仿宋" w:eastAsia="仿宋"/>
          <w:sz w:val="24"/>
          <w:szCs w:val="24"/>
        </w:rPr>
        <w:t xml:space="preserve"> </w:t>
      </w:r>
      <w:r>
        <w:rPr>
          <w:rFonts w:hint="eastAsia" w:ascii="仿宋" w:hAnsi="仿宋" w:eastAsia="仿宋"/>
          <w:sz w:val="24"/>
          <w:szCs w:val="24"/>
          <w:lang w:val="zh-CN"/>
        </w:rPr>
        <w:t>名词解释</w:t>
      </w:r>
      <w:r>
        <w:rPr>
          <w:rFonts w:hint="eastAsia" w:ascii="仿宋" w:hAnsi="仿宋" w:eastAsia="仿宋"/>
          <w:sz w:val="24"/>
          <w:szCs w:val="24"/>
          <w:lang w:val="zh-CN"/>
        </w:rPr>
        <w:tab/>
      </w:r>
      <w:r>
        <w:rPr>
          <w:rFonts w:hint="eastAsia" w:ascii="仿宋" w:hAnsi="仿宋" w:eastAsia="仿宋"/>
          <w:sz w:val="24"/>
          <w:szCs w:val="24"/>
          <w:lang w:val="zh-CN"/>
        </w:rPr>
        <w:t>1</w:t>
      </w:r>
      <w:r>
        <w:rPr>
          <w:rFonts w:hint="eastAsia" w:ascii="仿宋" w:hAnsi="仿宋" w:eastAsia="仿宋"/>
          <w:sz w:val="24"/>
          <w:szCs w:val="24"/>
        </w:rPr>
        <w:t>7</w:t>
      </w:r>
    </w:p>
    <w:p w14:paraId="1E047AD6">
      <w:pPr>
        <w:keepNext/>
        <w:keepLines/>
        <w:tabs>
          <w:tab w:val="right" w:leader="dot" w:pos="8845"/>
        </w:tabs>
        <w:spacing w:beforeLines="0" w:afterLines="0" w:line="440" w:lineRule="exact"/>
        <w:jc w:val="center"/>
        <w:rPr>
          <w:rFonts w:hint="eastAsia" w:ascii="仿宋" w:hAnsi="仿宋" w:eastAsia="仿宋"/>
          <w:b/>
          <w:sz w:val="24"/>
          <w:szCs w:val="24"/>
        </w:rPr>
      </w:pPr>
      <w:r>
        <w:rPr>
          <w:rFonts w:hint="eastAsia" w:ascii="仿宋" w:hAnsi="仿宋" w:eastAsia="仿宋"/>
          <w:sz w:val="24"/>
          <w:szCs w:val="24"/>
          <w:lang w:val="zh-CN"/>
        </w:rPr>
        <w:t>第四部分 附件</w:t>
      </w:r>
      <w:r>
        <w:rPr>
          <w:rFonts w:hint="eastAsia" w:ascii="仿宋" w:hAnsi="仿宋" w:eastAsia="仿宋"/>
          <w:sz w:val="24"/>
          <w:szCs w:val="24"/>
          <w:lang w:val="zh-CN"/>
        </w:rPr>
        <w:tab/>
      </w:r>
      <w:r>
        <w:rPr>
          <w:rFonts w:hint="eastAsia" w:ascii="仿宋" w:hAnsi="仿宋" w:eastAsia="仿宋"/>
          <w:sz w:val="24"/>
          <w:szCs w:val="24"/>
        </w:rPr>
        <w:t>27</w:t>
      </w:r>
    </w:p>
    <w:p w14:paraId="6243CC11">
      <w:pPr>
        <w:keepNext/>
        <w:keepLines/>
        <w:tabs>
          <w:tab w:val="right" w:leader="dot" w:pos="8845"/>
        </w:tabs>
        <w:spacing w:beforeLines="0" w:afterLines="0" w:line="440" w:lineRule="exact"/>
        <w:jc w:val="center"/>
        <w:rPr>
          <w:rFonts w:hint="eastAsia" w:ascii="仿宋" w:hAnsi="仿宋" w:eastAsia="仿宋"/>
          <w:b/>
          <w:sz w:val="24"/>
          <w:szCs w:val="24"/>
          <w:lang w:val="zh-CN"/>
        </w:rPr>
      </w:pPr>
      <w:r>
        <w:rPr>
          <w:rFonts w:hint="eastAsia" w:ascii="仿宋" w:hAnsi="仿宋" w:eastAsia="仿宋"/>
          <w:sz w:val="24"/>
          <w:szCs w:val="24"/>
          <w:lang w:val="zh-CN"/>
        </w:rPr>
        <w:t>第五部分 附表</w:t>
      </w:r>
      <w:r>
        <w:rPr>
          <w:rFonts w:hint="eastAsia" w:ascii="仿宋" w:hAnsi="仿宋" w:eastAsia="仿宋"/>
          <w:sz w:val="24"/>
          <w:szCs w:val="24"/>
          <w:lang w:val="zh-CN"/>
        </w:rPr>
        <w:tab/>
      </w:r>
      <w:r>
        <w:rPr>
          <w:rFonts w:hint="eastAsia" w:ascii="仿宋" w:hAnsi="仿宋" w:eastAsia="仿宋"/>
          <w:sz w:val="24"/>
          <w:szCs w:val="24"/>
          <w:lang w:val="zh-CN"/>
        </w:rPr>
        <w:t>2</w:t>
      </w:r>
      <w:r>
        <w:rPr>
          <w:rFonts w:hint="eastAsia" w:ascii="仿宋" w:hAnsi="仿宋" w:eastAsia="仿宋"/>
          <w:sz w:val="24"/>
          <w:szCs w:val="24"/>
        </w:rPr>
        <w:t>7</w:t>
      </w:r>
    </w:p>
    <w:p w14:paraId="7163CD12">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一、收入支出决算总表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03E72ED3">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二、收入决算表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182B02C1">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三、支出决算表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4C6093B5">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四、财政拨款收入支出决算总表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42C9BD18">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五、财政拨款支出决算明细表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54B1FBDA">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六、一般公共预算财政拨款支出决算表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24AD1929">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七、一般公共预算财政拨款支出决算明细表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47AD85F8">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八、一般公共预算财政拨款基本支出决算表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76EB8A24">
      <w:pPr>
        <w:keepNext/>
        <w:keepLines/>
        <w:tabs>
          <w:tab w:val="right" w:leader="dot" w:pos="8845"/>
        </w:tabs>
        <w:spacing w:beforeLines="0" w:afterLines="0" w:line="440" w:lineRule="exact"/>
        <w:jc w:val="center"/>
        <w:rPr>
          <w:rFonts w:hint="eastAsia" w:ascii="宋体" w:hAnsi="宋体" w:cs="宋体"/>
          <w:sz w:val="24"/>
          <w:szCs w:val="24"/>
          <w:lang w:val="zh-CN"/>
        </w:rPr>
        <w:sectPr>
          <w:footerReference r:id="rId5" w:type="default"/>
          <w:pgSz w:w="12240" w:h="15840"/>
          <w:pgMar w:top="1440" w:right="1800" w:bottom="1440" w:left="1800" w:header="720" w:footer="720" w:gutter="0"/>
          <w:lnNumType w:countBy="0" w:distance="360"/>
          <w:pgNumType w:start="1"/>
          <w:cols w:space="720" w:num="1"/>
        </w:sectPr>
      </w:pPr>
    </w:p>
    <w:p w14:paraId="1843B708">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九、一般公共预算财政拨款项目支出决算表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404CE145">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十、政府性基金预算财政拨款收入支出决算表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79FE9A4D">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十一、国有资本经营预算财政拨款收入支出决算表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4047BC1C">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十二、国有资本经营预算财政拨款支出决算表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4651904B">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十三、财政拨款“三公”经费支出决算表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rPr>
        <w:t>7</w:t>
      </w:r>
    </w:p>
    <w:p w14:paraId="3B864364">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第一部分 单位概况</w:t>
      </w:r>
    </w:p>
    <w:p w14:paraId="3574274F">
      <w:pPr>
        <w:pStyle w:val="2"/>
        <w:overflowPunct w:val="0"/>
        <w:topLinePunct/>
        <w:spacing w:before="72" w:afterLines="0"/>
        <w:rPr>
          <w:rFonts w:hint="eastAsia"/>
          <w:sz w:val="30"/>
          <w:szCs w:val="24"/>
        </w:rPr>
      </w:pPr>
    </w:p>
    <w:p w14:paraId="21B022A8">
      <w:pPr>
        <w:pStyle w:val="4"/>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3990AD4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6FE98CDC">
      <w:pPr>
        <w:overflowPunct w:val="0"/>
        <w:topLinePunct/>
        <w:spacing w:beforeLines="0" w:afterLines="0" w:line="576" w:lineRule="exact"/>
        <w:ind w:firstLine="640" w:firstLineChars="200"/>
        <w:jc w:val="both"/>
        <w:rPr>
          <w:rFonts w:hint="eastAsia"/>
          <w:color w:val="000000"/>
          <w:sz w:val="32"/>
          <w:szCs w:val="32"/>
        </w:rPr>
      </w:pPr>
      <w:r>
        <w:rPr>
          <w:rFonts w:hint="eastAsia" w:ascii="仿宋_GB2312" w:hAnsi="仿宋_GB2312" w:eastAsia="仿宋_GB2312"/>
          <w:color w:val="000000"/>
          <w:sz w:val="32"/>
          <w:szCs w:val="24"/>
        </w:rPr>
        <w:t>广元市昭化区融媒体中心主要负责新闻、广告、广播技术服务、电视节目播映、转播等工作。负责全区广播电视宣传工作，坚持正确的舆论导向，拟定宣传要点；办好昭化地方特色的新闻节目和其他综合性节目，创办精品栏目，提高节目质量，加大对外宣传力度，严格宣传新闻纪律；负责自办节目的策划、采制、审查、包装及播出编排和管理工作，负责电视节目交流；加大对乡镇广播电视宣传工作的指导和播放质量的监督力度。</w:t>
      </w:r>
    </w:p>
    <w:p w14:paraId="08D37DC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4F01DFD8">
      <w:pPr>
        <w:pStyle w:val="7"/>
        <w:numPr>
          <w:ilvl w:val="0"/>
          <w:numId w:val="0"/>
        </w:numPr>
        <w:autoSpaceDE/>
        <w:autoSpaceDN/>
        <w:adjustRightInd/>
        <w:spacing w:beforeLines="0" w:afterLines="0" w:line="540" w:lineRule="exact"/>
        <w:ind w:firstLine="640"/>
        <w:jc w:val="both"/>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1.聚焦主责主业，唱想时代强音</w:t>
      </w:r>
    </w:p>
    <w:p w14:paraId="4875C50B">
      <w:pPr>
        <w:pStyle w:val="7"/>
        <w:numPr>
          <w:ilvl w:val="0"/>
          <w:numId w:val="0"/>
        </w:numPr>
        <w:autoSpaceDE/>
        <w:autoSpaceDN/>
        <w:adjustRightInd/>
        <w:spacing w:beforeLines="0" w:afterLines="0" w:line="540" w:lineRule="exact"/>
        <w:ind w:firstLine="640"/>
        <w:jc w:val="both"/>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一是持续巩固传统媒体。</w:t>
      </w:r>
      <w:r>
        <w:rPr>
          <w:rFonts w:hint="default" w:ascii="仿宋_GB2312" w:hAnsi="仿宋_GB2312" w:eastAsia="仿宋_GB2312" w:cs="仿宋_GB2312"/>
          <w:color w:val="000000"/>
          <w:kern w:val="2"/>
          <w:sz w:val="32"/>
          <w:szCs w:val="32"/>
        </w:rPr>
        <w:t>发挥传统媒体主流权威、用户黏性强等特征，围绕区委政府中心工作，开展新闻策划，为昭化经济社会发展摇旗呐喊、加油鼓劲。电视方面：</w:t>
      </w:r>
      <w:r>
        <w:rPr>
          <w:rFonts w:hint="default" w:ascii="仿宋_GB2312" w:hAnsi="仿宋_GB2312" w:eastAsia="仿宋_GB2312" w:cs="仿宋_GB2312"/>
          <w:color w:val="auto"/>
          <w:kern w:val="2"/>
          <w:sz w:val="32"/>
          <w:szCs w:val="32"/>
          <w:shd w:val="clear" w:color="auto" w:fill="FFFFFF"/>
        </w:rPr>
        <w:t>《昭化新闻》开设“深入学习贯彻区委八届三次全会精神”“拼经济 比发展 创一流”“大力实施‘1345’发展战略”等29个专栏，播发消息2110条。同步广播栏目《昭化之声》刊播“昭化荣誉”“政策之声”“昭化品牌”等110余条新闻稿件。专题方面：深耕专题拍摄制作，全年制播专题片23部。《团结奋进 同心筑梦》展现了昭化区民族团结的生动实践，受到领导高度赞扬。《昭化区创建省级慢性病综合防控示范区及时——一切为了健康》，将慢性病防控、健康促进融入经济社会发展全领域，为成功创建省级慢性病综合防控示范区贡献融媒体力量。外宣方面：</w:t>
      </w:r>
      <w:r>
        <w:rPr>
          <w:rFonts w:hint="default" w:ascii="仿宋_GB2312" w:hAnsi="仿宋_GB2312" w:eastAsia="仿宋_GB2312" w:cs="仿宋_GB2312"/>
          <w:kern w:val="2"/>
          <w:sz w:val="32"/>
          <w:szCs w:val="32"/>
        </w:rPr>
        <w:t>围绕增强信心、凝聚共识，构筑主流舆论新态势，持续加强正面宣传，讲好</w:t>
      </w:r>
      <w:r>
        <w:rPr>
          <w:rFonts w:hint="default" w:ascii="仿宋_GB2312" w:hAnsi="仿宋_GB2312" w:eastAsia="仿宋_GB2312" w:cs="仿宋_GB2312"/>
          <w:color w:val="auto"/>
          <w:kern w:val="2"/>
          <w:sz w:val="32"/>
          <w:szCs w:val="32"/>
          <w:shd w:val="clear" w:color="auto" w:fill="FFFFFF"/>
        </w:rPr>
        <w:t>昭化故事，传播昭化声音，展示昭化形象。2023年，在中央、省市主流媒体上稿15000余条，其中《人民日报》上稿5篇（头版头条1篇）；中央电视台上稿29条（《新闻联播》上稿5条）；中央级其他报刊41条；四川日报上稿42条（头版7条）。四川电视台上稿170条（《四川新闻联播》62条）。</w:t>
      </w:r>
    </w:p>
    <w:p w14:paraId="76E07AE5">
      <w:pPr>
        <w:pStyle w:val="7"/>
        <w:numPr>
          <w:ilvl w:val="0"/>
          <w:numId w:val="0"/>
        </w:numPr>
        <w:autoSpaceDE/>
        <w:autoSpaceDN/>
        <w:adjustRightInd/>
        <w:spacing w:beforeLines="0" w:afterLines="0" w:line="540" w:lineRule="exact"/>
        <w:ind w:firstLine="0"/>
        <w:jc w:val="both"/>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color w:val="auto"/>
          <w:kern w:val="2"/>
          <w:sz w:val="32"/>
          <w:szCs w:val="32"/>
          <w:shd w:val="clear" w:color="auto" w:fill="FFFFFF"/>
        </w:rPr>
        <w:t>截至目前，共有27篇稿件符合创先争优加分条件，共计加分0.41，同比增长48%。海外媒体账号刊发新闻稿件1070条。</w:t>
      </w:r>
    </w:p>
    <w:p w14:paraId="25E28CE9">
      <w:pPr>
        <w:pStyle w:val="7"/>
        <w:widowControl/>
        <w:numPr>
          <w:ilvl w:val="0"/>
          <w:numId w:val="0"/>
        </w:numPr>
        <w:autoSpaceDE/>
        <w:autoSpaceDN/>
        <w:adjustRightInd/>
        <w:spacing w:beforeLines="0" w:afterLines="0" w:line="540" w:lineRule="exact"/>
        <w:ind w:firstLine="64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二是新兴媒体及时有力。发挥新兴媒体时效性强、扩容性广、双向互动等特征，推出新媒体产品。围绕区委区政府中心工作，整合区人民政府网站、蜀道昭化APP、“蜀道昭化”视频号、“昭化发布”微信公众号、“昭化发布”微博等平台账号，刊发（播）新闻稿件及相关新媒体产品1.9万余件，阅读量超2943万人次，转发量500余万人次。以重阳节新闻宣传为例，坚持现场办公，主持人、记者、编辑提前到位，把演播室搬到田间地头，用现场直播来争取新闻刊发的“第一时间”。同时，按照活动前发预告、活动结束后30分钟、2小时等节点推出推文、短视频和新闻稿件，让新闻无“时差”。蜀道昭化视频号推出《孝满巴蜀 情暖昭化》系列报道28条。播放量10万+。昭化发布推出相关推文26条。全方位、多层次、高频率的宣传，受到社会各界的一致肯定。</w:t>
      </w:r>
    </w:p>
    <w:p w14:paraId="3CFB8B89">
      <w:pPr>
        <w:pStyle w:val="7"/>
        <w:widowControl/>
        <w:numPr>
          <w:ilvl w:val="0"/>
          <w:numId w:val="0"/>
        </w:numPr>
        <w:autoSpaceDE/>
        <w:autoSpaceDN/>
        <w:adjustRightInd/>
        <w:spacing w:beforeLines="0" w:afterLines="0" w:line="540" w:lineRule="exact"/>
        <w:ind w:firstLine="640"/>
        <w:rPr>
          <w:rFonts w:hint="default" w:ascii="仿宋_GB2312" w:hAnsi="仿宋_GB2312" w:eastAsia="仿宋_GB2312" w:cs="仿宋_GB2312"/>
          <w:sz w:val="32"/>
          <w:szCs w:val="32"/>
        </w:rPr>
      </w:pPr>
      <w:r>
        <w:rPr>
          <w:rFonts w:hint="default" w:ascii="仿宋_GB2312" w:hAnsi="仿宋_GB2312" w:eastAsia="仿宋_GB2312" w:cs="仿宋_GB2312"/>
          <w:kern w:val="2"/>
          <w:sz w:val="32"/>
          <w:szCs w:val="32"/>
        </w:rPr>
        <w:t>三是爆款佳作精品不断。</w:t>
      </w:r>
      <w:r>
        <w:rPr>
          <w:rFonts w:hint="default" w:ascii="仿宋_GB2312" w:hAnsi="仿宋_GB2312" w:eastAsia="仿宋_GB2312" w:cs="仿宋_GB2312"/>
          <w:color w:val="auto"/>
          <w:kern w:val="2"/>
          <w:sz w:val="32"/>
          <w:szCs w:val="32"/>
        </w:rPr>
        <w:t>聚焦主责主业，坚持“质”“数”并举，锚定国家、省、市重大新闻奖项，开展大比武、大练兵，创新作品内容、改进传播方式，精品佳作不断涌现。《来昭化旅行 写一条朋友圈当然不够！》被“时代光影 百步川杨”“神秘蜀韵 百步穿杨”网络视听节目传播大赛进行展播，并进行了首页推荐。被</w:t>
      </w:r>
      <w:r>
        <w:rPr>
          <w:rFonts w:hint="default" w:ascii="仿宋_GB2312" w:hAnsi="仿宋_GB2312" w:eastAsia="仿宋_GB2312" w:cs="仿宋_GB2312"/>
          <w:color w:val="000000"/>
          <w:kern w:val="2"/>
          <w:sz w:val="32"/>
          <w:szCs w:val="32"/>
        </w:rPr>
        <w:t>推送的《昭化脱贫户张克茂为留守儿童义务当家教12年》荣获四川新闻奖（通讯类三等奖）；新闻专题《三湾汉子》荣获2022年度四川省县级融媒新闻奖“三等奖”。歌曲《我把心留在昭化》在2023“家乡闪耀.一县一歌”活动中获得优秀歌曲展播奖。短视频作品《2023年全国征兵时间确定》，利用网络素材进行再次创作，增强人民群众的民族自豪感，宣传了拥军爱民，播放量达到535万。</w:t>
      </w:r>
    </w:p>
    <w:p w14:paraId="099088E9">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2.强化政治建设，凝聚思想共识</w:t>
      </w:r>
    </w:p>
    <w:p w14:paraId="402215FE">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一是加强理论学习。坚持以习近平新时代中国特色社会主义思想和党的二十大精神为指导，把中央、省市区委的重大决策部署作为重点学习内容。结合主题教育开展，制定了学习计划，集中学习了习近平总书记来川来广视察重要指示精神、《党的二十大报告》等，以常态化、制度化的学习提升党员干部政治理论素养。全年开展集中学习10余次，集中研讨4次。</w:t>
      </w:r>
    </w:p>
    <w:p w14:paraId="49CFA23B">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二是严肃党内政治生活。抓好“三会一课”、组织生活会、谈心谈话、民主评议党员等制度落实。组织党员赴苍溪黄猫垭爱国主义教育基地参观、到白鹤山庄开展“发挥融媒力量 助力乡村振兴”主题党日活动。常态化开展党员志愿服务等，不断坚定理想信念，坚守使命追求。</w:t>
      </w:r>
    </w:p>
    <w:p w14:paraId="20B5F6F6">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3.落实主体责任，强化阵地管理</w:t>
      </w:r>
    </w:p>
    <w:p w14:paraId="6436ED18">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一是落实全面从严治党“三张清单”。</w:t>
      </w:r>
      <w:r>
        <w:rPr>
          <w:rFonts w:hint="default" w:ascii="仿宋_GB2312" w:hAnsi="仿宋_GB2312" w:eastAsia="仿宋_GB2312" w:cs="仿宋_GB2312"/>
          <w:color w:val="auto"/>
          <w:kern w:val="2"/>
          <w:sz w:val="32"/>
          <w:szCs w:val="32"/>
          <w:shd w:val="clear" w:color="auto" w:fill="FFFFFF"/>
        </w:rPr>
        <w:t>按照《主体责任和监督责任清单》《权力风险防控清单》内容，明确领导班子主体责任9项，班子成员责任9项，梳理出劳务人员派遣、媒体合作经费管理2个权力风险防控点，制定防控措施2条，实现重点权力运行廉政风险“联防联控”。把党风廉政建设工作置于工作全流程，全年专题研究党建、意识形态、干部纪律作风整顿等工作4次，班子成员每季度汇报党风廉政建设工作1次。</w:t>
      </w:r>
    </w:p>
    <w:p w14:paraId="52E0B5C2">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二是健全完善规章制度。</w:t>
      </w:r>
      <w:r>
        <w:rPr>
          <w:rFonts w:hint="default" w:ascii="仿宋_GB2312" w:hAnsi="仿宋_GB2312" w:eastAsia="仿宋_GB2312" w:cs="仿宋_GB2312"/>
          <w:color w:val="auto"/>
          <w:kern w:val="2"/>
          <w:sz w:val="32"/>
          <w:szCs w:val="32"/>
          <w:shd w:val="clear" w:color="auto" w:fill="FFFFFF"/>
        </w:rPr>
        <w:t>完善《昭化区融媒体中心职称评聘实施细则（试行）》等内控制度8个，在设备采购、职称评聘、资金使用等事项中严格落实三重一大、民主集中制，健全用制度管人、制度管事的长效工作机制。</w:t>
      </w:r>
    </w:p>
    <w:p w14:paraId="1304532E">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三是守牢意识形态安全。</w:t>
      </w:r>
      <w:r>
        <w:rPr>
          <w:rFonts w:hint="default" w:ascii="仿宋_GB2312" w:hAnsi="仿宋_GB2312" w:eastAsia="仿宋_GB2312" w:cs="仿宋_GB2312"/>
          <w:color w:val="auto"/>
          <w:kern w:val="2"/>
          <w:sz w:val="32"/>
          <w:szCs w:val="32"/>
          <w:shd w:val="clear" w:color="auto" w:fill="FFFFFF"/>
        </w:rPr>
        <w:t>加强对各类设备及保密文件的规范管理，加强对新媒体各网络平台账户的管理，严格执行“三审三校”制度，专题研究意识形态工作4次。紧盯关键节点和重大事件，在大运会、亚运会期间，严格执行24小时值班，制定安全播出工作方案，开展隐患排查4次，切实加强了意识形态领域的预警监测、分析研判和风险排查。</w:t>
      </w:r>
    </w:p>
    <w:p w14:paraId="2C3530F6">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4.深化媒体融合，完善体制创新</w:t>
      </w:r>
    </w:p>
    <w:p w14:paraId="6E1C93F8">
      <w:pPr>
        <w:numPr>
          <w:ilvl w:val="0"/>
          <w:numId w:val="0"/>
        </w:numPr>
        <w:autoSpaceDE/>
        <w:autoSpaceDN/>
        <w:adjustRightInd/>
        <w:spacing w:beforeLines="0" w:afterLines="0" w:line="540" w:lineRule="exact"/>
        <w:ind w:firstLine="640" w:firstLineChars="200"/>
        <w:rPr>
          <w:rFonts w:hint="default" w:ascii="仿宋_GB2312" w:hAnsi="仿宋_GB2312" w:eastAsia="仿宋_GB2312" w:cs="仿宋_GB2312"/>
          <w:color w:val="auto"/>
          <w:kern w:val="2"/>
          <w:sz w:val="32"/>
          <w:szCs w:val="32"/>
          <w:shd w:val="clear" w:color="auto" w:fill="FFFFFF"/>
        </w:rPr>
      </w:pPr>
      <w:r>
        <w:rPr>
          <w:rFonts w:hint="default" w:ascii="仿宋_GB2312" w:hAnsi="仿宋_GB2312" w:eastAsia="仿宋_GB2312" w:cs="仿宋_GB2312"/>
          <w:kern w:val="2"/>
          <w:sz w:val="32"/>
          <w:szCs w:val="32"/>
        </w:rPr>
        <w:t>一是媒体融合塑造主流格局。</w:t>
      </w:r>
      <w:r>
        <w:rPr>
          <w:rFonts w:hint="default" w:ascii="仿宋_GB2312" w:hAnsi="仿宋_GB2312" w:eastAsia="仿宋_GB2312" w:cs="仿宋_GB2312"/>
          <w:color w:val="auto"/>
          <w:kern w:val="2"/>
          <w:sz w:val="32"/>
          <w:szCs w:val="32"/>
          <w:shd w:val="clear" w:color="auto" w:fill="FFFFFF"/>
        </w:rPr>
        <w:t>全新设计开发了蜀道昭化APP并成功上线；中央厨房系统也进行了全面升级，新版本的中央厨房不仅可以支持网站、APP、小程序的统一管理，还可以直接推送稿件至第三方平台，真正意义上实现一键多发的功能。吸引妇联、党校、红岩镇等17家部门和单位在“蜀道昭化APP”开设融媒号，上百个实践站（实践所）和志愿队入驻APP。</w:t>
      </w:r>
    </w:p>
    <w:p w14:paraId="39AE3487">
      <w:pPr>
        <w:pStyle w:val="7"/>
        <w:numPr>
          <w:ilvl w:val="0"/>
          <w:numId w:val="0"/>
        </w:numPr>
        <w:autoSpaceDE/>
        <w:autoSpaceDN/>
        <w:adjustRightInd/>
        <w:spacing w:beforeLines="0" w:afterLines="0" w:line="540" w:lineRule="exact"/>
        <w:ind w:firstLine="640"/>
        <w:jc w:val="both"/>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二是畅通上升渠道增强干劲。</w:t>
      </w:r>
      <w:r>
        <w:rPr>
          <w:rFonts w:hint="default" w:ascii="仿宋_GB2312" w:hAnsi="仿宋_GB2312" w:eastAsia="仿宋_GB2312" w:cs="仿宋_GB2312"/>
          <w:color w:val="auto"/>
          <w:kern w:val="2"/>
          <w:sz w:val="32"/>
          <w:szCs w:val="32"/>
          <w:shd w:val="clear" w:color="auto" w:fill="FFFFFF"/>
        </w:rPr>
        <w:t>制定绩效考核制度和职务职级晋升制度，坚持“多劳多得、优绩优酬、奖优罚劣、奖勤罚懒”的总体原则，明确考评规则、晋升标准等，鼓励干部职工主动作为，敢破困局、敢闯难题。完成24名同志职务职级晋升（在编17人，编外7人）。</w:t>
      </w:r>
      <w:r>
        <w:rPr>
          <w:rFonts w:hint="default" w:ascii="仿宋_GB2312" w:hAnsi="仿宋_GB2312" w:eastAsia="仿宋_GB2312" w:cs="仿宋_GB2312"/>
          <w:kern w:val="2"/>
          <w:sz w:val="32"/>
          <w:szCs w:val="32"/>
        </w:rPr>
        <w:t>2名同志被提拔为副科级干部，1人荣膺“葭萌英才”，12名同志荣获市、区优秀新闻工作者等荣誉。</w:t>
      </w:r>
    </w:p>
    <w:p w14:paraId="2BFD6814">
      <w:pPr>
        <w:pStyle w:val="7"/>
        <w:numPr>
          <w:ilvl w:val="0"/>
          <w:numId w:val="0"/>
        </w:numPr>
        <w:autoSpaceDE/>
        <w:autoSpaceDN/>
        <w:adjustRightInd/>
        <w:spacing w:beforeLines="0" w:afterLines="0" w:line="540" w:lineRule="exact"/>
        <w:ind w:firstLine="640"/>
        <w:jc w:val="both"/>
        <w:rPr>
          <w:rFonts w:hint="default" w:ascii="仿宋_GB2312" w:hAnsi="仿宋_GB2312" w:eastAsia="仿宋_GB2312" w:cs="仿宋_GB2312"/>
          <w:color w:val="000000"/>
          <w:kern w:val="2"/>
          <w:sz w:val="32"/>
          <w:szCs w:val="32"/>
        </w:rPr>
      </w:pPr>
      <w:r>
        <w:rPr>
          <w:rFonts w:hint="default" w:ascii="仿宋_GB2312" w:hAnsi="仿宋_GB2312" w:eastAsia="仿宋_GB2312" w:cs="仿宋_GB2312"/>
          <w:kern w:val="2"/>
          <w:sz w:val="32"/>
          <w:szCs w:val="32"/>
        </w:rPr>
        <w:t>三是开源节流助力营收。</w:t>
      </w:r>
      <w:r>
        <w:rPr>
          <w:rFonts w:hint="default" w:ascii="仿宋_GB2312" w:hAnsi="仿宋_GB2312" w:eastAsia="仿宋_GB2312" w:cs="仿宋_GB2312"/>
          <w:color w:val="000000"/>
          <w:kern w:val="2"/>
          <w:sz w:val="32"/>
          <w:szCs w:val="32"/>
        </w:rPr>
        <w:t>依托媒体平台优势与其他单位合作，通过开放新媒体广告位、制播新闻专题和短视频、现场直播、推送外宣新闻稿件、承办第十三届管理决策与效率评价研讨会等重大活动等，全力推进市场开发和经营创收，全年实现创收130余万元。</w:t>
      </w:r>
    </w:p>
    <w:p w14:paraId="217A4369">
      <w:pPr>
        <w:pStyle w:val="7"/>
        <w:numPr>
          <w:ilvl w:val="0"/>
          <w:numId w:val="0"/>
        </w:numPr>
        <w:autoSpaceDE/>
        <w:autoSpaceDN/>
        <w:adjustRightInd/>
        <w:spacing w:beforeLines="0" w:afterLines="0" w:line="540" w:lineRule="exact"/>
        <w:ind w:firstLine="640"/>
        <w:jc w:val="both"/>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5.聚焦真帮实扶，乡村振兴亮点频出</w:t>
      </w:r>
    </w:p>
    <w:p w14:paraId="151BADCC">
      <w:pPr>
        <w:pStyle w:val="7"/>
        <w:numPr>
          <w:ilvl w:val="0"/>
          <w:numId w:val="0"/>
        </w:numPr>
        <w:autoSpaceDE/>
        <w:autoSpaceDN/>
        <w:adjustRightInd/>
        <w:spacing w:beforeLines="0" w:afterLines="0" w:line="540" w:lineRule="exact"/>
        <w:ind w:firstLine="640"/>
        <w:jc w:val="both"/>
        <w:rPr>
          <w:rFonts w:hint="eastAsia" w:ascii="方正仿宋_GB2312" w:hAnsi="方正仿宋_GB2312" w:eastAsia="方正仿宋_GB2312" w:cs="方正仿宋_GB2312"/>
          <w:color w:val="000000"/>
          <w:kern w:val="2"/>
          <w:sz w:val="32"/>
          <w:szCs w:val="32"/>
        </w:rPr>
      </w:pPr>
      <w:r>
        <w:rPr>
          <w:rFonts w:hint="default" w:ascii="仿宋_GB2312" w:hAnsi="仿宋_GB2312" w:eastAsia="仿宋_GB2312" w:cs="仿宋_GB2312"/>
          <w:color w:val="000000"/>
          <w:kern w:val="2"/>
          <w:sz w:val="32"/>
          <w:szCs w:val="32"/>
        </w:rPr>
        <w:t>强化产业帮扶、就业帮扶和政策保障，鼓励24户脱贫户发展魔芋、肉牛、肉羊、花生南瓜、烤烟等种养殖项目和务工收入，全村人均收入达到15367.86元以上。</w:t>
      </w:r>
    </w:p>
    <w:p w14:paraId="74D363C2">
      <w:pPr>
        <w:pStyle w:val="4"/>
        <w:overflowPunct w:val="0"/>
        <w:topLinePunct/>
        <w:spacing w:beforeLines="0" w:afterLines="0"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586494A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区融媒体中心是区委直属的正科级事业单位，归口区委宣传部领导和管理，下属二级单位0个，下设独立编制机构0个，其中行政机构0个，参照公务员法管理的事业机构0个，其他事业机构0个。</w:t>
      </w:r>
    </w:p>
    <w:p w14:paraId="57FB021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p>
    <w:p w14:paraId="1898ADAC">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t>第二部分 2023年度单位决算情况说明</w:t>
      </w:r>
    </w:p>
    <w:p w14:paraId="2ABF0DDA">
      <w:pPr>
        <w:pStyle w:val="2"/>
        <w:spacing w:before="72" w:afterLines="0"/>
        <w:rPr>
          <w:rFonts w:hint="eastAsia"/>
          <w:sz w:val="30"/>
          <w:szCs w:val="24"/>
        </w:rPr>
      </w:pPr>
    </w:p>
    <w:p w14:paraId="5DA9D1F0">
      <w:pPr>
        <w:pStyle w:val="4"/>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312207E1">
      <w:pPr>
        <w:overflowPunct w:val="0"/>
        <w:topLinePunct/>
        <w:spacing w:beforeLines="0" w:afterLines="0" w:line="576" w:lineRule="exact"/>
        <w:ind w:firstLine="640" w:firstLineChars="200"/>
        <w:jc w:val="both"/>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2023年度收、支总计均为570.13万元。与2022年度相比，收、支总计各增加57.15万元，增长10.02%。主要变动原因是2023年宣传经费等其他运转类项目支出增加以及人员工资福利及基础目标绩效经费支出增加。</w:t>
      </w:r>
    </w:p>
    <w:p w14:paraId="29EA6F2E">
      <w:pPr>
        <w:spacing w:beforeLines="0" w:afterLines="0" w:line="600" w:lineRule="exact"/>
        <w:jc w:val="center"/>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（图1：收、支决算总计变动情况图）（柱状图）</w:t>
      </w:r>
    </w:p>
    <w:p w14:paraId="5808E01D">
      <w:pPr>
        <w:overflowPunct w:val="0"/>
        <w:topLinePunct/>
        <w:spacing w:beforeLines="0" w:afterLines="0" w:line="576" w:lineRule="exact"/>
        <w:ind w:firstLine="480" w:firstLineChars="200"/>
        <w:jc w:val="both"/>
        <w:rPr>
          <w:rFonts w:hint="eastAsia" w:ascii="黑体" w:hAnsi="黑体" w:eastAsia="黑体"/>
          <w:color w:val="000000"/>
          <w:kern w:val="2"/>
          <w:sz w:val="32"/>
          <w:szCs w:val="24"/>
        </w:rPr>
      </w:pPr>
      <w:r>
        <w:rPr>
          <w:rFonts w:hint="default"/>
          <w:sz w:val="24"/>
          <w:szCs w:val="24"/>
        </w:rPr>
        <w:drawing>
          <wp:anchor distT="0" distB="0" distL="114300" distR="114300" simplePos="0" relativeHeight="251662336" behindDoc="1" locked="0" layoutInCell="1" allowOverlap="1">
            <wp:simplePos x="0" y="0"/>
            <wp:positionH relativeFrom="column">
              <wp:posOffset>209550</wp:posOffset>
            </wp:positionH>
            <wp:positionV relativeFrom="paragraph">
              <wp:posOffset>92710</wp:posOffset>
            </wp:positionV>
            <wp:extent cx="4857115" cy="2457450"/>
            <wp:effectExtent l="0" t="0" r="635" b="0"/>
            <wp:wrapTight wrapText="bothSides">
              <wp:wrapPolygon>
                <wp:start x="21592" y="-2"/>
                <wp:lineTo x="0" y="0"/>
                <wp:lineTo x="0" y="21600"/>
                <wp:lineTo x="21592" y="21602"/>
                <wp:lineTo x="8" y="21602"/>
                <wp:lineTo x="21600" y="21600"/>
                <wp:lineTo x="21600" y="0"/>
                <wp:lineTo x="8" y="-2"/>
                <wp:lineTo x="21592" y="-2"/>
              </wp:wrapPolygon>
            </wp:wrapTight>
            <wp:docPr id="4" name="图表 1"/>
            <wp:cNvGraphicFramePr/>
            <a:graphic xmlns:a="http://schemas.openxmlformats.org/drawingml/2006/main">
              <a:graphicData uri="http://schemas.openxmlformats.org/drawingml/2006/picture">
                <pic:pic xmlns:pic="http://schemas.openxmlformats.org/drawingml/2006/picture">
                  <pic:nvPicPr>
                    <pic:cNvPr id="4" name="图表 1"/>
                    <pic:cNvPicPr/>
                  </pic:nvPicPr>
                  <pic:blipFill>
                    <a:blip r:embed="rId8"/>
                    <a:stretch>
                      <a:fillRect/>
                    </a:stretch>
                  </pic:blipFill>
                  <pic:spPr>
                    <a:xfrm>
                      <a:off x="0" y="0"/>
                      <a:ext cx="4857115" cy="2457450"/>
                    </a:xfrm>
                    <a:prstGeom prst="rect">
                      <a:avLst/>
                    </a:prstGeom>
                    <a:noFill/>
                    <a:ln>
                      <a:noFill/>
                    </a:ln>
                  </pic:spPr>
                </pic:pic>
              </a:graphicData>
            </a:graphic>
          </wp:anchor>
        </w:drawing>
      </w:r>
    </w:p>
    <w:p w14:paraId="4E4C9449">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52F0EDB4">
      <w:pPr>
        <w:overflowPunct w:val="0"/>
        <w:topLinePunct/>
        <w:spacing w:beforeLines="0" w:afterLines="0" w:line="576" w:lineRule="exact"/>
        <w:jc w:val="both"/>
        <w:rPr>
          <w:rFonts w:hint="eastAsia" w:ascii="黑体" w:hAnsi="黑体" w:eastAsia="黑体"/>
          <w:color w:val="000000"/>
          <w:kern w:val="2"/>
          <w:sz w:val="32"/>
          <w:szCs w:val="24"/>
        </w:rPr>
      </w:pPr>
    </w:p>
    <w:p w14:paraId="7D289664">
      <w:pPr>
        <w:overflowPunct w:val="0"/>
        <w:topLinePunct/>
        <w:spacing w:beforeLines="0" w:afterLines="0" w:line="576" w:lineRule="exact"/>
        <w:ind w:firstLine="640" w:firstLineChars="200"/>
        <w:jc w:val="center"/>
        <w:rPr>
          <w:rFonts w:hint="eastAsia" w:ascii="黑体" w:hAnsi="黑体" w:eastAsia="黑体"/>
          <w:color w:val="000000"/>
          <w:kern w:val="2"/>
          <w:sz w:val="32"/>
          <w:szCs w:val="24"/>
        </w:rPr>
      </w:pPr>
    </w:p>
    <w:p w14:paraId="101846EA">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69E459BC">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1EBBAF0B">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7439E3AA">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291DB27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563.13万元，其中：一般公共预算财政拨款收入563.13万元，占100%；政府性基金预算财政拨款收入0万元，占0%；国有资本经营预算财政拨款收入0万元，占0%；上级补助收入0万元，占0%；事业收入0万元，占0%；经营收入0万元，占0%；附属单位上缴收入0万元，占0%；其他收入0万元，占0%。</w:t>
      </w:r>
    </w:p>
    <w:p w14:paraId="4D5FB52C">
      <w:pPr>
        <w:overflowPunct w:val="0"/>
        <w:topLinePunct/>
        <w:spacing w:beforeLines="0" w:afterLines="0" w:line="576" w:lineRule="exact"/>
        <w:jc w:val="center"/>
        <w:rPr>
          <w:rFonts w:hint="eastAsia" w:ascii="黑体" w:hAnsi="黑体" w:eastAsia="黑体"/>
          <w:color w:val="000000"/>
          <w:kern w:val="2"/>
          <w:sz w:val="32"/>
          <w:szCs w:val="24"/>
        </w:rPr>
      </w:pPr>
      <w:r>
        <w:rPr>
          <w:rFonts w:hint="eastAsia" w:ascii="仿宋_GB2312" w:hAnsi="仿宋_GB2312" w:eastAsia="仿宋_GB2312"/>
          <w:color w:val="000000"/>
          <w:kern w:val="2"/>
          <w:sz w:val="32"/>
          <w:szCs w:val="24"/>
        </w:rPr>
        <w:t>（图2：收入决算结构图）（饼状图）</w:t>
      </w:r>
    </w:p>
    <w:p w14:paraId="540434CF">
      <w:pPr>
        <w:overflowPunct w:val="0"/>
        <w:topLinePunct/>
        <w:spacing w:beforeLines="0" w:afterLines="0" w:line="576" w:lineRule="exact"/>
        <w:ind w:firstLine="480" w:firstLineChars="200"/>
        <w:jc w:val="both"/>
        <w:rPr>
          <w:rFonts w:hint="eastAsia" w:ascii="黑体" w:hAnsi="黑体" w:eastAsia="黑体"/>
          <w:color w:val="000000"/>
          <w:kern w:val="2"/>
          <w:sz w:val="32"/>
          <w:szCs w:val="24"/>
        </w:rPr>
      </w:pPr>
      <w:r>
        <w:rPr>
          <w:rFonts w:hint="default"/>
          <w:sz w:val="24"/>
          <w:szCs w:val="24"/>
        </w:rPr>
        <w:drawing>
          <wp:anchor distT="0" distB="0" distL="114300" distR="114300" simplePos="0" relativeHeight="251659264" behindDoc="1" locked="0" layoutInCell="1" allowOverlap="1">
            <wp:simplePos x="0" y="0"/>
            <wp:positionH relativeFrom="column">
              <wp:posOffset>335915</wp:posOffset>
            </wp:positionH>
            <wp:positionV relativeFrom="paragraph">
              <wp:posOffset>94615</wp:posOffset>
            </wp:positionV>
            <wp:extent cx="4765675" cy="2465705"/>
            <wp:effectExtent l="0" t="0" r="15875" b="10795"/>
            <wp:wrapTight wrapText="bothSides">
              <wp:wrapPolygon>
                <wp:start x="21592" y="-2"/>
                <wp:lineTo x="0" y="0"/>
                <wp:lineTo x="0" y="21600"/>
                <wp:lineTo x="21592" y="21602"/>
                <wp:lineTo x="8" y="21602"/>
                <wp:lineTo x="21600" y="21600"/>
                <wp:lineTo x="21600" y="0"/>
                <wp:lineTo x="8" y="-2"/>
                <wp:lineTo x="21592" y="-2"/>
              </wp:wrapPolygon>
            </wp:wrapTight>
            <wp:docPr id="1" name="图表 10"/>
            <wp:cNvGraphicFramePr/>
            <a:graphic xmlns:a="http://schemas.openxmlformats.org/drawingml/2006/main">
              <a:graphicData uri="http://schemas.openxmlformats.org/drawingml/2006/picture">
                <pic:pic xmlns:pic="http://schemas.openxmlformats.org/drawingml/2006/picture">
                  <pic:nvPicPr>
                    <pic:cNvPr id="1" name="图表 10"/>
                    <pic:cNvPicPr/>
                  </pic:nvPicPr>
                  <pic:blipFill>
                    <a:blip r:embed="rId9"/>
                    <a:stretch>
                      <a:fillRect/>
                    </a:stretch>
                  </pic:blipFill>
                  <pic:spPr>
                    <a:xfrm>
                      <a:off x="0" y="0"/>
                      <a:ext cx="4765675" cy="2465705"/>
                    </a:xfrm>
                    <a:prstGeom prst="rect">
                      <a:avLst/>
                    </a:prstGeom>
                    <a:noFill/>
                    <a:ln>
                      <a:noFill/>
                    </a:ln>
                  </pic:spPr>
                </pic:pic>
              </a:graphicData>
            </a:graphic>
          </wp:anchor>
        </w:drawing>
      </w:r>
    </w:p>
    <w:p w14:paraId="53CEE619">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3EAA57C7">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098B18B5">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3DD0D61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2023年本年支出合计570.13万元，其中：基本支出570.13万元，占100%；项目支出0万元，占0%；上缴上级支出0万元，占0%；经营支出0万元，占0%；对附属单位补助支出0万元，占0%。</w:t>
      </w:r>
    </w:p>
    <w:p w14:paraId="703827FC">
      <w:pPr>
        <w:overflowPunct w:val="0"/>
        <w:topLinePunct/>
        <w:spacing w:beforeLines="0" w:afterLines="0"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（图3：支出决算结构图）（饼状图）</w:t>
      </w:r>
    </w:p>
    <w:p w14:paraId="72907266">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0288" behindDoc="1" locked="0" layoutInCell="1" allowOverlap="1">
            <wp:simplePos x="0" y="0"/>
            <wp:positionH relativeFrom="column">
              <wp:posOffset>283210</wp:posOffset>
            </wp:positionH>
            <wp:positionV relativeFrom="paragraph">
              <wp:posOffset>149860</wp:posOffset>
            </wp:positionV>
            <wp:extent cx="4775835" cy="2709545"/>
            <wp:effectExtent l="0" t="0" r="5715" b="14605"/>
            <wp:wrapTight wrapText="bothSides">
              <wp:wrapPolygon>
                <wp:start x="21591" y="-2"/>
                <wp:lineTo x="0" y="0"/>
                <wp:lineTo x="0" y="21600"/>
                <wp:lineTo x="21591" y="21602"/>
                <wp:lineTo x="8" y="21602"/>
                <wp:lineTo x="21599" y="21600"/>
                <wp:lineTo x="21599" y="0"/>
                <wp:lineTo x="8" y="-2"/>
                <wp:lineTo x="21591" y="-2"/>
              </wp:wrapPolygon>
            </wp:wrapTight>
            <wp:docPr id="2" name="图表 11"/>
            <wp:cNvGraphicFramePr/>
            <a:graphic xmlns:a="http://schemas.openxmlformats.org/drawingml/2006/main">
              <a:graphicData uri="http://schemas.openxmlformats.org/drawingml/2006/picture">
                <pic:pic xmlns:pic="http://schemas.openxmlformats.org/drawingml/2006/picture">
                  <pic:nvPicPr>
                    <pic:cNvPr id="2" name="图表 11"/>
                    <pic:cNvPicPr/>
                  </pic:nvPicPr>
                  <pic:blipFill>
                    <a:blip r:embed="rId10"/>
                    <a:stretch>
                      <a:fillRect/>
                    </a:stretch>
                  </pic:blipFill>
                  <pic:spPr>
                    <a:xfrm>
                      <a:off x="0" y="0"/>
                      <a:ext cx="4775835" cy="2709545"/>
                    </a:xfrm>
                    <a:prstGeom prst="rect">
                      <a:avLst/>
                    </a:prstGeom>
                    <a:noFill/>
                    <a:ln>
                      <a:noFill/>
                    </a:ln>
                  </pic:spPr>
                </pic:pic>
              </a:graphicData>
            </a:graphic>
          </wp:anchor>
        </w:drawing>
      </w:r>
    </w:p>
    <w:p w14:paraId="2FFEAFE4">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4B9836AD">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7C95ED9B">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6FFD8DA6">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0AB8CA5C">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02094EAA">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495FAF3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789F236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2023年度财政拨款收、支总计均为570.13万元。与2022年度相比，财政拨款收、支总计各增加57.15万元，增长10.02%。主要变动原因是</w:t>
      </w:r>
      <w:r>
        <w:rPr>
          <w:rFonts w:hint="eastAsia" w:ascii="仿宋_GB2312" w:eastAsia="仿宋_GB2312"/>
          <w:color w:val="000000"/>
          <w:sz w:val="32"/>
          <w:szCs w:val="32"/>
        </w:rPr>
        <w:t>2023年宣传经费等其他运转类项目支出增加以及人员工资福利及基础目标绩效经费支出增加</w:t>
      </w:r>
      <w:r>
        <w:rPr>
          <w:rFonts w:hint="eastAsia" w:ascii="仿宋_GB2312" w:hAnsi="仿宋_GB2312" w:eastAsia="仿宋_GB2312"/>
          <w:color w:val="000000"/>
          <w:kern w:val="2"/>
          <w:sz w:val="32"/>
          <w:szCs w:val="24"/>
        </w:rPr>
        <w:t>。</w:t>
      </w:r>
    </w:p>
    <w:p w14:paraId="4B319028">
      <w:pPr>
        <w:overflowPunct w:val="0"/>
        <w:topLinePunct/>
        <w:spacing w:beforeLines="0" w:afterLines="0" w:line="576" w:lineRule="exact"/>
        <w:jc w:val="center"/>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（图4：财政拨款收、支决算总计变动情况）（柱状图）</w:t>
      </w:r>
    </w:p>
    <w:p w14:paraId="43202DE3">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3360" behindDoc="1" locked="0" layoutInCell="1" allowOverlap="1">
            <wp:simplePos x="0" y="0"/>
            <wp:positionH relativeFrom="column">
              <wp:posOffset>276225</wp:posOffset>
            </wp:positionH>
            <wp:positionV relativeFrom="paragraph">
              <wp:posOffset>111760</wp:posOffset>
            </wp:positionV>
            <wp:extent cx="4838700" cy="2790190"/>
            <wp:effectExtent l="0" t="0" r="0" b="10160"/>
            <wp:wrapTight wrapText="bothSides">
              <wp:wrapPolygon>
                <wp:start x="21592" y="-2"/>
                <wp:lineTo x="0" y="0"/>
                <wp:lineTo x="0" y="21600"/>
                <wp:lineTo x="21592" y="21602"/>
                <wp:lineTo x="8" y="21602"/>
                <wp:lineTo x="21600" y="21600"/>
                <wp:lineTo x="21600" y="0"/>
                <wp:lineTo x="8" y="-2"/>
                <wp:lineTo x="21592" y="-2"/>
              </wp:wrapPolygon>
            </wp:wrapTight>
            <wp:docPr id="5" name="图表 1"/>
            <wp:cNvGraphicFramePr/>
            <a:graphic xmlns:a="http://schemas.openxmlformats.org/drawingml/2006/main">
              <a:graphicData uri="http://schemas.openxmlformats.org/drawingml/2006/picture">
                <pic:pic xmlns:pic="http://schemas.openxmlformats.org/drawingml/2006/picture">
                  <pic:nvPicPr>
                    <pic:cNvPr id="5" name="图表 1"/>
                    <pic:cNvPicPr/>
                  </pic:nvPicPr>
                  <pic:blipFill>
                    <a:blip r:embed="rId11"/>
                    <a:stretch>
                      <a:fillRect/>
                    </a:stretch>
                  </pic:blipFill>
                  <pic:spPr>
                    <a:xfrm>
                      <a:off x="0" y="0"/>
                      <a:ext cx="4838700" cy="2790190"/>
                    </a:xfrm>
                    <a:prstGeom prst="rect">
                      <a:avLst/>
                    </a:prstGeom>
                    <a:noFill/>
                    <a:ln>
                      <a:noFill/>
                    </a:ln>
                  </pic:spPr>
                </pic:pic>
              </a:graphicData>
            </a:graphic>
          </wp:anchor>
        </w:drawing>
      </w:r>
    </w:p>
    <w:p w14:paraId="4A64ADB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28B323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31D348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0871CA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BA02E3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13AB05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53FBE3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A128096">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70AC0B09">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4BB74EF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2023年度一般公共预算财政拨款支出570.13万元，占本年支出合计的100%。与2022年度相比，一般公共预算财政拨款支出增加57.15万元，增长10.02%。主要变动原因是</w:t>
      </w:r>
      <w:r>
        <w:rPr>
          <w:rFonts w:hint="eastAsia" w:ascii="仿宋_GB2312" w:eastAsia="仿宋_GB2312"/>
          <w:color w:val="000000"/>
          <w:sz w:val="32"/>
          <w:szCs w:val="32"/>
        </w:rPr>
        <w:t>2023年宣传经费等其他运转类项目支出增加以及人员工资福利及基础目标绩效经费支出增加</w:t>
      </w:r>
      <w:r>
        <w:rPr>
          <w:rFonts w:hint="eastAsia" w:ascii="仿宋_GB2312" w:hAnsi="仿宋_GB2312" w:eastAsia="仿宋_GB2312"/>
          <w:color w:val="000000"/>
          <w:kern w:val="2"/>
          <w:sz w:val="32"/>
          <w:szCs w:val="24"/>
        </w:rPr>
        <w:t>。</w:t>
      </w:r>
    </w:p>
    <w:p w14:paraId="379E65F2">
      <w:pPr>
        <w:overflowPunct w:val="0"/>
        <w:topLinePunct/>
        <w:spacing w:beforeLines="0" w:afterLines="0"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（图5：一般公共预算财政拨款支出决算变动情况）（柱状图）</w:t>
      </w:r>
    </w:p>
    <w:p w14:paraId="062E42FC">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4384" behindDoc="1" locked="0" layoutInCell="1" allowOverlap="1">
            <wp:simplePos x="0" y="0"/>
            <wp:positionH relativeFrom="column">
              <wp:posOffset>285750</wp:posOffset>
            </wp:positionH>
            <wp:positionV relativeFrom="paragraph">
              <wp:posOffset>66675</wp:posOffset>
            </wp:positionV>
            <wp:extent cx="4838700" cy="2447925"/>
            <wp:effectExtent l="0" t="0" r="0" b="9525"/>
            <wp:wrapTight wrapText="bothSides">
              <wp:wrapPolygon>
                <wp:start x="21592" y="-2"/>
                <wp:lineTo x="0" y="0"/>
                <wp:lineTo x="0" y="21600"/>
                <wp:lineTo x="21592" y="21602"/>
                <wp:lineTo x="8" y="21602"/>
                <wp:lineTo x="21600" y="21600"/>
                <wp:lineTo x="21600" y="0"/>
                <wp:lineTo x="8" y="-2"/>
                <wp:lineTo x="21592" y="-2"/>
              </wp:wrapPolygon>
            </wp:wrapTight>
            <wp:docPr id="6" name="图表 2"/>
            <wp:cNvGraphicFramePr/>
            <a:graphic xmlns:a="http://schemas.openxmlformats.org/drawingml/2006/main">
              <a:graphicData uri="http://schemas.openxmlformats.org/drawingml/2006/picture">
                <pic:pic xmlns:pic="http://schemas.openxmlformats.org/drawingml/2006/picture">
                  <pic:nvPicPr>
                    <pic:cNvPr id="6" name="图表 2"/>
                    <pic:cNvPicPr/>
                  </pic:nvPicPr>
                  <pic:blipFill>
                    <a:blip r:embed="rId12"/>
                    <a:stretch>
                      <a:fillRect/>
                    </a:stretch>
                  </pic:blipFill>
                  <pic:spPr>
                    <a:xfrm>
                      <a:off x="0" y="0"/>
                      <a:ext cx="4838700" cy="2447925"/>
                    </a:xfrm>
                    <a:prstGeom prst="rect">
                      <a:avLst/>
                    </a:prstGeom>
                    <a:noFill/>
                    <a:ln>
                      <a:noFill/>
                    </a:ln>
                  </pic:spPr>
                </pic:pic>
              </a:graphicData>
            </a:graphic>
          </wp:anchor>
        </w:drawing>
      </w:r>
    </w:p>
    <w:p w14:paraId="67D8BE6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19C016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84E940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11BA2C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5C52D3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71A8B8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649443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14AD8F8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2023年度一般公共预算财政拨款支出570.13万元，主要用于以下方面: 一般公共服务支出264.43万元，占46.38%；教育支出229.94万元，占40.33%；文化体育与传媒支出7万元，占1.23%；社会保障和就业支出32.49万元，占5.7%；卫生健康支出12.63万元，占2.22%；住房保障支出23.64万元，占4.15%。</w:t>
      </w:r>
    </w:p>
    <w:p w14:paraId="45965DDC">
      <w:pPr>
        <w:overflowPunct w:val="0"/>
        <w:topLinePunct/>
        <w:spacing w:beforeLines="0" w:afterLines="0" w:line="576" w:lineRule="exact"/>
        <w:jc w:val="center"/>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5408" behindDoc="1" locked="0" layoutInCell="1" allowOverlap="1">
            <wp:simplePos x="0" y="0"/>
            <wp:positionH relativeFrom="column">
              <wp:posOffset>257175</wp:posOffset>
            </wp:positionH>
            <wp:positionV relativeFrom="paragraph">
              <wp:posOffset>515620</wp:posOffset>
            </wp:positionV>
            <wp:extent cx="4838700" cy="2571750"/>
            <wp:effectExtent l="0" t="0" r="0" b="0"/>
            <wp:wrapTight wrapText="bothSides">
              <wp:wrapPolygon>
                <wp:start x="21592" y="-2"/>
                <wp:lineTo x="0" y="0"/>
                <wp:lineTo x="0" y="21600"/>
                <wp:lineTo x="21592" y="21602"/>
                <wp:lineTo x="8" y="21602"/>
                <wp:lineTo x="21600" y="21600"/>
                <wp:lineTo x="21600" y="0"/>
                <wp:lineTo x="8" y="-2"/>
                <wp:lineTo x="21592" y="-2"/>
              </wp:wrapPolygon>
            </wp:wrapTight>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13"/>
                    <a:stretch>
                      <a:fillRect/>
                    </a:stretch>
                  </pic:blipFill>
                  <pic:spPr>
                    <a:xfrm>
                      <a:off x="0" y="0"/>
                      <a:ext cx="4838700" cy="25717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（图6：一般公共预算财政拨款支出决算结构）（饼状图）</w:t>
      </w:r>
    </w:p>
    <w:p w14:paraId="0699C52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EBE254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5B2172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AE2915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2F832E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A64870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5126DF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E6F947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42E4C839">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2023年度一般公共预算支出全年预算数为570.13万元，支出决算数为570.13万元，完成全年预算数的100%。其中：</w:t>
      </w:r>
    </w:p>
    <w:p w14:paraId="6BFC1F3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1.一般公共服务支出（类）宣传事务（款）事业运行（项）:</w:t>
      </w:r>
      <w:r>
        <w:rPr>
          <w:rFonts w:hint="eastAsia" w:ascii="仿宋_GB2312" w:hAnsi="仿宋_GB2312" w:eastAsia="仿宋_GB2312"/>
          <w:color w:val="000000"/>
          <w:kern w:val="2"/>
          <w:sz w:val="32"/>
          <w:szCs w:val="24"/>
        </w:rPr>
        <w:t>全年预算为264.43万元，支出决算为264.43万元，完成全年预算的100%。</w:t>
      </w:r>
    </w:p>
    <w:p w14:paraId="2274402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2.教育支出（类）其他教育支出（款）其他教育支出（项）:</w:t>
      </w:r>
      <w:r>
        <w:rPr>
          <w:rFonts w:hint="eastAsia" w:ascii="仿宋_GB2312" w:hAnsi="仿宋_GB2312" w:eastAsia="仿宋_GB2312"/>
          <w:color w:val="000000"/>
          <w:kern w:val="2"/>
          <w:sz w:val="32"/>
          <w:szCs w:val="24"/>
        </w:rPr>
        <w:t>全年预算为229.94万元，支出决算为229.94万元，完成全年预算的100%。</w:t>
      </w:r>
    </w:p>
    <w:p w14:paraId="3870ED01">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3.文化旅游体育与传媒支出（类）广播电视（款）行政运行（项）:</w:t>
      </w:r>
      <w:r>
        <w:rPr>
          <w:rFonts w:hint="eastAsia" w:ascii="仿宋_GB2312" w:hAnsi="仿宋_GB2312" w:eastAsia="仿宋_GB2312"/>
          <w:color w:val="000000"/>
          <w:kern w:val="2"/>
          <w:sz w:val="32"/>
          <w:szCs w:val="24"/>
        </w:rPr>
        <w:t>全年预算为7万元，支出决算为7万元，完成全年预算的100%。</w:t>
      </w:r>
    </w:p>
    <w:p w14:paraId="7F89088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4.社会保障和就业支出（类）</w:t>
      </w:r>
      <w:r>
        <w:rPr>
          <w:rStyle w:val="14"/>
          <w:rFonts w:hint="eastAsia" w:ascii="仿宋_GB2312" w:hAnsi="Wingdings" w:eastAsia="仿宋_GB2312"/>
          <w:color w:val="000000"/>
          <w:sz w:val="32"/>
          <w:szCs w:val="24"/>
        </w:rPr>
        <w:t>行政事业单位离退休</w:t>
      </w:r>
      <w:r>
        <w:rPr>
          <w:rFonts w:hint="eastAsia" w:ascii="仿宋_GB2312" w:hAnsi="仿宋_GB2312" w:eastAsia="仿宋_GB2312"/>
          <w:b/>
          <w:color w:val="000000"/>
          <w:kern w:val="2"/>
          <w:sz w:val="32"/>
          <w:szCs w:val="24"/>
        </w:rPr>
        <w:t>（款）</w:t>
      </w:r>
      <w:r>
        <w:rPr>
          <w:rStyle w:val="14"/>
          <w:rFonts w:hint="eastAsia" w:ascii="仿宋_GB2312" w:hAnsi="Wingdings" w:eastAsia="仿宋_GB2312"/>
          <w:color w:val="000000"/>
          <w:sz w:val="32"/>
          <w:szCs w:val="24"/>
        </w:rPr>
        <w:t>机关事业单位基本养老保险缴费支出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全年预算为32.49万元，支出决算为32.49万元，完成全年预算的100%。</w:t>
      </w:r>
    </w:p>
    <w:p w14:paraId="26FDD5F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5.卫生健康支出（类）</w:t>
      </w:r>
      <w:r>
        <w:rPr>
          <w:rStyle w:val="14"/>
          <w:rFonts w:hint="eastAsia" w:ascii="仿宋_GB2312" w:hAnsi="Wingdings" w:eastAsia="仿宋_GB2312"/>
          <w:color w:val="000000"/>
          <w:sz w:val="32"/>
          <w:szCs w:val="24"/>
        </w:rPr>
        <w:t>行政事业单位医疗</w:t>
      </w:r>
      <w:r>
        <w:rPr>
          <w:rFonts w:hint="eastAsia" w:ascii="仿宋_GB2312" w:hAnsi="仿宋_GB2312" w:eastAsia="仿宋_GB2312"/>
          <w:b/>
          <w:color w:val="000000"/>
          <w:kern w:val="2"/>
          <w:sz w:val="32"/>
          <w:szCs w:val="24"/>
        </w:rPr>
        <w:t>（款）</w:t>
      </w:r>
      <w:r>
        <w:rPr>
          <w:rStyle w:val="14"/>
          <w:rFonts w:hint="eastAsia" w:ascii="仿宋_GB2312" w:hAnsi="Wingdings" w:eastAsia="仿宋_GB2312"/>
          <w:color w:val="000000"/>
          <w:sz w:val="32"/>
          <w:szCs w:val="24"/>
        </w:rPr>
        <w:t>事业单位医疗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全年预算为12.63万元，支出决算为12.63万元，完成全年预算的100%。</w:t>
      </w:r>
    </w:p>
    <w:p w14:paraId="11A33D3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w:t>
      </w:r>
      <w:r>
        <w:rPr>
          <w:rStyle w:val="14"/>
          <w:rFonts w:hint="eastAsia" w:ascii="仿宋_GB2312" w:hAnsi="Wingdings" w:eastAsia="仿宋_GB2312"/>
          <w:color w:val="000000"/>
          <w:sz w:val="32"/>
          <w:szCs w:val="24"/>
        </w:rPr>
        <w:t>住房保障（类）住房改革支出（款）住房公积金（项）:</w:t>
      </w:r>
      <w:r>
        <w:rPr>
          <w:rFonts w:hint="eastAsia" w:ascii="仿宋_GB2312" w:hAnsi="仿宋_GB2312" w:eastAsia="仿宋_GB2312"/>
          <w:color w:val="000000"/>
          <w:kern w:val="2"/>
          <w:sz w:val="32"/>
          <w:szCs w:val="24"/>
        </w:rPr>
        <w:t>全年预算为23.64万元，支出决算为23.64万元，完成全年预算的100%。</w:t>
      </w:r>
    </w:p>
    <w:p w14:paraId="1AF5A756">
      <w:pPr>
        <w:tabs>
          <w:tab w:val="right" w:pos="8306"/>
        </w:tabs>
        <w:overflowPunct w:val="0"/>
        <w:topLinePunct/>
        <w:spacing w:beforeLines="0" w:afterLines="0"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59E1E33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2023年度一般公共预算财政拨款基本支出570.13万元，其中：</w:t>
      </w:r>
    </w:p>
    <w:p w14:paraId="4C86E2DB">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346.49万元，主要包括：基本工资167.2万元、津贴补贴2.62万元、绩效工资62.41万元、机关事业单位基本养老保险缴费32.49万元、职工基本医疗保险缴费12.63万元、住房公积金23.64万元、其他工资福利支出45.5万元。</w:t>
      </w:r>
    </w:p>
    <w:p w14:paraId="3A9362D1">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223.64万元，主要包括：办公费5.25万元、印刷费2万元、水费1万元、电费1万元、邮电费1万元、物业管理费3万元、差旅费2万元、维修（护）费5万元、租赁费2万元、会议费2万元、培训费2万元、公务接待费1.95万元、专用材料费7万元、劳务费2万元、其他交通费2万元、其他商品和服务支出184.44万元。</w:t>
      </w:r>
    </w:p>
    <w:p w14:paraId="69C6D7D9">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20A2610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0A36A6F2">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2023年度“三公”经费财政拨款支出预算为1.95万元，支出决算为1.95万元，完成预算的100%；较上年增加1.59万元，增长81.53%。决算数与预算数持平的主要原因是2023年宣传工作需要，接待次数较往年增加较大。</w:t>
      </w:r>
    </w:p>
    <w:p w14:paraId="358A77E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010D222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2023年度“三公”经费财政拨款支出决算中，因公出国（境）费支出决算0万元，占0%；公务用车购置及运行维护费支出决算0万元，占0%；公务接待费支出决算1.95万元，占100%。具体情况如下：</w:t>
      </w:r>
    </w:p>
    <w:p w14:paraId="527B0CD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（图7：“三公”经费财政拨款支出结构）（饼状图）</w:t>
      </w:r>
    </w:p>
    <w:p w14:paraId="5E10A276">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1312" behindDoc="1" locked="0" layoutInCell="1" allowOverlap="1">
            <wp:simplePos x="0" y="0"/>
            <wp:positionH relativeFrom="column">
              <wp:posOffset>292100</wp:posOffset>
            </wp:positionH>
            <wp:positionV relativeFrom="paragraph">
              <wp:posOffset>98425</wp:posOffset>
            </wp:positionV>
            <wp:extent cx="4591050" cy="2324735"/>
            <wp:effectExtent l="0" t="0" r="0" b="18415"/>
            <wp:wrapTight wrapText="bothSides">
              <wp:wrapPolygon>
                <wp:start x="21591" y="-2"/>
                <wp:lineTo x="0" y="0"/>
                <wp:lineTo x="0" y="21600"/>
                <wp:lineTo x="21591" y="21602"/>
                <wp:lineTo x="8" y="21602"/>
                <wp:lineTo x="21599" y="21600"/>
                <wp:lineTo x="21599" y="0"/>
                <wp:lineTo x="8" y="-2"/>
                <wp:lineTo x="21591" y="-2"/>
              </wp:wrapPolygon>
            </wp:wrapTight>
            <wp:docPr id="3" name="图表 15"/>
            <wp:cNvGraphicFramePr/>
            <a:graphic xmlns:a="http://schemas.openxmlformats.org/drawingml/2006/main">
              <a:graphicData uri="http://schemas.openxmlformats.org/drawingml/2006/picture">
                <pic:pic xmlns:pic="http://schemas.openxmlformats.org/drawingml/2006/picture">
                  <pic:nvPicPr>
                    <pic:cNvPr id="3" name="图表 15"/>
                    <pic:cNvPicPr/>
                  </pic:nvPicPr>
                  <pic:blipFill>
                    <a:blip r:embed="rId14"/>
                    <a:stretch>
                      <a:fillRect/>
                    </a:stretch>
                  </pic:blipFill>
                  <pic:spPr>
                    <a:xfrm>
                      <a:off x="0" y="0"/>
                      <a:ext cx="4591050" cy="2324735"/>
                    </a:xfrm>
                    <a:prstGeom prst="rect">
                      <a:avLst/>
                    </a:prstGeom>
                    <a:noFill/>
                    <a:ln>
                      <a:noFill/>
                    </a:ln>
                  </pic:spPr>
                </pic:pic>
              </a:graphicData>
            </a:graphic>
          </wp:anchor>
        </w:drawing>
      </w:r>
    </w:p>
    <w:p w14:paraId="31BDA4F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1CD487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886953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BCBA28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6294E3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74A7A5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3FAED78">
      <w:pPr>
        <w:numPr>
          <w:ilvl w:val="0"/>
          <w:numId w:val="0"/>
        </w:num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预算为0万元，年初未安排预算。因公出国（境）支出决算较2022年无变化。</w:t>
      </w:r>
    </w:p>
    <w:p w14:paraId="7221378C">
      <w:pPr>
        <w:spacing w:beforeLines="0" w:afterLines="0" w:line="600" w:lineRule="exact"/>
        <w:ind w:firstLine="640"/>
        <w:rPr>
          <w:rFonts w:hint="eastAsia" w:ascii="仿宋_GB2312" w:eastAsia="仿宋_GB2312"/>
          <w:b/>
          <w:color w:val="auto"/>
          <w:sz w:val="32"/>
          <w:szCs w:val="32"/>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w:t>
      </w:r>
      <w:r>
        <w:rPr>
          <w:rFonts w:hint="eastAsia" w:ascii="仿宋_GB2312" w:eastAsia="仿宋_GB2312"/>
          <w:color w:val="auto"/>
          <w:sz w:val="32"/>
          <w:szCs w:val="32"/>
        </w:rPr>
        <w:t>0万元,</w:t>
      </w:r>
      <w:r>
        <w:rPr>
          <w:rFonts w:hint="eastAsia" w:ascii="仿宋" w:hAnsi="仿宋" w:eastAsia="仿宋"/>
          <w:color w:val="auto"/>
          <w:sz w:val="32"/>
          <w:szCs w:val="32"/>
        </w:rPr>
        <w:t>年初未安排预算</w:t>
      </w:r>
      <w:r>
        <w:rPr>
          <w:rStyle w:val="14"/>
          <w:rFonts w:hint="eastAsia" w:ascii="仿宋" w:hAnsi="仿宋" w:eastAsia="仿宋"/>
          <w:b w:val="0"/>
          <w:color w:val="auto"/>
          <w:sz w:val="32"/>
          <w:szCs w:val="24"/>
        </w:rPr>
        <w:t>。</w:t>
      </w:r>
      <w:r>
        <w:rPr>
          <w:rFonts w:hint="eastAsia" w:ascii="仿宋_GB2312" w:eastAsia="仿宋_GB2312"/>
          <w:color w:val="auto"/>
          <w:sz w:val="32"/>
          <w:szCs w:val="32"/>
        </w:rPr>
        <w:t>公务用车购置及运行维护费支出决算较2022年无变化。</w:t>
      </w:r>
    </w:p>
    <w:p w14:paraId="43D6E71A">
      <w:pPr>
        <w:spacing w:beforeLines="0" w:afterLines="0"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rPr>
        <w:t>0万元。</w:t>
      </w:r>
      <w:r>
        <w:rPr>
          <w:rFonts w:hint="eastAsia" w:ascii="仿宋_GB2312" w:eastAsia="仿宋_GB2312"/>
          <w:b/>
          <w:color w:val="auto"/>
          <w:sz w:val="32"/>
          <w:szCs w:val="32"/>
        </w:rPr>
        <w:t>公务用车运行维护费支出</w:t>
      </w:r>
      <w:r>
        <w:rPr>
          <w:rFonts w:hint="eastAsia" w:ascii="仿宋_GB2312" w:eastAsia="仿宋_GB2312"/>
          <w:color w:val="auto"/>
          <w:sz w:val="32"/>
          <w:szCs w:val="32"/>
        </w:rPr>
        <w:t>0万元。</w:t>
      </w:r>
    </w:p>
    <w:p w14:paraId="776B2424">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预算为1.95万元，支出决算为1.95万元，完成预算的100%。公务接待费支出决算比2022年度增加1.59万元，增长81.53%。主要原因是2023宣传工作需要，接待次数较往年增加较大。其中：</w:t>
      </w:r>
    </w:p>
    <w:p w14:paraId="5F7A29F2">
      <w:pPr>
        <w:spacing w:beforeLines="0" w:afterLines="0" w:line="600" w:lineRule="exact"/>
        <w:ind w:firstLine="640"/>
        <w:rPr>
          <w:rFonts w:hint="eastAsia" w:ascii="仿宋_GB2312" w:eastAsia="仿宋_GB2312"/>
          <w:color w:val="000000"/>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rPr>
        <w:t>1.95</w:t>
      </w:r>
      <w:r>
        <w:rPr>
          <w:rFonts w:hint="eastAsia" w:ascii="仿宋_GB2312" w:eastAsia="仿宋_GB2312"/>
          <w:color w:val="auto"/>
          <w:sz w:val="32"/>
          <w:szCs w:val="32"/>
        </w:rPr>
        <w:t>万元，</w:t>
      </w:r>
      <w:r>
        <w:rPr>
          <w:rFonts w:hint="eastAsia" w:ascii="仿宋_GB2312" w:eastAsia="仿宋_GB2312"/>
          <w:color w:val="000000"/>
          <w:sz w:val="32"/>
          <w:szCs w:val="32"/>
        </w:rPr>
        <w:t>主要用于宣传、采访、培训活动开支的交通费、住宿费、用餐费等。国内公务接待12批次，47人，共计支出1.95万元，具体内容包括：与中央、省、市电视台，区内各乡镇，区级部分机关单位联系工作接待；开办栏目、区融媒体中心接待调研、专题片及创优审核、区内两会等工作接待。</w:t>
      </w:r>
    </w:p>
    <w:p w14:paraId="6721FA13">
      <w:pPr>
        <w:spacing w:beforeLines="0" w:afterLines="0" w:line="600" w:lineRule="exact"/>
        <w:ind w:firstLine="643" w:firstLineChars="200"/>
        <w:rPr>
          <w:rFonts w:hint="eastAsia" w:ascii="仿宋_GB2312" w:eastAsia="仿宋_GB2312"/>
          <w:color w:val="auto"/>
          <w:sz w:val="32"/>
          <w:szCs w:val="32"/>
        </w:rPr>
      </w:pPr>
      <w:r>
        <w:rPr>
          <w:rFonts w:hint="eastAsia" w:ascii="仿宋" w:hAnsi="仿宋" w:eastAsia="仿宋"/>
          <w:b/>
          <w:color w:val="auto"/>
          <w:sz w:val="32"/>
          <w:szCs w:val="32"/>
        </w:rPr>
        <w:t>外事接待支出</w:t>
      </w:r>
      <w:r>
        <w:rPr>
          <w:rFonts w:hint="eastAsia" w:ascii="仿宋" w:hAnsi="仿宋" w:eastAsia="仿宋"/>
          <w:color w:val="auto"/>
          <w:sz w:val="32"/>
          <w:szCs w:val="32"/>
        </w:rPr>
        <w:t>0</w:t>
      </w:r>
      <w:r>
        <w:rPr>
          <w:rFonts w:hint="eastAsia" w:ascii="仿宋_GB2312" w:eastAsia="仿宋_GB2312"/>
          <w:color w:val="auto"/>
          <w:sz w:val="32"/>
          <w:szCs w:val="32"/>
        </w:rPr>
        <w:t>万元，较2022年无变化。</w:t>
      </w:r>
    </w:p>
    <w:p w14:paraId="3F38D024">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5D77956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2023年政府性基金预算拨款支出0万元。</w:t>
      </w:r>
    </w:p>
    <w:p w14:paraId="3DA09949">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49BD194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3921C5B5">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149C1A43">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0DA297F8">
      <w:pPr>
        <w:overflowPunct w:val="0"/>
        <w:topLinePunct/>
        <w:spacing w:beforeLines="0" w:afterLines="0" w:line="576" w:lineRule="exact"/>
        <w:ind w:firstLine="640" w:firstLineChars="200"/>
        <w:jc w:val="both"/>
        <w:rPr>
          <w:rFonts w:hint="eastAsia" w:ascii="仿宋_GB2312" w:hAnsi="仿宋_GB2312" w:eastAsia="仿宋_GB2312"/>
          <w:i/>
          <w:color w:val="000000"/>
          <w:kern w:val="2"/>
          <w:sz w:val="32"/>
          <w:szCs w:val="24"/>
        </w:rPr>
      </w:pPr>
      <w:r>
        <w:rPr>
          <w:rFonts w:hint="eastAsia" w:ascii="仿宋_GB2312" w:eastAsia="仿宋_GB2312"/>
          <w:color w:val="auto"/>
          <w:sz w:val="32"/>
          <w:szCs w:val="32"/>
        </w:rPr>
        <w:t>昭化区融媒体中心</w:t>
      </w:r>
      <w:r>
        <w:rPr>
          <w:rFonts w:hint="eastAsia" w:ascii="仿宋_GB2312" w:hAnsi="仿宋_GB2312" w:eastAsia="仿宋_GB2312"/>
          <w:color w:val="000000"/>
          <w:kern w:val="2"/>
          <w:sz w:val="32"/>
          <w:szCs w:val="24"/>
        </w:rPr>
        <w:t>属于财政补助的事业单位，2023年未发生机关运行经费，与2022年决算数持平。</w:t>
      </w:r>
    </w:p>
    <w:p w14:paraId="6548414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31E49E5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eastAsia="仿宋_GB2312"/>
          <w:color w:val="auto"/>
          <w:sz w:val="32"/>
          <w:szCs w:val="32"/>
        </w:rPr>
        <w:t>昭化区融媒体中心</w:t>
      </w:r>
      <w:r>
        <w:rPr>
          <w:rFonts w:hint="eastAsia" w:ascii="仿宋_GB2312" w:hAnsi="仿宋_GB2312" w:eastAsia="仿宋_GB2312"/>
          <w:color w:val="000000"/>
          <w:kern w:val="2"/>
          <w:sz w:val="32"/>
          <w:szCs w:val="24"/>
        </w:rPr>
        <w:t>未发生政府采购支出。</w:t>
      </w:r>
    </w:p>
    <w:p w14:paraId="3B552478">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378A8BDB">
      <w:pPr>
        <w:spacing w:beforeLines="0" w:afterLines="0" w:line="600" w:lineRule="exact"/>
        <w:ind w:firstLine="640" w:firstLineChars="200"/>
        <w:rPr>
          <w:rFonts w:hint="eastAsia" w:ascii="仿宋_GB2312" w:eastAsia="仿宋_GB2312"/>
          <w:color w:val="000000"/>
          <w:sz w:val="32"/>
          <w:szCs w:val="32"/>
        </w:rPr>
      </w:pPr>
      <w:r>
        <w:rPr>
          <w:rFonts w:hint="eastAsia" w:ascii="仿宋_GB2312" w:eastAsia="仿宋_GB2312"/>
          <w:color w:val="auto"/>
          <w:sz w:val="32"/>
          <w:szCs w:val="32"/>
        </w:rPr>
        <w:t>截至2023年12月31日，</w:t>
      </w:r>
      <w:r>
        <w:rPr>
          <w:rFonts w:hint="eastAsia" w:ascii="仿宋_GB2312" w:eastAsia="仿宋_GB2312"/>
          <w:color w:val="333333"/>
          <w:sz w:val="32"/>
          <w:szCs w:val="32"/>
        </w:rPr>
        <w:t>区融媒体中心</w:t>
      </w:r>
      <w:r>
        <w:rPr>
          <w:rFonts w:hint="eastAsia" w:ascii="仿宋_GB2312" w:eastAsia="仿宋_GB2312"/>
          <w:color w:val="000000"/>
          <w:sz w:val="32"/>
          <w:szCs w:val="32"/>
        </w:rPr>
        <w:t>共有其他车辆1辆（原区电影公司面包车），曾被</w:t>
      </w:r>
      <w:r>
        <w:rPr>
          <w:rFonts w:hint="eastAsia" w:ascii="仿宋_GB2312" w:eastAsia="仿宋_GB2312"/>
          <w:color w:val="333333"/>
          <w:sz w:val="32"/>
          <w:szCs w:val="32"/>
        </w:rPr>
        <w:t>区融媒体中心</w:t>
      </w:r>
      <w:r>
        <w:rPr>
          <w:rFonts w:hint="eastAsia" w:ascii="仿宋_GB2312" w:eastAsia="仿宋_GB2312"/>
          <w:color w:val="000000"/>
          <w:sz w:val="32"/>
          <w:szCs w:val="32"/>
        </w:rPr>
        <w:t>用作新闻采访车，车辆因发动机损坏处于停运状态，经向区政府报告同意后，目前正在走报废流程。</w:t>
      </w:r>
    </w:p>
    <w:p w14:paraId="75ABADFF">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0850D91F">
      <w:pPr>
        <w:overflowPunct w:val="0"/>
        <w:topLinePunct/>
        <w:spacing w:beforeLines="0" w:afterLines="0"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聘用人员政府购买服务项目等6个项目开展了预算事前绩效评估，对6个项目编制了绩效目标，预算执行过程中，选取6个项目开展绩效监控，组织对6个项目开展绩效评价，绩效自评报表见第四部分附件。</w:t>
      </w:r>
    </w:p>
    <w:p w14:paraId="353C3BC9">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77EAE05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6726D86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62FAA59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7155326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09073621">
      <w:pPr>
        <w:pStyle w:val="15"/>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3CB2416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368197E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64AADC1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3CE2CF4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九、一般公共服务支出（类）宣传事务（款）事业运行（项）：指事业单位的基本支出，不包括行政单位后勤服务中心、医务室等附属事业单位。</w:t>
      </w:r>
    </w:p>
    <w:p w14:paraId="3D2E87C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十、教育支出（类）其他教育支出（款）其他教育支出（项）：指农村中小学教学设施、城市中小学校舍建设及教学设施、中等职业学校教学设施、其他教育费附加安排的支出以外的其他用于教育方面的支出。</w:t>
      </w:r>
    </w:p>
    <w:p w14:paraId="130C766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w:t>
      </w:r>
      <w:r>
        <w:rPr>
          <w:rStyle w:val="14"/>
          <w:rFonts w:hint="eastAsia" w:ascii="仿宋" w:hAnsi="仿宋" w:eastAsia="仿宋"/>
          <w:b w:val="0"/>
          <w:color w:val="000000"/>
          <w:sz w:val="32"/>
          <w:szCs w:val="24"/>
        </w:rPr>
        <w:t>文化体育与传媒（类）</w:t>
      </w:r>
      <w:r>
        <w:rPr>
          <w:rStyle w:val="14"/>
          <w:rFonts w:hint="eastAsia" w:ascii="仿宋_GB2312" w:hAnsi="Wingdings" w:eastAsia="仿宋_GB2312"/>
          <w:b w:val="0"/>
          <w:color w:val="000000"/>
          <w:sz w:val="32"/>
          <w:szCs w:val="24"/>
        </w:rPr>
        <w:t>新闻出版广播影视</w:t>
      </w:r>
      <w:r>
        <w:rPr>
          <w:rStyle w:val="14"/>
          <w:rFonts w:hint="eastAsia" w:ascii="仿宋" w:hAnsi="仿宋" w:eastAsia="仿宋"/>
          <w:b w:val="0"/>
          <w:color w:val="000000"/>
          <w:sz w:val="32"/>
          <w:szCs w:val="24"/>
        </w:rPr>
        <w:t>（款）</w:t>
      </w:r>
      <w:r>
        <w:rPr>
          <w:rStyle w:val="14"/>
          <w:rFonts w:hint="eastAsia" w:ascii="仿宋_GB2312" w:hAnsi="Wingdings" w:eastAsia="仿宋_GB2312"/>
          <w:b w:val="0"/>
          <w:color w:val="000000"/>
          <w:sz w:val="32"/>
          <w:szCs w:val="24"/>
        </w:rPr>
        <w:t>行政运行</w:t>
      </w:r>
      <w:r>
        <w:rPr>
          <w:rStyle w:val="14"/>
          <w:rFonts w:hint="eastAsia" w:ascii="仿宋" w:hAnsi="仿宋" w:eastAsia="仿宋"/>
          <w:b w:val="0"/>
          <w:color w:val="000000"/>
          <w:sz w:val="32"/>
          <w:szCs w:val="24"/>
        </w:rPr>
        <w:t>（项）: 指行政单位（包括实行公务员管理的事业单位）的基本支出。</w:t>
      </w:r>
    </w:p>
    <w:p w14:paraId="1B5490E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w:t>
      </w:r>
      <w:r>
        <w:rPr>
          <w:rStyle w:val="14"/>
          <w:rFonts w:hint="eastAsia" w:ascii="仿宋_GB2312" w:hAnsi="Wingdings" w:eastAsia="仿宋_GB2312"/>
          <w:b w:val="0"/>
          <w:color w:val="000000"/>
          <w:sz w:val="32"/>
          <w:szCs w:val="24"/>
        </w:rPr>
        <w:t>社会保障和就业（类）行政事业单位离退休（款）机关事业单位基本养老保险缴费支出（项）:</w:t>
      </w:r>
      <w:r>
        <w:rPr>
          <w:rFonts w:hint="eastAsia" w:ascii="仿宋_GB2312" w:hAnsi="Calibri" w:eastAsia="仿宋_GB2312" w:cs="仿宋"/>
          <w:color w:val="000000"/>
          <w:sz w:val="32"/>
          <w:szCs w:val="32"/>
        </w:rPr>
        <w:t>指用于机关事业单位实施养老保险制度由单位缴纳的基本养老保险费支出</w:t>
      </w:r>
      <w:r>
        <w:rPr>
          <w:rFonts w:hint="eastAsia" w:ascii="仿宋_GB2312" w:hAnsi="仿宋_GB2312" w:eastAsia="仿宋_GB2312"/>
          <w:color w:val="000000"/>
          <w:kern w:val="2"/>
          <w:sz w:val="32"/>
          <w:szCs w:val="24"/>
        </w:rPr>
        <w:t>。</w:t>
      </w:r>
    </w:p>
    <w:p w14:paraId="43C303D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w:t>
      </w:r>
      <w:r>
        <w:rPr>
          <w:rStyle w:val="14"/>
          <w:rFonts w:hint="eastAsia" w:ascii="仿宋_GB2312" w:hAnsi="Wingdings" w:eastAsia="仿宋_GB2312"/>
          <w:b w:val="0"/>
          <w:color w:val="000000"/>
          <w:sz w:val="32"/>
          <w:szCs w:val="24"/>
        </w:rPr>
        <w:t>医疗卫生与计划生育（类）医疗保障（款）事业单位医疗（项）:</w:t>
      </w:r>
      <w:r>
        <w:rPr>
          <w:rFonts w:hint="eastAsia" w:ascii="仿宋_GB2312" w:hAnsi="Calibri" w:eastAsia="仿宋_GB2312" w:cs="仿宋"/>
          <w:color w:val="000000"/>
          <w:sz w:val="32"/>
          <w:szCs w:val="32"/>
        </w:rPr>
        <w:t>指财政部门集中安排的事业单位基本医疗保险缴费经费</w:t>
      </w:r>
      <w:r>
        <w:rPr>
          <w:rFonts w:hint="eastAsia" w:ascii="仿宋_GB2312" w:hAnsi="仿宋_GB2312" w:eastAsia="仿宋_GB2312"/>
          <w:color w:val="000000"/>
          <w:kern w:val="2"/>
          <w:sz w:val="32"/>
          <w:szCs w:val="24"/>
        </w:rPr>
        <w:t>。</w:t>
      </w:r>
    </w:p>
    <w:p w14:paraId="0502EE0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w:t>
      </w:r>
      <w:r>
        <w:rPr>
          <w:rStyle w:val="14"/>
          <w:rFonts w:hint="eastAsia" w:ascii="仿宋_GB2312" w:hAnsi="Wingdings" w:eastAsia="仿宋_GB2312"/>
          <w:b w:val="0"/>
          <w:color w:val="000000"/>
          <w:sz w:val="32"/>
          <w:szCs w:val="24"/>
        </w:rPr>
        <w:t>住房保障（类）住房改革支出（款）住房公积金（项）:指行政事业单位按人力资源和社会保障部、财政部规定的基本工资和津贴补贴以及规定比例为职工缴纳的住房公积金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0874B8E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十五、基本支出：指为保障机构正常运转、完成日常工作任务而发生的人员支出和公用支出。</w:t>
      </w:r>
    </w:p>
    <w:p w14:paraId="518A65C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十六、项目支出：指在基本支出之外为完成特定行政任务和事业发展目标所发生的支出。 </w:t>
      </w:r>
    </w:p>
    <w:p w14:paraId="7A5DF69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十七、经营支出：指事业单位在专业业务活动及其辅助活动之外开展非独立核算经营活动发生的支出。</w:t>
      </w:r>
    </w:p>
    <w:p w14:paraId="4C93DB3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2461CC">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355670A2">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7E07DD1F">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5F6D8FE0">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3627EE21">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7D37D0A9">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sectPr>
          <w:footerReference r:id="rId6" w:type="default"/>
          <w:pgSz w:w="12240" w:h="15840"/>
          <w:pgMar w:top="1440" w:right="1800" w:bottom="1440" w:left="1800" w:header="720" w:footer="720" w:gutter="0"/>
          <w:lnNumType w:countBy="0" w:distance="360"/>
          <w:cols w:space="720" w:num="1"/>
        </w:sectPr>
      </w:pPr>
    </w:p>
    <w:p w14:paraId="68DB34CB">
      <w:pPr>
        <w:overflowPunct w:val="0"/>
        <w:topLinePunct/>
        <w:spacing w:beforeLines="0" w:afterLines="0" w:line="576" w:lineRule="exact"/>
        <w:jc w:val="center"/>
        <w:rPr>
          <w:rFonts w:hint="eastAsia" w:ascii="黑体" w:hAnsi="黑体" w:eastAsia="黑体"/>
          <w:color w:val="000000"/>
          <w:kern w:val="2"/>
          <w:sz w:val="44"/>
          <w:szCs w:val="24"/>
        </w:rPr>
      </w:pPr>
      <w:r>
        <w:rPr>
          <w:rFonts w:hint="eastAsia" w:ascii="黑体" w:hAnsi="黑体" w:eastAsia="黑体"/>
          <w:color w:val="000000"/>
          <w:kern w:val="2"/>
          <w:sz w:val="44"/>
          <w:szCs w:val="24"/>
        </w:rPr>
        <w:t>第四部分 附件</w:t>
      </w:r>
    </w:p>
    <w:p w14:paraId="7BA46779">
      <w:pPr>
        <w:pStyle w:val="2"/>
        <w:spacing w:before="72" w:afterLines="0"/>
        <w:rPr>
          <w:rFonts w:hint="eastAsia"/>
          <w:sz w:val="30"/>
          <w:szCs w:val="24"/>
        </w:rPr>
      </w:pPr>
    </w:p>
    <w:p w14:paraId="534F6F40">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部门预算项目支出绩效自评表（2023年度）</w:t>
      </w:r>
    </w:p>
    <w:p w14:paraId="3830F8D2">
      <w:pPr>
        <w:pStyle w:val="2"/>
        <w:spacing w:before="72" w:afterLines="0"/>
        <w:rPr>
          <w:rFonts w:hint="eastAsia" w:hAnsi="仿宋_GB2312"/>
          <w:kern w:val="2"/>
          <w:sz w:val="32"/>
          <w:szCs w:val="24"/>
          <w:highlight w:val="yellow"/>
        </w:rPr>
      </w:pPr>
    </w:p>
    <w:p w14:paraId="4B7DB8C0">
      <w:pPr>
        <w:pStyle w:val="2"/>
        <w:spacing w:before="72" w:afterLines="0"/>
        <w:rPr>
          <w:rFonts w:hint="eastAsia" w:hAnsi="仿宋_GB2312"/>
          <w:kern w:val="2"/>
          <w:sz w:val="32"/>
          <w:szCs w:val="24"/>
          <w:highlight w:val="yellow"/>
        </w:rPr>
      </w:pPr>
    </w:p>
    <w:p w14:paraId="1768C792">
      <w:pPr>
        <w:pStyle w:val="2"/>
        <w:spacing w:before="72" w:afterLines="0"/>
        <w:rPr>
          <w:rFonts w:hint="eastAsia" w:hAnsi="仿宋_GB2312"/>
          <w:kern w:val="2"/>
          <w:sz w:val="32"/>
          <w:szCs w:val="24"/>
          <w:highlight w:val="yellow"/>
        </w:rPr>
      </w:pPr>
    </w:p>
    <w:p w14:paraId="6B34618E">
      <w:pPr>
        <w:pStyle w:val="2"/>
        <w:spacing w:before="72" w:afterLines="0"/>
        <w:rPr>
          <w:rFonts w:hint="eastAsia" w:hAnsi="仿宋_GB2312"/>
          <w:kern w:val="2"/>
          <w:sz w:val="32"/>
          <w:szCs w:val="24"/>
          <w:highlight w:val="yellow"/>
        </w:rPr>
      </w:pPr>
    </w:p>
    <w:p w14:paraId="206DDF22">
      <w:pPr>
        <w:pStyle w:val="2"/>
        <w:spacing w:before="72" w:afterLines="0"/>
        <w:rPr>
          <w:rFonts w:hint="eastAsia" w:hAnsi="仿宋_GB2312"/>
          <w:kern w:val="2"/>
          <w:sz w:val="32"/>
          <w:szCs w:val="24"/>
          <w:highlight w:val="yellow"/>
        </w:rPr>
      </w:pPr>
    </w:p>
    <w:p w14:paraId="52A95C2A">
      <w:pPr>
        <w:pStyle w:val="2"/>
        <w:spacing w:before="72" w:afterLines="0"/>
        <w:rPr>
          <w:rFonts w:hint="eastAsia" w:hAnsi="仿宋_GB2312"/>
          <w:kern w:val="2"/>
          <w:sz w:val="32"/>
          <w:szCs w:val="24"/>
          <w:highlight w:val="yellow"/>
        </w:rPr>
      </w:pPr>
    </w:p>
    <w:p w14:paraId="7ED37B1F">
      <w:pPr>
        <w:pStyle w:val="2"/>
        <w:spacing w:before="72" w:afterLines="0"/>
        <w:rPr>
          <w:rFonts w:hint="eastAsia" w:hAnsi="仿宋_GB2312"/>
          <w:kern w:val="2"/>
          <w:sz w:val="32"/>
          <w:szCs w:val="24"/>
          <w:highlight w:val="yellow"/>
        </w:rPr>
      </w:pPr>
    </w:p>
    <w:p w14:paraId="2040136D">
      <w:pPr>
        <w:pStyle w:val="2"/>
        <w:spacing w:before="72" w:afterLines="0"/>
        <w:rPr>
          <w:rFonts w:hint="eastAsia" w:hAnsi="仿宋_GB2312"/>
          <w:kern w:val="2"/>
          <w:sz w:val="32"/>
          <w:szCs w:val="24"/>
          <w:highlight w:val="yellow"/>
        </w:rPr>
      </w:pPr>
    </w:p>
    <w:p w14:paraId="2A233A05">
      <w:pPr>
        <w:pStyle w:val="2"/>
        <w:spacing w:before="72" w:afterLines="0"/>
        <w:rPr>
          <w:rFonts w:hint="eastAsia" w:hAnsi="仿宋_GB2312"/>
          <w:kern w:val="2"/>
          <w:sz w:val="32"/>
          <w:szCs w:val="24"/>
          <w:highlight w:val="yellow"/>
        </w:rPr>
      </w:pPr>
    </w:p>
    <w:p w14:paraId="36AB4A70">
      <w:pPr>
        <w:pStyle w:val="2"/>
        <w:spacing w:before="72" w:afterLines="0"/>
        <w:rPr>
          <w:rFonts w:hint="eastAsia" w:hAnsi="仿宋_GB2312"/>
          <w:kern w:val="2"/>
          <w:sz w:val="32"/>
          <w:szCs w:val="24"/>
          <w:highlight w:val="yellow"/>
        </w:rPr>
      </w:pPr>
    </w:p>
    <w:p w14:paraId="2BB0E61F">
      <w:pPr>
        <w:pStyle w:val="2"/>
        <w:spacing w:before="72" w:afterLines="0"/>
        <w:rPr>
          <w:rFonts w:hint="eastAsia" w:hAnsi="仿宋_GB2312"/>
          <w:kern w:val="2"/>
          <w:sz w:val="32"/>
          <w:szCs w:val="24"/>
          <w:highlight w:val="yellow"/>
        </w:rPr>
      </w:pPr>
    </w:p>
    <w:p w14:paraId="73B09FA3">
      <w:pPr>
        <w:pStyle w:val="2"/>
        <w:spacing w:before="72" w:afterLines="0"/>
        <w:rPr>
          <w:rFonts w:hint="eastAsia" w:hAnsi="仿宋_GB2312"/>
          <w:kern w:val="2"/>
          <w:sz w:val="32"/>
          <w:szCs w:val="24"/>
          <w:highlight w:val="yellow"/>
        </w:rPr>
      </w:pPr>
    </w:p>
    <w:p w14:paraId="0147BD4D">
      <w:pPr>
        <w:pStyle w:val="2"/>
        <w:spacing w:before="72" w:afterLines="0"/>
        <w:rPr>
          <w:rFonts w:hint="eastAsia" w:hAnsi="仿宋_GB2312"/>
          <w:kern w:val="2"/>
          <w:sz w:val="32"/>
          <w:szCs w:val="24"/>
          <w:highlight w:val="yellow"/>
        </w:rPr>
      </w:pPr>
    </w:p>
    <w:p w14:paraId="393B0D0B">
      <w:pPr>
        <w:pStyle w:val="2"/>
        <w:spacing w:before="72" w:afterLines="0"/>
        <w:rPr>
          <w:rFonts w:hint="eastAsia" w:hAnsi="仿宋_GB2312"/>
          <w:kern w:val="2"/>
          <w:sz w:val="32"/>
          <w:szCs w:val="24"/>
          <w:highlight w:val="yellow"/>
        </w:rPr>
      </w:pPr>
    </w:p>
    <w:p w14:paraId="08D03B0F">
      <w:pPr>
        <w:pStyle w:val="2"/>
        <w:spacing w:before="72" w:afterLines="0"/>
        <w:rPr>
          <w:rFonts w:hint="eastAsia" w:hAnsi="仿宋_GB2312"/>
          <w:kern w:val="2"/>
          <w:sz w:val="32"/>
          <w:szCs w:val="24"/>
          <w:highlight w:val="yellow"/>
        </w:rPr>
      </w:pPr>
    </w:p>
    <w:p w14:paraId="17310F8D">
      <w:pPr>
        <w:pStyle w:val="2"/>
        <w:spacing w:before="72" w:afterLines="0"/>
        <w:rPr>
          <w:rFonts w:hint="eastAsia" w:hAnsi="仿宋_GB2312"/>
          <w:kern w:val="2"/>
          <w:sz w:val="32"/>
          <w:szCs w:val="24"/>
          <w:highlight w:val="yellow"/>
        </w:rPr>
      </w:pPr>
    </w:p>
    <w:p w14:paraId="5AD40B8F">
      <w:pPr>
        <w:pStyle w:val="2"/>
        <w:spacing w:before="72" w:afterLines="0"/>
        <w:rPr>
          <w:rFonts w:hint="eastAsia" w:hAnsi="仿宋_GB2312"/>
          <w:kern w:val="2"/>
          <w:sz w:val="32"/>
          <w:szCs w:val="24"/>
          <w:highlight w:val="yellow"/>
        </w:rPr>
      </w:pPr>
    </w:p>
    <w:p w14:paraId="4BA5CEF5">
      <w:pPr>
        <w:pStyle w:val="2"/>
        <w:spacing w:before="72" w:afterLines="0"/>
        <w:rPr>
          <w:rFonts w:hint="eastAsia" w:hAnsi="仿宋_GB2312"/>
          <w:kern w:val="2"/>
          <w:sz w:val="32"/>
          <w:szCs w:val="24"/>
          <w:highlight w:val="yellow"/>
        </w:rPr>
      </w:pPr>
    </w:p>
    <w:p w14:paraId="0EC60CB0">
      <w:pPr>
        <w:pStyle w:val="2"/>
        <w:spacing w:before="72" w:afterLines="0"/>
        <w:rPr>
          <w:rFonts w:hint="eastAsia" w:hAnsi="仿宋_GB2312"/>
          <w:kern w:val="2"/>
          <w:sz w:val="32"/>
          <w:szCs w:val="24"/>
          <w:highlight w:val="yellow"/>
        </w:rPr>
      </w:pPr>
    </w:p>
    <w:p w14:paraId="25C3208A">
      <w:pPr>
        <w:pStyle w:val="2"/>
        <w:spacing w:before="72" w:afterLines="0"/>
        <w:rPr>
          <w:rFonts w:hint="eastAsia" w:hAnsi="仿宋_GB2312"/>
          <w:kern w:val="2"/>
          <w:sz w:val="32"/>
          <w:szCs w:val="24"/>
          <w:highlight w:val="yellow"/>
        </w:rPr>
      </w:pPr>
    </w:p>
    <w:p w14:paraId="2650B2C7">
      <w:pPr>
        <w:pStyle w:val="2"/>
        <w:spacing w:before="72" w:afterLines="0"/>
        <w:rPr>
          <w:rFonts w:hint="eastAsia" w:hAnsi="仿宋_GB2312"/>
          <w:kern w:val="2"/>
          <w:sz w:val="32"/>
          <w:szCs w:val="24"/>
          <w:highlight w:val="yellow"/>
        </w:rPr>
      </w:pPr>
    </w:p>
    <w:p w14:paraId="015758A3">
      <w:pPr>
        <w:pStyle w:val="2"/>
        <w:spacing w:before="72" w:afterLines="0"/>
        <w:rPr>
          <w:rFonts w:hint="eastAsia" w:hAnsi="仿宋_GB2312"/>
          <w:kern w:val="2"/>
          <w:sz w:val="32"/>
          <w:szCs w:val="24"/>
          <w:highlight w:val="yellow"/>
        </w:rPr>
      </w:pPr>
    </w:p>
    <w:p w14:paraId="4423AABB">
      <w:pPr>
        <w:pStyle w:val="2"/>
        <w:spacing w:before="72" w:afterLines="0"/>
        <w:rPr>
          <w:rFonts w:hint="eastAsia" w:hAnsi="仿宋_GB2312"/>
          <w:kern w:val="2"/>
          <w:sz w:val="32"/>
          <w:szCs w:val="24"/>
          <w:highlight w:val="yellow"/>
        </w:rPr>
      </w:pPr>
    </w:p>
    <w:p w14:paraId="49CD8FE6">
      <w:pPr>
        <w:pStyle w:val="2"/>
        <w:spacing w:before="72" w:afterLines="0"/>
        <w:rPr>
          <w:rFonts w:hint="eastAsia" w:hAnsi="仿宋_GB2312"/>
          <w:kern w:val="2"/>
          <w:sz w:val="32"/>
          <w:szCs w:val="24"/>
        </w:rPr>
      </w:pPr>
      <w:r>
        <w:rPr>
          <w:rFonts w:hint="eastAsia" w:hAnsi="仿宋_GB2312"/>
          <w:kern w:val="2"/>
          <w:sz w:val="32"/>
          <w:szCs w:val="24"/>
        </w:rPr>
        <w:t>附件1</w:t>
      </w:r>
    </w:p>
    <w:tbl>
      <w:tblPr>
        <w:tblStyle w:val="12"/>
        <w:tblW w:w="9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4"/>
        <w:gridCol w:w="1035"/>
        <w:gridCol w:w="1034"/>
        <w:gridCol w:w="1035"/>
        <w:gridCol w:w="1116"/>
        <w:gridCol w:w="955"/>
        <w:gridCol w:w="955"/>
        <w:gridCol w:w="2176"/>
      </w:tblGrid>
      <w:tr w14:paraId="39B4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5" w:hRule="atLeast"/>
        </w:trPr>
        <w:tc>
          <w:tcPr>
            <w:tcW w:w="9340" w:type="dxa"/>
            <w:gridSpan w:val="8"/>
            <w:tcBorders>
              <w:top w:val="nil"/>
              <w:left w:val="nil"/>
              <w:bottom w:val="nil"/>
              <w:right w:val="nil"/>
              <w:tl2br w:val="nil"/>
              <w:tr2bl w:val="nil"/>
            </w:tcBorders>
            <w:noWrap w:val="0"/>
            <w:vAlign w:val="center"/>
          </w:tcPr>
          <w:p w14:paraId="22266CA2">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3A32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7" w:hRule="atLeast"/>
        </w:trPr>
        <w:tc>
          <w:tcPr>
            <w:tcW w:w="9340" w:type="dxa"/>
            <w:gridSpan w:val="8"/>
            <w:tcBorders>
              <w:top w:val="nil"/>
              <w:left w:val="nil"/>
              <w:bottom w:val="nil"/>
              <w:right w:val="nil"/>
              <w:tl2br w:val="nil"/>
              <w:tr2bl w:val="nil"/>
            </w:tcBorders>
            <w:noWrap w:val="0"/>
            <w:vAlign w:val="top"/>
          </w:tcPr>
          <w:p w14:paraId="285B42E0">
            <w:pPr>
              <w:widowControl/>
              <w:spacing w:beforeLines="0" w:afterLines="0"/>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1067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F426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27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5D597">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门户网站维护及新媒体开发经费</w:t>
            </w:r>
          </w:p>
        </w:tc>
      </w:tr>
      <w:tr w14:paraId="5549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CC09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18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B4B09">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中共昭化区委宣传部</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1DFB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1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3D222">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广元市昭化区融媒体中心</w:t>
            </w:r>
          </w:p>
        </w:tc>
      </w:tr>
      <w:tr w14:paraId="00FA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trPr>
        <w:tc>
          <w:tcPr>
            <w:tcW w:w="2069"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E9EA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414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A5F8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F747D">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54A6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5806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42BBB">
            <w:pPr>
              <w:spacing w:beforeLines="0" w:afterLines="0"/>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2D17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4BAC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95BF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6F17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27E0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45109">
            <w:pPr>
              <w:spacing w:beforeLines="0" w:afterLines="0"/>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5030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582A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E108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32E3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3EA9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54F25">
            <w:pPr>
              <w:spacing w:beforeLines="0" w:afterLines="0"/>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890D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20D5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4138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96D5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4244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6A45A">
            <w:pPr>
              <w:spacing w:beforeLines="0" w:afterLines="0"/>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1993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2E31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C87A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67B5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0EE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0E5AC">
            <w:pPr>
              <w:spacing w:beforeLines="0" w:afterLines="0"/>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D6A7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5395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8CAE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324E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B51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41B6D">
            <w:pPr>
              <w:spacing w:beforeLines="0" w:afterLines="0"/>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7088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15F9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29D0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F10D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42A0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206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BB629">
            <w:pPr>
              <w:spacing w:beforeLines="0" w:afterLines="0"/>
              <w:jc w:val="center"/>
              <w:rPr>
                <w:rFonts w:hint="eastAsia" w:ascii="宋体" w:hAnsi="宋体" w:cs="宋体"/>
                <w:color w:val="000000"/>
                <w:sz w:val="18"/>
                <w:szCs w:val="18"/>
              </w:rPr>
            </w:pPr>
          </w:p>
        </w:tc>
        <w:tc>
          <w:tcPr>
            <w:tcW w:w="20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1F7B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7EAD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E542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C303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2CB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 w:hRule="atLeast"/>
        </w:trPr>
        <w:tc>
          <w:tcPr>
            <w:tcW w:w="10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E49F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17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9762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1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CE9E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3081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71"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8ABF2">
            <w:pPr>
              <w:spacing w:beforeLines="0" w:afterLines="0"/>
              <w:jc w:val="center"/>
              <w:rPr>
                <w:rFonts w:hint="eastAsia" w:ascii="宋体" w:hAnsi="宋体" w:cs="宋体"/>
                <w:color w:val="000000"/>
                <w:sz w:val="18"/>
                <w:szCs w:val="18"/>
              </w:rPr>
            </w:pPr>
          </w:p>
        </w:tc>
        <w:tc>
          <w:tcPr>
            <w:tcW w:w="517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5EA3B">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对昭化区政府门户网站维护及新媒体开发运行进行维护服务，保障其持续正常运转，政府外网运维服务覆盖率达到100%，服务验收合格率达100%，系统故障修复响应时间为24小时内，建立并不断完善考核管理制度，使用人员满意度达95%以上。</w:t>
            </w:r>
          </w:p>
        </w:tc>
        <w:tc>
          <w:tcPr>
            <w:tcW w:w="31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34ECD">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维护服务及开发门户网站维护、新媒体，建立并不断完善考核管理制度，保障其持续正常运转，政府外网运维服务覆盖率达到100%，服务验收合格率达100%，系统故障修复响应时间为24小时内，使用人员满意度达95%以上。</w:t>
            </w:r>
          </w:p>
        </w:tc>
      </w:tr>
      <w:tr w14:paraId="6AAD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1" w:hRule="atLeast"/>
        </w:trPr>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0F5A4">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35" w:type="dxa"/>
            <w:tcBorders>
              <w:top w:val="single" w:color="000000" w:sz="4" w:space="0"/>
              <w:left w:val="nil"/>
              <w:bottom w:val="single" w:color="000000" w:sz="4" w:space="0"/>
              <w:right w:val="single" w:color="000000" w:sz="4" w:space="0"/>
              <w:tl2br w:val="nil"/>
              <w:tr2bl w:val="nil"/>
            </w:tcBorders>
            <w:noWrap w:val="0"/>
            <w:vAlign w:val="center"/>
          </w:tcPr>
          <w:p w14:paraId="0657C0A2">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700F3">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1706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90B7C">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E9DAE">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D029D">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0CA5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EC19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D823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A4E0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4234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全区门户网站及新媒体开发运维服务覆盖率(%)</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6AD2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2FD3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6694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260A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A199C">
            <w:pPr>
              <w:spacing w:beforeLines="0" w:afterLines="0"/>
              <w:jc w:val="center"/>
              <w:rPr>
                <w:rFonts w:hint="eastAsia" w:ascii="宋体"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A49F0">
            <w:pPr>
              <w:spacing w:beforeLines="0" w:afterLines="0"/>
              <w:jc w:val="center"/>
              <w:rPr>
                <w:rFonts w:hint="eastAsia" w:ascii="宋体" w:hAnsi="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759F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C3F4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服务验收合格率(%)</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B8C7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04B7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A1C9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49FD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37E5A">
            <w:pPr>
              <w:spacing w:beforeLines="0" w:afterLines="0"/>
              <w:jc w:val="center"/>
              <w:rPr>
                <w:rFonts w:hint="eastAsia" w:ascii="宋体"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656ED">
            <w:pPr>
              <w:spacing w:beforeLines="0" w:afterLines="0"/>
              <w:jc w:val="center"/>
              <w:rPr>
                <w:rFonts w:hint="eastAsia" w:ascii="宋体" w:hAnsi="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FC75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FA5C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系统故障修复响应时间</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0374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24小时内</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9876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24小时内</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082A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5DA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781EB">
            <w:pPr>
              <w:spacing w:beforeLines="0" w:afterLines="0"/>
              <w:jc w:val="center"/>
              <w:rPr>
                <w:rFonts w:hint="eastAsia" w:ascii="宋体"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2359A">
            <w:pPr>
              <w:spacing w:beforeLines="0" w:afterLines="0"/>
              <w:jc w:val="center"/>
              <w:rPr>
                <w:rFonts w:hint="eastAsia" w:ascii="宋体" w:hAnsi="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3F2D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4DA8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9927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5018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BE2A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A47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A2036">
            <w:pPr>
              <w:spacing w:beforeLines="0" w:afterLines="0"/>
              <w:jc w:val="center"/>
              <w:rPr>
                <w:rFonts w:hint="eastAsia" w:ascii="宋体" w:hAnsi="宋体" w:cs="宋体"/>
                <w:color w:val="000000"/>
                <w:sz w:val="18"/>
                <w:szCs w:val="18"/>
              </w:rPr>
            </w:pPr>
          </w:p>
        </w:tc>
        <w:tc>
          <w:tcPr>
            <w:tcW w:w="10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48EF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DD7E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E619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具体投向(使用)率</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76A8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D4DE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14FB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CE5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A5248">
            <w:pPr>
              <w:spacing w:beforeLines="0" w:afterLines="0"/>
              <w:jc w:val="center"/>
              <w:rPr>
                <w:rFonts w:hint="eastAsia" w:ascii="宋体"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1D426">
            <w:pPr>
              <w:spacing w:beforeLines="0" w:afterLines="0"/>
              <w:jc w:val="center"/>
              <w:rPr>
                <w:rFonts w:hint="eastAsia" w:ascii="宋体" w:hAnsi="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8D3B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FE41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长效管理制度健全性</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0AB1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0017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54C8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099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5" w:hRule="atLeast"/>
        </w:trPr>
        <w:tc>
          <w:tcPr>
            <w:tcW w:w="10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8515B">
            <w:pPr>
              <w:spacing w:beforeLines="0" w:afterLines="0"/>
              <w:jc w:val="center"/>
              <w:rPr>
                <w:rFonts w:hint="eastAsia" w:ascii="宋体"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1EC2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0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1529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21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CF6E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使用人员满意度</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073A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561B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21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7D9E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565DBB06">
      <w:pPr>
        <w:pStyle w:val="2"/>
        <w:spacing w:before="72" w:afterLines="0"/>
        <w:rPr>
          <w:rFonts w:hint="eastAsia" w:hAnsi="仿宋_GB2312"/>
          <w:kern w:val="2"/>
          <w:sz w:val="32"/>
          <w:szCs w:val="24"/>
        </w:rPr>
      </w:pPr>
      <w:r>
        <w:rPr>
          <w:rFonts w:hint="eastAsia" w:hAnsi="仿宋_GB2312"/>
          <w:kern w:val="2"/>
          <w:sz w:val="32"/>
          <w:szCs w:val="24"/>
        </w:rPr>
        <w:t>附件2</w:t>
      </w:r>
    </w:p>
    <w:tbl>
      <w:tblPr>
        <w:tblStyle w:val="12"/>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1023"/>
        <w:gridCol w:w="1318"/>
        <w:gridCol w:w="1043"/>
        <w:gridCol w:w="800"/>
        <w:gridCol w:w="1170"/>
        <w:gridCol w:w="1186"/>
        <w:gridCol w:w="2166"/>
      </w:tblGrid>
      <w:tr w14:paraId="6BB8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8" w:hRule="atLeast"/>
        </w:trPr>
        <w:tc>
          <w:tcPr>
            <w:tcW w:w="9580" w:type="dxa"/>
            <w:gridSpan w:val="8"/>
            <w:tcBorders>
              <w:top w:val="nil"/>
              <w:left w:val="nil"/>
              <w:bottom w:val="nil"/>
              <w:right w:val="nil"/>
              <w:tl2br w:val="nil"/>
              <w:tr2bl w:val="nil"/>
            </w:tcBorders>
            <w:noWrap w:val="0"/>
            <w:vAlign w:val="center"/>
          </w:tcPr>
          <w:p w14:paraId="74A2582C">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38D6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1" w:hRule="atLeast"/>
        </w:trPr>
        <w:tc>
          <w:tcPr>
            <w:tcW w:w="9580" w:type="dxa"/>
            <w:gridSpan w:val="8"/>
            <w:tcBorders>
              <w:top w:val="nil"/>
              <w:left w:val="nil"/>
              <w:bottom w:val="nil"/>
              <w:right w:val="nil"/>
              <w:tl2br w:val="nil"/>
              <w:tr2bl w:val="nil"/>
            </w:tcBorders>
            <w:noWrap w:val="0"/>
            <w:vAlign w:val="top"/>
          </w:tcPr>
          <w:p w14:paraId="0CA83A05">
            <w:pPr>
              <w:widowControl/>
              <w:spacing w:beforeLines="0" w:afterLines="0"/>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7092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D8E8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6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F961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聘用人员政府购买服务费用</w:t>
            </w:r>
          </w:p>
        </w:tc>
      </w:tr>
      <w:tr w14:paraId="399D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8381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16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3F0B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中共昭化区委宣传部</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5836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3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4AF1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广元市昭化区融媒体中心</w:t>
            </w:r>
          </w:p>
        </w:tc>
      </w:tr>
      <w:tr w14:paraId="2122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B057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43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D38A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08BA4">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A0D2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32F4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6733F">
            <w:pPr>
              <w:spacing w:beforeLines="0" w:afterLines="0"/>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876C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8478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FD2D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AB0F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6BD8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3C429">
            <w:pPr>
              <w:spacing w:beforeLines="0" w:afterLines="0"/>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6A09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39BD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3CED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6407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7671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0D17D">
            <w:pPr>
              <w:spacing w:beforeLines="0" w:afterLines="0"/>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3531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D456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2246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45.5</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CEDB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5F77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E7D1E">
            <w:pPr>
              <w:spacing w:beforeLines="0" w:afterLines="0"/>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D071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C2B0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CD0D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6A38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5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249D7">
            <w:pPr>
              <w:spacing w:beforeLines="0" w:afterLines="0"/>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9AD0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66BA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0913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65DE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2E14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4960A">
            <w:pPr>
              <w:spacing w:beforeLines="0" w:afterLines="0"/>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321F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1C8F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42E4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F672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744A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189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7DD86">
            <w:pPr>
              <w:spacing w:beforeLines="0" w:afterLines="0"/>
              <w:jc w:val="center"/>
              <w:rPr>
                <w:rFonts w:hint="eastAsia" w:ascii="宋体" w:hAnsi="宋体" w:cs="宋体"/>
                <w:color w:val="000000"/>
                <w:sz w:val="18"/>
                <w:szCs w:val="18"/>
              </w:rPr>
            </w:pPr>
          </w:p>
        </w:tc>
        <w:tc>
          <w:tcPr>
            <w:tcW w:w="23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BCA8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19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21F6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6263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9ECB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07AE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0" w:hRule="atLeast"/>
        </w:trPr>
        <w:tc>
          <w:tcPr>
            <w:tcW w:w="87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2C93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3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ABB2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3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BC1F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78E7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0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ACAA7">
            <w:pPr>
              <w:spacing w:beforeLines="0" w:afterLines="0"/>
              <w:jc w:val="center"/>
              <w:rPr>
                <w:rFonts w:hint="eastAsia" w:ascii="宋体" w:hAnsi="宋体" w:cs="宋体"/>
                <w:color w:val="000000"/>
                <w:sz w:val="18"/>
                <w:szCs w:val="18"/>
              </w:rPr>
            </w:pPr>
          </w:p>
        </w:tc>
        <w:tc>
          <w:tcPr>
            <w:tcW w:w="53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AFAE7">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用于聘用13名人员的工资保险等费用支出，保证电视台新闻栏目制作、报道、值机工作，电视、电台频道播放正常、持续运转，聘用人员每年总创收任务不低于10万元，每人每年完成岗位目标任务达100%。</w:t>
            </w:r>
          </w:p>
        </w:tc>
        <w:tc>
          <w:tcPr>
            <w:tcW w:w="335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C5453">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用于聘用16名人员的工资保险等费用支出，保证电视台新闻栏目制作、报道、值机工作，电视、电台频道播放正常、持续运转，聘用人员每年总创收任务不低于20万元，每人每年完成岗位目标任务达100%。</w:t>
            </w:r>
          </w:p>
        </w:tc>
      </w:tr>
      <w:tr w14:paraId="1F91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tcBorders>
              <w:top w:val="single" w:color="000000" w:sz="4" w:space="0"/>
              <w:left w:val="single" w:color="000000" w:sz="4" w:space="0"/>
              <w:bottom w:val="nil"/>
              <w:right w:val="single" w:color="000000" w:sz="4" w:space="0"/>
              <w:tl2br w:val="nil"/>
              <w:tr2bl w:val="nil"/>
            </w:tcBorders>
            <w:noWrap w:val="0"/>
            <w:vAlign w:val="center"/>
          </w:tcPr>
          <w:p w14:paraId="73D95EBF">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23" w:type="dxa"/>
            <w:tcBorders>
              <w:top w:val="single" w:color="000000" w:sz="4" w:space="0"/>
              <w:left w:val="single" w:color="000000" w:sz="4" w:space="0"/>
              <w:bottom w:val="nil"/>
              <w:right w:val="single" w:color="000000" w:sz="4" w:space="0"/>
              <w:tl2br w:val="nil"/>
              <w:tr2bl w:val="nil"/>
            </w:tcBorders>
            <w:noWrap w:val="0"/>
            <w:vAlign w:val="center"/>
          </w:tcPr>
          <w:p w14:paraId="393CE088">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318" w:type="dxa"/>
            <w:tcBorders>
              <w:top w:val="single" w:color="000000" w:sz="4" w:space="0"/>
              <w:left w:val="single" w:color="000000" w:sz="4" w:space="0"/>
              <w:bottom w:val="nil"/>
              <w:right w:val="single" w:color="000000" w:sz="4" w:space="0"/>
              <w:tl2br w:val="nil"/>
              <w:tr2bl w:val="nil"/>
            </w:tcBorders>
            <w:noWrap w:val="0"/>
            <w:vAlign w:val="center"/>
          </w:tcPr>
          <w:p w14:paraId="7A181081">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1843" w:type="dxa"/>
            <w:gridSpan w:val="2"/>
            <w:tcBorders>
              <w:top w:val="single" w:color="000000" w:sz="4" w:space="0"/>
              <w:left w:val="single" w:color="000000" w:sz="4" w:space="0"/>
              <w:bottom w:val="nil"/>
              <w:right w:val="single" w:color="000000" w:sz="4" w:space="0"/>
              <w:tl2br w:val="nil"/>
              <w:tr2bl w:val="nil"/>
            </w:tcBorders>
            <w:noWrap w:val="0"/>
            <w:vAlign w:val="center"/>
          </w:tcPr>
          <w:p w14:paraId="17AD048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1170" w:type="dxa"/>
            <w:tcBorders>
              <w:top w:val="single" w:color="000000" w:sz="4" w:space="0"/>
              <w:left w:val="single" w:color="000000" w:sz="4" w:space="0"/>
              <w:bottom w:val="nil"/>
              <w:right w:val="single" w:color="000000" w:sz="4" w:space="0"/>
              <w:tl2br w:val="nil"/>
              <w:tr2bl w:val="nil"/>
            </w:tcBorders>
            <w:noWrap w:val="0"/>
            <w:vAlign w:val="center"/>
          </w:tcPr>
          <w:p w14:paraId="5466E1B1">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186" w:type="dxa"/>
            <w:tcBorders>
              <w:top w:val="single" w:color="000000" w:sz="4" w:space="0"/>
              <w:left w:val="single" w:color="000000" w:sz="4" w:space="0"/>
              <w:bottom w:val="nil"/>
              <w:right w:val="single" w:color="000000" w:sz="4" w:space="0"/>
              <w:tl2br w:val="nil"/>
              <w:tr2bl w:val="nil"/>
            </w:tcBorders>
            <w:noWrap w:val="0"/>
            <w:vAlign w:val="center"/>
          </w:tcPr>
          <w:p w14:paraId="6BD5AAA6">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2166" w:type="dxa"/>
            <w:tcBorders>
              <w:top w:val="single" w:color="000000" w:sz="4" w:space="0"/>
              <w:left w:val="single" w:color="000000" w:sz="4" w:space="0"/>
              <w:bottom w:val="nil"/>
              <w:right w:val="single" w:color="000000" w:sz="4" w:space="0"/>
              <w:tl2br w:val="nil"/>
              <w:tr2bl w:val="nil"/>
            </w:tcBorders>
            <w:noWrap w:val="0"/>
            <w:vAlign w:val="center"/>
          </w:tcPr>
          <w:p w14:paraId="40381D5A">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4C33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B22C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2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2AC4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5470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EC6F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年聘用人员数量</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33E5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≥13人</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1977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≥16人</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156E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B2B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6081E">
            <w:pPr>
              <w:spacing w:beforeLines="0" w:afterLines="0"/>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9158B">
            <w:pPr>
              <w:spacing w:beforeLines="0" w:afterLines="0"/>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F1FA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0126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人均岗位目标任务完成率(%)</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19DA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48B6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418D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650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01D2B">
            <w:pPr>
              <w:spacing w:beforeLines="0" w:afterLines="0"/>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B1D61">
            <w:pPr>
              <w:spacing w:beforeLines="0" w:afterLines="0"/>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E6F8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9D28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人均任务完成时间</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2A1C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1年内</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33E3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1年内</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4167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FD8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AD416">
            <w:pPr>
              <w:spacing w:beforeLines="0" w:afterLines="0"/>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477A2">
            <w:pPr>
              <w:spacing w:beforeLines="0" w:afterLines="0"/>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C96E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83BF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6CFE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83D6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9054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2D8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7D54E">
            <w:pPr>
              <w:spacing w:beforeLines="0" w:afterLines="0"/>
              <w:jc w:val="center"/>
              <w:rPr>
                <w:rFonts w:hint="eastAsia" w:ascii="宋体" w:hAnsi="宋体" w:cs="宋体"/>
                <w:color w:val="000000"/>
                <w:sz w:val="18"/>
                <w:szCs w:val="18"/>
              </w:rPr>
            </w:pPr>
          </w:p>
        </w:tc>
        <w:tc>
          <w:tcPr>
            <w:tcW w:w="102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8FA9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E5DD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经济效益指标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C832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聘用人员总创收任务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434E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≥10万元/年</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6FCD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≥20万元/年</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033D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0C23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B0FDA">
            <w:pPr>
              <w:spacing w:beforeLines="0" w:afterLines="0"/>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755E3">
            <w:pPr>
              <w:spacing w:beforeLines="0" w:afterLines="0"/>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3CD8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E205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具体投向(使用)率</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7283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D1B8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BE20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BEC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7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E8623">
            <w:pPr>
              <w:spacing w:beforeLines="0" w:afterLines="0"/>
              <w:jc w:val="center"/>
              <w:rPr>
                <w:rFonts w:hint="eastAsia" w:ascii="宋体" w:hAnsi="宋体" w:cs="宋体"/>
                <w:color w:val="000000"/>
                <w:sz w:val="18"/>
                <w:szCs w:val="18"/>
              </w:rPr>
            </w:pPr>
          </w:p>
        </w:tc>
        <w:tc>
          <w:tcPr>
            <w:tcW w:w="10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61151">
            <w:pPr>
              <w:spacing w:beforeLines="0" w:afterLines="0"/>
              <w:jc w:val="center"/>
              <w:rPr>
                <w:rFonts w:hint="eastAsia" w:ascii="宋体" w:hAnsi="宋体" w:cs="宋体"/>
                <w:color w:val="000000"/>
                <w:sz w:val="18"/>
                <w:szCs w:val="18"/>
              </w:rPr>
            </w:pP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842C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001F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长效管理制度健全性</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18ED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F324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EC24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876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6" w:hRule="atLeast"/>
        </w:trPr>
        <w:tc>
          <w:tcPr>
            <w:tcW w:w="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75B20">
            <w:pPr>
              <w:spacing w:beforeLines="0" w:afterLines="0"/>
              <w:jc w:val="center"/>
              <w:rPr>
                <w:rFonts w:hint="eastAsia" w:ascii="宋体" w:hAnsi="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8C81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3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2A33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8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AA1B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聘用人员满意度</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D8A1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CAC5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21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8D97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04D81158">
      <w:pPr>
        <w:pStyle w:val="2"/>
        <w:spacing w:before="72" w:afterLines="0"/>
        <w:rPr>
          <w:rFonts w:hint="eastAsia" w:hAnsi="仿宋_GB2312"/>
          <w:kern w:val="2"/>
          <w:sz w:val="32"/>
          <w:szCs w:val="24"/>
        </w:rPr>
      </w:pPr>
      <w:r>
        <w:rPr>
          <w:rFonts w:hint="eastAsia" w:hAnsi="仿宋_GB2312"/>
          <w:kern w:val="2"/>
          <w:sz w:val="32"/>
          <w:szCs w:val="24"/>
        </w:rPr>
        <w:t>附件3</w:t>
      </w:r>
    </w:p>
    <w:tbl>
      <w:tblPr>
        <w:tblStyle w:val="12"/>
        <w:tblW w:w="10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955"/>
        <w:gridCol w:w="1128"/>
        <w:gridCol w:w="779"/>
        <w:gridCol w:w="2466"/>
        <w:gridCol w:w="1191"/>
        <w:gridCol w:w="1367"/>
        <w:gridCol w:w="1382"/>
      </w:tblGrid>
      <w:tr w14:paraId="39E6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10220" w:type="dxa"/>
            <w:gridSpan w:val="8"/>
            <w:tcBorders>
              <w:top w:val="nil"/>
              <w:left w:val="nil"/>
              <w:bottom w:val="nil"/>
              <w:right w:val="nil"/>
              <w:tl2br w:val="nil"/>
              <w:tr2bl w:val="nil"/>
            </w:tcBorders>
            <w:noWrap w:val="0"/>
            <w:vAlign w:val="center"/>
          </w:tcPr>
          <w:p w14:paraId="709DE87E">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317C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3" w:hRule="atLeast"/>
        </w:trPr>
        <w:tc>
          <w:tcPr>
            <w:tcW w:w="10220" w:type="dxa"/>
            <w:gridSpan w:val="8"/>
            <w:tcBorders>
              <w:top w:val="nil"/>
              <w:left w:val="nil"/>
              <w:bottom w:val="nil"/>
              <w:right w:val="nil"/>
              <w:tl2br w:val="nil"/>
              <w:tr2bl w:val="nil"/>
            </w:tcBorders>
            <w:noWrap w:val="0"/>
            <w:vAlign w:val="top"/>
          </w:tcPr>
          <w:p w14:paraId="4DCF7A59">
            <w:pPr>
              <w:widowControl/>
              <w:spacing w:beforeLines="0" w:afterLines="0"/>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2793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2" w:hRule="atLeast"/>
        </w:trPr>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10FB1">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项目(政策)名称</w:t>
            </w:r>
          </w:p>
        </w:tc>
        <w:tc>
          <w:tcPr>
            <w:tcW w:w="831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76E9F">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平台及设备运维经费</w:t>
            </w:r>
          </w:p>
        </w:tc>
      </w:tr>
      <w:tr w14:paraId="669B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1" w:hRule="atLeast"/>
        </w:trPr>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D251E">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主管部门</w:t>
            </w:r>
          </w:p>
        </w:tc>
        <w:tc>
          <w:tcPr>
            <w:tcW w:w="437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08B31">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中共昭化区委宣传部</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F14F6">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实施单位</w:t>
            </w:r>
          </w:p>
        </w:tc>
        <w:tc>
          <w:tcPr>
            <w:tcW w:w="27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5C859">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广元市昭化区融媒体中心</w:t>
            </w:r>
          </w:p>
        </w:tc>
      </w:tr>
      <w:tr w14:paraId="77A8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D3D99">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项目(政策)资金 (万元)</w:t>
            </w:r>
          </w:p>
        </w:tc>
        <w:tc>
          <w:tcPr>
            <w:tcW w:w="55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D6199">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全年预算数</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FFAAB">
            <w:pPr>
              <w:widowControl/>
              <w:spacing w:beforeLines="0" w:afterLines="0"/>
              <w:textAlignment w:val="center"/>
              <w:rPr>
                <w:rFonts w:hint="eastAsia" w:ascii="宋体" w:hAnsi="宋体" w:cs="宋体"/>
                <w:color w:val="000000"/>
                <w:sz w:val="18"/>
                <w:szCs w:val="18"/>
              </w:rPr>
            </w:pPr>
            <w:r>
              <w:rPr>
                <w:rStyle w:val="25"/>
                <w:rFonts w:hint="eastAsia"/>
                <w:sz w:val="18"/>
                <w:szCs w:val="18"/>
                <w:lang w:bidi="ar"/>
              </w:rPr>
              <w:t>全年执行数</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A8700">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执行率</w:t>
            </w:r>
          </w:p>
        </w:tc>
      </w:tr>
      <w:tr w14:paraId="7D9D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7BA25">
            <w:pPr>
              <w:spacing w:beforeLines="0" w:afterLines="0"/>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B657B">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年度资金总额</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02D5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F833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84B5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6018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D8DDB">
            <w:pPr>
              <w:spacing w:beforeLines="0" w:afterLines="0"/>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A4733">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(一)财政拨款小计</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048A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D855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4152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44BC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02BA4">
            <w:pPr>
              <w:spacing w:beforeLines="0" w:afterLines="0"/>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D5175">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1.一般公共预算</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8EBC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1DB1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11A8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5F1A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DDED5">
            <w:pPr>
              <w:spacing w:beforeLines="0" w:afterLines="0"/>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4DCA6">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2.政府性基金</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1BA1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F66D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42B2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5F3B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3"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E2638">
            <w:pPr>
              <w:spacing w:beforeLines="0" w:afterLines="0"/>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055FE">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3.国有资本经营预算</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24E5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8A02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D26D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A8F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97A13">
            <w:pPr>
              <w:spacing w:beforeLines="0" w:afterLines="0"/>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2627B">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4.社保基金</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9792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CDA3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1AF0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375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190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C961B">
            <w:pPr>
              <w:spacing w:beforeLines="0" w:afterLines="0"/>
              <w:jc w:val="center"/>
              <w:rPr>
                <w:rFonts w:hint="eastAsia" w:ascii="宋体" w:hAnsi="宋体" w:cs="宋体"/>
                <w:color w:val="000000"/>
                <w:sz w:val="18"/>
                <w:szCs w:val="18"/>
              </w:rPr>
            </w:pP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599D8">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(二)其他资金</w:t>
            </w:r>
          </w:p>
        </w:tc>
        <w:tc>
          <w:tcPr>
            <w:tcW w:w="36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2206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2192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91A8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B55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 w:hRule="atLeast"/>
        </w:trPr>
        <w:tc>
          <w:tcPr>
            <w:tcW w:w="9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5A72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6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AF20C">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预期目标</w:t>
            </w:r>
          </w:p>
        </w:tc>
        <w:tc>
          <w:tcPr>
            <w:tcW w:w="27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9BB79">
            <w:pPr>
              <w:widowControl/>
              <w:spacing w:beforeLines="0" w:afterLines="0"/>
              <w:jc w:val="center"/>
              <w:textAlignment w:val="center"/>
              <w:rPr>
                <w:rFonts w:hint="eastAsia" w:ascii="宋体" w:hAnsi="宋体" w:cs="宋体"/>
                <w:color w:val="000000"/>
                <w:sz w:val="18"/>
                <w:szCs w:val="18"/>
              </w:rPr>
            </w:pPr>
            <w:r>
              <w:rPr>
                <w:rStyle w:val="25"/>
                <w:rFonts w:hint="eastAsia"/>
                <w:sz w:val="18"/>
                <w:szCs w:val="18"/>
                <w:lang w:bidi="ar"/>
              </w:rPr>
              <w:t>实际完成情况</w:t>
            </w:r>
          </w:p>
        </w:tc>
      </w:tr>
      <w:tr w14:paraId="6C2D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550E0">
            <w:pPr>
              <w:spacing w:beforeLines="0" w:afterLines="0"/>
              <w:jc w:val="center"/>
              <w:rPr>
                <w:rFonts w:hint="eastAsia" w:ascii="宋体" w:hAnsi="宋体" w:cs="宋体"/>
                <w:color w:val="000000"/>
                <w:sz w:val="18"/>
                <w:szCs w:val="18"/>
              </w:rPr>
            </w:pPr>
          </w:p>
        </w:tc>
        <w:tc>
          <w:tcPr>
            <w:tcW w:w="6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7287F">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根据中央、省、市电视台上宣新闻需要和工作实际，保障区门户网站、《蜀道昭化》全媒体平台、《广元日报》驻昭化区记者站、区应急广播等平台的正常持续运转，继续做好新媒体的开发创新，推动传统媒体向新媒体深度融合发展。保障新闻、广播、新媒体、短视频、各类栏目实况直播等摄录设备维护升级及日常养护，确保区融媒体中心宣传工作的常态高效运转。</w:t>
            </w:r>
          </w:p>
        </w:tc>
        <w:tc>
          <w:tcPr>
            <w:tcW w:w="27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8A31E">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保障区门户网站、《蜀道昭化》全媒体平台、《广元日报》驻昭化区记者站、区应急广播等平台的正常持续运转，做好新媒体的开发创新，保障新闻、广播、新媒体、短视频、各类栏目实况直播等摄录设备维护升级及日常养护工作。</w:t>
            </w:r>
          </w:p>
        </w:tc>
      </w:tr>
      <w:tr w14:paraId="42C5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6" w:hRule="atLeast"/>
        </w:trPr>
        <w:tc>
          <w:tcPr>
            <w:tcW w:w="9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0EED7">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955" w:type="dxa"/>
            <w:tcBorders>
              <w:top w:val="single" w:color="000000" w:sz="4" w:space="0"/>
              <w:left w:val="single" w:color="000000" w:sz="4" w:space="0"/>
              <w:bottom w:val="nil"/>
              <w:right w:val="single" w:color="000000" w:sz="4" w:space="0"/>
              <w:tl2br w:val="nil"/>
              <w:tr2bl w:val="nil"/>
            </w:tcBorders>
            <w:noWrap w:val="0"/>
            <w:vAlign w:val="center"/>
          </w:tcPr>
          <w:p w14:paraId="1DDCFD09">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128" w:type="dxa"/>
            <w:tcBorders>
              <w:top w:val="single" w:color="000000" w:sz="4" w:space="0"/>
              <w:left w:val="single" w:color="000000" w:sz="4" w:space="0"/>
              <w:bottom w:val="nil"/>
              <w:right w:val="single" w:color="000000" w:sz="4" w:space="0"/>
              <w:tl2br w:val="nil"/>
              <w:tr2bl w:val="nil"/>
            </w:tcBorders>
            <w:noWrap w:val="0"/>
            <w:vAlign w:val="center"/>
          </w:tcPr>
          <w:p w14:paraId="7EB7C203">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3245" w:type="dxa"/>
            <w:gridSpan w:val="2"/>
            <w:tcBorders>
              <w:top w:val="single" w:color="000000" w:sz="4" w:space="0"/>
              <w:left w:val="single" w:color="000000" w:sz="4" w:space="0"/>
              <w:bottom w:val="nil"/>
              <w:right w:val="single" w:color="000000" w:sz="4" w:space="0"/>
              <w:tl2br w:val="nil"/>
              <w:tr2bl w:val="nil"/>
            </w:tcBorders>
            <w:noWrap w:val="0"/>
            <w:vAlign w:val="center"/>
          </w:tcPr>
          <w:p w14:paraId="655F95C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7F1E665A">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367" w:type="dxa"/>
            <w:tcBorders>
              <w:top w:val="single" w:color="000000" w:sz="4" w:space="0"/>
              <w:left w:val="single" w:color="000000" w:sz="4" w:space="0"/>
              <w:bottom w:val="nil"/>
              <w:right w:val="single" w:color="000000" w:sz="4" w:space="0"/>
              <w:tl2br w:val="nil"/>
              <w:tr2bl w:val="nil"/>
            </w:tcBorders>
            <w:noWrap w:val="0"/>
            <w:vAlign w:val="center"/>
          </w:tcPr>
          <w:p w14:paraId="4F3AA8AA">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1382" w:type="dxa"/>
            <w:tcBorders>
              <w:top w:val="single" w:color="000000" w:sz="4" w:space="0"/>
              <w:left w:val="single" w:color="000000" w:sz="4" w:space="0"/>
              <w:bottom w:val="nil"/>
              <w:right w:val="single" w:color="000000" w:sz="4" w:space="0"/>
              <w:tl2br w:val="nil"/>
              <w:tr2bl w:val="nil"/>
            </w:tcBorders>
            <w:noWrap w:val="0"/>
            <w:vAlign w:val="center"/>
          </w:tcPr>
          <w:p w14:paraId="0836C262">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6442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6385C">
            <w:pPr>
              <w:spacing w:beforeLines="0" w:afterLines="0"/>
              <w:rPr>
                <w:rFonts w:hint="eastAsia" w:ascii="宋体" w:hAnsi="宋体" w:cs="宋体"/>
                <w:color w:val="000000"/>
                <w:sz w:val="18"/>
                <w:szCs w:val="18"/>
              </w:rPr>
            </w:pPr>
          </w:p>
        </w:tc>
        <w:tc>
          <w:tcPr>
            <w:tcW w:w="95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17F82">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产出指标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37F5C">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数量指标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082601E2">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区门户网站运行维护覆盖率(%)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0507E">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C1190">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D14B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27DD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4"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270DE">
            <w:pPr>
              <w:spacing w:beforeLines="0" w:afterLines="0"/>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965B3">
            <w:pPr>
              <w:spacing w:beforeLines="0" w:afterLines="0"/>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0DE6A">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数量指标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27AF53F3">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《蜀道昭化》全媒体平台运维覆盖率(%)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A98C7">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43E57">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B327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1A70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C0601">
            <w:pPr>
              <w:spacing w:beforeLines="0" w:afterLines="0"/>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225DD">
            <w:pPr>
              <w:spacing w:beforeLines="0" w:afterLines="0"/>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F8C8D">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数量指标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04A20763">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单位设备检修次数</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8043E">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≥1次/年</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BE231">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≥1次/年</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30B0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0FE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E0962">
            <w:pPr>
              <w:spacing w:beforeLines="0" w:afterLines="0"/>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6E06D">
            <w:pPr>
              <w:spacing w:beforeLines="0" w:afterLines="0"/>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9959F">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数量指标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29263D20">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单位设备检修维护升级覆盖率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796CB">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9F744">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C4CA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4C0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E50B0">
            <w:pPr>
              <w:spacing w:beforeLines="0" w:afterLines="0"/>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0E824">
            <w:pPr>
              <w:spacing w:beforeLines="0" w:afterLines="0"/>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A5E12">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质量指标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2F04642C">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验收合格率(%)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29DBC">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A25A0">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259F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5EC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0D95F">
            <w:pPr>
              <w:spacing w:beforeLines="0" w:afterLines="0"/>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AD777">
            <w:pPr>
              <w:spacing w:beforeLines="0" w:afterLines="0"/>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467F9">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时效指标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258DCC18">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系统故障修复响应时间</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BB35C">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3天内</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A438C">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3天内</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C387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D5B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16F14">
            <w:pPr>
              <w:spacing w:beforeLines="0" w:afterLines="0"/>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D8695">
            <w:pPr>
              <w:spacing w:beforeLines="0" w:afterLines="0"/>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DF021">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成本指标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1EBF535F">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经费支出额度</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F9CA5">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8E690">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7EF7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E05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4"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2256C">
            <w:pPr>
              <w:spacing w:beforeLines="0" w:afterLines="0"/>
              <w:rPr>
                <w:rFonts w:hint="eastAsia" w:ascii="宋体" w:hAnsi="宋体" w:cs="宋体"/>
                <w:color w:val="000000"/>
                <w:sz w:val="18"/>
                <w:szCs w:val="18"/>
              </w:rPr>
            </w:pPr>
          </w:p>
        </w:tc>
        <w:tc>
          <w:tcPr>
            <w:tcW w:w="95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2167D">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效益指标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38248">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经济效益指标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325A32B6">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宣传创收任务</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4B91B">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≥10万元/年</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5A99A">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≥20万元/年</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96D4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480A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4"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48B75">
            <w:pPr>
              <w:spacing w:beforeLines="0" w:afterLines="0"/>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4266A">
            <w:pPr>
              <w:spacing w:beforeLines="0" w:afterLines="0"/>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A0D77">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社会效益指标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1ABCC540">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设备正常运行率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C1EA7">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81C4F">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344F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3450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27"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052FD">
            <w:pPr>
              <w:spacing w:beforeLines="0" w:afterLines="0"/>
              <w:rPr>
                <w:rFonts w:hint="eastAsia" w:ascii="宋体" w:hAnsi="宋体" w:cs="宋体"/>
                <w:color w:val="00000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7ADE0">
            <w:pPr>
              <w:spacing w:beforeLines="0" w:afterLines="0"/>
              <w:jc w:val="center"/>
              <w:rPr>
                <w:rFonts w:hint="eastAsia" w:ascii="宋体" w:hAnsi="宋体" w:cs="宋体"/>
                <w:color w:val="000000"/>
                <w:sz w:val="22"/>
                <w:szCs w:val="22"/>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4EBCC">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可持续影响指标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72498FBF">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长效管理制度健全性</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D235F">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36B68">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819C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303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90" w:hRule="atLeast"/>
        </w:trPr>
        <w:tc>
          <w:tcPr>
            <w:tcW w:w="9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E3BB6">
            <w:pPr>
              <w:spacing w:beforeLines="0" w:afterLines="0"/>
              <w:rPr>
                <w:rFonts w:hint="eastAsia" w:ascii="宋体" w:hAnsi="宋体" w:cs="宋体"/>
                <w:color w:val="000000"/>
                <w:sz w:val="18"/>
                <w:szCs w:val="18"/>
              </w:rPr>
            </w:pP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85FBA">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满意度指标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57D61">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满意度指标</w:t>
            </w:r>
          </w:p>
        </w:tc>
        <w:tc>
          <w:tcPr>
            <w:tcW w:w="3245" w:type="dxa"/>
            <w:gridSpan w:val="2"/>
            <w:tcBorders>
              <w:top w:val="single" w:color="000000" w:sz="4" w:space="0"/>
              <w:left w:val="single" w:color="000000" w:sz="4" w:space="0"/>
              <w:bottom w:val="single" w:color="000000" w:sz="4" w:space="0"/>
              <w:right w:val="nil"/>
              <w:tl2br w:val="nil"/>
              <w:tr2bl w:val="nil"/>
            </w:tcBorders>
            <w:noWrap w:val="0"/>
            <w:vAlign w:val="center"/>
          </w:tcPr>
          <w:p w14:paraId="290225D7">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使用人员满意度</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CAC6C">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AE217">
            <w:pPr>
              <w:widowControl/>
              <w:spacing w:beforeLines="0" w:afterLines="0"/>
              <w:textAlignment w:val="center"/>
              <w:rPr>
                <w:rFonts w:hint="eastAsia" w:ascii="宋体" w:hAnsi="宋体" w:cs="宋体"/>
                <w:color w:val="000000"/>
                <w:sz w:val="22"/>
                <w:szCs w:val="22"/>
              </w:rPr>
            </w:pPr>
            <w:r>
              <w:rPr>
                <w:rFonts w:hint="eastAsia" w:ascii="宋体" w:hAnsi="宋体" w:cs="宋体"/>
                <w:color w:val="000000"/>
                <w:sz w:val="22"/>
                <w:szCs w:val="22"/>
                <w:lang w:bidi="ar"/>
              </w:rPr>
              <w:t>100%</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E9B4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08598FA0">
      <w:pPr>
        <w:pStyle w:val="2"/>
        <w:spacing w:before="72" w:afterLines="0"/>
        <w:rPr>
          <w:rFonts w:hint="eastAsia" w:hAnsi="仿宋_GB2312"/>
          <w:kern w:val="2"/>
          <w:sz w:val="32"/>
          <w:szCs w:val="24"/>
        </w:rPr>
      </w:pPr>
      <w:r>
        <w:rPr>
          <w:rFonts w:hint="eastAsia" w:hAnsi="仿宋_GB2312"/>
          <w:kern w:val="2"/>
          <w:sz w:val="32"/>
          <w:szCs w:val="24"/>
        </w:rPr>
        <w:t>附件4</w:t>
      </w:r>
    </w:p>
    <w:tbl>
      <w:tblPr>
        <w:tblStyle w:val="12"/>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4"/>
        <w:gridCol w:w="1055"/>
        <w:gridCol w:w="1055"/>
        <w:gridCol w:w="973"/>
        <w:gridCol w:w="973"/>
        <w:gridCol w:w="1289"/>
        <w:gridCol w:w="1139"/>
        <w:gridCol w:w="2142"/>
      </w:tblGrid>
      <w:tr w14:paraId="233D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00" w:hRule="atLeast"/>
        </w:trPr>
        <w:tc>
          <w:tcPr>
            <w:tcW w:w="9252" w:type="dxa"/>
            <w:gridSpan w:val="8"/>
            <w:tcBorders>
              <w:top w:val="nil"/>
              <w:left w:val="nil"/>
              <w:bottom w:val="nil"/>
              <w:right w:val="nil"/>
              <w:tl2br w:val="nil"/>
              <w:tr2bl w:val="nil"/>
            </w:tcBorders>
            <w:noWrap w:val="0"/>
            <w:vAlign w:val="center"/>
          </w:tcPr>
          <w:p w14:paraId="01A8461D">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0A13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0" w:hRule="atLeast"/>
        </w:trPr>
        <w:tc>
          <w:tcPr>
            <w:tcW w:w="9252" w:type="dxa"/>
            <w:gridSpan w:val="8"/>
            <w:tcBorders>
              <w:top w:val="nil"/>
              <w:left w:val="nil"/>
              <w:bottom w:val="nil"/>
              <w:right w:val="nil"/>
              <w:tl2br w:val="nil"/>
              <w:tr2bl w:val="nil"/>
            </w:tcBorders>
            <w:noWrap w:val="0"/>
            <w:vAlign w:val="top"/>
          </w:tcPr>
          <w:p w14:paraId="28F12CD0">
            <w:pPr>
              <w:widowControl/>
              <w:spacing w:beforeLines="0" w:afterLines="0"/>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03E1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6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5333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58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E414C">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昭化区融媒体中心建设项目—设备采购项目</w:t>
            </w:r>
          </w:p>
        </w:tc>
      </w:tr>
      <w:tr w14:paraId="3E23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6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4763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006" w:type="dxa"/>
            <w:gridSpan w:val="3"/>
            <w:tcBorders>
              <w:top w:val="single" w:color="000000" w:sz="4" w:space="0"/>
              <w:left w:val="single" w:color="000000" w:sz="4" w:space="0"/>
              <w:bottom w:val="nil"/>
              <w:right w:val="single" w:color="000000" w:sz="4" w:space="0"/>
              <w:tl2br w:val="nil"/>
              <w:tr2bl w:val="nil"/>
            </w:tcBorders>
            <w:noWrap w:val="0"/>
            <w:vAlign w:val="center"/>
          </w:tcPr>
          <w:p w14:paraId="350BF371">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中共昭化区委宣传部</w:t>
            </w:r>
          </w:p>
        </w:tc>
        <w:tc>
          <w:tcPr>
            <w:tcW w:w="1290" w:type="dxa"/>
            <w:tcBorders>
              <w:top w:val="single" w:color="000000" w:sz="4" w:space="0"/>
              <w:left w:val="single" w:color="000000" w:sz="4" w:space="0"/>
              <w:bottom w:val="nil"/>
              <w:right w:val="single" w:color="000000" w:sz="4" w:space="0"/>
              <w:tl2br w:val="nil"/>
              <w:tr2bl w:val="nil"/>
            </w:tcBorders>
            <w:noWrap w:val="0"/>
            <w:vAlign w:val="center"/>
          </w:tcPr>
          <w:p w14:paraId="5B95776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2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8BF1F">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广元市昭化区融媒体中心</w:t>
            </w:r>
          </w:p>
        </w:tc>
      </w:tr>
      <w:tr w14:paraId="6496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67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0DEE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429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D2D4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1140" w:type="dxa"/>
            <w:tcBorders>
              <w:top w:val="nil"/>
              <w:left w:val="single" w:color="000000" w:sz="4" w:space="0"/>
              <w:bottom w:val="single" w:color="000000" w:sz="4" w:space="0"/>
              <w:right w:val="single" w:color="000000" w:sz="4" w:space="0"/>
              <w:tl2br w:val="nil"/>
              <w:tr2bl w:val="nil"/>
            </w:tcBorders>
            <w:noWrap w:val="0"/>
            <w:vAlign w:val="center"/>
          </w:tcPr>
          <w:p w14:paraId="6C190BD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2145" w:type="dxa"/>
            <w:tcBorders>
              <w:top w:val="nil"/>
              <w:left w:val="single" w:color="000000" w:sz="4" w:space="0"/>
              <w:bottom w:val="single" w:color="000000" w:sz="4" w:space="0"/>
              <w:right w:val="single" w:color="000000" w:sz="4" w:space="0"/>
              <w:tl2br w:val="nil"/>
              <w:tr2bl w:val="nil"/>
            </w:tcBorders>
            <w:noWrap w:val="0"/>
            <w:vAlign w:val="center"/>
          </w:tcPr>
          <w:p w14:paraId="25C3334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7872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25321">
            <w:pPr>
              <w:spacing w:beforeLines="0" w:afterLines="0"/>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B9B2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BCD5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58.26万元</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C791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0.96万元</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D6D2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1.65%</w:t>
            </w:r>
          </w:p>
        </w:tc>
      </w:tr>
      <w:tr w14:paraId="6B1F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0D439">
            <w:pPr>
              <w:spacing w:beforeLines="0" w:afterLines="0"/>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C20E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B0E2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58.26万元</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5064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0.96万元</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3654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1.65%</w:t>
            </w:r>
          </w:p>
        </w:tc>
      </w:tr>
      <w:tr w14:paraId="14F4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7E3BE">
            <w:pPr>
              <w:spacing w:beforeLines="0" w:afterLines="0"/>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E5FD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5159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58.26万元</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A5BF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0.96万元</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EA75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1.65%</w:t>
            </w:r>
          </w:p>
        </w:tc>
      </w:tr>
      <w:tr w14:paraId="1B78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D2EE7">
            <w:pPr>
              <w:spacing w:beforeLines="0" w:afterLines="0"/>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76AB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CDA2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90D2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0F5D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1488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4F9FF">
            <w:pPr>
              <w:spacing w:beforeLines="0" w:afterLines="0"/>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65DA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59C9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F243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06C1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A85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B36F4">
            <w:pPr>
              <w:spacing w:beforeLines="0" w:afterLines="0"/>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084B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FE15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2E4E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1230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C6C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0" w:hRule="atLeast"/>
        </w:trPr>
        <w:tc>
          <w:tcPr>
            <w:tcW w:w="167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C62E1">
            <w:pPr>
              <w:spacing w:beforeLines="0" w:afterLines="0"/>
              <w:jc w:val="center"/>
              <w:rPr>
                <w:rFonts w:hint="eastAsia" w:ascii="宋体" w:hAnsi="宋体" w:cs="宋体"/>
                <w:color w:val="000000"/>
                <w:sz w:val="18"/>
                <w:szCs w:val="18"/>
              </w:rPr>
            </w:pPr>
          </w:p>
        </w:tc>
        <w:tc>
          <w:tcPr>
            <w:tcW w:w="20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BDF2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2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4BC2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726A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9D97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544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765D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3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42E3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2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EA2A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23C1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0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200E5">
            <w:pPr>
              <w:spacing w:beforeLines="0" w:afterLines="0"/>
              <w:jc w:val="center"/>
              <w:rPr>
                <w:rFonts w:hint="eastAsia" w:ascii="宋体" w:hAnsi="宋体" w:cs="宋体"/>
                <w:color w:val="000000"/>
                <w:sz w:val="18"/>
                <w:szCs w:val="18"/>
              </w:rPr>
            </w:pPr>
          </w:p>
        </w:tc>
        <w:tc>
          <w:tcPr>
            <w:tcW w:w="53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9EFFF">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为全面完成各级各类宣传任务，本年对融媒体中心平台运维升级1次，保障每日正常持续运转。</w:t>
            </w:r>
          </w:p>
        </w:tc>
        <w:tc>
          <w:tcPr>
            <w:tcW w:w="32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8B5C9">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融媒体中心平台年内运维升级1次，全年平台运维升级1次，全面完成各项宣传任务。</w:t>
            </w:r>
          </w:p>
        </w:tc>
      </w:tr>
      <w:tr w14:paraId="67C3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B4ED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7B39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6DF4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21C4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8854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01BE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A11F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5748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826DB">
            <w:pPr>
              <w:spacing w:beforeLines="0" w:afterLines="0"/>
              <w:jc w:val="center"/>
              <w:rPr>
                <w:rFonts w:hint="eastAsia" w:ascii="宋体" w:hAnsi="宋体" w:cs="宋体"/>
                <w:color w:val="000000"/>
                <w:sz w:val="18"/>
                <w:szCs w:val="18"/>
              </w:rPr>
            </w:pPr>
          </w:p>
        </w:tc>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EDFB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7146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308F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平台升级</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02258">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1次</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FB915">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1次</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41426">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6DD0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BAAD3">
            <w:pPr>
              <w:spacing w:beforeLines="0" w:afterLines="0"/>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30B77">
            <w:pPr>
              <w:spacing w:beforeLines="0" w:afterLines="0"/>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2B29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CFCA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故障报修率</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24AF0">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≤1次</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ADCA3">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1次</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E5DEF">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2A15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E74C1">
            <w:pPr>
              <w:spacing w:beforeLines="0" w:afterLines="0"/>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F4DA8">
            <w:pPr>
              <w:spacing w:beforeLines="0" w:afterLines="0"/>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0EA1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9B22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报修及时性</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FC165">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≤3天</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0249F">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67144">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72AA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BE682">
            <w:pPr>
              <w:spacing w:beforeLines="0" w:afterLines="0"/>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14BCE">
            <w:pPr>
              <w:spacing w:beforeLines="0" w:afterLines="0"/>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C157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7BB6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2F337">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w:t>
            </w:r>
            <w:r>
              <w:rPr>
                <w:rFonts w:hint="eastAsia" w:ascii="宋体" w:hAnsi="宋体" w:cs="宋体"/>
                <w:color w:val="000000"/>
                <w:sz w:val="20"/>
                <w:szCs w:val="20"/>
                <w:lang w:bidi="ar"/>
              </w:rPr>
              <w:t>58.26万元</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D10B2">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0.96</w:t>
            </w:r>
            <w:r>
              <w:rPr>
                <w:rFonts w:hint="eastAsia" w:ascii="宋体" w:hAnsi="宋体" w:cs="宋体"/>
                <w:color w:val="000000"/>
                <w:sz w:val="20"/>
                <w:szCs w:val="20"/>
                <w:lang w:bidi="ar"/>
              </w:rPr>
              <w:t>万元</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01D03">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634A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7B78D">
            <w:pPr>
              <w:spacing w:beforeLines="0" w:afterLines="0"/>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C6C44">
            <w:pPr>
              <w:spacing w:beforeLines="0" w:afterLines="0"/>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92AC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安全指标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3E9D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平台转发率</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2753E">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≥90%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93A68">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100%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6D0B9">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0968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EC94F">
            <w:pPr>
              <w:spacing w:beforeLines="0" w:afterLines="0"/>
              <w:jc w:val="center"/>
              <w:rPr>
                <w:rFonts w:hint="eastAsia" w:ascii="宋体" w:hAnsi="宋体" w:cs="宋体"/>
                <w:color w:val="000000"/>
                <w:sz w:val="18"/>
                <w:szCs w:val="18"/>
              </w:rPr>
            </w:pPr>
          </w:p>
        </w:tc>
        <w:tc>
          <w:tcPr>
            <w:tcW w:w="10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DF36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47EC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3399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年度优秀作品获奖次数</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1A0D6">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≥2次</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6FED3">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15次</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67B4C">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2AF5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30ECA">
            <w:pPr>
              <w:spacing w:beforeLines="0" w:afterLines="0"/>
              <w:jc w:val="center"/>
              <w:rPr>
                <w:rFonts w:hint="eastAsia" w:ascii="宋体" w:hAnsi="宋体" w:cs="宋体"/>
                <w:color w:val="000000"/>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32FB7">
            <w:pPr>
              <w:spacing w:beforeLines="0" w:afterLines="0"/>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C0F3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1A80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报道转发率</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7369A">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≥90%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0D350">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100%</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17DB6">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r w14:paraId="731E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6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2B0EA">
            <w:pPr>
              <w:spacing w:beforeLines="0" w:afterLines="0"/>
              <w:jc w:val="center"/>
              <w:rPr>
                <w:rFonts w:hint="eastAsia" w:ascii="宋体"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4275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7CDF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服务对象满意度指标</w:t>
            </w:r>
          </w:p>
        </w:tc>
        <w:tc>
          <w:tcPr>
            <w:tcW w:w="19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F1C4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受惠群众满意度</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7C3A8">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≥90%</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2660F">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95%</w:t>
            </w:r>
          </w:p>
        </w:tc>
        <w:tc>
          <w:tcPr>
            <w:tcW w:w="21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B536A">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无</w:t>
            </w:r>
          </w:p>
        </w:tc>
      </w:tr>
    </w:tbl>
    <w:p w14:paraId="326FD27A">
      <w:pPr>
        <w:pStyle w:val="2"/>
        <w:spacing w:before="72" w:afterLines="0"/>
        <w:rPr>
          <w:rFonts w:hint="eastAsia" w:hAnsi="仿宋_GB2312"/>
          <w:kern w:val="2"/>
          <w:sz w:val="32"/>
          <w:szCs w:val="24"/>
        </w:rPr>
      </w:pPr>
      <w:r>
        <w:rPr>
          <w:rFonts w:hint="eastAsia" w:hAnsi="仿宋_GB2312"/>
          <w:kern w:val="2"/>
          <w:sz w:val="32"/>
          <w:szCs w:val="24"/>
        </w:rPr>
        <w:t>附件5</w:t>
      </w:r>
    </w:p>
    <w:tbl>
      <w:tblPr>
        <w:tblStyle w:val="12"/>
        <w:tblW w:w="9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4"/>
        <w:gridCol w:w="1044"/>
        <w:gridCol w:w="1044"/>
        <w:gridCol w:w="1044"/>
        <w:gridCol w:w="950"/>
        <w:gridCol w:w="949"/>
        <w:gridCol w:w="1053"/>
        <w:gridCol w:w="2212"/>
      </w:tblGrid>
      <w:tr w14:paraId="044A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7" w:hRule="atLeast"/>
        </w:trPr>
        <w:tc>
          <w:tcPr>
            <w:tcW w:w="9340" w:type="dxa"/>
            <w:gridSpan w:val="8"/>
            <w:tcBorders>
              <w:top w:val="nil"/>
              <w:left w:val="nil"/>
              <w:bottom w:val="nil"/>
              <w:right w:val="nil"/>
              <w:tl2br w:val="nil"/>
              <w:tr2bl w:val="nil"/>
            </w:tcBorders>
            <w:noWrap w:val="0"/>
            <w:vAlign w:val="center"/>
          </w:tcPr>
          <w:p w14:paraId="4C5EFE46">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5E6E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8" w:hRule="atLeast"/>
        </w:trPr>
        <w:tc>
          <w:tcPr>
            <w:tcW w:w="9340" w:type="dxa"/>
            <w:gridSpan w:val="8"/>
            <w:tcBorders>
              <w:top w:val="nil"/>
              <w:left w:val="nil"/>
              <w:bottom w:val="nil"/>
              <w:right w:val="nil"/>
              <w:tl2br w:val="nil"/>
              <w:tr2bl w:val="nil"/>
            </w:tcBorders>
            <w:noWrap w:val="0"/>
            <w:vAlign w:val="top"/>
          </w:tcPr>
          <w:p w14:paraId="67283CF1">
            <w:pPr>
              <w:widowControl/>
              <w:spacing w:beforeLines="0" w:afterLines="0"/>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2599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51D0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2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3E35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政府电子政务外网运行维护经费</w:t>
            </w:r>
          </w:p>
        </w:tc>
      </w:tr>
      <w:tr w14:paraId="07B2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320E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03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5261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中共昭化区委宣传部</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BED8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570A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广元市昭化区融媒体中心</w:t>
            </w:r>
          </w:p>
        </w:tc>
      </w:tr>
      <w:tr w14:paraId="278A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5" w:hRule="atLeast"/>
        </w:trPr>
        <w:tc>
          <w:tcPr>
            <w:tcW w:w="208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F264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39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5F1B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2E313">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CBCF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652A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43A97">
            <w:pPr>
              <w:spacing w:beforeLines="0" w:afterLines="0"/>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56AD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2761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E812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DED7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2842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34CC4">
            <w:pPr>
              <w:spacing w:beforeLines="0" w:afterLines="0"/>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37CF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6D05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8FBD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81BF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0DD7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22215">
            <w:pPr>
              <w:spacing w:beforeLines="0" w:afterLines="0"/>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C2DB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C975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EBF4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64.44</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0BFE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3879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F26A0">
            <w:pPr>
              <w:spacing w:beforeLines="0" w:afterLines="0"/>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D802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0A2E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EFCC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830B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74E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B4B95">
            <w:pPr>
              <w:spacing w:beforeLines="0" w:afterLines="0"/>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B057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8C37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00C4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A66C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7C39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29134">
            <w:pPr>
              <w:spacing w:beforeLines="0" w:afterLines="0"/>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ABD5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C908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8ED0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DD08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A5A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208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CDC3F">
            <w:pPr>
              <w:spacing w:beforeLines="0" w:afterLines="0"/>
              <w:jc w:val="center"/>
              <w:rPr>
                <w:rFonts w:hint="eastAsia" w:ascii="宋体" w:hAnsi="宋体" w:cs="宋体"/>
                <w:color w:val="000000"/>
                <w:sz w:val="18"/>
                <w:szCs w:val="18"/>
              </w:rPr>
            </w:pP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21FC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18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D878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B45C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6329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0F8D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5" w:hRule="atLeast"/>
        </w:trPr>
        <w:tc>
          <w:tcPr>
            <w:tcW w:w="10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1E45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03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B273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2325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5CE5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35"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C3B94">
            <w:pPr>
              <w:spacing w:beforeLines="0" w:afterLines="0"/>
              <w:jc w:val="center"/>
              <w:rPr>
                <w:rFonts w:hint="eastAsia" w:ascii="宋体" w:hAnsi="宋体" w:cs="宋体"/>
                <w:color w:val="000000"/>
                <w:sz w:val="18"/>
                <w:szCs w:val="18"/>
              </w:rPr>
            </w:pPr>
          </w:p>
        </w:tc>
        <w:tc>
          <w:tcPr>
            <w:tcW w:w="503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26C5C">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对昭化区政府电子政务外网运行进行维护服务，保障其持续正常运转，政府外网运维服务覆盖率达到100%，服务验收合格率达100%，系统故障修复响应时间为24小时内，建立并不断完善考核管理制度，使用人员满意度达95%以上。</w:t>
            </w:r>
          </w:p>
        </w:tc>
        <w:tc>
          <w:tcPr>
            <w:tcW w:w="32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D09E1">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维护服务昭化区政府电子政务外网，建立并不断完善考核管理制度，保障其持续正常运转，政府外网运维服务覆盖率达到100%，服务验收合格率达100%，系统故障修复响应时间为24小时内，使用人员满意度达95%以上。</w:t>
            </w:r>
          </w:p>
        </w:tc>
      </w:tr>
      <w:tr w14:paraId="6BBD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tcBorders>
              <w:top w:val="single" w:color="000000" w:sz="4" w:space="0"/>
              <w:left w:val="single" w:color="000000" w:sz="4" w:space="0"/>
              <w:bottom w:val="nil"/>
              <w:right w:val="single" w:color="000000" w:sz="4" w:space="0"/>
              <w:tl2br w:val="nil"/>
              <w:tr2bl w:val="nil"/>
            </w:tcBorders>
            <w:noWrap w:val="0"/>
            <w:vAlign w:val="center"/>
          </w:tcPr>
          <w:p w14:paraId="3B947996">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44" w:type="dxa"/>
            <w:tcBorders>
              <w:top w:val="single" w:color="000000" w:sz="4" w:space="0"/>
              <w:left w:val="single" w:color="000000" w:sz="4" w:space="0"/>
              <w:bottom w:val="nil"/>
              <w:right w:val="single" w:color="000000" w:sz="4" w:space="0"/>
              <w:tl2br w:val="nil"/>
              <w:tr2bl w:val="nil"/>
            </w:tcBorders>
            <w:noWrap w:val="0"/>
            <w:vAlign w:val="center"/>
          </w:tcPr>
          <w:p w14:paraId="4F9591B9">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044" w:type="dxa"/>
            <w:tcBorders>
              <w:top w:val="single" w:color="000000" w:sz="4" w:space="0"/>
              <w:left w:val="single" w:color="000000" w:sz="4" w:space="0"/>
              <w:bottom w:val="nil"/>
              <w:right w:val="single" w:color="000000" w:sz="4" w:space="0"/>
              <w:tl2br w:val="nil"/>
              <w:tr2bl w:val="nil"/>
            </w:tcBorders>
            <w:noWrap w:val="0"/>
            <w:vAlign w:val="center"/>
          </w:tcPr>
          <w:p w14:paraId="240883F0">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1994" w:type="dxa"/>
            <w:gridSpan w:val="2"/>
            <w:tcBorders>
              <w:top w:val="single" w:color="000000" w:sz="4" w:space="0"/>
              <w:left w:val="single" w:color="000000" w:sz="4" w:space="0"/>
              <w:bottom w:val="nil"/>
              <w:right w:val="single" w:color="000000" w:sz="4" w:space="0"/>
              <w:tl2br w:val="nil"/>
              <w:tr2bl w:val="nil"/>
            </w:tcBorders>
            <w:noWrap w:val="0"/>
            <w:vAlign w:val="center"/>
          </w:tcPr>
          <w:p w14:paraId="0C69535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949" w:type="dxa"/>
            <w:tcBorders>
              <w:top w:val="single" w:color="000000" w:sz="4" w:space="0"/>
              <w:left w:val="single" w:color="000000" w:sz="4" w:space="0"/>
              <w:bottom w:val="nil"/>
              <w:right w:val="single" w:color="000000" w:sz="4" w:space="0"/>
              <w:tl2br w:val="nil"/>
              <w:tr2bl w:val="nil"/>
            </w:tcBorders>
            <w:noWrap w:val="0"/>
            <w:vAlign w:val="center"/>
          </w:tcPr>
          <w:p w14:paraId="327C85F4">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053" w:type="dxa"/>
            <w:tcBorders>
              <w:top w:val="single" w:color="000000" w:sz="4" w:space="0"/>
              <w:left w:val="single" w:color="000000" w:sz="4" w:space="0"/>
              <w:bottom w:val="nil"/>
              <w:right w:val="single" w:color="000000" w:sz="4" w:space="0"/>
              <w:tl2br w:val="nil"/>
              <w:tr2bl w:val="nil"/>
            </w:tcBorders>
            <w:noWrap w:val="0"/>
            <w:vAlign w:val="center"/>
          </w:tcPr>
          <w:p w14:paraId="31272E66">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2212" w:type="dxa"/>
            <w:tcBorders>
              <w:top w:val="single" w:color="000000" w:sz="4" w:space="0"/>
              <w:left w:val="single" w:color="000000" w:sz="4" w:space="0"/>
              <w:bottom w:val="nil"/>
              <w:right w:val="single" w:color="000000" w:sz="4" w:space="0"/>
              <w:tl2br w:val="nil"/>
              <w:tr2bl w:val="nil"/>
            </w:tcBorders>
            <w:noWrap w:val="0"/>
            <w:vAlign w:val="center"/>
          </w:tcPr>
          <w:p w14:paraId="20B342B8">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3A20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8969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0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B01B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FFFF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51F7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全区政府外网运维服务覆盖率(%)</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E7E9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8369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AB54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1608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70CBF">
            <w:pPr>
              <w:spacing w:beforeLines="0" w:afterLines="0"/>
              <w:jc w:val="center"/>
              <w:rPr>
                <w:rFonts w:hint="eastAsia" w:ascii="宋体" w:hAnsi="宋体" w:cs="宋体"/>
                <w:color w:val="000000"/>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FE3E0">
            <w:pPr>
              <w:spacing w:beforeLines="0" w:afterLines="0"/>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E7E9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71AA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服务验收合格率(%)</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1572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F84F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68B1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33A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640FC">
            <w:pPr>
              <w:spacing w:beforeLines="0" w:afterLines="0"/>
              <w:jc w:val="center"/>
              <w:rPr>
                <w:rFonts w:hint="eastAsia" w:ascii="宋体" w:hAnsi="宋体" w:cs="宋体"/>
                <w:color w:val="000000"/>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DCFD0">
            <w:pPr>
              <w:spacing w:beforeLines="0" w:afterLines="0"/>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D2F8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E254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系统故障修复响应时间</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DA76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24小时内</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3AAA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24小时内</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E323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EF4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79F1F">
            <w:pPr>
              <w:spacing w:beforeLines="0" w:afterLines="0"/>
              <w:jc w:val="center"/>
              <w:rPr>
                <w:rFonts w:hint="eastAsia" w:ascii="宋体" w:hAnsi="宋体" w:cs="宋体"/>
                <w:color w:val="000000"/>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7DC80">
            <w:pPr>
              <w:spacing w:beforeLines="0" w:afterLines="0"/>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85E6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94DE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7A13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639A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1D9A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BB9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91F87">
            <w:pPr>
              <w:spacing w:beforeLines="0" w:afterLines="0"/>
              <w:jc w:val="center"/>
              <w:rPr>
                <w:rFonts w:hint="eastAsia" w:ascii="宋体" w:hAnsi="宋体" w:cs="宋体"/>
                <w:color w:val="000000"/>
                <w:sz w:val="18"/>
                <w:szCs w:val="18"/>
              </w:rPr>
            </w:pPr>
          </w:p>
        </w:tc>
        <w:tc>
          <w:tcPr>
            <w:tcW w:w="10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92E6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6937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FE2B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具体投向(使用)率</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D8D8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9C03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DB43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EB1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2C41C">
            <w:pPr>
              <w:spacing w:beforeLines="0" w:afterLines="0"/>
              <w:jc w:val="center"/>
              <w:rPr>
                <w:rFonts w:hint="eastAsia" w:ascii="宋体" w:hAnsi="宋体" w:cs="宋体"/>
                <w:color w:val="000000"/>
                <w:sz w:val="18"/>
                <w:szCs w:val="18"/>
              </w:rPr>
            </w:pPr>
          </w:p>
        </w:tc>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70EA2">
            <w:pPr>
              <w:spacing w:beforeLines="0" w:afterLines="0"/>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B8AE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9A2E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长效管理制度健全性</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0F90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831B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364C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670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7" w:hRule="atLeast"/>
        </w:trPr>
        <w:tc>
          <w:tcPr>
            <w:tcW w:w="10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2C4B9">
            <w:pPr>
              <w:spacing w:beforeLines="0" w:afterLines="0"/>
              <w:jc w:val="center"/>
              <w:rPr>
                <w:rFonts w:hint="eastAsia" w:ascii="宋体" w:hAnsi="宋体" w:cs="宋体"/>
                <w:color w:val="000000"/>
                <w:sz w:val="18"/>
                <w:szCs w:val="18"/>
              </w:rPr>
            </w:pP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721B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0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F3EC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9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7DB4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使用人员满意度</w:t>
            </w:r>
          </w:p>
        </w:tc>
        <w:tc>
          <w:tcPr>
            <w:tcW w:w="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2F4B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0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05B8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22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E6B9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1B9B8E9E">
      <w:pPr>
        <w:pStyle w:val="2"/>
        <w:spacing w:before="72" w:afterLines="0"/>
        <w:rPr>
          <w:rFonts w:hint="eastAsia" w:hAnsi="仿宋_GB2312"/>
          <w:kern w:val="2"/>
          <w:sz w:val="32"/>
          <w:szCs w:val="24"/>
        </w:rPr>
      </w:pPr>
      <w:r>
        <w:rPr>
          <w:rFonts w:hint="eastAsia" w:hAnsi="仿宋_GB2312"/>
          <w:kern w:val="2"/>
          <w:sz w:val="32"/>
          <w:szCs w:val="24"/>
        </w:rPr>
        <w:t>附件6</w:t>
      </w:r>
    </w:p>
    <w:tbl>
      <w:tblPr>
        <w:tblStyle w:val="12"/>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0"/>
        <w:gridCol w:w="1152"/>
        <w:gridCol w:w="1218"/>
        <w:gridCol w:w="931"/>
        <w:gridCol w:w="1244"/>
        <w:gridCol w:w="1204"/>
        <w:gridCol w:w="1204"/>
        <w:gridCol w:w="1897"/>
      </w:tblGrid>
      <w:tr w14:paraId="3ECC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90" w:hRule="atLeast"/>
        </w:trPr>
        <w:tc>
          <w:tcPr>
            <w:tcW w:w="9780" w:type="dxa"/>
            <w:gridSpan w:val="8"/>
            <w:tcBorders>
              <w:top w:val="nil"/>
              <w:left w:val="nil"/>
              <w:bottom w:val="nil"/>
              <w:right w:val="nil"/>
              <w:tl2br w:val="nil"/>
              <w:tr2bl w:val="nil"/>
            </w:tcBorders>
            <w:noWrap w:val="0"/>
            <w:vAlign w:val="center"/>
          </w:tcPr>
          <w:p w14:paraId="4951D324">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广元市昭化区财政项目（政策）支出绩效自评表</w:t>
            </w:r>
          </w:p>
        </w:tc>
      </w:tr>
      <w:tr w14:paraId="37D7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6" w:hRule="atLeast"/>
        </w:trPr>
        <w:tc>
          <w:tcPr>
            <w:tcW w:w="9780" w:type="dxa"/>
            <w:gridSpan w:val="8"/>
            <w:tcBorders>
              <w:top w:val="nil"/>
              <w:left w:val="nil"/>
              <w:bottom w:val="nil"/>
              <w:right w:val="nil"/>
              <w:tl2br w:val="nil"/>
              <w:tr2bl w:val="nil"/>
            </w:tcBorders>
            <w:noWrap w:val="0"/>
            <w:vAlign w:val="top"/>
          </w:tcPr>
          <w:p w14:paraId="157F2225">
            <w:pPr>
              <w:widowControl/>
              <w:spacing w:beforeLines="0" w:afterLines="0"/>
              <w:jc w:val="center"/>
              <w:textAlignment w:val="top"/>
              <w:rPr>
                <w:rFonts w:hint="eastAsia" w:ascii="宋体" w:hAnsi="宋体" w:cs="宋体"/>
                <w:b/>
                <w:color w:val="000000"/>
                <w:sz w:val="24"/>
                <w:szCs w:val="24"/>
              </w:rPr>
            </w:pPr>
            <w:r>
              <w:rPr>
                <w:rFonts w:hint="eastAsia" w:ascii="宋体" w:hAnsi="宋体" w:cs="宋体"/>
                <w:b/>
                <w:color w:val="000000"/>
                <w:sz w:val="24"/>
                <w:szCs w:val="24"/>
                <w:lang w:bidi="ar"/>
              </w:rPr>
              <w:t>（ 2023年度）</w:t>
            </w:r>
          </w:p>
        </w:tc>
      </w:tr>
      <w:tr w14:paraId="22EF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5" w:hRule="atLeast"/>
        </w:trPr>
        <w:tc>
          <w:tcPr>
            <w:tcW w:w="20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EB24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项目(政策)名称</w:t>
            </w:r>
          </w:p>
        </w:tc>
        <w:tc>
          <w:tcPr>
            <w:tcW w:w="769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E1C2A">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主题宣传费经费</w:t>
            </w:r>
          </w:p>
        </w:tc>
      </w:tr>
      <w:tr w14:paraId="10E4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1" w:hRule="atLeast"/>
        </w:trPr>
        <w:tc>
          <w:tcPr>
            <w:tcW w:w="20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C80F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主管部门</w:t>
            </w:r>
          </w:p>
        </w:tc>
        <w:tc>
          <w:tcPr>
            <w:tcW w:w="339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EBC3D">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中共昭化区委宣传部</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612B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实施单位</w:t>
            </w:r>
          </w:p>
        </w:tc>
        <w:tc>
          <w:tcPr>
            <w:tcW w:w="31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124F3">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广元市昭化区融媒体中心</w:t>
            </w:r>
          </w:p>
        </w:tc>
      </w:tr>
      <w:tr w14:paraId="2FD1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9FAA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项目(政策)资金 (万元)</w:t>
            </w:r>
          </w:p>
        </w:tc>
        <w:tc>
          <w:tcPr>
            <w:tcW w:w="459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509B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全年预算数</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1F7FA">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全年执行数</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2FB8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执行率</w:t>
            </w:r>
          </w:p>
        </w:tc>
      </w:tr>
      <w:tr w14:paraId="4FF2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A2A08">
            <w:pPr>
              <w:spacing w:beforeLines="0" w:afterLines="0"/>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B1B9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年度资金总额</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9F07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24F6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923B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6F28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BE883">
            <w:pPr>
              <w:spacing w:beforeLines="0" w:afterLines="0"/>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7CA6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(一)财政拨款小计</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631E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9538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D6FC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284B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6CA91">
            <w:pPr>
              <w:spacing w:beforeLines="0" w:afterLines="0"/>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1C30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1.一般公共预算</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85F4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6AA3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60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D012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r>
      <w:tr w14:paraId="3864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6A54E">
            <w:pPr>
              <w:spacing w:beforeLines="0" w:afterLines="0"/>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8499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2.政府性基金</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CFA0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7719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2980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0D45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4AA7D">
            <w:pPr>
              <w:spacing w:beforeLines="0" w:afterLines="0"/>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30E0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3.国有资本经营预算</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BC2D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EAE2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9083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5E38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26B13">
            <w:pPr>
              <w:spacing w:beforeLines="0" w:afterLines="0"/>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7551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4.社保基金</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F826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5602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826C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61C5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208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68F1F">
            <w:pPr>
              <w:spacing w:beforeLines="0" w:afterLines="0"/>
              <w:jc w:val="center"/>
              <w:rPr>
                <w:rFonts w:hint="eastAsia" w:ascii="宋体" w:hAnsi="宋体" w:cs="宋体"/>
                <w:color w:val="000000"/>
                <w:sz w:val="18"/>
                <w:szCs w:val="18"/>
              </w:rPr>
            </w:pPr>
          </w:p>
        </w:tc>
        <w:tc>
          <w:tcPr>
            <w:tcW w:w="21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52C6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(二)其他资金</w:t>
            </w:r>
          </w:p>
        </w:tc>
        <w:tc>
          <w:tcPr>
            <w:tcW w:w="24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B6B7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3C95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D20B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w:t>
            </w:r>
          </w:p>
        </w:tc>
      </w:tr>
      <w:tr w14:paraId="3F27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 w:hRule="atLeast"/>
        </w:trPr>
        <w:tc>
          <w:tcPr>
            <w:tcW w:w="9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042B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年度总体目标</w:t>
            </w:r>
          </w:p>
        </w:tc>
        <w:tc>
          <w:tcPr>
            <w:tcW w:w="574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7BED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预期目标</w:t>
            </w:r>
          </w:p>
        </w:tc>
        <w:tc>
          <w:tcPr>
            <w:tcW w:w="31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D2ED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实际完成情况</w:t>
            </w:r>
          </w:p>
        </w:tc>
      </w:tr>
      <w:tr w14:paraId="658F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2FACB">
            <w:pPr>
              <w:spacing w:beforeLines="0" w:afterLines="0"/>
              <w:jc w:val="center"/>
              <w:rPr>
                <w:rFonts w:hint="eastAsia" w:ascii="宋体" w:hAnsi="宋体" w:cs="宋体"/>
                <w:color w:val="000000"/>
                <w:sz w:val="18"/>
                <w:szCs w:val="18"/>
              </w:rPr>
            </w:pPr>
          </w:p>
        </w:tc>
        <w:tc>
          <w:tcPr>
            <w:tcW w:w="574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9C164">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为区委、区政府、区人大、区政协四大班子及区内各执法部门机关、乡镇做好区内外新闻宣传报道不少于1500条/年；每年与广元市广播电视台联办《直通昭化》新闻栏目，每期10分钟，每周一期，宣传昭化区经济社会发展最新动态；与四川广播电视台合作，每年在四川广播电视台上稿不少于20条，发布新媒体软文不少于5条在《四川观察》客户端、微博、今日头条等平台。确保新闻报道、电视节目覆盖收视率等达到90%以上。</w:t>
            </w:r>
          </w:p>
        </w:tc>
        <w:tc>
          <w:tcPr>
            <w:tcW w:w="31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37D45">
            <w:pPr>
              <w:widowControl/>
              <w:spacing w:beforeLines="0" w:afterLines="0"/>
              <w:jc w:val="both"/>
              <w:textAlignment w:val="center"/>
              <w:rPr>
                <w:rFonts w:hint="eastAsia" w:ascii="宋体" w:hAnsi="宋体" w:cs="宋体"/>
                <w:color w:val="000000"/>
                <w:sz w:val="18"/>
                <w:szCs w:val="18"/>
              </w:rPr>
            </w:pPr>
            <w:r>
              <w:rPr>
                <w:rFonts w:hint="eastAsia" w:ascii="宋体" w:hAnsi="宋体" w:cs="宋体"/>
                <w:color w:val="000000"/>
                <w:sz w:val="18"/>
                <w:szCs w:val="18"/>
                <w:lang w:bidi="ar"/>
              </w:rPr>
              <w:t>为区委、区政府、区人大、区政协四大班子及区内各执法部门机关、乡镇做好区内外新闻宣传报道不少于5000条/年；每年与广元市广播电视台联办《直通昭化》新闻栏目，每期10分钟，每周一期，宣传昭化区经济社会发展最新动态；与四川广播电视台合作，每年在四川广播电视台上稿不少于20条，发布新媒体软文不少于15条在《四川观察》客户端、微博、今日头条等平台。确保新闻报道、电视节目覆盖收视率等达到90%以上。</w:t>
            </w:r>
          </w:p>
        </w:tc>
      </w:tr>
      <w:tr w14:paraId="50BC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A6B7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绩效指标</w:t>
            </w:r>
          </w:p>
        </w:tc>
        <w:tc>
          <w:tcPr>
            <w:tcW w:w="1152" w:type="dxa"/>
            <w:tcBorders>
              <w:top w:val="single" w:color="000000" w:sz="4" w:space="0"/>
              <w:left w:val="nil"/>
              <w:bottom w:val="single" w:color="000000" w:sz="4" w:space="0"/>
              <w:right w:val="single" w:color="000000" w:sz="4" w:space="0"/>
              <w:tl2br w:val="nil"/>
              <w:tr2bl w:val="nil"/>
            </w:tcBorders>
            <w:noWrap w:val="0"/>
            <w:vAlign w:val="center"/>
          </w:tcPr>
          <w:p w14:paraId="2FA28FAB">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一级指标</w:t>
            </w: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DBEEE">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二级指标</w:t>
            </w: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784F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三级指标</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BB3D4">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年度指标值</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ED0A9">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实际完成值</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2BF51">
            <w:pPr>
              <w:widowControl/>
              <w:spacing w:beforeLines="0" w:afterLines="0"/>
              <w:textAlignment w:val="center"/>
              <w:rPr>
                <w:rFonts w:hint="eastAsia" w:ascii="宋体" w:hAnsi="宋体" w:cs="宋体"/>
                <w:color w:val="000000"/>
                <w:sz w:val="18"/>
                <w:szCs w:val="18"/>
              </w:rPr>
            </w:pPr>
            <w:r>
              <w:rPr>
                <w:rFonts w:hint="eastAsia" w:ascii="宋体" w:hAnsi="宋体" w:cs="宋体"/>
                <w:color w:val="000000"/>
                <w:sz w:val="18"/>
                <w:szCs w:val="18"/>
                <w:lang w:bidi="ar"/>
              </w:rPr>
              <w:t>偏差原因分析及改进措施</w:t>
            </w:r>
          </w:p>
        </w:tc>
      </w:tr>
      <w:tr w14:paraId="2226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E867C">
            <w:pPr>
              <w:spacing w:beforeLines="0" w:afterLines="0"/>
              <w:jc w:val="center"/>
              <w:rPr>
                <w:rFonts w:hint="eastAsia" w:ascii="宋体" w:hAnsi="宋体" w:cs="宋体"/>
                <w:color w:val="000000"/>
                <w:sz w:val="18"/>
                <w:szCs w:val="18"/>
              </w:rPr>
            </w:pPr>
          </w:p>
        </w:tc>
        <w:tc>
          <w:tcPr>
            <w:tcW w:w="1152" w:type="dxa"/>
            <w:vMerge w:val="restart"/>
            <w:tcBorders>
              <w:top w:val="single" w:color="000000" w:sz="4" w:space="0"/>
              <w:left w:val="nil"/>
              <w:bottom w:val="single" w:color="000000" w:sz="4" w:space="0"/>
              <w:right w:val="single" w:color="000000" w:sz="4" w:space="0"/>
              <w:tl2br w:val="nil"/>
              <w:tr2bl w:val="nil"/>
            </w:tcBorders>
            <w:noWrap w:val="0"/>
            <w:vAlign w:val="center"/>
          </w:tcPr>
          <w:p w14:paraId="145CD8C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12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C7F8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71C97FF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区内外宣传上稿量</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1A78FD0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≥1500条/年</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301D5CA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≥5000条/年</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1500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2DD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10B1C">
            <w:pPr>
              <w:spacing w:beforeLines="0" w:afterLines="0"/>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4DAE7C78">
            <w:pPr>
              <w:spacing w:beforeLines="0" w:afterLines="0"/>
              <w:jc w:val="center"/>
              <w:rPr>
                <w:rFonts w:hint="eastAsia" w:ascii="宋体" w:hAnsi="宋体" w:cs="宋体"/>
                <w:color w:val="000000"/>
                <w:sz w:val="18"/>
                <w:szCs w:val="18"/>
              </w:rPr>
            </w:pPr>
          </w:p>
        </w:tc>
        <w:tc>
          <w:tcPr>
            <w:tcW w:w="12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589C1">
            <w:pPr>
              <w:spacing w:beforeLines="0" w:afterLines="0"/>
              <w:jc w:val="center"/>
              <w:rPr>
                <w:rFonts w:hint="eastAsia" w:ascii="宋体" w:hAnsi="宋体" w:cs="宋体"/>
                <w:color w:val="000000"/>
                <w:sz w:val="18"/>
                <w:szCs w:val="18"/>
              </w:rPr>
            </w:pP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64422969">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《直通昭化》新闻栏目播出数</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72DC85C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1期/周</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20AB7AF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1期/周</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B096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9F3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E3DA8">
            <w:pPr>
              <w:spacing w:beforeLines="0" w:afterLines="0"/>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440263F9">
            <w:pPr>
              <w:spacing w:beforeLines="0" w:afterLines="0"/>
              <w:jc w:val="center"/>
              <w:rPr>
                <w:rFonts w:hint="eastAsia" w:ascii="宋体" w:hAnsi="宋体" w:cs="宋体"/>
                <w:color w:val="000000"/>
                <w:sz w:val="18"/>
                <w:szCs w:val="18"/>
              </w:rPr>
            </w:pPr>
          </w:p>
        </w:tc>
        <w:tc>
          <w:tcPr>
            <w:tcW w:w="12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FBDC6">
            <w:pPr>
              <w:spacing w:beforeLines="0" w:afterLines="0"/>
              <w:jc w:val="center"/>
              <w:rPr>
                <w:rFonts w:hint="eastAsia" w:ascii="宋体" w:hAnsi="宋体" w:cs="宋体"/>
                <w:color w:val="000000"/>
                <w:sz w:val="18"/>
                <w:szCs w:val="18"/>
              </w:rPr>
            </w:pP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1E0F1CC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《四川新闻》上稿量</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2F62D4DD">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≥10条/年</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3040DFA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≥20条/年</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F979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414C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B1A46">
            <w:pPr>
              <w:spacing w:beforeLines="0" w:afterLines="0"/>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7685D1CF">
            <w:pPr>
              <w:spacing w:beforeLines="0" w:afterLines="0"/>
              <w:jc w:val="center"/>
              <w:rPr>
                <w:rFonts w:hint="eastAsia" w:ascii="宋体" w:hAnsi="宋体" w:cs="宋体"/>
                <w:color w:val="000000"/>
                <w:sz w:val="18"/>
                <w:szCs w:val="18"/>
              </w:rPr>
            </w:pPr>
          </w:p>
        </w:tc>
        <w:tc>
          <w:tcPr>
            <w:tcW w:w="12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6929D">
            <w:pPr>
              <w:spacing w:beforeLines="0" w:afterLines="0"/>
              <w:jc w:val="center"/>
              <w:rPr>
                <w:rFonts w:hint="eastAsia" w:ascii="宋体" w:hAnsi="宋体" w:cs="宋体"/>
                <w:color w:val="000000"/>
                <w:sz w:val="18"/>
                <w:szCs w:val="18"/>
              </w:rPr>
            </w:pP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3DD864E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《四川观察》平台重点上稿量</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5DF98BD6">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≥5条/年</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0B69552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≥15条/年</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17E0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CCA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DF76F">
            <w:pPr>
              <w:spacing w:beforeLines="0" w:afterLines="0"/>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208CAB7E">
            <w:pPr>
              <w:spacing w:beforeLines="0" w:afterLines="0"/>
              <w:jc w:val="center"/>
              <w:rPr>
                <w:rFonts w:hint="eastAsia" w:ascii="宋体" w:hAnsi="宋体" w:cs="宋体"/>
                <w:color w:val="000000"/>
                <w:sz w:val="18"/>
                <w:szCs w:val="18"/>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81B2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质量指标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7BCE844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稿件合格率(%)</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7CA52CE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1C78590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FC8F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283D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194DD">
            <w:pPr>
              <w:spacing w:beforeLines="0" w:afterLines="0"/>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370A7313">
            <w:pPr>
              <w:spacing w:beforeLines="0" w:afterLines="0"/>
              <w:jc w:val="center"/>
              <w:rPr>
                <w:rFonts w:hint="eastAsia" w:ascii="宋体" w:hAnsi="宋体" w:cs="宋体"/>
                <w:color w:val="000000"/>
                <w:sz w:val="18"/>
                <w:szCs w:val="18"/>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0B24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4043EA2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稿件宣推及时率(%)</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0CFBBDD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3CE9F3B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4CE2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6905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3"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80F8A">
            <w:pPr>
              <w:spacing w:beforeLines="0" w:afterLines="0"/>
              <w:jc w:val="center"/>
              <w:rPr>
                <w:rFonts w:hint="eastAsia" w:ascii="宋体" w:hAnsi="宋体" w:cs="宋体"/>
                <w:color w:val="000000"/>
                <w:sz w:val="18"/>
                <w:szCs w:val="18"/>
              </w:rPr>
            </w:pPr>
          </w:p>
        </w:tc>
        <w:tc>
          <w:tcPr>
            <w:tcW w:w="1152" w:type="dxa"/>
            <w:vMerge w:val="continue"/>
            <w:tcBorders>
              <w:top w:val="single" w:color="000000" w:sz="4" w:space="0"/>
              <w:left w:val="nil"/>
              <w:bottom w:val="single" w:color="000000" w:sz="4" w:space="0"/>
              <w:right w:val="single" w:color="000000" w:sz="4" w:space="0"/>
              <w:tl2br w:val="nil"/>
              <w:tr2bl w:val="nil"/>
            </w:tcBorders>
            <w:noWrap w:val="0"/>
            <w:vAlign w:val="center"/>
          </w:tcPr>
          <w:p w14:paraId="104AC4D1">
            <w:pPr>
              <w:spacing w:beforeLines="0" w:afterLines="0"/>
              <w:jc w:val="center"/>
              <w:rPr>
                <w:rFonts w:hint="eastAsia" w:ascii="宋体" w:hAnsi="宋体" w:cs="宋体"/>
                <w:color w:val="000000"/>
                <w:sz w:val="18"/>
                <w:szCs w:val="18"/>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7163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成本指标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3160DF6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经费支出额度</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70CD6C9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3F0A87E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9E21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8D1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30E65">
            <w:pPr>
              <w:spacing w:beforeLines="0" w:afterLines="0"/>
              <w:jc w:val="center"/>
              <w:rPr>
                <w:rFonts w:hint="eastAsia" w:ascii="宋体" w:hAnsi="宋体" w:cs="宋体"/>
                <w:color w:val="000000"/>
                <w:sz w:val="18"/>
                <w:szCs w:val="18"/>
              </w:rPr>
            </w:pPr>
          </w:p>
        </w:tc>
        <w:tc>
          <w:tcPr>
            <w:tcW w:w="1152" w:type="dxa"/>
            <w:vMerge w:val="restart"/>
            <w:tcBorders>
              <w:top w:val="single" w:color="000000" w:sz="4" w:space="0"/>
              <w:left w:val="nil"/>
              <w:bottom w:val="nil"/>
              <w:right w:val="single" w:color="000000" w:sz="4" w:space="0"/>
              <w:tl2br w:val="nil"/>
              <w:tr2bl w:val="nil"/>
            </w:tcBorders>
            <w:noWrap w:val="0"/>
            <w:vAlign w:val="center"/>
          </w:tcPr>
          <w:p w14:paraId="47D44468">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效益指标</w:t>
            </w: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530A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经济效益指标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1A2D4A6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宣传创收任务</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3FFCA31A">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≥10万元/年</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1D0876A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≥20万元/年</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EE310">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52E0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2CEC7">
            <w:pPr>
              <w:spacing w:beforeLines="0" w:afterLines="0"/>
              <w:jc w:val="center"/>
              <w:rPr>
                <w:rFonts w:hint="eastAsia" w:ascii="宋体" w:hAnsi="宋体" w:cs="宋体"/>
                <w:color w:val="000000"/>
                <w:sz w:val="18"/>
                <w:szCs w:val="18"/>
              </w:rPr>
            </w:pPr>
          </w:p>
        </w:tc>
        <w:tc>
          <w:tcPr>
            <w:tcW w:w="1152" w:type="dxa"/>
            <w:vMerge w:val="continue"/>
            <w:tcBorders>
              <w:top w:val="single" w:color="000000" w:sz="4" w:space="0"/>
              <w:left w:val="nil"/>
              <w:bottom w:val="nil"/>
              <w:right w:val="single" w:color="000000" w:sz="4" w:space="0"/>
              <w:tl2br w:val="nil"/>
              <w:tr2bl w:val="nil"/>
            </w:tcBorders>
            <w:noWrap w:val="0"/>
            <w:vAlign w:val="center"/>
          </w:tcPr>
          <w:p w14:paraId="6F816AC2">
            <w:pPr>
              <w:spacing w:beforeLines="0" w:afterLines="0"/>
              <w:jc w:val="center"/>
              <w:rPr>
                <w:rFonts w:hint="eastAsia" w:ascii="宋体" w:hAnsi="宋体" w:cs="宋体"/>
                <w:color w:val="000000"/>
                <w:sz w:val="18"/>
                <w:szCs w:val="18"/>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3F2D7">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社会效益指标</w:t>
            </w:r>
          </w:p>
        </w:tc>
        <w:tc>
          <w:tcPr>
            <w:tcW w:w="2175" w:type="dxa"/>
            <w:gridSpan w:val="2"/>
            <w:tcBorders>
              <w:top w:val="single" w:color="000000" w:sz="4" w:space="0"/>
              <w:left w:val="single" w:color="000000" w:sz="4" w:space="0"/>
              <w:bottom w:val="single" w:color="000000" w:sz="4" w:space="0"/>
              <w:right w:val="nil"/>
              <w:tl2br w:val="nil"/>
              <w:tr2bl w:val="nil"/>
            </w:tcBorders>
            <w:noWrap w:val="0"/>
            <w:vAlign w:val="center"/>
          </w:tcPr>
          <w:p w14:paraId="7D63D704">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收视、收听率(%)</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1EF688C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1204" w:type="dxa"/>
            <w:tcBorders>
              <w:top w:val="single" w:color="000000" w:sz="4" w:space="0"/>
              <w:left w:val="single" w:color="000000" w:sz="4" w:space="0"/>
              <w:bottom w:val="single" w:color="000000" w:sz="4" w:space="0"/>
              <w:right w:val="nil"/>
              <w:tl2br w:val="nil"/>
              <w:tr2bl w:val="nil"/>
            </w:tcBorders>
            <w:noWrap w:val="0"/>
            <w:vAlign w:val="center"/>
          </w:tcPr>
          <w:p w14:paraId="77818BDF">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C89A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22BA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5"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1354E">
            <w:pPr>
              <w:spacing w:beforeLines="0" w:afterLines="0"/>
              <w:jc w:val="center"/>
              <w:rPr>
                <w:rFonts w:hint="eastAsia" w:ascii="宋体" w:hAnsi="宋体" w:cs="宋体"/>
                <w:color w:val="000000"/>
                <w:sz w:val="18"/>
                <w:szCs w:val="18"/>
              </w:rPr>
            </w:pPr>
          </w:p>
        </w:tc>
        <w:tc>
          <w:tcPr>
            <w:tcW w:w="1152" w:type="dxa"/>
            <w:vMerge w:val="continue"/>
            <w:tcBorders>
              <w:top w:val="single" w:color="000000" w:sz="4" w:space="0"/>
              <w:left w:val="nil"/>
              <w:bottom w:val="nil"/>
              <w:right w:val="single" w:color="000000" w:sz="4" w:space="0"/>
              <w:tl2br w:val="nil"/>
              <w:tr2bl w:val="nil"/>
            </w:tcBorders>
            <w:noWrap w:val="0"/>
            <w:vAlign w:val="center"/>
          </w:tcPr>
          <w:p w14:paraId="15E8B324">
            <w:pPr>
              <w:spacing w:beforeLines="0" w:afterLines="0"/>
              <w:jc w:val="center"/>
              <w:rPr>
                <w:rFonts w:hint="eastAsia" w:ascii="宋体" w:hAnsi="宋体" w:cs="宋体"/>
                <w:color w:val="000000"/>
                <w:sz w:val="18"/>
                <w:szCs w:val="18"/>
              </w:rPr>
            </w:pPr>
          </w:p>
        </w:tc>
        <w:tc>
          <w:tcPr>
            <w:tcW w:w="1218" w:type="dxa"/>
            <w:tcBorders>
              <w:top w:val="single" w:color="000000" w:sz="4" w:space="0"/>
              <w:left w:val="single" w:color="000000" w:sz="4" w:space="0"/>
              <w:bottom w:val="nil"/>
              <w:right w:val="single" w:color="000000" w:sz="4" w:space="0"/>
              <w:tl2br w:val="nil"/>
              <w:tr2bl w:val="nil"/>
            </w:tcBorders>
            <w:noWrap w:val="0"/>
            <w:vAlign w:val="center"/>
          </w:tcPr>
          <w:p w14:paraId="6683263C">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可持续影响指标</w:t>
            </w:r>
          </w:p>
        </w:tc>
        <w:tc>
          <w:tcPr>
            <w:tcW w:w="2175" w:type="dxa"/>
            <w:gridSpan w:val="2"/>
            <w:tcBorders>
              <w:top w:val="single" w:color="000000" w:sz="4" w:space="0"/>
              <w:left w:val="single" w:color="000000" w:sz="4" w:space="0"/>
              <w:bottom w:val="nil"/>
              <w:right w:val="nil"/>
              <w:tl2br w:val="nil"/>
              <w:tr2bl w:val="nil"/>
            </w:tcBorders>
            <w:noWrap w:val="0"/>
            <w:vAlign w:val="center"/>
          </w:tcPr>
          <w:p w14:paraId="01028BA5">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政务民生等宣传服务率</w:t>
            </w:r>
          </w:p>
        </w:tc>
        <w:tc>
          <w:tcPr>
            <w:tcW w:w="1204" w:type="dxa"/>
            <w:tcBorders>
              <w:top w:val="single" w:color="000000" w:sz="4" w:space="0"/>
              <w:left w:val="single" w:color="000000" w:sz="4" w:space="0"/>
              <w:bottom w:val="nil"/>
              <w:right w:val="nil"/>
              <w:tl2br w:val="nil"/>
              <w:tr2bl w:val="nil"/>
            </w:tcBorders>
            <w:noWrap w:val="0"/>
            <w:vAlign w:val="center"/>
          </w:tcPr>
          <w:p w14:paraId="1D40910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204" w:type="dxa"/>
            <w:tcBorders>
              <w:top w:val="single" w:color="000000" w:sz="4" w:space="0"/>
              <w:left w:val="single" w:color="000000" w:sz="4" w:space="0"/>
              <w:bottom w:val="nil"/>
              <w:right w:val="nil"/>
              <w:tl2br w:val="nil"/>
              <w:tr2bl w:val="nil"/>
            </w:tcBorders>
            <w:noWrap w:val="0"/>
            <w:vAlign w:val="center"/>
          </w:tcPr>
          <w:p w14:paraId="7E8CD43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C54F1">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r w14:paraId="721D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4" w:hRule="atLeast"/>
        </w:trPr>
        <w:tc>
          <w:tcPr>
            <w:tcW w:w="9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9E86A">
            <w:pPr>
              <w:spacing w:beforeLines="0" w:afterLines="0"/>
              <w:jc w:val="center"/>
              <w:rPr>
                <w:rFonts w:hint="eastAsia" w:ascii="宋体" w:hAnsi="宋体" w:cs="宋体"/>
                <w:color w:val="000000"/>
                <w:sz w:val="18"/>
                <w:szCs w:val="18"/>
              </w:rPr>
            </w:pPr>
          </w:p>
        </w:tc>
        <w:tc>
          <w:tcPr>
            <w:tcW w:w="1152" w:type="dxa"/>
            <w:tcBorders>
              <w:top w:val="single" w:color="000000" w:sz="4" w:space="0"/>
              <w:left w:val="nil"/>
              <w:bottom w:val="single" w:color="000000" w:sz="4" w:space="0"/>
              <w:right w:val="single" w:color="000000" w:sz="4" w:space="0"/>
              <w:tl2br w:val="nil"/>
              <w:tr2bl w:val="nil"/>
            </w:tcBorders>
            <w:noWrap w:val="0"/>
            <w:vAlign w:val="center"/>
          </w:tcPr>
          <w:p w14:paraId="66D9FDAB">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31DE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满意度指标</w:t>
            </w:r>
          </w:p>
        </w:tc>
        <w:tc>
          <w:tcPr>
            <w:tcW w:w="21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772F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受惠群众满意度</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80E02">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2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6C18E">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8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2CB23">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无</w:t>
            </w:r>
          </w:p>
        </w:tc>
      </w:tr>
    </w:tbl>
    <w:p w14:paraId="0A540C67">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24EBCA6F">
      <w:pPr>
        <w:pStyle w:val="2"/>
        <w:spacing w:before="72" w:afterLines="0"/>
        <w:rPr>
          <w:rFonts w:hint="eastAsia"/>
          <w:sz w:val="30"/>
          <w:szCs w:val="24"/>
        </w:rPr>
      </w:pPr>
    </w:p>
    <w:p w14:paraId="3C1D04AC">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3FE3E93D">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2AC06B58">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5FEA768F">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1E3C0464">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3179008A">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307CDE1E">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380B942C">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672004C9">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3027202D">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2CB7A294">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7826421E">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48709654">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1DC48D4F">
      <w:pPr>
        <w:overflowPunct w:val="0"/>
        <w:topLinePunct/>
        <w:spacing w:beforeLines="0" w:afterLines="0"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4E6E6B0-D5F0-4BE9-AAF8-528EE1E6E32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747C6AA-6544-4FE3-AE2F-FA29A9D57B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B056CB5-ED53-46D5-AA94-D629A5E54355}"/>
  </w:font>
  <w:font w:name="仿宋_GB2312">
    <w:altName w:val="仿宋"/>
    <w:panose1 w:val="02010609030101010101"/>
    <w:charset w:val="86"/>
    <w:family w:val="modern"/>
    <w:pitch w:val="default"/>
    <w:sig w:usb0="00000000" w:usb1="00000000" w:usb2="00000000" w:usb3="00000000" w:csb0="00040000" w:csb1="00000000"/>
    <w:embedRegular r:id="rId4" w:fontKey="{17333E35-0450-4A99-899A-752F4096FFF2}"/>
  </w:font>
  <w:font w:name="仿宋">
    <w:panose1 w:val="02010609060101010101"/>
    <w:charset w:val="86"/>
    <w:family w:val="modern"/>
    <w:pitch w:val="default"/>
    <w:sig w:usb0="800002BF" w:usb1="38CF7CFA" w:usb2="00000016" w:usb3="00000000" w:csb0="00040001" w:csb1="00000000"/>
    <w:embedRegular r:id="rId5" w:fontKey="{CC34DF81-A96C-4C6D-A6D7-95B31461BDD7}"/>
  </w:font>
  <w:font w:name="Cambria">
    <w:panose1 w:val="02040503050406030204"/>
    <w:charset w:val="00"/>
    <w:family w:val="roman"/>
    <w:pitch w:val="default"/>
    <w:sig w:usb0="E00006FF" w:usb1="420024FF" w:usb2="02000000" w:usb3="00000000" w:csb0="2000019F" w:csb1="00000000"/>
    <w:embedRegular r:id="rId6" w:fontKey="{ABBC4396-DFD6-4EBB-A652-CCD1D1A2AFAC}"/>
  </w:font>
  <w:font w:name="方正小标宋简体">
    <w:panose1 w:val="02000000000000000000"/>
    <w:charset w:val="86"/>
    <w:family w:val="auto"/>
    <w:pitch w:val="default"/>
    <w:sig w:usb0="00000001" w:usb1="08000000" w:usb2="00000000" w:usb3="00000000" w:csb0="00040000" w:csb1="00000000"/>
    <w:embedRegular r:id="rId7" w:fontKey="{1B329E04-AC49-4CAC-8499-E12D2612DC00}"/>
  </w:font>
  <w:font w:name="楷体_GB2312">
    <w:panose1 w:val="02010609030101010101"/>
    <w:charset w:val="86"/>
    <w:family w:val="modern"/>
    <w:pitch w:val="default"/>
    <w:sig w:usb0="00000001" w:usb1="080E0000" w:usb2="00000000" w:usb3="00000000" w:csb0="00040000" w:csb1="00000000"/>
    <w:embedRegular r:id="rId8" w:fontKey="{C5EEE7E2-CA42-4ED2-A40E-A7D97977E253}"/>
  </w:font>
  <w:font w:name="仿宋_GB2312">
    <w:altName w:val="仿宋"/>
    <w:panose1 w:val="00000000000000000000"/>
    <w:charset w:val="00"/>
    <w:family w:val="auto"/>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embedRegular r:id="rId9" w:fontKey="{D2E4AC0B-513C-411E-B352-8D8A6CB46F7F}"/>
  </w:font>
  <w:font w:name="华文中宋">
    <w:panose1 w:val="02010600040101010101"/>
    <w:charset w:val="86"/>
    <w:family w:val="auto"/>
    <w:pitch w:val="default"/>
    <w:sig w:usb0="00000287" w:usb1="080F0000" w:usb2="00000000" w:usb3="00000000" w:csb0="0004009F" w:csb1="DFD70000"/>
    <w:embedRegular r:id="rId10" w:fontKey="{A6659461-2BF2-48D9-AE6B-D0B78A2F15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25F9D">
    <w:pPr>
      <w:pStyle w:val="8"/>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43963F">
                          <w:pPr>
                            <w:pStyle w:val="8"/>
                            <w:spacing w:beforeLines="0" w:after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Q+4/TdAQAAvgMAAA4AAAAAAAAA&#10;AQAgAAAAHgEAAGRycy9lMm9Eb2MueG1sUEsFBgAAAAAGAAYAWQEAAG0FAAAAAA==&#10;">
              <v:fill on="f" focussize="0,0"/>
              <v:stroke on="f"/>
              <v:imagedata o:title=""/>
              <o:lock v:ext="edit" aspectratio="f"/>
              <v:textbox inset="0mm,0mm,0mm,0mm" style="mso-fit-shape-to-text:t;">
                <w:txbxContent>
                  <w:p w14:paraId="5043963F">
                    <w:pPr>
                      <w:pStyle w:val="8"/>
                      <w:spacing w:beforeLines="0" w:after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D370">
    <w:pPr>
      <w:pStyle w:val="8"/>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8EA389">
                          <w:pPr>
                            <w:pStyle w:val="8"/>
                            <w:spacing w:beforeLines="0" w:after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8ag7TdAQAAvwMAAA4AAAAAAAAA&#10;AQAgAAAAHgEAAGRycy9lMm9Eb2MueG1sUEsFBgAAAAAGAAYAWQEAAG0FAAAAAA==&#10;">
              <v:fill on="f" focussize="0,0"/>
              <v:stroke on="f"/>
              <v:imagedata o:title=""/>
              <o:lock v:ext="edit" aspectratio="f"/>
              <v:textbox inset="0mm,0mm,0mm,0mm" style="mso-fit-shape-to-text:t;">
                <w:txbxContent>
                  <w:p w14:paraId="2A8EA389">
                    <w:pPr>
                      <w:pStyle w:val="8"/>
                      <w:spacing w:beforeLines="0" w:after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9715">
    <w:pPr>
      <w:pStyle w:val="8"/>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2CDF7C">
                          <w:pPr>
                            <w:pStyle w:val="8"/>
                            <w:spacing w:beforeLines="0" w:after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l73d0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9w5oSlgV++f7v8+HX5+ZWt&#10;kjx9iBVl3QXKw+GVH2hpZn8kZ2I9tGDTn/gwipO456u4akAm06X1ar0uKSQpNh8Iv7i/HiDiG+Ut&#10;S0bNgaaXRRWndxHH1DklVXP+VhuTJ2jcXw7CTJ4i9T72mCwc9sNEaO+bM/GhZ0B1Og9fOOtpCWru&#10;aOc5M28daZz2ZTZgNvazIZykizVHzkbzNY57dQygDx3hLnPzM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DJe93dAQAAvgMAAA4AAAAAAAAA&#10;AQAgAAAAHgEAAGRycy9lMm9Eb2MueG1sUEsFBgAAAAAGAAYAWQEAAG0FAAAAAA==&#10;">
              <v:fill on="f" focussize="0,0"/>
              <v:stroke on="f"/>
              <v:imagedata o:title=""/>
              <o:lock v:ext="edit" aspectratio="f"/>
              <v:textbox inset="0mm,0mm,0mm,0mm" style="mso-fit-shape-to-text:t;">
                <w:txbxContent>
                  <w:p w14:paraId="382CDF7C">
                    <w:pPr>
                      <w:pStyle w:val="8"/>
                      <w:spacing w:beforeLines="0" w:after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g3NmI1MGYwODhhYzU4NTg2MTIzMmE1ZWQ4ZDAifQ=="/>
  </w:docVars>
  <w:rsids>
    <w:rsidRoot w:val="00172A27"/>
    <w:rsid w:val="67E249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3">
    <w:name w:val="heading 1"/>
    <w:basedOn w:val="1"/>
    <w:link w:val="22"/>
    <w:unhideWhenUsed/>
    <w:qFormat/>
    <w:uiPriority w:val="99"/>
    <w:pPr>
      <w:spacing w:beforeLines="0" w:afterLines="0"/>
      <w:outlineLvl w:val="0"/>
    </w:pPr>
    <w:rPr>
      <w:rFonts w:hint="eastAsia"/>
      <w:sz w:val="24"/>
      <w:szCs w:val="24"/>
    </w:rPr>
  </w:style>
  <w:style w:type="paragraph" w:styleId="4">
    <w:name w:val="heading 2"/>
    <w:basedOn w:val="1"/>
    <w:link w:val="17"/>
    <w:unhideWhenUsed/>
    <w:qFormat/>
    <w:uiPriority w:val="99"/>
    <w:pPr>
      <w:spacing w:beforeLines="0" w:afterLines="0"/>
      <w:outlineLvl w:val="1"/>
    </w:pPr>
    <w:rPr>
      <w:rFonts w:hint="eastAsia"/>
      <w:sz w:val="24"/>
      <w:szCs w:val="24"/>
    </w:rPr>
  </w:style>
  <w:style w:type="character" w:default="1" w:styleId="13">
    <w:name w:val="Default Paragraph Font"/>
    <w:unhideWhenUsed/>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link w:val="18"/>
    <w:unhideWhenUsed/>
    <w:qFormat/>
    <w:uiPriority w:val="99"/>
    <w:pPr>
      <w:spacing w:beforeLines="30" w:afterLines="0"/>
    </w:pPr>
    <w:rPr>
      <w:rFonts w:hint="eastAsia" w:ascii="仿宋_GB2312" w:eastAsia="仿宋_GB2312"/>
      <w:sz w:val="30"/>
      <w:szCs w:val="24"/>
    </w:rPr>
  </w:style>
  <w:style w:type="paragraph" w:styleId="5">
    <w:name w:val="Body Text Indent"/>
    <w:basedOn w:val="1"/>
    <w:next w:val="6"/>
    <w:unhideWhenUsed/>
    <w:qFormat/>
    <w:uiPriority w:val="0"/>
    <w:pPr>
      <w:spacing w:beforeLines="0" w:after="120" w:afterLines="0"/>
      <w:ind w:leftChars="200"/>
    </w:pPr>
    <w:rPr>
      <w:rFonts w:hint="eastAsia" w:ascii="仿宋_GB2312"/>
      <w:sz w:val="24"/>
      <w:szCs w:val="32"/>
    </w:rPr>
  </w:style>
  <w:style w:type="paragraph" w:styleId="6">
    <w:name w:val="Body Text First Indent 2"/>
    <w:basedOn w:val="5"/>
    <w:unhideWhenUsed/>
    <w:qFormat/>
    <w:uiPriority w:val="99"/>
    <w:pPr>
      <w:spacing w:beforeLines="0" w:afterLines="0"/>
      <w:ind w:firstLine="420" w:firstLineChars="200"/>
    </w:pPr>
    <w:rPr>
      <w:rFonts w:hint="eastAsia"/>
      <w:sz w:val="24"/>
      <w:szCs w:val="32"/>
    </w:rPr>
  </w:style>
  <w:style w:type="paragraph" w:styleId="7">
    <w:name w:val="Plain Text"/>
    <w:basedOn w:val="1"/>
    <w:unhideWhenUsed/>
    <w:qFormat/>
    <w:uiPriority w:val="0"/>
    <w:pPr>
      <w:spacing w:beforeLines="0" w:afterLines="0" w:line="620" w:lineRule="exact"/>
      <w:ind w:firstLine="1140" w:firstLineChars="200"/>
    </w:pPr>
    <w:rPr>
      <w:rFonts w:hint="eastAsia" w:ascii="宋体" w:hAnsi="Courier New" w:eastAsia="仿宋" w:cs="宋体"/>
      <w:sz w:val="32"/>
      <w:szCs w:val="32"/>
    </w:rPr>
  </w:style>
  <w:style w:type="paragraph" w:styleId="8">
    <w:name w:val="footer"/>
    <w:basedOn w:val="1"/>
    <w:link w:val="16"/>
    <w:unhideWhenUsed/>
    <w:qFormat/>
    <w:uiPriority w:val="99"/>
    <w:pPr>
      <w:tabs>
        <w:tab w:val="center" w:pos="4153"/>
        <w:tab w:val="right" w:pos="8306"/>
      </w:tabs>
      <w:snapToGrid w:val="0"/>
      <w:spacing w:beforeLines="0" w:afterLines="0"/>
    </w:pPr>
    <w:rPr>
      <w:rFonts w:hint="eastAsia"/>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0">
    <w:name w:val="footnote text"/>
    <w:basedOn w:val="1"/>
    <w:next w:val="6"/>
    <w:unhideWhenUsed/>
    <w:qFormat/>
    <w:uiPriority w:val="0"/>
    <w:pPr>
      <w:snapToGrid w:val="0"/>
      <w:spacing w:beforeLines="0" w:afterLines="0"/>
    </w:pPr>
    <w:rPr>
      <w:rFonts w:hint="eastAsia"/>
      <w:sz w:val="18"/>
      <w:szCs w:val="18"/>
    </w:rPr>
  </w:style>
  <w:style w:type="paragraph" w:styleId="11">
    <w:name w:val="Normal (Web)"/>
    <w:basedOn w:val="1"/>
    <w:unhideWhenUsed/>
    <w:uiPriority w:val="0"/>
    <w:pPr>
      <w:spacing w:before="100" w:beforeLines="0" w:beforeAutospacing="1" w:after="100" w:afterLines="0" w:afterAutospacing="1"/>
    </w:pPr>
    <w:rPr>
      <w:rFonts w:hint="eastAsia"/>
      <w:sz w:val="24"/>
      <w:szCs w:val="24"/>
      <w:lang w:bidi="ar"/>
    </w:rPr>
  </w:style>
  <w:style w:type="character" w:styleId="14">
    <w:name w:val="Strong"/>
    <w:basedOn w:val="13"/>
    <w:unhideWhenUsed/>
    <w:qFormat/>
    <w:uiPriority w:val="99"/>
    <w:rPr>
      <w:rFonts w:hint="default"/>
      <w:b/>
      <w:sz w:val="24"/>
      <w:szCs w:val="24"/>
    </w:rPr>
  </w:style>
  <w:style w:type="paragraph" w:customStyle="1" w:styleId="15">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6">
    <w:name w:val="页脚 Char"/>
    <w:basedOn w:val="13"/>
    <w:link w:val="8"/>
    <w:unhideWhenUsed/>
    <w:locked/>
    <w:uiPriority w:val="99"/>
    <w:rPr>
      <w:rFonts w:hint="default" w:cs="Times New Roman"/>
      <w:sz w:val="18"/>
      <w:szCs w:val="18"/>
    </w:rPr>
  </w:style>
  <w:style w:type="character" w:customStyle="1" w:styleId="17">
    <w:name w:val="标题 2 Char"/>
    <w:basedOn w:val="13"/>
    <w:link w:val="4"/>
    <w:unhideWhenUsed/>
    <w:locked/>
    <w:uiPriority w:val="9"/>
    <w:rPr>
      <w:rFonts w:hint="eastAsia" w:ascii="Cambria" w:hAnsi="Cambria" w:eastAsia="宋体" w:cs="Times New Roman"/>
      <w:b/>
      <w:sz w:val="32"/>
      <w:szCs w:val="32"/>
    </w:rPr>
  </w:style>
  <w:style w:type="character" w:customStyle="1" w:styleId="18">
    <w:name w:val="正文文本 Char"/>
    <w:basedOn w:val="13"/>
    <w:link w:val="2"/>
    <w:unhideWhenUsed/>
    <w:locked/>
    <w:uiPriority w:val="99"/>
    <w:rPr>
      <w:rFonts w:hint="default" w:cs="Times New Roman"/>
      <w:sz w:val="24"/>
      <w:szCs w:val="24"/>
    </w:rPr>
  </w:style>
  <w:style w:type="character" w:customStyle="1" w:styleId="19">
    <w:name w:val="font71"/>
    <w:basedOn w:val="13"/>
    <w:unhideWhenUsed/>
    <w:uiPriority w:val="0"/>
    <w:rPr>
      <w:rFonts w:hint="eastAsia" w:ascii="宋体" w:hAnsi="宋体" w:eastAsia="宋体" w:cs="宋体"/>
      <w:color w:val="000000"/>
      <w:sz w:val="20"/>
      <w:szCs w:val="20"/>
    </w:rPr>
  </w:style>
  <w:style w:type="character" w:customStyle="1" w:styleId="20">
    <w:name w:val="font41"/>
    <w:basedOn w:val="13"/>
    <w:unhideWhenUsed/>
    <w:uiPriority w:val="0"/>
    <w:rPr>
      <w:rFonts w:hint="eastAsia" w:ascii="宋体" w:hAnsi="宋体" w:eastAsia="宋体" w:cs="宋体"/>
      <w:color w:val="000000"/>
      <w:sz w:val="18"/>
      <w:szCs w:val="18"/>
    </w:rPr>
  </w:style>
  <w:style w:type="character" w:customStyle="1" w:styleId="21">
    <w:name w:val="页眉 Char"/>
    <w:basedOn w:val="13"/>
    <w:link w:val="9"/>
    <w:unhideWhenUsed/>
    <w:locked/>
    <w:uiPriority w:val="99"/>
    <w:rPr>
      <w:rFonts w:hint="default" w:cs="Times New Roman"/>
      <w:sz w:val="18"/>
      <w:szCs w:val="18"/>
    </w:rPr>
  </w:style>
  <w:style w:type="character" w:customStyle="1" w:styleId="22">
    <w:name w:val="标题 1 Char"/>
    <w:basedOn w:val="13"/>
    <w:link w:val="3"/>
    <w:unhideWhenUsed/>
    <w:locked/>
    <w:uiPriority w:val="9"/>
    <w:rPr>
      <w:rFonts w:hint="default" w:cs="Times New Roman"/>
      <w:b/>
      <w:kern w:val="44"/>
      <w:sz w:val="44"/>
      <w:szCs w:val="44"/>
    </w:rPr>
  </w:style>
  <w:style w:type="character" w:customStyle="1" w:styleId="23">
    <w:name w:val="font51"/>
    <w:basedOn w:val="13"/>
    <w:unhideWhenUsed/>
    <w:uiPriority w:val="0"/>
    <w:rPr>
      <w:rFonts w:hint="eastAsia" w:ascii="宋体" w:hAnsi="宋体" w:eastAsia="宋体" w:cs="宋体"/>
      <w:color w:val="000000"/>
      <w:sz w:val="18"/>
      <w:szCs w:val="18"/>
    </w:rPr>
  </w:style>
  <w:style w:type="character" w:customStyle="1" w:styleId="24">
    <w:name w:val="font61"/>
    <w:basedOn w:val="13"/>
    <w:unhideWhenUsed/>
    <w:uiPriority w:val="0"/>
    <w:rPr>
      <w:rFonts w:hint="eastAsia" w:ascii="宋体" w:hAnsi="宋体" w:eastAsia="宋体" w:cs="宋体"/>
      <w:color w:val="000000"/>
      <w:sz w:val="20"/>
      <w:szCs w:val="20"/>
    </w:rPr>
  </w:style>
  <w:style w:type="character" w:customStyle="1" w:styleId="25">
    <w:name w:val="font31"/>
    <w:basedOn w:val="13"/>
    <w:unhideWhenUsed/>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10843</Words>
  <Characters>11854</Characters>
  <TotalTime>0</TotalTime>
  <ScaleCrop>false</ScaleCrop>
  <LinksUpToDate>false</LinksUpToDate>
  <CharactersWithSpaces>11924</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2024-09-25T00:24:37Z</dcterms:created>
  <dc:creator>DELL</dc:creator>
  <cp:lastModifiedBy>昭化融媒体</cp:lastModifiedBy>
  <dcterms:modified xsi:type="dcterms:W3CDTF">2024-09-25T00:25:05Z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74F1636BF9B64CEE98A9B6A1FB69BE75_13</vt:lpwstr>
  </property>
</Properties>
</file>