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DBF97F">
      <w:pPr>
        <w:snapToGrid w:val="0"/>
        <w:spacing w:beforeLines="0" w:afterLines="0" w:line="1000" w:lineRule="exact"/>
        <w:jc w:val="center"/>
        <w:outlineLvl w:val="0"/>
        <w:rPr>
          <w:rFonts w:hint="eastAsia" w:ascii="方正小标宋简体" w:hAnsi="方正小标宋简体" w:eastAsia="方正小标宋简体"/>
          <w:color w:val="000000" w:themeColor="text1"/>
          <w:kern w:val="2"/>
          <w:sz w:val="72"/>
          <w:szCs w:val="24"/>
          <w:lang w:val="zh-CN"/>
          <w14:textFill>
            <w14:solidFill>
              <w14:schemeClr w14:val="tx1"/>
            </w14:solidFill>
          </w14:textFill>
        </w:rPr>
      </w:pPr>
    </w:p>
    <w:p w14:paraId="5ADEE9E9">
      <w:pPr>
        <w:snapToGrid w:val="0"/>
        <w:spacing w:beforeLines="0" w:afterLines="0" w:line="1000" w:lineRule="exact"/>
        <w:jc w:val="center"/>
        <w:outlineLvl w:val="0"/>
        <w:rPr>
          <w:rFonts w:hint="eastAsia" w:ascii="方正小标宋简体" w:hAnsi="方正小标宋简体" w:eastAsia="方正小标宋简体"/>
          <w:color w:val="000000" w:themeColor="text1"/>
          <w:kern w:val="2"/>
          <w:sz w:val="72"/>
          <w:szCs w:val="24"/>
          <w:lang w:val="zh-CN"/>
          <w14:textFill>
            <w14:solidFill>
              <w14:schemeClr w14:val="tx1"/>
            </w14:solidFill>
          </w14:textFill>
        </w:rPr>
      </w:pPr>
    </w:p>
    <w:p w14:paraId="7A610BD0">
      <w:pPr>
        <w:snapToGrid w:val="0"/>
        <w:spacing w:beforeLines="0" w:afterLines="0" w:line="1000" w:lineRule="exact"/>
        <w:jc w:val="center"/>
        <w:outlineLvl w:val="0"/>
        <w:rPr>
          <w:rFonts w:hint="eastAsia" w:ascii="方正小标宋简体" w:hAnsi="方正小标宋简体" w:eastAsia="方正小标宋简体" w:cs="方正小标宋简体"/>
          <w:color w:val="000000" w:themeColor="text1"/>
          <w:spacing w:val="17"/>
          <w:sz w:val="52"/>
          <w:szCs w:val="52"/>
          <w:lang w:val="zh-CN"/>
          <w14:textFill>
            <w14:solidFill>
              <w14:schemeClr w14:val="tx1"/>
            </w14:solidFill>
          </w14:textFill>
        </w:rPr>
      </w:pPr>
      <w:r>
        <w:rPr>
          <w:rFonts w:hint="eastAsia" w:ascii="Times New Roman" w:hAnsi="Times New Roman" w:eastAsia="方正小标宋简体" w:cs="方正小标宋简体"/>
          <w:color w:val="000000" w:themeColor="text1"/>
          <w:spacing w:val="17"/>
          <w:sz w:val="52"/>
          <w:szCs w:val="52"/>
          <w:lang w:val="zh-CN"/>
          <w14:textFill>
            <w14:solidFill>
              <w14:schemeClr w14:val="tx1"/>
            </w14:solidFill>
          </w14:textFill>
        </w:rPr>
        <w:t>2023</w:t>
      </w:r>
      <w:r>
        <w:rPr>
          <w:rFonts w:hint="eastAsia" w:ascii="方正小标宋简体" w:hAnsi="方正小标宋简体" w:eastAsia="方正小标宋简体" w:cs="方正小标宋简体"/>
          <w:color w:val="000000" w:themeColor="text1"/>
          <w:spacing w:val="17"/>
          <w:sz w:val="52"/>
          <w:szCs w:val="52"/>
          <w:lang w:val="zh-CN"/>
          <w14:textFill>
            <w14:solidFill>
              <w14:schemeClr w14:val="tx1"/>
            </w14:solidFill>
          </w14:textFill>
        </w:rPr>
        <w:t>年度</w:t>
      </w:r>
    </w:p>
    <w:p w14:paraId="325FC354">
      <w:pPr>
        <w:snapToGrid w:val="0"/>
        <w:spacing w:beforeLines="0" w:afterLines="0" w:line="1000" w:lineRule="exact"/>
        <w:jc w:val="center"/>
        <w:outlineLvl w:val="0"/>
        <w:rPr>
          <w:rFonts w:hint="eastAsia" w:ascii="方正小标宋简体" w:hAnsi="方正小标宋简体" w:eastAsia="方正小标宋简体" w:cs="方正小标宋简体"/>
          <w:color w:val="000000" w:themeColor="text1"/>
          <w:spacing w:val="17"/>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pacing w:val="17"/>
          <w:sz w:val="52"/>
          <w:szCs w:val="52"/>
          <w14:textFill>
            <w14:solidFill>
              <w14:schemeClr w14:val="tx1"/>
            </w14:solidFill>
          </w14:textFill>
        </w:rPr>
        <w:t>中共广元市昭化区委群众工作局</w:t>
      </w:r>
    </w:p>
    <w:p w14:paraId="3B061CD7">
      <w:pPr>
        <w:snapToGrid w:val="0"/>
        <w:spacing w:beforeLines="0" w:afterLines="0" w:line="1000" w:lineRule="exact"/>
        <w:jc w:val="center"/>
        <w:outlineLvl w:val="0"/>
        <w:rPr>
          <w:rFonts w:hint="eastAsia" w:ascii="方正小标宋简体" w:hAnsi="方正小标宋简体" w:eastAsia="方正小标宋简体" w:cs="方正小标宋简体"/>
          <w:color w:val="000000" w:themeColor="text1"/>
          <w:spacing w:val="17"/>
          <w:sz w:val="52"/>
          <w:szCs w:val="52"/>
          <w:lang w:val="zh-CN"/>
          <w14:textFill>
            <w14:solidFill>
              <w14:schemeClr w14:val="tx1"/>
            </w14:solidFill>
          </w14:textFill>
        </w:rPr>
      </w:pPr>
      <w:r>
        <w:rPr>
          <w:rFonts w:hint="eastAsia" w:ascii="方正小标宋简体" w:hAnsi="方正小标宋简体" w:eastAsia="方正小标宋简体" w:cs="方正小标宋简体"/>
          <w:color w:val="000000" w:themeColor="text1"/>
          <w:spacing w:val="17"/>
          <w:sz w:val="52"/>
          <w:szCs w:val="52"/>
          <w:lang w:val="zh-CN"/>
          <w14:textFill>
            <w14:solidFill>
              <w14:schemeClr w14:val="tx1"/>
            </w14:solidFill>
          </w14:textFill>
        </w:rPr>
        <w:t>部门决算</w:t>
      </w:r>
    </w:p>
    <w:p w14:paraId="489BFC4A">
      <w:pPr>
        <w:spacing w:line="360" w:lineRule="auto"/>
        <w:jc w:val="center"/>
        <w:rPr>
          <w:rFonts w:hint="eastAsia" w:ascii="黑体" w:hAnsi="黑体" w:eastAsia="黑体"/>
          <w:color w:val="000000" w:themeColor="text1"/>
          <w:kern w:val="2"/>
          <w:sz w:val="72"/>
          <w:szCs w:val="24"/>
          <w:lang w:val="zh-CN"/>
          <w14:textFill>
            <w14:solidFill>
              <w14:schemeClr w14:val="tx1"/>
            </w14:solidFill>
          </w14:textFill>
        </w:rPr>
      </w:pPr>
    </w:p>
    <w:p w14:paraId="70AF5AEF">
      <w:pPr>
        <w:pStyle w:val="2"/>
        <w:spacing w:before="72"/>
        <w:rPr>
          <w:rFonts w:hint="eastAsia"/>
          <w:color w:val="000000" w:themeColor="text1"/>
          <w:sz w:val="30"/>
          <w:szCs w:val="24"/>
          <w:lang w:val="zh-CN"/>
          <w14:textFill>
            <w14:solidFill>
              <w14:schemeClr w14:val="tx1"/>
            </w14:solidFill>
          </w14:textFill>
        </w:rPr>
      </w:pPr>
    </w:p>
    <w:p w14:paraId="11171CC9">
      <w:pPr>
        <w:keepNext/>
        <w:keepLines/>
        <w:pageBreakBefore/>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color w:val="000000" w:themeColor="text1"/>
          <w:kern w:val="2"/>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zh-CN"/>
          <w14:textFill>
            <w14:solidFill>
              <w14:schemeClr w14:val="tx1"/>
            </w14:solidFill>
          </w14:textFill>
        </w:rPr>
        <w:t xml:space="preserve">目  </w:t>
      </w:r>
      <w:r>
        <w:rPr>
          <w:rFonts w:hint="eastAsia" w:ascii="方正小标宋简体" w:hAnsi="方正小标宋简体" w:eastAsia="方正小标宋简体" w:cs="方正小标宋简体"/>
          <w:color w:val="000000" w:themeColor="text1"/>
          <w:kern w:val="2"/>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2"/>
          <w:sz w:val="44"/>
          <w:szCs w:val="44"/>
          <w:lang w:val="zh-CN"/>
          <w14:textFill>
            <w14:solidFill>
              <w14:schemeClr w14:val="tx1"/>
            </w14:solidFill>
          </w14:textFill>
        </w:rPr>
        <w:t xml:space="preserve"> 录</w:t>
      </w:r>
    </w:p>
    <w:p w14:paraId="59D9627D">
      <w:pPr>
        <w:keepNext w:val="0"/>
        <w:keepLines w:val="0"/>
        <w:pageBreakBefore w:val="0"/>
        <w:widowControl w:val="0"/>
        <w:kinsoku/>
        <w:wordWrap/>
        <w:overflowPunct/>
        <w:topLinePunct w:val="0"/>
        <w:autoSpaceDE w:val="0"/>
        <w:autoSpaceDN w:val="0"/>
        <w:bidi w:val="0"/>
        <w:adjustRightInd w:val="0"/>
        <w:snapToGrid/>
        <w:spacing w:before="0" w:after="0" w:line="420" w:lineRule="exact"/>
        <w:jc w:val="center"/>
        <w:textAlignment w:val="auto"/>
        <w:rPr>
          <w:rFonts w:hint="eastAsia" w:ascii="楷体_GB2312" w:eastAsia="楷体_GB2312"/>
          <w:color w:val="000000" w:themeColor="text1"/>
          <w:sz w:val="32"/>
          <w:szCs w:val="32"/>
          <w14:textFill>
            <w14:solidFill>
              <w14:schemeClr w14:val="tx1"/>
            </w14:solidFill>
          </w14:textFill>
        </w:rPr>
      </w:pPr>
    </w:p>
    <w:p w14:paraId="72FF2C90">
      <w:pPr>
        <w:keepNext w:val="0"/>
        <w:keepLines w:val="0"/>
        <w:pageBreakBefore w:val="0"/>
        <w:widowControl w:val="0"/>
        <w:kinsoku/>
        <w:wordWrap/>
        <w:overflowPunct/>
        <w:topLinePunct w:val="0"/>
        <w:autoSpaceDE w:val="0"/>
        <w:autoSpaceDN w:val="0"/>
        <w:bidi w:val="0"/>
        <w:adjustRightInd w:val="0"/>
        <w:snapToGrid/>
        <w:spacing w:before="0" w:after="0" w:line="500" w:lineRule="exact"/>
        <w:jc w:val="center"/>
        <w:textAlignment w:val="auto"/>
        <w:rPr>
          <w:rFonts w:hint="eastAsia" w:ascii="仿宋_GB2312" w:eastAsia="仿宋_GB2312"/>
          <w:color w:val="000000" w:themeColor="text1"/>
          <w:sz w:val="32"/>
          <w:szCs w:val="32"/>
          <w14:textFill>
            <w14:solidFill>
              <w14:schemeClr w14:val="tx1"/>
            </w14:solidFill>
          </w14:textFill>
        </w:rPr>
      </w:pPr>
    </w:p>
    <w:p w14:paraId="2D161898">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第一部分 部门概况</w:t>
      </w:r>
      <w:r>
        <w:rPr>
          <w:rFonts w:hint="eastAsia" w:ascii="黑体" w:hAnsi="黑体" w:eastAsia="黑体" w:cs="黑体"/>
          <w:color w:val="000000" w:themeColor="text1"/>
          <w:sz w:val="32"/>
          <w:szCs w:val="32"/>
          <w14:textFill>
            <w14:solidFill>
              <w14:schemeClr w14:val="tx1"/>
            </w14:solidFill>
          </w14:textFill>
        </w:rPr>
        <w:tab/>
      </w:r>
      <w:r>
        <w:rPr>
          <w:rFonts w:hint="eastAsia" w:ascii="Times New Roman" w:eastAsia="黑体" w:cs="Times New Roman"/>
          <w:color w:val="000000" w:themeColor="text1"/>
          <w:sz w:val="32"/>
          <w:szCs w:val="32"/>
          <w:lang w:val="en-US" w:eastAsia="zh-CN"/>
          <w14:textFill>
            <w14:solidFill>
              <w14:schemeClr w14:val="tx1"/>
            </w14:solidFill>
          </w14:textFill>
        </w:rPr>
        <w:t>4</w:t>
      </w:r>
    </w:p>
    <w:p w14:paraId="7184A670">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一、部门职责</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w:t>
      </w:r>
    </w:p>
    <w:p w14:paraId="0E75081E">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二、机构设置</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11</w:t>
      </w:r>
    </w:p>
    <w:p w14:paraId="2BCB4E9B">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第二部分 2023年度部门决算情况说明</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default" w:ascii="Times New Roman" w:hAnsi="Times New Roman" w:eastAsia="黑体" w:cs="Times New Roman"/>
          <w:color w:val="000000" w:themeColor="text1"/>
          <w:sz w:val="32"/>
          <w:szCs w:val="32"/>
          <w14:textFill>
            <w14:solidFill>
              <w14:schemeClr w14:val="tx1"/>
            </w14:solidFill>
          </w14:textFill>
        </w:rPr>
        <w:t>2</w:t>
      </w:r>
    </w:p>
    <w:p w14:paraId="6296345B">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一、收入支出决算总体情况说明</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color w:val="000000" w:themeColor="text1"/>
          <w:sz w:val="32"/>
          <w:szCs w:val="32"/>
          <w14:textFill>
            <w14:solidFill>
              <w14:schemeClr w14:val="tx1"/>
            </w14:solidFill>
          </w14:textFill>
        </w:rPr>
        <w:t>2</w:t>
      </w:r>
    </w:p>
    <w:p w14:paraId="4BCE50C3">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二、收入决算情况说明</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color w:val="000000" w:themeColor="text1"/>
          <w:sz w:val="32"/>
          <w:szCs w:val="32"/>
          <w14:textFill>
            <w14:solidFill>
              <w14:schemeClr w14:val="tx1"/>
            </w14:solidFill>
          </w14:textFill>
        </w:rPr>
        <w:t>2</w:t>
      </w:r>
    </w:p>
    <w:p w14:paraId="28B6CBF6">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三、支出决算情况说明</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color w:val="000000" w:themeColor="text1"/>
          <w:sz w:val="32"/>
          <w:szCs w:val="32"/>
          <w14:textFill>
            <w14:solidFill>
              <w14:schemeClr w14:val="tx1"/>
            </w14:solidFill>
          </w14:textFill>
        </w:rPr>
        <w:t>3</w:t>
      </w:r>
    </w:p>
    <w:p w14:paraId="6BDAC1DA">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四、财政拨款收入支出决算总体情况说明</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14</w:t>
      </w:r>
    </w:p>
    <w:p w14:paraId="25603737">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五、一般公共预算财政拨款支出决算情况说明</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14</w:t>
      </w:r>
    </w:p>
    <w:p w14:paraId="0CD84080">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六、一般公共预算财政拨款基本支出决算情况说明</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color w:val="000000" w:themeColor="text1"/>
          <w:sz w:val="32"/>
          <w:szCs w:val="32"/>
          <w14:textFill>
            <w14:solidFill>
              <w14:schemeClr w14:val="tx1"/>
            </w14:solidFill>
          </w14:textFill>
        </w:rPr>
        <w:t>6</w:t>
      </w:r>
    </w:p>
    <w:p w14:paraId="491DC625">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七、财政拨款“三公”经费支出决算情况说明</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17</w:t>
      </w:r>
    </w:p>
    <w:p w14:paraId="4729EC58">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八、政府性基金预算支出决算情况说明</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default" w:ascii="Times New Roman" w:hAnsi="Times New Roman" w:eastAsia="楷体_GB2312" w:cs="Times New Roman"/>
          <w:color w:val="000000" w:themeColor="text1"/>
          <w:sz w:val="32"/>
          <w:szCs w:val="32"/>
          <w14:textFill>
            <w14:solidFill>
              <w14:schemeClr w14:val="tx1"/>
            </w14:solidFill>
          </w14:textFill>
        </w:rPr>
        <w:t>1</w:t>
      </w:r>
      <w:r>
        <w:rPr>
          <w:rFonts w:hint="eastAsia" w:ascii="Times New Roman" w:eastAsia="楷体_GB2312" w:cs="Times New Roman"/>
          <w:color w:val="000000" w:themeColor="text1"/>
          <w:sz w:val="32"/>
          <w:szCs w:val="32"/>
          <w:lang w:val="en-US" w:eastAsia="zh-CN"/>
          <w14:textFill>
            <w14:solidFill>
              <w14:schemeClr w14:val="tx1"/>
            </w14:solidFill>
          </w14:textFill>
        </w:rPr>
        <w:t>9</w:t>
      </w:r>
    </w:p>
    <w:p w14:paraId="1513E6E4">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九、国有资本经营预算支出决算情况说明</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default" w:ascii="Times New Roman" w:hAnsi="Times New Roman" w:eastAsia="楷体_GB2312" w:cs="Times New Roman"/>
          <w:color w:val="000000" w:themeColor="text1"/>
          <w:sz w:val="32"/>
          <w:szCs w:val="32"/>
          <w14:textFill>
            <w14:solidFill>
              <w14:schemeClr w14:val="tx1"/>
            </w14:solidFill>
          </w14:textFill>
        </w:rPr>
        <w:t>1</w:t>
      </w:r>
      <w:r>
        <w:rPr>
          <w:rFonts w:hint="eastAsia" w:ascii="Times New Roman" w:eastAsia="楷体_GB2312" w:cs="Times New Roman"/>
          <w:color w:val="000000" w:themeColor="text1"/>
          <w:sz w:val="32"/>
          <w:szCs w:val="32"/>
          <w:lang w:val="en-US" w:eastAsia="zh-CN"/>
          <w14:textFill>
            <w14:solidFill>
              <w14:schemeClr w14:val="tx1"/>
            </w14:solidFill>
          </w14:textFill>
        </w:rPr>
        <w:t>9</w:t>
      </w:r>
    </w:p>
    <w:p w14:paraId="78CA1D57">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十、其他重要事项的情况说明</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default" w:ascii="Times New Roman" w:hAnsi="Times New Roman" w:eastAsia="楷体_GB2312" w:cs="Times New Roman"/>
          <w:color w:val="000000" w:themeColor="text1"/>
          <w:sz w:val="32"/>
          <w:szCs w:val="32"/>
          <w14:textFill>
            <w14:solidFill>
              <w14:schemeClr w14:val="tx1"/>
            </w14:solidFill>
          </w14:textFill>
        </w:rPr>
        <w:t>1</w:t>
      </w:r>
      <w:r>
        <w:rPr>
          <w:rFonts w:hint="eastAsia" w:ascii="Times New Roman" w:eastAsia="楷体_GB2312" w:cs="Times New Roman"/>
          <w:color w:val="000000" w:themeColor="text1"/>
          <w:sz w:val="32"/>
          <w:szCs w:val="32"/>
          <w:lang w:val="en-US" w:eastAsia="zh-CN"/>
          <w14:textFill>
            <w14:solidFill>
              <w14:schemeClr w14:val="tx1"/>
            </w14:solidFill>
          </w14:textFill>
        </w:rPr>
        <w:t>9</w:t>
      </w:r>
    </w:p>
    <w:p w14:paraId="49972E33">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Times New Roman" w:eastAsia="黑体" w:cs="Times New Roman"/>
          <w:color w:val="000000" w:themeColor="text1"/>
          <w:sz w:val="32"/>
          <w:szCs w:val="32"/>
          <w:lang w:val="en-US" w:eastAsia="zh-CN"/>
          <w14:textFill>
            <w14:solidFill>
              <w14:schemeClr w14:val="tx1"/>
            </w14:solidFill>
          </w14:textFill>
        </w:rPr>
        <w:t>21</w:t>
      </w:r>
    </w:p>
    <w:p w14:paraId="38F6FB7F">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Times New Roman" w:eastAsia="黑体" w:cs="Times New Roman"/>
          <w:color w:val="000000" w:themeColor="text1"/>
          <w:sz w:val="32"/>
          <w:szCs w:val="32"/>
          <w:lang w:val="en-US" w:eastAsia="zh-CN"/>
          <w14:textFill>
            <w14:solidFill>
              <w14:schemeClr w14:val="tx1"/>
            </w14:solidFill>
          </w14:textFill>
        </w:rPr>
        <w:t>23</w:t>
      </w:r>
    </w:p>
    <w:p w14:paraId="18E478E4">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附件1</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30</w:t>
      </w:r>
    </w:p>
    <w:p w14:paraId="3A609E78">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附件2</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30</w:t>
      </w:r>
    </w:p>
    <w:p w14:paraId="305329A4">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第五部分 附表</w:t>
      </w:r>
      <w:r>
        <w:rPr>
          <w:rFonts w:hint="eastAsia" w:ascii="黑体" w:hAnsi="黑体" w:eastAsia="黑体" w:cs="黑体"/>
          <w:color w:val="000000" w:themeColor="text1"/>
          <w:sz w:val="32"/>
          <w:szCs w:val="32"/>
          <w14:textFill>
            <w14:solidFill>
              <w14:schemeClr w14:val="tx1"/>
            </w14:solidFill>
          </w14:textFill>
        </w:rPr>
        <w:tab/>
      </w:r>
      <w:r>
        <w:rPr>
          <w:rFonts w:hint="eastAsia" w:ascii="Times New Roman" w:eastAsia="黑体" w:cs="Times New Roman"/>
          <w:color w:val="000000" w:themeColor="text1"/>
          <w:sz w:val="32"/>
          <w:szCs w:val="32"/>
          <w:lang w:val="en-US" w:eastAsia="zh-CN"/>
          <w14:textFill>
            <w14:solidFill>
              <w14:schemeClr w14:val="tx1"/>
            </w14:solidFill>
          </w14:textFill>
        </w:rPr>
        <w:t>40</w:t>
      </w:r>
    </w:p>
    <w:p w14:paraId="035C2E6A">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黑体" w:hAnsi="黑体" w:eastAsia="楷体_GB2312" w:cs="黑体"/>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一、收入支出决算总表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3B3EA79B">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二、收入决算表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1C739E5A">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三、支出决算表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7206DE31">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四、财政拨款收入支出决算总表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64DDBFBA">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五、财政拨款支出决算明细表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3F4FEFF7">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六、一般公共预算财政拨款支出决算表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6D5A80A3">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七、一般公共预算财政拨款支出决算明细表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70CC01F7">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八、一般公共预算财政拨款基本支出决算表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372B90F5">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九、一般公共预算财政拨款项目支出决算表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3C00CB2F">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十、政府性基金预算财政拨款收入支出决算表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14D22586">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十一、国有资本经营预算财政拨款收入支出决算表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62F620EF">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十二、国有资本经营预算财政拨款支出决算表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54E0D4C9">
      <w:pPr>
        <w:widowControl w:val="0"/>
        <w:tabs>
          <w:tab w:val="right" w:leader="dot" w:pos="8505"/>
        </w:tabs>
        <w:kinsoku/>
        <w:wordWrap/>
        <w:overflowPunct/>
        <w:topLinePunct w:val="0"/>
        <w:autoSpaceDE w:val="0"/>
        <w:autoSpaceDN w:val="0"/>
        <w:bidi w:val="0"/>
        <w:adjustRightInd w:val="0"/>
        <w:snapToGrid/>
        <w:spacing w:line="600" w:lineRule="exac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十三、财政拨款“三公”经费支出决算表</w:t>
      </w:r>
      <w:r>
        <w:rPr>
          <w:rFonts w:hint="eastAsia" w:ascii="楷体_GB2312" w:hAnsi="楷体_GB2312" w:eastAsia="楷体_GB2312" w:cs="楷体_GB2312"/>
          <w:color w:val="000000" w:themeColor="text1"/>
          <w:sz w:val="32"/>
          <w:szCs w:val="32"/>
          <w14:textFill>
            <w14:solidFill>
              <w14:schemeClr w14:val="tx1"/>
            </w14:solidFill>
          </w14:textFill>
        </w:rPr>
        <w:tab/>
      </w:r>
      <w:r>
        <w:rPr>
          <w:rFonts w:hint="eastAsia" w:ascii="Times New Roman" w:eastAsia="楷体_GB2312" w:cs="Times New Roman"/>
          <w:color w:val="000000" w:themeColor="text1"/>
          <w:sz w:val="32"/>
          <w:szCs w:val="32"/>
          <w:lang w:val="en-US" w:eastAsia="zh-CN"/>
          <w14:textFill>
            <w14:solidFill>
              <w14:schemeClr w14:val="tx1"/>
            </w14:solidFill>
          </w14:textFill>
        </w:rPr>
        <w:t>40</w:t>
      </w:r>
    </w:p>
    <w:p w14:paraId="68CBDD7B">
      <w:pPr>
        <w:rPr>
          <w:rFonts w:hint="default" w:ascii="Times New Roman"/>
          <w:color w:val="000000" w:themeColor="text1"/>
          <w:sz w:val="24"/>
          <w:szCs w:val="24"/>
          <w14:textFill>
            <w14:solidFill>
              <w14:schemeClr w14:val="tx1"/>
            </w14:solidFill>
          </w14:textFill>
        </w:rPr>
      </w:pPr>
    </w:p>
    <w:p w14:paraId="7E682D0D">
      <w:pPr>
        <w:pStyle w:val="2"/>
        <w:spacing w:before="72"/>
        <w:rPr>
          <w:rFonts w:hint="eastAsia"/>
          <w:color w:val="000000" w:themeColor="text1"/>
          <w:sz w:val="30"/>
          <w:szCs w:val="24"/>
          <w14:textFill>
            <w14:solidFill>
              <w14:schemeClr w14:val="tx1"/>
            </w14:solidFill>
          </w14:textFill>
        </w:rPr>
        <w:sectPr>
          <w:footerReference r:id="rId3" w:type="default"/>
          <w:pgSz w:w="12240" w:h="15840"/>
          <w:pgMar w:top="2098" w:right="1474" w:bottom="1984" w:left="1587" w:header="850" w:footer="1587" w:gutter="0"/>
          <w:lnNumType w:countBy="0" w:distance="360"/>
          <w:pgNumType w:fmt="decimal"/>
          <w:cols w:space="0" w:num="1"/>
          <w:rtlGutter w:val="0"/>
          <w:docGrid w:linePitch="0" w:charSpace="0"/>
        </w:sectPr>
      </w:pPr>
    </w:p>
    <w:p w14:paraId="2AEB37CF">
      <w:pPr>
        <w:pStyle w:val="3"/>
        <w:keepNext/>
        <w:keepLines/>
        <w:pageBreakBefore/>
        <w:widowControl w:val="0"/>
        <w:kinsoku/>
        <w:wordWrap/>
        <w:bidi w:val="0"/>
        <w:snapToGrid/>
        <w:spacing w:line="576" w:lineRule="exact"/>
        <w:jc w:val="center"/>
        <w:textAlignment w:val="auto"/>
        <w:rPr>
          <w:rFonts w:hint="eastAsia" w:ascii="方正小标宋简体" w:hAnsi="方正小标宋简体" w:eastAsia="方正小标宋简体" w:cs="方正小标宋简体"/>
          <w:b/>
          <w:color w:val="000000" w:themeColor="text1"/>
          <w:kern w:val="44"/>
          <w:sz w:val="44"/>
          <w:szCs w:val="24"/>
          <w14:textFill>
            <w14:solidFill>
              <w14:schemeClr w14:val="tx1"/>
            </w14:solidFill>
          </w14:textFill>
        </w:rPr>
      </w:pPr>
      <w:r>
        <w:rPr>
          <w:rFonts w:hint="eastAsia" w:ascii="方正小标宋简体" w:hAnsi="方正小标宋简体" w:eastAsia="方正小标宋简体" w:cs="方正小标宋简体"/>
          <w:color w:val="000000" w:themeColor="text1"/>
          <w:kern w:val="44"/>
          <w:sz w:val="44"/>
          <w:szCs w:val="24"/>
          <w14:textFill>
            <w14:solidFill>
              <w14:schemeClr w14:val="tx1"/>
            </w14:solidFill>
          </w14:textFill>
        </w:rPr>
        <w:t>第一部分 部门概况</w:t>
      </w:r>
    </w:p>
    <w:p w14:paraId="458118DC">
      <w:pPr>
        <w:pStyle w:val="4"/>
        <w:keepNext/>
        <w:keepLines/>
        <w:widowControl w:val="0"/>
        <w:kinsoku/>
        <w:wordWrap/>
        <w:bidi w:val="0"/>
        <w:snapToGrid/>
        <w:spacing w:line="576" w:lineRule="exact"/>
        <w:ind w:firstLine="640"/>
        <w:jc w:val="both"/>
        <w:textAlignment w:val="auto"/>
        <w:rPr>
          <w:rFonts w:hint="eastAsia" w:ascii="黑体" w:hAnsi="黑体" w:eastAsia="黑体"/>
          <w:color w:val="000000" w:themeColor="text1"/>
          <w:kern w:val="2"/>
          <w:sz w:val="32"/>
          <w:szCs w:val="24"/>
          <w14:textFill>
            <w14:solidFill>
              <w14:schemeClr w14:val="tx1"/>
            </w14:solidFill>
          </w14:textFill>
        </w:rPr>
      </w:pPr>
    </w:p>
    <w:p w14:paraId="5A738CA7">
      <w:pPr>
        <w:pStyle w:val="4"/>
        <w:keepNext/>
        <w:keepLines/>
        <w:widowControl w:val="0"/>
        <w:kinsoku/>
        <w:wordWrap/>
        <w:bidi w:val="0"/>
        <w:snapToGrid/>
        <w:spacing w:line="576" w:lineRule="exact"/>
        <w:ind w:firstLine="640"/>
        <w:jc w:val="both"/>
        <w:textAlignment w:val="auto"/>
        <w:rPr>
          <w:rFonts w:hint="eastAsia" w:ascii="黑体" w:hAnsi="黑体" w:eastAsia="黑体"/>
          <w:color w:val="000000" w:themeColor="text1"/>
          <w:kern w:val="2"/>
          <w:sz w:val="32"/>
          <w:szCs w:val="24"/>
          <w14:textFill>
            <w14:solidFill>
              <w14:schemeClr w14:val="tx1"/>
            </w14:solidFill>
          </w14:textFill>
        </w:rPr>
      </w:pPr>
      <w:r>
        <w:rPr>
          <w:rFonts w:hint="eastAsia" w:ascii="黑体" w:hAnsi="黑体" w:eastAsia="黑体"/>
          <w:color w:val="000000" w:themeColor="text1"/>
          <w:kern w:val="2"/>
          <w:sz w:val="32"/>
          <w:szCs w:val="24"/>
          <w14:textFill>
            <w14:solidFill>
              <w14:schemeClr w14:val="tx1"/>
            </w14:solidFill>
          </w14:textFill>
        </w:rPr>
        <w:t>一、部门职责</w:t>
      </w:r>
    </w:p>
    <w:p w14:paraId="57C6983A">
      <w:pPr>
        <w:widowControl w:val="0"/>
        <w:kinsoku/>
        <w:wordWrap/>
        <w:bidi w:val="0"/>
        <w:snapToGrid/>
        <w:spacing w:line="576" w:lineRule="exact"/>
        <w:ind w:firstLine="640"/>
        <w:jc w:val="both"/>
        <w:textAlignment w:val="auto"/>
        <w:rPr>
          <w:rFonts w:hint="eastAsia" w:ascii="楷体_GB2312" w:hAnsi="楷体_GB2312" w:eastAsia="楷体_GB2312" w:cs="楷体_GB2312"/>
          <w:color w:val="000000" w:themeColor="text1"/>
          <w:sz w:val="32"/>
          <w:szCs w:val="24"/>
          <w14:textFill>
            <w14:solidFill>
              <w14:schemeClr w14:val="tx1"/>
            </w14:solidFill>
          </w14:textFill>
        </w:rPr>
      </w:pPr>
      <w:r>
        <w:rPr>
          <w:rFonts w:hint="eastAsia" w:ascii="楷体_GB2312" w:hAnsi="楷体_GB2312" w:eastAsia="楷体_GB2312" w:cs="楷体_GB2312"/>
          <w:color w:val="000000" w:themeColor="text1"/>
          <w:kern w:val="2"/>
          <w:sz w:val="32"/>
          <w:szCs w:val="24"/>
          <w14:textFill>
            <w14:solidFill>
              <w14:schemeClr w14:val="tx1"/>
            </w14:solidFill>
          </w14:textFill>
        </w:rPr>
        <w:t>（一）主要职能。</w:t>
      </w:r>
    </w:p>
    <w:p w14:paraId="3BB2C151">
      <w:pPr>
        <w:widowControl w:val="0"/>
        <w:numPr>
          <w:ilvl w:val="0"/>
          <w:numId w:val="0"/>
        </w:numPr>
        <w:kinsoku/>
        <w:wordWrap/>
        <w:overflowPunct w:val="0"/>
        <w:autoSpaceDE/>
        <w:autoSpaceDN/>
        <w:bidi w:val="0"/>
        <w:adjustRightInd/>
        <w:snapToGrid/>
        <w:spacing w:line="576" w:lineRule="exact"/>
        <w:ind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1</w:t>
      </w:r>
      <w:r>
        <w:rPr>
          <w:rStyle w:val="19"/>
          <w:rFonts w:hint="eastAsia" w:ascii="仿宋_GB2312" w:hAnsi="仿宋_GB2312" w:eastAsia="仿宋_GB2312" w:cs="仿宋_GB2312"/>
          <w:color w:val="000000" w:themeColor="text1"/>
          <w:sz w:val="32"/>
          <w:szCs w:val="32"/>
          <w14:textFill>
            <w14:solidFill>
              <w14:schemeClr w14:val="tx1"/>
            </w14:solidFill>
          </w14:textFill>
        </w:rPr>
        <w:t>.负责处理区内给省、市、区领导的来信，接待群众来访，接听区长热线电话，并处理反映的有关问题；及时准确地向区委、区政府领导反映来信来访中提出的重要建议、意见和问题；综合分析信访信息，调查研究，提出制定有关政策的建议。</w:t>
      </w:r>
    </w:p>
    <w:p w14:paraId="2DF87A8E">
      <w:pPr>
        <w:widowControl w:val="0"/>
        <w:numPr>
          <w:ilvl w:val="0"/>
          <w:numId w:val="0"/>
        </w:numPr>
        <w:kinsoku/>
        <w:wordWrap/>
        <w:overflowPunct w:val="0"/>
        <w:autoSpaceDE/>
        <w:autoSpaceDN/>
        <w:bidi w:val="0"/>
        <w:adjustRightInd/>
        <w:snapToGrid/>
        <w:spacing w:line="576" w:lineRule="exact"/>
        <w:ind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2</w:t>
      </w:r>
      <w:r>
        <w:rPr>
          <w:rStyle w:val="19"/>
          <w:rFonts w:hint="eastAsia" w:ascii="仿宋_GB2312" w:hAnsi="仿宋_GB2312" w:eastAsia="仿宋_GB2312" w:cs="仿宋_GB2312"/>
          <w:color w:val="000000" w:themeColor="text1"/>
          <w:sz w:val="32"/>
          <w:szCs w:val="32"/>
          <w14:textFill>
            <w14:solidFill>
              <w14:schemeClr w14:val="tx1"/>
            </w14:solidFill>
          </w14:textFill>
        </w:rPr>
        <w:t>.承办党中央、国务院，省委、省政府，市委、市政府领导同志交办的群众工作和信访事项，督促检查领导同志对有关群众工作和信访批示的落实情况；向各乡镇和部门交办群众工作和信访事项，督促检查重要的群众信访事项的处理和落实；负责群众工作和信访案件的复查复核工作。</w:t>
      </w:r>
    </w:p>
    <w:p w14:paraId="7BE030A1">
      <w:pPr>
        <w:widowControl w:val="0"/>
        <w:numPr>
          <w:ilvl w:val="0"/>
          <w:numId w:val="0"/>
        </w:numPr>
        <w:kinsoku/>
        <w:wordWrap/>
        <w:overflowPunct w:val="0"/>
        <w:autoSpaceDE/>
        <w:autoSpaceDN/>
        <w:bidi w:val="0"/>
        <w:adjustRightInd/>
        <w:snapToGrid/>
        <w:spacing w:line="576" w:lineRule="exact"/>
        <w:ind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3</w:t>
      </w:r>
      <w:r>
        <w:rPr>
          <w:rStyle w:val="19"/>
          <w:rFonts w:hint="eastAsia" w:ascii="仿宋_GB2312" w:hAnsi="仿宋_GB2312" w:eastAsia="仿宋_GB2312" w:cs="仿宋_GB2312"/>
          <w:color w:val="000000" w:themeColor="text1"/>
          <w:sz w:val="32"/>
          <w:szCs w:val="32"/>
          <w14:textFill>
            <w14:solidFill>
              <w14:schemeClr w14:val="tx1"/>
            </w14:solidFill>
          </w14:textFill>
        </w:rPr>
        <w:t>.协调处理跨县区和部门的重要群众工作和信访问题，协调处理群众集体到省委、省政府、市委、市政府上访和突发性群体事件。</w:t>
      </w:r>
    </w:p>
    <w:p w14:paraId="263DC8E4">
      <w:pPr>
        <w:widowControl w:val="0"/>
        <w:numPr>
          <w:ilvl w:val="0"/>
          <w:numId w:val="0"/>
        </w:numPr>
        <w:kinsoku/>
        <w:wordWrap/>
        <w:overflowPunct w:val="0"/>
        <w:autoSpaceDE/>
        <w:autoSpaceDN/>
        <w:bidi w:val="0"/>
        <w:adjustRightInd/>
        <w:snapToGrid/>
        <w:spacing w:line="576" w:lineRule="exact"/>
        <w:ind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4</w:t>
      </w:r>
      <w:r>
        <w:rPr>
          <w:rStyle w:val="19"/>
          <w:rFonts w:hint="eastAsia" w:ascii="仿宋_GB2312" w:hAnsi="仿宋_GB2312" w:eastAsia="仿宋_GB2312" w:cs="仿宋_GB2312"/>
          <w:color w:val="000000" w:themeColor="text1"/>
          <w:sz w:val="32"/>
          <w:szCs w:val="32"/>
          <w14:textFill>
            <w14:solidFill>
              <w14:schemeClr w14:val="tx1"/>
            </w14:solidFill>
          </w14:textFill>
        </w:rPr>
        <w:t>.检查、指导、协调全区群众和信访工作，负责全区信访信息系统的建设；研究起草全区群众信访工作规范性文件，总结推广各地各部门群众信访工作的经验，提出加强和改进群众信访工作的意见和建议，通报重大群众信访问题及事件。</w:t>
      </w:r>
    </w:p>
    <w:p w14:paraId="7FBF1299">
      <w:pPr>
        <w:widowControl w:val="0"/>
        <w:numPr>
          <w:ilvl w:val="0"/>
          <w:numId w:val="0"/>
        </w:numPr>
        <w:kinsoku/>
        <w:wordWrap/>
        <w:overflowPunct w:val="0"/>
        <w:autoSpaceDE/>
        <w:autoSpaceDN/>
        <w:bidi w:val="0"/>
        <w:adjustRightInd/>
        <w:snapToGrid/>
        <w:spacing w:line="576" w:lineRule="exact"/>
        <w:ind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5</w:t>
      </w:r>
      <w:r>
        <w:rPr>
          <w:rStyle w:val="19"/>
          <w:rFonts w:hint="eastAsia" w:ascii="仿宋_GB2312" w:hAnsi="仿宋_GB2312" w:eastAsia="仿宋_GB2312" w:cs="仿宋_GB2312"/>
          <w:color w:val="000000" w:themeColor="text1"/>
          <w:sz w:val="32"/>
          <w:szCs w:val="32"/>
          <w14:textFill>
            <w14:solidFill>
              <w14:schemeClr w14:val="tx1"/>
            </w14:solidFill>
          </w14:textFill>
        </w:rPr>
        <w:t>.保证信访渠道畅通，负责协调区领导接待群众来访和包案处理信访案件，负责联系区党代表、区人大代表和区政协委员定期参与接待群众来访工作。</w:t>
      </w:r>
    </w:p>
    <w:p w14:paraId="76BB3FA2">
      <w:pPr>
        <w:widowControl w:val="0"/>
        <w:numPr>
          <w:ilvl w:val="0"/>
          <w:numId w:val="0"/>
        </w:numPr>
        <w:kinsoku/>
        <w:wordWrap/>
        <w:overflowPunct w:val="0"/>
        <w:autoSpaceDE/>
        <w:autoSpaceDN/>
        <w:bidi w:val="0"/>
        <w:adjustRightInd/>
        <w:snapToGrid/>
        <w:spacing w:line="576" w:lineRule="exact"/>
        <w:ind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6</w:t>
      </w:r>
      <w:r>
        <w:rPr>
          <w:rStyle w:val="19"/>
          <w:rFonts w:hint="eastAsia" w:ascii="仿宋_GB2312" w:hAnsi="仿宋_GB2312" w:eastAsia="仿宋_GB2312" w:cs="仿宋_GB2312"/>
          <w:color w:val="000000" w:themeColor="text1"/>
          <w:sz w:val="32"/>
          <w:szCs w:val="32"/>
          <w14:textFill>
            <w14:solidFill>
              <w14:schemeClr w14:val="tx1"/>
            </w14:solidFill>
          </w14:textFill>
        </w:rPr>
        <w:t>.协调处理赴京、到省、到市非正常上访工作。</w:t>
      </w:r>
    </w:p>
    <w:p w14:paraId="11D9CD16">
      <w:pPr>
        <w:widowControl w:val="0"/>
        <w:numPr>
          <w:ilvl w:val="0"/>
          <w:numId w:val="0"/>
        </w:numPr>
        <w:kinsoku/>
        <w:wordWrap/>
        <w:overflowPunct w:val="0"/>
        <w:autoSpaceDE/>
        <w:autoSpaceDN/>
        <w:bidi w:val="0"/>
        <w:adjustRightInd/>
        <w:snapToGrid/>
        <w:spacing w:line="576" w:lineRule="exact"/>
        <w:ind w:firstLine="596" w:firstLineChars="200"/>
        <w:jc w:val="both"/>
        <w:textAlignment w:val="auto"/>
        <w:rPr>
          <w:rStyle w:val="19"/>
          <w:rFonts w:hint="eastAsia" w:ascii="仿宋_GB2312" w:hAnsi="仿宋_GB2312" w:eastAsia="仿宋_GB2312" w:cs="仿宋_GB2312"/>
          <w:color w:val="000000" w:themeColor="text1"/>
          <w:spacing w:val="-11"/>
          <w:sz w:val="32"/>
          <w:szCs w:val="32"/>
          <w14:textFill>
            <w14:solidFill>
              <w14:schemeClr w14:val="tx1"/>
            </w14:solidFill>
          </w14:textFill>
        </w:rPr>
      </w:pPr>
      <w:r>
        <w:rPr>
          <w:rStyle w:val="19"/>
          <w:rFonts w:hint="eastAsia" w:ascii="Times New Roman" w:hAnsi="Times New Roman" w:eastAsia="仿宋_GB2312" w:cs="仿宋_GB2312"/>
          <w:color w:val="000000" w:themeColor="text1"/>
          <w:spacing w:val="-11"/>
          <w:sz w:val="32"/>
          <w:szCs w:val="32"/>
          <w14:textFill>
            <w14:solidFill>
              <w14:schemeClr w14:val="tx1"/>
            </w14:solidFill>
          </w14:textFill>
        </w:rPr>
        <w:t>7</w:t>
      </w:r>
      <w:r>
        <w:rPr>
          <w:rStyle w:val="19"/>
          <w:rFonts w:hint="eastAsia" w:ascii="仿宋_GB2312" w:hAnsi="仿宋_GB2312" w:eastAsia="仿宋_GB2312" w:cs="仿宋_GB2312"/>
          <w:color w:val="000000" w:themeColor="text1"/>
          <w:spacing w:val="-11"/>
          <w:sz w:val="32"/>
          <w:szCs w:val="32"/>
          <w14:textFill>
            <w14:solidFill>
              <w14:schemeClr w14:val="tx1"/>
            </w14:solidFill>
          </w14:textFill>
        </w:rPr>
        <w:t>.负责处理全区信访工作联席会议综合协调和日常性工作。</w:t>
      </w:r>
    </w:p>
    <w:p w14:paraId="4099B713">
      <w:pPr>
        <w:widowControl w:val="0"/>
        <w:numPr>
          <w:ilvl w:val="0"/>
          <w:numId w:val="0"/>
        </w:numPr>
        <w:kinsoku/>
        <w:wordWrap/>
        <w:overflowPunct w:val="0"/>
        <w:autoSpaceDE/>
        <w:autoSpaceDN/>
        <w:bidi w:val="0"/>
        <w:adjustRightInd/>
        <w:snapToGrid/>
        <w:spacing w:line="576" w:lineRule="exact"/>
        <w:ind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8</w:t>
      </w:r>
      <w:r>
        <w:rPr>
          <w:rStyle w:val="19"/>
          <w:rFonts w:hint="eastAsia" w:ascii="仿宋_GB2312" w:hAnsi="仿宋_GB2312" w:eastAsia="仿宋_GB2312" w:cs="仿宋_GB2312"/>
          <w:color w:val="000000" w:themeColor="text1"/>
          <w:sz w:val="32"/>
          <w:szCs w:val="32"/>
          <w14:textFill>
            <w14:solidFill>
              <w14:schemeClr w14:val="tx1"/>
            </w14:solidFill>
          </w14:textFill>
        </w:rPr>
        <w:t>.负责区群众来访接待中心建设和日常管理工作。</w:t>
      </w:r>
    </w:p>
    <w:p w14:paraId="6D40B350">
      <w:pPr>
        <w:keepNext/>
        <w:keepLines/>
        <w:widowControl w:val="0"/>
        <w:kinsoku/>
        <w:wordWrap/>
        <w:bidi w:val="0"/>
        <w:snapToGrid/>
        <w:spacing w:line="576" w:lineRule="exact"/>
        <w:ind w:firstLine="64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9</w:t>
      </w:r>
      <w:r>
        <w:rPr>
          <w:rStyle w:val="19"/>
          <w:rFonts w:hint="eastAsia" w:ascii="仿宋_GB2312" w:hAnsi="仿宋_GB2312" w:eastAsia="仿宋_GB2312" w:cs="仿宋_GB2312"/>
          <w:color w:val="000000" w:themeColor="text1"/>
          <w:sz w:val="32"/>
          <w:szCs w:val="32"/>
          <w14:textFill>
            <w14:solidFill>
              <w14:schemeClr w14:val="tx1"/>
            </w14:solidFill>
          </w14:textFill>
        </w:rPr>
        <w:t>.承办区委、区政府交办的其他事项。</w:t>
      </w:r>
    </w:p>
    <w:p w14:paraId="2D6D7328">
      <w:pPr>
        <w:widowControl w:val="0"/>
        <w:kinsoku/>
        <w:wordWrap/>
        <w:overflowPunct w:val="0"/>
        <w:topLinePunct/>
        <w:bidi w:val="0"/>
        <w:snapToGrid/>
        <w:spacing w:line="576" w:lineRule="exact"/>
        <w:ind w:firstLine="640" w:firstLineChars="200"/>
        <w:jc w:val="both"/>
        <w:textAlignment w:val="auto"/>
        <w:rPr>
          <w:rFonts w:hint="eastAsia" w:ascii="楷体_GB2312" w:hAnsi="楷体_GB2312" w:eastAsia="楷体_GB2312" w:cs="楷体_GB2312"/>
          <w:color w:val="000000" w:themeColor="text1"/>
          <w:sz w:val="32"/>
          <w:szCs w:val="24"/>
          <w14:textFill>
            <w14:solidFill>
              <w14:schemeClr w14:val="tx1"/>
            </w14:solidFill>
          </w14:textFill>
        </w:rPr>
      </w:pPr>
      <w:r>
        <w:rPr>
          <w:rFonts w:hint="eastAsia" w:ascii="楷体_GB2312" w:hAnsi="楷体_GB2312" w:eastAsia="楷体_GB2312" w:cs="楷体_GB2312"/>
          <w:color w:val="000000" w:themeColor="text1"/>
          <w:sz w:val="32"/>
          <w:szCs w:val="24"/>
          <w14:textFill>
            <w14:solidFill>
              <w14:schemeClr w14:val="tx1"/>
            </w14:solidFill>
          </w14:textFill>
        </w:rPr>
        <w:t>（二）</w:t>
      </w:r>
      <w:r>
        <w:rPr>
          <w:rFonts w:hint="eastAsia" w:ascii="Times New Roman" w:hAnsi="Times New Roman" w:eastAsia="楷体_GB2312" w:cs="楷体_GB2312"/>
          <w:color w:val="000000" w:themeColor="text1"/>
          <w:sz w:val="32"/>
          <w:szCs w:val="24"/>
          <w14:textFill>
            <w14:solidFill>
              <w14:schemeClr w14:val="tx1"/>
            </w14:solidFill>
          </w14:textFill>
        </w:rPr>
        <w:t>2023</w:t>
      </w:r>
      <w:r>
        <w:rPr>
          <w:rFonts w:hint="eastAsia" w:ascii="楷体_GB2312" w:hAnsi="楷体_GB2312" w:eastAsia="楷体_GB2312" w:cs="楷体_GB2312"/>
          <w:color w:val="000000" w:themeColor="text1"/>
          <w:sz w:val="32"/>
          <w:szCs w:val="24"/>
          <w14:textFill>
            <w14:solidFill>
              <w14:schemeClr w14:val="tx1"/>
            </w14:solidFill>
          </w14:textFill>
        </w:rPr>
        <w:t>年重点工作完成情况。</w:t>
      </w:r>
    </w:p>
    <w:p w14:paraId="7258F37B">
      <w:pPr>
        <w:pStyle w:val="8"/>
        <w:widowControl w:val="0"/>
        <w:numPr>
          <w:ilvl w:val="0"/>
          <w:numId w:val="0"/>
        </w:numPr>
        <w:kinsoku/>
        <w:wordWrap/>
        <w:autoSpaceDE/>
        <w:autoSpaceDN/>
        <w:bidi w:val="0"/>
        <w:adjustRightInd/>
        <w:snapToGrid/>
        <w:spacing w:after="0" w:line="576" w:lineRule="exact"/>
        <w:ind w:leftChars="0" w:firstLine="64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Times New Roman"/>
          <w:color w:val="000000" w:themeColor="text1"/>
          <w:kern w:val="2"/>
          <w:sz w:val="32"/>
          <w:szCs w:val="32"/>
          <w14:textFill>
            <w14:solidFill>
              <w14:schemeClr w14:val="tx1"/>
            </w14:solidFill>
          </w14:textFill>
        </w:rPr>
        <w:t>2023</w:t>
      </w:r>
      <w:r>
        <w:rPr>
          <w:rFonts w:hint="eastAsia" w:eastAsia="仿宋_GB2312"/>
          <w:color w:val="000000" w:themeColor="text1"/>
          <w:kern w:val="2"/>
          <w:sz w:val="32"/>
          <w:szCs w:val="32"/>
          <w14:textFill>
            <w14:solidFill>
              <w14:schemeClr w14:val="tx1"/>
            </w14:solidFill>
          </w14:textFill>
        </w:rPr>
        <w:t>年信访总量</w:t>
      </w:r>
      <w:r>
        <w:rPr>
          <w:rFonts w:hint="eastAsia" w:ascii="Times New Roman" w:hAnsi="Times New Roman" w:eastAsia="仿宋_GB2312"/>
          <w:color w:val="000000" w:themeColor="text1"/>
          <w:kern w:val="2"/>
          <w:sz w:val="32"/>
          <w:szCs w:val="32"/>
          <w14:textFill>
            <w14:solidFill>
              <w14:schemeClr w14:val="tx1"/>
            </w14:solidFill>
          </w14:textFill>
        </w:rPr>
        <w:t>589</w:t>
      </w:r>
      <w:r>
        <w:rPr>
          <w:rFonts w:hint="eastAsia" w:eastAsia="仿宋_GB2312"/>
          <w:color w:val="000000" w:themeColor="text1"/>
          <w:kern w:val="2"/>
          <w:sz w:val="32"/>
          <w:szCs w:val="32"/>
          <w14:textFill>
            <w14:solidFill>
              <w14:schemeClr w14:val="tx1"/>
            </w14:solidFill>
          </w14:textFill>
        </w:rPr>
        <w:t>批</w:t>
      </w:r>
      <w:r>
        <w:rPr>
          <w:rFonts w:hint="eastAsia" w:ascii="Times New Roman" w:hAnsi="Times New Roman" w:eastAsia="仿宋_GB2312"/>
          <w:color w:val="000000" w:themeColor="text1"/>
          <w:kern w:val="2"/>
          <w:sz w:val="32"/>
          <w:szCs w:val="32"/>
          <w14:textFill>
            <w14:solidFill>
              <w14:schemeClr w14:val="tx1"/>
            </w14:solidFill>
          </w14:textFill>
        </w:rPr>
        <w:t>1040</w:t>
      </w:r>
      <w:r>
        <w:rPr>
          <w:rFonts w:hint="eastAsia" w:eastAsia="仿宋_GB2312"/>
          <w:color w:val="000000" w:themeColor="text1"/>
          <w:kern w:val="2"/>
          <w:sz w:val="32"/>
          <w:szCs w:val="32"/>
          <w14:textFill>
            <w14:solidFill>
              <w14:schemeClr w14:val="tx1"/>
            </w14:solidFill>
          </w14:textFill>
        </w:rPr>
        <w:t>人次，同比批次下降</w:t>
      </w:r>
      <w:r>
        <w:rPr>
          <w:rFonts w:hint="eastAsia" w:ascii="Times New Roman" w:hAnsi="Times New Roman" w:eastAsia="仿宋_GB2312"/>
          <w:color w:val="000000" w:themeColor="text1"/>
          <w:kern w:val="2"/>
          <w:sz w:val="32"/>
          <w:szCs w:val="32"/>
          <w14:textFill>
            <w14:solidFill>
              <w14:schemeClr w14:val="tx1"/>
            </w14:solidFill>
          </w14:textFill>
        </w:rPr>
        <w:t>16</w:t>
      </w:r>
      <w:r>
        <w:rPr>
          <w:rFonts w:hint="eastAsia" w:eastAsia="仿宋_GB2312"/>
          <w:color w:val="000000" w:themeColor="text1"/>
          <w:kern w:val="2"/>
          <w:sz w:val="32"/>
          <w:szCs w:val="32"/>
          <w14:textFill>
            <w14:solidFill>
              <w14:schemeClr w14:val="tx1"/>
            </w14:solidFill>
          </w14:textFill>
        </w:rPr>
        <w:t>.</w:t>
      </w:r>
      <w:r>
        <w:rPr>
          <w:rFonts w:hint="eastAsia" w:ascii="Times New Roman" w:hAnsi="Times New Roman" w:eastAsia="仿宋_GB2312"/>
          <w:color w:val="000000" w:themeColor="text1"/>
          <w:kern w:val="2"/>
          <w:sz w:val="32"/>
          <w:szCs w:val="32"/>
          <w14:textFill>
            <w14:solidFill>
              <w14:schemeClr w14:val="tx1"/>
            </w14:solidFill>
          </w14:textFill>
        </w:rPr>
        <w:t>1</w:t>
      </w:r>
      <w:r>
        <w:rPr>
          <w:rFonts w:hint="eastAsia" w:eastAsia="仿宋_GB2312"/>
          <w:color w:val="000000" w:themeColor="text1"/>
          <w:kern w:val="2"/>
          <w:sz w:val="32"/>
          <w:szCs w:val="32"/>
          <w14:textFill>
            <w14:solidFill>
              <w14:schemeClr w14:val="tx1"/>
            </w14:solidFill>
          </w14:textFill>
        </w:rPr>
        <w:t>%、人次下降</w:t>
      </w:r>
      <w:r>
        <w:rPr>
          <w:rFonts w:hint="eastAsia" w:ascii="Times New Roman" w:hAnsi="Times New Roman" w:eastAsia="仿宋_GB2312"/>
          <w:color w:val="000000" w:themeColor="text1"/>
          <w:kern w:val="2"/>
          <w:sz w:val="32"/>
          <w:szCs w:val="32"/>
          <w14:textFill>
            <w14:solidFill>
              <w14:schemeClr w14:val="tx1"/>
            </w14:solidFill>
          </w14:textFill>
        </w:rPr>
        <w:t>15</w:t>
      </w:r>
      <w:r>
        <w:rPr>
          <w:rFonts w:hint="eastAsia" w:eastAsia="仿宋_GB2312"/>
          <w:color w:val="000000" w:themeColor="text1"/>
          <w:kern w:val="2"/>
          <w:sz w:val="32"/>
          <w:szCs w:val="32"/>
          <w14:textFill>
            <w14:solidFill>
              <w14:schemeClr w14:val="tx1"/>
            </w14:solidFill>
          </w14:textFill>
        </w:rPr>
        <w:t>.</w:t>
      </w:r>
      <w:r>
        <w:rPr>
          <w:rFonts w:hint="eastAsia" w:ascii="Times New Roman" w:hAnsi="Times New Roman" w:eastAsia="仿宋_GB2312"/>
          <w:color w:val="000000" w:themeColor="text1"/>
          <w:kern w:val="2"/>
          <w:sz w:val="32"/>
          <w:szCs w:val="32"/>
          <w14:textFill>
            <w14:solidFill>
              <w14:schemeClr w14:val="tx1"/>
            </w14:solidFill>
          </w14:textFill>
        </w:rPr>
        <w:t>2</w:t>
      </w:r>
      <w:r>
        <w:rPr>
          <w:rFonts w:hint="eastAsia" w:eastAsia="仿宋_GB2312"/>
          <w:color w:val="000000" w:themeColor="text1"/>
          <w:kern w:val="2"/>
          <w:sz w:val="32"/>
          <w:szCs w:val="32"/>
          <w14:textFill>
            <w14:solidFill>
              <w14:schemeClr w14:val="tx1"/>
            </w14:solidFill>
          </w14:textFill>
        </w:rPr>
        <w:t>%。走访</w:t>
      </w:r>
      <w:r>
        <w:rPr>
          <w:rFonts w:hint="eastAsia" w:ascii="Times New Roman" w:hAnsi="Times New Roman" w:eastAsia="仿宋_GB2312"/>
          <w:color w:val="000000" w:themeColor="text1"/>
          <w:kern w:val="2"/>
          <w:sz w:val="32"/>
          <w:szCs w:val="32"/>
          <w14:textFill>
            <w14:solidFill>
              <w14:schemeClr w14:val="tx1"/>
            </w14:solidFill>
          </w14:textFill>
        </w:rPr>
        <w:t>305</w:t>
      </w:r>
      <w:r>
        <w:rPr>
          <w:rFonts w:hint="eastAsia" w:eastAsia="仿宋_GB2312"/>
          <w:color w:val="000000" w:themeColor="text1"/>
          <w:kern w:val="2"/>
          <w:sz w:val="32"/>
          <w:szCs w:val="32"/>
          <w14:textFill>
            <w14:solidFill>
              <w14:schemeClr w14:val="tx1"/>
            </w14:solidFill>
          </w14:textFill>
        </w:rPr>
        <w:t>批</w:t>
      </w:r>
      <w:r>
        <w:rPr>
          <w:rFonts w:hint="eastAsia" w:ascii="Times New Roman" w:hAnsi="Times New Roman" w:eastAsia="仿宋_GB2312"/>
          <w:color w:val="000000" w:themeColor="text1"/>
          <w:kern w:val="2"/>
          <w:sz w:val="32"/>
          <w:szCs w:val="32"/>
          <w14:textFill>
            <w14:solidFill>
              <w14:schemeClr w14:val="tx1"/>
            </w14:solidFill>
          </w14:textFill>
        </w:rPr>
        <w:t>756</w:t>
      </w:r>
      <w:r>
        <w:rPr>
          <w:rFonts w:hint="eastAsia" w:eastAsia="仿宋_GB2312"/>
          <w:color w:val="000000" w:themeColor="text1"/>
          <w:kern w:val="2"/>
          <w:sz w:val="32"/>
          <w:szCs w:val="32"/>
          <w14:textFill>
            <w14:solidFill>
              <w14:schemeClr w14:val="tx1"/>
            </w14:solidFill>
          </w14:textFill>
        </w:rPr>
        <w:t>人次，同比批次下降</w:t>
      </w:r>
      <w:r>
        <w:rPr>
          <w:rFonts w:hint="eastAsia" w:ascii="Times New Roman" w:hAnsi="Times New Roman" w:eastAsia="仿宋_GB2312"/>
          <w:color w:val="000000" w:themeColor="text1"/>
          <w:kern w:val="2"/>
          <w:sz w:val="32"/>
          <w:szCs w:val="32"/>
          <w14:textFill>
            <w14:solidFill>
              <w14:schemeClr w14:val="tx1"/>
            </w14:solidFill>
          </w14:textFill>
        </w:rPr>
        <w:t>17</w:t>
      </w:r>
      <w:r>
        <w:rPr>
          <w:rFonts w:hint="eastAsia" w:eastAsia="仿宋_GB2312"/>
          <w:color w:val="000000" w:themeColor="text1"/>
          <w:kern w:val="2"/>
          <w:sz w:val="32"/>
          <w:szCs w:val="32"/>
          <w14:textFill>
            <w14:solidFill>
              <w14:schemeClr w14:val="tx1"/>
            </w14:solidFill>
          </w14:textFill>
        </w:rPr>
        <w:t>.</w:t>
      </w:r>
      <w:r>
        <w:rPr>
          <w:rFonts w:hint="eastAsia" w:ascii="Times New Roman" w:hAnsi="Times New Roman" w:eastAsia="仿宋_GB2312"/>
          <w:color w:val="000000" w:themeColor="text1"/>
          <w:kern w:val="2"/>
          <w:sz w:val="32"/>
          <w:szCs w:val="32"/>
          <w14:textFill>
            <w14:solidFill>
              <w14:schemeClr w14:val="tx1"/>
            </w14:solidFill>
          </w14:textFill>
        </w:rPr>
        <w:t>3</w:t>
      </w:r>
      <w:r>
        <w:rPr>
          <w:rFonts w:hint="eastAsia" w:eastAsia="仿宋_GB2312"/>
          <w:color w:val="000000" w:themeColor="text1"/>
          <w:kern w:val="2"/>
          <w:sz w:val="32"/>
          <w:szCs w:val="32"/>
          <w14:textFill>
            <w14:solidFill>
              <w14:schemeClr w14:val="tx1"/>
            </w14:solidFill>
          </w14:textFill>
        </w:rPr>
        <w:t>%、人次下降</w:t>
      </w:r>
      <w:r>
        <w:rPr>
          <w:rFonts w:hint="eastAsia" w:ascii="Times New Roman" w:hAnsi="Times New Roman" w:eastAsia="仿宋_GB2312"/>
          <w:color w:val="000000" w:themeColor="text1"/>
          <w:kern w:val="2"/>
          <w:sz w:val="32"/>
          <w:szCs w:val="32"/>
          <w14:textFill>
            <w14:solidFill>
              <w14:schemeClr w14:val="tx1"/>
            </w14:solidFill>
          </w14:textFill>
        </w:rPr>
        <w:t>15</w:t>
      </w:r>
      <w:r>
        <w:rPr>
          <w:rFonts w:hint="eastAsia" w:eastAsia="仿宋_GB2312"/>
          <w:color w:val="000000" w:themeColor="text1"/>
          <w:kern w:val="2"/>
          <w:sz w:val="32"/>
          <w:szCs w:val="32"/>
          <w14:textFill>
            <w14:solidFill>
              <w14:schemeClr w14:val="tx1"/>
            </w14:solidFill>
          </w14:textFill>
        </w:rPr>
        <w:t>.</w:t>
      </w:r>
      <w:r>
        <w:rPr>
          <w:rFonts w:hint="eastAsia" w:ascii="Times New Roman" w:hAnsi="Times New Roman" w:eastAsia="仿宋_GB2312"/>
          <w:color w:val="000000" w:themeColor="text1"/>
          <w:kern w:val="2"/>
          <w:sz w:val="32"/>
          <w:szCs w:val="32"/>
          <w14:textFill>
            <w14:solidFill>
              <w14:schemeClr w14:val="tx1"/>
            </w14:solidFill>
          </w14:textFill>
        </w:rPr>
        <w:t>4</w:t>
      </w:r>
      <w:r>
        <w:rPr>
          <w:rFonts w:hint="eastAsia" w:eastAsia="仿宋_GB2312"/>
          <w:color w:val="000000" w:themeColor="text1"/>
          <w:kern w:val="2"/>
          <w:sz w:val="32"/>
          <w:szCs w:val="32"/>
          <w14:textFill>
            <w14:solidFill>
              <w14:schemeClr w14:val="tx1"/>
            </w14:solidFill>
          </w14:textFill>
        </w:rPr>
        <w:t>%（其中到区</w:t>
      </w:r>
      <w:r>
        <w:rPr>
          <w:rFonts w:hint="eastAsia" w:ascii="Times New Roman" w:hAnsi="Times New Roman" w:eastAsia="仿宋_GB2312"/>
          <w:color w:val="000000" w:themeColor="text1"/>
          <w:kern w:val="2"/>
          <w:sz w:val="32"/>
          <w:szCs w:val="32"/>
          <w14:textFill>
            <w14:solidFill>
              <w14:schemeClr w14:val="tx1"/>
            </w14:solidFill>
          </w14:textFill>
        </w:rPr>
        <w:t>220</w:t>
      </w:r>
      <w:r>
        <w:rPr>
          <w:rFonts w:hint="eastAsia" w:eastAsia="仿宋_GB2312"/>
          <w:color w:val="000000" w:themeColor="text1"/>
          <w:kern w:val="2"/>
          <w:sz w:val="32"/>
          <w:szCs w:val="32"/>
          <w14:textFill>
            <w14:solidFill>
              <w14:schemeClr w14:val="tx1"/>
            </w14:solidFill>
          </w14:textFill>
        </w:rPr>
        <w:t>批</w:t>
      </w:r>
      <w:r>
        <w:rPr>
          <w:rFonts w:hint="eastAsia" w:ascii="Times New Roman" w:hAnsi="Times New Roman" w:eastAsia="仿宋_GB2312"/>
          <w:color w:val="000000" w:themeColor="text1"/>
          <w:kern w:val="2"/>
          <w:sz w:val="32"/>
          <w:szCs w:val="32"/>
          <w14:textFill>
            <w14:solidFill>
              <w14:schemeClr w14:val="tx1"/>
            </w14:solidFill>
          </w14:textFill>
        </w:rPr>
        <w:t>631</w:t>
      </w:r>
      <w:r>
        <w:rPr>
          <w:rFonts w:hint="eastAsia" w:eastAsia="仿宋_GB2312"/>
          <w:color w:val="000000" w:themeColor="text1"/>
          <w:kern w:val="2"/>
          <w:sz w:val="32"/>
          <w:szCs w:val="32"/>
          <w14:textFill>
            <w14:solidFill>
              <w14:schemeClr w14:val="tx1"/>
            </w14:solidFill>
          </w14:textFill>
        </w:rPr>
        <w:t>人次、到市</w:t>
      </w:r>
      <w:r>
        <w:rPr>
          <w:rFonts w:hint="eastAsia" w:ascii="Times New Roman" w:hAnsi="Times New Roman" w:eastAsia="仿宋_GB2312"/>
          <w:color w:val="000000" w:themeColor="text1"/>
          <w:kern w:val="2"/>
          <w:sz w:val="32"/>
          <w:szCs w:val="32"/>
          <w14:textFill>
            <w14:solidFill>
              <w14:schemeClr w14:val="tx1"/>
            </w14:solidFill>
          </w14:textFill>
        </w:rPr>
        <w:t>64</w:t>
      </w:r>
      <w:r>
        <w:rPr>
          <w:rFonts w:hint="eastAsia" w:eastAsia="仿宋_GB2312"/>
          <w:color w:val="000000" w:themeColor="text1"/>
          <w:kern w:val="2"/>
          <w:sz w:val="32"/>
          <w:szCs w:val="32"/>
          <w14:textFill>
            <w14:solidFill>
              <w14:schemeClr w14:val="tx1"/>
            </w14:solidFill>
          </w14:textFill>
        </w:rPr>
        <w:t>批</w:t>
      </w:r>
      <w:r>
        <w:rPr>
          <w:rFonts w:hint="eastAsia" w:ascii="Times New Roman" w:hAnsi="Times New Roman" w:eastAsia="仿宋_GB2312"/>
          <w:color w:val="000000" w:themeColor="text1"/>
          <w:kern w:val="2"/>
          <w:sz w:val="32"/>
          <w:szCs w:val="32"/>
          <w14:textFill>
            <w14:solidFill>
              <w14:schemeClr w14:val="tx1"/>
            </w14:solidFill>
          </w14:textFill>
        </w:rPr>
        <w:t>102</w:t>
      </w:r>
      <w:r>
        <w:rPr>
          <w:rFonts w:hint="eastAsia" w:eastAsia="仿宋_GB2312"/>
          <w:color w:val="000000" w:themeColor="text1"/>
          <w:kern w:val="2"/>
          <w:sz w:val="32"/>
          <w:szCs w:val="32"/>
          <w14:textFill>
            <w14:solidFill>
              <w14:schemeClr w14:val="tx1"/>
            </w14:solidFill>
          </w14:textFill>
        </w:rPr>
        <w:t>人次、到省</w:t>
      </w:r>
      <w:r>
        <w:rPr>
          <w:rFonts w:hint="eastAsia" w:ascii="Times New Roman" w:hAnsi="Times New Roman" w:eastAsia="仿宋_GB2312"/>
          <w:color w:val="000000" w:themeColor="text1"/>
          <w:kern w:val="2"/>
          <w:sz w:val="32"/>
          <w:szCs w:val="32"/>
          <w14:textFill>
            <w14:solidFill>
              <w14:schemeClr w14:val="tx1"/>
            </w14:solidFill>
          </w14:textFill>
        </w:rPr>
        <w:t>15</w:t>
      </w:r>
      <w:r>
        <w:rPr>
          <w:rFonts w:hint="eastAsia" w:eastAsia="仿宋_GB2312"/>
          <w:color w:val="000000" w:themeColor="text1"/>
          <w:kern w:val="2"/>
          <w:sz w:val="32"/>
          <w:szCs w:val="32"/>
          <w14:textFill>
            <w14:solidFill>
              <w14:schemeClr w14:val="tx1"/>
            </w14:solidFill>
          </w14:textFill>
        </w:rPr>
        <w:t>批</w:t>
      </w:r>
      <w:r>
        <w:rPr>
          <w:rFonts w:hint="eastAsia" w:ascii="Times New Roman" w:hAnsi="Times New Roman" w:eastAsia="仿宋_GB2312"/>
          <w:color w:val="000000" w:themeColor="text1"/>
          <w:kern w:val="2"/>
          <w:sz w:val="32"/>
          <w:szCs w:val="32"/>
          <w14:textFill>
            <w14:solidFill>
              <w14:schemeClr w14:val="tx1"/>
            </w14:solidFill>
          </w14:textFill>
        </w:rPr>
        <w:t>17</w:t>
      </w:r>
      <w:r>
        <w:rPr>
          <w:rFonts w:hint="eastAsia" w:ascii="Times New Roman" w:hAnsi="Times New Roman" w:eastAsia="仿宋_GB2312" w:cs="Times New Roman"/>
          <w:color w:val="000000" w:themeColor="text1"/>
          <w:kern w:val="2"/>
          <w:sz w:val="32"/>
          <w:szCs w:val="32"/>
          <w14:textFill>
            <w14:solidFill>
              <w14:schemeClr w14:val="tx1"/>
            </w14:solidFill>
          </w14:textFill>
        </w:rPr>
        <w:t>人次、到京6批6人次，个访266批361人次、集访39批395人次）；书信49件，同比下降10.9%；网信235件，占来信总量的82.7%，同比下降15.5%。依法受理信访复查申请3件并按程序办结。重要节点均实现“三零”目标，全年未发生个人极端事件、未发生规模性群体性事件，未发生因信访问题处理不当引发的网络舆情事件。</w:t>
      </w:r>
    </w:p>
    <w:p w14:paraId="59830BD7">
      <w:pPr>
        <w:pStyle w:val="8"/>
        <w:widowControl w:val="0"/>
        <w:numPr>
          <w:ilvl w:val="0"/>
          <w:numId w:val="0"/>
        </w:numPr>
        <w:kinsoku/>
        <w:wordWrap/>
        <w:autoSpaceDE/>
        <w:autoSpaceDN/>
        <w:bidi w:val="0"/>
        <w:adjustRightInd/>
        <w:snapToGrid/>
        <w:spacing w:after="0" w:line="576" w:lineRule="exact"/>
        <w:ind w:leftChars="0" w:firstLine="64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1、坚持党建引领，抓实信访工作主体责任。一是强化组织保障。区委区政府高度重视信访工作，把信访工作列入重要议事日程，切实加强对信访工作的领导。2023年，区委常委会、区政府常务会先后5次听取信访工作情况汇报，研究部署信访工作。进一步健全区信访工作联席会议，推动建立健全信访信息分析研判、重点信访工作协调推进、重大信访问题督办处理、联合督查等工作机制，全年召开全体成员会议4次、专题会议20余次，推动化解了昭化古城太守街沟渠污染、环湖旅游路占地保险购买、栖凤苑小区居民反映停水停电等一大批民生类突出问题。充分发挥信访部门“三项建议权”，以“四不两直”方式对全区12个镇和区级相关部门开展了3轮全覆盖督导检查，发出信访通报12期，信访维稳工作专报3期，协办函10份，有力促进了信访安全稳定工作的开展。二是不断深化政治机关建设。深入开展学习贯彻习近平新时代中国特色社会主义思想主题教育，认真学习领会党的二十大精神和习近平总书记来川来广视察重要指示精神，全面贯彻落实党的二十大对信访工作的安排部署，准确把握新时代信访工作面临的形势任务和总体要求，切实用党的创新理论武装头脑、指导实践、推动工作。三是深入学习贯彻《信访工作条例》。开展《条例》一周年集中宣传活动，将《条例》纳入党校（行政学院）教学、党员干部教育培训和各镇各部门党委（党组）中心组学习重要内容，全年组织信访业务培训2次，信访干部参训率达100%，全面提升群众依法理性表达诉求的意识和党员干部服务群众、攻克信访难题的水平。</w:t>
      </w:r>
    </w:p>
    <w:p w14:paraId="7FBA49BF">
      <w:pPr>
        <w:pStyle w:val="8"/>
        <w:widowControl w:val="0"/>
        <w:numPr>
          <w:ilvl w:val="0"/>
          <w:numId w:val="0"/>
        </w:numPr>
        <w:kinsoku/>
        <w:wordWrap/>
        <w:autoSpaceDE/>
        <w:autoSpaceDN/>
        <w:bidi w:val="0"/>
        <w:adjustRightInd/>
        <w:snapToGrid/>
        <w:spacing w:after="0" w:line="576" w:lineRule="exact"/>
        <w:ind w:leftChars="0" w:firstLine="64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2、强化源头治理，夯实信访工作基层基础。一是健全镇信访工作联席会议机制。原则要求各镇每季度至少召开一次信访工作联席会议，编印发放《信访工作业务手册》，指导各镇信访工作联席会议建立健全《信访首办责任制度》《镇领导包案化解制度》等工作制度，有力推动各镇信访工作联席会议制度化、规范化建设和实体化运行。二是抓细重点信访矛盾排查落实。探索推进区、镇两级矛盾纠纷“一地办”工作，常态化开展矛盾纠纷“大排查大起底大化解”专项行动，坚持每月常态排查与敏感期专项排查、重点时段日排查相结合，逐案梳理落实化解、稳控责任人，强化信访事项研判会商、信访信息预警处置，努力把矛盾纠纷化解在基层、化解在萌芽状态。今年以来，排查信访突出问题和不稳定因素100余件，其中纳入县级领导包案化解35件，纳入区级重点人员管控45人。三是优化初信初访办理。对登记的初次信访事项快速响应，第一时间明确具体责任单位、责任领导以及信访部门包案督办人员，真正做到收件即转、接诉即办，综合运用法律、政策、经济、行政等手段和教育、调解、疏导等办法推动信访问题化解，全面提升信访事项办理质效。全年初次信访一次性化解率99.53%，纳入评价事项群众满意率99.8%，有效减少信访问题初转重和矛盾累积上行。</w:t>
      </w:r>
    </w:p>
    <w:p w14:paraId="25D07F15">
      <w:pPr>
        <w:pStyle w:val="8"/>
        <w:widowControl w:val="0"/>
        <w:numPr>
          <w:ilvl w:val="0"/>
          <w:numId w:val="0"/>
        </w:numPr>
        <w:kinsoku/>
        <w:wordWrap/>
        <w:autoSpaceDE/>
        <w:autoSpaceDN/>
        <w:bidi w:val="0"/>
        <w:adjustRightInd/>
        <w:snapToGrid/>
        <w:spacing w:after="0" w:line="576" w:lineRule="exact"/>
        <w:ind w:leftChars="0" w:firstLine="64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3、注重多元化解，推进疑难积案控增减存。一是持续推进重复信访治理。深入开展“百案攻坚迎大运”专项行动，对全区重点信访事项和疑难复杂问题，提交区委常委会落实县级党政领导和责任单位“一把手”包案，以上率下提级协调化解。区信联办不定期发出工作督办函24份，12名县级党政领导采取现场接访、重点约访等方式，适时接谈信访群众，认真听取诉求，统筹调度相关部门和镇村研究制定化解方案，督促责任单位切实抓好方案的落实。今年中央信联办交办我区重复信访事项8件，化解率100%。二是有效治理重点领域、重点群体信访问题。充分发挥各镇信访工作联席会议机制作用，强化县级领导接访下访包案、党政领导干部示范引领、职能部门协调推动、问题属地化解稳控、社会力量联动参与，切实解决了王家金石园区欠款、原发展猕猴桃产业补助、三公村蔬菜精深加工项目欠款、升达林业欠薪欠款、王家棚改项目、城关砖厂噪音污染、蜀道植物园征地补偿等一大批群众反映强烈的突出问题；成功化解了杨某、刘某、母某琼、冯某林、蒲某荣、王某元等一批疑难信访问题；民办代课教师、退役军人、乡农电员等群体有效稳控在当地。三是深入开展到省进京走访专项治理。区委常委会会议、区信访工作联席会议先后3次专题研究部署我区到省进京走访治理工作。全年分批派出10余个工作组赴蓉、赴京开展应急劝返处置工作，圆满完成各级两会、成都大运会等重大活动期间信访安全保障任务，实现“三个不发生”工作目标。</w:t>
      </w:r>
      <w:r>
        <w:rPr>
          <w:rFonts w:hint="default" w:ascii="Times New Roman" w:hAnsi="Times New Roman" w:eastAsia="仿宋_GB2312" w:cs="Times New Roman"/>
          <w:color w:val="000000" w:themeColor="text1"/>
          <w:kern w:val="2"/>
          <w:sz w:val="32"/>
          <w:szCs w:val="32"/>
          <w14:textFill>
            <w14:solidFill>
              <w14:schemeClr w14:val="tx1"/>
            </w14:solidFill>
          </w14:textFill>
        </w:rPr>
        <w:t>10</w:t>
      </w:r>
      <w:r>
        <w:rPr>
          <w:rFonts w:hint="eastAsia" w:ascii="Times New Roman" w:hAnsi="Times New Roman" w:eastAsia="仿宋_GB2312" w:cs="Times New Roman"/>
          <w:color w:val="000000" w:themeColor="text1"/>
          <w:kern w:val="2"/>
          <w:sz w:val="32"/>
          <w:szCs w:val="32"/>
          <w14:textFill>
            <w14:solidFill>
              <w14:schemeClr w14:val="tx1"/>
            </w14:solidFill>
          </w14:textFill>
        </w:rPr>
        <w:t>月中下旬，区信联办会同区纪委监委机关、区委政法委采取听取汇报、专题座谈、查阅资料、电话抽查等方式，对全区各镇、区级重点部门开展到省进京走访以及综合目标专项督导检查。对交办的到省进京走访事项，一律实行提级办理，由责任单位“一把手”牵头，带头包案、主动研究，因人制宜、因案施策推动化解。</w:t>
      </w:r>
    </w:p>
    <w:p w14:paraId="41E14C81">
      <w:pPr>
        <w:pStyle w:val="8"/>
        <w:widowControl w:val="0"/>
        <w:numPr>
          <w:ilvl w:val="0"/>
          <w:numId w:val="0"/>
        </w:numPr>
        <w:kinsoku/>
        <w:wordWrap/>
        <w:autoSpaceDE/>
        <w:autoSpaceDN/>
        <w:bidi w:val="0"/>
        <w:adjustRightInd/>
        <w:snapToGrid/>
        <w:spacing w:after="0" w:line="576" w:lineRule="exact"/>
        <w:ind w:leftChars="0" w:firstLine="64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4、完善制度机制，促进信访责任落地见效。一是严格执行领导干部接访下访制度。深入学习运用“浦江经验”，区委常委会专题传达学习《关于学习运用“浦江经验”进一步推动领导干部接访下访下基层解决信访问题的通知》《领导干部接访下访包案监督追责实施办法》等文件精神，区委群工局牵头落实“信访接待下基层”，发出工作提示函47份，县级领导干部每天轮流到区群众来访接待中心定点接访群众183批246人次，每月至少1天到分管行业、包联镇重点约访、带案下访，乡镇（街道）党政领导班子每周至少1天接访</w:t>
      </w:r>
      <w:r>
        <w:rPr>
          <w:rFonts w:hint="eastAsia" w:eastAsia="仿宋_GB2312" w:cs="Times New Roman"/>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下访，倾听群众诉求、现场研究解决问题。二是创新优化信访事项办理业务流程。从及时沟通、当面对话、领导约谈、回访核查入手，探索推进事前听取诉求找准问题症结、事中落实“三到位”促进案结事了、事后及时回访推动“事心双解”的“三见面”制度。网格代办信访初见成效，在全区村能办基础上，推进了村级网格员代理信访模式，群众的信访问题在家门口得到了及时反映，按时反馈，进一步减少群众往</w:t>
      </w:r>
      <w:r>
        <w:rPr>
          <w:rFonts w:hint="eastAsia" w:ascii="Times New Roman" w:eastAsia="仿宋_GB2312"/>
          <w:color w:val="000000" w:themeColor="text1"/>
          <w:sz w:val="32"/>
          <w:szCs w:val="32"/>
          <w14:textFill>
            <w14:solidFill>
              <w14:schemeClr w14:val="tx1"/>
            </w14:solidFill>
          </w14:textFill>
        </w:rPr>
        <w:t>上跑、反复跑。三是健全信访监督衔接机制。联合区级相关部门建立健全群纪联动、信访巡察、干部监督联席会议等机制，通过提供信访工作考核情况、定期交流信访工作信息、报送重点领域信访举报分析材料等方式，将各镇、区级各部门贯彻落实信访工作责任制情况及时报纪检监察、巡察、组织部门掌握。今年以来，向区委巡察办提供了</w:t>
      </w:r>
      <w:r>
        <w:rPr>
          <w:rFonts w:hint="eastAsia" w:ascii="Times New Roman" w:hAnsi="Times New Roman" w:eastAsia="仿宋_GB2312"/>
          <w:color w:val="000000" w:themeColor="text1"/>
          <w:sz w:val="32"/>
          <w:szCs w:val="32"/>
          <w14:textFill>
            <w14:solidFill>
              <w14:schemeClr w14:val="tx1"/>
            </w14:solidFill>
          </w14:textFill>
        </w:rPr>
        <w:t>10</w:t>
      </w:r>
      <w:r>
        <w:rPr>
          <w:rFonts w:hint="eastAsia" w:ascii="Times New Roman" w:eastAsia="仿宋_GB2312"/>
          <w:color w:val="000000" w:themeColor="text1"/>
          <w:sz w:val="32"/>
          <w:szCs w:val="32"/>
          <w14:textFill>
            <w14:solidFill>
              <w14:schemeClr w14:val="tx1"/>
            </w14:solidFill>
          </w14:textFill>
        </w:rPr>
        <w:t>余个区直单位信访工作情况，并配合区委巡察办开展了信访领域专项巡察，配合区纪委监委机关排查群众反映城乡饮水困难信访举报线索</w:t>
      </w:r>
      <w:r>
        <w:rPr>
          <w:rFonts w:hint="eastAsia" w:ascii="Times New Roman" w:hAnsi="Times New Roman" w:eastAsia="仿宋_GB2312"/>
          <w:color w:val="000000" w:themeColor="text1"/>
          <w:sz w:val="32"/>
          <w:szCs w:val="32"/>
          <w14:textFill>
            <w14:solidFill>
              <w14:schemeClr w14:val="tx1"/>
            </w14:solidFill>
          </w14:textFill>
        </w:rPr>
        <w:t>28</w:t>
      </w:r>
      <w:r>
        <w:rPr>
          <w:rFonts w:hint="eastAsia" w:ascii="Times New Roman" w:eastAsia="仿宋_GB2312"/>
          <w:color w:val="000000" w:themeColor="text1"/>
          <w:sz w:val="32"/>
          <w:szCs w:val="32"/>
          <w14:textFill>
            <w14:solidFill>
              <w14:schemeClr w14:val="tx1"/>
            </w14:solidFill>
          </w14:textFill>
        </w:rPr>
        <w:t>条，向全区发出了依法履职</w:t>
      </w:r>
      <w:r>
        <w:rPr>
          <w:rFonts w:hint="eastAsia" w:ascii="Times New Roman" w:hAnsi="Times New Roman" w:eastAsia="仿宋_GB2312" w:cs="Times New Roman"/>
          <w:color w:val="000000" w:themeColor="text1"/>
          <w:kern w:val="2"/>
          <w:sz w:val="32"/>
          <w:szCs w:val="32"/>
          <w14:textFill>
            <w14:solidFill>
              <w14:schemeClr w14:val="tx1"/>
            </w14:solidFill>
          </w14:textFill>
        </w:rPr>
        <w:t>信访工作、落实信访工作责任制的重要信号。</w:t>
      </w:r>
    </w:p>
    <w:p w14:paraId="376FCED3">
      <w:pPr>
        <w:pStyle w:val="8"/>
        <w:widowControl w:val="0"/>
        <w:numPr>
          <w:ilvl w:val="0"/>
          <w:numId w:val="0"/>
        </w:numPr>
        <w:kinsoku/>
        <w:wordWrap/>
        <w:autoSpaceDE/>
        <w:autoSpaceDN/>
        <w:bidi w:val="0"/>
        <w:adjustRightInd/>
        <w:snapToGrid/>
        <w:spacing w:after="0" w:line="576" w:lineRule="exact"/>
        <w:ind w:leftChars="0" w:firstLine="640"/>
        <w:jc w:val="both"/>
        <w:textAlignment w:val="auto"/>
        <w:rPr>
          <w:rFonts w:hint="default" w:ascii="Times New Roman" w:eastAsia="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5、紧密围绕中心，主动融入经济社会发展大局。一是做好党建和意识形态工作。今年以来，召开党建工作会议2次，党风廉政建设工作会议</w:t>
      </w:r>
      <w:r>
        <w:rPr>
          <w:rFonts w:hint="default" w:ascii="Times New Roman" w:hAnsi="Times New Roman" w:eastAsia="仿宋_GB2312" w:cs="Times New Roman"/>
          <w:color w:val="000000" w:themeColor="text1"/>
          <w:kern w:val="2"/>
          <w:sz w:val="32"/>
          <w:szCs w:val="32"/>
          <w14:textFill>
            <w14:solidFill>
              <w14:schemeClr w14:val="tx1"/>
            </w14:solidFill>
          </w14:textFill>
        </w:rPr>
        <w:t>4</w:t>
      </w:r>
      <w:r>
        <w:rPr>
          <w:rFonts w:hint="eastAsia" w:ascii="Times New Roman" w:hAnsi="Times New Roman" w:eastAsia="仿宋_GB2312" w:cs="Times New Roman"/>
          <w:color w:val="000000" w:themeColor="text1"/>
          <w:kern w:val="2"/>
          <w:sz w:val="32"/>
          <w:szCs w:val="32"/>
          <w14:textFill>
            <w14:solidFill>
              <w14:schemeClr w14:val="tx1"/>
            </w14:solidFill>
          </w14:textFill>
        </w:rPr>
        <w:t>次，开展主题党日活动12次、召开党员大会</w:t>
      </w:r>
      <w:r>
        <w:rPr>
          <w:rFonts w:hint="default" w:ascii="Times New Roman" w:hAnsi="Times New Roman" w:eastAsia="仿宋_GB2312" w:cs="Times New Roman"/>
          <w:color w:val="000000" w:themeColor="text1"/>
          <w:kern w:val="2"/>
          <w:sz w:val="32"/>
          <w:szCs w:val="32"/>
          <w14:textFill>
            <w14:solidFill>
              <w14:schemeClr w14:val="tx1"/>
            </w14:solidFill>
          </w14:textFill>
        </w:rPr>
        <w:t>5</w:t>
      </w:r>
      <w:r>
        <w:rPr>
          <w:rFonts w:hint="eastAsia" w:ascii="Times New Roman" w:hAnsi="Times New Roman" w:eastAsia="仿宋_GB2312" w:cs="Times New Roman"/>
          <w:color w:val="000000" w:themeColor="text1"/>
          <w:kern w:val="2"/>
          <w:sz w:val="32"/>
          <w:szCs w:val="32"/>
          <w14:textFill>
            <w14:solidFill>
              <w14:schemeClr w14:val="tx1"/>
            </w14:solidFill>
          </w14:textFill>
        </w:rPr>
        <w:t>次、党务知识培训2次，常态化开展</w:t>
      </w:r>
      <w:r>
        <w:rPr>
          <w:rFonts w:hint="default"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双报到”</w:t>
      </w:r>
      <w:r>
        <w:rPr>
          <w:rFonts w:hint="default"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红色星期六”志愿服务活动；组织理论学习中心组集中学</w:t>
      </w:r>
      <w:r>
        <w:rPr>
          <w:rFonts w:hint="eastAsia" w:ascii="Times New Roman" w:eastAsia="仿宋_GB2312"/>
          <w:color w:val="000000" w:themeColor="text1"/>
          <w:sz w:val="32"/>
          <w:szCs w:val="32"/>
          <w14:textFill>
            <w14:solidFill>
              <w14:schemeClr w14:val="tx1"/>
            </w14:solidFill>
          </w14:textFill>
        </w:rPr>
        <w:t>习研讨</w:t>
      </w:r>
      <w:r>
        <w:rPr>
          <w:rFonts w:hint="eastAsia" w:ascii="Times New Roman" w:hAnsi="Times New Roman" w:eastAsia="仿宋_GB2312"/>
          <w:color w:val="000000" w:themeColor="text1"/>
          <w:sz w:val="32"/>
          <w:szCs w:val="32"/>
          <w14:textFill>
            <w14:solidFill>
              <w14:schemeClr w14:val="tx1"/>
            </w14:solidFill>
          </w14:textFill>
        </w:rPr>
        <w:t>9</w:t>
      </w:r>
      <w:r>
        <w:rPr>
          <w:rFonts w:hint="eastAsia" w:ascii="Times New Roman" w:eastAsia="仿宋_GB2312"/>
          <w:color w:val="000000" w:themeColor="text1"/>
          <w:sz w:val="32"/>
          <w:szCs w:val="32"/>
          <w14:textFill>
            <w14:solidFill>
              <w14:schemeClr w14:val="tx1"/>
            </w14:solidFill>
          </w14:textFill>
        </w:rPr>
        <w:t>次，专题研究意识形态工作</w:t>
      </w:r>
      <w:r>
        <w:rPr>
          <w:rFonts w:hint="eastAsia" w:ascii="Times New Roman" w:hAnsi="Times New Roman" w:eastAsia="仿宋_GB2312"/>
          <w:color w:val="000000" w:themeColor="text1"/>
          <w:sz w:val="32"/>
          <w:szCs w:val="32"/>
          <w14:textFill>
            <w14:solidFill>
              <w14:schemeClr w14:val="tx1"/>
            </w14:solidFill>
          </w14:textFill>
        </w:rPr>
        <w:t>4</w:t>
      </w:r>
      <w:r>
        <w:rPr>
          <w:rFonts w:hint="eastAsia" w:ascii="Times New Roman" w:eastAsia="仿宋_GB2312"/>
          <w:color w:val="000000" w:themeColor="text1"/>
          <w:sz w:val="32"/>
          <w:szCs w:val="32"/>
          <w14:textFill>
            <w14:solidFill>
              <w14:schemeClr w14:val="tx1"/>
            </w14:solidFill>
          </w14:textFill>
        </w:rPr>
        <w:t>次。二是扎实开展联村帮扶工作。</w:t>
      </w:r>
      <w:r>
        <w:rPr>
          <w:rFonts w:hint="eastAsia" w:ascii="Times New Roman" w:eastAsia="仿宋_GB2312"/>
          <w:color w:val="000000" w:themeColor="text1"/>
          <w:kern w:val="2"/>
          <w:sz w:val="32"/>
          <w:szCs w:val="32"/>
          <w14:textFill>
            <w14:solidFill>
              <w14:schemeClr w14:val="tx1"/>
            </w14:solidFill>
          </w14:textFill>
        </w:rPr>
        <w:t>有序做好到期轮换工作，</w:t>
      </w:r>
      <w:r>
        <w:rPr>
          <w:rFonts w:hint="eastAsia" w:ascii="Times New Roman" w:eastAsia="仿宋_GB2312"/>
          <w:color w:val="000000" w:themeColor="text1"/>
          <w:sz w:val="32"/>
          <w:szCs w:val="32"/>
          <w14:textFill>
            <w14:solidFill>
              <w14:schemeClr w14:val="tx1"/>
            </w14:solidFill>
          </w14:textFill>
        </w:rPr>
        <w:t>全体干部职工</w:t>
      </w:r>
      <w:r>
        <w:rPr>
          <w:rStyle w:val="25"/>
          <w:rFonts w:hint="eastAsia" w:hAnsi="Times New Roman" w:eastAsia="仿宋_GB2312"/>
          <w:color w:val="000000" w:themeColor="text1"/>
          <w:sz w:val="32"/>
          <w:szCs w:val="24"/>
          <w14:textFill>
            <w14:solidFill>
              <w14:schemeClr w14:val="tx1"/>
            </w14:solidFill>
          </w14:textFill>
        </w:rPr>
        <w:t>帮扶联系射箭镇五房村（乡村振兴示范村）脱贫户</w:t>
      </w:r>
      <w:r>
        <w:rPr>
          <w:rStyle w:val="25"/>
          <w:rFonts w:hint="eastAsia" w:ascii="Times New Roman" w:hAnsi="Times New Roman" w:eastAsia="仿宋_GB2312"/>
          <w:color w:val="000000" w:themeColor="text1"/>
          <w:sz w:val="32"/>
          <w:szCs w:val="24"/>
          <w14:textFill>
            <w14:solidFill>
              <w14:schemeClr w14:val="tx1"/>
            </w14:solidFill>
          </w14:textFill>
        </w:rPr>
        <w:t>52</w:t>
      </w:r>
      <w:r>
        <w:rPr>
          <w:rStyle w:val="25"/>
          <w:rFonts w:hint="eastAsia" w:hAnsi="Times New Roman" w:eastAsia="仿宋_GB2312"/>
          <w:color w:val="000000" w:themeColor="text1"/>
          <w:sz w:val="32"/>
          <w:szCs w:val="24"/>
          <w14:textFill>
            <w14:solidFill>
              <w14:schemeClr w14:val="tx1"/>
            </w14:solidFill>
          </w14:textFill>
        </w:rPr>
        <w:t>户</w:t>
      </w:r>
      <w:r>
        <w:rPr>
          <w:rFonts w:hint="eastAsia" w:ascii="Times New Roman" w:eastAsia="仿宋_GB2312"/>
          <w:color w:val="000000" w:themeColor="text1"/>
          <w:sz w:val="32"/>
          <w:szCs w:val="32"/>
          <w14:textFill>
            <w14:solidFill>
              <w14:schemeClr w14:val="tx1"/>
            </w14:solidFill>
          </w14:textFill>
        </w:rPr>
        <w:t>。</w:t>
      </w:r>
      <w:r>
        <w:rPr>
          <w:rFonts w:hint="eastAsia" w:ascii="Times New Roman" w:eastAsia="仿宋_GB2312"/>
          <w:color w:val="000000" w:themeColor="text1"/>
          <w:kern w:val="2"/>
          <w:sz w:val="32"/>
          <w:szCs w:val="32"/>
          <w14:textFill>
            <w14:solidFill>
              <w14:schemeClr w14:val="tx1"/>
            </w14:solidFill>
          </w14:textFill>
        </w:rPr>
        <w:t>深入开展支部结对共建活动，</w:t>
      </w:r>
      <w:r>
        <w:rPr>
          <w:rFonts w:hint="eastAsia" w:ascii="Times New Roman" w:eastAsia="仿宋_GB2312"/>
          <w:color w:val="000000" w:themeColor="text1"/>
          <w:sz w:val="32"/>
          <w:szCs w:val="32"/>
          <w14:textFill>
            <w14:solidFill>
              <w14:schemeClr w14:val="tx1"/>
            </w14:solidFill>
          </w14:textFill>
        </w:rPr>
        <w:t>群工局党支部“七一”走访慰问五房村党总支退休党员</w:t>
      </w:r>
      <w:r>
        <w:rPr>
          <w:rFonts w:hint="eastAsia" w:ascii="Times New Roman" w:hAnsi="Times New Roman" w:eastAsia="仿宋_GB2312"/>
          <w:color w:val="000000" w:themeColor="text1"/>
          <w:sz w:val="32"/>
          <w:szCs w:val="32"/>
          <w14:textFill>
            <w14:solidFill>
              <w14:schemeClr w14:val="tx1"/>
            </w14:solidFill>
          </w14:textFill>
        </w:rPr>
        <w:t>3</w:t>
      </w:r>
      <w:r>
        <w:rPr>
          <w:rFonts w:hint="eastAsia" w:ascii="Times New Roman" w:eastAsia="仿宋_GB2312"/>
          <w:color w:val="000000" w:themeColor="text1"/>
          <w:sz w:val="32"/>
          <w:szCs w:val="32"/>
          <w14:textFill>
            <w14:solidFill>
              <w14:schemeClr w14:val="tx1"/>
            </w14:solidFill>
          </w14:textFill>
        </w:rPr>
        <w:t>人，到射箭小学开展教师节慰问活动，党支部书记到五房村党总支讲党课</w:t>
      </w:r>
      <w:r>
        <w:rPr>
          <w:rFonts w:hint="eastAsia" w:ascii="Times New Roman" w:hAnsi="Times New Roman" w:eastAsia="仿宋_GB2312"/>
          <w:color w:val="000000" w:themeColor="text1"/>
          <w:sz w:val="32"/>
          <w:szCs w:val="32"/>
          <w14:textFill>
            <w14:solidFill>
              <w14:schemeClr w14:val="tx1"/>
            </w14:solidFill>
          </w14:textFill>
        </w:rPr>
        <w:t>1</w:t>
      </w:r>
      <w:r>
        <w:rPr>
          <w:rFonts w:hint="eastAsia" w:ascii="Times New Roman" w:eastAsia="仿宋_GB2312"/>
          <w:color w:val="000000" w:themeColor="text1"/>
          <w:sz w:val="32"/>
          <w:szCs w:val="32"/>
          <w14:textFill>
            <w14:solidFill>
              <w14:schemeClr w14:val="tx1"/>
            </w14:solidFill>
          </w14:textFill>
        </w:rPr>
        <w:t>次，“第一书记”上党课</w:t>
      </w:r>
      <w:r>
        <w:rPr>
          <w:rFonts w:hint="eastAsia" w:ascii="Times New Roman" w:hAnsi="Times New Roman" w:eastAsia="仿宋_GB2312"/>
          <w:color w:val="000000" w:themeColor="text1"/>
          <w:sz w:val="32"/>
          <w:szCs w:val="32"/>
          <w14:textFill>
            <w14:solidFill>
              <w14:schemeClr w14:val="tx1"/>
            </w14:solidFill>
          </w14:textFill>
        </w:rPr>
        <w:t>3</w:t>
      </w:r>
      <w:r>
        <w:rPr>
          <w:rFonts w:hint="eastAsia" w:ascii="Times New Roman" w:eastAsia="仿宋_GB2312"/>
          <w:color w:val="000000" w:themeColor="text1"/>
          <w:sz w:val="32"/>
          <w:szCs w:val="32"/>
          <w14:textFill>
            <w14:solidFill>
              <w14:schemeClr w14:val="tx1"/>
            </w14:solidFill>
          </w14:textFill>
        </w:rPr>
        <w:t>次，组织党员干部到王坪烈士陵园、黄猫垭战斗遗址实地学习</w:t>
      </w:r>
      <w:r>
        <w:rPr>
          <w:rFonts w:hint="eastAsia" w:ascii="Times New Roman" w:hAnsi="Times New Roman" w:eastAsia="仿宋_GB2312"/>
          <w:color w:val="000000" w:themeColor="text1"/>
          <w:sz w:val="32"/>
          <w:szCs w:val="32"/>
          <w14:textFill>
            <w14:solidFill>
              <w14:schemeClr w14:val="tx1"/>
            </w14:solidFill>
          </w14:textFill>
        </w:rPr>
        <w:t>2</w:t>
      </w:r>
      <w:r>
        <w:rPr>
          <w:rFonts w:hint="eastAsia" w:ascii="Times New Roman" w:eastAsia="仿宋_GB2312"/>
          <w:color w:val="000000" w:themeColor="text1"/>
          <w:sz w:val="32"/>
          <w:szCs w:val="32"/>
          <w14:textFill>
            <w14:solidFill>
              <w14:schemeClr w14:val="tx1"/>
            </w14:solidFill>
          </w14:textFill>
        </w:rPr>
        <w:t>次。三是自觉践行总体国家安全观，深入学习贯彻习近平法治思想，认真开展平安建设、文明城市创建、双拥、普法、保密、财务等工作，自觉维护优化营商环境、生态环境、耕地保护等各项措施。</w:t>
      </w:r>
    </w:p>
    <w:p w14:paraId="0E3F644C">
      <w:pPr>
        <w:pStyle w:val="4"/>
        <w:keepNext/>
        <w:keepLines/>
        <w:widowControl w:val="0"/>
        <w:kinsoku/>
        <w:wordWrap/>
        <w:bidi w:val="0"/>
        <w:snapToGrid/>
        <w:spacing w:line="576" w:lineRule="exact"/>
        <w:ind w:firstLine="640"/>
        <w:jc w:val="both"/>
        <w:textAlignment w:val="auto"/>
        <w:rPr>
          <w:rFonts w:hint="default" w:ascii="Cambria" w:cs="Cambria"/>
          <w:color w:val="000000" w:themeColor="text1"/>
          <w:kern w:val="2"/>
          <w:sz w:val="32"/>
          <w:szCs w:val="24"/>
          <w14:textFill>
            <w14:solidFill>
              <w14:schemeClr w14:val="tx1"/>
            </w14:solidFill>
          </w14:textFill>
        </w:rPr>
      </w:pPr>
      <w:r>
        <w:rPr>
          <w:rFonts w:hint="eastAsia" w:ascii="黑体" w:hAnsi="黑体" w:eastAsia="黑体"/>
          <w:color w:val="000000" w:themeColor="text1"/>
          <w:kern w:val="2"/>
          <w:sz w:val="32"/>
          <w:szCs w:val="24"/>
          <w14:textFill>
            <w14:solidFill>
              <w14:schemeClr w14:val="tx1"/>
            </w14:solidFill>
          </w14:textFill>
        </w:rPr>
        <w:t>二、机构设置</w:t>
      </w:r>
    </w:p>
    <w:p w14:paraId="58C820B8">
      <w:pPr>
        <w:overflowPunct w:val="0"/>
        <w:topLinePunct/>
        <w:spacing w:beforeLines="0" w:afterLines="0" w:line="576" w:lineRule="exact"/>
        <w:ind w:firstLine="640" w:firstLineChars="200"/>
        <w:jc w:val="both"/>
        <w:rPr>
          <w:rFonts w:hint="eastAsia" w:ascii="方正小标宋简体" w:eastAsia="仿宋_GB2312"/>
          <w:color w:val="000000"/>
          <w:sz w:val="44"/>
          <w:szCs w:val="44"/>
          <w:lang w:eastAsia="zh-CN"/>
        </w:rPr>
      </w:pPr>
      <w:r>
        <w:rPr>
          <w:rFonts w:hint="eastAsia" w:ascii="仿宋_GB2312" w:hAnsi="仿宋_GB2312" w:eastAsia="仿宋_GB2312" w:cs="仿宋_GB2312"/>
          <w:color w:val="000000"/>
          <w:sz w:val="32"/>
          <w:szCs w:val="32"/>
        </w:rPr>
        <w:t>中共广元市昭化区委群众工作局</w:t>
      </w:r>
      <w:r>
        <w:rPr>
          <w:rFonts w:hint="eastAsia" w:ascii="仿宋_GB2312" w:hAnsi="仿宋_GB2312" w:eastAsia="仿宋_GB2312"/>
          <w:kern w:val="2"/>
          <w:sz w:val="32"/>
          <w:szCs w:val="24"/>
        </w:rPr>
        <w:t>属于</w:t>
      </w:r>
      <w:r>
        <w:rPr>
          <w:rFonts w:hint="eastAsia" w:ascii="仿宋_GB2312" w:hAnsi="仿宋_GB2312" w:eastAsia="仿宋_GB2312" w:cs="仿宋_GB2312"/>
          <w:color w:val="000000"/>
          <w:sz w:val="32"/>
          <w:szCs w:val="32"/>
        </w:rPr>
        <w:t>一级预算单位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下设</w:t>
      </w:r>
      <w:r>
        <w:rPr>
          <w:rFonts w:hint="eastAsia" w:ascii="Times New Roman" w:eastAsia="仿宋_GB2312" w:cs="仿宋_GB2312"/>
          <w:color w:val="000000"/>
          <w:sz w:val="32"/>
          <w:szCs w:val="32"/>
        </w:rPr>
        <w:t>3</w:t>
      </w:r>
      <w:r>
        <w:rPr>
          <w:rFonts w:hint="eastAsia" w:ascii="仿宋_GB2312" w:hAnsi="仿宋_GB2312" w:eastAsia="仿宋_GB2312" w:cs="仿宋_GB2312"/>
          <w:color w:val="000000"/>
          <w:sz w:val="32"/>
          <w:szCs w:val="32"/>
        </w:rPr>
        <w:t>个股室，分别是办公室、群众来访接待中心、督查督办复核股。</w:t>
      </w:r>
      <w:r>
        <w:rPr>
          <w:rFonts w:hint="eastAsia" w:ascii="仿宋_GB2312" w:hAnsi="仿宋_GB2312" w:eastAsia="仿宋_GB2312"/>
          <w:kern w:val="2"/>
          <w:sz w:val="32"/>
          <w:szCs w:val="24"/>
        </w:rPr>
        <w:t>下设独立编制机构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个，其中行政机构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参照公务员法管理的事业机构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个，其他事业机构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w:t>
      </w:r>
    </w:p>
    <w:p w14:paraId="0354E41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eastAsia="zh-CN"/>
        </w:rPr>
      </w:pPr>
      <w:r>
        <w:rPr>
          <w:rFonts w:hint="eastAsia" w:ascii="仿宋_GB2312" w:hAnsi="仿宋_GB2312" w:eastAsia="仿宋_GB2312"/>
          <w:color w:val="000000"/>
          <w:sz w:val="32"/>
          <w:szCs w:val="24"/>
          <w:highlight w:val="none"/>
        </w:rPr>
        <w:t>纳入2023年度单位决算编制范围的</w:t>
      </w:r>
      <w:r>
        <w:rPr>
          <w:rFonts w:hint="eastAsia" w:ascii="仿宋_GB2312" w:hAnsi="仿宋_GB2312" w:eastAsia="仿宋_GB2312"/>
          <w:color w:val="000000"/>
          <w:sz w:val="32"/>
          <w:szCs w:val="24"/>
          <w:highlight w:val="none"/>
          <w:lang w:eastAsia="zh-CN"/>
        </w:rPr>
        <w:t>二级预算单位包括：无。</w:t>
      </w:r>
    </w:p>
    <w:p w14:paraId="3581E7B6">
      <w:pPr>
        <w:widowControl w:val="0"/>
        <w:kinsoku/>
        <w:wordWrap/>
        <w:bidi w:val="0"/>
        <w:snapToGrid/>
        <w:spacing w:line="576" w:lineRule="exact"/>
        <w:ind w:firstLine="640"/>
        <w:jc w:val="both"/>
        <w:textAlignment w:val="auto"/>
        <w:rPr>
          <w:rFonts w:hint="eastAsia" w:ascii="仿宋_GB2312" w:hAnsi="仿宋_GB2312" w:eastAsia="仿宋_GB2312"/>
          <w:color w:val="000000" w:themeColor="text1"/>
          <w:sz w:val="32"/>
          <w:szCs w:val="24"/>
          <w14:textFill>
            <w14:solidFill>
              <w14:schemeClr w14:val="tx1"/>
            </w14:solidFill>
          </w14:textFill>
        </w:rPr>
      </w:pPr>
      <w:r>
        <w:br w:type="page"/>
      </w:r>
    </w:p>
    <w:p w14:paraId="27060FD9">
      <w:pPr>
        <w:pStyle w:val="2"/>
        <w:widowControl w:val="0"/>
        <w:kinsoku/>
        <w:wordWrap/>
        <w:bidi w:val="0"/>
        <w:snapToGrid/>
        <w:spacing w:beforeLines="0" w:line="576" w:lineRule="exact"/>
        <w:textAlignment w:val="auto"/>
        <w:rPr>
          <w:rFonts w:hint="eastAsia"/>
          <w:color w:val="000000" w:themeColor="text1"/>
          <w:sz w:val="30"/>
          <w:szCs w:val="24"/>
          <w14:textFill>
            <w14:solidFill>
              <w14:schemeClr w14:val="tx1"/>
            </w14:solidFill>
          </w14:textFill>
        </w:rPr>
        <w:sectPr>
          <w:pgSz w:w="12240" w:h="15840"/>
          <w:pgMar w:top="2098" w:right="1474" w:bottom="1984" w:left="1587" w:header="850" w:footer="1587" w:gutter="0"/>
          <w:lnNumType w:countBy="0" w:distance="360"/>
          <w:pgNumType w:fmt="decimal"/>
          <w:cols w:space="0" w:num="1"/>
          <w:rtlGutter w:val="0"/>
          <w:docGrid w:linePitch="0" w:charSpace="0"/>
        </w:sectPr>
      </w:pPr>
    </w:p>
    <w:p w14:paraId="27F69747">
      <w:pPr>
        <w:keepNext/>
        <w:keepLines/>
        <w:pageBreakBefore/>
        <w:widowControl w:val="0"/>
        <w:kinsoku/>
        <w:wordWrap/>
        <w:bidi w:val="0"/>
        <w:snapToGrid/>
        <w:spacing w:line="600" w:lineRule="exact"/>
        <w:jc w:val="center"/>
        <w:textAlignment w:val="auto"/>
        <w:rPr>
          <w:rFonts w:hint="eastAsia" w:ascii="方正小标宋简体" w:hAnsi="方正小标宋简体" w:eastAsia="方正小标宋简体" w:cs="方正小标宋简体"/>
          <w:b w:val="0"/>
          <w:bCs/>
          <w:color w:val="000000" w:themeColor="text1"/>
          <w:kern w:val="2"/>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44"/>
          <w:sz w:val="44"/>
          <w:szCs w:val="44"/>
          <w14:textFill>
            <w14:solidFill>
              <w14:schemeClr w14:val="tx1"/>
            </w14:solidFill>
          </w14:textFill>
        </w:rPr>
        <w:t xml:space="preserve">第二部分  </w:t>
      </w:r>
      <w:r>
        <w:rPr>
          <w:rFonts w:hint="eastAsia" w:ascii="Times New Roman" w:hAnsi="Times New Roman" w:eastAsia="方正小标宋简体" w:cs="方正小标宋简体"/>
          <w:b w:val="0"/>
          <w:bCs/>
          <w:color w:val="000000" w:themeColor="text1"/>
          <w:kern w:val="44"/>
          <w:sz w:val="44"/>
          <w:szCs w:val="44"/>
          <w14:textFill>
            <w14:solidFill>
              <w14:schemeClr w14:val="tx1"/>
            </w14:solidFill>
          </w14:textFill>
        </w:rPr>
        <w:t>2023</w:t>
      </w:r>
      <w:r>
        <w:rPr>
          <w:rFonts w:hint="eastAsia" w:ascii="方正小标宋简体" w:hAnsi="方正小标宋简体" w:eastAsia="方正小标宋简体" w:cs="方正小标宋简体"/>
          <w:b w:val="0"/>
          <w:bCs/>
          <w:color w:val="000000" w:themeColor="text1"/>
          <w:kern w:val="44"/>
          <w:sz w:val="44"/>
          <w:szCs w:val="44"/>
          <w14:textFill>
            <w14:solidFill>
              <w14:schemeClr w14:val="tx1"/>
            </w14:solidFill>
          </w14:textFill>
        </w:rPr>
        <w:t>年度部门决算情况说明</w:t>
      </w:r>
    </w:p>
    <w:p w14:paraId="70959819">
      <w:pPr>
        <w:pStyle w:val="4"/>
        <w:widowControl w:val="0"/>
        <w:kinsoku/>
        <w:wordWrap/>
        <w:overflowPunct w:val="0"/>
        <w:topLinePunct/>
        <w:bidi w:val="0"/>
        <w:snapToGrid/>
        <w:spacing w:line="600" w:lineRule="exact"/>
        <w:ind w:firstLine="640" w:firstLineChars="200"/>
        <w:jc w:val="both"/>
        <w:textAlignment w:val="auto"/>
        <w:rPr>
          <w:rFonts w:hint="eastAsia" w:ascii="黑体" w:hAnsi="黑体" w:eastAsia="黑体"/>
          <w:color w:val="000000" w:themeColor="text1"/>
          <w:kern w:val="2"/>
          <w:sz w:val="32"/>
          <w:szCs w:val="24"/>
          <w14:textFill>
            <w14:solidFill>
              <w14:schemeClr w14:val="tx1"/>
            </w14:solidFill>
          </w14:textFill>
        </w:rPr>
      </w:pPr>
    </w:p>
    <w:p w14:paraId="7358A214">
      <w:pPr>
        <w:pStyle w:val="4"/>
        <w:keepNext w:val="0"/>
        <w:keepLines w:val="0"/>
        <w:pageBreakBefore w:val="0"/>
        <w:widowControl w:val="0"/>
        <w:kinsoku/>
        <w:wordWrap/>
        <w:overflowPunct w:val="0"/>
        <w:topLinePunct/>
        <w:bidi w:val="0"/>
        <w:snapToGrid/>
        <w:spacing w:line="600" w:lineRule="exact"/>
        <w:ind w:firstLine="640" w:firstLineChars="200"/>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t>一、收入支出决算总体情况说明</w:t>
      </w:r>
    </w:p>
    <w:p w14:paraId="5C50E2A1">
      <w:pPr>
        <w:keepNext w:val="0"/>
        <w:keepLines w:val="0"/>
        <w:pageBreakBefore w:val="0"/>
        <w:widowControl w:val="0"/>
        <w:numPr>
          <w:ilvl w:val="0"/>
          <w:numId w:val="0"/>
        </w:numPr>
        <w:kinsoku/>
        <w:wordWrap/>
        <w:overflow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年度收、支总计均为</w:t>
      </w:r>
      <w:r>
        <w:rPr>
          <w:rFonts w:hint="eastAsia" w:ascii="Times New Roman" w:hAnsi="Times New Roman" w:eastAsia="仿宋_GB2312"/>
          <w:b w:val="0"/>
          <w:bCs w:val="0"/>
          <w:color w:val="000000" w:themeColor="text1"/>
          <w:kern w:val="2"/>
          <w:sz w:val="32"/>
          <w:szCs w:val="24"/>
          <w14:textFill>
            <w14:solidFill>
              <w14:schemeClr w14:val="tx1"/>
            </w14:solidFill>
          </w14:textFill>
        </w:rPr>
        <w:t>223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06</w:t>
      </w:r>
      <w:r>
        <w:rPr>
          <w:rFonts w:hint="eastAsia" w:ascii="仿宋_GB2312" w:hAnsi="仿宋_GB2312" w:eastAsia="仿宋_GB2312"/>
          <w:b w:val="0"/>
          <w:bCs w:val="0"/>
          <w:color w:val="000000" w:themeColor="text1"/>
          <w:kern w:val="2"/>
          <w:sz w:val="32"/>
          <w:szCs w:val="24"/>
          <w14:textFill>
            <w14:solidFill>
              <w14:schemeClr w14:val="tx1"/>
            </w14:solidFill>
          </w14:textFill>
        </w:rPr>
        <w:t>万元。与</w:t>
      </w:r>
      <w:r>
        <w:rPr>
          <w:rFonts w:hint="eastAsia" w:ascii="Times New Roman" w:hAnsi="Times New Roman" w:eastAsia="仿宋_GB2312"/>
          <w:b w:val="0"/>
          <w:bCs w:val="0"/>
          <w:color w:val="000000" w:themeColor="text1"/>
          <w:kern w:val="2"/>
          <w:sz w:val="32"/>
          <w:szCs w:val="24"/>
          <w14:textFill>
            <w14:solidFill>
              <w14:schemeClr w14:val="tx1"/>
            </w14:solidFill>
          </w14:textFill>
        </w:rPr>
        <w:t>2022</w:t>
      </w:r>
      <w:r>
        <w:rPr>
          <w:rFonts w:hint="eastAsia" w:ascii="仿宋_GB2312" w:hAnsi="仿宋_GB2312" w:eastAsia="仿宋_GB2312"/>
          <w:b w:val="0"/>
          <w:bCs w:val="0"/>
          <w:color w:val="000000" w:themeColor="text1"/>
          <w:kern w:val="2"/>
          <w:sz w:val="32"/>
          <w:szCs w:val="24"/>
          <w14:textFill>
            <w14:solidFill>
              <w14:schemeClr w14:val="tx1"/>
            </w14:solidFill>
          </w14:textFill>
        </w:rPr>
        <w:t>年度相比，收、支总计各增加</w:t>
      </w:r>
      <w:r>
        <w:rPr>
          <w:rFonts w:hint="eastAsia" w:ascii="Times New Roman" w:hAnsi="Times New Roman" w:eastAsia="仿宋_GB2312"/>
          <w:b w:val="0"/>
          <w:bCs w:val="0"/>
          <w:color w:val="000000" w:themeColor="text1"/>
          <w:kern w:val="2"/>
          <w:sz w:val="32"/>
          <w:szCs w:val="24"/>
          <w14:textFill>
            <w14:solidFill>
              <w14:schemeClr w14:val="tx1"/>
            </w14:solidFill>
          </w14:textFill>
        </w:rPr>
        <w:t>27</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42</w:t>
      </w:r>
      <w:r>
        <w:rPr>
          <w:rFonts w:hint="eastAsia" w:ascii="仿宋_GB2312" w:hAnsi="仿宋_GB2312" w:eastAsia="仿宋_GB2312"/>
          <w:b w:val="0"/>
          <w:bCs w:val="0"/>
          <w:color w:val="000000" w:themeColor="text1"/>
          <w:kern w:val="2"/>
          <w:sz w:val="32"/>
          <w:szCs w:val="24"/>
          <w14:textFill>
            <w14:solidFill>
              <w14:schemeClr w14:val="tx1"/>
            </w14:solidFill>
          </w14:textFill>
        </w:rPr>
        <w:t>万元，增长</w:t>
      </w:r>
      <w:r>
        <w:rPr>
          <w:rFonts w:hint="eastAsia" w:ascii="Times New Roman" w:hAnsi="Times New Roman" w:eastAsia="仿宋_GB2312"/>
          <w:b w:val="0"/>
          <w:bCs w:val="0"/>
          <w:color w:val="000000" w:themeColor="text1"/>
          <w:kern w:val="2"/>
          <w:sz w:val="32"/>
          <w:szCs w:val="24"/>
          <w14:textFill>
            <w14:solidFill>
              <w14:schemeClr w14:val="tx1"/>
            </w14:solidFill>
          </w14:textFill>
        </w:rPr>
        <w:t>14</w:t>
      </w:r>
      <w:r>
        <w:rPr>
          <w:rFonts w:hint="eastAsia" w:ascii="仿宋_GB2312" w:hAnsi="仿宋_GB2312" w:eastAsia="仿宋_GB2312"/>
          <w:b w:val="0"/>
          <w:bCs w:val="0"/>
          <w:color w:val="000000" w:themeColor="text1"/>
          <w:kern w:val="2"/>
          <w:sz w:val="32"/>
          <w:szCs w:val="24"/>
          <w14:textFill>
            <w14:solidFill>
              <w14:schemeClr w14:val="tx1"/>
            </w14:solidFill>
          </w14:textFill>
        </w:rPr>
        <w:t>%。主要变动原因</w:t>
      </w:r>
      <w:r>
        <w:rPr>
          <w:rFonts w:hint="eastAsia" w:ascii="仿宋_GB2312" w:hAnsi="仿宋_GB2312" w:eastAsia="仿宋_GB2312" w:cs="仿宋_GB2312"/>
          <w:b w:val="0"/>
          <w:bCs w:val="0"/>
          <w:color w:val="000000" w:themeColor="text1"/>
          <w:sz w:val="32"/>
          <w:szCs w:val="32"/>
          <w14:textFill>
            <w14:solidFill>
              <w14:schemeClr w14:val="tx1"/>
            </w14:solidFill>
          </w14:textFill>
        </w:rPr>
        <w:t>是人员调资变动。</w:t>
      </w:r>
    </w:p>
    <w:p w14:paraId="7838F22D">
      <w:pPr>
        <w:keepNext w:val="0"/>
        <w:keepLines w:val="0"/>
        <w:pageBreakBefore w:val="0"/>
        <w:widowControl w:val="0"/>
        <w:kinsoku/>
        <w:wordWrap/>
        <w:overflow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14:paraId="4B823AFB">
      <w:pPr>
        <w:pStyle w:val="8"/>
        <w:keepNext w:val="0"/>
        <w:keepLines w:val="0"/>
        <w:pageBreakBefore w:val="0"/>
        <w:widowControl w:val="0"/>
        <w:kinsoku/>
        <w:wordWrap/>
        <w:overflowPunct w:val="0"/>
        <w:topLinePunct w:val="0"/>
        <w:autoSpaceDE w:val="0"/>
        <w:autoSpaceDN w:val="0"/>
        <w:bidi w:val="0"/>
        <w:adjustRightInd w:val="0"/>
        <w:snapToGrid/>
        <w:spacing w:after="0" w:line="240" w:lineRule="auto"/>
        <w:ind w:left="0" w:leftChars="0" w:firstLine="480" w:firstLineChars="200"/>
        <w:jc w:val="both"/>
        <w:textAlignment w:val="auto"/>
        <w:rPr>
          <w:rFonts w:hint="eastAsia" w:eastAsia="宋体"/>
          <w:b w:val="0"/>
          <w:bCs w:val="0"/>
          <w:color w:val="000000" w:themeColor="text1"/>
          <w:sz w:val="24"/>
          <w:szCs w:val="32"/>
          <w:lang w:eastAsia="zh-CN"/>
          <w14:textFill>
            <w14:solidFill>
              <w14:schemeClr w14:val="tx1"/>
            </w14:solidFill>
          </w14:textFill>
        </w:rPr>
      </w:pPr>
      <w:r>
        <w:rPr>
          <w:rFonts w:hint="eastAsia" w:eastAsia="宋体"/>
          <w:b w:val="0"/>
          <w:bCs w:val="0"/>
          <w:color w:val="000000" w:themeColor="text1"/>
          <w:sz w:val="24"/>
          <w:szCs w:val="32"/>
          <w:lang w:eastAsia="zh-CN"/>
          <w14:textFill>
            <w14:solidFill>
              <w14:schemeClr w14:val="tx1"/>
            </w14:solidFill>
          </w14:textFill>
        </w:rPr>
        <w:drawing>
          <wp:inline distT="0" distB="0" distL="114300" distR="114300">
            <wp:extent cx="5342255" cy="3276600"/>
            <wp:effectExtent l="4445" t="4445" r="6350" b="14605"/>
            <wp:docPr id="2"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871711C">
      <w:pPr>
        <w:pStyle w:val="8"/>
        <w:keepNext w:val="0"/>
        <w:keepLines w:val="0"/>
        <w:pageBreakBefore w:val="0"/>
        <w:widowControl w:val="0"/>
        <w:kinsoku/>
        <w:wordWrap/>
        <w:overflowPunct w:val="0"/>
        <w:topLinePunct w:val="0"/>
        <w:autoSpaceDE w:val="0"/>
        <w:autoSpaceDN w:val="0"/>
        <w:bidi w:val="0"/>
        <w:adjustRightInd w:val="0"/>
        <w:snapToGrid/>
        <w:spacing w:after="0" w:line="300" w:lineRule="exact"/>
        <w:ind w:leftChars="0" w:firstLine="480" w:firstLineChars="200"/>
        <w:jc w:val="both"/>
        <w:textAlignment w:val="auto"/>
        <w:rPr>
          <w:rFonts w:hint="default" w:ascii="仿宋_GB2312" w:eastAsia="仿宋_GB2312"/>
          <w:b w:val="0"/>
          <w:bCs w:val="0"/>
          <w:color w:val="000000" w:themeColor="text1"/>
          <w:sz w:val="24"/>
          <w:szCs w:val="32"/>
          <w14:textFill>
            <w14:solidFill>
              <w14:schemeClr w14:val="tx1"/>
            </w14:solidFill>
          </w14:textFill>
        </w:rPr>
      </w:pPr>
    </w:p>
    <w:p w14:paraId="5BB48428">
      <w:pPr>
        <w:pStyle w:val="8"/>
        <w:keepNext w:val="0"/>
        <w:keepLines w:val="0"/>
        <w:pageBreakBefore w:val="0"/>
        <w:widowControl w:val="0"/>
        <w:kinsoku/>
        <w:wordWrap/>
        <w:overflowPunct w:val="0"/>
        <w:topLinePunct w:val="0"/>
        <w:autoSpaceDE w:val="0"/>
        <w:autoSpaceDN w:val="0"/>
        <w:bidi w:val="0"/>
        <w:adjustRightInd w:val="0"/>
        <w:snapToGrid/>
        <w:spacing w:after="0" w:line="600" w:lineRule="exact"/>
        <w:ind w:left="0" w:leftChars="0" w:firstLine="619" w:firstLineChars="258"/>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default" w:ascii="仿宋_GB2312" w:eastAsia="仿宋_GB2312"/>
          <w:b w:val="0"/>
          <w:bCs w:val="0"/>
          <w:color w:val="000000" w:themeColor="text1"/>
          <w:sz w:val="24"/>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3" name="Objec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rot="0" spcFirstLastPara="0" vertOverflow="overflow" horzOverflow="overflow" vert="horz" wrap="square" lIns="91440" tIns="45720" rIns="91440" bIns="45720" numCol="1" anchor="t" upright="1">
                        <a:noAutofit/>
                      </wps:bodyPr>
                    </wps:wsp>
                  </a:graphicData>
                </a:graphic>
              </wp:anchor>
            </w:drawing>
          </mc:Choice>
          <mc:Fallback>
            <w:pict>
              <v:rect id="Object 4" o:spid="_x0000_s1026" o:spt="1"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hwl/c8AAAD/AAAADwAAAAAAAAABACAAAAAiAAAAZHJzL2Rvd25yZXYu&#10;eG1sUEsBAhQAFAAAAAgAh07iQHYYbtcEAgAAJAQAAA4AAAAAAAAAAQAgAAAAHgEAAGRycy9lMm9E&#10;b2MueG1sUEsFBgAAAAAGAAYAWQEAAJQFAAAAAA==&#10;">
                <v:fill on="f" focussize="0,0"/>
                <v:stroke on="f"/>
                <v:imagedata o:title=""/>
                <o:lock v:ext="edit" aspectratio="t"/>
              </v:rect>
            </w:pict>
          </mc:Fallback>
        </mc:AlternateContent>
      </w:r>
      <w:r>
        <w:rPr>
          <w:rFonts w:hint="default" w:ascii="仿宋_GB2312" w:eastAsia="仿宋_GB2312"/>
          <w:b w:val="0"/>
          <w:bCs w:val="0"/>
          <w:color w:val="000000" w:themeColor="text1"/>
          <w:sz w:val="24"/>
          <w:szCs w:val="32"/>
          <w14:textFill>
            <w14:solidFill>
              <w14:schemeClr w14:val="tx1"/>
            </w14:solidFill>
          </w14:textFill>
        </w:rPr>
        <mc:AlternateContent>
          <mc:Choice Requires="wps">
            <w:drawing>
              <wp:inline distT="0" distB="0" distL="114300" distR="114300">
                <wp:extent cx="635" cy="0"/>
                <wp:effectExtent l="0" t="0" r="0" b="0"/>
                <wp:docPr id="4"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rot="0" spcFirstLastPara="0" vertOverflow="overflow" horzOverflow="overflow" vert="horz" wrap="square" lIns="91440" tIns="45720" rIns="91440" bIns="45720" numCol="1" anchor="t" upright="1">
                        <a:noAutofit/>
                      </wps:bodyPr>
                    </wps:wsp>
                  </a:graphicData>
                </a:graphic>
              </wp:inline>
            </w:drawing>
          </mc:Choice>
          <mc:Fallback>
            <w:pict>
              <v:rect id="图片 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&#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CX9zwAAAP8AAAAPAAAAAAAAAAEAIAAAACIAAABk&#10;cnMvZG93bnJldi54bWxQSwECFAAUAAAACACHTuJANOU5gQ8CAAAkBAAADgAAAAAAAAABACAAAAAe&#10;AQAAZHJzL2Uyb0RvYy54bWxQSwUGAAAAAAYABgBZAQAAnwUAAAAA&#10;">
                <v:fill on="f" focussize="0,0"/>
                <v:stroke on="f"/>
                <v:imagedata o:title=""/>
                <o:lock v:ext="edit" aspectratio="t"/>
                <w10:wrap type="none"/>
                <w10:anchorlock/>
              </v:rect>
            </w:pict>
          </mc:Fallback>
        </mc:AlternateContent>
      </w:r>
      <w:r>
        <w:rPr>
          <w:rFonts w:hint="eastAsia" w:ascii="黑体" w:hAnsi="黑体" w:eastAsia="黑体"/>
          <w:b w:val="0"/>
          <w:bCs w:val="0"/>
          <w:color w:val="000000" w:themeColor="text1"/>
          <w:kern w:val="2"/>
          <w:sz w:val="32"/>
          <w:szCs w:val="24"/>
          <w14:textFill>
            <w14:solidFill>
              <w14:schemeClr w14:val="tx1"/>
            </w14:solidFill>
          </w14:textFill>
        </w:rPr>
        <w:t>二、收入决算情况说明</w:t>
      </w:r>
    </w:p>
    <w:p w14:paraId="2088A283">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年本年收入合计</w:t>
      </w:r>
      <w:r>
        <w:rPr>
          <w:rFonts w:hint="eastAsia" w:ascii="Times New Roman" w:hAnsi="Times New Roman" w:eastAsia="仿宋_GB2312"/>
          <w:b w:val="0"/>
          <w:bCs w:val="0"/>
          <w:color w:val="000000" w:themeColor="text1"/>
          <w:kern w:val="2"/>
          <w:sz w:val="32"/>
          <w:szCs w:val="24"/>
          <w14:textFill>
            <w14:solidFill>
              <w14:schemeClr w14:val="tx1"/>
            </w14:solidFill>
          </w14:textFill>
        </w:rPr>
        <w:t>223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06</w:t>
      </w:r>
      <w:r>
        <w:rPr>
          <w:rFonts w:hint="eastAsia" w:ascii="仿宋_GB2312" w:hAnsi="仿宋_GB2312" w:eastAsia="仿宋_GB2312"/>
          <w:b w:val="0"/>
          <w:bCs w:val="0"/>
          <w:color w:val="000000" w:themeColor="text1"/>
          <w:kern w:val="2"/>
          <w:sz w:val="32"/>
          <w:szCs w:val="24"/>
          <w14:textFill>
            <w14:solidFill>
              <w14:schemeClr w14:val="tx1"/>
            </w14:solidFill>
          </w14:textFill>
        </w:rPr>
        <w:t>万元，其中：一般公共预算财政拨款收入</w:t>
      </w:r>
      <w:r>
        <w:rPr>
          <w:rFonts w:hint="eastAsia" w:ascii="Times New Roman" w:hAnsi="Times New Roman" w:eastAsia="仿宋_GB2312"/>
          <w:b w:val="0"/>
          <w:bCs w:val="0"/>
          <w:color w:val="000000" w:themeColor="text1"/>
          <w:kern w:val="2"/>
          <w:sz w:val="32"/>
          <w:szCs w:val="24"/>
          <w14:textFill>
            <w14:solidFill>
              <w14:schemeClr w14:val="tx1"/>
            </w14:solidFill>
          </w14:textFill>
        </w:rPr>
        <w:t>223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06</w:t>
      </w:r>
      <w:r>
        <w:rPr>
          <w:rFonts w:hint="eastAsia" w:ascii="仿宋_GB2312" w:hAnsi="仿宋_GB2312" w:eastAsia="仿宋_GB2312"/>
          <w:b w:val="0"/>
          <w:bCs w:val="0"/>
          <w:color w:val="000000" w:themeColor="text1"/>
          <w:kern w:val="2"/>
          <w:sz w:val="32"/>
          <w:szCs w:val="24"/>
          <w14:textFill>
            <w14:solidFill>
              <w14:schemeClr w14:val="tx1"/>
            </w14:solidFill>
          </w14:textFill>
        </w:rPr>
        <w:t>万元，占</w:t>
      </w:r>
      <w:r>
        <w:rPr>
          <w:rFonts w:hint="eastAsia" w:ascii="Times New Roman" w:hAnsi="Times New Roman" w:eastAsia="仿宋_GB2312"/>
          <w:b w:val="0"/>
          <w:bCs w:val="0"/>
          <w:color w:val="000000" w:themeColor="text1"/>
          <w:kern w:val="2"/>
          <w:sz w:val="32"/>
          <w:szCs w:val="24"/>
          <w14:textFill>
            <w14:solidFill>
              <w14:schemeClr w14:val="tx1"/>
            </w14:solidFill>
          </w14:textFill>
        </w:rPr>
        <w:t>100</w:t>
      </w:r>
      <w:r>
        <w:rPr>
          <w:rFonts w:hint="eastAsia" w:ascii="仿宋_GB2312" w:hAnsi="仿宋_GB2312" w:eastAsia="仿宋_GB2312"/>
          <w:b w:val="0"/>
          <w:bCs w:val="0"/>
          <w:color w:val="000000" w:themeColor="text1"/>
          <w:kern w:val="2"/>
          <w:sz w:val="32"/>
          <w:szCs w:val="24"/>
          <w14:textFill>
            <w14:solidFill>
              <w14:schemeClr w14:val="tx1"/>
            </w14:solidFill>
          </w14:textFill>
        </w:rPr>
        <w:t>%。</w:t>
      </w:r>
    </w:p>
    <w:p w14:paraId="7D6C1520">
      <w:pPr>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drawing>
          <wp:inline distT="0" distB="0" distL="114300" distR="114300">
            <wp:extent cx="5039995" cy="2771775"/>
            <wp:effectExtent l="4445" t="4445" r="22860" b="5080"/>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ascii="黑体" w:hAnsi="黑体" w:eastAsia="黑体"/>
          <w:b w:val="0"/>
          <w:bCs w:val="0"/>
          <w:color w:val="000000" w:themeColor="text1"/>
          <w:kern w:val="2"/>
          <w:sz w:val="32"/>
          <w:szCs w:val="24"/>
          <w:lang w:val="en-US" w:eastAsia="zh-CN"/>
          <w14:textFill>
            <w14:solidFill>
              <w14:schemeClr w14:val="tx1"/>
            </w14:solidFill>
          </w14:textFill>
        </w:rPr>
        <w:t xml:space="preserve"> </w:t>
      </w:r>
      <w:r>
        <w:rPr>
          <w:rFonts w:hint="eastAsia" w:ascii="黑体" w:hAnsi="黑体" w:eastAsia="黑体"/>
          <w:b w:val="0"/>
          <w:bCs w:val="0"/>
          <w:color w:val="000000" w:themeColor="text1"/>
          <w:kern w:val="2"/>
          <w:sz w:val="32"/>
          <w:szCs w:val="24"/>
          <w14:textFill>
            <w14:solidFill>
              <w14:schemeClr w14:val="tx1"/>
            </w14:solidFill>
          </w14:textFill>
        </w:rPr>
        <w:t>三、支出决算情况说明</w:t>
      </w:r>
    </w:p>
    <w:p w14:paraId="7701B8DD">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年本年支出合计</w:t>
      </w:r>
      <w:r>
        <w:rPr>
          <w:rFonts w:hint="eastAsia" w:ascii="Times New Roman" w:hAnsi="Times New Roman" w:eastAsia="仿宋_GB2312"/>
          <w:b w:val="0"/>
          <w:bCs w:val="0"/>
          <w:color w:val="000000" w:themeColor="text1"/>
          <w:kern w:val="2"/>
          <w:sz w:val="32"/>
          <w:szCs w:val="24"/>
          <w14:textFill>
            <w14:solidFill>
              <w14:schemeClr w14:val="tx1"/>
            </w14:solidFill>
          </w14:textFill>
        </w:rPr>
        <w:t>223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06</w:t>
      </w:r>
      <w:r>
        <w:rPr>
          <w:rFonts w:hint="eastAsia" w:ascii="仿宋_GB2312" w:hAnsi="仿宋_GB2312" w:eastAsia="仿宋_GB2312"/>
          <w:b w:val="0"/>
          <w:bCs w:val="0"/>
          <w:color w:val="000000" w:themeColor="text1"/>
          <w:kern w:val="2"/>
          <w:sz w:val="32"/>
          <w:szCs w:val="24"/>
          <w14:textFill>
            <w14:solidFill>
              <w14:schemeClr w14:val="tx1"/>
            </w14:solidFill>
          </w14:textFill>
        </w:rPr>
        <w:t>万元，其中：基本支出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138</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42</w:t>
      </w:r>
      <w:r>
        <w:rPr>
          <w:rFonts w:hint="eastAsia" w:ascii="仿宋_GB2312" w:hAnsi="仿宋_GB2312" w:eastAsia="仿宋_GB2312"/>
          <w:b w:val="0"/>
          <w:bCs w:val="0"/>
          <w:color w:val="000000" w:themeColor="text1"/>
          <w:kern w:val="2"/>
          <w:sz w:val="32"/>
          <w:szCs w:val="24"/>
          <w14:textFill>
            <w14:solidFill>
              <w14:schemeClr w14:val="tx1"/>
            </w14:solidFill>
          </w14:textFill>
        </w:rPr>
        <w:t>万元，占</w:t>
      </w:r>
      <w:r>
        <w:rPr>
          <w:rFonts w:hint="eastAsia" w:ascii="Times New Roman" w:hAnsi="Times New Roman" w:eastAsia="仿宋_GB2312"/>
          <w:b w:val="0"/>
          <w:bCs w:val="0"/>
          <w:color w:val="000000" w:themeColor="text1"/>
          <w:kern w:val="2"/>
          <w:sz w:val="32"/>
          <w:szCs w:val="24"/>
          <w14:textFill>
            <w14:solidFill>
              <w14:schemeClr w14:val="tx1"/>
            </w14:solidFill>
          </w14:textFill>
        </w:rPr>
        <w:t>62</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1</w:t>
      </w:r>
      <w:r>
        <w:rPr>
          <w:rFonts w:hint="eastAsia" w:ascii="仿宋_GB2312" w:hAnsi="仿宋_GB2312" w:eastAsia="仿宋_GB2312"/>
          <w:b w:val="0"/>
          <w:bCs w:val="0"/>
          <w:color w:val="000000" w:themeColor="text1"/>
          <w:kern w:val="2"/>
          <w:sz w:val="32"/>
          <w:szCs w:val="24"/>
          <w14:textFill>
            <w14:solidFill>
              <w14:schemeClr w14:val="tx1"/>
            </w14:solidFill>
          </w14:textFill>
        </w:rPr>
        <w:t>%；项目支出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84</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64</w:t>
      </w:r>
      <w:r>
        <w:rPr>
          <w:rFonts w:hint="eastAsia" w:ascii="仿宋_GB2312" w:hAnsi="仿宋_GB2312" w:eastAsia="仿宋_GB2312"/>
          <w:b w:val="0"/>
          <w:bCs w:val="0"/>
          <w:color w:val="000000" w:themeColor="text1"/>
          <w:kern w:val="2"/>
          <w:sz w:val="32"/>
          <w:szCs w:val="24"/>
          <w14:textFill>
            <w14:solidFill>
              <w14:schemeClr w14:val="tx1"/>
            </w14:solidFill>
          </w14:textFill>
        </w:rPr>
        <w:t>万元，占</w:t>
      </w:r>
      <w:r>
        <w:rPr>
          <w:rFonts w:hint="eastAsia" w:ascii="Times New Roman" w:hAnsi="Times New Roman" w:eastAsia="仿宋_GB2312"/>
          <w:b w:val="0"/>
          <w:bCs w:val="0"/>
          <w:color w:val="000000" w:themeColor="text1"/>
          <w:kern w:val="2"/>
          <w:sz w:val="32"/>
          <w:szCs w:val="24"/>
          <w14:textFill>
            <w14:solidFill>
              <w14:schemeClr w14:val="tx1"/>
            </w14:solidFill>
          </w14:textFill>
        </w:rPr>
        <w:t>37</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9</w:t>
      </w:r>
      <w:r>
        <w:rPr>
          <w:rFonts w:hint="eastAsia" w:ascii="仿宋_GB2312" w:hAnsi="仿宋_GB2312" w:eastAsia="仿宋_GB2312"/>
          <w:b w:val="0"/>
          <w:bCs w:val="0"/>
          <w:color w:val="000000" w:themeColor="text1"/>
          <w:kern w:val="2"/>
          <w:sz w:val="32"/>
          <w:szCs w:val="24"/>
          <w14:textFill>
            <w14:solidFill>
              <w14:schemeClr w14:val="tx1"/>
            </w14:solidFill>
          </w14:textFill>
        </w:rPr>
        <w:t>%。</w:t>
      </w:r>
    </w:p>
    <w:p w14:paraId="3EF55B80">
      <w:pPr>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drawing>
          <wp:inline distT="0" distB="0" distL="114300" distR="114300">
            <wp:extent cx="4909820" cy="2800350"/>
            <wp:effectExtent l="4445" t="4445" r="19685" b="14605"/>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9E45D6">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t>四、财政拨款收入支出决算总体情况说明</w:t>
      </w:r>
    </w:p>
    <w:p w14:paraId="0836524A">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年度财政拨款收、支总计均为</w:t>
      </w:r>
      <w:r>
        <w:rPr>
          <w:rFonts w:hint="eastAsia" w:ascii="Times New Roman" w:hAnsi="Times New Roman" w:eastAsia="仿宋_GB2312"/>
          <w:b w:val="0"/>
          <w:bCs w:val="0"/>
          <w:color w:val="000000" w:themeColor="text1"/>
          <w:kern w:val="2"/>
          <w:sz w:val="32"/>
          <w:szCs w:val="24"/>
          <w14:textFill>
            <w14:solidFill>
              <w14:schemeClr w14:val="tx1"/>
            </w14:solidFill>
          </w14:textFill>
        </w:rPr>
        <w:t>223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06</w:t>
      </w:r>
      <w:r>
        <w:rPr>
          <w:rFonts w:hint="eastAsia" w:ascii="仿宋_GB2312" w:hAnsi="仿宋_GB2312" w:eastAsia="仿宋_GB2312"/>
          <w:b w:val="0"/>
          <w:bCs w:val="0"/>
          <w:color w:val="000000" w:themeColor="text1"/>
          <w:kern w:val="2"/>
          <w:sz w:val="32"/>
          <w:szCs w:val="24"/>
          <w14:textFill>
            <w14:solidFill>
              <w14:schemeClr w14:val="tx1"/>
            </w14:solidFill>
          </w14:textFill>
        </w:rPr>
        <w:t>万元。与</w:t>
      </w:r>
      <w:r>
        <w:rPr>
          <w:rFonts w:hint="eastAsia" w:ascii="Times New Roman" w:hAnsi="Times New Roman" w:eastAsia="仿宋_GB2312"/>
          <w:b w:val="0"/>
          <w:bCs w:val="0"/>
          <w:color w:val="000000" w:themeColor="text1"/>
          <w:kern w:val="2"/>
          <w:sz w:val="32"/>
          <w:szCs w:val="24"/>
          <w14:textFill>
            <w14:solidFill>
              <w14:schemeClr w14:val="tx1"/>
            </w14:solidFill>
          </w14:textFill>
        </w:rPr>
        <w:t>2022</w:t>
      </w:r>
      <w:r>
        <w:rPr>
          <w:rFonts w:hint="eastAsia" w:ascii="仿宋_GB2312" w:hAnsi="仿宋_GB2312" w:eastAsia="仿宋_GB2312"/>
          <w:b w:val="0"/>
          <w:bCs w:val="0"/>
          <w:color w:val="000000" w:themeColor="text1"/>
          <w:kern w:val="2"/>
          <w:sz w:val="32"/>
          <w:szCs w:val="24"/>
          <w14:textFill>
            <w14:solidFill>
              <w14:schemeClr w14:val="tx1"/>
            </w14:solidFill>
          </w14:textFill>
        </w:rPr>
        <w:t>年度相比，财政拨款收、支总计各增加</w:t>
      </w:r>
      <w:r>
        <w:rPr>
          <w:rFonts w:hint="eastAsia" w:ascii="Times New Roman" w:hAnsi="Times New Roman" w:eastAsia="仿宋_GB2312"/>
          <w:b w:val="0"/>
          <w:bCs w:val="0"/>
          <w:color w:val="000000" w:themeColor="text1"/>
          <w:kern w:val="2"/>
          <w:sz w:val="32"/>
          <w:szCs w:val="24"/>
          <w14:textFill>
            <w14:solidFill>
              <w14:schemeClr w14:val="tx1"/>
            </w14:solidFill>
          </w14:textFill>
        </w:rPr>
        <w:t>27</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42</w:t>
      </w:r>
      <w:r>
        <w:rPr>
          <w:rFonts w:hint="eastAsia" w:ascii="仿宋_GB2312" w:hAnsi="仿宋_GB2312" w:eastAsia="仿宋_GB2312"/>
          <w:b w:val="0"/>
          <w:bCs w:val="0"/>
          <w:color w:val="000000" w:themeColor="text1"/>
          <w:kern w:val="2"/>
          <w:sz w:val="32"/>
          <w:szCs w:val="24"/>
          <w14:textFill>
            <w14:solidFill>
              <w14:schemeClr w14:val="tx1"/>
            </w14:solidFill>
          </w14:textFill>
        </w:rPr>
        <w:t>万元，增长</w:t>
      </w:r>
      <w:r>
        <w:rPr>
          <w:rFonts w:hint="eastAsia" w:ascii="Times New Roman" w:hAnsi="Times New Roman" w:eastAsia="仿宋_GB2312"/>
          <w:b w:val="0"/>
          <w:bCs w:val="0"/>
          <w:color w:val="000000" w:themeColor="text1"/>
          <w:kern w:val="2"/>
          <w:sz w:val="32"/>
          <w:szCs w:val="24"/>
          <w14:textFill>
            <w14:solidFill>
              <w14:schemeClr w14:val="tx1"/>
            </w14:solidFill>
          </w14:textFill>
        </w:rPr>
        <w:t>14</w:t>
      </w:r>
      <w:r>
        <w:rPr>
          <w:rFonts w:hint="eastAsia" w:ascii="仿宋_GB2312" w:hAnsi="仿宋_GB2312" w:eastAsia="仿宋_GB2312"/>
          <w:b w:val="0"/>
          <w:bCs w:val="0"/>
          <w:color w:val="000000" w:themeColor="text1"/>
          <w:kern w:val="2"/>
          <w:sz w:val="32"/>
          <w:szCs w:val="24"/>
          <w14:textFill>
            <w14:solidFill>
              <w14:schemeClr w14:val="tx1"/>
            </w14:solidFill>
          </w14:textFill>
        </w:rPr>
        <w:t>%。主要变动原因是人员调资变动。</w:t>
      </w:r>
    </w:p>
    <w:p w14:paraId="111A22F3">
      <w:pPr>
        <w:keepNext w:val="0"/>
        <w:keepLines w:val="0"/>
        <w:pageBreakBefore w:val="0"/>
        <w:widowControl w:val="0"/>
        <w:kinsoku/>
        <w:wordWrap/>
        <w:overflowPunct w:val="0"/>
        <w:topLinePunct/>
        <w:autoSpaceDE w:val="0"/>
        <w:autoSpaceDN w:val="0"/>
        <w:bidi w:val="0"/>
        <w:adjustRightInd w:val="0"/>
        <w:snapToGrid/>
        <w:spacing w:line="240" w:lineRule="auto"/>
        <w:ind w:left="496" w:leftChars="200" w:hanging="16" w:hangingChars="5"/>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drawing>
          <wp:inline distT="0" distB="0" distL="114300" distR="114300">
            <wp:extent cx="5386070" cy="3161665"/>
            <wp:effectExtent l="4445" t="4445" r="19685" b="15240"/>
            <wp:docPr id="7"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8F7714">
      <w:pPr>
        <w:keepNext w:val="0"/>
        <w:keepLines w:val="0"/>
        <w:pageBreakBefore w:val="0"/>
        <w:widowControl w:val="0"/>
        <w:kinsoku/>
        <w:wordWrap/>
        <w:overflowPunct w:val="0"/>
        <w:topLinePunct/>
        <w:autoSpaceDE w:val="0"/>
        <w:autoSpaceDN w:val="0"/>
        <w:bidi w:val="0"/>
        <w:adjustRightInd w:val="0"/>
        <w:snapToGrid/>
        <w:spacing w:line="240" w:lineRule="auto"/>
        <w:ind w:left="496" w:leftChars="200" w:hanging="16" w:hangingChars="5"/>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p>
    <w:p w14:paraId="5115ED14">
      <w:pPr>
        <w:keepNext w:val="0"/>
        <w:keepLines w:val="0"/>
        <w:pageBreakBefore w:val="0"/>
        <w:widowControl w:val="0"/>
        <w:kinsoku/>
        <w:wordWrap/>
        <w:overflowPunct w:val="0"/>
        <w:topLinePunct/>
        <w:autoSpaceDE w:val="0"/>
        <w:autoSpaceDN w:val="0"/>
        <w:bidi w:val="0"/>
        <w:adjustRightInd w:val="0"/>
        <w:snapToGrid/>
        <w:spacing w:line="600" w:lineRule="exact"/>
        <w:ind w:left="494" w:leftChars="206" w:firstLine="121" w:firstLineChars="38"/>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t>五、一般公共预算财政拨款支出决算情况说明</w:t>
      </w:r>
    </w:p>
    <w:p w14:paraId="16D75B28">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（一）一般公共预算财政拨款支出决算总体情况</w:t>
      </w:r>
    </w:p>
    <w:p w14:paraId="40137CE2">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年度一般公共预算财政拨款支出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223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06</w:t>
      </w:r>
      <w:r>
        <w:rPr>
          <w:rFonts w:hint="eastAsia" w:ascii="仿宋_GB2312" w:hAnsi="仿宋_GB2312" w:eastAsia="仿宋_GB2312"/>
          <w:b w:val="0"/>
          <w:bCs w:val="0"/>
          <w:color w:val="000000" w:themeColor="text1"/>
          <w:kern w:val="2"/>
          <w:sz w:val="32"/>
          <w:szCs w:val="24"/>
          <w14:textFill>
            <w14:solidFill>
              <w14:schemeClr w14:val="tx1"/>
            </w14:solidFill>
          </w14:textFill>
        </w:rPr>
        <w:t>万元，占本年支出合计的</w:t>
      </w:r>
      <w:r>
        <w:rPr>
          <w:rFonts w:hint="eastAsia" w:ascii="Times New Roman" w:hAnsi="Times New Roman" w:eastAsia="仿宋_GB2312"/>
          <w:b w:val="0"/>
          <w:bCs w:val="0"/>
          <w:color w:val="000000" w:themeColor="text1"/>
          <w:kern w:val="2"/>
          <w:sz w:val="32"/>
          <w:szCs w:val="24"/>
          <w14:textFill>
            <w14:solidFill>
              <w14:schemeClr w14:val="tx1"/>
            </w14:solidFill>
          </w14:textFill>
        </w:rPr>
        <w:t>100</w:t>
      </w:r>
      <w:r>
        <w:rPr>
          <w:rFonts w:hint="eastAsia" w:ascii="仿宋_GB2312" w:hAnsi="仿宋_GB2312" w:eastAsia="仿宋_GB2312"/>
          <w:b w:val="0"/>
          <w:bCs w:val="0"/>
          <w:color w:val="000000" w:themeColor="text1"/>
          <w:kern w:val="2"/>
          <w:sz w:val="32"/>
          <w:szCs w:val="24"/>
          <w14:textFill>
            <w14:solidFill>
              <w14:schemeClr w14:val="tx1"/>
            </w14:solidFill>
          </w14:textFill>
        </w:rPr>
        <w:t>%。与</w:t>
      </w:r>
      <w:r>
        <w:rPr>
          <w:rFonts w:hint="eastAsia" w:ascii="Times New Roman" w:hAnsi="Times New Roman" w:eastAsia="仿宋_GB2312"/>
          <w:b w:val="0"/>
          <w:bCs w:val="0"/>
          <w:color w:val="000000" w:themeColor="text1"/>
          <w:kern w:val="2"/>
          <w:sz w:val="32"/>
          <w:szCs w:val="24"/>
          <w14:textFill>
            <w14:solidFill>
              <w14:schemeClr w14:val="tx1"/>
            </w14:solidFill>
          </w14:textFill>
        </w:rPr>
        <w:t>2022</w:t>
      </w:r>
      <w:r>
        <w:rPr>
          <w:rFonts w:hint="eastAsia" w:ascii="仿宋_GB2312" w:hAnsi="仿宋_GB2312" w:eastAsia="仿宋_GB2312"/>
          <w:b w:val="0"/>
          <w:bCs w:val="0"/>
          <w:color w:val="000000" w:themeColor="text1"/>
          <w:kern w:val="2"/>
          <w:sz w:val="32"/>
          <w:szCs w:val="24"/>
          <w14:textFill>
            <w14:solidFill>
              <w14:schemeClr w14:val="tx1"/>
            </w14:solidFill>
          </w14:textFill>
        </w:rPr>
        <w:t>年度相比，一般公共预算财政拨款支出增加</w:t>
      </w:r>
      <w:r>
        <w:rPr>
          <w:rFonts w:hint="eastAsia" w:ascii="Times New Roman" w:hAnsi="Times New Roman" w:eastAsia="仿宋_GB2312"/>
          <w:b w:val="0"/>
          <w:bCs w:val="0"/>
          <w:color w:val="000000" w:themeColor="text1"/>
          <w:kern w:val="2"/>
          <w:sz w:val="36"/>
          <w:szCs w:val="36"/>
          <w14:textFill>
            <w14:solidFill>
              <w14:schemeClr w14:val="tx1"/>
            </w14:solidFill>
          </w14:textFill>
        </w:rPr>
        <w:t>27</w:t>
      </w:r>
      <w:r>
        <w:rPr>
          <w:rFonts w:hint="eastAsia" w:ascii="仿宋_GB2312" w:hAnsi="仿宋_GB2312" w:eastAsia="仿宋_GB2312"/>
          <w:b w:val="0"/>
          <w:bCs w:val="0"/>
          <w:color w:val="000000" w:themeColor="text1"/>
          <w:kern w:val="2"/>
          <w:sz w:val="36"/>
          <w:szCs w:val="36"/>
          <w14:textFill>
            <w14:solidFill>
              <w14:schemeClr w14:val="tx1"/>
            </w14:solidFill>
          </w14:textFill>
        </w:rPr>
        <w:t>.</w:t>
      </w:r>
      <w:r>
        <w:rPr>
          <w:rFonts w:hint="eastAsia" w:ascii="Times New Roman" w:hAnsi="Times New Roman" w:eastAsia="仿宋_GB2312"/>
          <w:b w:val="0"/>
          <w:bCs w:val="0"/>
          <w:color w:val="000000" w:themeColor="text1"/>
          <w:kern w:val="2"/>
          <w:sz w:val="36"/>
          <w:szCs w:val="36"/>
          <w14:textFill>
            <w14:solidFill>
              <w14:schemeClr w14:val="tx1"/>
            </w14:solidFill>
          </w14:textFill>
        </w:rPr>
        <w:t>42</w:t>
      </w:r>
      <w:r>
        <w:rPr>
          <w:rFonts w:hint="eastAsia" w:ascii="仿宋_GB2312" w:hAnsi="仿宋_GB2312" w:eastAsia="仿宋_GB2312"/>
          <w:b w:val="0"/>
          <w:bCs w:val="0"/>
          <w:color w:val="000000" w:themeColor="text1"/>
          <w:kern w:val="2"/>
          <w:sz w:val="32"/>
          <w:szCs w:val="24"/>
          <w14:textFill>
            <w14:solidFill>
              <w14:schemeClr w14:val="tx1"/>
            </w14:solidFill>
          </w14:textFill>
        </w:rPr>
        <w:t>万元，增长</w:t>
      </w:r>
      <w:r>
        <w:rPr>
          <w:rFonts w:hint="eastAsia" w:ascii="Times New Roman" w:hAnsi="Times New Roman" w:eastAsia="仿宋_GB2312"/>
          <w:b w:val="0"/>
          <w:bCs w:val="0"/>
          <w:color w:val="000000" w:themeColor="text1"/>
          <w:kern w:val="2"/>
          <w:sz w:val="32"/>
          <w:szCs w:val="24"/>
          <w14:textFill>
            <w14:solidFill>
              <w14:schemeClr w14:val="tx1"/>
            </w14:solidFill>
          </w14:textFill>
        </w:rPr>
        <w:t>14</w:t>
      </w:r>
      <w:r>
        <w:rPr>
          <w:rFonts w:hint="eastAsia" w:ascii="仿宋_GB2312" w:hAnsi="仿宋_GB2312" w:eastAsia="仿宋_GB2312"/>
          <w:b w:val="0"/>
          <w:bCs w:val="0"/>
          <w:color w:val="000000" w:themeColor="text1"/>
          <w:kern w:val="2"/>
          <w:sz w:val="32"/>
          <w:szCs w:val="24"/>
          <w14:textFill>
            <w14:solidFill>
              <w14:schemeClr w14:val="tx1"/>
            </w14:solidFill>
          </w14:textFill>
        </w:rPr>
        <w:t>%。主要变动原因是人员调资变动。</w:t>
      </w:r>
    </w:p>
    <w:p w14:paraId="32EF26FE">
      <w:pPr>
        <w:keepNext w:val="0"/>
        <w:keepLines w:val="0"/>
        <w:pageBreakBefore w:val="0"/>
        <w:widowControl w:val="0"/>
        <w:kinsoku/>
        <w:wordWrap/>
        <w:overflowPunct w:val="0"/>
        <w:topLinePunct/>
        <w:autoSpaceDE w:val="0"/>
        <w:autoSpaceDN w:val="0"/>
        <w:bidi w:val="0"/>
        <w:adjustRightInd w:val="0"/>
        <w:snapToGrid/>
        <w:spacing w:line="240" w:lineRule="auto"/>
        <w:ind w:left="478" w:leftChars="199" w:firstLine="240" w:firstLineChars="75"/>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drawing>
          <wp:inline distT="0" distB="0" distL="114300" distR="114300">
            <wp:extent cx="4707890" cy="2441575"/>
            <wp:effectExtent l="4445" t="4445" r="12065" b="11430"/>
            <wp:docPr id="8"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6D1782">
      <w:pPr>
        <w:keepNext w:val="0"/>
        <w:keepLines w:val="0"/>
        <w:pageBreakBefore w:val="0"/>
        <w:widowControl w:val="0"/>
        <w:kinsoku/>
        <w:wordWrap/>
        <w:overflowPunct w:val="0"/>
        <w:topLinePunct/>
        <w:autoSpaceDE w:val="0"/>
        <w:autoSpaceDN w:val="0"/>
        <w:bidi w:val="0"/>
        <w:adjustRightInd w:val="0"/>
        <w:snapToGrid/>
        <w:spacing w:line="240" w:lineRule="auto"/>
        <w:ind w:left="478" w:leftChars="199" w:firstLine="240" w:firstLineChars="75"/>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（二）一般公共预算财政拨款支出决算结构情况</w:t>
      </w:r>
    </w:p>
    <w:p w14:paraId="4F243499">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年度一般公共预算财政拨款支出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223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06</w:t>
      </w:r>
      <w:r>
        <w:rPr>
          <w:rFonts w:hint="eastAsia" w:ascii="仿宋_GB2312" w:hAnsi="仿宋_GB2312" w:eastAsia="仿宋_GB2312"/>
          <w:b w:val="0"/>
          <w:bCs w:val="0"/>
          <w:color w:val="000000" w:themeColor="text1"/>
          <w:kern w:val="2"/>
          <w:sz w:val="32"/>
          <w:szCs w:val="24"/>
          <w14:textFill>
            <w14:solidFill>
              <w14:schemeClr w14:val="tx1"/>
            </w14:solidFill>
          </w14:textFill>
        </w:rPr>
        <w:t>万元，主要用于以下方面</w:t>
      </w:r>
      <w:r>
        <w:rPr>
          <w:rFonts w:hint="eastAsia" w:ascii="仿宋_GB2312" w:hAnsi="仿宋_GB2312" w:eastAsia="仿宋_GB2312"/>
          <w:b w:val="0"/>
          <w:bCs w:val="0"/>
          <w:color w:val="000000" w:themeColor="text1"/>
          <w:kern w:val="2"/>
          <w:sz w:val="32"/>
          <w:szCs w:val="24"/>
          <w:lang w:eastAsia="zh-CN"/>
          <w14:textFill>
            <w14:solidFill>
              <w14:schemeClr w14:val="tx1"/>
            </w14:solidFill>
          </w14:textFill>
        </w:rPr>
        <w:t>：</w:t>
      </w:r>
      <w:r>
        <w:rPr>
          <w:rFonts w:hint="eastAsia" w:ascii="仿宋_GB2312" w:hAnsi="仿宋_GB2312" w:eastAsia="仿宋_GB2312"/>
          <w:b w:val="0"/>
          <w:bCs w:val="0"/>
          <w:color w:val="000000" w:themeColor="text1"/>
          <w:kern w:val="2"/>
          <w:sz w:val="32"/>
          <w:szCs w:val="24"/>
          <w14:textFill>
            <w14:solidFill>
              <w14:schemeClr w14:val="tx1"/>
            </w14:solidFill>
          </w14:textFill>
        </w:rPr>
        <w:t>一般公共服务支出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195</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31</w:t>
      </w:r>
      <w:r>
        <w:rPr>
          <w:rFonts w:hint="eastAsia" w:ascii="仿宋_GB2312" w:hAnsi="仿宋_GB2312" w:eastAsia="仿宋_GB2312"/>
          <w:b w:val="0"/>
          <w:bCs w:val="0"/>
          <w:color w:val="000000" w:themeColor="text1"/>
          <w:kern w:val="2"/>
          <w:sz w:val="32"/>
          <w:szCs w:val="24"/>
          <w14:textFill>
            <w14:solidFill>
              <w14:schemeClr w14:val="tx1"/>
            </w14:solidFill>
          </w14:textFill>
        </w:rPr>
        <w:t>万元，占</w:t>
      </w:r>
      <w:r>
        <w:rPr>
          <w:rFonts w:hint="eastAsia" w:ascii="Times New Roman" w:hAnsi="Times New Roman" w:eastAsia="仿宋_GB2312"/>
          <w:b w:val="0"/>
          <w:bCs w:val="0"/>
          <w:color w:val="000000" w:themeColor="text1"/>
          <w:kern w:val="2"/>
          <w:sz w:val="32"/>
          <w:szCs w:val="24"/>
          <w14:textFill>
            <w14:solidFill>
              <w14:schemeClr w14:val="tx1"/>
            </w14:solidFill>
          </w14:textFill>
        </w:rPr>
        <w:t>87</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6</w:t>
      </w:r>
      <w:r>
        <w:rPr>
          <w:rFonts w:hint="eastAsia" w:ascii="仿宋_GB2312" w:hAnsi="仿宋_GB2312" w:eastAsia="仿宋_GB2312"/>
          <w:b w:val="0"/>
          <w:bCs w:val="0"/>
          <w:color w:val="000000" w:themeColor="text1"/>
          <w:kern w:val="2"/>
          <w:sz w:val="32"/>
          <w:szCs w:val="24"/>
          <w14:textFill>
            <w14:solidFill>
              <w14:schemeClr w14:val="tx1"/>
            </w14:solidFill>
          </w14:textFill>
        </w:rPr>
        <w:t>%；社会保障和就业支出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13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12</w:t>
      </w:r>
      <w:r>
        <w:rPr>
          <w:rFonts w:hint="eastAsia" w:ascii="仿宋_GB2312" w:hAnsi="仿宋_GB2312" w:eastAsia="仿宋_GB2312"/>
          <w:b w:val="0"/>
          <w:bCs w:val="0"/>
          <w:color w:val="000000" w:themeColor="text1"/>
          <w:kern w:val="2"/>
          <w:sz w:val="32"/>
          <w:szCs w:val="24"/>
          <w14:textFill>
            <w14:solidFill>
              <w14:schemeClr w14:val="tx1"/>
            </w14:solidFill>
          </w14:textFill>
        </w:rPr>
        <w:t>万元，占</w:t>
      </w:r>
      <w:r>
        <w:rPr>
          <w:rFonts w:hint="eastAsia" w:ascii="Times New Roman" w:hAnsi="Times New Roman" w:eastAsia="仿宋_GB2312"/>
          <w:b w:val="0"/>
          <w:bCs w:val="0"/>
          <w:color w:val="000000" w:themeColor="text1"/>
          <w:kern w:val="2"/>
          <w:sz w:val="32"/>
          <w:szCs w:val="24"/>
          <w14:textFill>
            <w14:solidFill>
              <w14:schemeClr w14:val="tx1"/>
            </w14:solidFill>
          </w14:textFill>
        </w:rPr>
        <w:t>5</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9</w:t>
      </w:r>
      <w:r>
        <w:rPr>
          <w:rFonts w:hint="eastAsia" w:ascii="仿宋_GB2312" w:hAnsi="仿宋_GB2312" w:eastAsia="仿宋_GB2312"/>
          <w:b w:val="0"/>
          <w:bCs w:val="0"/>
          <w:color w:val="000000" w:themeColor="text1"/>
          <w:kern w:val="2"/>
          <w:sz w:val="32"/>
          <w:szCs w:val="24"/>
          <w14:textFill>
            <w14:solidFill>
              <w14:schemeClr w14:val="tx1"/>
            </w14:solidFill>
          </w14:textFill>
        </w:rPr>
        <w:t>%；卫生健康支出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4</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78</w:t>
      </w:r>
      <w:r>
        <w:rPr>
          <w:rFonts w:hint="eastAsia" w:ascii="仿宋_GB2312" w:hAnsi="仿宋_GB2312" w:eastAsia="仿宋_GB2312"/>
          <w:b w:val="0"/>
          <w:bCs w:val="0"/>
          <w:color w:val="000000" w:themeColor="text1"/>
          <w:kern w:val="2"/>
          <w:sz w:val="32"/>
          <w:szCs w:val="24"/>
          <w14:textFill>
            <w14:solidFill>
              <w14:schemeClr w14:val="tx1"/>
            </w14:solidFill>
          </w14:textFill>
        </w:rPr>
        <w:t>万元，占</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1</w:t>
      </w:r>
      <w:r>
        <w:rPr>
          <w:rFonts w:hint="eastAsia" w:ascii="仿宋_GB2312" w:hAnsi="仿宋_GB2312" w:eastAsia="仿宋_GB2312"/>
          <w:b w:val="0"/>
          <w:bCs w:val="0"/>
          <w:color w:val="000000" w:themeColor="text1"/>
          <w:kern w:val="2"/>
          <w:sz w:val="32"/>
          <w:szCs w:val="24"/>
          <w14:textFill>
            <w14:solidFill>
              <w14:schemeClr w14:val="tx1"/>
            </w14:solidFill>
          </w14:textFill>
        </w:rPr>
        <w:t>%；住房保障支出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9</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84</w:t>
      </w:r>
      <w:r>
        <w:rPr>
          <w:rFonts w:hint="eastAsia" w:ascii="仿宋_GB2312" w:hAnsi="仿宋_GB2312" w:eastAsia="仿宋_GB2312"/>
          <w:b w:val="0"/>
          <w:bCs w:val="0"/>
          <w:color w:val="000000" w:themeColor="text1"/>
          <w:kern w:val="2"/>
          <w:sz w:val="32"/>
          <w:szCs w:val="24"/>
          <w14:textFill>
            <w14:solidFill>
              <w14:schemeClr w14:val="tx1"/>
            </w14:solidFill>
          </w14:textFill>
        </w:rPr>
        <w:t>万元，占</w:t>
      </w:r>
      <w:r>
        <w:rPr>
          <w:rFonts w:hint="eastAsia" w:ascii="Times New Roman" w:hAnsi="Times New Roman" w:eastAsia="仿宋_GB2312"/>
          <w:b w:val="0"/>
          <w:bCs w:val="0"/>
          <w:color w:val="000000" w:themeColor="text1"/>
          <w:kern w:val="2"/>
          <w:sz w:val="32"/>
          <w:szCs w:val="24"/>
          <w14:textFill>
            <w14:solidFill>
              <w14:schemeClr w14:val="tx1"/>
            </w14:solidFill>
          </w14:textFill>
        </w:rPr>
        <w:t>4</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4</w:t>
      </w:r>
      <w:r>
        <w:rPr>
          <w:rFonts w:hint="eastAsia" w:ascii="仿宋_GB2312" w:hAnsi="仿宋_GB2312" w:eastAsia="仿宋_GB2312"/>
          <w:b w:val="0"/>
          <w:bCs w:val="0"/>
          <w:color w:val="000000" w:themeColor="text1"/>
          <w:kern w:val="2"/>
          <w:sz w:val="32"/>
          <w:szCs w:val="24"/>
          <w14:textFill>
            <w14:solidFill>
              <w14:schemeClr w14:val="tx1"/>
            </w14:solidFill>
          </w14:textFill>
        </w:rPr>
        <w:t>%。</w:t>
      </w:r>
    </w:p>
    <w:p w14:paraId="5BF2293E">
      <w:pPr>
        <w:keepNext w:val="0"/>
        <w:keepLines w:val="0"/>
        <w:pageBreakBefore w:val="0"/>
        <w:widowControl w:val="0"/>
        <w:kinsoku/>
        <w:wordWrap/>
        <w:overflowPunct w:val="0"/>
        <w:topLinePunct/>
        <w:autoSpaceDE w:val="0"/>
        <w:autoSpaceDN w:val="0"/>
        <w:bidi w:val="0"/>
        <w:adjustRightInd w:val="0"/>
        <w:snapToGrid/>
        <w:spacing w:line="240" w:lineRule="auto"/>
        <w:ind w:left="0" w:leftChars="0" w:firstLine="720" w:firstLineChars="225"/>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drawing>
          <wp:inline distT="0" distB="0" distL="114300" distR="114300">
            <wp:extent cx="4651375" cy="2426335"/>
            <wp:effectExtent l="4445" t="4445" r="11430" b="7620"/>
            <wp:docPr id="9"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B273B4">
      <w:pPr>
        <w:keepNext w:val="0"/>
        <w:keepLines w:val="0"/>
        <w:pageBreakBefore w:val="0"/>
        <w:widowControl w:val="0"/>
        <w:kinsoku/>
        <w:wordWrap/>
        <w:overflowPunct w:val="0"/>
        <w:topLinePunct/>
        <w:autoSpaceDE w:val="0"/>
        <w:autoSpaceDN w:val="0"/>
        <w:bidi w:val="0"/>
        <w:adjustRightInd w:val="0"/>
        <w:snapToGrid/>
        <w:spacing w:line="240" w:lineRule="auto"/>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（三）一般公共预算财政拨款支出决算具体情况</w:t>
      </w:r>
    </w:p>
    <w:p w14:paraId="4EC2C37C">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年度一般公共预算支出全年预算数为</w:t>
      </w:r>
      <w:r>
        <w:rPr>
          <w:rFonts w:hint="eastAsia" w:ascii="Times New Roman" w:hAnsi="Times New Roman" w:eastAsia="仿宋_GB2312"/>
          <w:b w:val="0"/>
          <w:bCs w:val="0"/>
          <w:color w:val="000000" w:themeColor="text1"/>
          <w:kern w:val="2"/>
          <w:sz w:val="32"/>
          <w:szCs w:val="24"/>
          <w14:textFill>
            <w14:solidFill>
              <w14:schemeClr w14:val="tx1"/>
            </w14:solidFill>
          </w14:textFill>
        </w:rPr>
        <w:t>223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06</w:t>
      </w:r>
      <w:r>
        <w:rPr>
          <w:rFonts w:hint="eastAsia" w:ascii="仿宋_GB2312" w:hAnsi="仿宋_GB2312" w:eastAsia="仿宋_GB2312"/>
          <w:b w:val="0"/>
          <w:bCs w:val="0"/>
          <w:color w:val="000000" w:themeColor="text1"/>
          <w:kern w:val="2"/>
          <w:sz w:val="32"/>
          <w:szCs w:val="24"/>
          <w14:textFill>
            <w14:solidFill>
              <w14:schemeClr w14:val="tx1"/>
            </w14:solidFill>
          </w14:textFill>
        </w:rPr>
        <w:t>万元，支出决算数为</w:t>
      </w:r>
      <w:r>
        <w:rPr>
          <w:rFonts w:hint="eastAsia" w:ascii="Times New Roman" w:hAnsi="Times New Roman" w:eastAsia="仿宋_GB2312"/>
          <w:b w:val="0"/>
          <w:bCs w:val="0"/>
          <w:color w:val="000000" w:themeColor="text1"/>
          <w:kern w:val="2"/>
          <w:sz w:val="32"/>
          <w:szCs w:val="24"/>
          <w14:textFill>
            <w14:solidFill>
              <w14:schemeClr w14:val="tx1"/>
            </w14:solidFill>
          </w14:textFill>
        </w:rPr>
        <w:t>223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06</w:t>
      </w:r>
      <w:r>
        <w:rPr>
          <w:rFonts w:hint="eastAsia" w:ascii="仿宋_GB2312" w:hAnsi="仿宋_GB2312" w:eastAsia="仿宋_GB2312"/>
          <w:b w:val="0"/>
          <w:bCs w:val="0"/>
          <w:color w:val="000000" w:themeColor="text1"/>
          <w:kern w:val="2"/>
          <w:sz w:val="32"/>
          <w:szCs w:val="24"/>
          <w14:textFill>
            <w14:solidFill>
              <w14:schemeClr w14:val="tx1"/>
            </w14:solidFill>
          </w14:textFill>
        </w:rPr>
        <w:t>万元，完成全年预算数的</w:t>
      </w:r>
      <w:r>
        <w:rPr>
          <w:rFonts w:hint="eastAsia" w:ascii="Times New Roman" w:hAnsi="Times New Roman" w:eastAsia="仿宋_GB2312"/>
          <w:b w:val="0"/>
          <w:bCs w:val="0"/>
          <w:color w:val="000000" w:themeColor="text1"/>
          <w:kern w:val="2"/>
          <w:sz w:val="32"/>
          <w:szCs w:val="24"/>
          <w14:textFill>
            <w14:solidFill>
              <w14:schemeClr w14:val="tx1"/>
            </w14:solidFill>
          </w14:textFill>
        </w:rPr>
        <w:t>100</w:t>
      </w:r>
      <w:r>
        <w:rPr>
          <w:rFonts w:hint="eastAsia" w:ascii="仿宋_GB2312" w:hAnsi="仿宋_GB2312" w:eastAsia="仿宋_GB2312"/>
          <w:b w:val="0"/>
          <w:bCs w:val="0"/>
          <w:color w:val="000000" w:themeColor="text1"/>
          <w:kern w:val="2"/>
          <w:sz w:val="32"/>
          <w:szCs w:val="24"/>
          <w14:textFill>
            <w14:solidFill>
              <w14:schemeClr w14:val="tx1"/>
            </w14:solidFill>
          </w14:textFill>
        </w:rPr>
        <w:t>%。其中：</w:t>
      </w:r>
    </w:p>
    <w:p w14:paraId="5BEA3FC6">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1</w:t>
      </w:r>
      <w:r>
        <w:rPr>
          <w:rStyle w:val="12"/>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.一般公共服务（类）政府办公厅（室）及相关机构事务（款）行政运行（项）</w:t>
      </w:r>
      <w:r>
        <w:rPr>
          <w:rFonts w:hint="eastAsia" w:ascii="仿宋_GB2312" w:hAnsi="仿宋_GB2312" w:eastAsia="仿宋_GB2312"/>
          <w:b w:val="0"/>
          <w:bCs w:val="0"/>
          <w:color w:val="000000" w:themeColor="text1"/>
          <w:kern w:val="2"/>
          <w:sz w:val="32"/>
          <w:szCs w:val="24"/>
          <w:lang w:eastAsia="zh-CN"/>
          <w14:textFill>
            <w14:solidFill>
              <w14:schemeClr w14:val="tx1"/>
            </w14:solidFill>
          </w14:textFill>
        </w:rPr>
        <w:t>：</w:t>
      </w:r>
      <w:r>
        <w:rPr>
          <w:rFonts w:hint="eastAsia" w:ascii="仿宋_GB2312" w:hAnsi="仿宋_GB2312" w:eastAsia="仿宋_GB2312"/>
          <w:b w:val="0"/>
          <w:bCs w:val="0"/>
          <w:color w:val="000000" w:themeColor="text1"/>
          <w:kern w:val="2"/>
          <w:sz w:val="32"/>
          <w:szCs w:val="24"/>
          <w14:textFill>
            <w14:solidFill>
              <w14:schemeClr w14:val="tx1"/>
            </w14:solidFill>
          </w14:textFill>
        </w:rPr>
        <w:t>全年预算为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195</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31</w:t>
      </w:r>
      <w:r>
        <w:rPr>
          <w:rFonts w:hint="eastAsia" w:ascii="仿宋_GB2312" w:hAnsi="仿宋_GB2312" w:eastAsia="仿宋_GB2312"/>
          <w:b w:val="0"/>
          <w:bCs w:val="0"/>
          <w:color w:val="000000" w:themeColor="text1"/>
          <w:kern w:val="2"/>
          <w:sz w:val="32"/>
          <w:szCs w:val="24"/>
          <w14:textFill>
            <w14:solidFill>
              <w14:schemeClr w14:val="tx1"/>
            </w14:solidFill>
          </w14:textFill>
        </w:rPr>
        <w:t>万元，支出决算为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195</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31</w:t>
      </w:r>
      <w:r>
        <w:rPr>
          <w:rFonts w:hint="eastAsia" w:ascii="仿宋_GB2312" w:hAnsi="仿宋_GB2312" w:eastAsia="仿宋_GB2312"/>
          <w:b w:val="0"/>
          <w:bCs w:val="0"/>
          <w:color w:val="000000" w:themeColor="text1"/>
          <w:kern w:val="2"/>
          <w:sz w:val="32"/>
          <w:szCs w:val="24"/>
          <w14:textFill>
            <w14:solidFill>
              <w14:schemeClr w14:val="tx1"/>
            </w14:solidFill>
          </w14:textFill>
        </w:rPr>
        <w:t>万元，完成全年预算的</w:t>
      </w:r>
      <w:r>
        <w:rPr>
          <w:rFonts w:hint="eastAsia" w:ascii="Times New Roman" w:hAnsi="Times New Roman" w:eastAsia="仿宋_GB2312"/>
          <w:b w:val="0"/>
          <w:bCs w:val="0"/>
          <w:color w:val="000000" w:themeColor="text1"/>
          <w:kern w:val="2"/>
          <w:sz w:val="32"/>
          <w:szCs w:val="24"/>
          <w14:textFill>
            <w14:solidFill>
              <w14:schemeClr w14:val="tx1"/>
            </w14:solidFill>
          </w14:textFill>
        </w:rPr>
        <w:t>100</w:t>
      </w:r>
      <w:r>
        <w:rPr>
          <w:rFonts w:hint="eastAsia" w:ascii="仿宋_GB2312" w:hAnsi="仿宋_GB2312" w:eastAsia="仿宋_GB2312"/>
          <w:b w:val="0"/>
          <w:bCs w:val="0"/>
          <w:color w:val="000000" w:themeColor="text1"/>
          <w:kern w:val="2"/>
          <w:sz w:val="32"/>
          <w:szCs w:val="24"/>
          <w14:textFill>
            <w14:solidFill>
              <w14:schemeClr w14:val="tx1"/>
            </w14:solidFill>
          </w14:textFill>
        </w:rPr>
        <w:t>%。决算数等于全年预算数。</w:t>
      </w:r>
    </w:p>
    <w:p w14:paraId="10BC1037">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Style w:val="12"/>
          <w:rFonts w:hint="eastAsia" w:ascii="Times New Roman" w:hAnsi="Times New Roman" w:eastAsia="仿宋_GB2312" w:cs="仿宋_GB2312"/>
          <w:b w:val="0"/>
          <w:bCs w:val="0"/>
          <w:color w:val="000000" w:themeColor="text1"/>
          <w:sz w:val="32"/>
          <w:szCs w:val="32"/>
          <w14:textFill>
            <w14:solidFill>
              <w14:schemeClr w14:val="tx1"/>
            </w14:solidFill>
          </w14:textFill>
        </w:rPr>
        <w:t>2</w:t>
      </w:r>
      <w:r>
        <w:rPr>
          <w:rStyle w:val="12"/>
          <w:rFonts w:hint="eastAsia" w:ascii="仿宋_GB2312" w:hAnsi="仿宋_GB2312" w:eastAsia="仿宋_GB2312" w:cs="仿宋_GB2312"/>
          <w:b w:val="0"/>
          <w:bCs w:val="0"/>
          <w:color w:val="000000" w:themeColor="text1"/>
          <w:sz w:val="32"/>
          <w:szCs w:val="32"/>
          <w14:textFill>
            <w14:solidFill>
              <w14:schemeClr w14:val="tx1"/>
            </w14:solidFill>
          </w14:textFill>
        </w:rPr>
        <w:t>.社会保障和就业（类）社会保障和就业支出（款）行政事业单位离退休（项）机关事业单位基本养老保险缴费支出</w:t>
      </w:r>
      <w:r>
        <w:rPr>
          <w:rFonts w:hint="eastAsia" w:ascii="仿宋_GB2312" w:hAnsi="仿宋_GB2312" w:eastAsia="仿宋_GB2312"/>
          <w:b w:val="0"/>
          <w:bCs w:val="0"/>
          <w:color w:val="000000" w:themeColor="text1"/>
          <w:kern w:val="2"/>
          <w:sz w:val="32"/>
          <w:szCs w:val="24"/>
          <w:lang w:eastAsia="zh-CN"/>
          <w14:textFill>
            <w14:solidFill>
              <w14:schemeClr w14:val="tx1"/>
            </w14:solidFill>
          </w14:textFill>
        </w:rPr>
        <w:t>：</w:t>
      </w:r>
      <w:r>
        <w:rPr>
          <w:rFonts w:hint="eastAsia" w:ascii="仿宋_GB2312" w:hAnsi="仿宋_GB2312" w:eastAsia="仿宋_GB2312"/>
          <w:b w:val="0"/>
          <w:bCs w:val="0"/>
          <w:color w:val="000000" w:themeColor="text1"/>
          <w:kern w:val="2"/>
          <w:sz w:val="32"/>
          <w:szCs w:val="24"/>
          <w14:textFill>
            <w14:solidFill>
              <w14:schemeClr w14:val="tx1"/>
            </w14:solidFill>
          </w14:textFill>
        </w:rPr>
        <w:t>全年预算为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13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12</w:t>
      </w:r>
      <w:r>
        <w:rPr>
          <w:rFonts w:hint="eastAsia" w:ascii="仿宋_GB2312" w:hAnsi="仿宋_GB2312" w:eastAsia="仿宋_GB2312"/>
          <w:b w:val="0"/>
          <w:bCs w:val="0"/>
          <w:color w:val="000000" w:themeColor="text1"/>
          <w:kern w:val="2"/>
          <w:sz w:val="32"/>
          <w:szCs w:val="24"/>
          <w14:textFill>
            <w14:solidFill>
              <w14:schemeClr w14:val="tx1"/>
            </w14:solidFill>
          </w14:textFill>
        </w:rPr>
        <w:t>万元，支出决算为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13</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12</w:t>
      </w:r>
      <w:r>
        <w:rPr>
          <w:rFonts w:hint="eastAsia" w:ascii="仿宋_GB2312" w:hAnsi="仿宋_GB2312" w:eastAsia="仿宋_GB2312"/>
          <w:b w:val="0"/>
          <w:bCs w:val="0"/>
          <w:color w:val="000000" w:themeColor="text1"/>
          <w:kern w:val="2"/>
          <w:sz w:val="32"/>
          <w:szCs w:val="24"/>
          <w14:textFill>
            <w14:solidFill>
              <w14:schemeClr w14:val="tx1"/>
            </w14:solidFill>
          </w14:textFill>
        </w:rPr>
        <w:t>万元，完成全年预算的</w:t>
      </w:r>
      <w:r>
        <w:rPr>
          <w:rFonts w:hint="eastAsia" w:ascii="Times New Roman" w:hAnsi="Times New Roman" w:eastAsia="仿宋_GB2312"/>
          <w:b w:val="0"/>
          <w:bCs w:val="0"/>
          <w:color w:val="000000" w:themeColor="text1"/>
          <w:kern w:val="2"/>
          <w:sz w:val="32"/>
          <w:szCs w:val="24"/>
          <w14:textFill>
            <w14:solidFill>
              <w14:schemeClr w14:val="tx1"/>
            </w14:solidFill>
          </w14:textFill>
        </w:rPr>
        <w:t>100</w:t>
      </w:r>
      <w:r>
        <w:rPr>
          <w:rFonts w:hint="eastAsia" w:ascii="仿宋_GB2312" w:hAnsi="仿宋_GB2312" w:eastAsia="仿宋_GB2312"/>
          <w:b w:val="0"/>
          <w:bCs w:val="0"/>
          <w:color w:val="000000" w:themeColor="text1"/>
          <w:kern w:val="2"/>
          <w:sz w:val="32"/>
          <w:szCs w:val="24"/>
          <w14:textFill>
            <w14:solidFill>
              <w14:schemeClr w14:val="tx1"/>
            </w14:solidFill>
          </w14:textFill>
        </w:rPr>
        <w:t>%。决算数等于全年预算数。</w:t>
      </w:r>
    </w:p>
    <w:p w14:paraId="2B5B97A3">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Style w:val="12"/>
          <w:rFonts w:hint="eastAsia" w:ascii="Times New Roman" w:hAnsi="Times New Roman" w:eastAsia="仿宋_GB2312" w:cs="仿宋_GB2312"/>
          <w:b w:val="0"/>
          <w:bCs w:val="0"/>
          <w:color w:val="000000" w:themeColor="text1"/>
          <w:sz w:val="32"/>
          <w:szCs w:val="32"/>
          <w14:textFill>
            <w14:solidFill>
              <w14:schemeClr w14:val="tx1"/>
            </w14:solidFill>
          </w14:textFill>
        </w:rPr>
        <w:t>3</w:t>
      </w:r>
      <w:r>
        <w:rPr>
          <w:rStyle w:val="12"/>
          <w:rFonts w:hint="eastAsia" w:ascii="仿宋_GB2312" w:hAnsi="仿宋_GB2312" w:eastAsia="仿宋_GB2312" w:cs="仿宋_GB2312"/>
          <w:b w:val="0"/>
          <w:bCs w:val="0"/>
          <w:color w:val="000000" w:themeColor="text1"/>
          <w:sz w:val="32"/>
          <w:szCs w:val="32"/>
          <w14:textFill>
            <w14:solidFill>
              <w14:schemeClr w14:val="tx1"/>
            </w14:solidFill>
          </w14:textFill>
        </w:rPr>
        <w:t>.医疗卫生与计划生育（类）医疗卫生与计划生育支出（款）行政事业单位医疗（项）行政单位医疗：</w:t>
      </w:r>
      <w:r>
        <w:rPr>
          <w:rFonts w:hint="eastAsia" w:ascii="仿宋_GB2312" w:hAnsi="仿宋_GB2312" w:eastAsia="仿宋_GB2312"/>
          <w:b w:val="0"/>
          <w:bCs w:val="0"/>
          <w:color w:val="000000" w:themeColor="text1"/>
          <w:kern w:val="2"/>
          <w:sz w:val="32"/>
          <w:szCs w:val="24"/>
          <w14:textFill>
            <w14:solidFill>
              <w14:schemeClr w14:val="tx1"/>
            </w14:solidFill>
          </w14:textFill>
        </w:rPr>
        <w:t>全年预算为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4</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78</w:t>
      </w:r>
      <w:r>
        <w:rPr>
          <w:rFonts w:hint="eastAsia" w:ascii="仿宋_GB2312" w:hAnsi="仿宋_GB2312" w:eastAsia="仿宋_GB2312"/>
          <w:b w:val="0"/>
          <w:bCs w:val="0"/>
          <w:color w:val="000000" w:themeColor="text1"/>
          <w:kern w:val="2"/>
          <w:sz w:val="32"/>
          <w:szCs w:val="24"/>
          <w14:textFill>
            <w14:solidFill>
              <w14:schemeClr w14:val="tx1"/>
            </w14:solidFill>
          </w14:textFill>
        </w:rPr>
        <w:t>万元，支出决算为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4</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78</w:t>
      </w:r>
      <w:r>
        <w:rPr>
          <w:rFonts w:hint="eastAsia" w:ascii="仿宋_GB2312" w:hAnsi="仿宋_GB2312" w:eastAsia="仿宋_GB2312"/>
          <w:b w:val="0"/>
          <w:bCs w:val="0"/>
          <w:color w:val="000000" w:themeColor="text1"/>
          <w:kern w:val="2"/>
          <w:sz w:val="32"/>
          <w:szCs w:val="24"/>
          <w14:textFill>
            <w14:solidFill>
              <w14:schemeClr w14:val="tx1"/>
            </w14:solidFill>
          </w14:textFill>
        </w:rPr>
        <w:t>万元，完成全年预算的</w:t>
      </w:r>
      <w:r>
        <w:rPr>
          <w:rFonts w:hint="eastAsia" w:ascii="Times New Roman" w:hAnsi="Times New Roman" w:eastAsia="仿宋_GB2312"/>
          <w:b w:val="0"/>
          <w:bCs w:val="0"/>
          <w:color w:val="000000" w:themeColor="text1"/>
          <w:kern w:val="2"/>
          <w:sz w:val="32"/>
          <w:szCs w:val="24"/>
          <w14:textFill>
            <w14:solidFill>
              <w14:schemeClr w14:val="tx1"/>
            </w14:solidFill>
          </w14:textFill>
        </w:rPr>
        <w:t>100</w:t>
      </w:r>
      <w:r>
        <w:rPr>
          <w:rFonts w:hint="eastAsia" w:ascii="仿宋_GB2312" w:hAnsi="仿宋_GB2312" w:eastAsia="仿宋_GB2312"/>
          <w:b w:val="0"/>
          <w:bCs w:val="0"/>
          <w:color w:val="000000" w:themeColor="text1"/>
          <w:kern w:val="2"/>
          <w:sz w:val="32"/>
          <w:szCs w:val="24"/>
          <w14:textFill>
            <w14:solidFill>
              <w14:schemeClr w14:val="tx1"/>
            </w14:solidFill>
          </w14:textFill>
        </w:rPr>
        <w:t>%。决算数等于全年预算数。</w:t>
      </w:r>
    </w:p>
    <w:p w14:paraId="44D76741">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Style w:val="12"/>
          <w:rFonts w:hint="eastAsia" w:ascii="Times New Roman" w:hAnsi="Times New Roman" w:eastAsia="仿宋_GB2312" w:cs="仿宋_GB2312"/>
          <w:b w:val="0"/>
          <w:bCs w:val="0"/>
          <w:color w:val="000000" w:themeColor="text1"/>
          <w:sz w:val="32"/>
          <w:szCs w:val="32"/>
          <w14:textFill>
            <w14:solidFill>
              <w14:schemeClr w14:val="tx1"/>
            </w14:solidFill>
          </w14:textFill>
        </w:rPr>
        <w:t>4</w:t>
      </w:r>
      <w:r>
        <w:rPr>
          <w:rStyle w:val="12"/>
          <w:rFonts w:hint="eastAsia" w:ascii="仿宋_GB2312" w:hAnsi="仿宋_GB2312" w:eastAsia="仿宋_GB2312" w:cs="仿宋_GB2312"/>
          <w:b w:val="0"/>
          <w:bCs w:val="0"/>
          <w:color w:val="000000" w:themeColor="text1"/>
          <w:sz w:val="32"/>
          <w:szCs w:val="32"/>
          <w14:textFill>
            <w14:solidFill>
              <w14:schemeClr w14:val="tx1"/>
            </w14:solidFill>
          </w14:textFill>
        </w:rPr>
        <w:t>.住房保障支出（类）住房改革支出（款）住房公积金（项）</w:t>
      </w:r>
      <w:r>
        <w:rPr>
          <w:rStyle w:val="12"/>
          <w:rFonts w:hint="eastAsia" w:ascii="Times New Roman"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b w:val="0"/>
          <w:bCs w:val="0"/>
          <w:color w:val="000000" w:themeColor="text1"/>
          <w:kern w:val="2"/>
          <w:sz w:val="32"/>
          <w:szCs w:val="24"/>
          <w14:textFill>
            <w14:solidFill>
              <w14:schemeClr w14:val="tx1"/>
            </w14:solidFill>
          </w14:textFill>
        </w:rPr>
        <w:t>全年预算为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9</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84</w:t>
      </w:r>
      <w:r>
        <w:rPr>
          <w:rFonts w:hint="eastAsia" w:ascii="仿宋_GB2312" w:hAnsi="仿宋_GB2312" w:eastAsia="仿宋_GB2312"/>
          <w:b w:val="0"/>
          <w:bCs w:val="0"/>
          <w:color w:val="000000" w:themeColor="text1"/>
          <w:kern w:val="2"/>
          <w:sz w:val="32"/>
          <w:szCs w:val="24"/>
          <w14:textFill>
            <w14:solidFill>
              <w14:schemeClr w14:val="tx1"/>
            </w14:solidFill>
          </w14:textFill>
        </w:rPr>
        <w:t>万元，支出决算为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9</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84</w:t>
      </w:r>
      <w:r>
        <w:rPr>
          <w:rFonts w:hint="eastAsia" w:ascii="仿宋_GB2312" w:hAnsi="仿宋_GB2312" w:eastAsia="仿宋_GB2312"/>
          <w:b w:val="0"/>
          <w:bCs w:val="0"/>
          <w:color w:val="000000" w:themeColor="text1"/>
          <w:kern w:val="2"/>
          <w:sz w:val="32"/>
          <w:szCs w:val="24"/>
          <w14:textFill>
            <w14:solidFill>
              <w14:schemeClr w14:val="tx1"/>
            </w14:solidFill>
          </w14:textFill>
        </w:rPr>
        <w:t>万元，完成全年预算的</w:t>
      </w:r>
      <w:r>
        <w:rPr>
          <w:rFonts w:hint="eastAsia" w:ascii="Times New Roman" w:hAnsi="Times New Roman" w:eastAsia="仿宋_GB2312"/>
          <w:b w:val="0"/>
          <w:bCs w:val="0"/>
          <w:color w:val="000000" w:themeColor="text1"/>
          <w:kern w:val="2"/>
          <w:sz w:val="32"/>
          <w:szCs w:val="24"/>
          <w14:textFill>
            <w14:solidFill>
              <w14:schemeClr w14:val="tx1"/>
            </w14:solidFill>
          </w14:textFill>
        </w:rPr>
        <w:t>100</w:t>
      </w:r>
      <w:r>
        <w:rPr>
          <w:rFonts w:hint="eastAsia" w:ascii="仿宋_GB2312" w:hAnsi="仿宋_GB2312" w:eastAsia="仿宋_GB2312"/>
          <w:b w:val="0"/>
          <w:bCs w:val="0"/>
          <w:color w:val="000000" w:themeColor="text1"/>
          <w:kern w:val="2"/>
          <w:sz w:val="32"/>
          <w:szCs w:val="24"/>
          <w14:textFill>
            <w14:solidFill>
              <w14:schemeClr w14:val="tx1"/>
            </w14:solidFill>
          </w14:textFill>
        </w:rPr>
        <w:t>%。决算数等于全年预算数。</w:t>
      </w:r>
    </w:p>
    <w:p w14:paraId="1A6B7E87">
      <w:pPr>
        <w:keepNext w:val="0"/>
        <w:keepLines w:val="0"/>
        <w:pageBreakBefore w:val="0"/>
        <w:widowControl w:val="0"/>
        <w:tabs>
          <w:tab w:val="right" w:pos="8306"/>
        </w:tabs>
        <w:kinsoku/>
        <w:wordWrap/>
        <w:overflowPunct w:val="0"/>
        <w:topLinePunct/>
        <w:autoSpaceDE w:val="0"/>
        <w:autoSpaceDN w:val="0"/>
        <w:bidi w:val="0"/>
        <w:adjustRightInd w:val="0"/>
        <w:snapToGrid/>
        <w:spacing w:line="600" w:lineRule="exact"/>
        <w:ind w:firstLine="640" w:firstLineChars="200"/>
        <w:jc w:val="both"/>
        <w:textAlignment w:val="auto"/>
        <w:rPr>
          <w:rFonts w:hint="default" w:ascii="Cambria" w:cs="Cambria"/>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t>六、一般公共预算财政拨款基本支出决算情况说明</w:t>
      </w:r>
      <w:r>
        <w:rPr>
          <w:rFonts w:hint="eastAsia" w:ascii="黑体" w:hAnsi="黑体" w:eastAsia="黑体"/>
          <w:b w:val="0"/>
          <w:bCs w:val="0"/>
          <w:color w:val="000000" w:themeColor="text1"/>
          <w:kern w:val="2"/>
          <w:sz w:val="32"/>
          <w:szCs w:val="24"/>
          <w14:textFill>
            <w14:solidFill>
              <w14:schemeClr w14:val="tx1"/>
            </w14:solidFill>
          </w14:textFill>
        </w:rPr>
        <w:tab/>
      </w:r>
    </w:p>
    <w:p w14:paraId="30076D9E">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highlight w:val="none"/>
        </w:rPr>
      </w:pPr>
      <w:r>
        <w:rPr>
          <w:rFonts w:hint="eastAsia" w:ascii="Times New Roman" w:eastAsia="仿宋_GB2312"/>
          <w:color w:val="000000"/>
          <w:kern w:val="2"/>
          <w:sz w:val="32"/>
          <w:szCs w:val="24"/>
          <w:highlight w:val="none"/>
        </w:rPr>
        <w:t>2023</w:t>
      </w:r>
      <w:r>
        <w:rPr>
          <w:rFonts w:hint="eastAsia" w:ascii="仿宋_GB2312" w:hAnsi="仿宋_GB2312" w:eastAsia="仿宋_GB2312"/>
          <w:color w:val="000000"/>
          <w:kern w:val="2"/>
          <w:sz w:val="32"/>
          <w:szCs w:val="24"/>
          <w:highlight w:val="none"/>
        </w:rPr>
        <w:t>年度一般公共预算财政拨款基本支出</w:t>
      </w:r>
      <w:r>
        <w:rPr>
          <w:rFonts w:hint="eastAsia" w:ascii="Times New Roman" w:eastAsia="仿宋_GB2312"/>
          <w:color w:val="000000"/>
          <w:kern w:val="2"/>
          <w:sz w:val="32"/>
          <w:szCs w:val="24"/>
          <w:highlight w:val="none"/>
          <w:lang w:val="en-US" w:eastAsia="zh-CN"/>
        </w:rPr>
        <w:t>138.42</w:t>
      </w:r>
      <w:r>
        <w:rPr>
          <w:rFonts w:hint="eastAsia" w:ascii="仿宋_GB2312" w:hAnsi="仿宋_GB2312" w:eastAsia="仿宋_GB2312"/>
          <w:color w:val="000000"/>
          <w:kern w:val="2"/>
          <w:sz w:val="32"/>
          <w:szCs w:val="24"/>
          <w:highlight w:val="none"/>
        </w:rPr>
        <w:t>万元，其中：人员经费</w:t>
      </w:r>
      <w:r>
        <w:rPr>
          <w:rFonts w:hint="eastAsia" w:ascii="Times New Roman" w:eastAsia="仿宋_GB2312"/>
          <w:color w:val="000000"/>
          <w:kern w:val="2"/>
          <w:sz w:val="32"/>
          <w:szCs w:val="24"/>
          <w:highlight w:val="none"/>
          <w:lang w:val="en-US" w:eastAsia="zh-CN"/>
        </w:rPr>
        <w:t>122.91</w:t>
      </w:r>
      <w:r>
        <w:rPr>
          <w:rFonts w:hint="eastAsia" w:ascii="仿宋_GB2312" w:hAnsi="仿宋_GB2312" w:eastAsia="仿宋_GB2312"/>
          <w:color w:val="000000"/>
          <w:kern w:val="2"/>
          <w:sz w:val="32"/>
          <w:szCs w:val="24"/>
          <w:highlight w:val="none"/>
        </w:rPr>
        <w:t>万元，主要包括：基本工资</w:t>
      </w:r>
      <w:r>
        <w:rPr>
          <w:rFonts w:hint="eastAsia" w:ascii="Times New Roman" w:eastAsia="仿宋_GB2312"/>
          <w:color w:val="000000"/>
          <w:kern w:val="2"/>
          <w:sz w:val="32"/>
          <w:szCs w:val="24"/>
          <w:highlight w:val="none"/>
        </w:rPr>
        <w:t>40</w:t>
      </w:r>
      <w:r>
        <w:rPr>
          <w:rFonts w:hint="eastAsia" w:ascii="仿宋_GB2312" w:hAnsi="仿宋_GB2312" w:eastAsia="仿宋_GB2312"/>
          <w:color w:val="000000"/>
          <w:kern w:val="2"/>
          <w:sz w:val="32"/>
          <w:szCs w:val="24"/>
          <w:highlight w:val="none"/>
        </w:rPr>
        <w:t>.</w:t>
      </w:r>
      <w:r>
        <w:rPr>
          <w:rFonts w:hint="eastAsia" w:ascii="Times New Roman" w:eastAsia="仿宋_GB2312"/>
          <w:color w:val="000000"/>
          <w:kern w:val="2"/>
          <w:sz w:val="32"/>
          <w:szCs w:val="24"/>
          <w:highlight w:val="none"/>
        </w:rPr>
        <w:t>56</w:t>
      </w:r>
      <w:r>
        <w:rPr>
          <w:rFonts w:hint="eastAsia" w:ascii="仿宋_GB2312" w:hAnsi="仿宋_GB2312" w:eastAsia="仿宋_GB2312"/>
          <w:color w:val="000000"/>
          <w:kern w:val="2"/>
          <w:sz w:val="32"/>
          <w:szCs w:val="24"/>
          <w:highlight w:val="none"/>
        </w:rPr>
        <w:t>万元、津贴补贴</w:t>
      </w:r>
      <w:r>
        <w:rPr>
          <w:rFonts w:hint="eastAsia" w:ascii="Times New Roman" w:eastAsia="仿宋_GB2312"/>
          <w:color w:val="000000"/>
          <w:kern w:val="2"/>
          <w:sz w:val="32"/>
          <w:szCs w:val="24"/>
          <w:highlight w:val="none"/>
        </w:rPr>
        <w:t>17</w:t>
      </w:r>
      <w:r>
        <w:rPr>
          <w:rFonts w:hint="eastAsia" w:ascii="仿宋_GB2312" w:hAnsi="仿宋_GB2312" w:eastAsia="仿宋_GB2312"/>
          <w:color w:val="000000"/>
          <w:kern w:val="2"/>
          <w:sz w:val="32"/>
          <w:szCs w:val="24"/>
          <w:highlight w:val="none"/>
        </w:rPr>
        <w:t>.</w:t>
      </w:r>
      <w:r>
        <w:rPr>
          <w:rFonts w:hint="eastAsia" w:ascii="Times New Roman" w:eastAsia="仿宋_GB2312"/>
          <w:color w:val="000000"/>
          <w:kern w:val="2"/>
          <w:sz w:val="32"/>
          <w:szCs w:val="24"/>
          <w:highlight w:val="none"/>
        </w:rPr>
        <w:t>71</w:t>
      </w:r>
      <w:r>
        <w:rPr>
          <w:rFonts w:hint="eastAsia" w:ascii="仿宋_GB2312" w:hAnsi="仿宋_GB2312" w:eastAsia="仿宋_GB2312"/>
          <w:color w:val="000000"/>
          <w:kern w:val="2"/>
          <w:sz w:val="32"/>
          <w:szCs w:val="24"/>
          <w:highlight w:val="none"/>
        </w:rPr>
        <w:t>万元、奖金</w:t>
      </w:r>
      <w:r>
        <w:rPr>
          <w:rFonts w:hint="eastAsia" w:ascii="Times New Roman" w:eastAsia="仿宋_GB2312"/>
          <w:color w:val="000000"/>
          <w:kern w:val="2"/>
          <w:sz w:val="32"/>
          <w:szCs w:val="24"/>
          <w:highlight w:val="none"/>
        </w:rPr>
        <w:t>28</w:t>
      </w:r>
      <w:r>
        <w:rPr>
          <w:rFonts w:hint="eastAsia" w:ascii="仿宋_GB2312" w:hAnsi="仿宋_GB2312" w:eastAsia="仿宋_GB2312"/>
          <w:color w:val="000000"/>
          <w:kern w:val="2"/>
          <w:sz w:val="32"/>
          <w:szCs w:val="24"/>
          <w:highlight w:val="none"/>
        </w:rPr>
        <w:t>.</w:t>
      </w:r>
      <w:r>
        <w:rPr>
          <w:rFonts w:hint="eastAsia" w:ascii="Times New Roman" w:eastAsia="仿宋_GB2312"/>
          <w:color w:val="000000"/>
          <w:kern w:val="2"/>
          <w:sz w:val="32"/>
          <w:szCs w:val="24"/>
          <w:highlight w:val="none"/>
        </w:rPr>
        <w:t>64</w:t>
      </w:r>
      <w:r>
        <w:rPr>
          <w:rFonts w:hint="eastAsia" w:ascii="仿宋_GB2312" w:hAnsi="仿宋_GB2312" w:eastAsia="仿宋_GB2312"/>
          <w:color w:val="000000"/>
          <w:kern w:val="2"/>
          <w:sz w:val="32"/>
          <w:szCs w:val="24"/>
          <w:highlight w:val="none"/>
        </w:rPr>
        <w:t>万元、绩效工资</w:t>
      </w:r>
      <w:r>
        <w:rPr>
          <w:rFonts w:hint="eastAsia" w:ascii="Times New Roman" w:eastAsia="仿宋_GB2312"/>
          <w:color w:val="000000"/>
          <w:kern w:val="2"/>
          <w:sz w:val="32"/>
          <w:szCs w:val="24"/>
          <w:highlight w:val="none"/>
        </w:rPr>
        <w:t>2</w:t>
      </w:r>
      <w:r>
        <w:rPr>
          <w:rFonts w:hint="eastAsia" w:ascii="仿宋_GB2312" w:hAnsi="仿宋_GB2312" w:eastAsia="仿宋_GB2312"/>
          <w:color w:val="000000"/>
          <w:kern w:val="2"/>
          <w:sz w:val="32"/>
          <w:szCs w:val="24"/>
          <w:highlight w:val="none"/>
        </w:rPr>
        <w:t>.</w:t>
      </w:r>
      <w:r>
        <w:rPr>
          <w:rFonts w:hint="eastAsia" w:ascii="Times New Roman" w:eastAsia="仿宋_GB2312"/>
          <w:color w:val="000000"/>
          <w:kern w:val="2"/>
          <w:sz w:val="32"/>
          <w:szCs w:val="24"/>
          <w:highlight w:val="none"/>
        </w:rPr>
        <w:t>24</w:t>
      </w:r>
      <w:r>
        <w:rPr>
          <w:rFonts w:hint="eastAsia" w:ascii="仿宋_GB2312" w:hAnsi="仿宋_GB2312" w:eastAsia="仿宋_GB2312"/>
          <w:color w:val="000000"/>
          <w:kern w:val="2"/>
          <w:sz w:val="32"/>
          <w:szCs w:val="24"/>
          <w:highlight w:val="none"/>
        </w:rPr>
        <w:t>万元、机关事业单位基本养老保险缴费</w:t>
      </w:r>
      <w:r>
        <w:rPr>
          <w:rFonts w:hint="eastAsia" w:ascii="Times New Roman" w:eastAsia="仿宋_GB2312"/>
          <w:color w:val="000000"/>
          <w:kern w:val="2"/>
          <w:sz w:val="32"/>
          <w:szCs w:val="24"/>
          <w:highlight w:val="none"/>
        </w:rPr>
        <w:t>13</w:t>
      </w:r>
      <w:r>
        <w:rPr>
          <w:rFonts w:hint="eastAsia" w:ascii="仿宋_GB2312" w:hAnsi="仿宋_GB2312" w:eastAsia="仿宋_GB2312"/>
          <w:color w:val="000000"/>
          <w:kern w:val="2"/>
          <w:sz w:val="32"/>
          <w:szCs w:val="24"/>
          <w:highlight w:val="none"/>
        </w:rPr>
        <w:t>.</w:t>
      </w:r>
      <w:r>
        <w:rPr>
          <w:rFonts w:hint="eastAsia" w:ascii="Times New Roman" w:eastAsia="仿宋_GB2312"/>
          <w:color w:val="000000"/>
          <w:kern w:val="2"/>
          <w:sz w:val="32"/>
          <w:szCs w:val="24"/>
          <w:highlight w:val="none"/>
        </w:rPr>
        <w:t>12</w:t>
      </w:r>
      <w:r>
        <w:rPr>
          <w:rFonts w:hint="eastAsia" w:ascii="仿宋_GB2312" w:hAnsi="仿宋_GB2312" w:eastAsia="仿宋_GB2312"/>
          <w:color w:val="000000"/>
          <w:kern w:val="2"/>
          <w:sz w:val="32"/>
          <w:szCs w:val="24"/>
          <w:highlight w:val="none"/>
        </w:rPr>
        <w:t>万元、职工基本医疗保险缴费</w:t>
      </w:r>
      <w:r>
        <w:rPr>
          <w:rFonts w:hint="eastAsia" w:ascii="Times New Roman" w:eastAsia="仿宋_GB2312"/>
          <w:color w:val="000000"/>
          <w:kern w:val="2"/>
          <w:sz w:val="32"/>
          <w:szCs w:val="24"/>
          <w:highlight w:val="none"/>
        </w:rPr>
        <w:t>4</w:t>
      </w:r>
      <w:r>
        <w:rPr>
          <w:rFonts w:hint="eastAsia" w:ascii="仿宋_GB2312" w:hAnsi="仿宋_GB2312" w:eastAsia="仿宋_GB2312"/>
          <w:color w:val="000000"/>
          <w:kern w:val="2"/>
          <w:sz w:val="32"/>
          <w:szCs w:val="24"/>
          <w:highlight w:val="none"/>
        </w:rPr>
        <w:t>.</w:t>
      </w:r>
      <w:r>
        <w:rPr>
          <w:rFonts w:hint="eastAsia" w:ascii="Times New Roman" w:eastAsia="仿宋_GB2312"/>
          <w:color w:val="000000"/>
          <w:kern w:val="2"/>
          <w:sz w:val="32"/>
          <w:szCs w:val="24"/>
          <w:highlight w:val="none"/>
        </w:rPr>
        <w:t>7</w:t>
      </w:r>
      <w:r>
        <w:rPr>
          <w:rFonts w:hint="eastAsia" w:ascii="Times New Roman" w:eastAsia="仿宋_GB2312"/>
          <w:color w:val="000000"/>
          <w:kern w:val="2"/>
          <w:sz w:val="32"/>
          <w:szCs w:val="24"/>
          <w:highlight w:val="none"/>
          <w:lang w:val="en-US" w:eastAsia="zh-CN"/>
        </w:rPr>
        <w:t>9</w:t>
      </w:r>
      <w:r>
        <w:rPr>
          <w:rFonts w:hint="eastAsia" w:ascii="仿宋_GB2312" w:hAnsi="仿宋_GB2312" w:eastAsia="仿宋_GB2312"/>
          <w:color w:val="000000"/>
          <w:kern w:val="2"/>
          <w:sz w:val="32"/>
          <w:szCs w:val="24"/>
          <w:highlight w:val="none"/>
        </w:rPr>
        <w:t>万元、住房公积金</w:t>
      </w:r>
      <w:r>
        <w:rPr>
          <w:rFonts w:hint="eastAsia" w:ascii="Times New Roman" w:eastAsia="仿宋_GB2312"/>
          <w:color w:val="000000"/>
          <w:kern w:val="2"/>
          <w:sz w:val="32"/>
          <w:szCs w:val="24"/>
          <w:highlight w:val="none"/>
        </w:rPr>
        <w:t>9</w:t>
      </w:r>
      <w:r>
        <w:rPr>
          <w:rFonts w:hint="eastAsia" w:ascii="仿宋_GB2312" w:hAnsi="仿宋_GB2312" w:eastAsia="仿宋_GB2312"/>
          <w:color w:val="000000"/>
          <w:kern w:val="2"/>
          <w:sz w:val="32"/>
          <w:szCs w:val="24"/>
          <w:highlight w:val="none"/>
        </w:rPr>
        <w:t>.</w:t>
      </w:r>
      <w:r>
        <w:rPr>
          <w:rFonts w:hint="eastAsia" w:ascii="Times New Roman" w:eastAsia="仿宋_GB2312"/>
          <w:color w:val="000000"/>
          <w:kern w:val="2"/>
          <w:sz w:val="32"/>
          <w:szCs w:val="24"/>
          <w:highlight w:val="none"/>
        </w:rPr>
        <w:t>84</w:t>
      </w:r>
      <w:r>
        <w:rPr>
          <w:rFonts w:hint="eastAsia" w:ascii="仿宋_GB2312" w:hAnsi="仿宋_GB2312" w:eastAsia="仿宋_GB2312"/>
          <w:color w:val="000000"/>
          <w:kern w:val="2"/>
          <w:sz w:val="32"/>
          <w:szCs w:val="24"/>
          <w:highlight w:val="none"/>
        </w:rPr>
        <w:t>万元</w:t>
      </w:r>
      <w:r>
        <w:rPr>
          <w:rFonts w:hint="eastAsia" w:ascii="仿宋_GB2312" w:hAnsi="仿宋_GB2312" w:eastAsia="仿宋_GB2312"/>
          <w:color w:val="000000"/>
          <w:kern w:val="2"/>
          <w:sz w:val="32"/>
          <w:szCs w:val="24"/>
          <w:highlight w:val="none"/>
          <w:lang w:eastAsia="zh-CN"/>
        </w:rPr>
        <w:t>，</w:t>
      </w:r>
      <w:r>
        <w:rPr>
          <w:rFonts w:hint="eastAsia" w:ascii="仿宋_GB2312" w:hAnsi="仿宋_GB2312" w:eastAsia="仿宋_GB2312"/>
          <w:color w:val="000000"/>
          <w:kern w:val="2"/>
          <w:sz w:val="32"/>
          <w:szCs w:val="24"/>
        </w:rPr>
        <w:t>其他对个人和家庭的补助支出</w:t>
      </w:r>
      <w:r>
        <w:rPr>
          <w:rFonts w:hint="eastAsia" w:ascii="仿宋_GB2312" w:hAnsi="仿宋_GB2312" w:eastAsia="仿宋_GB2312"/>
          <w:color w:val="000000"/>
          <w:kern w:val="2"/>
          <w:sz w:val="32"/>
          <w:szCs w:val="24"/>
          <w:lang w:val="en-US" w:eastAsia="zh-CN"/>
        </w:rPr>
        <w:t>6.01</w:t>
      </w:r>
      <w:r>
        <w:rPr>
          <w:rFonts w:hint="eastAsia" w:ascii="仿宋_GB2312" w:hAnsi="仿宋_GB2312" w:eastAsia="仿宋_GB2312"/>
          <w:color w:val="000000"/>
          <w:kern w:val="2"/>
          <w:sz w:val="32"/>
          <w:szCs w:val="24"/>
        </w:rPr>
        <w:t>万元。</w:t>
      </w:r>
    </w:p>
    <w:p w14:paraId="01265427">
      <w:pPr>
        <w:keepNext w:val="0"/>
        <w:keepLines w:val="0"/>
        <w:pageBreakBefore w:val="0"/>
        <w:widowControl w:val="0"/>
        <w:kinsoku/>
        <w:wordWrap/>
        <w:overflowPunct w:val="0"/>
        <w:topLinePunct/>
        <w:autoSpaceDE w:val="0"/>
        <w:autoSpaceDN w:val="0"/>
        <w:bidi w:val="0"/>
        <w:adjustRightInd w:val="0"/>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公用经费</w:t>
      </w:r>
      <w:r>
        <w:rPr>
          <w:rFonts w:hint="eastAsia" w:ascii="Times New Roman" w:eastAsia="仿宋_GB2312"/>
          <w:color w:val="000000"/>
          <w:kern w:val="2"/>
          <w:sz w:val="32"/>
          <w:szCs w:val="24"/>
        </w:rPr>
        <w:t>15</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51</w:t>
      </w:r>
      <w:r>
        <w:rPr>
          <w:rFonts w:hint="eastAsia" w:ascii="仿宋_GB2312" w:hAnsi="仿宋_GB2312" w:eastAsia="仿宋_GB2312"/>
          <w:color w:val="000000"/>
          <w:kern w:val="2"/>
          <w:sz w:val="32"/>
          <w:szCs w:val="24"/>
        </w:rPr>
        <w:t>万元，主要包括：办公费</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16</w:t>
      </w:r>
      <w:r>
        <w:rPr>
          <w:rFonts w:hint="eastAsia" w:ascii="仿宋_GB2312" w:hAnsi="仿宋_GB2312" w:eastAsia="仿宋_GB2312"/>
          <w:color w:val="000000"/>
          <w:kern w:val="2"/>
          <w:sz w:val="32"/>
          <w:szCs w:val="24"/>
        </w:rPr>
        <w:t>万元、印刷费</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万元、电费</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04</w:t>
      </w:r>
      <w:r>
        <w:rPr>
          <w:rFonts w:hint="eastAsia" w:ascii="仿宋_GB2312" w:hAnsi="仿宋_GB2312" w:eastAsia="仿宋_GB2312"/>
          <w:color w:val="000000"/>
          <w:kern w:val="2"/>
          <w:sz w:val="32"/>
          <w:szCs w:val="24"/>
        </w:rPr>
        <w:t>万元、邮电费</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73</w:t>
      </w:r>
      <w:r>
        <w:rPr>
          <w:rFonts w:hint="eastAsia" w:ascii="仿宋_GB2312" w:hAnsi="仿宋_GB2312" w:eastAsia="仿宋_GB2312"/>
          <w:color w:val="000000"/>
          <w:kern w:val="2"/>
          <w:sz w:val="32"/>
          <w:szCs w:val="24"/>
        </w:rPr>
        <w:t>万元、差旅费</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万元、公务接待费</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82</w:t>
      </w:r>
      <w:r>
        <w:rPr>
          <w:rFonts w:hint="eastAsia" w:ascii="仿宋_GB2312" w:hAnsi="仿宋_GB2312" w:eastAsia="仿宋_GB2312"/>
          <w:color w:val="000000"/>
          <w:kern w:val="2"/>
          <w:sz w:val="32"/>
          <w:szCs w:val="24"/>
        </w:rPr>
        <w:t>万元、工会经费</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万元、其他交通费</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9</w:t>
      </w:r>
      <w:r>
        <w:rPr>
          <w:rFonts w:hint="eastAsia" w:ascii="仿宋_GB2312" w:hAnsi="仿宋_GB2312" w:eastAsia="仿宋_GB2312"/>
          <w:color w:val="000000"/>
          <w:kern w:val="2"/>
          <w:sz w:val="32"/>
          <w:szCs w:val="24"/>
        </w:rPr>
        <w:t>万元、其他商品和服务支出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w:t>
      </w:r>
    </w:p>
    <w:p w14:paraId="1365EA70">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t>七、财政拨款“三公”经费支出决算情况说明</w:t>
      </w:r>
    </w:p>
    <w:p w14:paraId="056B7913">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（一）“三公”经费财政拨款支出决算总体情况说明</w:t>
      </w:r>
    </w:p>
    <w:p w14:paraId="4C36E68B">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年度“三公”经费财政拨款支出预算为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95</w:t>
      </w:r>
      <w:r>
        <w:rPr>
          <w:rFonts w:hint="eastAsia" w:ascii="仿宋_GB2312" w:hAnsi="仿宋_GB2312" w:eastAsia="仿宋_GB2312"/>
          <w:b w:val="0"/>
          <w:bCs w:val="0"/>
          <w:color w:val="000000" w:themeColor="text1"/>
          <w:kern w:val="2"/>
          <w:sz w:val="32"/>
          <w:szCs w:val="24"/>
          <w14:textFill>
            <w14:solidFill>
              <w14:schemeClr w14:val="tx1"/>
            </w14:solidFill>
          </w14:textFill>
        </w:rPr>
        <w:t>万元，支出决算为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95</w:t>
      </w:r>
      <w:r>
        <w:rPr>
          <w:rFonts w:hint="eastAsia" w:ascii="仿宋_GB2312" w:hAnsi="仿宋_GB2312" w:eastAsia="仿宋_GB2312"/>
          <w:b w:val="0"/>
          <w:bCs w:val="0"/>
          <w:color w:val="000000" w:themeColor="text1"/>
          <w:kern w:val="2"/>
          <w:sz w:val="32"/>
          <w:szCs w:val="24"/>
          <w14:textFill>
            <w14:solidFill>
              <w14:schemeClr w14:val="tx1"/>
            </w14:solidFill>
          </w14:textFill>
        </w:rPr>
        <w:t>万元，完成预算的</w:t>
      </w:r>
      <w:r>
        <w:rPr>
          <w:rFonts w:hint="eastAsia" w:ascii="Times New Roman" w:hAnsi="Times New Roman" w:eastAsia="仿宋_GB2312"/>
          <w:b w:val="0"/>
          <w:bCs w:val="0"/>
          <w:color w:val="000000" w:themeColor="text1"/>
          <w:kern w:val="2"/>
          <w:sz w:val="32"/>
          <w:szCs w:val="24"/>
          <w14:textFill>
            <w14:solidFill>
              <w14:schemeClr w14:val="tx1"/>
            </w14:solidFill>
          </w14:textFill>
        </w:rPr>
        <w:t>100</w:t>
      </w:r>
      <w:r>
        <w:rPr>
          <w:rFonts w:hint="eastAsia" w:ascii="仿宋_GB2312" w:hAnsi="仿宋_GB2312" w:eastAsia="仿宋_GB2312"/>
          <w:b w:val="0"/>
          <w:bCs w:val="0"/>
          <w:color w:val="000000" w:themeColor="text1"/>
          <w:kern w:val="2"/>
          <w:sz w:val="32"/>
          <w:szCs w:val="24"/>
          <w14:textFill>
            <w14:solidFill>
              <w14:schemeClr w14:val="tx1"/>
            </w14:solidFill>
          </w14:textFill>
        </w:rPr>
        <w:t>%；较上年增加</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59</w:t>
      </w:r>
      <w:r>
        <w:rPr>
          <w:rFonts w:hint="eastAsia" w:ascii="仿宋_GB2312" w:hAnsi="仿宋_GB2312" w:eastAsia="仿宋_GB2312"/>
          <w:b w:val="0"/>
          <w:bCs w:val="0"/>
          <w:color w:val="000000" w:themeColor="text1"/>
          <w:kern w:val="2"/>
          <w:sz w:val="32"/>
          <w:szCs w:val="24"/>
          <w14:textFill>
            <w14:solidFill>
              <w14:schemeClr w14:val="tx1"/>
            </w14:solidFill>
          </w14:textFill>
        </w:rPr>
        <w:t>万元，增长</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%。决算数与预算数持平的主要原因是严格按照年初预算数控制该项经费。</w:t>
      </w:r>
    </w:p>
    <w:p w14:paraId="0B4D7CE1">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（二）“三公”经费财政拨款支出决算具体情况说明</w:t>
      </w:r>
    </w:p>
    <w:p w14:paraId="6CBC10B7">
      <w:pPr>
        <w:keepNext w:val="0"/>
        <w:keepLines w:val="0"/>
        <w:pageBreakBefore w:val="0"/>
        <w:widowControl w:val="0"/>
        <w:kinsoku/>
        <w:wordWrap/>
        <w:overflowPunct w:val="0"/>
        <w:topLinePunct/>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 xml:space="preserve">年度“三公”经费财政拨款支出决算中，因公出国（境）费支出决算 </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万元，占</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%；公务用车购置及运行维护费支出决算</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万元，占</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%；公务接待费支出决算</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95</w:t>
      </w:r>
      <w:r>
        <w:rPr>
          <w:rFonts w:hint="eastAsia" w:ascii="仿宋_GB2312" w:hAnsi="仿宋_GB2312" w:eastAsia="仿宋_GB2312"/>
          <w:b w:val="0"/>
          <w:bCs w:val="0"/>
          <w:color w:val="000000" w:themeColor="text1"/>
          <w:kern w:val="2"/>
          <w:sz w:val="32"/>
          <w:szCs w:val="24"/>
          <w14:textFill>
            <w14:solidFill>
              <w14:schemeClr w14:val="tx1"/>
            </w14:solidFill>
          </w14:textFill>
        </w:rPr>
        <w:t>万元，占</w:t>
      </w:r>
      <w:r>
        <w:rPr>
          <w:rFonts w:hint="eastAsia" w:ascii="Times New Roman" w:eastAsia="仿宋_GB2312"/>
          <w:b w:val="0"/>
          <w:bCs w:val="0"/>
          <w:color w:val="000000" w:themeColor="text1"/>
          <w:kern w:val="2"/>
          <w:sz w:val="32"/>
          <w:szCs w:val="24"/>
          <w:lang w:val="en-US" w:eastAsia="zh-CN"/>
          <w14:textFill>
            <w14:solidFill>
              <w14:schemeClr w14:val="tx1"/>
            </w14:solidFill>
          </w14:textFill>
        </w:rPr>
        <w:t>100</w:t>
      </w:r>
      <w:r>
        <w:rPr>
          <w:rFonts w:hint="eastAsia" w:ascii="仿宋_GB2312" w:hAnsi="仿宋_GB2312" w:eastAsia="仿宋_GB2312"/>
          <w:b w:val="0"/>
          <w:bCs w:val="0"/>
          <w:color w:val="000000" w:themeColor="text1"/>
          <w:kern w:val="2"/>
          <w:sz w:val="32"/>
          <w:szCs w:val="24"/>
          <w14:textFill>
            <w14:solidFill>
              <w14:schemeClr w14:val="tx1"/>
            </w14:solidFill>
          </w14:textFill>
        </w:rPr>
        <w:t>%。具体情况如下：</w:t>
      </w:r>
    </w:p>
    <w:p w14:paraId="398D96F8">
      <w:pPr>
        <w:pStyle w:val="2"/>
        <w:ind w:left="0" w:leftChars="0" w:firstLine="480" w:firstLineChars="150"/>
        <w:rPr>
          <w:rFonts w:hint="eastAsia" w:eastAsia="仿宋_GB2312"/>
          <w:lang w:eastAsia="zh-CN"/>
        </w:rPr>
      </w:pPr>
      <w:r>
        <w:rPr>
          <w:rFonts w:hint="eastAsia" w:ascii="Times New Roman" w:eastAsia="仿宋_GB2312"/>
          <w:color w:val="000000"/>
          <w:kern w:val="2"/>
          <w:sz w:val="32"/>
          <w:szCs w:val="24"/>
        </w:rPr>
        <w:drawing>
          <wp:inline distT="0" distB="0" distL="114300" distR="114300">
            <wp:extent cx="5256530" cy="2988310"/>
            <wp:effectExtent l="5080" t="4445" r="15240" b="17145"/>
            <wp:docPr id="10" name="图表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333088">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24"/>
          <w:highlight w:val="none"/>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1</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24"/>
          <w14:textFill>
            <w14:solidFill>
              <w14:schemeClr w14:val="tx1"/>
            </w14:solidFill>
          </w14:textFill>
        </w:rPr>
        <w:t>因公出国（境）经费预算为0万元，支出决算为0万元，完成预算的0%。全年安排因公出国（境）团组0个，出国（境）0人。</w:t>
      </w:r>
      <w:r>
        <w:rPr>
          <w:rFonts w:hint="eastAsia" w:ascii="仿宋_GB2312" w:hAnsi="仿宋_GB2312" w:eastAsia="仿宋_GB2312" w:cs="仿宋_GB2312"/>
          <w:sz w:val="32"/>
          <w:szCs w:val="24"/>
          <w:highlight w:val="none"/>
        </w:rPr>
        <w:t>因公出国（境）支出决算较2022年度无变化</w:t>
      </w:r>
    </w:p>
    <w:p w14:paraId="50573750">
      <w:pPr>
        <w:overflowPunct w:val="0"/>
        <w:topLinePunct/>
        <w:spacing w:beforeLines="0" w:afterLines="0" w:line="576" w:lineRule="exact"/>
        <w:ind w:firstLine="640" w:firstLineChars="200"/>
        <w:jc w:val="both"/>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.公务用车购置及运行维护费预算为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%。公务用车购置及运行维护费支出决算比</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w:t>
      </w:r>
      <w:r>
        <w:rPr>
          <w:rFonts w:hint="eastAsia" w:ascii="仿宋_GB2312" w:hAnsi="仿宋_GB2312" w:eastAsia="仿宋_GB2312"/>
          <w:color w:val="000000"/>
          <w:kern w:val="2"/>
          <w:sz w:val="32"/>
          <w:szCs w:val="24"/>
          <w:highlight w:val="none"/>
          <w:lang w:val="en-US" w:eastAsia="zh-CN"/>
        </w:rPr>
        <w:t>持平</w:t>
      </w:r>
      <w:r>
        <w:rPr>
          <w:rFonts w:hint="eastAsia" w:ascii="仿宋_GB2312" w:hAnsi="仿宋_GB2312" w:eastAsia="仿宋_GB2312"/>
          <w:color w:val="000000"/>
          <w:kern w:val="2"/>
          <w:sz w:val="32"/>
          <w:szCs w:val="24"/>
          <w:highlight w:val="none"/>
        </w:rPr>
        <w:t>。</w:t>
      </w:r>
      <w:r>
        <w:rPr>
          <w:rFonts w:hint="eastAsia" w:ascii="仿宋_GB2312" w:hAnsi="仿宋_GB2312" w:eastAsia="仿宋_GB2312"/>
          <w:b w:val="0"/>
          <w:bCs w:val="0"/>
          <w:color w:val="000000" w:themeColor="text1"/>
          <w:kern w:val="2"/>
          <w:sz w:val="32"/>
          <w:szCs w:val="24"/>
          <w14:textFill>
            <w14:solidFill>
              <w14:schemeClr w14:val="tx1"/>
            </w14:solidFill>
          </w14:textFill>
        </w:rPr>
        <w:t>其中：轿车</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辆、金额</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万元，越野车</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辆、金额</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万元，小型客车</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辆、金额</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万元，中型客车和大型客车</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辆、金额</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万元，其他车</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辆、金额</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万元。截至</w:t>
      </w: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w:t>
      </w:r>
      <w:r>
        <w:rPr>
          <w:rFonts w:hint="eastAsia" w:ascii="Times New Roman" w:hAnsi="Times New Roman" w:eastAsia="仿宋_GB2312"/>
          <w:b w:val="0"/>
          <w:bCs w:val="0"/>
          <w:color w:val="000000" w:themeColor="text1"/>
          <w:kern w:val="2"/>
          <w:sz w:val="32"/>
          <w:szCs w:val="24"/>
          <w14:textFill>
            <w14:solidFill>
              <w14:schemeClr w14:val="tx1"/>
            </w14:solidFill>
          </w14:textFill>
        </w:rPr>
        <w:t>12</w:t>
      </w:r>
      <w:r>
        <w:rPr>
          <w:rFonts w:hint="eastAsia" w:ascii="仿宋_GB2312" w:hAnsi="仿宋_GB2312" w:eastAsia="仿宋_GB2312"/>
          <w:b w:val="0"/>
          <w:bCs w:val="0"/>
          <w:color w:val="000000" w:themeColor="text1"/>
          <w:kern w:val="2"/>
          <w:sz w:val="32"/>
          <w:szCs w:val="24"/>
          <w14:textFill>
            <w14:solidFill>
              <w14:schemeClr w14:val="tx1"/>
            </w14:solidFill>
          </w14:textFill>
        </w:rPr>
        <w:t>月</w:t>
      </w:r>
      <w:r>
        <w:rPr>
          <w:rFonts w:hint="eastAsia" w:ascii="Times New Roman" w:hAnsi="Times New Roman" w:eastAsia="仿宋_GB2312"/>
          <w:b w:val="0"/>
          <w:bCs w:val="0"/>
          <w:color w:val="000000" w:themeColor="text1"/>
          <w:kern w:val="2"/>
          <w:sz w:val="32"/>
          <w:szCs w:val="24"/>
          <w14:textFill>
            <w14:solidFill>
              <w14:schemeClr w14:val="tx1"/>
            </w14:solidFill>
          </w14:textFill>
        </w:rPr>
        <w:t>31</w:t>
      </w:r>
      <w:r>
        <w:rPr>
          <w:rFonts w:hint="eastAsia" w:ascii="仿宋_GB2312" w:hAnsi="仿宋_GB2312" w:eastAsia="仿宋_GB2312"/>
          <w:b w:val="0"/>
          <w:bCs w:val="0"/>
          <w:color w:val="000000" w:themeColor="text1"/>
          <w:kern w:val="2"/>
          <w:sz w:val="32"/>
          <w:szCs w:val="24"/>
          <w14:textFill>
            <w14:solidFill>
              <w14:schemeClr w14:val="tx1"/>
            </w14:solidFill>
          </w14:textFill>
        </w:rPr>
        <w:t>日，本部门共有公务用车</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辆，其中：轿车</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辆、越野车</w:t>
      </w:r>
      <w:r>
        <w:rPr>
          <w:rFonts w:hint="eastAsia" w:ascii="Times New Roman" w:eastAsia="仿宋_GB2312"/>
          <w:b w:val="0"/>
          <w:bCs w:val="0"/>
          <w:color w:val="000000" w:themeColor="text1"/>
          <w:kern w:val="2"/>
          <w:sz w:val="32"/>
          <w:szCs w:val="24"/>
          <w:lang w:val="en-US" w:eastAsia="zh-CN"/>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辆、小型客车</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辆、中型客车和大型客车</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辆、其他车型</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辆。</w:t>
      </w:r>
    </w:p>
    <w:p w14:paraId="6F682750">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仿宋_GB2312" w:hAnsi="仿宋_GB2312" w:eastAsia="仿宋_GB2312"/>
          <w:b w:val="0"/>
          <w:bCs w:val="0"/>
          <w:color w:val="000000" w:themeColor="text1"/>
          <w:kern w:val="2"/>
          <w:sz w:val="32"/>
          <w:szCs w:val="24"/>
          <w14:textFill>
            <w14:solidFill>
              <w14:schemeClr w14:val="tx1"/>
            </w14:solidFill>
          </w14:textFill>
        </w:rPr>
        <w:t>公务用车运行维护费支出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w:t>
      </w:r>
    </w:p>
    <w:p w14:paraId="337697CD">
      <w:pPr>
        <w:keepNext w:val="0"/>
        <w:keepLines w:val="0"/>
        <w:pageBreakBefore w:val="0"/>
        <w:widowControl w:val="0"/>
        <w:kinsoku/>
        <w:wordWrap/>
        <w:overflowPunct w:val="0"/>
        <w:bidi w:val="0"/>
        <w:snapToGrid/>
        <w:spacing w:line="576"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3</w:t>
      </w:r>
      <w:r>
        <w:rPr>
          <w:rFonts w:hint="eastAsia" w:ascii="仿宋_GB2312" w:hAnsi="仿宋_GB2312" w:eastAsia="仿宋_GB2312"/>
          <w:b w:val="0"/>
          <w:bCs w:val="0"/>
          <w:color w:val="000000" w:themeColor="text1"/>
          <w:kern w:val="2"/>
          <w:sz w:val="32"/>
          <w:szCs w:val="24"/>
          <w14:textFill>
            <w14:solidFill>
              <w14:schemeClr w14:val="tx1"/>
            </w14:solidFill>
          </w14:textFill>
        </w:rPr>
        <w:t>.公务接待费预算为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95</w:t>
      </w:r>
      <w:r>
        <w:rPr>
          <w:rFonts w:hint="eastAsia" w:ascii="仿宋_GB2312" w:hAnsi="仿宋_GB2312" w:eastAsia="仿宋_GB2312"/>
          <w:b w:val="0"/>
          <w:bCs w:val="0"/>
          <w:color w:val="000000" w:themeColor="text1"/>
          <w:kern w:val="2"/>
          <w:sz w:val="32"/>
          <w:szCs w:val="24"/>
          <w14:textFill>
            <w14:solidFill>
              <w14:schemeClr w14:val="tx1"/>
            </w14:solidFill>
          </w14:textFill>
        </w:rPr>
        <w:t>万元，支出决算为</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95</w:t>
      </w:r>
      <w:r>
        <w:rPr>
          <w:rFonts w:hint="eastAsia" w:ascii="仿宋_GB2312" w:hAnsi="仿宋_GB2312" w:eastAsia="仿宋_GB2312"/>
          <w:b w:val="0"/>
          <w:bCs w:val="0"/>
          <w:color w:val="000000" w:themeColor="text1"/>
          <w:kern w:val="2"/>
          <w:sz w:val="32"/>
          <w:szCs w:val="24"/>
          <w14:textFill>
            <w14:solidFill>
              <w14:schemeClr w14:val="tx1"/>
            </w14:solidFill>
          </w14:textFill>
        </w:rPr>
        <w:t>万元，完成预算的</w:t>
      </w:r>
      <w:r>
        <w:rPr>
          <w:rFonts w:hint="eastAsia" w:ascii="Times New Roman" w:hAnsi="Times New Roman" w:eastAsia="仿宋_GB2312"/>
          <w:b w:val="0"/>
          <w:bCs w:val="0"/>
          <w:color w:val="000000" w:themeColor="text1"/>
          <w:kern w:val="2"/>
          <w:sz w:val="32"/>
          <w:szCs w:val="24"/>
          <w14:textFill>
            <w14:solidFill>
              <w14:schemeClr w14:val="tx1"/>
            </w14:solidFill>
          </w14:textFill>
        </w:rPr>
        <w:t>100</w:t>
      </w:r>
      <w:r>
        <w:rPr>
          <w:rFonts w:hint="eastAsia" w:ascii="仿宋_GB2312" w:hAnsi="仿宋_GB2312" w:eastAsia="仿宋_GB2312"/>
          <w:b w:val="0"/>
          <w:bCs w:val="0"/>
          <w:color w:val="000000" w:themeColor="text1"/>
          <w:kern w:val="2"/>
          <w:sz w:val="32"/>
          <w:szCs w:val="24"/>
          <w14:textFill>
            <w14:solidFill>
              <w14:schemeClr w14:val="tx1"/>
            </w14:solidFill>
          </w14:textFill>
        </w:rPr>
        <w:t>%。公务接待费支出决算比</w:t>
      </w:r>
      <w:r>
        <w:rPr>
          <w:rFonts w:hint="eastAsia" w:ascii="Times New Roman" w:hAnsi="Times New Roman" w:eastAsia="仿宋_GB2312"/>
          <w:b w:val="0"/>
          <w:bCs w:val="0"/>
          <w:color w:val="000000" w:themeColor="text1"/>
          <w:kern w:val="2"/>
          <w:sz w:val="32"/>
          <w:szCs w:val="24"/>
          <w14:textFill>
            <w14:solidFill>
              <w14:schemeClr w14:val="tx1"/>
            </w14:solidFill>
          </w14:textFill>
        </w:rPr>
        <w:t>2022</w:t>
      </w:r>
      <w:r>
        <w:rPr>
          <w:rFonts w:hint="eastAsia" w:ascii="仿宋_GB2312" w:hAnsi="仿宋_GB2312" w:eastAsia="仿宋_GB2312"/>
          <w:b w:val="0"/>
          <w:bCs w:val="0"/>
          <w:color w:val="000000" w:themeColor="text1"/>
          <w:kern w:val="2"/>
          <w:sz w:val="32"/>
          <w:szCs w:val="24"/>
          <w14:textFill>
            <w14:solidFill>
              <w14:schemeClr w14:val="tx1"/>
            </w14:solidFill>
          </w14:textFill>
        </w:rPr>
        <w:t>年度增加</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59</w:t>
      </w:r>
      <w:r>
        <w:rPr>
          <w:rFonts w:hint="eastAsia" w:ascii="仿宋_GB2312" w:hAnsi="仿宋_GB2312" w:eastAsia="仿宋_GB2312"/>
          <w:b w:val="0"/>
          <w:bCs w:val="0"/>
          <w:color w:val="000000" w:themeColor="text1"/>
          <w:kern w:val="2"/>
          <w:sz w:val="32"/>
          <w:szCs w:val="24"/>
          <w14:textFill>
            <w14:solidFill>
              <w14:schemeClr w14:val="tx1"/>
            </w14:solidFill>
          </w14:textFill>
        </w:rPr>
        <w:t>万元，增长</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%。主要原因是</w:t>
      </w:r>
      <w:r>
        <w:rPr>
          <w:rFonts w:hint="eastAsia" w:ascii="仿宋_GB2312" w:hAnsi="仿宋_GB2312" w:eastAsia="仿宋_GB2312" w:cs="仿宋_GB2312"/>
          <w:b w:val="0"/>
          <w:bCs w:val="0"/>
          <w:color w:val="000000" w:themeColor="text1"/>
          <w:sz w:val="32"/>
          <w:szCs w:val="32"/>
          <w14:textFill>
            <w14:solidFill>
              <w14:schemeClr w14:val="tx1"/>
            </w14:solidFill>
          </w14:textFill>
        </w:rPr>
        <w:t>今年维稳任务重，工作压力大，公务接待多。</w:t>
      </w:r>
      <w:r>
        <w:rPr>
          <w:rFonts w:hint="eastAsia" w:ascii="仿宋_GB2312" w:hAnsi="仿宋_GB2312" w:eastAsia="仿宋_GB2312"/>
          <w:b w:val="0"/>
          <w:bCs w:val="0"/>
          <w:color w:val="000000" w:themeColor="text1"/>
          <w:kern w:val="2"/>
          <w:sz w:val="32"/>
          <w:szCs w:val="24"/>
          <w14:textFill>
            <w14:solidFill>
              <w14:schemeClr w14:val="tx1"/>
            </w14:solidFill>
          </w14:textFill>
        </w:rPr>
        <w:t>其中：</w:t>
      </w:r>
    </w:p>
    <w:p w14:paraId="19C8D858">
      <w:pPr>
        <w:keepNext w:val="0"/>
        <w:keepLines w:val="0"/>
        <w:pageBreakBefore w:val="0"/>
        <w:widowControl w:val="0"/>
        <w:kinsoku/>
        <w:wordWrap/>
        <w:overflowPunct w:val="0"/>
        <w:bidi w:val="0"/>
        <w:snapToGrid/>
        <w:spacing w:line="576"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b w:val="0"/>
          <w:bCs w:val="0"/>
          <w:color w:val="000000" w:themeColor="text1"/>
          <w:kern w:val="2"/>
          <w:sz w:val="32"/>
          <w:szCs w:val="24"/>
          <w14:textFill>
            <w14:solidFill>
              <w14:schemeClr w14:val="tx1"/>
            </w14:solidFill>
          </w14:textFill>
        </w:rPr>
        <w:t>国内公务接待支出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95</w:t>
      </w:r>
      <w:r>
        <w:rPr>
          <w:rFonts w:hint="eastAsia" w:ascii="仿宋_GB2312" w:hAnsi="仿宋_GB2312" w:eastAsia="仿宋_GB2312"/>
          <w:b w:val="0"/>
          <w:bCs w:val="0"/>
          <w:color w:val="000000" w:themeColor="text1"/>
          <w:kern w:val="2"/>
          <w:sz w:val="32"/>
          <w:szCs w:val="24"/>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14:textFill>
            <w14:solidFill>
              <w14:schemeClr w14:val="tx1"/>
            </w14:solidFill>
          </w14:textFill>
        </w:rPr>
        <w:t>主要用于执行公务、开展业务活动公务用餐。</w:t>
      </w:r>
      <w:r>
        <w:rPr>
          <w:rFonts w:hint="eastAsia" w:ascii="仿宋_GB2312" w:hAnsi="仿宋_GB2312" w:eastAsia="仿宋_GB2312"/>
          <w:b w:val="0"/>
          <w:bCs w:val="0"/>
          <w:color w:val="000000" w:themeColor="text1"/>
          <w:kern w:val="2"/>
          <w:sz w:val="32"/>
          <w:szCs w:val="24"/>
          <w14:textFill>
            <w14:solidFill>
              <w14:schemeClr w14:val="tx1"/>
            </w14:solidFill>
          </w14:textFill>
        </w:rPr>
        <w:t>国内公务接待</w:t>
      </w:r>
      <w:r>
        <w:rPr>
          <w:rFonts w:hint="eastAsia" w:ascii="Times New Roman" w:hAnsi="Times New Roman" w:eastAsia="仿宋_GB2312"/>
          <w:b w:val="0"/>
          <w:bCs w:val="0"/>
          <w:color w:val="000000" w:themeColor="text1"/>
          <w:kern w:val="2"/>
          <w:sz w:val="32"/>
          <w:szCs w:val="24"/>
          <w14:textFill>
            <w14:solidFill>
              <w14:schemeClr w14:val="tx1"/>
            </w14:solidFill>
          </w14:textFill>
        </w:rPr>
        <w:t>58</w:t>
      </w:r>
      <w:r>
        <w:rPr>
          <w:rFonts w:hint="eastAsia" w:ascii="仿宋_GB2312" w:hAnsi="仿宋_GB2312" w:eastAsia="仿宋_GB2312"/>
          <w:b w:val="0"/>
          <w:bCs w:val="0"/>
          <w:color w:val="000000" w:themeColor="text1"/>
          <w:kern w:val="2"/>
          <w:sz w:val="32"/>
          <w:szCs w:val="24"/>
          <w14:textFill>
            <w14:solidFill>
              <w14:schemeClr w14:val="tx1"/>
            </w14:solidFill>
          </w14:textFill>
        </w:rPr>
        <w:t>批次，</w:t>
      </w:r>
      <w:r>
        <w:rPr>
          <w:rFonts w:hint="eastAsia" w:ascii="Times New Roman" w:hAnsi="Times New Roman" w:eastAsia="仿宋_GB2312"/>
          <w:b w:val="0"/>
          <w:bCs w:val="0"/>
          <w:color w:val="000000" w:themeColor="text1"/>
          <w:kern w:val="2"/>
          <w:sz w:val="32"/>
          <w:szCs w:val="24"/>
          <w14:textFill>
            <w14:solidFill>
              <w14:schemeClr w14:val="tx1"/>
            </w14:solidFill>
          </w14:textFill>
        </w:rPr>
        <w:t>26</w:t>
      </w:r>
      <w:r>
        <w:rPr>
          <w:rFonts w:hint="eastAsia" w:ascii="Times New Roman" w:eastAsia="仿宋_GB2312"/>
          <w:b w:val="0"/>
          <w:bCs w:val="0"/>
          <w:color w:val="000000" w:themeColor="text1"/>
          <w:kern w:val="2"/>
          <w:sz w:val="32"/>
          <w:szCs w:val="24"/>
          <w:lang w:val="en-US" w:eastAsia="zh-CN"/>
          <w14:textFill>
            <w14:solidFill>
              <w14:schemeClr w14:val="tx1"/>
            </w14:solidFill>
          </w14:textFill>
        </w:rPr>
        <w:t>8</w:t>
      </w:r>
      <w:r>
        <w:rPr>
          <w:rFonts w:hint="eastAsia" w:ascii="仿宋_GB2312" w:hAnsi="仿宋_GB2312" w:eastAsia="仿宋_GB2312"/>
          <w:b w:val="0"/>
          <w:bCs w:val="0"/>
          <w:color w:val="000000" w:themeColor="text1"/>
          <w:kern w:val="2"/>
          <w:sz w:val="32"/>
          <w:szCs w:val="24"/>
          <w14:textFill>
            <w14:solidFill>
              <w14:schemeClr w14:val="tx1"/>
            </w14:solidFill>
          </w14:textFill>
        </w:rPr>
        <w:t>人次，共计支出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w:t>
      </w:r>
      <w:r>
        <w:rPr>
          <w:rFonts w:hint="eastAsia" w:ascii="Times New Roman" w:hAnsi="Times New Roman" w:eastAsia="仿宋_GB2312"/>
          <w:b w:val="0"/>
          <w:bCs w:val="0"/>
          <w:color w:val="000000" w:themeColor="text1"/>
          <w:kern w:val="2"/>
          <w:sz w:val="32"/>
          <w:szCs w:val="24"/>
          <w14:textFill>
            <w14:solidFill>
              <w14:schemeClr w14:val="tx1"/>
            </w14:solidFill>
          </w14:textFill>
        </w:rPr>
        <w:t>95</w:t>
      </w:r>
      <w:r>
        <w:rPr>
          <w:rFonts w:hint="eastAsia" w:ascii="仿宋_GB2312" w:hAnsi="仿宋_GB2312" w:eastAsia="仿宋_GB2312"/>
          <w:b w:val="0"/>
          <w:bCs w:val="0"/>
          <w:color w:val="000000" w:themeColor="text1"/>
          <w:kern w:val="2"/>
          <w:sz w:val="32"/>
          <w:szCs w:val="24"/>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14:textFill>
            <w14:solidFill>
              <w14:schemeClr w14:val="tx1"/>
            </w14:solidFill>
          </w14:textFill>
        </w:rPr>
        <w:t>（不包括陪同人员）主要用于接待兄弟县区来昭化区执行公务和乡镇领导来我局请示汇报工作等开支的餐费。具体内容包括：本市州兄弟县区来我局检查指导、考察调研、乡镇领导来我局请示汇报工作，协调有关信访维稳事宜等服务保障。</w:t>
      </w:r>
    </w:p>
    <w:p w14:paraId="66C0E7AD">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仿宋_GB2312" w:hAnsi="仿宋_GB2312" w:eastAsia="仿宋_GB2312"/>
          <w:b w:val="0"/>
          <w:bCs w:val="0"/>
          <w:color w:val="000000" w:themeColor="text1"/>
          <w:kern w:val="2"/>
          <w:sz w:val="32"/>
          <w:szCs w:val="24"/>
          <w14:textFill>
            <w14:solidFill>
              <w14:schemeClr w14:val="tx1"/>
            </w14:solidFill>
          </w14:textFill>
        </w:rPr>
        <w:t>外事接待支出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万元，外事接待</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批次，</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人，共计支出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w:t>
      </w:r>
    </w:p>
    <w:p w14:paraId="529A6544">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t>八、政府性基金预算支出决算情况说明</w:t>
      </w:r>
    </w:p>
    <w:p w14:paraId="1F67E0E8">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年政府性基金预算拨款支出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w:t>
      </w:r>
    </w:p>
    <w:p w14:paraId="739856EA">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t>九、国有资本经营预算支出决算情况说明</w:t>
      </w:r>
    </w:p>
    <w:p w14:paraId="24232E9A">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年国有资本经营预算拨款支出</w:t>
      </w:r>
      <w:r>
        <w:rPr>
          <w:rFonts w:hint="eastAsia" w:ascii="Times New Roman" w:hAnsi="Times New Roman" w:eastAsia="仿宋_GB2312"/>
          <w:b w:val="0"/>
          <w:bCs w:val="0"/>
          <w:color w:val="000000" w:themeColor="text1"/>
          <w:kern w:val="2"/>
          <w:sz w:val="32"/>
          <w:szCs w:val="24"/>
          <w14:textFill>
            <w14:solidFill>
              <w14:schemeClr w14:val="tx1"/>
            </w14:solidFill>
          </w14:textFill>
        </w:rPr>
        <w:t>0</w:t>
      </w:r>
      <w:r>
        <w:rPr>
          <w:rFonts w:hint="eastAsia" w:ascii="仿宋_GB2312" w:hAnsi="仿宋_GB2312" w:eastAsia="仿宋_GB2312"/>
          <w:b w:val="0"/>
          <w:bCs w:val="0"/>
          <w:color w:val="000000" w:themeColor="text1"/>
          <w:kern w:val="2"/>
          <w:sz w:val="32"/>
          <w:szCs w:val="24"/>
          <w14:textFill>
            <w14:solidFill>
              <w14:schemeClr w14:val="tx1"/>
            </w14:solidFill>
          </w14:textFill>
        </w:rPr>
        <w:t>万元。</w:t>
      </w:r>
    </w:p>
    <w:p w14:paraId="1695D023">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黑体" w:hAnsi="黑体" w:eastAsia="黑体"/>
          <w:b w:val="0"/>
          <w:bCs w:val="0"/>
          <w:color w:val="000000" w:themeColor="text1"/>
          <w:kern w:val="2"/>
          <w:sz w:val="32"/>
          <w:szCs w:val="24"/>
          <w14:textFill>
            <w14:solidFill>
              <w14:schemeClr w14:val="tx1"/>
            </w14:solidFill>
          </w14:textFill>
        </w:rPr>
      </w:pPr>
      <w:r>
        <w:rPr>
          <w:rFonts w:hint="eastAsia" w:ascii="黑体" w:hAnsi="黑体" w:eastAsia="黑体"/>
          <w:b w:val="0"/>
          <w:bCs w:val="0"/>
          <w:color w:val="000000" w:themeColor="text1"/>
          <w:kern w:val="2"/>
          <w:sz w:val="32"/>
          <w:szCs w:val="24"/>
          <w14:textFill>
            <w14:solidFill>
              <w14:schemeClr w14:val="tx1"/>
            </w14:solidFill>
          </w14:textFill>
        </w:rPr>
        <w:t>十、其他重要事项的情况说明</w:t>
      </w:r>
    </w:p>
    <w:p w14:paraId="275E669B">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（一）机关运行经费支出情况</w:t>
      </w:r>
    </w:p>
    <w:p w14:paraId="5D9945A1">
      <w:pPr>
        <w:keepNext w:val="0"/>
        <w:keepLines w:val="0"/>
        <w:pageBreakBefore w:val="0"/>
        <w:widowControl w:val="0"/>
        <w:kinsoku/>
        <w:wordWrap/>
        <w:overflowPunct w:val="0"/>
        <w:bidi w:val="0"/>
        <w:snapToGrid/>
        <w:spacing w:line="576" w:lineRule="exact"/>
        <w:ind w:firstLine="640" w:firstLineChars="200"/>
        <w:jc w:val="both"/>
        <w:textAlignment w:val="auto"/>
        <w:rPr>
          <w:rFonts w:hint="eastAsia" w:ascii="仿宋_GB2312" w:eastAsia="仿宋_GB2312"/>
          <w:b w:val="0"/>
          <w:bCs w:val="0"/>
          <w:color w:val="000000" w:themeColor="text1"/>
          <w:sz w:val="32"/>
          <w:szCs w:val="32"/>
          <w14:textFill>
            <w14:solidFill>
              <w14:schemeClr w14:val="tx1"/>
            </w14:solidFill>
          </w14:textFill>
        </w:rPr>
      </w:pPr>
      <w:r>
        <w:rPr>
          <w:rFonts w:hint="eastAsia" w:ascii="Times New Roman" w:hAnsi="Times New Roman" w:eastAsia="仿宋_GB2312"/>
          <w:b w:val="0"/>
          <w:bCs w:val="0"/>
          <w:color w:val="000000" w:themeColor="text1"/>
          <w:sz w:val="32"/>
          <w:szCs w:val="32"/>
          <w14:textFill>
            <w14:solidFill>
              <w14:schemeClr w14:val="tx1"/>
            </w14:solidFill>
          </w14:textFill>
        </w:rPr>
        <w:t>2023</w:t>
      </w:r>
      <w:r>
        <w:rPr>
          <w:rFonts w:hint="eastAsia" w:ascii="仿宋_GB2312" w:eastAsia="仿宋_GB2312"/>
          <w:b w:val="0"/>
          <w:bCs w:val="0"/>
          <w:color w:val="000000" w:themeColor="text1"/>
          <w:sz w:val="32"/>
          <w:szCs w:val="32"/>
          <w14:textFill>
            <w14:solidFill>
              <w14:schemeClr w14:val="tx1"/>
            </w14:solidFill>
          </w14:textFill>
        </w:rPr>
        <w:t>年度，</w:t>
      </w:r>
      <w:r>
        <w:rPr>
          <w:rFonts w:hint="eastAsia" w:ascii="仿宋_GB2312" w:hAnsi="仿宋_GB2312" w:eastAsia="仿宋_GB2312" w:cs="仿宋_GB2312"/>
          <w:b w:val="0"/>
          <w:bCs w:val="0"/>
          <w:color w:val="000000" w:themeColor="text1"/>
          <w:sz w:val="32"/>
          <w:szCs w:val="32"/>
          <w14:textFill>
            <w14:solidFill>
              <w14:schemeClr w14:val="tx1"/>
            </w14:solidFill>
          </w14:textFill>
        </w:rPr>
        <w:t>区委群工局</w:t>
      </w:r>
      <w:r>
        <w:rPr>
          <w:rFonts w:hint="eastAsia" w:ascii="仿宋_GB2312" w:eastAsia="仿宋_GB2312"/>
          <w:b w:val="0"/>
          <w:bCs w:val="0"/>
          <w:color w:val="000000" w:themeColor="text1"/>
          <w:sz w:val="32"/>
          <w:szCs w:val="32"/>
          <w14:textFill>
            <w14:solidFill>
              <w14:schemeClr w14:val="tx1"/>
            </w14:solidFill>
          </w14:textFill>
        </w:rPr>
        <w:t>机关运行经费支出</w:t>
      </w:r>
      <w:r>
        <w:rPr>
          <w:rFonts w:hint="eastAsia" w:ascii="Times New Roman" w:hAnsi="Times New Roman" w:eastAsia="仿宋_GB2312"/>
          <w:b w:val="0"/>
          <w:bCs w:val="0"/>
          <w:color w:val="000000" w:themeColor="text1"/>
          <w:sz w:val="32"/>
          <w:szCs w:val="32"/>
          <w14:textFill>
            <w14:solidFill>
              <w14:schemeClr w14:val="tx1"/>
            </w14:solidFill>
          </w14:textFill>
        </w:rPr>
        <w:t>15</w:t>
      </w:r>
      <w:r>
        <w:rPr>
          <w:rFonts w:hint="eastAsia" w:ascii="仿宋_GB2312" w:eastAsia="仿宋_GB2312"/>
          <w:b w:val="0"/>
          <w:bCs w:val="0"/>
          <w:color w:val="000000" w:themeColor="text1"/>
          <w:sz w:val="32"/>
          <w:szCs w:val="32"/>
          <w14:textFill>
            <w14:solidFill>
              <w14:schemeClr w14:val="tx1"/>
            </w14:solidFill>
          </w14:textFill>
        </w:rPr>
        <w:t>.</w:t>
      </w:r>
      <w:r>
        <w:rPr>
          <w:rFonts w:hint="eastAsia" w:ascii="Times New Roman" w:hAnsi="Times New Roman" w:eastAsia="仿宋_GB2312"/>
          <w:b w:val="0"/>
          <w:bCs w:val="0"/>
          <w:color w:val="000000" w:themeColor="text1"/>
          <w:sz w:val="32"/>
          <w:szCs w:val="32"/>
          <w14:textFill>
            <w14:solidFill>
              <w14:schemeClr w14:val="tx1"/>
            </w14:solidFill>
          </w14:textFill>
        </w:rPr>
        <w:t>51</w:t>
      </w:r>
      <w:r>
        <w:rPr>
          <w:rFonts w:hint="eastAsia" w:ascii="仿宋_GB2312" w:eastAsia="仿宋_GB2312"/>
          <w:b w:val="0"/>
          <w:bCs w:val="0"/>
          <w:color w:val="000000" w:themeColor="text1"/>
          <w:sz w:val="32"/>
          <w:szCs w:val="32"/>
          <w14:textFill>
            <w14:solidFill>
              <w14:schemeClr w14:val="tx1"/>
            </w14:solidFill>
          </w14:textFill>
        </w:rPr>
        <w:t>万元，比</w:t>
      </w:r>
      <w:r>
        <w:rPr>
          <w:rFonts w:hint="eastAsia" w:ascii="Times New Roman" w:hAnsi="Times New Roman" w:eastAsia="仿宋_GB2312"/>
          <w:b w:val="0"/>
          <w:bCs w:val="0"/>
          <w:color w:val="000000" w:themeColor="text1"/>
          <w:sz w:val="32"/>
          <w:szCs w:val="32"/>
          <w14:textFill>
            <w14:solidFill>
              <w14:schemeClr w14:val="tx1"/>
            </w14:solidFill>
          </w14:textFill>
        </w:rPr>
        <w:t>2022</w:t>
      </w:r>
      <w:r>
        <w:rPr>
          <w:rFonts w:hint="eastAsia" w:ascii="仿宋_GB2312" w:eastAsia="仿宋_GB2312"/>
          <w:b w:val="0"/>
          <w:bCs w:val="0"/>
          <w:color w:val="000000" w:themeColor="text1"/>
          <w:sz w:val="32"/>
          <w:szCs w:val="32"/>
          <w14:textFill>
            <w14:solidFill>
              <w14:schemeClr w14:val="tx1"/>
            </w14:solidFill>
          </w14:textFill>
        </w:rPr>
        <w:t>年度减少</w:t>
      </w:r>
      <w:r>
        <w:rPr>
          <w:rFonts w:hint="eastAsia" w:ascii="Times New Roman" w:hAnsi="Times New Roman" w:eastAsia="仿宋_GB2312"/>
          <w:b w:val="0"/>
          <w:bCs w:val="0"/>
          <w:color w:val="000000" w:themeColor="text1"/>
          <w:sz w:val="32"/>
          <w:szCs w:val="32"/>
          <w14:textFill>
            <w14:solidFill>
              <w14:schemeClr w14:val="tx1"/>
            </w14:solidFill>
          </w14:textFill>
        </w:rPr>
        <w:t>39</w:t>
      </w:r>
      <w:r>
        <w:rPr>
          <w:rFonts w:hint="eastAsia" w:ascii="仿宋_GB2312" w:eastAsia="仿宋_GB2312"/>
          <w:b w:val="0"/>
          <w:bCs w:val="0"/>
          <w:color w:val="000000" w:themeColor="text1"/>
          <w:sz w:val="32"/>
          <w:szCs w:val="32"/>
          <w14:textFill>
            <w14:solidFill>
              <w14:schemeClr w14:val="tx1"/>
            </w14:solidFill>
          </w14:textFill>
        </w:rPr>
        <w:t>.</w:t>
      </w:r>
      <w:r>
        <w:rPr>
          <w:rFonts w:hint="eastAsia" w:ascii="Times New Roman" w:hAnsi="Times New Roman" w:eastAsia="仿宋_GB2312"/>
          <w:b w:val="0"/>
          <w:bCs w:val="0"/>
          <w:color w:val="000000" w:themeColor="text1"/>
          <w:sz w:val="32"/>
          <w:szCs w:val="32"/>
          <w14:textFill>
            <w14:solidFill>
              <w14:schemeClr w14:val="tx1"/>
            </w14:solidFill>
          </w14:textFill>
        </w:rPr>
        <w:t>59</w:t>
      </w:r>
      <w:r>
        <w:rPr>
          <w:rFonts w:hint="eastAsia" w:ascii="仿宋_GB2312" w:eastAsia="仿宋_GB2312"/>
          <w:b w:val="0"/>
          <w:bCs w:val="0"/>
          <w:color w:val="000000" w:themeColor="text1"/>
          <w:sz w:val="32"/>
          <w:szCs w:val="32"/>
          <w14:textFill>
            <w14:solidFill>
              <w14:schemeClr w14:val="tx1"/>
            </w14:solidFill>
          </w14:textFill>
        </w:rPr>
        <w:t>万元，下降</w:t>
      </w:r>
      <w:r>
        <w:rPr>
          <w:rFonts w:hint="eastAsia" w:ascii="Times New Roman" w:hAnsi="Times New Roman" w:eastAsia="仿宋_GB2312"/>
          <w:b w:val="0"/>
          <w:bCs w:val="0"/>
          <w:color w:val="000000" w:themeColor="text1"/>
          <w:sz w:val="32"/>
          <w:szCs w:val="32"/>
          <w14:textFill>
            <w14:solidFill>
              <w14:schemeClr w14:val="tx1"/>
            </w14:solidFill>
          </w14:textFill>
        </w:rPr>
        <w:t>71</w:t>
      </w:r>
      <w:r>
        <w:rPr>
          <w:rFonts w:hint="eastAsia" w:ascii="仿宋_GB2312" w:eastAsia="仿宋_GB2312"/>
          <w:b w:val="0"/>
          <w:bCs w:val="0"/>
          <w:color w:val="000000" w:themeColor="text1"/>
          <w:sz w:val="32"/>
          <w:szCs w:val="32"/>
          <w14:textFill>
            <w14:solidFill>
              <w14:schemeClr w14:val="tx1"/>
            </w14:solidFill>
          </w14:textFill>
        </w:rPr>
        <w:t>.</w:t>
      </w:r>
      <w:r>
        <w:rPr>
          <w:rFonts w:hint="eastAsia" w:ascii="Times New Roman" w:hAnsi="Times New Roman" w:eastAsia="仿宋_GB2312"/>
          <w:b w:val="0"/>
          <w:bCs w:val="0"/>
          <w:color w:val="000000" w:themeColor="text1"/>
          <w:sz w:val="32"/>
          <w:szCs w:val="32"/>
          <w14:textFill>
            <w14:solidFill>
              <w14:schemeClr w14:val="tx1"/>
            </w14:solidFill>
          </w14:textFill>
        </w:rPr>
        <w:t>9</w:t>
      </w:r>
      <w:r>
        <w:rPr>
          <w:rFonts w:hint="eastAsia" w:ascii="仿宋_GB2312" w:eastAsia="仿宋_GB2312"/>
          <w:b w:val="0"/>
          <w:bCs w:val="0"/>
          <w:color w:val="000000" w:themeColor="text1"/>
          <w:sz w:val="32"/>
          <w:szCs w:val="32"/>
          <w14:textFill>
            <w14:solidFill>
              <w14:schemeClr w14:val="tx1"/>
            </w14:solidFill>
          </w14:textFill>
        </w:rPr>
        <w:t>%。主要是压减公用经费。</w:t>
      </w:r>
    </w:p>
    <w:p w14:paraId="06B73ABF">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（二）政府采购支出情况</w:t>
      </w:r>
    </w:p>
    <w:p w14:paraId="3B41C0F2">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年，区委群工局未发生政府采购支出。</w:t>
      </w:r>
    </w:p>
    <w:p w14:paraId="4237D2A7">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（三）国有资产占有使用情况</w:t>
      </w:r>
    </w:p>
    <w:p w14:paraId="74726B4B">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val="0"/>
          <w:bCs w:val="0"/>
          <w:color w:val="000000" w:themeColor="text1"/>
          <w:kern w:val="2"/>
          <w:sz w:val="32"/>
          <w:szCs w:val="24"/>
          <w14:textFill>
            <w14:solidFill>
              <w14:schemeClr w14:val="tx1"/>
            </w14:solidFill>
          </w14:textFill>
        </w:rPr>
        <w:t>截至</w:t>
      </w: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w:t>
      </w:r>
      <w:r>
        <w:rPr>
          <w:rFonts w:hint="eastAsia" w:ascii="Times New Roman" w:hAnsi="Times New Roman" w:eastAsia="仿宋_GB2312"/>
          <w:b w:val="0"/>
          <w:bCs w:val="0"/>
          <w:color w:val="000000" w:themeColor="text1"/>
          <w:kern w:val="2"/>
          <w:sz w:val="32"/>
          <w:szCs w:val="24"/>
          <w14:textFill>
            <w14:solidFill>
              <w14:schemeClr w14:val="tx1"/>
            </w14:solidFill>
          </w14:textFill>
        </w:rPr>
        <w:t>12</w:t>
      </w:r>
      <w:r>
        <w:rPr>
          <w:rFonts w:hint="eastAsia" w:ascii="仿宋_GB2312" w:hAnsi="仿宋_GB2312" w:eastAsia="仿宋_GB2312"/>
          <w:b w:val="0"/>
          <w:bCs w:val="0"/>
          <w:color w:val="000000" w:themeColor="text1"/>
          <w:kern w:val="2"/>
          <w:sz w:val="32"/>
          <w:szCs w:val="24"/>
          <w14:textFill>
            <w14:solidFill>
              <w14:schemeClr w14:val="tx1"/>
            </w14:solidFill>
          </w14:textFill>
        </w:rPr>
        <w:t>月</w:t>
      </w:r>
      <w:r>
        <w:rPr>
          <w:rFonts w:hint="eastAsia" w:ascii="Times New Roman" w:hAnsi="Times New Roman" w:eastAsia="仿宋_GB2312"/>
          <w:b w:val="0"/>
          <w:bCs w:val="0"/>
          <w:color w:val="000000" w:themeColor="text1"/>
          <w:kern w:val="2"/>
          <w:sz w:val="32"/>
          <w:szCs w:val="24"/>
          <w14:textFill>
            <w14:solidFill>
              <w14:schemeClr w14:val="tx1"/>
            </w14:solidFill>
          </w14:textFill>
        </w:rPr>
        <w:t>31</w:t>
      </w:r>
      <w:r>
        <w:rPr>
          <w:rFonts w:hint="eastAsia" w:ascii="仿宋_GB2312" w:hAnsi="仿宋_GB2312" w:eastAsia="仿宋_GB2312"/>
          <w:b w:val="0"/>
          <w:bCs w:val="0"/>
          <w:color w:val="000000" w:themeColor="text1"/>
          <w:kern w:val="2"/>
          <w:sz w:val="32"/>
          <w:szCs w:val="24"/>
          <w14:textFill>
            <w14:solidFill>
              <w14:schemeClr w14:val="tx1"/>
            </w14:solidFill>
          </w14:textFill>
        </w:rPr>
        <w:t>日，本单位无公务用车辆。</w:t>
      </w:r>
      <w:r>
        <w:rPr>
          <w:rFonts w:hint="eastAsia" w:ascii="仿宋_GB2312" w:hAnsi="仿宋_GB2312" w:eastAsia="仿宋_GB2312"/>
          <w:color w:val="000000"/>
          <w:kern w:val="2"/>
          <w:sz w:val="32"/>
          <w:szCs w:val="24"/>
        </w:rPr>
        <w:t>其中：副部（省）级及以上领导用车0辆、主要负责人用车0辆、机要通信用车*辆、应急保障用车0辆、执法执勤用车0辆、特种专业技术用车0辆、离退休干部服务用车0辆、其他用车0辆。</w:t>
      </w:r>
    </w:p>
    <w:p w14:paraId="09E6808C">
      <w:pPr>
        <w:pStyle w:val="2"/>
        <w:ind w:firstLine="640" w:firstLineChars="200"/>
        <w:rPr>
          <w:rFonts w:hint="eastAsia"/>
        </w:rPr>
      </w:pPr>
      <w:r>
        <w:rPr>
          <w:rFonts w:hint="eastAsia" w:ascii="仿宋_GB2312" w:hAnsi="仿宋_GB2312" w:eastAsia="仿宋_GB2312"/>
          <w:color w:val="000000"/>
          <w:kern w:val="2"/>
          <w:sz w:val="32"/>
          <w:szCs w:val="24"/>
        </w:rPr>
        <w:t>单价100万元（含）以上设备0台（套）。</w:t>
      </w:r>
    </w:p>
    <w:p w14:paraId="6C65995F">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楷体_GB2312" w:hAnsi="楷体_GB2312" w:eastAsia="楷体_GB2312" w:cs="楷体_GB2312"/>
          <w:b w:val="0"/>
          <w:bCs w:val="0"/>
          <w:color w:val="000000" w:themeColor="text1"/>
          <w:kern w:val="2"/>
          <w:sz w:val="32"/>
          <w:szCs w:val="24"/>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24"/>
          <w14:textFill>
            <w14:solidFill>
              <w14:schemeClr w14:val="tx1"/>
            </w14:solidFill>
          </w14:textFill>
        </w:rPr>
        <w:t>（四）预算绩效管理情况</w:t>
      </w:r>
    </w:p>
    <w:p w14:paraId="62A80167">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仿宋_GB2312" w:hAnsi="仿宋_GB2312" w:eastAsia="仿宋_GB2312"/>
          <w:b w:val="0"/>
          <w:bCs w:val="0"/>
          <w:color w:val="000000" w:themeColor="text1"/>
          <w:kern w:val="2"/>
          <w:sz w:val="32"/>
          <w:szCs w:val="24"/>
          <w14:textFill>
            <w14:solidFill>
              <w14:schemeClr w14:val="tx1"/>
            </w14:solidFill>
          </w14:textFill>
        </w:rPr>
        <w:t>根据预算绩效管理要求，本</w:t>
      </w:r>
      <w:r>
        <w:rPr>
          <w:rFonts w:hint="eastAsia" w:ascii="仿宋_GB2312" w:hAnsi="仿宋_GB2312" w:eastAsia="仿宋_GB2312"/>
          <w:b w:val="0"/>
          <w:bCs w:val="0"/>
          <w:color w:val="000000" w:themeColor="text1"/>
          <w:kern w:val="2"/>
          <w:sz w:val="32"/>
          <w:szCs w:val="24"/>
          <w:lang w:val="en-US" w:eastAsia="zh-CN"/>
          <w14:textFill>
            <w14:solidFill>
              <w14:schemeClr w14:val="tx1"/>
            </w14:solidFill>
          </w14:textFill>
        </w:rPr>
        <w:t>部门</w:t>
      </w:r>
      <w:r>
        <w:rPr>
          <w:rFonts w:hint="eastAsia" w:ascii="仿宋_GB2312" w:hAnsi="仿宋_GB2312" w:eastAsia="仿宋_GB2312"/>
          <w:b w:val="0"/>
          <w:bCs w:val="0"/>
          <w:color w:val="000000" w:themeColor="text1"/>
          <w:kern w:val="2"/>
          <w:sz w:val="32"/>
          <w:szCs w:val="24"/>
          <w14:textFill>
            <w14:solidFill>
              <w14:schemeClr w14:val="tx1"/>
            </w14:solidFill>
          </w14:textFill>
        </w:rPr>
        <w:t>在</w:t>
      </w: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年度预算编制阶段，组织对</w:t>
      </w:r>
      <w:r>
        <w:rPr>
          <w:rFonts w:hint="eastAsia" w:ascii="仿宋_GB2312" w:hAnsi="仿宋_GB2312" w:eastAsia="仿宋_GB2312" w:cs="仿宋_GB2312"/>
          <w:b w:val="0"/>
          <w:bCs w:val="0"/>
          <w:color w:val="000000" w:themeColor="text1"/>
          <w:sz w:val="32"/>
          <w:szCs w:val="32"/>
          <w14:textFill>
            <w14:solidFill>
              <w14:schemeClr w14:val="tx1"/>
            </w14:solidFill>
          </w14:textFill>
        </w:rPr>
        <w:t>信访维稳应急经费和解决特殊疑难信访问题中央补助资金项目等</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个项目开展了预算事前绩效评估，对</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个项目编制了绩效目标，预算执行过程中，选取</w:t>
      </w:r>
      <w:r>
        <w:rPr>
          <w:rFonts w:hint="eastAsia" w:ascii="Times New Roman" w:hAnsi="Times New Roman" w:eastAsia="仿宋_GB2312"/>
          <w:b w:val="0"/>
          <w:bCs w:val="0"/>
          <w:color w:val="000000" w:themeColor="text1"/>
          <w:kern w:val="2"/>
          <w:sz w:val="32"/>
          <w:szCs w:val="24"/>
          <w14:textFill>
            <w14:solidFill>
              <w14:schemeClr w14:val="tx1"/>
            </w14:solidFill>
          </w14:textFill>
        </w:rPr>
        <w:t>7</w:t>
      </w:r>
      <w:r>
        <w:rPr>
          <w:rFonts w:hint="eastAsia" w:ascii="仿宋_GB2312" w:hAnsi="仿宋_GB2312" w:eastAsia="仿宋_GB2312"/>
          <w:b w:val="0"/>
          <w:bCs w:val="0"/>
          <w:color w:val="000000" w:themeColor="text1"/>
          <w:kern w:val="2"/>
          <w:sz w:val="32"/>
          <w:szCs w:val="24"/>
          <w14:textFill>
            <w14:solidFill>
              <w14:schemeClr w14:val="tx1"/>
            </w14:solidFill>
          </w14:textFill>
        </w:rPr>
        <w:t>个项目开展绩效监控，组织对</w:t>
      </w:r>
      <w:r>
        <w:rPr>
          <w:rFonts w:hint="eastAsia" w:ascii="Times New Roman" w:hAnsi="Times New Roman" w:eastAsia="仿宋_GB2312"/>
          <w:b w:val="0"/>
          <w:bCs w:val="0"/>
          <w:color w:val="000000" w:themeColor="text1"/>
          <w:kern w:val="2"/>
          <w:sz w:val="32"/>
          <w:szCs w:val="24"/>
          <w14:textFill>
            <w14:solidFill>
              <w14:schemeClr w14:val="tx1"/>
            </w14:solidFill>
          </w14:textFill>
        </w:rPr>
        <w:t>2</w:t>
      </w:r>
      <w:r>
        <w:rPr>
          <w:rFonts w:hint="eastAsia" w:ascii="仿宋_GB2312" w:hAnsi="仿宋_GB2312" w:eastAsia="仿宋_GB2312"/>
          <w:b w:val="0"/>
          <w:bCs w:val="0"/>
          <w:color w:val="000000" w:themeColor="text1"/>
          <w:kern w:val="2"/>
          <w:sz w:val="32"/>
          <w:szCs w:val="24"/>
          <w14:textFill>
            <w14:solidFill>
              <w14:schemeClr w14:val="tx1"/>
            </w14:solidFill>
          </w14:textFill>
        </w:rPr>
        <w:t>个项目开展绩效评价，绩效自评报表见第四部分附件。</w:t>
      </w:r>
    </w:p>
    <w:p w14:paraId="2192A58C">
      <w:pPr>
        <w:keepNext w:val="0"/>
        <w:keepLines w:val="0"/>
        <w:pageBreakBefore w:val="0"/>
        <w:widowControl w:val="0"/>
        <w:kinsoku/>
        <w:wordWrap/>
        <w:overflowPunct w:val="0"/>
        <w:bidi w:val="0"/>
        <w:snapToGrid/>
        <w:spacing w:line="576" w:lineRule="exact"/>
        <w:ind w:firstLine="640" w:firstLineChars="200"/>
        <w:jc w:val="both"/>
        <w:textAlignment w:val="auto"/>
        <w:rPr>
          <w:rFonts w:hint="eastAsia" w:ascii="仿宋_GB2312" w:hAnsi="仿宋_GB2312" w:eastAsia="仿宋_GB2312"/>
          <w:b w:val="0"/>
          <w:bCs w:val="0"/>
          <w:color w:val="000000" w:themeColor="text1"/>
          <w:kern w:val="2"/>
          <w:sz w:val="32"/>
          <w:szCs w:val="24"/>
          <w14:textFill>
            <w14:solidFill>
              <w14:schemeClr w14:val="tx1"/>
            </w14:solidFill>
          </w14:textFill>
        </w:rPr>
      </w:pPr>
      <w:r>
        <w:rPr>
          <w:rFonts w:hint="eastAsia" w:ascii="Times New Roman" w:hAnsi="Times New Roman" w:eastAsia="仿宋_GB2312"/>
          <w:b w:val="0"/>
          <w:bCs w:val="0"/>
          <w:color w:val="000000" w:themeColor="text1"/>
          <w:kern w:val="2"/>
          <w:sz w:val="32"/>
          <w:szCs w:val="24"/>
          <w14:textFill>
            <w14:solidFill>
              <w14:schemeClr w14:val="tx1"/>
            </w14:solidFill>
          </w14:textFill>
        </w:rPr>
        <w:t>2023</w:t>
      </w:r>
      <w:r>
        <w:rPr>
          <w:rFonts w:hint="eastAsia" w:ascii="仿宋_GB2312" w:hAnsi="仿宋_GB2312" w:eastAsia="仿宋_GB2312"/>
          <w:b w:val="0"/>
          <w:bCs w:val="0"/>
          <w:color w:val="000000" w:themeColor="text1"/>
          <w:kern w:val="2"/>
          <w:sz w:val="32"/>
          <w:szCs w:val="24"/>
          <w14:textFill>
            <w14:solidFill>
              <w14:schemeClr w14:val="tx1"/>
            </w14:solidFill>
          </w14:textFill>
        </w:rPr>
        <w:t>年度组织一般公共预算全面开展绩效自评，形成</w:t>
      </w:r>
      <w:r>
        <w:rPr>
          <w:rFonts w:hint="eastAsia" w:ascii="Times New Roman" w:hAnsi="Times New Roman" w:eastAsia="仿宋_GB2312"/>
          <w:b w:val="0"/>
          <w:bCs w:val="0"/>
          <w:color w:val="000000" w:themeColor="text1"/>
          <w:kern w:val="2"/>
          <w:sz w:val="32"/>
          <w:szCs w:val="24"/>
          <w14:textFill>
            <w14:solidFill>
              <w14:schemeClr w14:val="tx1"/>
            </w14:solidFill>
          </w14:textFill>
        </w:rPr>
        <w:t>202</w:t>
      </w:r>
      <w:r>
        <w:rPr>
          <w:rFonts w:hint="eastAsia" w:ascii="Times New Roman" w:eastAsia="仿宋_GB2312"/>
          <w:b w:val="0"/>
          <w:bCs w:val="0"/>
          <w:color w:val="000000" w:themeColor="text1"/>
          <w:kern w:val="2"/>
          <w:sz w:val="32"/>
          <w:szCs w:val="24"/>
          <w:lang w:val="en-US" w:eastAsia="zh-CN"/>
          <w14:textFill>
            <w14:solidFill>
              <w14:schemeClr w14:val="tx1"/>
            </w14:solidFill>
          </w14:textFill>
        </w:rPr>
        <w:t>3</w:t>
      </w:r>
      <w:r>
        <w:rPr>
          <w:rFonts w:hint="eastAsia" w:ascii="仿宋_GB2312" w:hAnsi="仿宋_GB2312" w:eastAsia="仿宋_GB2312"/>
          <w:b w:val="0"/>
          <w:bCs w:val="0"/>
          <w:color w:val="000000" w:themeColor="text1"/>
          <w:kern w:val="2"/>
          <w:sz w:val="32"/>
          <w:szCs w:val="24"/>
          <w14:textFill>
            <w14:solidFill>
              <w14:schemeClr w14:val="tx1"/>
            </w14:solidFill>
          </w14:textFill>
        </w:rPr>
        <w:t>年中共广元市昭化区委群众工作局（部门）整体绩效自评报告、对我局的预算</w:t>
      </w:r>
      <w:r>
        <w:rPr>
          <w:rFonts w:hint="eastAsia" w:ascii="仿宋_GB2312" w:hAnsi="仿宋_GB2312" w:eastAsia="仿宋_GB2312" w:cs="仿宋_GB2312"/>
          <w:b w:val="0"/>
          <w:bCs w:val="0"/>
          <w:color w:val="000000" w:themeColor="text1"/>
          <w:sz w:val="32"/>
          <w:szCs w:val="32"/>
          <w14:textFill>
            <w14:solidFill>
              <w14:schemeClr w14:val="tx1"/>
            </w14:solidFill>
          </w14:textFill>
        </w:rPr>
        <w:t>信访维稳应急经费和追加解决特殊疑难信访问题中央补助资金</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个</w:t>
      </w:r>
      <w:r>
        <w:rPr>
          <w:rFonts w:hint="eastAsia" w:ascii="仿宋_GB2312" w:hAnsi="仿宋_GB2312" w:eastAsia="仿宋_GB2312"/>
          <w:b w:val="0"/>
          <w:bCs w:val="0"/>
          <w:color w:val="000000" w:themeColor="text1"/>
          <w:kern w:val="2"/>
          <w:sz w:val="32"/>
          <w:szCs w:val="24"/>
          <w14:textFill>
            <w14:solidFill>
              <w14:schemeClr w14:val="tx1"/>
            </w14:solidFill>
          </w14:textFill>
        </w:rPr>
        <w:t>项目绩效自评报告，</w:t>
      </w:r>
      <w:r>
        <w:rPr>
          <w:rFonts w:hint="eastAsia" w:ascii="仿宋_GB2312" w:hAnsi="仿宋_GB2312" w:eastAsia="仿宋_GB2312" w:cs="仿宋_GB2312"/>
          <w:b w:val="0"/>
          <w:bCs w:val="0"/>
          <w:color w:val="000000" w:themeColor="text1"/>
          <w:sz w:val="32"/>
          <w:szCs w:val="32"/>
          <w14:textFill>
            <w14:solidFill>
              <w14:schemeClr w14:val="tx1"/>
            </w14:solidFill>
          </w14:textFill>
        </w:rPr>
        <w:t>其中，</w:t>
      </w:r>
      <w:r>
        <w:rPr>
          <w:rFonts w:hint="eastAsia" w:ascii="仿宋_GB2312" w:hAnsi="仿宋_GB2312" w:eastAsia="仿宋_GB2312"/>
          <w:b w:val="0"/>
          <w:bCs w:val="0"/>
          <w:color w:val="000000" w:themeColor="text1"/>
          <w:kern w:val="2"/>
          <w:sz w:val="32"/>
          <w:szCs w:val="24"/>
          <w14:textFill>
            <w14:solidFill>
              <w14:schemeClr w14:val="tx1"/>
            </w14:solidFill>
          </w14:textFill>
        </w:rPr>
        <w:t>中共广元市昭化区委群众工作局</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部门整体绩效自评得分为</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14:textFill>
            <w14:solidFill>
              <w14:schemeClr w14:val="tx1"/>
            </w14:solidFill>
          </w14:textFill>
        </w:rPr>
        <w:t>分；信访维稳应急经费全面完成全年各项工作，运转正常，该项目评价得分</w:t>
      </w:r>
      <w:r>
        <w:rPr>
          <w:rFonts w:hint="eastAsia" w:ascii="Times New Roman" w:hAnsi="Times New Roman" w:eastAsia="仿宋_GB2312" w:cs="仿宋_GB2312"/>
          <w:b w:val="0"/>
          <w:bCs w:val="0"/>
          <w:color w:val="000000" w:themeColor="text1"/>
          <w:sz w:val="32"/>
          <w:szCs w:val="32"/>
          <w14:textFill>
            <w14:solidFill>
              <w14:schemeClr w14:val="tx1"/>
            </w14:solidFill>
          </w14:textFill>
        </w:rPr>
        <w:t>98</w:t>
      </w:r>
      <w:r>
        <w:rPr>
          <w:rFonts w:hint="eastAsia" w:ascii="仿宋_GB2312" w:hAnsi="仿宋_GB2312" w:eastAsia="仿宋_GB2312" w:cs="仿宋_GB2312"/>
          <w:b w:val="0"/>
          <w:bCs w:val="0"/>
          <w:color w:val="000000" w:themeColor="text1"/>
          <w:sz w:val="32"/>
          <w:szCs w:val="32"/>
          <w14:textFill>
            <w14:solidFill>
              <w14:schemeClr w14:val="tx1"/>
            </w14:solidFill>
          </w14:textFill>
        </w:rPr>
        <w:t>分。追加解决特殊疑难信访问题中央补助资金，项目全面完成全年各项工作，运转正常，该项目评价得分</w:t>
      </w:r>
      <w:r>
        <w:rPr>
          <w:rFonts w:hint="eastAsia" w:ascii="Times New Roman" w:hAnsi="Times New Roman" w:eastAsia="仿宋_GB2312" w:cs="仿宋_GB2312"/>
          <w:b w:val="0"/>
          <w:bCs w:val="0"/>
          <w:color w:val="000000" w:themeColor="text1"/>
          <w:sz w:val="32"/>
          <w:szCs w:val="32"/>
          <w14:textFill>
            <w14:solidFill>
              <w14:schemeClr w14:val="tx1"/>
            </w14:solidFill>
          </w14:textFill>
        </w:rPr>
        <w:t>98</w:t>
      </w:r>
      <w:r>
        <w:rPr>
          <w:rFonts w:hint="eastAsia" w:ascii="仿宋_GB2312" w:hAnsi="仿宋_GB2312" w:eastAsia="仿宋_GB2312" w:cs="仿宋_GB2312"/>
          <w:b w:val="0"/>
          <w:bCs w:val="0"/>
          <w:color w:val="000000" w:themeColor="text1"/>
          <w:sz w:val="32"/>
          <w:szCs w:val="32"/>
          <w14:textFill>
            <w14:solidFill>
              <w14:schemeClr w14:val="tx1"/>
            </w14:solidFill>
          </w14:textFill>
        </w:rPr>
        <w:t>分。</w:t>
      </w:r>
      <w:r>
        <w:rPr>
          <w:rFonts w:hint="eastAsia" w:ascii="仿宋_GB2312" w:hAnsi="仿宋_GB2312" w:eastAsia="仿宋_GB2312"/>
          <w:b w:val="0"/>
          <w:bCs w:val="0"/>
          <w:color w:val="000000" w:themeColor="text1"/>
          <w:kern w:val="2"/>
          <w:sz w:val="32"/>
          <w:szCs w:val="24"/>
          <w14:textFill>
            <w14:solidFill>
              <w14:schemeClr w14:val="tx1"/>
            </w14:solidFill>
          </w14:textFill>
        </w:rPr>
        <w:t>绩效自评报告详见附件（第四部分）。</w:t>
      </w:r>
    </w:p>
    <w:p w14:paraId="760D7F2F">
      <w:pPr>
        <w:keepNext/>
        <w:keepLines/>
        <w:pageBreakBefore/>
        <w:widowControl w:val="0"/>
        <w:kinsoku/>
        <w:wordWrap/>
        <w:bidi w:val="0"/>
        <w:snapToGrid/>
        <w:spacing w:line="576" w:lineRule="exact"/>
        <w:jc w:val="center"/>
        <w:textAlignment w:val="auto"/>
        <w:rPr>
          <w:rFonts w:hint="eastAsia" w:ascii="方正小标宋简体" w:hAnsi="方正小标宋简体" w:eastAsia="方正小标宋简体" w:cs="方正小标宋简体"/>
          <w:color w:val="000000" w:themeColor="text1"/>
          <w:kern w:val="44"/>
          <w:sz w:val="44"/>
          <w:szCs w:val="24"/>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24"/>
          <w14:textFill>
            <w14:solidFill>
              <w14:schemeClr w14:val="tx1"/>
            </w14:solidFill>
          </w14:textFill>
        </w:rPr>
        <w:t>第三部分  名</w:t>
      </w:r>
      <w:r>
        <w:rPr>
          <w:rFonts w:hint="eastAsia" w:ascii="方正小标宋简体" w:hAnsi="方正小标宋简体" w:eastAsia="方正小标宋简体" w:cs="方正小标宋简体"/>
          <w:color w:val="000000" w:themeColor="text1"/>
          <w:kern w:val="44"/>
          <w:sz w:val="44"/>
          <w:szCs w:val="24"/>
          <w14:textFill>
            <w14:solidFill>
              <w14:schemeClr w14:val="tx1"/>
            </w14:solidFill>
          </w14:textFill>
        </w:rPr>
        <w:t>词解释</w:t>
      </w:r>
    </w:p>
    <w:p w14:paraId="70BCE62E">
      <w:pPr>
        <w:widowControl w:val="0"/>
        <w:kinsoku/>
        <w:wordWrap/>
        <w:overflowPunct w:val="0"/>
        <w:topLinePunct/>
        <w:bidi w:val="0"/>
        <w:snapToGrid/>
        <w:spacing w:line="576" w:lineRule="exact"/>
        <w:ind w:firstLine="640" w:firstLineChars="200"/>
        <w:jc w:val="both"/>
        <w:textAlignment w:val="auto"/>
        <w:rPr>
          <w:rFonts w:hint="eastAsia" w:ascii="黑体" w:hAnsi="黑体" w:eastAsia="黑体" w:cs="黑体"/>
          <w:color w:val="000000" w:themeColor="text1"/>
          <w:sz w:val="32"/>
          <w:szCs w:val="24"/>
          <w14:textFill>
            <w14:solidFill>
              <w14:schemeClr w14:val="tx1"/>
            </w14:solidFill>
          </w14:textFill>
        </w:rPr>
      </w:pPr>
    </w:p>
    <w:p w14:paraId="12A09595">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rPr>
      </w:pPr>
      <w:r>
        <w:rPr>
          <w:rFonts w:hint="eastAsia" w:ascii="黑体" w:hAnsi="黑体" w:eastAsia="黑体" w:cs="黑体"/>
          <w:color w:val="000000"/>
          <w:sz w:val="32"/>
          <w:szCs w:val="24"/>
        </w:rPr>
        <w:t>一、财政拨款收入：</w:t>
      </w:r>
      <w:r>
        <w:rPr>
          <w:rFonts w:hint="eastAsia" w:ascii="仿宋_GB2312" w:hAnsi="仿宋_GB2312" w:eastAsia="仿宋_GB2312"/>
          <w:color w:val="000000"/>
          <w:sz w:val="32"/>
          <w:szCs w:val="24"/>
        </w:rPr>
        <w:t>指单位从同级财政部门取得的财政预算资金。</w:t>
      </w:r>
    </w:p>
    <w:p w14:paraId="2A474AC9">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二、事业收入：</w:t>
      </w:r>
      <w:r>
        <w:rPr>
          <w:rFonts w:hint="eastAsia" w:ascii="仿宋_GB2312" w:hAnsi="仿宋_GB2312" w:eastAsia="仿宋_GB2312"/>
          <w:color w:val="000000"/>
          <w:sz w:val="32"/>
          <w:szCs w:val="24"/>
          <w:highlight w:val="none"/>
        </w:rPr>
        <w:t>指事业单位开展专业业务活动及辅助活动取得的收入。</w:t>
      </w:r>
    </w:p>
    <w:p w14:paraId="27646F73">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三、经营收入：</w:t>
      </w:r>
      <w:r>
        <w:rPr>
          <w:rFonts w:hint="eastAsia" w:ascii="仿宋_GB2312" w:hAnsi="仿宋_GB2312" w:eastAsia="仿宋_GB2312"/>
          <w:color w:val="000000"/>
          <w:sz w:val="32"/>
          <w:szCs w:val="24"/>
          <w:highlight w:val="none"/>
        </w:rPr>
        <w:t>指事业单位在专业业务活动及其辅助活动之外开展非独立核算经营活动取得的收入。、</w:t>
      </w:r>
    </w:p>
    <w:p w14:paraId="6CCA0FBA">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四、其他收入：</w:t>
      </w:r>
      <w:r>
        <w:rPr>
          <w:rFonts w:hint="eastAsia" w:ascii="仿宋_GB2312" w:hAnsi="仿宋_GB2312" w:eastAsia="仿宋_GB2312"/>
          <w:color w:val="000000"/>
          <w:sz w:val="32"/>
          <w:szCs w:val="24"/>
          <w:highlight w:val="none"/>
        </w:rPr>
        <w:t>指单位取得的除上述收入以外的各项收入。</w:t>
      </w:r>
    </w:p>
    <w:p w14:paraId="01F97E02">
      <w:pPr>
        <w:pStyle w:val="15"/>
        <w:keepNext w:val="0"/>
        <w:keepLines w:val="0"/>
        <w:pageBreakBefore w:val="0"/>
        <w:widowControl w:val="0"/>
        <w:kinsoku/>
        <w:wordWrap/>
        <w:autoSpaceDE w:val="0"/>
        <w:autoSpaceDN w:val="0"/>
        <w:bidi w:val="0"/>
        <w:adjustRightInd w:val="0"/>
        <w:snapToGrid/>
        <w:spacing w:line="520" w:lineRule="exact"/>
        <w:ind w:firstLine="640" w:firstLineChars="200"/>
        <w:textAlignment w:val="auto"/>
        <w:rPr>
          <w:rFonts w:hint="eastAsia" w:ascii="仿宋_GB2312" w:eastAsia="仿宋_GB2312"/>
          <w:sz w:val="32"/>
          <w:szCs w:val="32"/>
          <w:highlight w:val="none"/>
        </w:rPr>
      </w:pPr>
      <w:r>
        <w:rPr>
          <w:rFonts w:hint="eastAsia" w:ascii="黑体" w:hAnsi="黑体" w:eastAsia="黑体" w:cs="黑体"/>
          <w:sz w:val="32"/>
          <w:szCs w:val="24"/>
          <w:highlight w:val="none"/>
        </w:rPr>
        <w:t>五、使用非财政拨款结余（含专用结余）：</w:t>
      </w:r>
      <w:r>
        <w:rPr>
          <w:rFonts w:hint="eastAsia" w:ascii="仿宋_GB2312" w:eastAsia="仿宋_GB2312"/>
          <w:sz w:val="32"/>
          <w:szCs w:val="32"/>
          <w:highlight w:val="none"/>
        </w:rPr>
        <w:t xml:space="preserve">指事业单位使用以前年度积累的非财政拨款结余弥补当年收支差额的金额。 </w:t>
      </w:r>
    </w:p>
    <w:p w14:paraId="0B020216">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六、年初结转和结余：</w:t>
      </w:r>
      <w:r>
        <w:rPr>
          <w:rFonts w:hint="eastAsia" w:ascii="仿宋_GB2312" w:hAnsi="仿宋_GB2312" w:eastAsia="仿宋_GB2312"/>
          <w:color w:val="000000"/>
          <w:sz w:val="32"/>
          <w:szCs w:val="24"/>
          <w:highlight w:val="none"/>
        </w:rPr>
        <w:t xml:space="preserve">指以前年度尚未完成、结转到本年按有关规定继续使用的资金。 </w:t>
      </w:r>
    </w:p>
    <w:p w14:paraId="6B096B20">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七、结余分配：</w:t>
      </w:r>
      <w:r>
        <w:rPr>
          <w:rFonts w:hint="eastAsia" w:ascii="仿宋_GB2312" w:hAnsi="仿宋_GB2312" w:eastAsia="仿宋_GB2312"/>
          <w:color w:val="000000"/>
          <w:sz w:val="32"/>
          <w:szCs w:val="24"/>
          <w:highlight w:val="none"/>
        </w:rPr>
        <w:t>指事业单位按照会计制度规定缴纳的所得税、提取的专用结余以及转入非财政拨款结余的金额等。</w:t>
      </w:r>
    </w:p>
    <w:p w14:paraId="1622B8C3">
      <w:pPr>
        <w:keepNext w:val="0"/>
        <w:keepLines w:val="0"/>
        <w:pageBreakBefore w:val="0"/>
        <w:widowControl w:val="0"/>
        <w:kinsoku/>
        <w:wordWrap/>
        <w:overflowPunct w:val="0"/>
        <w:topLinePunct/>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olor w:val="000000"/>
          <w:sz w:val="32"/>
          <w:szCs w:val="24"/>
          <w:highlight w:val="none"/>
        </w:rPr>
      </w:pPr>
      <w:r>
        <w:rPr>
          <w:rFonts w:hint="eastAsia" w:ascii="黑体" w:hAnsi="黑体" w:eastAsia="黑体" w:cs="黑体"/>
          <w:color w:val="000000"/>
          <w:sz w:val="32"/>
          <w:szCs w:val="24"/>
          <w:highlight w:val="none"/>
        </w:rPr>
        <w:t>八、年末结转和结余：</w:t>
      </w:r>
      <w:r>
        <w:rPr>
          <w:rFonts w:hint="eastAsia" w:ascii="仿宋_GB2312" w:hAnsi="仿宋_GB2312" w:eastAsia="仿宋_GB2312"/>
          <w:color w:val="000000"/>
          <w:sz w:val="32"/>
          <w:szCs w:val="24"/>
          <w:highlight w:val="none"/>
        </w:rPr>
        <w:t>指单位按有关规定结转到下年或以后年度继续使用的资金。</w:t>
      </w:r>
    </w:p>
    <w:p w14:paraId="660A6FD4">
      <w:pPr>
        <w:keepNext w:val="0"/>
        <w:keepLines w:val="0"/>
        <w:pageBreakBefore w:val="0"/>
        <w:widowControl w:val="0"/>
        <w:kinsoku/>
        <w:wordWrap/>
        <w:overflowPunct w:val="0"/>
        <w:autoSpaceDE w:val="0"/>
        <w:autoSpaceDN w:val="0"/>
        <w:bidi w:val="0"/>
        <w:adjustRightInd w:val="0"/>
        <w:snapToGrid/>
        <w:spacing w:beforeLines="0" w:afterLines="0" w:line="520" w:lineRule="exact"/>
        <w:ind w:firstLine="640" w:firstLineChars="200"/>
        <w:jc w:val="both"/>
        <w:textAlignment w:val="auto"/>
        <w:rPr>
          <w:rStyle w:val="12"/>
          <w:rFonts w:hint="eastAsia" w:ascii="仿宋_GB2312" w:hAnsi="仿宋_GB2312" w:eastAsia="仿宋_GB2312" w:cs="仿宋_GB2312"/>
          <w:b w:val="0"/>
          <w:color w:val="000000"/>
          <w:sz w:val="32"/>
          <w:szCs w:val="32"/>
        </w:rPr>
      </w:pPr>
      <w:r>
        <w:rPr>
          <w:rFonts w:hint="eastAsia" w:ascii="黑体" w:hAnsi="黑体" w:eastAsia="黑体" w:cs="黑体"/>
          <w:color w:val="000000"/>
          <w:sz w:val="32"/>
          <w:szCs w:val="24"/>
        </w:rPr>
        <w:t>九、一般公共服务（类）政府办公厅（室）及相关机构事务（款）行政运行（项）：</w:t>
      </w:r>
      <w:r>
        <w:rPr>
          <w:rStyle w:val="12"/>
          <w:rFonts w:hint="eastAsia" w:ascii="仿宋_GB2312" w:hAnsi="仿宋_GB2312" w:eastAsia="仿宋_GB2312" w:cs="仿宋_GB2312"/>
          <w:b w:val="0"/>
          <w:color w:val="000000"/>
          <w:sz w:val="32"/>
          <w:szCs w:val="32"/>
        </w:rPr>
        <w:t>指区委群工局的</w:t>
      </w:r>
      <w:r>
        <w:rPr>
          <w:rStyle w:val="12"/>
          <w:rFonts w:hint="eastAsia" w:ascii="仿宋_GB2312" w:hAnsi="仿宋_GB2312" w:eastAsia="仿宋_GB2312" w:cs="仿宋_GB2312"/>
          <w:b w:val="0"/>
          <w:color w:val="000000"/>
          <w:sz w:val="32"/>
          <w:szCs w:val="32"/>
          <w:lang w:val="en-US" w:eastAsia="zh-CN"/>
        </w:rPr>
        <w:t>信访事务</w:t>
      </w:r>
      <w:r>
        <w:rPr>
          <w:rStyle w:val="12"/>
          <w:rFonts w:hint="eastAsia" w:ascii="仿宋_GB2312" w:hAnsi="仿宋_GB2312" w:eastAsia="仿宋_GB2312" w:cs="仿宋_GB2312"/>
          <w:b w:val="0"/>
          <w:color w:val="000000"/>
          <w:sz w:val="32"/>
          <w:szCs w:val="32"/>
        </w:rPr>
        <w:t>支出。</w:t>
      </w:r>
    </w:p>
    <w:p w14:paraId="6F1CB143">
      <w:pPr>
        <w:pStyle w:val="2"/>
        <w:keepNext w:val="0"/>
        <w:keepLines w:val="0"/>
        <w:pageBreakBefore w:val="0"/>
        <w:widowControl w:val="0"/>
        <w:kinsoku/>
        <w:wordWrap/>
        <w:autoSpaceDE w:val="0"/>
        <w:autoSpaceDN w:val="0"/>
        <w:bidi w:val="0"/>
        <w:adjustRightInd w:val="0"/>
        <w:snapToGrid/>
        <w:spacing w:line="520" w:lineRule="exact"/>
        <w:ind w:firstLine="640" w:firstLineChars="200"/>
        <w:textAlignment w:val="auto"/>
        <w:rPr>
          <w:rFonts w:hint="eastAsia"/>
        </w:rPr>
      </w:pPr>
      <w:r>
        <w:rPr>
          <w:rFonts w:hint="eastAsia" w:ascii="黑体" w:hAnsi="黑体" w:eastAsia="黑体" w:cs="黑体"/>
          <w:color w:val="000000"/>
          <w:sz w:val="32"/>
          <w:szCs w:val="24"/>
          <w:lang w:val="en-US" w:eastAsia="zh-CN"/>
        </w:rPr>
        <w:t>十</w:t>
      </w:r>
      <w:r>
        <w:rPr>
          <w:rFonts w:hint="eastAsia" w:ascii="黑体" w:hAnsi="黑体" w:eastAsia="黑体" w:cs="黑体"/>
          <w:color w:val="000000"/>
          <w:sz w:val="32"/>
          <w:szCs w:val="24"/>
        </w:rPr>
        <w:t>、一般公共服务（类）</w:t>
      </w:r>
      <w:r>
        <w:rPr>
          <w:rFonts w:hint="eastAsia" w:ascii="黑体" w:hAnsi="黑体" w:eastAsia="黑体" w:cs="黑体"/>
          <w:color w:val="000000"/>
          <w:sz w:val="32"/>
          <w:szCs w:val="24"/>
          <w:lang w:val="en-US" w:eastAsia="zh-CN"/>
        </w:rPr>
        <w:t>党委</w:t>
      </w:r>
      <w:r>
        <w:rPr>
          <w:rFonts w:hint="eastAsia" w:ascii="黑体" w:hAnsi="黑体" w:eastAsia="黑体" w:cs="黑体"/>
          <w:color w:val="000000"/>
          <w:sz w:val="32"/>
          <w:szCs w:val="24"/>
        </w:rPr>
        <w:t>办公厅（室）及相关机构事务（款）行政运行（项）：</w:t>
      </w:r>
      <w:r>
        <w:rPr>
          <w:rStyle w:val="12"/>
          <w:rFonts w:hint="eastAsia" w:ascii="仿宋_GB2312" w:hAnsi="仿宋_GB2312" w:eastAsia="仿宋_GB2312" w:cs="仿宋_GB2312"/>
          <w:b w:val="0"/>
          <w:color w:val="000000"/>
          <w:sz w:val="32"/>
          <w:szCs w:val="32"/>
        </w:rPr>
        <w:t>指区委群工局的基本支出。</w:t>
      </w:r>
    </w:p>
    <w:p w14:paraId="4454929E">
      <w:pPr>
        <w:keepNext w:val="0"/>
        <w:keepLines w:val="0"/>
        <w:pageBreakBefore w:val="0"/>
        <w:widowControl w:val="0"/>
        <w:kinsoku/>
        <w:wordWrap/>
        <w:overflowPunct w:val="0"/>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24"/>
        </w:rPr>
        <w:t>十</w:t>
      </w:r>
      <w:r>
        <w:rPr>
          <w:rFonts w:hint="eastAsia" w:ascii="黑体" w:hAnsi="黑体" w:eastAsia="黑体" w:cs="黑体"/>
          <w:color w:val="000000"/>
          <w:sz w:val="32"/>
          <w:szCs w:val="24"/>
          <w:lang w:val="en-US" w:eastAsia="zh-CN"/>
        </w:rPr>
        <w:t>一</w:t>
      </w:r>
      <w:r>
        <w:rPr>
          <w:rFonts w:hint="eastAsia" w:ascii="黑体" w:hAnsi="黑体" w:eastAsia="黑体" w:cs="黑体"/>
          <w:color w:val="000000"/>
          <w:sz w:val="32"/>
          <w:szCs w:val="24"/>
        </w:rPr>
        <w:t>、社会保障和就业（类）行政事业单位养老支出（款）行政事业单位养老支出（项）：</w:t>
      </w:r>
      <w:r>
        <w:rPr>
          <w:rStyle w:val="12"/>
          <w:rFonts w:hint="eastAsia" w:ascii="仿宋_GB2312" w:hAnsi="仿宋_GB2312" w:eastAsia="仿宋_GB2312" w:cs="仿宋_GB2312"/>
          <w:b w:val="0"/>
          <w:color w:val="000000"/>
          <w:sz w:val="32"/>
          <w:szCs w:val="32"/>
        </w:rPr>
        <w:t>指区委</w:t>
      </w:r>
      <w:r>
        <w:rPr>
          <w:rStyle w:val="12"/>
          <w:rFonts w:hint="eastAsia" w:ascii="仿宋_GB2312" w:hAnsi="仿宋_GB2312" w:eastAsia="仿宋_GB2312" w:cs="仿宋_GB2312"/>
          <w:b w:val="0"/>
          <w:color w:val="000000"/>
          <w:sz w:val="32"/>
          <w:szCs w:val="32"/>
          <w:lang w:val="en-US" w:eastAsia="zh-CN"/>
        </w:rPr>
        <w:t>群工局</w:t>
      </w:r>
      <w:r>
        <w:rPr>
          <w:rStyle w:val="12"/>
          <w:rFonts w:hint="eastAsia" w:ascii="仿宋_GB2312" w:hAnsi="仿宋_GB2312" w:eastAsia="仿宋_GB2312" w:cs="仿宋_GB2312"/>
          <w:b w:val="0"/>
          <w:color w:val="000000"/>
          <w:sz w:val="32"/>
          <w:szCs w:val="32"/>
        </w:rPr>
        <w:t>为单位职工缴纳基本养老保险缴费支出。</w:t>
      </w:r>
    </w:p>
    <w:p w14:paraId="172E235C">
      <w:pPr>
        <w:keepNext w:val="0"/>
        <w:keepLines w:val="0"/>
        <w:pageBreakBefore w:val="0"/>
        <w:widowControl w:val="0"/>
        <w:kinsoku/>
        <w:wordWrap/>
        <w:overflowPunct w:val="0"/>
        <w:autoSpaceDE w:val="0"/>
        <w:autoSpaceDN w:val="0"/>
        <w:bidi w:val="0"/>
        <w:adjustRightInd w:val="0"/>
        <w:snapToGrid/>
        <w:spacing w:beforeLines="0" w:afterLines="0" w:line="520" w:lineRule="exact"/>
        <w:ind w:firstLine="640" w:firstLineChars="200"/>
        <w:jc w:val="both"/>
        <w:textAlignment w:val="auto"/>
        <w:rPr>
          <w:rStyle w:val="12"/>
          <w:rFonts w:hint="eastAsia" w:ascii="仿宋_GB2312" w:hAnsi="仿宋_GB2312" w:eastAsia="仿宋_GB2312" w:cs="仿宋_GB2312"/>
          <w:b w:val="0"/>
          <w:color w:val="000000"/>
          <w:sz w:val="32"/>
          <w:szCs w:val="32"/>
          <w:highlight w:val="yellow"/>
        </w:rPr>
      </w:pPr>
      <w:r>
        <w:rPr>
          <w:rFonts w:hint="eastAsia" w:ascii="黑体" w:hAnsi="黑体" w:eastAsia="黑体" w:cs="黑体"/>
          <w:color w:val="000000"/>
          <w:sz w:val="32"/>
          <w:szCs w:val="24"/>
        </w:rPr>
        <w:t>十</w:t>
      </w:r>
      <w:r>
        <w:rPr>
          <w:rFonts w:hint="eastAsia" w:ascii="黑体" w:hAnsi="黑体" w:eastAsia="黑体" w:cs="黑体"/>
          <w:color w:val="000000"/>
          <w:sz w:val="32"/>
          <w:szCs w:val="24"/>
          <w:lang w:val="en-US" w:eastAsia="zh-CN"/>
        </w:rPr>
        <w:t>二</w:t>
      </w:r>
      <w:r>
        <w:rPr>
          <w:rFonts w:hint="eastAsia" w:ascii="黑体" w:hAnsi="黑体" w:eastAsia="黑体" w:cs="黑体"/>
          <w:color w:val="000000"/>
          <w:sz w:val="32"/>
          <w:szCs w:val="24"/>
        </w:rPr>
        <w:t>、医疗卫生与计划生育（类）医疗卫生与计划生育支出（款）行政事业单位医疗（项）行政单位医疗：</w:t>
      </w:r>
      <w:r>
        <w:rPr>
          <w:rStyle w:val="12"/>
          <w:rFonts w:hint="eastAsia" w:ascii="仿宋_GB2312" w:hAnsi="仿宋_GB2312" w:eastAsia="仿宋_GB2312" w:cs="仿宋_GB2312"/>
          <w:b w:val="0"/>
          <w:color w:val="000000"/>
          <w:sz w:val="32"/>
          <w:szCs w:val="32"/>
        </w:rPr>
        <w:t>指区委</w:t>
      </w:r>
      <w:r>
        <w:rPr>
          <w:rStyle w:val="12"/>
          <w:rFonts w:hint="eastAsia" w:ascii="仿宋_GB2312" w:hAnsi="仿宋_GB2312" w:eastAsia="仿宋_GB2312" w:cs="仿宋_GB2312"/>
          <w:b w:val="0"/>
          <w:color w:val="000000"/>
          <w:sz w:val="32"/>
          <w:szCs w:val="32"/>
          <w:lang w:val="en-US" w:eastAsia="zh-CN"/>
        </w:rPr>
        <w:t>群工局</w:t>
      </w:r>
      <w:r>
        <w:rPr>
          <w:rStyle w:val="12"/>
          <w:rFonts w:hint="eastAsia" w:ascii="仿宋_GB2312" w:hAnsi="仿宋_GB2312" w:eastAsia="仿宋_GB2312" w:cs="仿宋_GB2312"/>
          <w:b w:val="0"/>
          <w:color w:val="000000"/>
          <w:sz w:val="32"/>
          <w:szCs w:val="32"/>
        </w:rPr>
        <w:t>为单位职工缴纳的医疗保险支出。</w:t>
      </w:r>
    </w:p>
    <w:p w14:paraId="3526A67F">
      <w:pPr>
        <w:keepNext w:val="0"/>
        <w:keepLines w:val="0"/>
        <w:pageBreakBefore w:val="0"/>
        <w:widowControl w:val="0"/>
        <w:kinsoku/>
        <w:wordWrap/>
        <w:overflowPunct w:val="0"/>
        <w:autoSpaceDE w:val="0"/>
        <w:autoSpaceDN w:val="0"/>
        <w:bidi w:val="0"/>
        <w:adjustRightInd w:val="0"/>
        <w:snapToGrid/>
        <w:spacing w:beforeLines="0" w:afterLines="0" w:line="52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24"/>
        </w:rPr>
        <w:t>十</w:t>
      </w:r>
      <w:r>
        <w:rPr>
          <w:rFonts w:hint="eastAsia" w:ascii="黑体" w:hAnsi="黑体" w:eastAsia="黑体" w:cs="黑体"/>
          <w:color w:val="000000"/>
          <w:sz w:val="32"/>
          <w:szCs w:val="24"/>
          <w:lang w:val="en-US" w:eastAsia="zh-CN"/>
        </w:rPr>
        <w:t>三</w:t>
      </w:r>
      <w:r>
        <w:rPr>
          <w:rFonts w:hint="eastAsia" w:ascii="黑体" w:hAnsi="黑体" w:eastAsia="黑体" w:cs="黑体"/>
          <w:color w:val="000000"/>
          <w:sz w:val="32"/>
          <w:szCs w:val="24"/>
        </w:rPr>
        <w:t>、住房保障支出（类）住房改革支出（款）住房公积金（项）：</w:t>
      </w:r>
      <w:r>
        <w:rPr>
          <w:rStyle w:val="12"/>
          <w:rFonts w:hint="eastAsia" w:ascii="仿宋_GB2312" w:hAnsi="仿宋_GB2312" w:eastAsia="仿宋_GB2312" w:cs="仿宋_GB2312"/>
          <w:b w:val="0"/>
          <w:color w:val="000000"/>
          <w:sz w:val="32"/>
          <w:szCs w:val="32"/>
        </w:rPr>
        <w:t>指区委</w:t>
      </w:r>
      <w:r>
        <w:rPr>
          <w:rStyle w:val="12"/>
          <w:rFonts w:hint="eastAsia" w:ascii="仿宋_GB2312" w:hAnsi="仿宋_GB2312" w:eastAsia="仿宋_GB2312" w:cs="仿宋_GB2312"/>
          <w:b w:val="0"/>
          <w:color w:val="000000"/>
          <w:sz w:val="32"/>
          <w:szCs w:val="32"/>
          <w:lang w:val="en-US" w:eastAsia="zh-CN"/>
        </w:rPr>
        <w:t>群工局</w:t>
      </w:r>
      <w:r>
        <w:rPr>
          <w:rStyle w:val="12"/>
          <w:rFonts w:hint="eastAsia" w:ascii="仿宋_GB2312" w:hAnsi="仿宋_GB2312" w:eastAsia="仿宋_GB2312" w:cs="仿宋_GB2312"/>
          <w:b w:val="0"/>
          <w:color w:val="000000"/>
          <w:sz w:val="32"/>
          <w:szCs w:val="32"/>
        </w:rPr>
        <w:t>为单位职工缴纳的住房公积金支出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rPr>
        <w:t xml:space="preserve"> </w:t>
      </w:r>
    </w:p>
    <w:p w14:paraId="62BB6813">
      <w:pPr>
        <w:pStyle w:val="15"/>
        <w:keepNext w:val="0"/>
        <w:keepLines w:val="0"/>
        <w:pageBreakBefore w:val="0"/>
        <w:widowControl w:val="0"/>
        <w:kinsoku/>
        <w:wordWrap/>
        <w:overflow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24"/>
        </w:rPr>
        <w:t>十</w:t>
      </w:r>
      <w:r>
        <w:rPr>
          <w:rFonts w:hint="eastAsia" w:ascii="黑体" w:hAnsi="黑体" w:eastAsia="黑体" w:cs="黑体"/>
          <w:sz w:val="32"/>
          <w:szCs w:val="24"/>
          <w:lang w:val="en-US" w:eastAsia="zh-CN"/>
        </w:rPr>
        <w:t>五</w:t>
      </w:r>
      <w:r>
        <w:rPr>
          <w:rFonts w:hint="eastAsia" w:ascii="黑体" w:hAnsi="黑体" w:eastAsia="黑体" w:cs="黑体"/>
          <w:sz w:val="32"/>
          <w:szCs w:val="24"/>
        </w:rPr>
        <w:t>、“三公”经费：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DE30BE">
      <w:pPr>
        <w:pStyle w:val="15"/>
        <w:keepNext w:val="0"/>
        <w:keepLines w:val="0"/>
        <w:pageBreakBefore w:val="0"/>
        <w:widowControl w:val="0"/>
        <w:kinsoku/>
        <w:wordWrap/>
        <w:overflow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24"/>
        </w:rPr>
        <w:t>十</w:t>
      </w:r>
      <w:r>
        <w:rPr>
          <w:rFonts w:hint="eastAsia" w:ascii="黑体" w:hAnsi="黑体" w:eastAsia="黑体" w:cs="黑体"/>
          <w:sz w:val="32"/>
          <w:szCs w:val="24"/>
          <w:lang w:val="en-US" w:eastAsia="zh-CN"/>
        </w:rPr>
        <w:t>六</w:t>
      </w:r>
      <w:r>
        <w:rPr>
          <w:rFonts w:hint="eastAsia" w:ascii="黑体" w:hAnsi="黑体" w:eastAsia="黑体" w:cs="黑体"/>
          <w:sz w:val="32"/>
          <w:szCs w:val="24"/>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6224F17">
      <w:pPr>
        <w:keepNext/>
        <w:keepLines/>
        <w:pageBreakBefore/>
        <w:widowControl w:val="0"/>
        <w:kinsoku/>
        <w:wordWrap/>
        <w:bidi w:val="0"/>
        <w:snapToGrid/>
        <w:spacing w:line="576" w:lineRule="exact"/>
        <w:jc w:val="center"/>
        <w:textAlignment w:val="auto"/>
        <w:rPr>
          <w:rFonts w:hint="eastAsia" w:ascii="方正小标宋简体" w:hAnsi="方正小标宋简体" w:eastAsia="方正小标宋简体" w:cs="方正小标宋简体"/>
          <w:color w:val="000000" w:themeColor="text1"/>
          <w:kern w:val="44"/>
          <w:sz w:val="44"/>
          <w:szCs w:val="24"/>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24"/>
          <w14:textFill>
            <w14:solidFill>
              <w14:schemeClr w14:val="tx1"/>
            </w14:solidFill>
          </w14:textFill>
        </w:rPr>
        <w:t>第</w:t>
      </w:r>
      <w:r>
        <w:rPr>
          <w:rFonts w:hint="eastAsia" w:ascii="方正小标宋简体" w:hAnsi="方正小标宋简体" w:eastAsia="方正小标宋简体" w:cs="方正小标宋简体"/>
          <w:color w:val="000000" w:themeColor="text1"/>
          <w:kern w:val="44"/>
          <w:sz w:val="44"/>
          <w:szCs w:val="24"/>
          <w14:textFill>
            <w14:solidFill>
              <w14:schemeClr w14:val="tx1"/>
            </w14:solidFill>
          </w14:textFill>
        </w:rPr>
        <w:t>四部分  附件</w:t>
      </w:r>
    </w:p>
    <w:p w14:paraId="1AA63568">
      <w:pPr>
        <w:widowControl w:val="0"/>
        <w:kinsoku/>
        <w:wordWrap/>
        <w:autoSpaceDE/>
        <w:autoSpaceDN/>
        <w:bidi w:val="0"/>
        <w:adjustRightInd/>
        <w:snapToGrid/>
        <w:spacing w:line="576" w:lineRule="exact"/>
        <w:jc w:val="center"/>
        <w:textAlignment w:val="auto"/>
        <w:rPr>
          <w:rStyle w:val="26"/>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75D5D00">
      <w:pPr>
        <w:widowControl w:val="0"/>
        <w:kinsoku/>
        <w:wordWrap/>
        <w:autoSpaceDE/>
        <w:autoSpaceDN/>
        <w:bidi w:val="0"/>
        <w:adjustRightInd/>
        <w:snapToGrid/>
        <w:spacing w:line="576" w:lineRule="exact"/>
        <w:jc w:val="center"/>
        <w:textAlignment w:val="auto"/>
        <w:rPr>
          <w:rStyle w:val="26"/>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Style w:val="26"/>
          <w:rFonts w:hint="eastAsia" w:ascii="方正小标宋简体" w:hAnsi="方正小标宋简体" w:eastAsia="方正小标宋简体" w:cs="方正小标宋简体"/>
          <w:color w:val="000000" w:themeColor="text1"/>
          <w:sz w:val="44"/>
          <w:szCs w:val="44"/>
          <w14:textFill>
            <w14:solidFill>
              <w14:schemeClr w14:val="tx1"/>
            </w14:solidFill>
          </w14:textFill>
        </w:rPr>
        <w:t>中共广元市昭化区委群众工作局</w:t>
      </w:r>
    </w:p>
    <w:p w14:paraId="76B4A32E">
      <w:pPr>
        <w:widowControl w:val="0"/>
        <w:kinsoku/>
        <w:wordWrap/>
        <w:bidi w:val="0"/>
        <w:snapToGrid/>
        <w:spacing w:line="576" w:lineRule="exact"/>
        <w:jc w:val="center"/>
        <w:textAlignment w:val="auto"/>
        <w:rPr>
          <w:rFonts w:hint="default" w:ascii="Times New Roman" w:eastAsia="方正小标宋简体"/>
          <w:color w:val="000000" w:themeColor="text1"/>
          <w:sz w:val="44"/>
          <w:szCs w:val="44"/>
          <w14:textFill>
            <w14:solidFill>
              <w14:schemeClr w14:val="tx1"/>
            </w14:solidFill>
          </w14:textFill>
        </w:rPr>
      </w:pPr>
      <w:r>
        <w:rPr>
          <w:rFonts w:hint="default" w:ascii="Times New Roman" w:hAnsi="Times New Roman" w:eastAsia="方正小标宋简体"/>
          <w:color w:val="000000" w:themeColor="text1"/>
          <w:sz w:val="44"/>
          <w:szCs w:val="44"/>
          <w14:textFill>
            <w14:solidFill>
              <w14:schemeClr w14:val="tx1"/>
            </w14:solidFill>
          </w14:textFill>
        </w:rPr>
        <w:t>202</w:t>
      </w:r>
      <w:r>
        <w:rPr>
          <w:rFonts w:hint="eastAsia" w:ascii="Times New Roman" w:hAnsi="Times New Roman" w:eastAsia="方正小标宋简体"/>
          <w:color w:val="000000" w:themeColor="text1"/>
          <w:sz w:val="44"/>
          <w:szCs w:val="44"/>
          <w14:textFill>
            <w14:solidFill>
              <w14:schemeClr w14:val="tx1"/>
            </w14:solidFill>
          </w14:textFill>
        </w:rPr>
        <w:t>3</w:t>
      </w:r>
      <w:r>
        <w:rPr>
          <w:rFonts w:hint="eastAsia" w:ascii="Times New Roman" w:eastAsia="方正小标宋简体"/>
          <w:color w:val="000000" w:themeColor="text1"/>
          <w:sz w:val="44"/>
          <w:szCs w:val="44"/>
          <w14:textFill>
            <w14:solidFill>
              <w14:schemeClr w14:val="tx1"/>
            </w14:solidFill>
          </w14:textFill>
        </w:rPr>
        <w:t>年部门整体支出绩效自评报告</w:t>
      </w:r>
    </w:p>
    <w:p w14:paraId="6D92C57E">
      <w:pPr>
        <w:widowControl w:val="0"/>
        <w:numPr>
          <w:ilvl w:val="0"/>
          <w:numId w:val="0"/>
        </w:numPr>
        <w:kinsoku/>
        <w:wordWrap/>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14:paraId="12771ECF">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一、单位概况</w:t>
      </w:r>
    </w:p>
    <w:p w14:paraId="72BCD9AF">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（一）机构组成</w:t>
      </w:r>
    </w:p>
    <w:p w14:paraId="48CFCAEA">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区委群工局是一级预算单位，下设</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个股室，分别是办公室、群众来访接待中心、督查督办复核股。</w:t>
      </w:r>
    </w:p>
    <w:p w14:paraId="120A382B">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（二）机构职能</w:t>
      </w:r>
    </w:p>
    <w:p w14:paraId="27DEEE01">
      <w:pPr>
        <w:keepNext w:val="0"/>
        <w:keepLines w:val="0"/>
        <w:pageBreakBefore w:val="0"/>
        <w:widowControl w:val="0"/>
        <w:numPr>
          <w:ilvl w:val="0"/>
          <w:numId w:val="1"/>
        </w:numPr>
        <w:kinsoku/>
        <w:wordWrap/>
        <w:overflowPunct w:val="0"/>
        <w:topLinePunct w:val="0"/>
        <w:autoSpaceDE/>
        <w:autoSpaceDN/>
        <w:bidi w:val="0"/>
        <w:adjustRightInd/>
        <w:snapToGrid/>
        <w:spacing w:line="576" w:lineRule="exact"/>
        <w:ind w:leftChars="0"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仿宋_GB2312" w:hAnsi="仿宋_GB2312" w:eastAsia="仿宋_GB2312" w:cs="仿宋_GB2312"/>
          <w:color w:val="000000" w:themeColor="text1"/>
          <w:sz w:val="32"/>
          <w:szCs w:val="32"/>
          <w14:textFill>
            <w14:solidFill>
              <w14:schemeClr w14:val="tx1"/>
            </w14:solidFill>
          </w14:textFill>
        </w:rPr>
        <w:t>负责处理区内给省、市、区领导的来信，接待群众来访，接听区长热线电话，并处理反映的有关问题；及时准确地向区委、区政府领导反映来信来访中提出的重要建议、意见和问题；综合分析信访信息，调查研究，提出制定有关政策的建议。</w:t>
      </w:r>
    </w:p>
    <w:p w14:paraId="6C711FEC">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2</w:t>
      </w:r>
      <w:r>
        <w:rPr>
          <w:rStyle w:val="19"/>
          <w:rFonts w:hint="eastAsia" w:ascii="仿宋_GB2312" w:hAnsi="仿宋_GB2312" w:eastAsia="仿宋_GB2312" w:cs="仿宋_GB2312"/>
          <w:color w:val="000000" w:themeColor="text1"/>
          <w:sz w:val="32"/>
          <w:szCs w:val="32"/>
          <w14:textFill>
            <w14:solidFill>
              <w14:schemeClr w14:val="tx1"/>
            </w14:solidFill>
          </w14:textFill>
        </w:rPr>
        <w:t>、承办党中央、国务院，省委、省政府，市委、市政府领导同志交办的群众工作和信访事项，督促检查领导同志对有关群众工作和信访批示的落实情况；向各乡镇和部门交办群众工作和信访事项，督促检查重要的群众信访事项的处理和落实；负责群众工作和信访案件的复查复核工作。</w:t>
      </w:r>
    </w:p>
    <w:p w14:paraId="052B999D">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3</w:t>
      </w:r>
      <w:r>
        <w:rPr>
          <w:rStyle w:val="19"/>
          <w:rFonts w:hint="eastAsia" w:ascii="仿宋_GB2312" w:hAnsi="仿宋_GB2312" w:eastAsia="仿宋_GB2312" w:cs="仿宋_GB2312"/>
          <w:color w:val="000000" w:themeColor="text1"/>
          <w:sz w:val="32"/>
          <w:szCs w:val="32"/>
          <w14:textFill>
            <w14:solidFill>
              <w14:schemeClr w14:val="tx1"/>
            </w14:solidFill>
          </w14:textFill>
        </w:rPr>
        <w:t>、协调处理跨县区和部门的重要群众工作和信访问题，协调处理群众集体到省委、省政府、市委、市政府上访和突发性群体事件。</w:t>
      </w:r>
    </w:p>
    <w:p w14:paraId="5032DACB">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4</w:t>
      </w:r>
      <w:r>
        <w:rPr>
          <w:rStyle w:val="19"/>
          <w:rFonts w:hint="eastAsia" w:ascii="仿宋_GB2312" w:hAnsi="仿宋_GB2312" w:eastAsia="仿宋_GB2312" w:cs="仿宋_GB2312"/>
          <w:color w:val="000000" w:themeColor="text1"/>
          <w:sz w:val="32"/>
          <w:szCs w:val="32"/>
          <w14:textFill>
            <w14:solidFill>
              <w14:schemeClr w14:val="tx1"/>
            </w14:solidFill>
          </w14:textFill>
        </w:rPr>
        <w:t>、检查、指导、协调全区群众和信访工作，负责全区信访信息系统的建设；研究起草全区群众信访工作规范性文件，总结推广各地各部门群众信访工作的经验，提出加强和改进群众信访工作的意见和建议，通报重大群众信访问题及事件。</w:t>
      </w:r>
    </w:p>
    <w:p w14:paraId="4D0F869E">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5</w:t>
      </w:r>
      <w:r>
        <w:rPr>
          <w:rStyle w:val="19"/>
          <w:rFonts w:hint="eastAsia" w:ascii="仿宋_GB2312" w:hAnsi="仿宋_GB2312" w:eastAsia="仿宋_GB2312" w:cs="仿宋_GB2312"/>
          <w:color w:val="000000" w:themeColor="text1"/>
          <w:sz w:val="32"/>
          <w:szCs w:val="32"/>
          <w14:textFill>
            <w14:solidFill>
              <w14:schemeClr w14:val="tx1"/>
            </w14:solidFill>
          </w14:textFill>
        </w:rPr>
        <w:t>、保证信访渠道畅通，负责协调区领导接待群众来访和包案处理信访案件，负责联系区党代表、区人大代表和区政协委员定期参与接待群众来访工作。</w:t>
      </w:r>
    </w:p>
    <w:p w14:paraId="3C1B3456">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6</w:t>
      </w:r>
      <w:r>
        <w:rPr>
          <w:rStyle w:val="19"/>
          <w:rFonts w:hint="eastAsia" w:ascii="仿宋_GB2312" w:hAnsi="仿宋_GB2312" w:eastAsia="仿宋_GB2312" w:cs="仿宋_GB2312"/>
          <w:color w:val="000000" w:themeColor="text1"/>
          <w:sz w:val="32"/>
          <w:szCs w:val="32"/>
          <w14:textFill>
            <w14:solidFill>
              <w14:schemeClr w14:val="tx1"/>
            </w14:solidFill>
          </w14:textFill>
        </w:rPr>
        <w:t>、协调处理赴京、到省、到市非正常上访工作。</w:t>
      </w:r>
    </w:p>
    <w:p w14:paraId="5721BC28">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7</w:t>
      </w:r>
      <w:r>
        <w:rPr>
          <w:rStyle w:val="19"/>
          <w:rFonts w:hint="eastAsia" w:ascii="仿宋_GB2312" w:hAnsi="仿宋_GB2312" w:eastAsia="仿宋_GB2312" w:cs="仿宋_GB2312"/>
          <w:color w:val="000000" w:themeColor="text1"/>
          <w:sz w:val="32"/>
          <w:szCs w:val="32"/>
          <w14:textFill>
            <w14:solidFill>
              <w14:schemeClr w14:val="tx1"/>
            </w14:solidFill>
          </w14:textFill>
        </w:rPr>
        <w:t>、负责处理全区信访工作联席会议综合协调和日常性工作。</w:t>
      </w:r>
    </w:p>
    <w:p w14:paraId="4BF22C5D">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Style w:val="19"/>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8</w:t>
      </w:r>
      <w:r>
        <w:rPr>
          <w:rStyle w:val="19"/>
          <w:rFonts w:hint="eastAsia" w:ascii="仿宋_GB2312" w:hAnsi="仿宋_GB2312" w:eastAsia="仿宋_GB2312" w:cs="仿宋_GB2312"/>
          <w:color w:val="000000" w:themeColor="text1"/>
          <w:sz w:val="32"/>
          <w:szCs w:val="32"/>
          <w14:textFill>
            <w14:solidFill>
              <w14:schemeClr w14:val="tx1"/>
            </w14:solidFill>
          </w14:textFill>
        </w:rPr>
        <w:t>、负责区群众来访接待中心建设和日常管理工作。</w:t>
      </w:r>
    </w:p>
    <w:p w14:paraId="2316CA10">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19"/>
          <w:rFonts w:hint="eastAsia" w:ascii="Times New Roman" w:hAnsi="Times New Roman" w:eastAsia="仿宋_GB2312" w:cs="仿宋_GB2312"/>
          <w:color w:val="000000" w:themeColor="text1"/>
          <w:sz w:val="32"/>
          <w:szCs w:val="32"/>
          <w14:textFill>
            <w14:solidFill>
              <w14:schemeClr w14:val="tx1"/>
            </w14:solidFill>
          </w14:textFill>
        </w:rPr>
        <w:t>9</w:t>
      </w:r>
      <w:r>
        <w:rPr>
          <w:rStyle w:val="19"/>
          <w:rFonts w:hint="eastAsia" w:ascii="仿宋_GB2312" w:hAnsi="仿宋_GB2312" w:eastAsia="仿宋_GB2312" w:cs="仿宋_GB2312"/>
          <w:color w:val="000000" w:themeColor="text1"/>
          <w:sz w:val="32"/>
          <w:szCs w:val="32"/>
          <w14:textFill>
            <w14:solidFill>
              <w14:schemeClr w14:val="tx1"/>
            </w14:solidFill>
          </w14:textFill>
        </w:rPr>
        <w:t>、承办区委、区政府交办的其他事项。</w:t>
      </w:r>
    </w:p>
    <w:p w14:paraId="038883F8">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（三）人员概况</w:t>
      </w:r>
    </w:p>
    <w:p w14:paraId="6953D591">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单位共有编制</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人，其中：行政编制</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人，事业编制</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人。截止到</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年年末实有在职编制内人员</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人，其中：行政人员</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人、事业人员</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人，均为财政全额供养人员。全局退休</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人，均为行政人员。</w:t>
      </w:r>
    </w:p>
    <w:p w14:paraId="358666BB">
      <w:pPr>
        <w:keepNext w:val="0"/>
        <w:keepLines w:val="0"/>
        <w:pageBreakBefore w:val="0"/>
        <w:widowControl w:val="0"/>
        <w:kinsoku/>
        <w:wordWrap/>
        <w:overflowPunct w:val="0"/>
        <w:topLinePunct w:val="0"/>
        <w:bidi w:val="0"/>
        <w:snapToGrid/>
        <w:spacing w:line="576" w:lineRule="exact"/>
        <w:ind w:leftChars="0" w:firstLine="640" w:firstLineChars="200"/>
        <w:jc w:val="both"/>
        <w:textAlignment w:val="auto"/>
        <w:rPr>
          <w:rFonts w:hint="eastAsia" w:ascii="黑体" w:hAnsi="黑体" w:eastAsia="黑体"/>
          <w:color w:val="000000" w:themeColor="text1"/>
          <w:sz w:val="32"/>
          <w:szCs w:val="24"/>
          <w14:textFill>
            <w14:solidFill>
              <w14:schemeClr w14:val="tx1"/>
            </w14:solidFill>
          </w14:textFill>
        </w:rPr>
      </w:pPr>
      <w:r>
        <w:rPr>
          <w:rFonts w:hint="eastAsia" w:ascii="黑体" w:hAnsi="黑体" w:eastAsia="黑体"/>
          <w:color w:val="000000" w:themeColor="text1"/>
          <w:sz w:val="32"/>
          <w:szCs w:val="24"/>
          <w14:textFill>
            <w14:solidFill>
              <w14:schemeClr w14:val="tx1"/>
            </w14:solidFill>
          </w14:textFill>
        </w:rPr>
        <w:t>二、部门资金收支情况</w:t>
      </w:r>
    </w:p>
    <w:p w14:paraId="0D3C365E">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（一）收入情况。</w:t>
      </w:r>
    </w:p>
    <w:p w14:paraId="633FE234">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 w:hAnsi="仿宋"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年一般公共预算收入</w:t>
      </w:r>
      <w:r>
        <w:rPr>
          <w:rFonts w:hint="eastAsia" w:ascii="Times New Roman" w:hAnsi="Times New Roman" w:eastAsia="仿宋_GB2312" w:cs="仿宋_GB2312"/>
          <w:color w:val="000000" w:themeColor="text1"/>
          <w:sz w:val="32"/>
          <w:szCs w:val="32"/>
          <w14:textFill>
            <w14:solidFill>
              <w14:schemeClr w14:val="tx1"/>
            </w14:solidFill>
          </w14:textFill>
        </w:rPr>
        <w:t>223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05</w:t>
      </w:r>
      <w:r>
        <w:rPr>
          <w:rFonts w:hint="eastAsia" w:ascii="仿宋_GB2312" w:hAnsi="仿宋_GB2312" w:eastAsia="仿宋_GB2312" w:cs="仿宋_GB2312"/>
          <w:color w:val="000000" w:themeColor="text1"/>
          <w:sz w:val="32"/>
          <w:szCs w:val="32"/>
          <w14:textFill>
            <w14:solidFill>
              <w14:schemeClr w14:val="tx1"/>
            </w14:solidFill>
          </w14:textFill>
        </w:rPr>
        <w:t>万元。预算人员经费</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133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52</w:t>
      </w:r>
      <w:r>
        <w:rPr>
          <w:rFonts w:hint="eastAsia" w:ascii="仿宋_GB2312" w:hAnsi="仿宋_GB2312" w:eastAsia="仿宋_GB2312" w:cs="仿宋_GB2312"/>
          <w:color w:val="000000" w:themeColor="text1"/>
          <w:sz w:val="32"/>
          <w:szCs w:val="32"/>
          <w14:textFill>
            <w14:solidFill>
              <w14:schemeClr w14:val="tx1"/>
            </w14:solidFill>
          </w14:textFill>
        </w:rPr>
        <w:t>万元，占预算收入的</w:t>
      </w:r>
      <w:r>
        <w:rPr>
          <w:rFonts w:hint="eastAsia" w:ascii="Times New Roman" w:hAnsi="Times New Roman" w:eastAsia="仿宋_GB2312" w:cs="仿宋_GB2312"/>
          <w:color w:val="000000" w:themeColor="text1"/>
          <w:sz w:val="32"/>
          <w:szCs w:val="32"/>
          <w14:textFill>
            <w14:solidFill>
              <w14:schemeClr w14:val="tx1"/>
            </w14:solidFill>
          </w14:textFill>
        </w:rPr>
        <w:t>59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86</w:t>
      </w:r>
      <w:r>
        <w:rPr>
          <w:rFonts w:hint="eastAsia" w:ascii="仿宋_GB2312" w:hAnsi="仿宋_GB2312" w:eastAsia="仿宋_GB2312" w:cs="仿宋_GB2312"/>
          <w:color w:val="000000" w:themeColor="text1"/>
          <w:sz w:val="32"/>
          <w:szCs w:val="32"/>
          <w14:textFill>
            <w14:solidFill>
              <w14:schemeClr w14:val="tx1"/>
            </w14:solidFill>
          </w14:textFill>
        </w:rPr>
        <w:t>%，预算日常公用经费</w:t>
      </w:r>
      <w:r>
        <w:rPr>
          <w:rFonts w:hint="eastAsia" w:ascii="Times New Roman" w:hAnsi="Times New Roman" w:eastAsia="仿宋_GB2312" w:cs="仿宋_GB2312"/>
          <w:color w:val="000000" w:themeColor="text1"/>
          <w:sz w:val="32"/>
          <w:szCs w:val="32"/>
          <w14:textFill>
            <w14:solidFill>
              <w14:schemeClr w14:val="tx1"/>
            </w14:solidFill>
          </w14:textFill>
        </w:rPr>
        <w:t>89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53</w:t>
      </w:r>
      <w:r>
        <w:rPr>
          <w:rFonts w:hint="eastAsia" w:ascii="仿宋_GB2312" w:hAnsi="仿宋_GB2312" w:eastAsia="仿宋_GB2312" w:cs="仿宋_GB2312"/>
          <w:color w:val="000000" w:themeColor="text1"/>
          <w:sz w:val="32"/>
          <w:szCs w:val="32"/>
          <w14:textFill>
            <w14:solidFill>
              <w14:schemeClr w14:val="tx1"/>
            </w14:solidFill>
          </w14:textFill>
        </w:rPr>
        <w:t>万元，占预算收入的</w:t>
      </w:r>
      <w:r>
        <w:rPr>
          <w:rFonts w:hint="eastAsia" w:ascii="Times New Roman" w:hAnsi="Times New Roman" w:eastAsia="仿宋_GB2312" w:cs="仿宋_GB2312"/>
          <w:color w:val="000000" w:themeColor="text1"/>
          <w:sz w:val="32"/>
          <w:szCs w:val="32"/>
          <w14:textFill>
            <w14:solidFill>
              <w14:schemeClr w14:val="tx1"/>
            </w14:solidFill>
          </w14:textFill>
        </w:rPr>
        <w:t>40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2023</w:t>
      </w:r>
      <w:r>
        <w:rPr>
          <w:rFonts w:hint="eastAsia" w:ascii="仿宋" w:hAnsi="仿宋" w:eastAsia="仿宋_GB2312"/>
          <w:color w:val="000000" w:themeColor="text1"/>
          <w:sz w:val="32"/>
          <w:szCs w:val="32"/>
          <w14:textFill>
            <w14:solidFill>
              <w14:schemeClr w14:val="tx1"/>
            </w14:solidFill>
          </w14:textFill>
        </w:rPr>
        <w:t>年一般公共预算决算收入</w:t>
      </w:r>
      <w:r>
        <w:rPr>
          <w:rFonts w:hint="eastAsia" w:ascii="Times New Roman" w:hAnsi="Times New Roman" w:eastAsia="仿宋_GB2312"/>
          <w:color w:val="000000" w:themeColor="text1"/>
          <w:sz w:val="32"/>
          <w:szCs w:val="32"/>
          <w14:textFill>
            <w14:solidFill>
              <w14:schemeClr w14:val="tx1"/>
            </w14:solidFill>
          </w14:textFill>
        </w:rPr>
        <w:t>223</w:t>
      </w:r>
      <w:r>
        <w:rPr>
          <w:rFonts w:hint="eastAsia" w:ascii="仿宋" w:hAnsi="仿宋"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05</w:t>
      </w:r>
      <w:r>
        <w:rPr>
          <w:rFonts w:hint="eastAsia" w:ascii="仿宋" w:hAnsi="仿宋" w:eastAsia="仿宋_GB2312"/>
          <w:color w:val="000000" w:themeColor="text1"/>
          <w:sz w:val="32"/>
          <w:szCs w:val="32"/>
          <w14:textFill>
            <w14:solidFill>
              <w14:schemeClr w14:val="tx1"/>
            </w14:solidFill>
          </w14:textFill>
        </w:rPr>
        <w:t>万元。</w:t>
      </w:r>
    </w:p>
    <w:p w14:paraId="089161C7">
      <w:pPr>
        <w:keepNext w:val="0"/>
        <w:keepLines w:val="0"/>
        <w:pageBreakBefore w:val="0"/>
        <w:widowControl w:val="0"/>
        <w:kinsoku/>
        <w:wordWrap/>
        <w:overflowPunct w:val="0"/>
        <w:topLinePunct w:val="0"/>
        <w:bidi w:val="0"/>
        <w:snapToGrid/>
        <w:spacing w:line="576" w:lineRule="exact"/>
        <w:ind w:leftChars="0" w:firstLine="640" w:firstLineChars="200"/>
        <w:jc w:val="both"/>
        <w:textAlignment w:val="auto"/>
        <w:rPr>
          <w:rFonts w:hint="eastAsia" w:ascii="楷体_GB2312" w:hAnsi="楷体_GB2312" w:eastAsia="楷体_GB2312"/>
          <w:b/>
          <w:color w:val="000000" w:themeColor="text1"/>
          <w:sz w:val="32"/>
          <w:szCs w:val="24"/>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（二）支出情况。</w:t>
      </w:r>
    </w:p>
    <w:p w14:paraId="07FDF41E">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2023</w:t>
      </w:r>
      <w:r>
        <w:rPr>
          <w:rFonts w:hint="eastAsia" w:ascii="仿宋" w:hAnsi="仿宋" w:eastAsia="仿宋_GB2312"/>
          <w:color w:val="000000" w:themeColor="text1"/>
          <w:sz w:val="32"/>
          <w:szCs w:val="32"/>
          <w14:textFill>
            <w14:solidFill>
              <w14:schemeClr w14:val="tx1"/>
            </w14:solidFill>
          </w14:textFill>
        </w:rPr>
        <w:t>年一般公共预算财政拨款支出</w:t>
      </w:r>
      <w:r>
        <w:rPr>
          <w:rFonts w:hint="eastAsia" w:ascii="Times New Roman" w:hAnsi="Times New Roman" w:eastAsia="仿宋_GB2312"/>
          <w:color w:val="000000" w:themeColor="text1"/>
          <w:sz w:val="32"/>
          <w:szCs w:val="32"/>
          <w14:textFill>
            <w14:solidFill>
              <w14:schemeClr w14:val="tx1"/>
            </w14:solidFill>
          </w14:textFill>
        </w:rPr>
        <w:t>223</w:t>
      </w:r>
      <w:r>
        <w:rPr>
          <w:rFonts w:hint="eastAsia" w:ascii="仿宋" w:hAnsi="仿宋"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05</w:t>
      </w:r>
      <w:r>
        <w:rPr>
          <w:rFonts w:hint="eastAsia" w:ascii="仿宋" w:hAnsi="仿宋" w:eastAsia="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14:textFill>
            <w14:solidFill>
              <w14:schemeClr w14:val="tx1"/>
            </w14:solidFill>
          </w14:textFill>
        </w:rPr>
        <w:t>其中工资和福利支出</w:t>
      </w:r>
      <w:r>
        <w:rPr>
          <w:rFonts w:hint="eastAsia" w:ascii="Times New Roman" w:hAnsi="Times New Roman" w:eastAsia="仿宋_GB2312" w:cs="仿宋_GB2312"/>
          <w:color w:val="000000" w:themeColor="text1"/>
          <w:sz w:val="32"/>
          <w:szCs w:val="32"/>
          <w14:textFill>
            <w14:solidFill>
              <w14:schemeClr w14:val="tx1"/>
            </w14:solidFill>
          </w14:textFill>
        </w:rPr>
        <w:t>133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52</w:t>
      </w:r>
      <w:r>
        <w:rPr>
          <w:rFonts w:hint="eastAsia" w:ascii="仿宋_GB2312" w:hAnsi="仿宋_GB2312" w:eastAsia="仿宋_GB2312" w:cs="仿宋_GB2312"/>
          <w:color w:val="000000" w:themeColor="text1"/>
          <w:sz w:val="32"/>
          <w:szCs w:val="32"/>
          <w14:textFill>
            <w14:solidFill>
              <w14:schemeClr w14:val="tx1"/>
            </w14:solidFill>
          </w14:textFill>
        </w:rPr>
        <w:t>万元，占支出的</w:t>
      </w:r>
      <w:r>
        <w:rPr>
          <w:rFonts w:hint="eastAsia" w:ascii="Times New Roman" w:hAnsi="Times New Roman" w:eastAsia="仿宋_GB2312" w:cs="仿宋_GB2312"/>
          <w:color w:val="000000" w:themeColor="text1"/>
          <w:sz w:val="32"/>
          <w:szCs w:val="32"/>
          <w14:textFill>
            <w14:solidFill>
              <w14:schemeClr w14:val="tx1"/>
            </w14:solidFill>
          </w14:textFill>
        </w:rPr>
        <w:t>59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86</w:t>
      </w:r>
      <w:r>
        <w:rPr>
          <w:rFonts w:hint="eastAsia" w:ascii="仿宋_GB2312" w:hAnsi="仿宋_GB2312" w:eastAsia="仿宋_GB2312" w:cs="仿宋_GB2312"/>
          <w:color w:val="000000" w:themeColor="text1"/>
          <w:sz w:val="32"/>
          <w:szCs w:val="32"/>
          <w14:textFill>
            <w14:solidFill>
              <w14:schemeClr w14:val="tx1"/>
            </w14:solidFill>
          </w14:textFill>
        </w:rPr>
        <w:t>%，商品和服务支出</w:t>
      </w:r>
      <w:r>
        <w:rPr>
          <w:rFonts w:hint="eastAsia" w:ascii="Times New Roman" w:hAnsi="Times New Roman" w:eastAsia="仿宋_GB2312" w:cs="仿宋_GB2312"/>
          <w:color w:val="000000" w:themeColor="text1"/>
          <w:sz w:val="32"/>
          <w:szCs w:val="32"/>
          <w14:textFill>
            <w14:solidFill>
              <w14:schemeClr w14:val="tx1"/>
            </w14:solidFill>
          </w14:textFill>
        </w:rPr>
        <w:t>89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53</w:t>
      </w:r>
      <w:r>
        <w:rPr>
          <w:rFonts w:hint="eastAsia" w:ascii="仿宋_GB2312" w:hAnsi="仿宋_GB2312" w:eastAsia="仿宋_GB2312" w:cs="仿宋_GB2312"/>
          <w:color w:val="000000" w:themeColor="text1"/>
          <w:sz w:val="32"/>
          <w:szCs w:val="32"/>
          <w14:textFill>
            <w14:solidFill>
              <w14:schemeClr w14:val="tx1"/>
            </w14:solidFill>
          </w14:textFill>
        </w:rPr>
        <w:t>万元，占支出的</w:t>
      </w:r>
      <w:r>
        <w:rPr>
          <w:rFonts w:hint="eastAsia" w:ascii="Times New Roman" w:hAnsi="Times New Roman" w:eastAsia="仿宋_GB2312" w:cs="仿宋_GB2312"/>
          <w:color w:val="000000" w:themeColor="text1"/>
          <w:sz w:val="32"/>
          <w:szCs w:val="32"/>
          <w14:textFill>
            <w14:solidFill>
              <w14:schemeClr w14:val="tx1"/>
            </w14:solidFill>
          </w14:textFill>
        </w:rPr>
        <w:t>40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%，（其中三公经费支出</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95</w:t>
      </w:r>
      <w:r>
        <w:rPr>
          <w:rFonts w:hint="eastAsia" w:ascii="仿宋_GB2312" w:hAnsi="仿宋_GB2312" w:eastAsia="仿宋_GB2312" w:cs="仿宋_GB2312"/>
          <w:color w:val="000000" w:themeColor="text1"/>
          <w:sz w:val="32"/>
          <w:szCs w:val="32"/>
          <w14:textFill>
            <w14:solidFill>
              <w14:schemeClr w14:val="tx1"/>
            </w14:solidFill>
          </w14:textFill>
        </w:rPr>
        <w:t>万元，占商品和服务支出的</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%）。对个人和家庭的补助支出</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万元，占支出的</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68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年度预算调整追加项目经费信访维稳工作经费</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万元，追加特殊疑难信访资金</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万元，追加正常工资晋升</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88</w:t>
      </w:r>
      <w:r>
        <w:rPr>
          <w:rFonts w:hint="eastAsia" w:ascii="仿宋_GB2312" w:hAnsi="仿宋_GB2312" w:eastAsia="仿宋_GB2312" w:cs="仿宋_GB2312"/>
          <w:color w:val="000000" w:themeColor="text1"/>
          <w:sz w:val="32"/>
          <w:szCs w:val="32"/>
          <w14:textFill>
            <w14:solidFill>
              <w14:schemeClr w14:val="tx1"/>
            </w14:solidFill>
          </w14:textFill>
        </w:rPr>
        <w:t>万元，合计决算财政拨款支出</w:t>
      </w:r>
      <w:r>
        <w:rPr>
          <w:rFonts w:hint="eastAsia" w:ascii="Times New Roman" w:hAnsi="Times New Roman" w:eastAsia="仿宋_GB2312" w:cs="仿宋_GB2312"/>
          <w:color w:val="000000" w:themeColor="text1"/>
          <w:sz w:val="32"/>
          <w:szCs w:val="32"/>
          <w14:textFill>
            <w14:solidFill>
              <w14:schemeClr w14:val="tx1"/>
            </w14:solidFill>
          </w14:textFill>
        </w:rPr>
        <w:t>223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05</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4E56ED08">
      <w:pPr>
        <w:keepNext w:val="0"/>
        <w:keepLines w:val="0"/>
        <w:pageBreakBefore w:val="0"/>
        <w:widowControl w:val="0"/>
        <w:kinsoku/>
        <w:wordWrap/>
        <w:overflowPunct w:val="0"/>
        <w:topLinePunct w:val="0"/>
        <w:bidi w:val="0"/>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（三）结余分配和结转结余情况。</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年本年度无结转结余资金。</w:t>
      </w:r>
    </w:p>
    <w:p w14:paraId="7626893D">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黑体" w:hAnsi="黑体" w:eastAsia="黑体"/>
          <w:color w:val="000000" w:themeColor="text1"/>
          <w:sz w:val="32"/>
          <w:szCs w:val="24"/>
          <w14:textFill>
            <w14:solidFill>
              <w14:schemeClr w14:val="tx1"/>
            </w14:solidFill>
          </w14:textFill>
        </w:rPr>
      </w:pPr>
      <w:r>
        <w:rPr>
          <w:rFonts w:hint="eastAsia" w:ascii="黑体" w:hAnsi="黑体" w:eastAsia="黑体"/>
          <w:color w:val="000000" w:themeColor="text1"/>
          <w:sz w:val="32"/>
          <w:szCs w:val="24"/>
          <w14:textFill>
            <w14:solidFill>
              <w14:schemeClr w14:val="tx1"/>
            </w14:solidFill>
          </w14:textFill>
        </w:rPr>
        <w:t>三、部门预算绩效分析</w:t>
      </w:r>
    </w:p>
    <w:p w14:paraId="16359C91">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Times New Roman"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14:textFill>
            <w14:solidFill>
              <w14:schemeClr w14:val="tx1"/>
            </w14:solidFill>
          </w14:textFill>
        </w:rPr>
        <w:t>（一）部门预算总体绩效分析。</w:t>
      </w:r>
      <w:r>
        <w:rPr>
          <w:rFonts w:hint="eastAsia" w:ascii="仿宋_GB2312" w:hAnsi="仿宋_GB2312" w:eastAsia="仿宋_GB2312" w:cs="仿宋_GB2312"/>
          <w:color w:val="000000" w:themeColor="text1"/>
          <w:sz w:val="32"/>
          <w:szCs w:val="32"/>
          <w14:textFill>
            <w14:solidFill>
              <w14:schemeClr w14:val="tx1"/>
            </w14:solidFill>
          </w14:textFill>
        </w:rPr>
        <w:t>本单位绩效目标编制要素完整的，绩效指标细化量化的准确，绩效目标纳入本单位局长办公会研究决策。</w:t>
      </w:r>
      <w:r>
        <w:rPr>
          <w:rFonts w:hint="eastAsia" w:ascii="Times New Roman" w:eastAsia="仿宋_GB2312"/>
          <w:color w:val="000000" w:themeColor="text1"/>
          <w:sz w:val="32"/>
          <w:szCs w:val="32"/>
          <w14:textFill>
            <w14:solidFill>
              <w14:schemeClr w14:val="tx1"/>
            </w14:solidFill>
          </w14:textFill>
        </w:rPr>
        <w:t>成本指标中的人员经费到监控之日完成</w:t>
      </w:r>
      <w:r>
        <w:rPr>
          <w:rFonts w:hint="eastAsia" w:ascii="Times New Roman" w:hAnsi="Times New Roman" w:eastAsia="仿宋_GB2312"/>
          <w:color w:val="000000" w:themeColor="text1"/>
          <w:sz w:val="32"/>
          <w:szCs w:val="32"/>
          <w14:textFill>
            <w14:solidFill>
              <w14:schemeClr w14:val="tx1"/>
            </w14:solidFill>
          </w14:textFill>
        </w:rPr>
        <w:t>45</w:t>
      </w:r>
      <w:r>
        <w:rPr>
          <w:rFonts w:hint="eastAsia" w:asci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69</w:t>
      </w:r>
      <w:r>
        <w:rPr>
          <w:rFonts w:hint="eastAsia" w:ascii="Times New Roman" w:eastAsia="仿宋_GB2312"/>
          <w:color w:val="000000" w:themeColor="text1"/>
          <w:sz w:val="32"/>
          <w:szCs w:val="32"/>
          <w14:textFill>
            <w14:solidFill>
              <w14:schemeClr w14:val="tx1"/>
            </w14:solidFill>
          </w14:textFill>
        </w:rPr>
        <w:t>%，日常公用经费到监控之日完成</w:t>
      </w:r>
      <w:r>
        <w:rPr>
          <w:rFonts w:hint="eastAsia" w:ascii="Times New Roman" w:hAnsi="Times New Roman" w:eastAsia="仿宋_GB2312"/>
          <w:color w:val="000000" w:themeColor="text1"/>
          <w:sz w:val="32"/>
          <w:szCs w:val="32"/>
          <w14:textFill>
            <w14:solidFill>
              <w14:schemeClr w14:val="tx1"/>
            </w14:solidFill>
          </w14:textFill>
        </w:rPr>
        <w:t>69</w:t>
      </w:r>
      <w:r>
        <w:rPr>
          <w:rFonts w:hint="eastAsia" w:asci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86</w:t>
      </w:r>
      <w:r>
        <w:rPr>
          <w:rFonts w:hint="eastAsia" w:ascii="Times New Roman" w:eastAsia="仿宋_GB2312"/>
          <w:color w:val="000000" w:themeColor="text1"/>
          <w:sz w:val="32"/>
          <w:szCs w:val="32"/>
          <w14:textFill>
            <w14:solidFill>
              <w14:schemeClr w14:val="tx1"/>
            </w14:solidFill>
          </w14:textFill>
        </w:rPr>
        <w:t>%；质量指标到监控之日，平台覆盖率和信箱覆盖率达到</w:t>
      </w:r>
      <w:r>
        <w:rPr>
          <w:rFonts w:hint="eastAsia" w:ascii="Times New Roman" w:hAnsi="Times New Roman" w:eastAsia="仿宋_GB2312"/>
          <w:color w:val="000000" w:themeColor="text1"/>
          <w:sz w:val="32"/>
          <w:szCs w:val="32"/>
          <w14:textFill>
            <w14:solidFill>
              <w14:schemeClr w14:val="tx1"/>
            </w14:solidFill>
          </w14:textFill>
        </w:rPr>
        <w:t>100</w:t>
      </w:r>
      <w:r>
        <w:rPr>
          <w:rFonts w:hint="eastAsia" w:ascii="Times New Roman" w:eastAsia="仿宋_GB2312"/>
          <w:color w:val="000000" w:themeColor="text1"/>
          <w:sz w:val="32"/>
          <w:szCs w:val="32"/>
          <w14:textFill>
            <w14:solidFill>
              <w14:schemeClr w14:val="tx1"/>
            </w14:solidFill>
          </w14:textFill>
        </w:rPr>
        <w:t>%；经济效益和社会效益、生态效益指标完成</w:t>
      </w:r>
      <w:r>
        <w:rPr>
          <w:rFonts w:hint="eastAsia" w:ascii="Times New Roman" w:hAnsi="Times New Roman" w:eastAsia="仿宋_GB2312"/>
          <w:color w:val="000000" w:themeColor="text1"/>
          <w:sz w:val="32"/>
          <w:szCs w:val="32"/>
          <w14:textFill>
            <w14:solidFill>
              <w14:schemeClr w14:val="tx1"/>
            </w14:solidFill>
          </w14:textFill>
        </w:rPr>
        <w:t>100</w:t>
      </w:r>
      <w:r>
        <w:rPr>
          <w:rFonts w:hint="eastAsia" w:ascii="Times New Roman" w:eastAsia="仿宋_GB2312"/>
          <w:color w:val="000000" w:themeColor="text1"/>
          <w:sz w:val="32"/>
          <w:szCs w:val="32"/>
          <w14:textFill>
            <w14:solidFill>
              <w14:schemeClr w14:val="tx1"/>
            </w14:solidFill>
          </w14:textFill>
        </w:rPr>
        <w:t>%。服务群众满意度指标</w:t>
      </w:r>
      <w:r>
        <w:rPr>
          <w:rFonts w:hint="eastAsia" w:ascii="Times New Roman" w:hAnsi="Times New Roman" w:eastAsia="仿宋_GB2312"/>
          <w:color w:val="000000" w:themeColor="text1"/>
          <w:sz w:val="32"/>
          <w:szCs w:val="32"/>
          <w14:textFill>
            <w14:solidFill>
              <w14:schemeClr w14:val="tx1"/>
            </w14:solidFill>
          </w14:textFill>
        </w:rPr>
        <w:t>100</w:t>
      </w:r>
      <w:r>
        <w:rPr>
          <w:rFonts w:hint="eastAsia" w:ascii="Times New Roman" w:eastAsia="仿宋_GB2312"/>
          <w:color w:val="000000" w:themeColor="text1"/>
          <w:sz w:val="32"/>
          <w:szCs w:val="32"/>
          <w14:textFill>
            <w14:solidFill>
              <w14:schemeClr w14:val="tx1"/>
            </w14:solidFill>
          </w14:textFill>
        </w:rPr>
        <w:t>%。</w:t>
      </w:r>
    </w:p>
    <w:p w14:paraId="2A734F1F">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default" w:ascii="Times New Roman" w:eastAsia="仿宋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24"/>
          <w14:textFill>
            <w14:solidFill>
              <w14:schemeClr w14:val="tx1"/>
            </w14:solidFill>
          </w14:textFill>
        </w:rPr>
        <w:t>1</w:t>
      </w:r>
      <w:r>
        <w:rPr>
          <w:rFonts w:hint="eastAsia" w:ascii="楷体_GB2312" w:hAnsi="楷体_GB2312" w:eastAsia="楷体_GB2312"/>
          <w:color w:val="000000" w:themeColor="text1"/>
          <w:sz w:val="32"/>
          <w:szCs w:val="24"/>
          <w14:textFill>
            <w14:solidFill>
              <w14:schemeClr w14:val="tx1"/>
            </w14:solidFill>
          </w14:textFill>
        </w:rPr>
        <w:t>.履职效能。</w:t>
      </w:r>
      <w:r>
        <w:rPr>
          <w:rFonts w:hint="eastAsia" w:ascii="Times New Roman" w:eastAsia="仿宋_GB2312"/>
          <w:color w:val="000000" w:themeColor="text1"/>
          <w:sz w:val="32"/>
          <w:szCs w:val="32"/>
          <w14:textFill>
            <w14:solidFill>
              <w14:schemeClr w14:val="tx1"/>
            </w14:solidFill>
          </w14:textFill>
        </w:rPr>
        <w:t>一是接待群众来访</w:t>
      </w:r>
      <w:r>
        <w:rPr>
          <w:rFonts w:hint="eastAsia" w:ascii="Times New Roman" w:hAnsi="Times New Roman" w:eastAsia="仿宋_GB2312"/>
          <w:color w:val="000000" w:themeColor="text1"/>
          <w:sz w:val="32"/>
          <w:szCs w:val="32"/>
          <w14:textFill>
            <w14:solidFill>
              <w14:schemeClr w14:val="tx1"/>
            </w14:solidFill>
          </w14:textFill>
        </w:rPr>
        <w:t>956</w:t>
      </w:r>
      <w:r>
        <w:rPr>
          <w:rFonts w:hint="eastAsia" w:ascii="Times New Roman" w:eastAsia="仿宋_GB2312"/>
          <w:color w:val="000000" w:themeColor="text1"/>
          <w:sz w:val="32"/>
          <w:szCs w:val="32"/>
          <w14:textFill>
            <w14:solidFill>
              <w14:schemeClr w14:val="tx1"/>
            </w14:solidFill>
          </w14:textFill>
        </w:rPr>
        <w:t>批</w:t>
      </w:r>
      <w:r>
        <w:rPr>
          <w:rFonts w:hint="eastAsia" w:ascii="Times New Roman" w:hAnsi="Times New Roman" w:eastAsia="仿宋_GB2312"/>
          <w:color w:val="000000" w:themeColor="text1"/>
          <w:sz w:val="32"/>
          <w:szCs w:val="32"/>
          <w14:textFill>
            <w14:solidFill>
              <w14:schemeClr w14:val="tx1"/>
            </w14:solidFill>
          </w14:textFill>
        </w:rPr>
        <w:t>1638</w:t>
      </w:r>
      <w:r>
        <w:rPr>
          <w:rFonts w:hint="eastAsia" w:ascii="Times New Roman" w:eastAsia="仿宋_GB2312"/>
          <w:color w:val="000000" w:themeColor="text1"/>
          <w:sz w:val="32"/>
          <w:szCs w:val="32"/>
          <w14:textFill>
            <w14:solidFill>
              <w14:schemeClr w14:val="tx1"/>
            </w14:solidFill>
          </w14:textFill>
        </w:rPr>
        <w:t>人次，受理群众来信</w:t>
      </w:r>
      <w:r>
        <w:rPr>
          <w:rFonts w:hint="eastAsia" w:ascii="Times New Roman" w:hAnsi="Times New Roman" w:eastAsia="仿宋_GB2312"/>
          <w:color w:val="000000" w:themeColor="text1"/>
          <w:sz w:val="32"/>
          <w:szCs w:val="32"/>
          <w14:textFill>
            <w14:solidFill>
              <w14:schemeClr w14:val="tx1"/>
            </w14:solidFill>
          </w14:textFill>
        </w:rPr>
        <w:t>600</w:t>
      </w:r>
      <w:r>
        <w:rPr>
          <w:rFonts w:hint="eastAsia" w:ascii="Times New Roman" w:eastAsia="仿宋_GB2312"/>
          <w:color w:val="000000" w:themeColor="text1"/>
          <w:sz w:val="32"/>
          <w:szCs w:val="32"/>
          <w14:textFill>
            <w14:solidFill>
              <w14:schemeClr w14:val="tx1"/>
            </w14:solidFill>
          </w14:textFill>
        </w:rPr>
        <w:t>余件，收阅办理省、市、区领导信箱来信</w:t>
      </w:r>
      <w:r>
        <w:rPr>
          <w:rFonts w:hint="eastAsia" w:ascii="Times New Roman" w:hAnsi="Times New Roman" w:eastAsia="仿宋_GB2312"/>
          <w:color w:val="000000" w:themeColor="text1"/>
          <w:sz w:val="32"/>
          <w:szCs w:val="32"/>
          <w14:textFill>
            <w14:solidFill>
              <w14:schemeClr w14:val="tx1"/>
            </w14:solidFill>
          </w14:textFill>
        </w:rPr>
        <w:t>40</w:t>
      </w:r>
      <w:r>
        <w:rPr>
          <w:rFonts w:hint="eastAsia" w:ascii="Times New Roman" w:eastAsia="仿宋_GB2312"/>
          <w:color w:val="000000" w:themeColor="text1"/>
          <w:sz w:val="32"/>
          <w:szCs w:val="32"/>
          <w14:textFill>
            <w14:solidFill>
              <w14:schemeClr w14:val="tx1"/>
            </w14:solidFill>
          </w14:textFill>
        </w:rPr>
        <w:t>件，接听区委书记、区长热线</w:t>
      </w:r>
      <w:r>
        <w:rPr>
          <w:rFonts w:hint="eastAsia" w:ascii="Times New Roman" w:hAnsi="Times New Roman" w:eastAsia="仿宋_GB2312"/>
          <w:color w:val="000000" w:themeColor="text1"/>
          <w:sz w:val="32"/>
          <w:szCs w:val="32"/>
          <w14:textFill>
            <w14:solidFill>
              <w14:schemeClr w14:val="tx1"/>
            </w14:solidFill>
          </w14:textFill>
        </w:rPr>
        <w:t>1240</w:t>
      </w:r>
      <w:r>
        <w:rPr>
          <w:rFonts w:hint="eastAsia" w:ascii="Times New Roman" w:eastAsia="仿宋_GB2312"/>
          <w:color w:val="000000" w:themeColor="text1"/>
          <w:sz w:val="32"/>
          <w:szCs w:val="32"/>
          <w14:textFill>
            <w14:solidFill>
              <w14:schemeClr w14:val="tx1"/>
            </w14:solidFill>
          </w14:textFill>
        </w:rPr>
        <w:t>次。转送交办、督办上级交办信访事项</w:t>
      </w:r>
      <w:r>
        <w:rPr>
          <w:rFonts w:hint="eastAsia" w:ascii="Times New Roman" w:hAnsi="Times New Roman" w:eastAsia="仿宋_GB2312"/>
          <w:color w:val="000000" w:themeColor="text1"/>
          <w:sz w:val="32"/>
          <w:szCs w:val="32"/>
          <w14:textFill>
            <w14:solidFill>
              <w14:schemeClr w14:val="tx1"/>
            </w14:solidFill>
          </w14:textFill>
        </w:rPr>
        <w:t>90</w:t>
      </w:r>
      <w:r>
        <w:rPr>
          <w:rFonts w:hint="eastAsia" w:ascii="Times New Roman" w:eastAsia="仿宋_GB2312"/>
          <w:color w:val="000000" w:themeColor="text1"/>
          <w:sz w:val="32"/>
          <w:szCs w:val="32"/>
          <w14:textFill>
            <w14:solidFill>
              <w14:schemeClr w14:val="tx1"/>
            </w14:solidFill>
          </w14:textFill>
        </w:rPr>
        <w:t>余件。针对信访信息动态情况，综合分析研判，开展调查研究，及时准确地向区委区政府提出参考性建议对策。二是协调处理跨县区和部门的重要群众工作和信访事项</w:t>
      </w:r>
      <w:r>
        <w:rPr>
          <w:rFonts w:hint="eastAsia" w:ascii="Times New Roman" w:hAnsi="Times New Roman" w:eastAsia="仿宋_GB2312"/>
          <w:color w:val="000000" w:themeColor="text1"/>
          <w:sz w:val="32"/>
          <w:szCs w:val="32"/>
          <w14:textFill>
            <w14:solidFill>
              <w14:schemeClr w14:val="tx1"/>
            </w14:solidFill>
          </w14:textFill>
        </w:rPr>
        <w:t>80</w:t>
      </w:r>
      <w:r>
        <w:rPr>
          <w:rFonts w:hint="eastAsia" w:ascii="Times New Roman" w:eastAsia="仿宋_GB2312"/>
          <w:color w:val="000000" w:themeColor="text1"/>
          <w:sz w:val="32"/>
          <w:szCs w:val="32"/>
          <w14:textFill>
            <w14:solidFill>
              <w14:schemeClr w14:val="tx1"/>
            </w14:solidFill>
          </w14:textFill>
        </w:rPr>
        <w:t>余件。协调事发部门处理群众到市级及以上集访和突发性群体性事件</w:t>
      </w:r>
      <w:r>
        <w:rPr>
          <w:rFonts w:hint="eastAsia" w:ascii="Times New Roman" w:hAnsi="Times New Roman" w:eastAsia="仿宋_GB2312"/>
          <w:color w:val="000000" w:themeColor="text1"/>
          <w:sz w:val="32"/>
          <w:szCs w:val="32"/>
          <w14:textFill>
            <w14:solidFill>
              <w14:schemeClr w14:val="tx1"/>
            </w14:solidFill>
          </w14:textFill>
        </w:rPr>
        <w:t>28</w:t>
      </w:r>
      <w:r>
        <w:rPr>
          <w:rFonts w:hint="eastAsia" w:ascii="Times New Roman" w:eastAsia="仿宋_GB2312"/>
          <w:color w:val="000000" w:themeColor="text1"/>
          <w:sz w:val="32"/>
          <w:szCs w:val="32"/>
          <w14:textFill>
            <w14:solidFill>
              <w14:schemeClr w14:val="tx1"/>
            </w14:solidFill>
          </w14:textFill>
        </w:rPr>
        <w:t>次。三是督促检查全区群众和信访工作</w:t>
      </w:r>
      <w:r>
        <w:rPr>
          <w:rFonts w:hint="eastAsia" w:ascii="Times New Roman" w:hAnsi="Times New Roman" w:eastAsia="仿宋_GB2312"/>
          <w:color w:val="000000" w:themeColor="text1"/>
          <w:sz w:val="32"/>
          <w:szCs w:val="32"/>
          <w14:textFill>
            <w14:solidFill>
              <w14:schemeClr w14:val="tx1"/>
            </w14:solidFill>
          </w14:textFill>
        </w:rPr>
        <w:t>26</w:t>
      </w:r>
      <w:r>
        <w:rPr>
          <w:rFonts w:hint="eastAsia" w:ascii="Times New Roman" w:eastAsia="仿宋_GB2312"/>
          <w:color w:val="000000" w:themeColor="text1"/>
          <w:sz w:val="32"/>
          <w:szCs w:val="32"/>
          <w14:textFill>
            <w14:solidFill>
              <w14:schemeClr w14:val="tx1"/>
            </w14:solidFill>
          </w14:textFill>
        </w:rPr>
        <w:t>次，日常负责全区的信访信息系统的办理和指导;研究起草全区群众和信访工作规范性文件</w:t>
      </w:r>
      <w:r>
        <w:rPr>
          <w:rFonts w:hint="eastAsia" w:ascii="Times New Roman" w:hAnsi="Times New Roman" w:eastAsia="仿宋_GB2312"/>
          <w:color w:val="000000" w:themeColor="text1"/>
          <w:sz w:val="32"/>
          <w:szCs w:val="32"/>
          <w14:textFill>
            <w14:solidFill>
              <w14:schemeClr w14:val="tx1"/>
            </w14:solidFill>
          </w14:textFill>
        </w:rPr>
        <w:t>27</w:t>
      </w:r>
      <w:r>
        <w:rPr>
          <w:rFonts w:hint="eastAsia" w:ascii="Times New Roman" w:eastAsia="仿宋_GB2312"/>
          <w:color w:val="000000" w:themeColor="text1"/>
          <w:sz w:val="32"/>
          <w:szCs w:val="32"/>
          <w14:textFill>
            <w14:solidFill>
              <w14:schemeClr w14:val="tx1"/>
            </w14:solidFill>
          </w14:textFill>
        </w:rPr>
        <w:t>件，总结推广各乡镇和部门的群众信访工作经验，固化经验做法，通报重大群众和信访问题及事件</w:t>
      </w:r>
      <w:r>
        <w:rPr>
          <w:rFonts w:hint="eastAsia" w:ascii="Times New Roman" w:hAnsi="Times New Roman" w:eastAsia="仿宋_GB2312"/>
          <w:color w:val="000000" w:themeColor="text1"/>
          <w:sz w:val="32"/>
          <w:szCs w:val="32"/>
          <w14:textFill>
            <w14:solidFill>
              <w14:schemeClr w14:val="tx1"/>
            </w14:solidFill>
          </w14:textFill>
        </w:rPr>
        <w:t>64</w:t>
      </w:r>
      <w:r>
        <w:rPr>
          <w:rFonts w:hint="eastAsia" w:ascii="Times New Roman" w:eastAsia="仿宋_GB2312"/>
          <w:color w:val="000000" w:themeColor="text1"/>
          <w:sz w:val="32"/>
          <w:szCs w:val="32"/>
          <w14:textFill>
            <w14:solidFill>
              <w14:schemeClr w14:val="tx1"/>
            </w14:solidFill>
          </w14:textFill>
        </w:rPr>
        <w:t>件。四是扎实推进信访法治化建设，全面治理信访秩序。保证信访渠道的畅通，负责协调区领导值班接待群众来访和包案处理信访案件</w:t>
      </w:r>
      <w:r>
        <w:rPr>
          <w:rFonts w:hint="eastAsia" w:ascii="Times New Roman" w:hAnsi="Times New Roman" w:eastAsia="仿宋_GB2312"/>
          <w:color w:val="000000" w:themeColor="text1"/>
          <w:sz w:val="32"/>
          <w:szCs w:val="32"/>
          <w14:textFill>
            <w14:solidFill>
              <w14:schemeClr w14:val="tx1"/>
            </w14:solidFill>
          </w14:textFill>
        </w:rPr>
        <w:t>121</w:t>
      </w:r>
      <w:r>
        <w:rPr>
          <w:rFonts w:hint="eastAsia" w:ascii="Times New Roman" w:eastAsia="仿宋_GB2312"/>
          <w:color w:val="000000" w:themeColor="text1"/>
          <w:sz w:val="32"/>
          <w:szCs w:val="32"/>
          <w14:textFill>
            <w14:solidFill>
              <w14:schemeClr w14:val="tx1"/>
            </w14:solidFill>
          </w14:textFill>
        </w:rPr>
        <w:t>件。五是搞好驻京、省市值班工作</w:t>
      </w:r>
      <w:r>
        <w:rPr>
          <w:rFonts w:hint="eastAsia" w:ascii="Times New Roman" w:hAnsi="Times New Roman" w:eastAsia="仿宋_GB2312"/>
          <w:color w:val="000000" w:themeColor="text1"/>
          <w:sz w:val="32"/>
          <w:szCs w:val="32"/>
          <w14:textFill>
            <w14:solidFill>
              <w14:schemeClr w14:val="tx1"/>
            </w14:solidFill>
          </w14:textFill>
        </w:rPr>
        <w:t>21</w:t>
      </w:r>
      <w:r>
        <w:rPr>
          <w:rFonts w:hint="eastAsia" w:ascii="Times New Roman" w:eastAsia="仿宋_GB2312"/>
          <w:color w:val="000000" w:themeColor="text1"/>
          <w:sz w:val="32"/>
          <w:szCs w:val="32"/>
          <w14:textFill>
            <w14:solidFill>
              <w14:schemeClr w14:val="tx1"/>
            </w14:solidFill>
          </w14:textFill>
        </w:rPr>
        <w:t>次;协调处置赴京、到省非正常上访工作</w:t>
      </w:r>
      <w:r>
        <w:rPr>
          <w:rFonts w:hint="eastAsia" w:ascii="Times New Roman" w:hAnsi="Times New Roman" w:eastAsia="仿宋_GB2312"/>
          <w:color w:val="000000" w:themeColor="text1"/>
          <w:sz w:val="32"/>
          <w:szCs w:val="32"/>
          <w14:textFill>
            <w14:solidFill>
              <w14:schemeClr w14:val="tx1"/>
            </w14:solidFill>
          </w14:textFill>
        </w:rPr>
        <w:t>14</w:t>
      </w:r>
      <w:r>
        <w:rPr>
          <w:rFonts w:hint="eastAsia" w:ascii="Times New Roman" w:eastAsia="仿宋_GB2312"/>
          <w:color w:val="000000" w:themeColor="text1"/>
          <w:sz w:val="32"/>
          <w:szCs w:val="32"/>
          <w14:textFill>
            <w14:solidFill>
              <w14:schemeClr w14:val="tx1"/>
            </w14:solidFill>
          </w14:textFill>
        </w:rPr>
        <w:t>次。六是受理信访事项复查复核</w:t>
      </w:r>
      <w:r>
        <w:rPr>
          <w:rFonts w:hint="eastAsia" w:ascii="Times New Roman" w:hAnsi="Times New Roman" w:eastAsia="仿宋_GB2312"/>
          <w:color w:val="000000" w:themeColor="text1"/>
          <w:sz w:val="32"/>
          <w:szCs w:val="32"/>
          <w14:textFill>
            <w14:solidFill>
              <w14:schemeClr w14:val="tx1"/>
            </w14:solidFill>
          </w14:textFill>
        </w:rPr>
        <w:t>6</w:t>
      </w:r>
      <w:r>
        <w:rPr>
          <w:rFonts w:hint="eastAsia" w:ascii="Times New Roman" w:eastAsia="仿宋_GB2312"/>
          <w:color w:val="000000" w:themeColor="text1"/>
          <w:sz w:val="32"/>
          <w:szCs w:val="32"/>
          <w14:textFill>
            <w14:solidFill>
              <w14:schemeClr w14:val="tx1"/>
            </w14:solidFill>
          </w14:textFill>
        </w:rPr>
        <w:t>件，常态化指导区级部门和乡镇(街道)的群众(信访)工作，完成区委区政府和上级群工(信访)部门交办的其它任务。</w:t>
      </w:r>
    </w:p>
    <w:p w14:paraId="041F9E21">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24"/>
          <w14:textFill>
            <w14:solidFill>
              <w14:schemeClr w14:val="tx1"/>
            </w14:solidFill>
          </w14:textFill>
        </w:rPr>
        <w:t>2</w:t>
      </w:r>
      <w:r>
        <w:rPr>
          <w:rFonts w:hint="eastAsia" w:ascii="楷体_GB2312" w:hAnsi="楷体_GB2312" w:eastAsia="楷体_GB2312"/>
          <w:color w:val="000000" w:themeColor="text1"/>
          <w:sz w:val="32"/>
          <w:szCs w:val="24"/>
          <w14:textFill>
            <w14:solidFill>
              <w14:schemeClr w14:val="tx1"/>
            </w14:solidFill>
          </w14:textFill>
        </w:rPr>
        <w:t>.预算管理。</w:t>
      </w:r>
      <w:r>
        <w:rPr>
          <w:rFonts w:hint="eastAsia" w:ascii="仿宋_GB2312" w:hAnsi="仿宋_GB2312" w:eastAsia="仿宋_GB2312" w:cs="仿宋_GB2312"/>
          <w:color w:val="000000" w:themeColor="text1"/>
          <w:sz w:val="32"/>
          <w:szCs w:val="32"/>
          <w14:textFill>
            <w14:solidFill>
              <w14:schemeClr w14:val="tx1"/>
            </w14:solidFill>
          </w14:textFill>
        </w:rPr>
        <w:t>部门预算项目预算执行进度在</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月达到序时进度的</w:t>
      </w:r>
      <w:r>
        <w:rPr>
          <w:rFonts w:hint="eastAsia" w:ascii="Times New Roman" w:hAnsi="Times New Roman" w:eastAsia="仿宋_GB2312" w:cs="仿宋_GB2312"/>
          <w:color w:val="000000" w:themeColor="text1"/>
          <w:sz w:val="32"/>
          <w:szCs w:val="32"/>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90</w:t>
      </w:r>
      <w:r>
        <w:rPr>
          <w:rFonts w:hint="eastAsia" w:ascii="仿宋_GB2312" w:hAnsi="仿宋_GB2312" w:eastAsia="仿宋_GB2312" w:cs="仿宋_GB2312"/>
          <w:color w:val="000000" w:themeColor="text1"/>
          <w:sz w:val="32"/>
          <w:szCs w:val="32"/>
          <w14:textFill>
            <w14:solidFill>
              <w14:schemeClr w14:val="tx1"/>
            </w14:solidFill>
          </w14:textFill>
        </w:rPr>
        <w:t>%，即实际支出进度分别达到</w:t>
      </w:r>
      <w:r>
        <w:rPr>
          <w:rFonts w:hint="eastAsia" w:ascii="Times New Roman" w:hAnsi="Times New Roman" w:eastAsia="仿宋_GB2312" w:cs="仿宋_GB2312"/>
          <w:color w:val="000000" w:themeColor="text1"/>
          <w:sz w:val="32"/>
          <w:szCs w:val="32"/>
          <w14:textFill>
            <w14:solidFill>
              <w14:schemeClr w14:val="tx1"/>
            </w14:solidFill>
          </w14:textFill>
        </w:rPr>
        <w:t>40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67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82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月部门预算项目执行进度达到了量化指标。本部门预算项目年终预算执行情况部门预算项目</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月预算执行进度达到</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%。部门预算项目资金无结余。</w:t>
      </w:r>
    </w:p>
    <w:p w14:paraId="71001E2B">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24"/>
          <w14:textFill>
            <w14:solidFill>
              <w14:schemeClr w14:val="tx1"/>
            </w14:solidFill>
          </w14:textFill>
        </w:rPr>
      </w:pPr>
      <w:r>
        <w:rPr>
          <w:rFonts w:hint="eastAsia" w:ascii="Times New Roman" w:hAnsi="Times New Roman" w:eastAsia="楷体_GB2312"/>
          <w:color w:val="000000" w:themeColor="text1"/>
          <w:sz w:val="32"/>
          <w:szCs w:val="24"/>
          <w14:textFill>
            <w14:solidFill>
              <w14:schemeClr w14:val="tx1"/>
            </w14:solidFill>
          </w14:textFill>
        </w:rPr>
        <w:t>3</w:t>
      </w:r>
      <w:r>
        <w:rPr>
          <w:rFonts w:hint="eastAsia" w:ascii="楷体_GB2312" w:hAnsi="楷体_GB2312" w:eastAsia="楷体_GB2312"/>
          <w:color w:val="000000" w:themeColor="text1"/>
          <w:sz w:val="32"/>
          <w:szCs w:val="24"/>
          <w14:textFill>
            <w14:solidFill>
              <w14:schemeClr w14:val="tx1"/>
            </w14:solidFill>
          </w14:textFill>
        </w:rPr>
        <w:t>.财务管理。</w:t>
      </w:r>
      <w:r>
        <w:rPr>
          <w:rFonts w:hint="eastAsia" w:ascii="仿宋_GB2312" w:hAnsi="仿宋_GB2312" w:eastAsia="仿宋_GB2312" w:cs="仿宋_GB2312"/>
          <w:color w:val="000000" w:themeColor="text1"/>
          <w:sz w:val="32"/>
          <w:szCs w:val="24"/>
          <w14:textFill>
            <w14:solidFill>
              <w14:schemeClr w14:val="tx1"/>
            </w14:solidFill>
          </w14:textFill>
        </w:rPr>
        <w:t>本单位严格按照财务管理制度落实财务岗位设置，分别设置财务岗和出纳岗位，</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24"/>
          <w14:textFill>
            <w14:solidFill>
              <w14:schemeClr w14:val="tx1"/>
            </w14:solidFill>
          </w14:textFill>
        </w:rPr>
        <w:t>资金使用</w:t>
      </w:r>
      <w:r>
        <w:rPr>
          <w:rFonts w:hint="eastAsia" w:ascii="仿宋_GB2312" w:hAnsi="仿宋_GB2312" w:eastAsia="仿宋_GB2312" w:cs="仿宋_GB2312"/>
          <w:color w:val="000000" w:themeColor="text1"/>
          <w:sz w:val="32"/>
          <w:szCs w:val="32"/>
          <w14:textFill>
            <w14:solidFill>
              <w14:schemeClr w14:val="tx1"/>
            </w14:solidFill>
          </w14:textFill>
        </w:rPr>
        <w:t>控制方面，部门日常公用经费、项目支出中“办公费、印刷费、水费、电费、物业管理费”等科目年初预算数与决算数无偏差。</w:t>
      </w:r>
    </w:p>
    <w:p w14:paraId="20B34766">
      <w:pPr>
        <w:keepNext w:val="0"/>
        <w:keepLines w:val="0"/>
        <w:pageBreakBefore w:val="0"/>
        <w:widowControl w:val="0"/>
        <w:kinsoku/>
        <w:wordWrap/>
        <w:overflowPunct w:val="0"/>
        <w:topLinePunct w:val="0"/>
        <w:bidi w:val="0"/>
        <w:snapToGrid/>
        <w:spacing w:line="576" w:lineRule="exact"/>
        <w:ind w:leftChars="0" w:firstLine="640" w:firstLineChars="200"/>
        <w:jc w:val="both"/>
        <w:textAlignment w:val="auto"/>
        <w:rPr>
          <w:rFonts w:hint="eastAsia" w:ascii="楷体_GB2312" w:hAnsi="楷体_GB2312" w:eastAsia="楷体_GB2312"/>
          <w:color w:val="000000" w:themeColor="text1"/>
          <w:sz w:val="32"/>
          <w:szCs w:val="24"/>
          <w14:textFill>
            <w14:solidFill>
              <w14:schemeClr w14:val="tx1"/>
            </w14:solidFill>
          </w14:textFill>
        </w:rPr>
      </w:pPr>
      <w:r>
        <w:rPr>
          <w:rFonts w:hint="eastAsia" w:ascii="Times New Roman" w:hAnsi="Times New Roman" w:eastAsia="楷体_GB2312"/>
          <w:color w:val="000000" w:themeColor="text1"/>
          <w:sz w:val="32"/>
          <w:szCs w:val="24"/>
          <w14:textFill>
            <w14:solidFill>
              <w14:schemeClr w14:val="tx1"/>
            </w14:solidFill>
          </w14:textFill>
        </w:rPr>
        <w:t>4</w:t>
      </w:r>
      <w:r>
        <w:rPr>
          <w:rFonts w:hint="eastAsia" w:ascii="楷体_GB2312" w:hAnsi="楷体_GB2312" w:eastAsia="楷体_GB2312"/>
          <w:color w:val="000000" w:themeColor="text1"/>
          <w:sz w:val="32"/>
          <w:szCs w:val="24"/>
          <w14:textFill>
            <w14:solidFill>
              <w14:schemeClr w14:val="tx1"/>
            </w14:solidFill>
          </w14:textFill>
        </w:rPr>
        <w:t>.资产管理。</w:t>
      </w:r>
    </w:p>
    <w:p w14:paraId="32EE120F">
      <w:pPr>
        <w:pStyle w:val="8"/>
        <w:keepNext w:val="0"/>
        <w:keepLines w:val="0"/>
        <w:pageBreakBefore w:val="0"/>
        <w:widowControl w:val="0"/>
        <w:kinsoku/>
        <w:wordWrap/>
        <w:overflowPunct w:val="0"/>
        <w:topLinePunct w:val="0"/>
        <w:bidi w:val="0"/>
        <w:snapToGrid/>
        <w:spacing w:after="0" w:line="576" w:lineRule="exact"/>
        <w:ind w:leftChars="0" w:firstLine="640" w:firstLineChars="200"/>
        <w:jc w:val="both"/>
        <w:textAlignment w:val="auto"/>
        <w:rPr>
          <w:rFonts w:hint="eastAsia" w:ascii="仿宋_GB2312" w:hAnsi="仿宋_GB2312" w:eastAsia="仿宋_GB2312"/>
          <w:color w:val="000000" w:themeColor="text1"/>
          <w:sz w:val="32"/>
          <w:szCs w:val="24"/>
          <w:highlight w:val="yellow"/>
          <w:lang w:val="zh-CN"/>
          <w14:textFill>
            <w14:solidFill>
              <w14:schemeClr w14:val="tx1"/>
            </w14:solidFill>
          </w14:textFill>
        </w:rPr>
      </w:pPr>
      <w:r>
        <w:rPr>
          <w:rFonts w:hint="eastAsia" w:ascii="仿宋_GB2312" w:hAnsi="仿宋_GB2312" w:eastAsia="仿宋_GB2312" w:cs="仿宋_GB2312"/>
          <w:color w:val="000000" w:themeColor="text1"/>
          <w:sz w:val="32"/>
          <w:szCs w:val="24"/>
          <w14:textFill>
            <w14:solidFill>
              <w14:schemeClr w14:val="tx1"/>
            </w14:solidFill>
          </w14:textFill>
        </w:rPr>
        <w:t>本单位资产严格按照资产管理要求执行，资产利用率很好，无盘活资产。</w:t>
      </w:r>
    </w:p>
    <w:p w14:paraId="16F82332">
      <w:pPr>
        <w:keepNext w:val="0"/>
        <w:keepLines w:val="0"/>
        <w:pageBreakBefore w:val="0"/>
        <w:widowControl w:val="0"/>
        <w:kinsoku/>
        <w:wordWrap/>
        <w:overflowPunct w:val="0"/>
        <w:topLinePunct w:val="0"/>
        <w:bidi w:val="0"/>
        <w:snapToGrid/>
        <w:spacing w:line="576" w:lineRule="exact"/>
        <w:ind w:leftChars="0" w:firstLine="640" w:firstLineChars="200"/>
        <w:jc w:val="both"/>
        <w:textAlignment w:val="auto"/>
        <w:rPr>
          <w:rFonts w:hint="eastAsia" w:ascii="楷体_GB2312" w:hAnsi="楷体_GB2312" w:eastAsia="楷体_GB2312"/>
          <w:color w:val="000000" w:themeColor="text1"/>
          <w:sz w:val="32"/>
          <w:szCs w:val="24"/>
          <w14:textFill>
            <w14:solidFill>
              <w14:schemeClr w14:val="tx1"/>
            </w14:solidFill>
          </w14:textFill>
        </w:rPr>
      </w:pPr>
      <w:r>
        <w:rPr>
          <w:rFonts w:hint="eastAsia" w:ascii="Times New Roman" w:hAnsi="Times New Roman" w:eastAsia="楷体_GB2312"/>
          <w:color w:val="000000" w:themeColor="text1"/>
          <w:sz w:val="32"/>
          <w:szCs w:val="24"/>
          <w14:textFill>
            <w14:solidFill>
              <w14:schemeClr w14:val="tx1"/>
            </w14:solidFill>
          </w14:textFill>
        </w:rPr>
        <w:t>5</w:t>
      </w:r>
      <w:r>
        <w:rPr>
          <w:rFonts w:hint="eastAsia" w:ascii="楷体_GB2312" w:hAnsi="楷体_GB2312" w:eastAsia="楷体_GB2312"/>
          <w:color w:val="000000" w:themeColor="text1"/>
          <w:sz w:val="32"/>
          <w:szCs w:val="24"/>
          <w14:textFill>
            <w14:solidFill>
              <w14:schemeClr w14:val="tx1"/>
            </w14:solidFill>
          </w14:textFill>
        </w:rPr>
        <w:t>.采购管理。</w:t>
      </w:r>
    </w:p>
    <w:p w14:paraId="2DAEE8BC">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olor w:val="000000" w:themeColor="text1"/>
          <w:sz w:val="32"/>
          <w:szCs w:val="24"/>
          <w14:textFill>
            <w14:solidFill>
              <w14:schemeClr w14:val="tx1"/>
            </w14:solidFill>
          </w14:textFill>
        </w:rPr>
      </w:pPr>
      <w:r>
        <w:rPr>
          <w:rFonts w:hint="eastAsia" w:ascii="Times New Roman" w:hAnsi="Times New Roman" w:eastAsia="仿宋_GB2312"/>
          <w:color w:val="000000" w:themeColor="text1"/>
          <w:sz w:val="32"/>
          <w:szCs w:val="24"/>
          <w14:textFill>
            <w14:solidFill>
              <w14:schemeClr w14:val="tx1"/>
            </w14:solidFill>
          </w14:textFill>
        </w:rPr>
        <w:t>2023</w:t>
      </w:r>
      <w:r>
        <w:rPr>
          <w:rFonts w:hint="eastAsia" w:ascii="仿宋_GB2312" w:hAnsi="仿宋_GB2312" w:eastAsia="仿宋_GB2312"/>
          <w:color w:val="000000" w:themeColor="text1"/>
          <w:sz w:val="32"/>
          <w:szCs w:val="24"/>
          <w14:textFill>
            <w14:solidFill>
              <w14:schemeClr w14:val="tx1"/>
            </w14:solidFill>
          </w14:textFill>
        </w:rPr>
        <w:t>年本单位无资产采购。</w:t>
      </w:r>
    </w:p>
    <w:p w14:paraId="279D6774">
      <w:pPr>
        <w:keepNext w:val="0"/>
        <w:keepLines w:val="0"/>
        <w:pageBreakBefore w:val="0"/>
        <w:widowControl w:val="0"/>
        <w:numPr>
          <w:ilvl w:val="0"/>
          <w:numId w:val="2"/>
        </w:numPr>
        <w:kinsoku/>
        <w:wordWrap/>
        <w:overflowPunct w:val="0"/>
        <w:topLinePunct w:val="0"/>
        <w:bidi w:val="0"/>
        <w:snapToGrid/>
        <w:spacing w:line="576" w:lineRule="exact"/>
        <w:ind w:leftChars="0" w:firstLine="640" w:firstLineChars="200"/>
        <w:jc w:val="both"/>
        <w:textAlignment w:val="auto"/>
        <w:rPr>
          <w:rFonts w:hint="eastAsia" w:ascii="楷体_GB2312" w:hAnsi="楷体_GB2312" w:eastAsia="楷体_GB2312"/>
          <w:b w:val="0"/>
          <w:bCs/>
          <w:color w:val="000000" w:themeColor="text1"/>
          <w:sz w:val="32"/>
          <w:szCs w:val="24"/>
          <w:lang w:val="zh-CN"/>
          <w14:textFill>
            <w14:solidFill>
              <w14:schemeClr w14:val="tx1"/>
            </w14:solidFill>
          </w14:textFill>
        </w:rPr>
      </w:pPr>
      <w:r>
        <w:rPr>
          <w:rFonts w:hint="eastAsia" w:ascii="楷体_GB2312" w:hAnsi="楷体_GB2312" w:eastAsia="楷体_GB2312"/>
          <w:b w:val="0"/>
          <w:bCs/>
          <w:color w:val="000000" w:themeColor="text1"/>
          <w:sz w:val="32"/>
          <w:szCs w:val="24"/>
          <w:lang w:val="zh-CN"/>
          <w14:textFill>
            <w14:solidFill>
              <w14:schemeClr w14:val="tx1"/>
            </w14:solidFill>
          </w14:textFill>
        </w:rPr>
        <w:t>部门预算项目绩效分析。</w:t>
      </w:r>
    </w:p>
    <w:p w14:paraId="6E335158">
      <w:pPr>
        <w:keepNext w:val="0"/>
        <w:keepLines w:val="0"/>
        <w:pageBreakBefore w:val="0"/>
        <w:widowControl w:val="0"/>
        <w:kinsoku/>
        <w:wordWrap/>
        <w:overflowPunct w:val="0"/>
        <w:topLinePunct w:val="0"/>
        <w:bidi w:val="0"/>
        <w:snapToGrid/>
        <w:spacing w:line="576" w:lineRule="exact"/>
        <w:ind w:leftChars="0" w:firstLine="640" w:firstLineChars="200"/>
        <w:jc w:val="both"/>
        <w:textAlignment w:val="auto"/>
        <w:rPr>
          <w:rFonts w:hint="eastAsia" w:ascii="仿宋_GB2312" w:hAnsi="仿宋_GB2312" w:eastAsia="仿宋_GB2312"/>
          <w:color w:val="000000" w:themeColor="text1"/>
          <w:sz w:val="32"/>
          <w:szCs w:val="24"/>
          <w14:textFill>
            <w14:solidFill>
              <w14:schemeClr w14:val="tx1"/>
            </w14:solidFill>
          </w14:textFill>
        </w:rPr>
      </w:pPr>
      <w:r>
        <w:rPr>
          <w:rFonts w:hint="eastAsia" w:ascii="Times New Roman" w:hAnsi="Times New Roman" w:eastAsia="楷体_GB2312"/>
          <w:color w:val="000000" w:themeColor="text1"/>
          <w:sz w:val="32"/>
          <w:szCs w:val="24"/>
          <w14:textFill>
            <w14:solidFill>
              <w14:schemeClr w14:val="tx1"/>
            </w14:solidFill>
          </w14:textFill>
        </w:rPr>
        <w:t>1</w:t>
      </w:r>
      <w:r>
        <w:rPr>
          <w:rFonts w:hint="eastAsia" w:ascii="楷体_GB2312" w:hAnsi="楷体_GB2312" w:eastAsia="楷体_GB2312"/>
          <w:color w:val="000000" w:themeColor="text1"/>
          <w:sz w:val="32"/>
          <w:szCs w:val="24"/>
          <w14:textFill>
            <w14:solidFill>
              <w14:schemeClr w14:val="tx1"/>
            </w14:solidFill>
          </w14:textFill>
        </w:rPr>
        <w:t>.项目决策。</w:t>
      </w:r>
    </w:p>
    <w:p w14:paraId="172069A6">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单位绩效目标编制要素完整的，绩效指标细化量化的准确，绩效目标纳入本单位局长办公会研究决策。年初预算和年末决算编制内容真实有效，编制数据完整，准确。年初预算（含追加项目资金）绩效目标编制完整、合理。报表报送及时准确。单位人员类、运转类、特定目标类项目收支执行进度良好、部门整体绩效目标完成较好，无偏差。</w:t>
      </w:r>
    </w:p>
    <w:p w14:paraId="21A8E818">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楷体_GB2312" w:hAnsi="楷体_GB2312" w:eastAsia="楷体_GB2312"/>
          <w:color w:val="000000" w:themeColor="text1"/>
          <w:sz w:val="32"/>
          <w:szCs w:val="24"/>
          <w14:textFill>
            <w14:solidFill>
              <w14:schemeClr w14:val="tx1"/>
            </w14:solidFill>
          </w14:textFill>
        </w:rPr>
      </w:pPr>
      <w:r>
        <w:rPr>
          <w:rFonts w:hint="eastAsia" w:ascii="Times New Roman" w:hAnsi="Times New Roman" w:eastAsia="楷体_GB2312"/>
          <w:color w:val="000000" w:themeColor="text1"/>
          <w:sz w:val="32"/>
          <w:szCs w:val="24"/>
          <w14:textFill>
            <w14:solidFill>
              <w14:schemeClr w14:val="tx1"/>
            </w14:solidFill>
          </w14:textFill>
        </w:rPr>
        <w:t>2</w:t>
      </w:r>
      <w:r>
        <w:rPr>
          <w:rFonts w:hint="eastAsia" w:ascii="楷体_GB2312" w:hAnsi="楷体_GB2312" w:eastAsia="楷体_GB2312"/>
          <w:color w:val="000000" w:themeColor="text1"/>
          <w:sz w:val="32"/>
          <w:szCs w:val="24"/>
          <w14:textFill>
            <w14:solidFill>
              <w14:schemeClr w14:val="tx1"/>
            </w14:solidFill>
          </w14:textFill>
        </w:rPr>
        <w:t>.项目执行。</w:t>
      </w:r>
    </w:p>
    <w:p w14:paraId="34C1119D">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项目执行方面，部门日常公用经费、项目支出中“办公费、印刷费、水费、电费、物业管理费”等科目年初预算数与决算数无偏差。本部门在开展绩效运行监控后，将绩效监控结果应用到预算调整中。部门预算执行进度在</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月达到序时进度的</w:t>
      </w:r>
      <w:r>
        <w:rPr>
          <w:rFonts w:hint="eastAsia" w:ascii="Times New Roman" w:hAnsi="Times New Roman" w:eastAsia="仿宋_GB2312" w:cs="仿宋_GB2312"/>
          <w:color w:val="000000" w:themeColor="text1"/>
          <w:sz w:val="32"/>
          <w:szCs w:val="32"/>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90</w:t>
      </w:r>
      <w:r>
        <w:rPr>
          <w:rFonts w:hint="eastAsia" w:ascii="仿宋_GB2312" w:hAnsi="仿宋_GB2312" w:eastAsia="仿宋_GB2312" w:cs="仿宋_GB2312"/>
          <w:color w:val="000000" w:themeColor="text1"/>
          <w:sz w:val="32"/>
          <w:szCs w:val="32"/>
          <w14:textFill>
            <w14:solidFill>
              <w14:schemeClr w14:val="tx1"/>
            </w14:solidFill>
          </w14:textFill>
        </w:rPr>
        <w:t>%，即实际支出进度分别达到</w:t>
      </w:r>
      <w:r>
        <w:rPr>
          <w:rFonts w:hint="eastAsia" w:ascii="Times New Roman" w:hAnsi="Times New Roman" w:eastAsia="仿宋_GB2312" w:cs="仿宋_GB2312"/>
          <w:color w:val="000000" w:themeColor="text1"/>
          <w:sz w:val="32"/>
          <w:szCs w:val="32"/>
          <w14:textFill>
            <w14:solidFill>
              <w14:schemeClr w14:val="tx1"/>
            </w14:solidFill>
          </w14:textFill>
        </w:rPr>
        <w:t>40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67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82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p>
    <w:p w14:paraId="098F6D5D">
      <w:pPr>
        <w:keepNext w:val="0"/>
        <w:keepLines w:val="0"/>
        <w:pageBreakBefore w:val="0"/>
        <w:widowControl w:val="0"/>
        <w:kinsoku/>
        <w:wordWrap/>
        <w:overflowPunct w:val="0"/>
        <w:topLinePunct w:val="0"/>
        <w:bidi w:val="0"/>
        <w:snapToGrid/>
        <w:spacing w:line="576" w:lineRule="exact"/>
        <w:ind w:leftChars="0" w:firstLine="640" w:firstLineChars="200"/>
        <w:jc w:val="both"/>
        <w:textAlignment w:val="auto"/>
        <w:rPr>
          <w:rFonts w:hint="eastAsia" w:ascii="楷体_GB2312" w:hAnsi="楷体_GB2312" w:eastAsia="楷体_GB2312"/>
          <w:color w:val="000000" w:themeColor="text1"/>
          <w:sz w:val="32"/>
          <w:szCs w:val="24"/>
          <w14:textFill>
            <w14:solidFill>
              <w14:schemeClr w14:val="tx1"/>
            </w14:solidFill>
          </w14:textFill>
        </w:rPr>
      </w:pPr>
      <w:r>
        <w:rPr>
          <w:rFonts w:hint="eastAsia" w:ascii="Times New Roman" w:hAnsi="Times New Roman" w:eastAsia="楷体_GB2312"/>
          <w:color w:val="000000" w:themeColor="text1"/>
          <w:sz w:val="32"/>
          <w:szCs w:val="24"/>
          <w14:textFill>
            <w14:solidFill>
              <w14:schemeClr w14:val="tx1"/>
            </w14:solidFill>
          </w14:textFill>
        </w:rPr>
        <w:t>3</w:t>
      </w:r>
      <w:r>
        <w:rPr>
          <w:rFonts w:hint="eastAsia" w:ascii="楷体_GB2312" w:hAnsi="楷体_GB2312" w:eastAsia="楷体_GB2312"/>
          <w:color w:val="000000" w:themeColor="text1"/>
          <w:sz w:val="32"/>
          <w:szCs w:val="24"/>
          <w14:textFill>
            <w14:solidFill>
              <w14:schemeClr w14:val="tx1"/>
            </w14:solidFill>
          </w14:textFill>
        </w:rPr>
        <w:t>.目标实现。</w:t>
      </w:r>
    </w:p>
    <w:p w14:paraId="0A2A7471">
      <w:pPr>
        <w:pStyle w:val="8"/>
        <w:keepNext w:val="0"/>
        <w:keepLines w:val="0"/>
        <w:pageBreakBefore w:val="0"/>
        <w:widowControl w:val="0"/>
        <w:numPr>
          <w:ilvl w:val="0"/>
          <w:numId w:val="0"/>
        </w:numPr>
        <w:kinsoku/>
        <w:wordWrap/>
        <w:overflowPunct w:val="0"/>
        <w:topLinePunct w:val="0"/>
        <w:bidi w:val="0"/>
        <w:snapToGrid/>
        <w:spacing w:after="0" w:line="576" w:lineRule="exact"/>
        <w:ind w:leftChars="0" w:firstLine="640" w:firstLineChars="200"/>
        <w:jc w:val="both"/>
        <w:textAlignment w:val="auto"/>
        <w:rPr>
          <w:rFonts w:hint="default" w:ascii="宋体"/>
          <w:color w:val="000000" w:themeColor="text1"/>
          <w:sz w:val="24"/>
          <w:szCs w:val="32"/>
          <w:lang w:val="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月部门预算执行进度达到量化指标。本部门预算项目年终预算执行情况部门预算项目</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月预算执行进度达到</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%。部门预算项目资金无结余。依据评价年度审计监督、财政检查结果，本单位预算管理方面无违纪违规问题。</w:t>
      </w:r>
    </w:p>
    <w:p w14:paraId="358F254C">
      <w:pPr>
        <w:keepNext w:val="0"/>
        <w:keepLines w:val="0"/>
        <w:pageBreakBefore w:val="0"/>
        <w:widowControl w:val="0"/>
        <w:numPr>
          <w:ilvl w:val="0"/>
          <w:numId w:val="2"/>
        </w:numPr>
        <w:kinsoku/>
        <w:wordWrap/>
        <w:overflowPunct w:val="0"/>
        <w:topLinePunct w:val="0"/>
        <w:bidi w:val="0"/>
        <w:snapToGrid/>
        <w:spacing w:line="576" w:lineRule="exact"/>
        <w:ind w:leftChars="0" w:firstLine="640" w:firstLineChars="200"/>
        <w:jc w:val="both"/>
        <w:textAlignment w:val="auto"/>
        <w:rPr>
          <w:rFonts w:hint="eastAsia" w:ascii="楷体_GB2312" w:hAnsi="楷体_GB2312" w:eastAsia="楷体_GB2312"/>
          <w:b w:val="0"/>
          <w:bCs/>
          <w:color w:val="000000" w:themeColor="text1"/>
          <w:sz w:val="32"/>
          <w:szCs w:val="24"/>
          <w:lang w:val="zh-CN"/>
          <w14:textFill>
            <w14:solidFill>
              <w14:schemeClr w14:val="tx1"/>
            </w14:solidFill>
          </w14:textFill>
        </w:rPr>
      </w:pPr>
      <w:r>
        <w:rPr>
          <w:rFonts w:hint="eastAsia" w:ascii="楷体_GB2312" w:hAnsi="楷体_GB2312" w:eastAsia="楷体_GB2312"/>
          <w:b w:val="0"/>
          <w:bCs/>
          <w:color w:val="000000" w:themeColor="text1"/>
          <w:sz w:val="32"/>
          <w:szCs w:val="24"/>
          <w:lang w:val="zh-CN"/>
          <w14:textFill>
            <w14:solidFill>
              <w14:schemeClr w14:val="tx1"/>
            </w14:solidFill>
          </w14:textFill>
        </w:rPr>
        <w:t>重点领域绩效分析。</w:t>
      </w:r>
      <w:r>
        <w:rPr>
          <w:rFonts w:hint="eastAsia" w:ascii="楷体_GB2312" w:hAnsi="楷体_GB2312" w:eastAsia="楷体_GB2312"/>
          <w:b w:val="0"/>
          <w:bCs/>
          <w:color w:val="000000" w:themeColor="text1"/>
          <w:sz w:val="32"/>
          <w:szCs w:val="24"/>
          <w14:textFill>
            <w14:solidFill>
              <w14:schemeClr w14:val="tx1"/>
            </w14:solidFill>
          </w14:textFill>
        </w:rPr>
        <w:t>无</w:t>
      </w:r>
    </w:p>
    <w:p w14:paraId="70D18BB5">
      <w:pPr>
        <w:keepNext w:val="0"/>
        <w:keepLines w:val="0"/>
        <w:pageBreakBefore w:val="0"/>
        <w:widowControl w:val="0"/>
        <w:kinsoku/>
        <w:wordWrap/>
        <w:overflowPunct w:val="0"/>
        <w:topLinePunct w:val="0"/>
        <w:bidi w:val="0"/>
        <w:snapToGrid/>
        <w:spacing w:line="576" w:lineRule="exact"/>
        <w:ind w:leftChars="0" w:firstLine="640" w:firstLineChars="200"/>
        <w:jc w:val="both"/>
        <w:textAlignment w:val="auto"/>
        <w:rPr>
          <w:rFonts w:hint="eastAsia" w:ascii="楷体_GB2312" w:hAnsi="楷体_GB2312" w:eastAsia="楷体_GB2312"/>
          <w:b w:val="0"/>
          <w:bCs/>
          <w:color w:val="000000" w:themeColor="text1"/>
          <w:sz w:val="32"/>
          <w:szCs w:val="24"/>
          <w:lang w:val="zh-CN"/>
          <w14:textFill>
            <w14:solidFill>
              <w14:schemeClr w14:val="tx1"/>
            </w14:solidFill>
          </w14:textFill>
        </w:rPr>
      </w:pPr>
      <w:r>
        <w:rPr>
          <w:rFonts w:hint="eastAsia" w:ascii="楷体_GB2312" w:hAnsi="楷体_GB2312" w:eastAsia="楷体_GB2312"/>
          <w:b w:val="0"/>
          <w:bCs/>
          <w:color w:val="000000" w:themeColor="text1"/>
          <w:sz w:val="32"/>
          <w:szCs w:val="24"/>
          <w:lang w:val="zh-CN"/>
          <w14:textFill>
            <w14:solidFill>
              <w14:schemeClr w14:val="tx1"/>
            </w14:solidFill>
          </w14:textFill>
        </w:rPr>
        <w:t>（四）绩效结果应用情况。</w:t>
      </w:r>
    </w:p>
    <w:p w14:paraId="57DFF689">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本单位严格执行预决算公开制度。在内部应用方面，将内设机构和下属单位绩效自评纳入考核体系，建立对内设机构和下属单位预算与绩效挂钩机制</w:t>
      </w:r>
      <w:r>
        <w:rPr>
          <w:rFonts w:hint="default"/>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要求将相关绩效信息随同决算公开的。本部门针对绩效管理过程中（包括绩效目标核查、绩效监控核查、重点自评抽查和重点绩效评价）提出的问题整改问题、完善政策、改进管理。在应用反馈方面，本部门在规定时间内向财政部门反馈应用绩效结果报告。本单位严格按照预算绩效管理办法开展绩效自评，健全财政预算绩效管理机制，强化绩效目标管理，使整体支出绩效准确率</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%，自评质量很高。</w:t>
      </w:r>
    </w:p>
    <w:p w14:paraId="3321D1C8">
      <w:pPr>
        <w:keepNext w:val="0"/>
        <w:keepLines w:val="0"/>
        <w:pageBreakBefore w:val="0"/>
        <w:widowControl w:val="0"/>
        <w:kinsoku/>
        <w:wordWrap/>
        <w:overflowPunct w:val="0"/>
        <w:topLinePunct w:val="0"/>
        <w:bidi w:val="0"/>
        <w:snapToGrid/>
        <w:spacing w:line="576" w:lineRule="exact"/>
        <w:ind w:leftChars="0" w:firstLine="640" w:firstLineChars="200"/>
        <w:jc w:val="both"/>
        <w:textAlignment w:val="auto"/>
        <w:rPr>
          <w:rFonts w:hint="eastAsia" w:ascii="黑体" w:hAnsi="黑体" w:eastAsia="黑体"/>
          <w:color w:val="000000" w:themeColor="text1"/>
          <w:sz w:val="32"/>
          <w:szCs w:val="24"/>
          <w14:textFill>
            <w14:solidFill>
              <w14:schemeClr w14:val="tx1"/>
            </w14:solidFill>
          </w14:textFill>
        </w:rPr>
      </w:pPr>
      <w:r>
        <w:rPr>
          <w:rFonts w:hint="eastAsia" w:ascii="黑体" w:hAnsi="黑体" w:eastAsia="黑体"/>
          <w:color w:val="000000" w:themeColor="text1"/>
          <w:sz w:val="32"/>
          <w:szCs w:val="24"/>
          <w14:textFill>
            <w14:solidFill>
              <w14:schemeClr w14:val="tx1"/>
            </w14:solidFill>
          </w14:textFill>
        </w:rPr>
        <w:t>四、评价结论及建议</w:t>
      </w:r>
    </w:p>
    <w:p w14:paraId="5D0F4A2B">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（一）自评结论</w:t>
      </w:r>
    </w:p>
    <w:p w14:paraId="06BB63C9">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按照预算绩效管理要求，本部门对</w:t>
      </w:r>
      <w:r>
        <w:rPr>
          <w:rFonts w:hint="eastAsia" w:ascii="Times New Roman" w:hAnsi="Times New Roman" w:eastAsia="仿宋_GB2312" w:cs="仿宋_GB2312"/>
          <w:b w:val="0"/>
          <w:bCs/>
          <w:color w:val="000000" w:themeColor="text1"/>
          <w:sz w:val="32"/>
          <w:szCs w:val="32"/>
          <w14:textFill>
            <w14:solidFill>
              <w14:schemeClr w14:val="tx1"/>
            </w14:solidFill>
          </w14:textFill>
        </w:rPr>
        <w:t>2022</w:t>
      </w:r>
      <w:r>
        <w:rPr>
          <w:rFonts w:hint="eastAsia" w:ascii="仿宋_GB2312" w:hAnsi="仿宋_GB2312" w:eastAsia="仿宋_GB2312" w:cs="仿宋_GB2312"/>
          <w:b w:val="0"/>
          <w:bCs/>
          <w:color w:val="000000" w:themeColor="text1"/>
          <w:sz w:val="32"/>
          <w:szCs w:val="32"/>
          <w14:textFill>
            <w14:solidFill>
              <w14:schemeClr w14:val="tx1"/>
            </w14:solidFill>
          </w14:textFill>
        </w:rPr>
        <w:t>年整体支出的人员类、运转类、特定目标类项目开展绩效自评，自评结果</w:t>
      </w:r>
      <w:r>
        <w:rPr>
          <w:rFonts w:hint="eastAsia" w:ascii="Times New Roman" w:hAnsi="Times New Roman" w:eastAsia="仿宋_GB2312" w:cs="仿宋_GB2312"/>
          <w:b w:val="0"/>
          <w:bCs/>
          <w:color w:val="000000" w:themeColor="text1"/>
          <w:sz w:val="32"/>
          <w:szCs w:val="32"/>
          <w14:textFill>
            <w14:solidFill>
              <w14:schemeClr w14:val="tx1"/>
            </w14:solidFill>
          </w14:textFill>
        </w:rPr>
        <w:t>100</w:t>
      </w:r>
      <w:r>
        <w:rPr>
          <w:rFonts w:hint="eastAsia" w:ascii="仿宋_GB2312" w:hAnsi="仿宋_GB2312" w:eastAsia="仿宋_GB2312" w:cs="仿宋_GB2312"/>
          <w:b w:val="0"/>
          <w:bCs/>
          <w:color w:val="000000" w:themeColor="text1"/>
          <w:sz w:val="32"/>
          <w:szCs w:val="32"/>
          <w14:textFill>
            <w14:solidFill>
              <w14:schemeClr w14:val="tx1"/>
            </w14:solidFill>
          </w14:textFill>
        </w:rPr>
        <w:t>分。</w:t>
      </w:r>
    </w:p>
    <w:p w14:paraId="77DF164B">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（二）存在问题</w:t>
      </w:r>
    </w:p>
    <w:p w14:paraId="4A318FE5">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一是绩效目标动态监控实行得不到位；二是由于单位特殊，在履职方面看不出成效；</w:t>
      </w:r>
    </w:p>
    <w:p w14:paraId="6BE20BA7">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（三）改进建议</w:t>
      </w:r>
    </w:p>
    <w:p w14:paraId="66F807BF">
      <w:pPr>
        <w:keepNext w:val="0"/>
        <w:keepLines w:val="0"/>
        <w:pageBreakBefore w:val="0"/>
        <w:widowControl w:val="0"/>
        <w:kinsoku/>
        <w:wordWrap/>
        <w:overflowPunct w:val="0"/>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下一步改进措施：一是严格执行绩效目标管理和绩效目标动态监控。二是尽量做到履职有所成效。</w:t>
      </w:r>
    </w:p>
    <w:p w14:paraId="71C2A385">
      <w:pPr>
        <w:pStyle w:val="8"/>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5C62760">
      <w:pPr>
        <w:pStyle w:val="8"/>
        <w:keepNext w:val="0"/>
        <w:keepLines w:val="0"/>
        <w:pageBreakBefore w:val="0"/>
        <w:widowControl w:val="0"/>
        <w:numPr>
          <w:ilvl w:val="0"/>
          <w:numId w:val="0"/>
        </w:numPr>
        <w:kinsoku/>
        <w:wordWrap/>
        <w:overflowPunct w:val="0"/>
        <w:topLinePunct w:val="0"/>
        <w:autoSpaceDE/>
        <w:autoSpaceDN/>
        <w:bidi w:val="0"/>
        <w:adjustRightInd/>
        <w:snapToGrid/>
        <w:spacing w:after="0"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D076C06">
      <w:pPr>
        <w:pStyle w:val="16"/>
        <w:keepNext w:val="0"/>
        <w:keepLines w:val="0"/>
        <w:pageBreakBefore w:val="0"/>
        <w:widowControl w:val="0"/>
        <w:kinsoku/>
        <w:wordWrap w:val="0"/>
        <w:overflowPunct w:val="0"/>
        <w:topLinePunct w:val="0"/>
        <w:autoSpaceDE/>
        <w:autoSpaceDN/>
        <w:bidi w:val="0"/>
        <w:adjustRightInd/>
        <w:snapToGrid/>
        <w:spacing w:line="576" w:lineRule="exact"/>
        <w:ind w:leftChars="0" w:firstLine="640" w:firstLineChars="200"/>
        <w:jc w:val="righ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　　　　</w:t>
      </w:r>
    </w:p>
    <w:p w14:paraId="0C6C30CF">
      <w:pPr>
        <w:autoSpaceDE/>
        <w:autoSpaceDN/>
        <w:adjustRightInd/>
        <w:spacing w:line="700" w:lineRule="exact"/>
        <w:jc w:val="right"/>
        <w:rPr>
          <w:rStyle w:val="26"/>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C4D9026">
      <w:pPr>
        <w:pStyle w:val="8"/>
        <w:rPr>
          <w:rStyle w:val="26"/>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835DE5C">
      <w:pPr>
        <w:rPr>
          <w:rFonts w:hint="eastAsia" w:ascii="仿宋_GB2312" w:hAnsi="仿宋_GB2312" w:eastAsia="仿宋_GB2312"/>
          <w:color w:val="000000" w:themeColor="text1"/>
          <w:kern w:val="2"/>
          <w:sz w:val="32"/>
          <w:szCs w:val="24"/>
          <w14:textFill>
            <w14:solidFill>
              <w14:schemeClr w14:val="tx1"/>
            </w14:solidFill>
          </w14:textFill>
        </w:rPr>
      </w:pPr>
      <w:r>
        <w:br w:type="page"/>
      </w:r>
    </w:p>
    <w:p w14:paraId="24DBA96C">
      <w:pPr>
        <w:keepNext/>
        <w:keepLines/>
        <w:spacing w:line="576" w:lineRule="exact"/>
        <w:jc w:val="both"/>
        <w:rPr>
          <w:rFonts w:hint="eastAsia" w:ascii="黑体" w:hAnsi="黑体" w:eastAsia="黑体" w:cs="黑体"/>
          <w:color w:val="000000" w:themeColor="text1"/>
          <w:kern w:val="2"/>
          <w:sz w:val="32"/>
          <w:szCs w:val="24"/>
          <w:lang w:eastAsia="zh-CN"/>
          <w14:textFill>
            <w14:solidFill>
              <w14:schemeClr w14:val="tx1"/>
            </w14:solidFill>
          </w14:textFill>
        </w:rPr>
      </w:pPr>
      <w:r>
        <w:rPr>
          <w:rFonts w:hint="eastAsia" w:ascii="黑体" w:hAnsi="黑体" w:eastAsia="黑体" w:cs="黑体"/>
          <w:color w:val="000000" w:themeColor="text1"/>
          <w:kern w:val="2"/>
          <w:sz w:val="32"/>
          <w:szCs w:val="24"/>
          <w14:textFill>
            <w14:solidFill>
              <w14:schemeClr w14:val="tx1"/>
            </w14:solidFill>
          </w14:textFill>
        </w:rPr>
        <w:t>附</w:t>
      </w:r>
      <w:r>
        <w:rPr>
          <w:rFonts w:hint="eastAsia" w:ascii="黑体" w:hAnsi="黑体" w:eastAsia="黑体" w:cs="黑体"/>
          <w:color w:val="000000" w:themeColor="text1"/>
          <w:kern w:val="2"/>
          <w:sz w:val="32"/>
          <w:szCs w:val="24"/>
          <w:lang w:eastAsia="zh-CN"/>
          <w14:textFill>
            <w14:solidFill>
              <w14:schemeClr w14:val="tx1"/>
            </w14:solidFill>
          </w14:textFill>
        </w:rPr>
        <w:t>件</w:t>
      </w:r>
      <w:r>
        <w:rPr>
          <w:rFonts w:hint="eastAsia" w:ascii="Times New Roman" w:hAnsi="Times New Roman" w:eastAsia="黑体" w:cs="黑体"/>
          <w:color w:val="000000" w:themeColor="text1"/>
          <w:kern w:val="2"/>
          <w:sz w:val="32"/>
          <w:szCs w:val="24"/>
          <w:lang w:eastAsia="zh-CN"/>
          <w14:textFill>
            <w14:solidFill>
              <w14:schemeClr w14:val="tx1"/>
            </w14:solidFill>
          </w14:textFill>
        </w:rPr>
        <w:t>１</w:t>
      </w:r>
    </w:p>
    <w:p w14:paraId="064D8030">
      <w:pPr>
        <w:pStyle w:val="2"/>
        <w:rPr>
          <w:rFonts w:hint="eastAsia"/>
          <w:color w:val="000000" w:themeColor="text1"/>
          <w:lang w:eastAsia="zh-CN"/>
          <w14:textFill>
            <w14:solidFill>
              <w14:schemeClr w14:val="tx1"/>
            </w14:solidFill>
          </w14:textFill>
        </w:rPr>
      </w:pPr>
    </w:p>
    <w:tbl>
      <w:tblPr>
        <w:tblStyle w:val="9"/>
        <w:tblW w:w="90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37"/>
        <w:gridCol w:w="1124"/>
        <w:gridCol w:w="966"/>
        <w:gridCol w:w="1241"/>
        <w:gridCol w:w="1190"/>
        <w:gridCol w:w="1698"/>
        <w:gridCol w:w="1293"/>
      </w:tblGrid>
      <w:tr w14:paraId="5B34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25" w:type="dxa"/>
            <w:gridSpan w:val="8"/>
            <w:tcBorders>
              <w:top w:val="nil"/>
              <w:left w:val="nil"/>
              <w:bottom w:val="nil"/>
              <w:right w:val="nil"/>
              <w:tl2br w:val="nil"/>
              <w:tr2bl w:val="nil"/>
            </w:tcBorders>
            <w:noWrap w:val="0"/>
            <w:vAlign w:val="center"/>
          </w:tcPr>
          <w:p w14:paraId="1446203C">
            <w:pPr>
              <w:widowControl/>
              <w:jc w:val="center"/>
              <w:textAlignment w:val="center"/>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广元市昭化区部门整体支出绩效目标自评表</w:t>
            </w:r>
          </w:p>
        </w:tc>
      </w:tr>
      <w:tr w14:paraId="6744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25" w:type="dxa"/>
            <w:gridSpan w:val="8"/>
            <w:tcBorders>
              <w:top w:val="nil"/>
              <w:left w:val="nil"/>
              <w:bottom w:val="nil"/>
              <w:right w:val="nil"/>
              <w:tl2br w:val="nil"/>
              <w:tr2bl w:val="nil"/>
            </w:tcBorders>
            <w:noWrap w:val="0"/>
            <w:vAlign w:val="top"/>
          </w:tcPr>
          <w:p w14:paraId="1A97CE93">
            <w:pPr>
              <w:widowControl/>
              <w:jc w:val="center"/>
              <w:textAlignment w:val="top"/>
              <w:rPr>
                <w:rFonts w:hint="default" w:hAnsi="宋体" w:cs="宋体"/>
                <w:color w:val="000000" w:themeColor="text1"/>
                <w:sz w:val="22"/>
                <w:szCs w:val="22"/>
                <w14:textFill>
                  <w14:solidFill>
                    <w14:schemeClr w14:val="tx1"/>
                  </w14:solidFill>
                </w14:textFill>
              </w:rPr>
            </w:pPr>
            <w:r>
              <w:rPr>
                <w:rFonts w:hint="default" w:hAnsi="宋体" w:cs="宋体"/>
                <w:color w:val="000000" w:themeColor="text1"/>
                <w:sz w:val="28"/>
                <w:szCs w:val="28"/>
                <w14:textFill>
                  <w14:solidFill>
                    <w14:schemeClr w14:val="tx1"/>
                  </w14:solidFill>
                </w14:textFill>
              </w:rPr>
              <w:t>（</w:t>
            </w:r>
            <w:r>
              <w:rPr>
                <w:rFonts w:hint="default" w:ascii="Times New Roman" w:hAnsi="Times New Roman" w:cs="宋体"/>
                <w:color w:val="000000" w:themeColor="text1"/>
                <w:sz w:val="28"/>
                <w:szCs w:val="28"/>
                <w14:textFill>
                  <w14:solidFill>
                    <w14:schemeClr w14:val="tx1"/>
                  </w14:solidFill>
                </w14:textFill>
              </w:rPr>
              <w:t>2022</w:t>
            </w:r>
            <w:r>
              <w:rPr>
                <w:rFonts w:hint="default" w:hAnsi="宋体" w:cs="宋体"/>
                <w:color w:val="000000" w:themeColor="text1"/>
                <w:sz w:val="28"/>
                <w:szCs w:val="28"/>
                <w14:textFill>
                  <w14:solidFill>
                    <w14:schemeClr w14:val="tx1"/>
                  </w14:solidFill>
                </w14:textFill>
              </w:rPr>
              <w:t>年度）</w:t>
            </w:r>
          </w:p>
        </w:tc>
      </w:tr>
      <w:tr w14:paraId="57B6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47E1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主管部门</w:t>
            </w:r>
          </w:p>
        </w:tc>
        <w:tc>
          <w:tcPr>
            <w:tcW w:w="333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59B8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中共广元市昭化区委群众工作局</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B21C1">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实施单位</w:t>
            </w:r>
          </w:p>
        </w:tc>
        <w:tc>
          <w:tcPr>
            <w:tcW w:w="2991"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32CFFF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0"/>
                <w:szCs w:val="20"/>
                <w14:textFill>
                  <w14:solidFill>
                    <w14:schemeClr w14:val="tx1"/>
                  </w14:solidFill>
                </w14:textFill>
              </w:rPr>
            </w:pPr>
            <w:r>
              <w:rPr>
                <w:rFonts w:hint="default" w:hAnsi="宋体" w:cs="宋体"/>
                <w:color w:val="000000" w:themeColor="text1"/>
                <w:sz w:val="20"/>
                <w:szCs w:val="20"/>
                <w14:textFill>
                  <w14:solidFill>
                    <w14:schemeClr w14:val="tx1"/>
                  </w14:solidFill>
                </w14:textFill>
              </w:rPr>
              <w:t>中共广元市昭化区委群众工作局</w:t>
            </w:r>
          </w:p>
        </w:tc>
      </w:tr>
      <w:tr w14:paraId="03C0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13"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E59CFA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项目（政策）资金（万元）</w:t>
            </w:r>
          </w:p>
        </w:tc>
        <w:tc>
          <w:tcPr>
            <w:tcW w:w="2090" w:type="dxa"/>
            <w:gridSpan w:val="2"/>
            <w:tcBorders>
              <w:top w:val="nil"/>
              <w:left w:val="single" w:color="000000" w:sz="4" w:space="0"/>
              <w:bottom w:val="single" w:color="000000" w:sz="4" w:space="0"/>
              <w:right w:val="single" w:color="000000" w:sz="4" w:space="0"/>
              <w:tl2br w:val="nil"/>
              <w:tr2bl w:val="nil"/>
            </w:tcBorders>
            <w:noWrap w:val="0"/>
            <w:vAlign w:val="center"/>
          </w:tcPr>
          <w:p w14:paraId="4CBF28B1">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241" w:type="dxa"/>
            <w:tcBorders>
              <w:top w:val="nil"/>
              <w:left w:val="single" w:color="000000" w:sz="4" w:space="0"/>
              <w:bottom w:val="single" w:color="000000" w:sz="4" w:space="0"/>
              <w:right w:val="single" w:color="000000" w:sz="4" w:space="0"/>
              <w:tl2br w:val="nil"/>
              <w:tr2bl w:val="nil"/>
            </w:tcBorders>
            <w:noWrap w:val="0"/>
            <w:vAlign w:val="center"/>
          </w:tcPr>
          <w:p w14:paraId="7126659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年初预算数</w:t>
            </w:r>
          </w:p>
        </w:tc>
        <w:tc>
          <w:tcPr>
            <w:tcW w:w="1190" w:type="dxa"/>
            <w:tcBorders>
              <w:top w:val="nil"/>
              <w:left w:val="single" w:color="000000" w:sz="4" w:space="0"/>
              <w:bottom w:val="single" w:color="000000" w:sz="4" w:space="0"/>
              <w:right w:val="single" w:color="000000" w:sz="4" w:space="0"/>
              <w:tl2br w:val="nil"/>
              <w:tr2bl w:val="nil"/>
            </w:tcBorders>
            <w:noWrap w:val="0"/>
            <w:vAlign w:val="center"/>
          </w:tcPr>
          <w:p w14:paraId="0FA3B57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全年预算数</w:t>
            </w:r>
          </w:p>
        </w:tc>
        <w:tc>
          <w:tcPr>
            <w:tcW w:w="1698" w:type="dxa"/>
            <w:tcBorders>
              <w:top w:val="nil"/>
              <w:left w:val="single" w:color="000000" w:sz="4" w:space="0"/>
              <w:bottom w:val="single" w:color="000000" w:sz="4" w:space="0"/>
              <w:right w:val="single" w:color="000000" w:sz="4" w:space="0"/>
              <w:tl2br w:val="nil"/>
              <w:tr2bl w:val="nil"/>
            </w:tcBorders>
            <w:noWrap w:val="0"/>
            <w:vAlign w:val="center"/>
          </w:tcPr>
          <w:p w14:paraId="034A28D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全年执行数</w:t>
            </w:r>
          </w:p>
        </w:tc>
        <w:tc>
          <w:tcPr>
            <w:tcW w:w="1293" w:type="dxa"/>
            <w:tcBorders>
              <w:top w:val="nil"/>
              <w:left w:val="single" w:color="000000" w:sz="4" w:space="0"/>
              <w:bottom w:val="single" w:color="000000" w:sz="4" w:space="0"/>
              <w:right w:val="single" w:color="000000" w:sz="4" w:space="0"/>
              <w:tl2br w:val="nil"/>
              <w:tr2bl w:val="nil"/>
            </w:tcBorders>
            <w:noWrap w:val="0"/>
            <w:vAlign w:val="center"/>
          </w:tcPr>
          <w:p w14:paraId="787ACA81">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执行率(%)</w:t>
            </w:r>
          </w:p>
        </w:tc>
      </w:tr>
      <w:tr w14:paraId="2100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1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5D1178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5A7C5">
            <w:pPr>
              <w:keepNext w:val="0"/>
              <w:keepLines w:val="0"/>
              <w:pageBreakBefore w:val="0"/>
              <w:widowControl/>
              <w:kinsoku/>
              <w:wordWrap/>
              <w:overflowPunct/>
              <w:topLinePunct w:val="0"/>
              <w:autoSpaceDE w:val="0"/>
              <w:autoSpaceDN w:val="0"/>
              <w:bidi w:val="0"/>
              <w:adjustRightInd w:val="0"/>
              <w:snapToGrid/>
              <w:ind w:left="-60" w:leftChars="-25" w:right="-60" w:rightChars="-25"/>
              <w:jc w:val="both"/>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年度资金总额</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E9F55">
            <w:pPr>
              <w:keepNext w:val="0"/>
              <w:keepLines w:val="0"/>
              <w:pageBreakBefore w:val="0"/>
              <w:widowControl/>
              <w:kinsoku/>
              <w:wordWrap/>
              <w:overflowPunct/>
              <w:topLinePunct w:val="0"/>
              <w:autoSpaceDE w:val="0"/>
              <w:autoSpaceDN w:val="0"/>
              <w:bidi w:val="0"/>
              <w:adjustRightInd w:val="0"/>
              <w:snapToGrid/>
              <w:ind w:left="-60" w:leftChars="-25" w:right="-60" w:rightChars="-25"/>
              <w:jc w:val="both"/>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173</w:t>
            </w:r>
            <w:r>
              <w:rPr>
                <w:rFonts w:hint="default" w:hAnsi="宋体" w:cs="宋体"/>
                <w:color w:val="000000" w:themeColor="text1"/>
                <w:sz w:val="18"/>
                <w:szCs w:val="18"/>
                <w14:textFill>
                  <w14:solidFill>
                    <w14:schemeClr w14:val="tx1"/>
                  </w14:solidFill>
                </w14:textFill>
              </w:rPr>
              <w:t>.</w:t>
            </w:r>
            <w:r>
              <w:rPr>
                <w:rFonts w:hint="default" w:ascii="Times New Roman" w:hAnsi="Times New Roman" w:cs="宋体"/>
                <w:color w:val="000000" w:themeColor="text1"/>
                <w:sz w:val="18"/>
                <w:szCs w:val="18"/>
                <w14:textFill>
                  <w14:solidFill>
                    <w14:schemeClr w14:val="tx1"/>
                  </w14:solidFill>
                </w14:textFill>
              </w:rPr>
              <w:t>6</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0C59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195</w:t>
            </w:r>
            <w:r>
              <w:rPr>
                <w:rFonts w:hint="default" w:hAnsi="宋体" w:cs="宋体"/>
                <w:color w:val="000000" w:themeColor="text1"/>
                <w:sz w:val="18"/>
                <w:szCs w:val="18"/>
                <w14:textFill>
                  <w14:solidFill>
                    <w14:schemeClr w14:val="tx1"/>
                  </w14:solidFill>
                </w14:textFill>
              </w:rPr>
              <w:t>.</w:t>
            </w:r>
            <w:r>
              <w:rPr>
                <w:rFonts w:hint="default" w:ascii="Times New Roman" w:hAnsi="Times New Roman" w:cs="宋体"/>
                <w:color w:val="000000" w:themeColor="text1"/>
                <w:sz w:val="18"/>
                <w:szCs w:val="18"/>
                <w14:textFill>
                  <w14:solidFill>
                    <w14:schemeClr w14:val="tx1"/>
                  </w14:solidFill>
                </w14:textFill>
              </w:rPr>
              <w:t>63</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69004">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195</w:t>
            </w:r>
            <w:r>
              <w:rPr>
                <w:rFonts w:hint="default" w:hAnsi="宋体" w:cs="宋体"/>
                <w:color w:val="000000" w:themeColor="text1"/>
                <w:sz w:val="18"/>
                <w:szCs w:val="18"/>
                <w14:textFill>
                  <w14:solidFill>
                    <w14:schemeClr w14:val="tx1"/>
                  </w14:solidFill>
                </w14:textFill>
              </w:rPr>
              <w:t>.</w:t>
            </w:r>
            <w:r>
              <w:rPr>
                <w:rFonts w:hint="default" w:ascii="Times New Roman" w:hAnsi="Times New Roman" w:cs="宋体"/>
                <w:color w:val="000000" w:themeColor="text1"/>
                <w:sz w:val="18"/>
                <w:szCs w:val="18"/>
                <w14:textFill>
                  <w14:solidFill>
                    <w14:schemeClr w14:val="tx1"/>
                  </w14:solidFill>
                </w14:textFill>
              </w:rPr>
              <w:t>63</w:t>
            </w:r>
          </w:p>
        </w:tc>
        <w:tc>
          <w:tcPr>
            <w:tcW w:w="1293" w:type="dxa"/>
            <w:tcBorders>
              <w:top w:val="nil"/>
              <w:left w:val="single" w:color="000000" w:sz="4" w:space="0"/>
              <w:bottom w:val="single" w:color="000000" w:sz="4" w:space="0"/>
              <w:right w:val="single" w:color="000000" w:sz="4" w:space="0"/>
              <w:tl2br w:val="nil"/>
              <w:tr2bl w:val="nil"/>
            </w:tcBorders>
            <w:noWrap w:val="0"/>
            <w:vAlign w:val="center"/>
          </w:tcPr>
          <w:p w14:paraId="6286366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100</w:t>
            </w:r>
          </w:p>
        </w:tc>
      </w:tr>
      <w:tr w14:paraId="5A3D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1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45734CA">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DB952">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（一）财政拨款小计</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5F7B2">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173</w:t>
            </w:r>
            <w:r>
              <w:rPr>
                <w:rFonts w:hint="default" w:hAnsi="宋体" w:cs="宋体"/>
                <w:color w:val="000000" w:themeColor="text1"/>
                <w:sz w:val="18"/>
                <w:szCs w:val="18"/>
                <w14:textFill>
                  <w14:solidFill>
                    <w14:schemeClr w14:val="tx1"/>
                  </w14:solidFill>
                </w14:textFill>
              </w:rPr>
              <w:t>.</w:t>
            </w:r>
            <w:r>
              <w:rPr>
                <w:rFonts w:hint="default" w:ascii="Times New Roman" w:hAnsi="Times New Roman" w:cs="宋体"/>
                <w:color w:val="000000" w:themeColor="text1"/>
                <w:sz w:val="18"/>
                <w:szCs w:val="18"/>
                <w14:textFill>
                  <w14:solidFill>
                    <w14:schemeClr w14:val="tx1"/>
                  </w14:solidFill>
                </w14:textFill>
              </w:rPr>
              <w:t>6</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AEFF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195</w:t>
            </w:r>
            <w:r>
              <w:rPr>
                <w:rFonts w:hint="default" w:hAnsi="宋体" w:cs="宋体"/>
                <w:color w:val="000000" w:themeColor="text1"/>
                <w:sz w:val="18"/>
                <w:szCs w:val="18"/>
                <w14:textFill>
                  <w14:solidFill>
                    <w14:schemeClr w14:val="tx1"/>
                  </w14:solidFill>
                </w14:textFill>
              </w:rPr>
              <w:t>.</w:t>
            </w:r>
            <w:r>
              <w:rPr>
                <w:rFonts w:hint="default" w:ascii="Times New Roman" w:hAnsi="Times New Roman" w:cs="宋体"/>
                <w:color w:val="000000" w:themeColor="text1"/>
                <w:sz w:val="18"/>
                <w:szCs w:val="18"/>
                <w14:textFill>
                  <w14:solidFill>
                    <w14:schemeClr w14:val="tx1"/>
                  </w14:solidFill>
                </w14:textFill>
              </w:rPr>
              <w:t>63</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55D4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195</w:t>
            </w:r>
            <w:r>
              <w:rPr>
                <w:rFonts w:hint="default" w:hAnsi="宋体" w:cs="宋体"/>
                <w:color w:val="000000" w:themeColor="text1"/>
                <w:sz w:val="18"/>
                <w:szCs w:val="18"/>
                <w14:textFill>
                  <w14:solidFill>
                    <w14:schemeClr w14:val="tx1"/>
                  </w14:solidFill>
                </w14:textFill>
              </w:rPr>
              <w:t>.</w:t>
            </w:r>
            <w:r>
              <w:rPr>
                <w:rFonts w:hint="default" w:ascii="Times New Roman" w:hAnsi="Times New Roman" w:cs="宋体"/>
                <w:color w:val="000000" w:themeColor="text1"/>
                <w:sz w:val="18"/>
                <w:szCs w:val="18"/>
                <w14:textFill>
                  <w14:solidFill>
                    <w14:schemeClr w14:val="tx1"/>
                  </w14:solidFill>
                </w14:textFill>
              </w:rPr>
              <w:t>63</w:t>
            </w:r>
          </w:p>
        </w:tc>
        <w:tc>
          <w:tcPr>
            <w:tcW w:w="1293" w:type="dxa"/>
            <w:tcBorders>
              <w:top w:val="nil"/>
              <w:left w:val="single" w:color="000000" w:sz="4" w:space="0"/>
              <w:bottom w:val="single" w:color="000000" w:sz="4" w:space="0"/>
              <w:right w:val="single" w:color="000000" w:sz="4" w:space="0"/>
              <w:tl2br w:val="nil"/>
              <w:tr2bl w:val="nil"/>
            </w:tcBorders>
            <w:noWrap w:val="0"/>
            <w:vAlign w:val="center"/>
          </w:tcPr>
          <w:p w14:paraId="4384A854">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100</w:t>
            </w:r>
          </w:p>
        </w:tc>
      </w:tr>
      <w:tr w14:paraId="1B62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1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729E21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2E09C">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 xml:space="preserve">   </w:t>
            </w:r>
            <w:r>
              <w:rPr>
                <w:rFonts w:hint="default" w:ascii="Times New Roman" w:hAnsi="Times New Roman" w:cs="宋体"/>
                <w:color w:val="000000" w:themeColor="text1"/>
                <w:sz w:val="18"/>
                <w:szCs w:val="18"/>
                <w14:textFill>
                  <w14:solidFill>
                    <w14:schemeClr w14:val="tx1"/>
                  </w14:solidFill>
                </w14:textFill>
              </w:rPr>
              <w:t>1</w:t>
            </w:r>
            <w:r>
              <w:rPr>
                <w:rFonts w:hint="default" w:hAnsi="宋体" w:cs="宋体"/>
                <w:color w:val="000000" w:themeColor="text1"/>
                <w:sz w:val="18"/>
                <w:szCs w:val="18"/>
                <w14:textFill>
                  <w14:solidFill>
                    <w14:schemeClr w14:val="tx1"/>
                  </w14:solidFill>
                </w14:textFill>
              </w:rPr>
              <w:t>.一般公共预算</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13230">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173</w:t>
            </w:r>
            <w:r>
              <w:rPr>
                <w:rFonts w:hint="default" w:hAnsi="宋体" w:cs="宋体"/>
                <w:color w:val="000000" w:themeColor="text1"/>
                <w:sz w:val="18"/>
                <w:szCs w:val="18"/>
                <w14:textFill>
                  <w14:solidFill>
                    <w14:schemeClr w14:val="tx1"/>
                  </w14:solidFill>
                </w14:textFill>
              </w:rPr>
              <w:t>.</w:t>
            </w:r>
            <w:r>
              <w:rPr>
                <w:rFonts w:hint="default" w:ascii="Times New Roman" w:hAnsi="Times New Roman" w:cs="宋体"/>
                <w:color w:val="000000" w:themeColor="text1"/>
                <w:sz w:val="18"/>
                <w:szCs w:val="18"/>
                <w14:textFill>
                  <w14:solidFill>
                    <w14:schemeClr w14:val="tx1"/>
                  </w14:solidFill>
                </w14:textFill>
              </w:rPr>
              <w:t>6</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D092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195</w:t>
            </w:r>
            <w:r>
              <w:rPr>
                <w:rFonts w:hint="default" w:hAnsi="宋体" w:cs="宋体"/>
                <w:color w:val="000000" w:themeColor="text1"/>
                <w:sz w:val="18"/>
                <w:szCs w:val="18"/>
                <w14:textFill>
                  <w14:solidFill>
                    <w14:schemeClr w14:val="tx1"/>
                  </w14:solidFill>
                </w14:textFill>
              </w:rPr>
              <w:t>.</w:t>
            </w:r>
            <w:r>
              <w:rPr>
                <w:rFonts w:hint="default" w:ascii="Times New Roman" w:hAnsi="Times New Roman" w:cs="宋体"/>
                <w:color w:val="000000" w:themeColor="text1"/>
                <w:sz w:val="18"/>
                <w:szCs w:val="18"/>
                <w14:textFill>
                  <w14:solidFill>
                    <w14:schemeClr w14:val="tx1"/>
                  </w14:solidFill>
                </w14:textFill>
              </w:rPr>
              <w:t>63</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69C8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195</w:t>
            </w:r>
            <w:r>
              <w:rPr>
                <w:rFonts w:hint="default" w:hAnsi="宋体" w:cs="宋体"/>
                <w:color w:val="000000" w:themeColor="text1"/>
                <w:sz w:val="18"/>
                <w:szCs w:val="18"/>
                <w14:textFill>
                  <w14:solidFill>
                    <w14:schemeClr w14:val="tx1"/>
                  </w14:solidFill>
                </w14:textFill>
              </w:rPr>
              <w:t>.</w:t>
            </w:r>
            <w:r>
              <w:rPr>
                <w:rFonts w:hint="default" w:ascii="Times New Roman" w:hAnsi="Times New Roman" w:cs="宋体"/>
                <w:color w:val="000000" w:themeColor="text1"/>
                <w:sz w:val="18"/>
                <w:szCs w:val="18"/>
                <w14:textFill>
                  <w14:solidFill>
                    <w14:schemeClr w14:val="tx1"/>
                  </w14:solidFill>
                </w14:textFill>
              </w:rPr>
              <w:t>63</w:t>
            </w:r>
          </w:p>
        </w:tc>
        <w:tc>
          <w:tcPr>
            <w:tcW w:w="1293" w:type="dxa"/>
            <w:tcBorders>
              <w:top w:val="nil"/>
              <w:left w:val="single" w:color="000000" w:sz="4" w:space="0"/>
              <w:bottom w:val="single" w:color="000000" w:sz="4" w:space="0"/>
              <w:right w:val="single" w:color="000000" w:sz="4" w:space="0"/>
              <w:tl2br w:val="nil"/>
              <w:tr2bl w:val="nil"/>
            </w:tcBorders>
            <w:noWrap w:val="0"/>
            <w:vAlign w:val="center"/>
          </w:tcPr>
          <w:p w14:paraId="56B687E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100</w:t>
            </w:r>
          </w:p>
        </w:tc>
      </w:tr>
      <w:tr w14:paraId="0E93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1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F290DF5">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B919F">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 xml:space="preserve">   </w:t>
            </w:r>
            <w:r>
              <w:rPr>
                <w:rFonts w:hint="default" w:ascii="Times New Roman" w:hAnsi="Times New Roman" w:cs="宋体"/>
                <w:color w:val="000000" w:themeColor="text1"/>
                <w:sz w:val="18"/>
                <w:szCs w:val="18"/>
                <w14:textFill>
                  <w14:solidFill>
                    <w14:schemeClr w14:val="tx1"/>
                  </w14:solidFill>
                </w14:textFill>
              </w:rPr>
              <w:t>2</w:t>
            </w:r>
            <w:r>
              <w:rPr>
                <w:rFonts w:hint="default" w:hAnsi="宋体" w:cs="宋体"/>
                <w:color w:val="000000" w:themeColor="text1"/>
                <w:sz w:val="18"/>
                <w:szCs w:val="18"/>
                <w14:textFill>
                  <w14:solidFill>
                    <w14:schemeClr w14:val="tx1"/>
                  </w14:solidFill>
                </w14:textFill>
              </w:rPr>
              <w:t>.政府性基金</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B9A33">
            <w:pPr>
              <w:keepNext w:val="0"/>
              <w:keepLines w:val="0"/>
              <w:pageBreakBefore w:val="0"/>
              <w:widowControl/>
              <w:kinsoku/>
              <w:wordWrap/>
              <w:overflowPunct/>
              <w:topLinePunct w:val="0"/>
              <w:autoSpaceDE w:val="0"/>
              <w:autoSpaceDN w:val="0"/>
              <w:bidi w:val="0"/>
              <w:adjustRightInd w:val="0"/>
              <w:snapToGrid/>
              <w:ind w:left="-60" w:leftChars="-25" w:right="-60" w:rightChars="-25"/>
              <w:rPr>
                <w:rFonts w:hint="default" w:hAnsi="宋体" w:cs="宋体"/>
                <w:color w:val="000000" w:themeColor="text1"/>
                <w:sz w:val="18"/>
                <w:szCs w:val="18"/>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1FC0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FB32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293" w:type="dxa"/>
            <w:tcBorders>
              <w:top w:val="nil"/>
              <w:left w:val="single" w:color="000000" w:sz="4" w:space="0"/>
              <w:bottom w:val="single" w:color="000000" w:sz="4" w:space="0"/>
              <w:right w:val="single" w:color="000000" w:sz="4" w:space="0"/>
              <w:tl2br w:val="nil"/>
              <w:tr2bl w:val="nil"/>
            </w:tcBorders>
            <w:noWrap w:val="0"/>
            <w:vAlign w:val="center"/>
          </w:tcPr>
          <w:p w14:paraId="002672E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4CEE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1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B3CB1D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1FA43">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 xml:space="preserve">  </w:t>
            </w:r>
            <w:r>
              <w:rPr>
                <w:rFonts w:hint="default" w:ascii="Times New Roman" w:hAnsi="Times New Roman" w:cs="宋体"/>
                <w:color w:val="000000" w:themeColor="text1"/>
                <w:sz w:val="18"/>
                <w:szCs w:val="18"/>
                <w14:textFill>
                  <w14:solidFill>
                    <w14:schemeClr w14:val="tx1"/>
                  </w14:solidFill>
                </w14:textFill>
              </w:rPr>
              <w:t>3</w:t>
            </w:r>
            <w:r>
              <w:rPr>
                <w:rFonts w:hint="default" w:hAnsi="宋体" w:cs="宋体"/>
                <w:color w:val="000000" w:themeColor="text1"/>
                <w:sz w:val="18"/>
                <w:szCs w:val="18"/>
                <w14:textFill>
                  <w14:solidFill>
                    <w14:schemeClr w14:val="tx1"/>
                  </w14:solidFill>
                </w14:textFill>
              </w:rPr>
              <w:t>.国有资本经营预算</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CFC75">
            <w:pPr>
              <w:keepNext w:val="0"/>
              <w:keepLines w:val="0"/>
              <w:pageBreakBefore w:val="0"/>
              <w:widowControl/>
              <w:kinsoku/>
              <w:wordWrap/>
              <w:overflowPunct/>
              <w:topLinePunct w:val="0"/>
              <w:autoSpaceDE w:val="0"/>
              <w:autoSpaceDN w:val="0"/>
              <w:bidi w:val="0"/>
              <w:adjustRightInd w:val="0"/>
              <w:snapToGrid/>
              <w:ind w:left="-60" w:leftChars="-25" w:right="-60" w:rightChars="-25"/>
              <w:rPr>
                <w:rFonts w:hint="default" w:hAnsi="宋体" w:cs="宋体"/>
                <w:color w:val="000000" w:themeColor="text1"/>
                <w:sz w:val="18"/>
                <w:szCs w:val="18"/>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8179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E2415">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293" w:type="dxa"/>
            <w:tcBorders>
              <w:top w:val="nil"/>
              <w:left w:val="single" w:color="000000" w:sz="4" w:space="0"/>
              <w:bottom w:val="single" w:color="000000" w:sz="4" w:space="0"/>
              <w:right w:val="single" w:color="000000" w:sz="4" w:space="0"/>
              <w:tl2br w:val="nil"/>
              <w:tr2bl w:val="nil"/>
            </w:tcBorders>
            <w:noWrap w:val="0"/>
            <w:vAlign w:val="center"/>
          </w:tcPr>
          <w:p w14:paraId="011F5B1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3CB4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1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1F48FD">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BEC75">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 xml:space="preserve">  </w:t>
            </w:r>
            <w:r>
              <w:rPr>
                <w:rFonts w:hint="default" w:ascii="Times New Roman" w:hAnsi="Times New Roman" w:cs="宋体"/>
                <w:color w:val="000000" w:themeColor="text1"/>
                <w:sz w:val="18"/>
                <w:szCs w:val="18"/>
                <w14:textFill>
                  <w14:solidFill>
                    <w14:schemeClr w14:val="tx1"/>
                  </w14:solidFill>
                </w14:textFill>
              </w:rPr>
              <w:t>4</w:t>
            </w:r>
            <w:r>
              <w:rPr>
                <w:rFonts w:hint="default" w:hAnsi="宋体" w:cs="宋体"/>
                <w:color w:val="000000" w:themeColor="text1"/>
                <w:sz w:val="18"/>
                <w:szCs w:val="18"/>
                <w14:textFill>
                  <w14:solidFill>
                    <w14:schemeClr w14:val="tx1"/>
                  </w14:solidFill>
                </w14:textFill>
              </w:rPr>
              <w:t>.社保基金</w:t>
            </w:r>
          </w:p>
        </w:tc>
        <w:tc>
          <w:tcPr>
            <w:tcW w:w="12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161A3">
            <w:pPr>
              <w:keepNext w:val="0"/>
              <w:keepLines w:val="0"/>
              <w:pageBreakBefore w:val="0"/>
              <w:widowControl/>
              <w:kinsoku/>
              <w:wordWrap/>
              <w:overflowPunct/>
              <w:topLinePunct w:val="0"/>
              <w:autoSpaceDE w:val="0"/>
              <w:autoSpaceDN w:val="0"/>
              <w:bidi w:val="0"/>
              <w:adjustRightInd w:val="0"/>
              <w:snapToGrid/>
              <w:ind w:left="-60" w:leftChars="-25" w:right="-60" w:rightChars="-25"/>
              <w:rPr>
                <w:rFonts w:hint="default" w:hAnsi="宋体" w:cs="宋体"/>
                <w:color w:val="000000" w:themeColor="text1"/>
                <w:sz w:val="18"/>
                <w:szCs w:val="18"/>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E414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E95A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293" w:type="dxa"/>
            <w:tcBorders>
              <w:top w:val="nil"/>
              <w:left w:val="single" w:color="000000" w:sz="4" w:space="0"/>
              <w:bottom w:val="single" w:color="000000" w:sz="4" w:space="0"/>
              <w:right w:val="single" w:color="000000" w:sz="4" w:space="0"/>
              <w:tl2br w:val="nil"/>
              <w:tr2bl w:val="nil"/>
            </w:tcBorders>
            <w:noWrap w:val="0"/>
            <w:vAlign w:val="center"/>
          </w:tcPr>
          <w:p w14:paraId="3EF0F32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2789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13"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73C84F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090" w:type="dxa"/>
            <w:gridSpan w:val="2"/>
            <w:tcBorders>
              <w:top w:val="single" w:color="000000" w:sz="4" w:space="0"/>
              <w:left w:val="single" w:color="000000" w:sz="4" w:space="0"/>
              <w:bottom w:val="nil"/>
              <w:right w:val="single" w:color="000000" w:sz="4" w:space="0"/>
              <w:tl2br w:val="nil"/>
              <w:tr2bl w:val="nil"/>
            </w:tcBorders>
            <w:noWrap w:val="0"/>
            <w:vAlign w:val="center"/>
          </w:tcPr>
          <w:p w14:paraId="1F7EE023">
            <w:pPr>
              <w:keepNext w:val="0"/>
              <w:keepLines w:val="0"/>
              <w:pageBreakBefore w:val="0"/>
              <w:widowControl/>
              <w:kinsoku/>
              <w:wordWrap/>
              <w:overflowPunct/>
              <w:topLinePunct w:val="0"/>
              <w:autoSpaceDE w:val="0"/>
              <w:autoSpaceDN w:val="0"/>
              <w:bidi w:val="0"/>
              <w:adjustRightInd w:val="0"/>
              <w:snapToGrid/>
              <w:ind w:left="-60" w:leftChars="-25" w:right="-60" w:rightChars="-25"/>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（二）其他资金</w:t>
            </w:r>
          </w:p>
        </w:tc>
        <w:tc>
          <w:tcPr>
            <w:tcW w:w="1241" w:type="dxa"/>
            <w:tcBorders>
              <w:top w:val="single" w:color="000000" w:sz="4" w:space="0"/>
              <w:left w:val="single" w:color="000000" w:sz="4" w:space="0"/>
              <w:bottom w:val="nil"/>
              <w:right w:val="single" w:color="000000" w:sz="4" w:space="0"/>
              <w:tl2br w:val="nil"/>
              <w:tr2bl w:val="nil"/>
            </w:tcBorders>
            <w:noWrap w:val="0"/>
            <w:vAlign w:val="center"/>
          </w:tcPr>
          <w:p w14:paraId="3749CE5D">
            <w:pPr>
              <w:keepNext w:val="0"/>
              <w:keepLines w:val="0"/>
              <w:pageBreakBefore w:val="0"/>
              <w:widowControl/>
              <w:kinsoku/>
              <w:wordWrap/>
              <w:overflowPunct/>
              <w:topLinePunct w:val="0"/>
              <w:autoSpaceDE w:val="0"/>
              <w:autoSpaceDN w:val="0"/>
              <w:bidi w:val="0"/>
              <w:adjustRightInd w:val="0"/>
              <w:snapToGrid/>
              <w:ind w:left="-60" w:leftChars="-25" w:right="-60" w:rightChars="-25"/>
              <w:rPr>
                <w:rFonts w:hint="default" w:hAnsi="宋体" w:cs="宋体"/>
                <w:color w:val="000000" w:themeColor="text1"/>
                <w:sz w:val="18"/>
                <w:szCs w:val="18"/>
                <w14:textFill>
                  <w14:solidFill>
                    <w14:schemeClr w14:val="tx1"/>
                  </w14:solidFill>
                </w14:textFill>
              </w:rPr>
            </w:pPr>
          </w:p>
        </w:tc>
        <w:tc>
          <w:tcPr>
            <w:tcW w:w="1190" w:type="dxa"/>
            <w:tcBorders>
              <w:top w:val="single" w:color="000000" w:sz="4" w:space="0"/>
              <w:left w:val="single" w:color="000000" w:sz="4" w:space="0"/>
              <w:bottom w:val="nil"/>
              <w:right w:val="single" w:color="000000" w:sz="4" w:space="0"/>
              <w:tl2br w:val="nil"/>
              <w:tr2bl w:val="nil"/>
            </w:tcBorders>
            <w:noWrap w:val="0"/>
            <w:vAlign w:val="center"/>
          </w:tcPr>
          <w:p w14:paraId="0A1A9F6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698" w:type="dxa"/>
            <w:tcBorders>
              <w:top w:val="single" w:color="000000" w:sz="4" w:space="0"/>
              <w:left w:val="single" w:color="000000" w:sz="4" w:space="0"/>
              <w:bottom w:val="nil"/>
              <w:right w:val="single" w:color="000000" w:sz="4" w:space="0"/>
              <w:tl2br w:val="nil"/>
              <w:tr2bl w:val="nil"/>
            </w:tcBorders>
            <w:noWrap w:val="0"/>
            <w:vAlign w:val="center"/>
          </w:tcPr>
          <w:p w14:paraId="0A6F000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293" w:type="dxa"/>
            <w:tcBorders>
              <w:top w:val="nil"/>
              <w:left w:val="single" w:color="000000" w:sz="4" w:space="0"/>
              <w:bottom w:val="nil"/>
              <w:right w:val="single" w:color="000000" w:sz="4" w:space="0"/>
              <w:tl2br w:val="nil"/>
              <w:tr2bl w:val="nil"/>
            </w:tcBorders>
            <w:noWrap w:val="0"/>
            <w:vAlign w:val="center"/>
          </w:tcPr>
          <w:p w14:paraId="3A693A6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56DC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342F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整体</w:t>
            </w:r>
            <w:r>
              <w:rPr>
                <w:rFonts w:hint="default" w:hAnsi="宋体" w:cs="宋体"/>
                <w:color w:val="000000" w:themeColor="text1"/>
                <w:sz w:val="18"/>
                <w:szCs w:val="18"/>
                <w14:textFill>
                  <w14:solidFill>
                    <w14:schemeClr w14:val="tx1"/>
                  </w14:solidFill>
                </w14:textFill>
              </w:rPr>
              <w:br w:type="textWrapping"/>
            </w:r>
            <w:r>
              <w:rPr>
                <w:rFonts w:hint="default" w:hAnsi="宋体" w:cs="宋体"/>
                <w:color w:val="000000" w:themeColor="text1"/>
                <w:sz w:val="18"/>
                <w:szCs w:val="18"/>
                <w14:textFill>
                  <w14:solidFill>
                    <w14:schemeClr w14:val="tx1"/>
                  </w14:solidFill>
                </w14:textFill>
              </w:rPr>
              <w:t>目标</w:t>
            </w:r>
          </w:p>
        </w:tc>
        <w:tc>
          <w:tcPr>
            <w:tcW w:w="535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E2C8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年度目标</w:t>
            </w:r>
          </w:p>
        </w:tc>
        <w:tc>
          <w:tcPr>
            <w:tcW w:w="29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46D9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完成情况</w:t>
            </w:r>
          </w:p>
        </w:tc>
      </w:tr>
      <w:tr w14:paraId="239B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BE7F1">
            <w:pPr>
              <w:jc w:val="center"/>
              <w:rPr>
                <w:rFonts w:hint="default" w:hAnsi="宋体" w:cs="宋体"/>
                <w:color w:val="000000" w:themeColor="text1"/>
                <w:sz w:val="18"/>
                <w:szCs w:val="18"/>
                <w14:textFill>
                  <w14:solidFill>
                    <w14:schemeClr w14:val="tx1"/>
                  </w14:solidFill>
                </w14:textFill>
              </w:rPr>
            </w:pPr>
          </w:p>
        </w:tc>
        <w:tc>
          <w:tcPr>
            <w:tcW w:w="535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F0B33">
            <w:pPr>
              <w:keepNext w:val="0"/>
              <w:keepLines w:val="0"/>
              <w:pageBreakBefore w:val="0"/>
              <w:widowControl/>
              <w:kinsoku/>
              <w:wordWrap/>
              <w:overflowPunct/>
              <w:topLinePunct w:val="0"/>
              <w:autoSpaceDE w:val="0"/>
              <w:autoSpaceDN w:val="0"/>
              <w:bidi w:val="0"/>
              <w:adjustRightInd w:val="0"/>
              <w:snapToGrid/>
              <w:ind w:left="-60" w:leftChars="-25" w:right="-60" w:rightChars="-25" w:firstLine="320" w:firstLineChars="200"/>
              <w:jc w:val="left"/>
              <w:textAlignment w:val="center"/>
              <w:rPr>
                <w:rFonts w:hint="default" w:hAnsi="宋体" w:cs="宋体"/>
                <w:color w:val="000000" w:themeColor="text1"/>
                <w:sz w:val="16"/>
                <w:szCs w:val="16"/>
                <w14:textFill>
                  <w14:solidFill>
                    <w14:schemeClr w14:val="tx1"/>
                  </w14:solidFill>
                </w14:textFill>
              </w:rPr>
            </w:pPr>
            <w:r>
              <w:rPr>
                <w:rFonts w:hint="default" w:hAnsi="宋体" w:cs="宋体"/>
                <w:color w:val="000000" w:themeColor="text1"/>
                <w:sz w:val="16"/>
                <w:szCs w:val="16"/>
                <w14:textFill>
                  <w14:solidFill>
                    <w14:schemeClr w14:val="tx1"/>
                  </w14:solidFill>
                </w14:textFill>
              </w:rPr>
              <w:t>以习近平新时代中国特色社会主义思想为指导，全面贯彻习近平总书记关干加强和改进人民信访工作重要思想，全面落实中央、省、市信访工作决策部署，坚持以人民为中心，以“事要解决”为核心，围绕“</w:t>
            </w:r>
            <w:r>
              <w:rPr>
                <w:rFonts w:hint="default" w:ascii="Times New Roman" w:hAnsi="Times New Roman" w:cs="宋体"/>
                <w:color w:val="000000" w:themeColor="text1"/>
                <w:sz w:val="16"/>
                <w:szCs w:val="16"/>
                <w14:textFill>
                  <w14:solidFill>
                    <w14:schemeClr w14:val="tx1"/>
                  </w14:solidFill>
                </w14:textFill>
              </w:rPr>
              <w:t>1331</w:t>
            </w:r>
            <w:r>
              <w:rPr>
                <w:rFonts w:hint="default" w:hAnsi="宋体" w:cs="宋体"/>
                <w:color w:val="000000" w:themeColor="text1"/>
                <w:sz w:val="16"/>
                <w:szCs w:val="16"/>
                <w14:textFill>
                  <w14:solidFill>
                    <w14:schemeClr w14:val="tx1"/>
                  </w14:solidFill>
                </w14:textFill>
              </w:rPr>
              <w:t>”(推进“访源治理”，开展“项活动”、推动“三项实践”，巩固“一套机制”)工作思路，对标国家治理体系和治理能力现代化，畅通和规范诉求表达、利益协调、权益保障通道，提升信访工作化解矛盾的社会效能，更好地维护群众合法权益，服务全区工作大局。一是接待群众来访</w:t>
            </w:r>
            <w:r>
              <w:rPr>
                <w:rFonts w:hint="default" w:ascii="Times New Roman" w:hAnsi="Times New Roman" w:cs="宋体"/>
                <w:color w:val="000000" w:themeColor="text1"/>
                <w:sz w:val="16"/>
                <w:szCs w:val="16"/>
                <w14:textFill>
                  <w14:solidFill>
                    <w14:schemeClr w14:val="tx1"/>
                  </w14:solidFill>
                </w14:textFill>
              </w:rPr>
              <w:t>956</w:t>
            </w:r>
            <w:r>
              <w:rPr>
                <w:rFonts w:hint="default" w:hAnsi="宋体" w:cs="宋体"/>
                <w:color w:val="000000" w:themeColor="text1"/>
                <w:sz w:val="16"/>
                <w:szCs w:val="16"/>
                <w14:textFill>
                  <w14:solidFill>
                    <w14:schemeClr w14:val="tx1"/>
                  </w14:solidFill>
                </w14:textFill>
              </w:rPr>
              <w:t>批</w:t>
            </w:r>
            <w:r>
              <w:rPr>
                <w:rFonts w:hint="default" w:ascii="Times New Roman" w:hAnsi="Times New Roman" w:cs="宋体"/>
                <w:color w:val="000000" w:themeColor="text1"/>
                <w:sz w:val="16"/>
                <w:szCs w:val="16"/>
                <w14:textFill>
                  <w14:solidFill>
                    <w14:schemeClr w14:val="tx1"/>
                  </w14:solidFill>
                </w14:textFill>
              </w:rPr>
              <w:t>1638</w:t>
            </w:r>
            <w:r>
              <w:rPr>
                <w:rFonts w:hint="default" w:hAnsi="宋体" w:cs="宋体"/>
                <w:color w:val="000000" w:themeColor="text1"/>
                <w:sz w:val="16"/>
                <w:szCs w:val="16"/>
                <w14:textFill>
                  <w14:solidFill>
                    <w14:schemeClr w14:val="tx1"/>
                  </w14:solidFill>
                </w14:textFill>
              </w:rPr>
              <w:t>人次，受理群众来信</w:t>
            </w:r>
            <w:r>
              <w:rPr>
                <w:rFonts w:hint="default" w:ascii="Times New Roman" w:hAnsi="Times New Roman" w:cs="宋体"/>
                <w:color w:val="000000" w:themeColor="text1"/>
                <w:sz w:val="16"/>
                <w:szCs w:val="16"/>
                <w14:textFill>
                  <w14:solidFill>
                    <w14:schemeClr w14:val="tx1"/>
                  </w14:solidFill>
                </w14:textFill>
              </w:rPr>
              <w:t>600</w:t>
            </w:r>
            <w:r>
              <w:rPr>
                <w:rFonts w:hint="default" w:hAnsi="宋体" w:cs="宋体"/>
                <w:color w:val="000000" w:themeColor="text1"/>
                <w:sz w:val="16"/>
                <w:szCs w:val="16"/>
                <w14:textFill>
                  <w14:solidFill>
                    <w14:schemeClr w14:val="tx1"/>
                  </w14:solidFill>
                </w14:textFill>
              </w:rPr>
              <w:t>余件，收阅办理省、市、区领导信箱来信</w:t>
            </w:r>
            <w:r>
              <w:rPr>
                <w:rFonts w:hint="default" w:ascii="Times New Roman" w:hAnsi="Times New Roman" w:cs="宋体"/>
                <w:color w:val="000000" w:themeColor="text1"/>
                <w:sz w:val="16"/>
                <w:szCs w:val="16"/>
                <w14:textFill>
                  <w14:solidFill>
                    <w14:schemeClr w14:val="tx1"/>
                  </w14:solidFill>
                </w14:textFill>
              </w:rPr>
              <w:t>40</w:t>
            </w:r>
            <w:r>
              <w:rPr>
                <w:rFonts w:hint="default" w:hAnsi="宋体" w:cs="宋体"/>
                <w:color w:val="000000" w:themeColor="text1"/>
                <w:sz w:val="16"/>
                <w:szCs w:val="16"/>
                <w14:textFill>
                  <w14:solidFill>
                    <w14:schemeClr w14:val="tx1"/>
                  </w14:solidFill>
                </w14:textFill>
              </w:rPr>
              <w:t>件，接听区委书记、区长热线</w:t>
            </w:r>
            <w:r>
              <w:rPr>
                <w:rFonts w:hint="default" w:ascii="Times New Roman" w:hAnsi="Times New Roman" w:cs="宋体"/>
                <w:color w:val="000000" w:themeColor="text1"/>
                <w:sz w:val="16"/>
                <w:szCs w:val="16"/>
                <w14:textFill>
                  <w14:solidFill>
                    <w14:schemeClr w14:val="tx1"/>
                  </w14:solidFill>
                </w14:textFill>
              </w:rPr>
              <w:t>1240</w:t>
            </w:r>
            <w:r>
              <w:rPr>
                <w:rFonts w:hint="default" w:hAnsi="宋体" w:cs="宋体"/>
                <w:color w:val="000000" w:themeColor="text1"/>
                <w:sz w:val="16"/>
                <w:szCs w:val="16"/>
                <w14:textFill>
                  <w14:solidFill>
                    <w14:schemeClr w14:val="tx1"/>
                  </w14:solidFill>
                </w14:textFill>
              </w:rPr>
              <w:t>次。转送交办、督办上级交办信访事项</w:t>
            </w:r>
            <w:r>
              <w:rPr>
                <w:rFonts w:hint="default" w:ascii="Times New Roman" w:hAnsi="Times New Roman" w:cs="宋体"/>
                <w:color w:val="000000" w:themeColor="text1"/>
                <w:sz w:val="16"/>
                <w:szCs w:val="16"/>
                <w14:textFill>
                  <w14:solidFill>
                    <w14:schemeClr w14:val="tx1"/>
                  </w14:solidFill>
                </w14:textFill>
              </w:rPr>
              <w:t>90</w:t>
            </w:r>
            <w:r>
              <w:rPr>
                <w:rFonts w:hint="default" w:hAnsi="宋体" w:cs="宋体"/>
                <w:color w:val="000000" w:themeColor="text1"/>
                <w:sz w:val="16"/>
                <w:szCs w:val="16"/>
                <w14:textFill>
                  <w14:solidFill>
                    <w14:schemeClr w14:val="tx1"/>
                  </w14:solidFill>
                </w14:textFill>
              </w:rPr>
              <w:t>余件。针对信访信息动态情况，综合分析研判，开展调查研究，及时准确地向区委区政府提出参考性建议对策。二是协调处理跨县区和部门的重要群众工作和信访事项</w:t>
            </w:r>
            <w:r>
              <w:rPr>
                <w:rFonts w:hint="default" w:ascii="Times New Roman" w:hAnsi="Times New Roman" w:cs="宋体"/>
                <w:color w:val="000000" w:themeColor="text1"/>
                <w:sz w:val="16"/>
                <w:szCs w:val="16"/>
                <w14:textFill>
                  <w14:solidFill>
                    <w14:schemeClr w14:val="tx1"/>
                  </w14:solidFill>
                </w14:textFill>
              </w:rPr>
              <w:t>80</w:t>
            </w:r>
            <w:r>
              <w:rPr>
                <w:rFonts w:hint="default" w:hAnsi="宋体" w:cs="宋体"/>
                <w:color w:val="000000" w:themeColor="text1"/>
                <w:sz w:val="16"/>
                <w:szCs w:val="16"/>
                <w14:textFill>
                  <w14:solidFill>
                    <w14:schemeClr w14:val="tx1"/>
                  </w14:solidFill>
                </w14:textFill>
              </w:rPr>
              <w:t>余件。协调事发部门处理群众到市级及以上集访和突发性群体性事件</w:t>
            </w:r>
            <w:r>
              <w:rPr>
                <w:rFonts w:hint="default" w:ascii="Times New Roman" w:hAnsi="Times New Roman" w:cs="宋体"/>
                <w:color w:val="000000" w:themeColor="text1"/>
                <w:sz w:val="16"/>
                <w:szCs w:val="16"/>
                <w14:textFill>
                  <w14:solidFill>
                    <w14:schemeClr w14:val="tx1"/>
                  </w14:solidFill>
                </w14:textFill>
              </w:rPr>
              <w:t>28</w:t>
            </w:r>
            <w:r>
              <w:rPr>
                <w:rFonts w:hint="default" w:hAnsi="宋体" w:cs="宋体"/>
                <w:color w:val="000000" w:themeColor="text1"/>
                <w:sz w:val="16"/>
                <w:szCs w:val="16"/>
                <w14:textFill>
                  <w14:solidFill>
                    <w14:schemeClr w14:val="tx1"/>
                  </w14:solidFill>
                </w14:textFill>
              </w:rPr>
              <w:t>次。三是督促检查全区群众和信访工作</w:t>
            </w:r>
            <w:r>
              <w:rPr>
                <w:rFonts w:hint="default" w:ascii="Times New Roman" w:hAnsi="Times New Roman" w:cs="宋体"/>
                <w:color w:val="000000" w:themeColor="text1"/>
                <w:sz w:val="16"/>
                <w:szCs w:val="16"/>
                <w14:textFill>
                  <w14:solidFill>
                    <w14:schemeClr w14:val="tx1"/>
                  </w14:solidFill>
                </w14:textFill>
              </w:rPr>
              <w:t>26</w:t>
            </w:r>
            <w:r>
              <w:rPr>
                <w:rFonts w:hint="default" w:hAnsi="宋体" w:cs="宋体"/>
                <w:color w:val="000000" w:themeColor="text1"/>
                <w:sz w:val="16"/>
                <w:szCs w:val="16"/>
                <w14:textFill>
                  <w14:solidFill>
                    <w14:schemeClr w14:val="tx1"/>
                  </w14:solidFill>
                </w14:textFill>
              </w:rPr>
              <w:t>次，日常负责全区的信访信息系统的办理和指导;研究起草全区群众和信访工作规范性文件</w:t>
            </w:r>
            <w:r>
              <w:rPr>
                <w:rFonts w:hint="default" w:ascii="Times New Roman" w:hAnsi="Times New Roman" w:cs="宋体"/>
                <w:color w:val="000000" w:themeColor="text1"/>
                <w:sz w:val="16"/>
                <w:szCs w:val="16"/>
                <w14:textFill>
                  <w14:solidFill>
                    <w14:schemeClr w14:val="tx1"/>
                  </w14:solidFill>
                </w14:textFill>
              </w:rPr>
              <w:t>27</w:t>
            </w:r>
            <w:r>
              <w:rPr>
                <w:rFonts w:hint="default" w:hAnsi="宋体" w:cs="宋体"/>
                <w:color w:val="000000" w:themeColor="text1"/>
                <w:sz w:val="16"/>
                <w:szCs w:val="16"/>
                <w14:textFill>
                  <w14:solidFill>
                    <w14:schemeClr w14:val="tx1"/>
                  </w14:solidFill>
                </w14:textFill>
              </w:rPr>
              <w:t>件，总结推广各乡镇和部门的群众信访工作经验，固化经验做法，通报重大群众和信访问题及事件</w:t>
            </w:r>
            <w:r>
              <w:rPr>
                <w:rFonts w:hint="default" w:ascii="Times New Roman" w:hAnsi="Times New Roman" w:cs="宋体"/>
                <w:color w:val="000000" w:themeColor="text1"/>
                <w:sz w:val="16"/>
                <w:szCs w:val="16"/>
                <w14:textFill>
                  <w14:solidFill>
                    <w14:schemeClr w14:val="tx1"/>
                  </w14:solidFill>
                </w14:textFill>
              </w:rPr>
              <w:t>64</w:t>
            </w:r>
            <w:r>
              <w:rPr>
                <w:rFonts w:hint="default" w:hAnsi="宋体" w:cs="宋体"/>
                <w:color w:val="000000" w:themeColor="text1"/>
                <w:sz w:val="16"/>
                <w:szCs w:val="16"/>
                <w14:textFill>
                  <w14:solidFill>
                    <w14:schemeClr w14:val="tx1"/>
                  </w14:solidFill>
                </w14:textFill>
              </w:rPr>
              <w:t>件。四是扎实推进信访法治化建设，全面治理信访秩序。保证信访渠道的畅通，负责协调区领导值班接待群众来访和包案处理信访案件</w:t>
            </w:r>
            <w:r>
              <w:rPr>
                <w:rFonts w:hint="default" w:ascii="Times New Roman" w:hAnsi="Times New Roman" w:cs="宋体"/>
                <w:color w:val="000000" w:themeColor="text1"/>
                <w:sz w:val="16"/>
                <w:szCs w:val="16"/>
                <w14:textFill>
                  <w14:solidFill>
                    <w14:schemeClr w14:val="tx1"/>
                  </w14:solidFill>
                </w14:textFill>
              </w:rPr>
              <w:t>121</w:t>
            </w:r>
            <w:r>
              <w:rPr>
                <w:rFonts w:hint="default" w:hAnsi="宋体" w:cs="宋体"/>
                <w:color w:val="000000" w:themeColor="text1"/>
                <w:sz w:val="16"/>
                <w:szCs w:val="16"/>
                <w14:textFill>
                  <w14:solidFill>
                    <w14:schemeClr w14:val="tx1"/>
                  </w14:solidFill>
                </w14:textFill>
              </w:rPr>
              <w:t>件。五是搞好驻京、省市值班工作</w:t>
            </w:r>
            <w:r>
              <w:rPr>
                <w:rFonts w:hint="default" w:ascii="Times New Roman" w:hAnsi="Times New Roman" w:cs="宋体"/>
                <w:color w:val="000000" w:themeColor="text1"/>
                <w:sz w:val="16"/>
                <w:szCs w:val="16"/>
                <w14:textFill>
                  <w14:solidFill>
                    <w14:schemeClr w14:val="tx1"/>
                  </w14:solidFill>
                </w14:textFill>
              </w:rPr>
              <w:t>21</w:t>
            </w:r>
            <w:r>
              <w:rPr>
                <w:rFonts w:hint="default" w:hAnsi="宋体" w:cs="宋体"/>
                <w:color w:val="000000" w:themeColor="text1"/>
                <w:sz w:val="16"/>
                <w:szCs w:val="16"/>
                <w14:textFill>
                  <w14:solidFill>
                    <w14:schemeClr w14:val="tx1"/>
                  </w14:solidFill>
                </w14:textFill>
              </w:rPr>
              <w:t>次;协调处置赴京、到省非正常上访工作</w:t>
            </w:r>
            <w:r>
              <w:rPr>
                <w:rFonts w:hint="default" w:ascii="Times New Roman" w:hAnsi="Times New Roman" w:cs="宋体"/>
                <w:color w:val="000000" w:themeColor="text1"/>
                <w:sz w:val="16"/>
                <w:szCs w:val="16"/>
                <w14:textFill>
                  <w14:solidFill>
                    <w14:schemeClr w14:val="tx1"/>
                  </w14:solidFill>
                </w14:textFill>
              </w:rPr>
              <w:t>14</w:t>
            </w:r>
            <w:r>
              <w:rPr>
                <w:rFonts w:hint="default" w:hAnsi="宋体" w:cs="宋体"/>
                <w:color w:val="000000" w:themeColor="text1"/>
                <w:sz w:val="16"/>
                <w:szCs w:val="16"/>
                <w14:textFill>
                  <w14:solidFill>
                    <w14:schemeClr w14:val="tx1"/>
                  </w14:solidFill>
                </w14:textFill>
              </w:rPr>
              <w:t>次。六是受理信访事项复查复核</w:t>
            </w:r>
            <w:r>
              <w:rPr>
                <w:rFonts w:hint="default" w:ascii="Times New Roman" w:hAnsi="Times New Roman" w:cs="宋体"/>
                <w:color w:val="000000" w:themeColor="text1"/>
                <w:sz w:val="16"/>
                <w:szCs w:val="16"/>
                <w14:textFill>
                  <w14:solidFill>
                    <w14:schemeClr w14:val="tx1"/>
                  </w14:solidFill>
                </w14:textFill>
              </w:rPr>
              <w:t>6</w:t>
            </w:r>
            <w:r>
              <w:rPr>
                <w:rFonts w:hint="default" w:hAnsi="宋体" w:cs="宋体"/>
                <w:color w:val="000000" w:themeColor="text1"/>
                <w:sz w:val="16"/>
                <w:szCs w:val="16"/>
                <w14:textFill>
                  <w14:solidFill>
                    <w14:schemeClr w14:val="tx1"/>
                  </w14:solidFill>
                </w14:textFill>
              </w:rPr>
              <w:t>件，常态化指导区级部门和乡镇(街道)的群众(信访)工作，完成区委区政府和上级群工(信访)部门交办的其它任务。</w:t>
            </w:r>
          </w:p>
        </w:tc>
        <w:tc>
          <w:tcPr>
            <w:tcW w:w="29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19C8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全面完成</w:t>
            </w:r>
          </w:p>
        </w:tc>
      </w:tr>
      <w:tr w14:paraId="7680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E29A5">
            <w:pPr>
              <w:widowControl/>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部门整体绩效指标</w:t>
            </w:r>
          </w:p>
        </w:tc>
        <w:tc>
          <w:tcPr>
            <w:tcW w:w="8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1DA28">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一级指标</w:t>
            </w:r>
          </w:p>
        </w:tc>
        <w:tc>
          <w:tcPr>
            <w:tcW w:w="11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C1F3D">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二级指标</w:t>
            </w: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03F4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三级指标</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CEC2A">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年度指标值</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FEEC5">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实际完成值</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A12C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偏差原因分析及改进措施</w:t>
            </w:r>
          </w:p>
        </w:tc>
      </w:tr>
      <w:tr w14:paraId="6747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45626">
            <w:pPr>
              <w:jc w:val="center"/>
              <w:rPr>
                <w:rFonts w:hint="default" w:hAnsi="宋体" w:cs="宋体"/>
                <w:color w:val="000000" w:themeColor="text1"/>
                <w:sz w:val="18"/>
                <w:szCs w:val="18"/>
                <w14:textFill>
                  <w14:solidFill>
                    <w14:schemeClr w14:val="tx1"/>
                  </w14:solidFill>
                </w14:textFill>
              </w:rPr>
            </w:pPr>
          </w:p>
        </w:tc>
        <w:tc>
          <w:tcPr>
            <w:tcW w:w="8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E54E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产出指标</w:t>
            </w:r>
          </w:p>
        </w:tc>
        <w:tc>
          <w:tcPr>
            <w:tcW w:w="11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124AD">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数量指标</w:t>
            </w: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EBB4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ascii="Times New Roman" w:hAnsi="Times New Roman" w:cs="宋体"/>
                <w:color w:val="000000" w:themeColor="text1"/>
                <w:sz w:val="18"/>
                <w:szCs w:val="18"/>
                <w14:textFill>
                  <w14:solidFill>
                    <w14:schemeClr w14:val="tx1"/>
                  </w14:solidFill>
                </w14:textFill>
              </w:rPr>
              <w:t>12</w:t>
            </w:r>
            <w:r>
              <w:rPr>
                <w:rFonts w:hint="default" w:hAnsi="宋体" w:cs="宋体"/>
                <w:color w:val="000000" w:themeColor="text1"/>
                <w:sz w:val="18"/>
                <w:szCs w:val="18"/>
                <w14:textFill>
                  <w14:solidFill>
                    <w14:schemeClr w14:val="tx1"/>
                  </w14:solidFill>
                </w14:textFill>
              </w:rPr>
              <w:t>个镇和局机关建设短信平台个数</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0E83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13</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D067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13</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C5E8C">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18D9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378A5">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C30E9">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A2CEE">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25D06">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到京.到省值班人数</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8C71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12</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2A01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12</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E57FA">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1589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5FE5A">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F1677">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B47A3">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71DC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到京.到省值班月数</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8441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6</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2225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6</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6D37E2">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24"/>
                <w:szCs w:val="24"/>
                <w14:textFill>
                  <w14:solidFill>
                    <w14:schemeClr w14:val="tx1"/>
                  </w14:solidFill>
                </w14:textFill>
              </w:rPr>
            </w:pPr>
          </w:p>
        </w:tc>
      </w:tr>
      <w:tr w14:paraId="17FA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ACCB7">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92D8F">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38CEA">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DD6A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省委书记、省长信箱和市委书记、市长信箱、区委书记、区长信箱三级领导信箱办理信访件</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61F7D">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6</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C709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6</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B2CDF">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2475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DB8FA">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2CF72">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4545A">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质量指标</w:t>
            </w: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95116">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平台覆盖率</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96A3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B491A">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29F0C">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6CCB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77824">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21F31">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52060">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386B4">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信箱覆盖率</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6ECF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7D17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D7827">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113D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76F8F">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310BB">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59E4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时效指标</w:t>
            </w:r>
          </w:p>
        </w:tc>
        <w:tc>
          <w:tcPr>
            <w:tcW w:w="220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87F8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全面完成各项任务</w:t>
            </w:r>
          </w:p>
        </w:tc>
        <w:tc>
          <w:tcPr>
            <w:tcW w:w="119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6C80FE4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6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B4AF5">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2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A3B1C">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4DAE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2EFB4">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D55DB">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83463">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2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1A275">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5F47BF6">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24"/>
                <w:szCs w:val="24"/>
                <w14:textFill>
                  <w14:solidFill>
                    <w14:schemeClr w14:val="tx1"/>
                  </w14:solidFill>
                </w14:textFill>
              </w:rPr>
            </w:pPr>
          </w:p>
        </w:tc>
        <w:tc>
          <w:tcPr>
            <w:tcW w:w="16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3443B">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24"/>
                <w:szCs w:val="24"/>
                <w14:textFill>
                  <w14:solidFill>
                    <w14:schemeClr w14:val="tx1"/>
                  </w14:solidFill>
                </w14:textFill>
              </w:rPr>
            </w:pPr>
          </w:p>
        </w:tc>
        <w:tc>
          <w:tcPr>
            <w:tcW w:w="12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15680">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60E8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1CEA4">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BDD12">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5098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成本指标</w:t>
            </w: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89F4D">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人员经费（万元）</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046B5">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124</w:t>
            </w:r>
            <w:r>
              <w:rPr>
                <w:rFonts w:hint="default" w:hAnsi="宋体" w:cs="宋体"/>
                <w:color w:val="000000" w:themeColor="text1"/>
                <w:sz w:val="24"/>
                <w:szCs w:val="24"/>
                <w14:textFill>
                  <w14:solidFill>
                    <w14:schemeClr w14:val="tx1"/>
                  </w14:solidFill>
                </w14:textFill>
              </w:rPr>
              <w:t>.</w:t>
            </w:r>
            <w:r>
              <w:rPr>
                <w:rFonts w:hint="default" w:ascii="Times New Roman" w:hAnsi="Times New Roman" w:cs="宋体"/>
                <w:color w:val="000000" w:themeColor="text1"/>
                <w:sz w:val="24"/>
                <w:szCs w:val="24"/>
                <w14:textFill>
                  <w14:solidFill>
                    <w14:schemeClr w14:val="tx1"/>
                  </w14:solidFill>
                </w14:textFill>
              </w:rPr>
              <w:t>76</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D3FC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124</w:t>
            </w:r>
            <w:r>
              <w:rPr>
                <w:rFonts w:hint="default" w:hAnsi="宋体" w:cs="宋体"/>
                <w:color w:val="000000" w:themeColor="text1"/>
                <w:sz w:val="24"/>
                <w:szCs w:val="24"/>
                <w14:textFill>
                  <w14:solidFill>
                    <w14:schemeClr w14:val="tx1"/>
                  </w14:solidFill>
                </w14:textFill>
              </w:rPr>
              <w:t>.</w:t>
            </w:r>
            <w:r>
              <w:rPr>
                <w:rFonts w:hint="default" w:ascii="Times New Roman" w:hAnsi="Times New Roman" w:cs="宋体"/>
                <w:color w:val="000000" w:themeColor="text1"/>
                <w:sz w:val="24"/>
                <w:szCs w:val="24"/>
                <w14:textFill>
                  <w14:solidFill>
                    <w14:schemeClr w14:val="tx1"/>
                  </w14:solidFill>
                </w14:textFill>
              </w:rPr>
              <w:t>76</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B66CE">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13BA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D6DD8">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9CC59">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00658">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0F36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日常运转经费（万元）</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3AA1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48</w:t>
            </w:r>
            <w:r>
              <w:rPr>
                <w:rFonts w:hint="default" w:hAnsi="宋体" w:cs="宋体"/>
                <w:color w:val="000000" w:themeColor="text1"/>
                <w:sz w:val="24"/>
                <w:szCs w:val="24"/>
                <w14:textFill>
                  <w14:solidFill>
                    <w14:schemeClr w14:val="tx1"/>
                  </w14:solidFill>
                </w14:textFill>
              </w:rPr>
              <w:t>.</w:t>
            </w:r>
            <w:r>
              <w:rPr>
                <w:rFonts w:hint="default" w:ascii="Times New Roman" w:hAnsi="Times New Roman" w:cs="宋体"/>
                <w:color w:val="000000" w:themeColor="text1"/>
                <w:sz w:val="24"/>
                <w:szCs w:val="24"/>
                <w14:textFill>
                  <w14:solidFill>
                    <w14:schemeClr w14:val="tx1"/>
                  </w14:solidFill>
                </w14:textFill>
              </w:rPr>
              <w:t>82</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2AAD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48</w:t>
            </w:r>
            <w:r>
              <w:rPr>
                <w:rFonts w:hint="default" w:hAnsi="宋体" w:cs="宋体"/>
                <w:color w:val="000000" w:themeColor="text1"/>
                <w:sz w:val="24"/>
                <w:szCs w:val="24"/>
                <w14:textFill>
                  <w14:solidFill>
                    <w14:schemeClr w14:val="tx1"/>
                  </w14:solidFill>
                </w14:textFill>
              </w:rPr>
              <w:t>.</w:t>
            </w:r>
            <w:r>
              <w:rPr>
                <w:rFonts w:hint="default" w:ascii="Times New Roman" w:hAnsi="Times New Roman" w:cs="宋体"/>
                <w:color w:val="000000" w:themeColor="text1"/>
                <w:sz w:val="24"/>
                <w:szCs w:val="24"/>
                <w14:textFill>
                  <w14:solidFill>
                    <w14:schemeClr w14:val="tx1"/>
                  </w14:solidFill>
                </w14:textFill>
              </w:rPr>
              <w:t>82</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D3DB2">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2C63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C7F7A">
            <w:pPr>
              <w:jc w:val="center"/>
              <w:rPr>
                <w:rFonts w:hint="default" w:hAnsi="宋体" w:cs="宋体"/>
                <w:color w:val="000000" w:themeColor="text1"/>
                <w:sz w:val="18"/>
                <w:szCs w:val="18"/>
                <w14:textFill>
                  <w14:solidFill>
                    <w14:schemeClr w14:val="tx1"/>
                  </w14:solidFill>
                </w14:textFill>
              </w:rPr>
            </w:pPr>
          </w:p>
        </w:tc>
        <w:tc>
          <w:tcPr>
            <w:tcW w:w="8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71BA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效益指标</w:t>
            </w:r>
          </w:p>
        </w:tc>
        <w:tc>
          <w:tcPr>
            <w:tcW w:w="11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55F0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经济效益</w:t>
            </w:r>
            <w:r>
              <w:rPr>
                <w:rFonts w:hint="default" w:hAnsi="宋体" w:cs="宋体"/>
                <w:color w:val="000000" w:themeColor="text1"/>
                <w:sz w:val="18"/>
                <w:szCs w:val="18"/>
                <w14:textFill>
                  <w14:solidFill>
                    <w14:schemeClr w14:val="tx1"/>
                  </w14:solidFill>
                </w14:textFill>
              </w:rPr>
              <w:br w:type="textWrapping"/>
            </w:r>
            <w:r>
              <w:rPr>
                <w:rFonts w:hint="default" w:hAnsi="宋体" w:cs="宋体"/>
                <w:color w:val="000000" w:themeColor="text1"/>
                <w:sz w:val="18"/>
                <w:szCs w:val="18"/>
                <w14:textFill>
                  <w14:solidFill>
                    <w14:schemeClr w14:val="tx1"/>
                  </w14:solidFill>
                </w14:textFill>
              </w:rPr>
              <w:t>指标</w:t>
            </w: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6D924">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打好经济发展基础维护社会稳定，使用率达</w:t>
            </w:r>
            <w:r>
              <w:rPr>
                <w:rFonts w:hint="default" w:ascii="Times New Roman" w:hAnsi="Times New Roman" w:cs="宋体"/>
                <w:color w:val="000000" w:themeColor="text1"/>
                <w:sz w:val="18"/>
                <w:szCs w:val="18"/>
                <w14:textFill>
                  <w14:solidFill>
                    <w14:schemeClr w14:val="tx1"/>
                  </w14:solidFill>
                </w14:textFill>
              </w:rPr>
              <w:t>100</w:t>
            </w:r>
            <w:r>
              <w:rPr>
                <w:rFonts w:hint="default" w:hAnsi="宋体" w:cs="宋体"/>
                <w:color w:val="000000" w:themeColor="text1"/>
                <w:sz w:val="18"/>
                <w:szCs w:val="18"/>
                <w14:textFill>
                  <w14:solidFill>
                    <w14:schemeClr w14:val="tx1"/>
                  </w14:solidFill>
                </w14:textFill>
              </w:rPr>
              <w:t>%</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EAF8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9CF41">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E3A3C">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268A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07913">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97B5D">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D97C2">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社会效益</w:t>
            </w:r>
            <w:r>
              <w:rPr>
                <w:rFonts w:hint="default" w:hAnsi="宋体" w:cs="宋体"/>
                <w:color w:val="000000" w:themeColor="text1"/>
                <w:sz w:val="18"/>
                <w:szCs w:val="18"/>
                <w14:textFill>
                  <w14:solidFill>
                    <w14:schemeClr w14:val="tx1"/>
                  </w14:solidFill>
                </w14:textFill>
              </w:rPr>
              <w:br w:type="textWrapping"/>
            </w:r>
            <w:r>
              <w:rPr>
                <w:rFonts w:hint="default" w:hAnsi="宋体" w:cs="宋体"/>
                <w:color w:val="000000" w:themeColor="text1"/>
                <w:sz w:val="18"/>
                <w:szCs w:val="18"/>
                <w14:textFill>
                  <w14:solidFill>
                    <w14:schemeClr w14:val="tx1"/>
                  </w14:solidFill>
                </w14:textFill>
              </w:rPr>
              <w:t>指标</w:t>
            </w: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A6009">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宣传和教育相结合，确保社会稳定，让群众少跑路</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39EE7">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D56AF">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105E0">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3609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38D3C">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7B54C">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7A0B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生态效益</w:t>
            </w:r>
            <w:r>
              <w:rPr>
                <w:rFonts w:hint="default" w:hAnsi="宋体" w:cs="宋体"/>
                <w:color w:val="000000" w:themeColor="text1"/>
                <w:sz w:val="18"/>
                <w:szCs w:val="18"/>
                <w14:textFill>
                  <w14:solidFill>
                    <w14:schemeClr w14:val="tx1"/>
                  </w14:solidFill>
                </w14:textFill>
              </w:rPr>
              <w:br w:type="textWrapping"/>
            </w:r>
            <w:r>
              <w:rPr>
                <w:rFonts w:hint="default" w:hAnsi="宋体" w:cs="宋体"/>
                <w:color w:val="000000" w:themeColor="text1"/>
                <w:sz w:val="18"/>
                <w:szCs w:val="18"/>
                <w14:textFill>
                  <w14:solidFill>
                    <w14:schemeClr w14:val="tx1"/>
                  </w14:solidFill>
                </w14:textFill>
              </w:rPr>
              <w:t>指标</w:t>
            </w: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159D5">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确保政治生态良好，社会和谐稳定。</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23FAB">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082D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D0716">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0466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0A182">
            <w:pPr>
              <w:jc w:val="center"/>
              <w:rPr>
                <w:rFonts w:hint="default" w:hAnsi="宋体" w:cs="宋体"/>
                <w:color w:val="000000" w:themeColor="text1"/>
                <w:sz w:val="18"/>
                <w:szCs w:val="18"/>
                <w14:textFill>
                  <w14:solidFill>
                    <w14:schemeClr w14:val="tx1"/>
                  </w14:solidFill>
                </w14:textFill>
              </w:rPr>
            </w:pPr>
          </w:p>
        </w:tc>
        <w:tc>
          <w:tcPr>
            <w:tcW w:w="8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EF5C7">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c>
          <w:tcPr>
            <w:tcW w:w="11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D1C0E">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可持续影响指标</w:t>
            </w: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4F33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常态化做好信访维稳工作，确保群众有序信访，社会持续稳定。</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2F771">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7BD73">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BF8E6">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r w14:paraId="01B5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6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ACD86">
            <w:pPr>
              <w:jc w:val="center"/>
              <w:rPr>
                <w:rFonts w:hint="default" w:hAnsi="宋体" w:cs="宋体"/>
                <w:color w:val="000000" w:themeColor="text1"/>
                <w:sz w:val="18"/>
                <w:szCs w:val="18"/>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D8136">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满意度</w:t>
            </w:r>
            <w:r>
              <w:rPr>
                <w:rFonts w:hint="default" w:hAnsi="宋体" w:cs="宋体"/>
                <w:color w:val="000000" w:themeColor="text1"/>
                <w:sz w:val="18"/>
                <w:szCs w:val="18"/>
                <w14:textFill>
                  <w14:solidFill>
                    <w14:schemeClr w14:val="tx1"/>
                  </w14:solidFill>
                </w14:textFill>
              </w:rPr>
              <w:br w:type="textWrapping"/>
            </w:r>
            <w:r>
              <w:rPr>
                <w:rFonts w:hint="default" w:hAnsi="宋体" w:cs="宋体"/>
                <w:color w:val="000000" w:themeColor="text1"/>
                <w:sz w:val="18"/>
                <w:szCs w:val="18"/>
                <w14:textFill>
                  <w14:solidFill>
                    <w14:schemeClr w14:val="tx1"/>
                  </w14:solidFill>
                </w14:textFill>
              </w:rPr>
              <w:t>指标</w:t>
            </w:r>
          </w:p>
        </w:tc>
        <w:tc>
          <w:tcPr>
            <w:tcW w:w="11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F0830">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服务对象满意度指标</w:t>
            </w:r>
          </w:p>
        </w:tc>
        <w:tc>
          <w:tcPr>
            <w:tcW w:w="22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2061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18"/>
                <w:szCs w:val="18"/>
                <w14:textFill>
                  <w14:solidFill>
                    <w14:schemeClr w14:val="tx1"/>
                  </w14:solidFill>
                </w14:textFill>
              </w:rPr>
            </w:pPr>
            <w:r>
              <w:rPr>
                <w:rFonts w:hint="default" w:hAnsi="宋体" w:cs="宋体"/>
                <w:color w:val="000000" w:themeColor="text1"/>
                <w:sz w:val="18"/>
                <w:szCs w:val="18"/>
                <w14:textFill>
                  <w14:solidFill>
                    <w14:schemeClr w14:val="tx1"/>
                  </w14:solidFill>
                </w14:textFill>
              </w:rPr>
              <w:t>来访群众满意度</w:t>
            </w:r>
          </w:p>
        </w:tc>
        <w:tc>
          <w:tcPr>
            <w:tcW w:w="11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6D04C">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6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E8DC5">
            <w:pPr>
              <w:keepNext w:val="0"/>
              <w:keepLines w:val="0"/>
              <w:pageBreakBefore w:val="0"/>
              <w:widowControl/>
              <w:kinsoku/>
              <w:wordWrap/>
              <w:overflowPunct/>
              <w:topLinePunct w:val="0"/>
              <w:autoSpaceDE w:val="0"/>
              <w:autoSpaceDN w:val="0"/>
              <w:bidi w:val="0"/>
              <w:adjustRightInd w:val="0"/>
              <w:snapToGrid/>
              <w:ind w:left="-60" w:leftChars="-25" w:right="-60" w:rightChars="-25"/>
              <w:jc w:val="center"/>
              <w:textAlignment w:val="center"/>
              <w:rPr>
                <w:rFonts w:hint="default" w:hAnsi="宋体" w:cs="宋体"/>
                <w:color w:val="000000" w:themeColor="text1"/>
                <w:sz w:val="24"/>
                <w:szCs w:val="24"/>
                <w14:textFill>
                  <w14:solidFill>
                    <w14:schemeClr w14:val="tx1"/>
                  </w14:solidFill>
                </w14:textFill>
              </w:rPr>
            </w:pPr>
            <w:r>
              <w:rPr>
                <w:rFonts w:hint="default" w:ascii="Times New Roman" w:hAnsi="Times New Roman" w:cs="宋体"/>
                <w:color w:val="000000" w:themeColor="text1"/>
                <w:sz w:val="24"/>
                <w:szCs w:val="24"/>
                <w14:textFill>
                  <w14:solidFill>
                    <w14:schemeClr w14:val="tx1"/>
                  </w14:solidFill>
                </w14:textFill>
              </w:rPr>
              <w:t>100</w:t>
            </w:r>
            <w:r>
              <w:rPr>
                <w:rFonts w:hint="default" w:hAnsi="宋体" w:cs="宋体"/>
                <w:color w:val="000000" w:themeColor="text1"/>
                <w:sz w:val="24"/>
                <w:szCs w:val="24"/>
                <w14:textFill>
                  <w14:solidFill>
                    <w14:schemeClr w14:val="tx1"/>
                  </w14:solidFill>
                </w14:textFill>
              </w:rPr>
              <w:t>%</w:t>
            </w:r>
          </w:p>
        </w:tc>
        <w:tc>
          <w:tcPr>
            <w:tcW w:w="12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8ED7C">
            <w:pPr>
              <w:keepNext w:val="0"/>
              <w:keepLines w:val="0"/>
              <w:pageBreakBefore w:val="0"/>
              <w:kinsoku/>
              <w:wordWrap/>
              <w:overflowPunct/>
              <w:topLinePunct w:val="0"/>
              <w:autoSpaceDE w:val="0"/>
              <w:autoSpaceDN w:val="0"/>
              <w:bidi w:val="0"/>
              <w:adjustRightInd w:val="0"/>
              <w:snapToGrid/>
              <w:ind w:left="-60" w:leftChars="-25" w:right="-60" w:rightChars="-25"/>
              <w:jc w:val="center"/>
              <w:rPr>
                <w:rFonts w:hint="default" w:hAnsi="宋体" w:cs="宋体"/>
                <w:color w:val="000000" w:themeColor="text1"/>
                <w:sz w:val="18"/>
                <w:szCs w:val="18"/>
                <w14:textFill>
                  <w14:solidFill>
                    <w14:schemeClr w14:val="tx1"/>
                  </w14:solidFill>
                </w14:textFill>
              </w:rPr>
            </w:pPr>
          </w:p>
        </w:tc>
      </w:tr>
    </w:tbl>
    <w:p w14:paraId="56A97DA6">
      <w:pPr>
        <w:pStyle w:val="2"/>
        <w:rPr>
          <w:rFonts w:hint="eastAsia" w:hAnsi="仿宋_GB2312"/>
          <w:color w:val="000000" w:themeColor="text1"/>
          <w:kern w:val="2"/>
          <w:sz w:val="32"/>
          <w:szCs w:val="24"/>
          <w14:textFill>
            <w14:solidFill>
              <w14:schemeClr w14:val="tx1"/>
            </w14:solidFill>
          </w14:textFill>
        </w:rPr>
      </w:pPr>
    </w:p>
    <w:p w14:paraId="20EB7C18">
      <w:pPr>
        <w:rPr>
          <w:rFonts w:hint="eastAsia" w:ascii="黑体" w:hAnsi="黑体" w:eastAsia="黑体"/>
          <w:color w:val="000000" w:themeColor="text1"/>
          <w:kern w:val="2"/>
          <w:sz w:val="32"/>
          <w:szCs w:val="24"/>
          <w14:textFill>
            <w14:solidFill>
              <w14:schemeClr w14:val="tx1"/>
            </w14:solidFill>
          </w14:textFill>
        </w:rPr>
      </w:pPr>
      <w:r>
        <w:br w:type="page"/>
      </w:r>
    </w:p>
    <w:p w14:paraId="540CE988">
      <w:pPr>
        <w:keepNext w:val="0"/>
        <w:keepLines w:val="0"/>
        <w:pageBreakBefore w:val="0"/>
        <w:widowControl w:val="0"/>
        <w:kinsoku/>
        <w:wordWrap/>
        <w:overflowPunct w:val="0"/>
        <w:topLinePunct w:val="0"/>
        <w:autoSpaceDE w:val="0"/>
        <w:autoSpaceDN w:val="0"/>
        <w:bidi w:val="0"/>
        <w:adjustRightInd w:val="0"/>
        <w:snapToGrid/>
        <w:spacing w:line="576" w:lineRule="exact"/>
        <w:jc w:val="both"/>
        <w:textAlignment w:val="auto"/>
        <w:rPr>
          <w:rFonts w:hint="eastAsia" w:ascii="仿宋_GB2312" w:hAnsi="仿宋_GB2312" w:eastAsia="仿宋_GB2312"/>
          <w:color w:val="000000" w:themeColor="text1"/>
          <w:kern w:val="2"/>
          <w:sz w:val="32"/>
          <w:szCs w:val="24"/>
          <w14:textFill>
            <w14:solidFill>
              <w14:schemeClr w14:val="tx1"/>
            </w14:solidFill>
          </w14:textFill>
        </w:rPr>
      </w:pPr>
      <w:r>
        <w:rPr>
          <w:rFonts w:hint="eastAsia" w:ascii="黑体" w:hAnsi="黑体" w:eastAsia="黑体"/>
          <w:color w:val="000000" w:themeColor="text1"/>
          <w:kern w:val="2"/>
          <w:sz w:val="32"/>
          <w:szCs w:val="24"/>
          <w14:textFill>
            <w14:solidFill>
              <w14:schemeClr w14:val="tx1"/>
            </w14:solidFill>
          </w14:textFill>
        </w:rPr>
        <w:t>附件</w:t>
      </w:r>
      <w:r>
        <w:rPr>
          <w:rFonts w:hint="eastAsia" w:ascii="Times New Roman" w:hAnsi="Times New Roman" w:eastAsia="黑体"/>
          <w:color w:val="000000" w:themeColor="text1"/>
          <w:kern w:val="2"/>
          <w:sz w:val="32"/>
          <w:szCs w:val="24"/>
          <w14:textFill>
            <w14:solidFill>
              <w14:schemeClr w14:val="tx1"/>
            </w14:solidFill>
          </w14:textFill>
        </w:rPr>
        <w:t>2</w:t>
      </w:r>
    </w:p>
    <w:p w14:paraId="33129F63">
      <w:pPr>
        <w:keepNext w:val="0"/>
        <w:keepLines w:val="0"/>
        <w:pageBreakBefore w:val="0"/>
        <w:widowControl w:val="0"/>
        <w:kinsoku/>
        <w:wordWrap/>
        <w:overflowPunct w:val="0"/>
        <w:topLinePunct w:val="0"/>
        <w:autoSpaceDE w:val="0"/>
        <w:autoSpaceDN w:val="0"/>
        <w:bidi w:val="0"/>
        <w:adjustRightInd w:val="0"/>
        <w:snapToGrid/>
        <w:spacing w:line="576" w:lineRule="exact"/>
        <w:jc w:val="center"/>
        <w:textAlignment w:val="auto"/>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pPr>
    </w:p>
    <w:p w14:paraId="0BDA8CD1">
      <w:pPr>
        <w:keepNext w:val="0"/>
        <w:keepLines w:val="0"/>
        <w:pageBreakBefore w:val="0"/>
        <w:widowControl w:val="0"/>
        <w:kinsoku/>
        <w:wordWrap/>
        <w:overflowPunct w:val="0"/>
        <w:topLinePunct w:val="0"/>
        <w:autoSpaceDE w:val="0"/>
        <w:autoSpaceDN w:val="0"/>
        <w:bidi w:val="0"/>
        <w:adjustRightInd w:val="0"/>
        <w:snapToGrid/>
        <w:spacing w:line="576" w:lineRule="exact"/>
        <w:jc w:val="center"/>
        <w:textAlignment w:val="auto"/>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pPr>
      <w:r>
        <w:rPr>
          <w:rFonts w:hint="eastAsia" w:ascii="Times New Roman" w:hAnsi="Times New Roman" w:eastAsia="方正小标宋简体" w:cs="方正小标宋简体"/>
          <w:color w:val="000000" w:themeColor="text1"/>
          <w:spacing w:val="0"/>
          <w:sz w:val="44"/>
          <w:szCs w:val="44"/>
          <w14:textFill>
            <w14:solidFill>
              <w14:schemeClr w14:val="tx1"/>
            </w14:solidFill>
          </w14:textFill>
        </w:rPr>
        <w:t>2023</w: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年信访维稳应急（工作）经费项目支出</w:t>
      </w:r>
    </w:p>
    <w:p w14:paraId="56B0661D">
      <w:pPr>
        <w:keepNext w:val="0"/>
        <w:keepLines w:val="0"/>
        <w:pageBreakBefore w:val="0"/>
        <w:widowControl w:val="0"/>
        <w:kinsoku/>
        <w:wordWrap/>
        <w:overflowPunct w:val="0"/>
        <w:topLinePunct w:val="0"/>
        <w:autoSpaceDE w:val="0"/>
        <w:autoSpaceDN w:val="0"/>
        <w:bidi w:val="0"/>
        <w:adjustRightInd w:val="0"/>
        <w:snapToGrid/>
        <w:spacing w:line="576" w:lineRule="exact"/>
        <w:jc w:val="center"/>
        <w:textAlignment w:val="auto"/>
        <w:rPr>
          <w:rFonts w:hint="eastAsia" w:ascii="方正小标宋简体" w:hAnsi="方正小标宋简体" w:eastAsia="方正小标宋简体"/>
          <w:color w:val="000000" w:themeColor="text1"/>
          <w:spacing w:val="0"/>
          <w:kern w:val="2"/>
          <w:sz w:val="40"/>
          <w:szCs w:val="24"/>
          <w:lang w:val="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kern w:val="2"/>
          <w:sz w:val="44"/>
          <w:szCs w:val="44"/>
          <w:lang w:val="zh-CN"/>
          <w14:textFill>
            <w14:solidFill>
              <w14:schemeClr w14:val="tx1"/>
            </w14:solidFill>
          </w14:textFill>
        </w:rPr>
        <w:t>绩效评价报告</w:t>
      </w:r>
    </w:p>
    <w:p w14:paraId="742B8D28">
      <w:pPr>
        <w:spacing w:line="576" w:lineRule="exact"/>
        <w:ind w:firstLine="640"/>
        <w:jc w:val="both"/>
        <w:rPr>
          <w:rFonts w:hint="eastAsia" w:ascii="黑体" w:hAnsi="黑体" w:eastAsia="黑体"/>
          <w:color w:val="000000" w:themeColor="text1"/>
          <w:kern w:val="2"/>
          <w:sz w:val="32"/>
          <w:szCs w:val="24"/>
          <w:lang w:val="zh-CN"/>
          <w14:textFill>
            <w14:solidFill>
              <w14:schemeClr w14:val="tx1"/>
            </w14:solidFill>
          </w14:textFill>
        </w:rPr>
      </w:pPr>
      <w:r>
        <w:rPr>
          <w:rFonts w:hint="eastAsia" w:ascii="黑体" w:hAnsi="黑体" w:eastAsia="黑体"/>
          <w:color w:val="000000" w:themeColor="text1"/>
          <w:kern w:val="2"/>
          <w:sz w:val="32"/>
          <w:szCs w:val="24"/>
          <w14:textFill>
            <w14:solidFill>
              <w14:schemeClr w14:val="tx1"/>
            </w14:solidFill>
          </w14:textFill>
        </w:rPr>
        <w:t>一、</w:t>
      </w:r>
      <w:r>
        <w:rPr>
          <w:rFonts w:hint="eastAsia" w:ascii="黑体" w:hAnsi="黑体" w:eastAsia="黑体"/>
          <w:color w:val="000000" w:themeColor="text1"/>
          <w:kern w:val="2"/>
          <w:sz w:val="32"/>
          <w:szCs w:val="24"/>
          <w:lang w:val="zh-CN"/>
          <w14:textFill>
            <w14:solidFill>
              <w14:schemeClr w14:val="tx1"/>
            </w14:solidFill>
          </w14:textFill>
        </w:rPr>
        <w:t>项目概况</w:t>
      </w:r>
    </w:p>
    <w:p w14:paraId="1E8F9BA5">
      <w:pPr>
        <w:spacing w:line="576" w:lineRule="exact"/>
        <w:ind w:firstLine="643"/>
        <w:jc w:val="both"/>
        <w:rPr>
          <w:rFonts w:hint="eastAsia" w:ascii="楷体_GB2312" w:hAnsi="楷体_GB2312" w:eastAsia="楷体_GB2312"/>
          <w:b w:val="0"/>
          <w:bCs/>
          <w:color w:val="000000" w:themeColor="text1"/>
          <w:kern w:val="2"/>
          <w:sz w:val="32"/>
          <w:szCs w:val="24"/>
          <w:lang w:val="zh-CN"/>
          <w14:textFill>
            <w14:solidFill>
              <w14:schemeClr w14:val="tx1"/>
            </w14:solidFill>
          </w14:textFill>
        </w:rPr>
      </w:pPr>
      <w:r>
        <w:rPr>
          <w:rFonts w:hint="eastAsia" w:ascii="楷体_GB2312" w:hAnsi="楷体_GB2312" w:eastAsia="楷体_GB2312"/>
          <w:b w:val="0"/>
          <w:bCs/>
          <w:color w:val="000000" w:themeColor="text1"/>
          <w:kern w:val="2"/>
          <w:sz w:val="32"/>
          <w:szCs w:val="24"/>
          <w:lang w:val="zh-CN"/>
          <w14:textFill>
            <w14:solidFill>
              <w14:schemeClr w14:val="tx1"/>
            </w14:solidFill>
          </w14:textFill>
        </w:rPr>
        <w:t>（一）设立背景及基本情况。</w:t>
      </w:r>
    </w:p>
    <w:p w14:paraId="43274643">
      <w:pPr>
        <w:autoSpaceDE/>
        <w:autoSpaceDN/>
        <w:adjustRightInd/>
        <w:spacing w:line="520" w:lineRule="exact"/>
        <w:ind w:firstLine="60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本单位</w:t>
      </w:r>
      <w:r>
        <w:rPr>
          <w:rFonts w:hint="eastAsia" w:ascii="Times New Roman" w:hAnsi="Times New Roman" w:eastAsia="仿宋_GB2312" w:cs="仿宋_GB2312"/>
          <w:color w:val="000000" w:themeColor="text1"/>
          <w:sz w:val="30"/>
          <w:szCs w:val="30"/>
          <w14:textFill>
            <w14:solidFill>
              <w14:schemeClr w14:val="tx1"/>
            </w14:solidFill>
          </w14:textFill>
        </w:rPr>
        <w:t>2023</w:t>
      </w:r>
      <w:r>
        <w:rPr>
          <w:rFonts w:hint="eastAsia" w:ascii="仿宋_GB2312" w:hAnsi="仿宋_GB2312" w:eastAsia="仿宋_GB2312" w:cs="仿宋_GB2312"/>
          <w:color w:val="000000" w:themeColor="text1"/>
          <w:sz w:val="30"/>
          <w:szCs w:val="30"/>
          <w14:textFill>
            <w14:solidFill>
              <w14:schemeClr w14:val="tx1"/>
            </w14:solidFill>
          </w14:textFill>
        </w:rPr>
        <w:t>年预算信访维稳应急（工作）经费项目。本项目是基本运转类项目，</w:t>
      </w:r>
      <w:r>
        <w:rPr>
          <w:rFonts w:hint="eastAsia" w:ascii="仿宋_GB2312" w:hAnsi="仿宋_GB2312" w:eastAsia="仿宋_GB2312" w:cs="仿宋_GB2312"/>
          <w:color w:val="000000" w:themeColor="text1"/>
          <w:sz w:val="32"/>
          <w:szCs w:val="32"/>
          <w14:textFill>
            <w14:solidFill>
              <w14:schemeClr w14:val="tx1"/>
            </w14:solidFill>
          </w14:textFill>
        </w:rPr>
        <w:t>这项目是基本运转类项目，是教育群众，让群众少跑路，数据多跑路，上下对称接访，及时处理来访和投诉，让本级政府及时就地解决信访问题，维护社会稳定大局。</w:t>
      </w:r>
    </w:p>
    <w:p w14:paraId="2677F6A1">
      <w:pPr>
        <w:spacing w:line="576" w:lineRule="exact"/>
        <w:ind w:firstLine="643"/>
        <w:jc w:val="both"/>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pPr>
      <w:r>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t>（二）实施目的及支持方向。</w:t>
      </w:r>
    </w:p>
    <w:p w14:paraId="1036910F">
      <w:pPr>
        <w:autoSpaceDE/>
        <w:autoSpaceDN/>
        <w:adjustRightInd/>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该项目是基本运转类项目，</w:t>
      </w:r>
      <w:r>
        <w:rPr>
          <w:rFonts w:hint="eastAsia" w:ascii="Times New Roman" w:eastAsia="仿宋_GB2312"/>
          <w:color w:val="000000" w:themeColor="text1"/>
          <w:sz w:val="32"/>
          <w:szCs w:val="32"/>
          <w14:textFill>
            <w14:solidFill>
              <w14:schemeClr w14:val="tx1"/>
            </w14:solidFill>
          </w14:textFill>
        </w:rPr>
        <w:t>以习近平新时代中国特色社会主义思想为指导，全面贯彻习近平总书记关于加强和改进人民信访工作的重要思想，全面落实中央、省、市信访工作决策部署，坚持以人民为中心，以“事要解决”为核心，围绕“</w:t>
      </w:r>
      <w:r>
        <w:rPr>
          <w:rFonts w:hint="eastAsia" w:ascii="Times New Roman" w:hAnsi="Times New Roman" w:eastAsia="仿宋_GB2312"/>
          <w:color w:val="000000" w:themeColor="text1"/>
          <w:sz w:val="32"/>
          <w:szCs w:val="32"/>
          <w14:textFill>
            <w14:solidFill>
              <w14:schemeClr w14:val="tx1"/>
            </w14:solidFill>
          </w14:textFill>
        </w:rPr>
        <w:t>1331</w:t>
      </w:r>
      <w:r>
        <w:rPr>
          <w:rFonts w:hint="eastAsia" w:ascii="Times New Roman" w:eastAsia="仿宋_GB2312"/>
          <w:color w:val="000000" w:themeColor="text1"/>
          <w:sz w:val="32"/>
          <w:szCs w:val="32"/>
          <w14:textFill>
            <w14:solidFill>
              <w14:schemeClr w14:val="tx1"/>
            </w14:solidFill>
          </w14:textFill>
        </w:rPr>
        <w:t>”(推进“访源治理”，开展“三项活动”、推动“三项实践”，巩固“一套机制”)工作思路，对标国家治理体系和治理能力现代化，畅通和规范诉求表达、利益协调、权益保障通道，提升信访工作化解矛盾的社会效能，更好地维护群众合法权益，服务全区工作大局。</w:t>
      </w:r>
    </w:p>
    <w:p w14:paraId="1B9783B6">
      <w:pPr>
        <w:spacing w:line="576" w:lineRule="exact"/>
        <w:ind w:firstLine="643"/>
        <w:jc w:val="both"/>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pPr>
      <w:r>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t>（三）预算安排及分配管理。</w:t>
      </w:r>
    </w:p>
    <w:p w14:paraId="4501CE9F">
      <w:pPr>
        <w:keepNext w:val="0"/>
        <w:keepLines w:val="0"/>
        <w:pageBreakBefore w:val="0"/>
        <w:widowControl w:val="0"/>
        <w:numPr>
          <w:ilvl w:val="0"/>
          <w:numId w:val="0"/>
        </w:numPr>
        <w:kinsoku/>
        <w:wordWrap/>
        <w:overflowPunct w:val="0"/>
        <w:topLinePunct w:val="0"/>
        <w:autoSpaceDE/>
        <w:autoSpaceDN/>
        <w:bidi w:val="0"/>
        <w:adjustRightIn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项目经费严格控制预算，专款专用，宣传和预防相结合，确保安全稳定，严格控制在预算资金内，使用率达到</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p>
    <w:p w14:paraId="790B4E42">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pPr>
      <w:r>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t>（四）项目绩效目标设置。</w:t>
      </w:r>
    </w:p>
    <w:p w14:paraId="152251EB">
      <w:pPr>
        <w:pStyle w:val="8"/>
        <w:keepNext w:val="0"/>
        <w:keepLines w:val="0"/>
        <w:pageBreakBefore w:val="0"/>
        <w:widowControl w:val="0"/>
        <w:kinsoku/>
        <w:wordWrap/>
        <w:overflowPunct w:val="0"/>
        <w:topLinePunct w:val="0"/>
        <w:autoSpaceDE/>
        <w:autoSpaceDN/>
        <w:bidi w:val="0"/>
        <w:spacing w:after="0"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信访维稳应急（工作）经费。该项费用经费是信访维稳应急费用，特殊时期有信访人到省、市上访，组织人员去维稳和劝返开支差旅费，租车费，生活费等费用，保障我区的和谐稳定。每年到省、市处理信访应急约</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次，接待和处理应急信访问题约</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次。费用严格控制预算资金内，到省到市解决信访问题治理很高，服务对象满意率达到</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p>
    <w:p w14:paraId="00AADD4E">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黑体" w:hAnsi="黑体" w:eastAsia="黑体"/>
          <w:color w:val="000000" w:themeColor="text1"/>
          <w:kern w:val="2"/>
          <w:sz w:val="32"/>
          <w:szCs w:val="24"/>
          <w14:textFill>
            <w14:solidFill>
              <w14:schemeClr w14:val="tx1"/>
            </w14:solidFill>
          </w14:textFill>
        </w:rPr>
      </w:pPr>
      <w:r>
        <w:rPr>
          <w:rFonts w:hint="eastAsia" w:ascii="黑体" w:hAnsi="黑体" w:eastAsia="黑体"/>
          <w:color w:val="000000" w:themeColor="text1"/>
          <w:kern w:val="2"/>
          <w:sz w:val="32"/>
          <w:szCs w:val="24"/>
          <w14:textFill>
            <w14:solidFill>
              <w14:schemeClr w14:val="tx1"/>
            </w14:solidFill>
          </w14:textFill>
        </w:rPr>
        <w:t>二、评价实施</w:t>
      </w:r>
    </w:p>
    <w:p w14:paraId="7093F513">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pPr>
      <w:r>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t>（一）评价目的。</w:t>
      </w:r>
    </w:p>
    <w:p w14:paraId="782FBC71">
      <w:pPr>
        <w:keepNext w:val="0"/>
        <w:keepLines w:val="0"/>
        <w:pageBreakBefore w:val="0"/>
        <w:widowControl w:val="0"/>
        <w:numPr>
          <w:ilvl w:val="0"/>
          <w:numId w:val="0"/>
        </w:numPr>
        <w:kinsoku/>
        <w:wordWrap/>
        <w:overflowPunct w:val="0"/>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保障我区信访秩序的和谐稳定。解决到省到市信访问题，服务对象满意率达到</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p>
    <w:p w14:paraId="250E5BED">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pPr>
      <w:r>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t>（二）预设问题及评价重点。</w:t>
      </w:r>
    </w:p>
    <w:p w14:paraId="09718236">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信访维稳应急经费，该</w:t>
      </w:r>
      <w:r>
        <w:rPr>
          <w:rFonts w:hint="eastAsia" w:ascii="仿宋_GB2312" w:hAnsi="仿宋_GB2312" w:eastAsia="仿宋_GB2312" w:cs="仿宋_GB2312"/>
          <w:color w:val="000000" w:themeColor="text1"/>
          <w:sz w:val="32"/>
          <w:szCs w:val="32"/>
          <w:lang w:val="zh-CN"/>
          <w14:textFill>
            <w14:solidFill>
              <w14:schemeClr w14:val="tx1"/>
            </w14:solidFill>
          </w14:textFill>
        </w:rPr>
        <w:t>项目申报内容与具体实施内容相符，申报目标是合理可行</w:t>
      </w:r>
      <w:r>
        <w:rPr>
          <w:rFonts w:hint="eastAsia" w:ascii="仿宋_GB2312" w:hAnsi="仿宋_GB2312" w:eastAsia="仿宋_GB2312" w:cs="仿宋_GB2312"/>
          <w:color w:val="000000" w:themeColor="text1"/>
          <w:sz w:val="32"/>
          <w:szCs w:val="32"/>
          <w14:textFill>
            <w14:solidFill>
              <w14:schemeClr w14:val="tx1"/>
            </w14:solidFill>
          </w14:textFill>
        </w:rPr>
        <w:t>的；</w:t>
      </w:r>
    </w:p>
    <w:p w14:paraId="7AF539C5">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楷体_GB2312" w:hAnsi="楷体_GB2312" w:eastAsia="楷体_GB2312"/>
          <w:color w:val="000000" w:themeColor="text1"/>
          <w:kern w:val="2"/>
          <w:sz w:val="32"/>
          <w:szCs w:val="24"/>
          <w14:textFill>
            <w14:solidFill>
              <w14:schemeClr w14:val="tx1"/>
            </w14:solidFill>
          </w14:textFill>
        </w:rPr>
      </w:pPr>
      <w:r>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t>（三）评价选点。</w:t>
      </w:r>
      <w:r>
        <w:rPr>
          <w:rFonts w:hint="eastAsia" w:ascii="仿宋_GB2312" w:hAnsi="仿宋_GB2312" w:eastAsia="仿宋_GB2312"/>
          <w:color w:val="000000" w:themeColor="text1"/>
          <w:kern w:val="2"/>
          <w:sz w:val="32"/>
          <w:szCs w:val="24"/>
          <w14:textFill>
            <w14:solidFill>
              <w14:schemeClr w14:val="tx1"/>
            </w14:solidFill>
          </w14:textFill>
        </w:rPr>
        <w:t>该项目是运转类项目</w:t>
      </w:r>
    </w:p>
    <w:p w14:paraId="6236D46A">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pPr>
      <w:r>
        <w:rPr>
          <w:rFonts w:hint="eastAsia" w:ascii="楷体_GB2312" w:hAnsi="楷体_GB2312" w:eastAsia="楷体_GB2312" w:cs="Times New Roman"/>
          <w:b w:val="0"/>
          <w:bCs/>
          <w:color w:val="000000" w:themeColor="text1"/>
          <w:kern w:val="2"/>
          <w:sz w:val="32"/>
          <w:szCs w:val="24"/>
          <w:lang w:val="zh-CN"/>
          <w14:textFill>
            <w14:solidFill>
              <w14:schemeClr w14:val="tx1"/>
            </w14:solidFill>
          </w14:textFill>
        </w:rPr>
        <w:t>（四）评价方法。</w:t>
      </w:r>
    </w:p>
    <w:p w14:paraId="6FFE9CD4">
      <w:pPr>
        <w:pStyle w:val="8"/>
        <w:keepNext w:val="0"/>
        <w:keepLines w:val="0"/>
        <w:pageBreakBefore w:val="0"/>
        <w:widowControl w:val="0"/>
        <w:kinsoku/>
        <w:wordWrap/>
        <w:overflowPunct w:val="0"/>
        <w:topLinePunct w:val="0"/>
        <w:autoSpaceDE/>
        <w:autoSpaceDN/>
        <w:bidi w:val="0"/>
        <w:spacing w:after="0" w:line="576" w:lineRule="exact"/>
        <w:ind w:leftChars="0" w:firstLine="640" w:firstLineChars="200"/>
        <w:jc w:val="both"/>
        <w:textAlignment w:val="auto"/>
        <w:rPr>
          <w:rFonts w:hint="eastAsia"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项目采用成本效益分析法，因素分析法，最低成本法等分析方法开展自评。</w:t>
      </w:r>
    </w:p>
    <w:p w14:paraId="6AB7E924">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黑体" w:hAnsi="黑体" w:eastAsia="黑体"/>
          <w:color w:val="000000" w:themeColor="text1"/>
          <w:kern w:val="2"/>
          <w:sz w:val="32"/>
          <w:szCs w:val="24"/>
          <w14:textFill>
            <w14:solidFill>
              <w14:schemeClr w14:val="tx1"/>
            </w14:solidFill>
          </w14:textFill>
        </w:rPr>
      </w:pPr>
      <w:r>
        <w:rPr>
          <w:rFonts w:hint="eastAsia" w:ascii="黑体" w:hAnsi="黑体" w:eastAsia="黑体"/>
          <w:color w:val="000000" w:themeColor="text1"/>
          <w:kern w:val="2"/>
          <w:sz w:val="32"/>
          <w:szCs w:val="24"/>
          <w14:textFill>
            <w14:solidFill>
              <w14:schemeClr w14:val="tx1"/>
            </w14:solidFill>
          </w14:textFill>
        </w:rPr>
        <w:t>三、绩效分析</w:t>
      </w:r>
    </w:p>
    <w:p w14:paraId="6EAFFD3F">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仿宋_GB2312" w:hAnsi="仿宋_GB2312" w:eastAsia="仿宋_GB2312"/>
          <w:color w:val="000000" w:themeColor="text1"/>
          <w:kern w:val="2"/>
          <w:sz w:val="32"/>
          <w:szCs w:val="24"/>
          <w:highlight w:val="yellow"/>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项目采用成本效益分析法，因素分析法，最低成本法等分析方法开展自评。</w:t>
      </w:r>
    </w:p>
    <w:p w14:paraId="39FD8B9D">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黑体" w:hAnsi="黑体" w:eastAsia="黑体"/>
          <w:color w:val="000000" w:themeColor="text1"/>
          <w:kern w:val="2"/>
          <w:sz w:val="32"/>
          <w:szCs w:val="24"/>
          <w14:textFill>
            <w14:solidFill>
              <w14:schemeClr w14:val="tx1"/>
            </w14:solidFill>
          </w14:textFill>
        </w:rPr>
      </w:pPr>
      <w:r>
        <w:rPr>
          <w:rFonts w:hint="eastAsia" w:ascii="黑体" w:hAnsi="黑体" w:eastAsia="黑体"/>
          <w:color w:val="000000" w:themeColor="text1"/>
          <w:kern w:val="2"/>
          <w:sz w:val="32"/>
          <w:szCs w:val="24"/>
          <w14:textFill>
            <w14:solidFill>
              <w14:schemeClr w14:val="tx1"/>
            </w14:solidFill>
          </w14:textFill>
        </w:rPr>
        <w:t>四、评价结论</w:t>
      </w:r>
    </w:p>
    <w:p w14:paraId="0F767FC9">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信访维稳应急（工作）经费；该项目是基本运转类项目，是长期使用的项目。该项目严格按照相关制度管理和实施，项目绩效与预决算一同在互联网上公开，严格项目监管。</w:t>
      </w:r>
      <w:r>
        <w:rPr>
          <w:rFonts w:hint="eastAsia" w:ascii="仿宋_GB2312" w:hAnsi="仿宋_GB2312" w:eastAsia="仿宋_GB2312" w:cs="仿宋_GB2312"/>
          <w:color w:val="000000" w:themeColor="text1"/>
          <w:sz w:val="32"/>
          <w:szCs w:val="32"/>
          <w:lang w:val="zh-CN"/>
          <w14:textFill>
            <w14:solidFill>
              <w14:schemeClr w14:val="tx1"/>
            </w14:solidFill>
          </w14:textFill>
        </w:rPr>
        <w:t>资金截止</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日，资金预算批复全部到位</w:t>
      </w:r>
      <w:r>
        <w:rPr>
          <w:rFonts w:hint="eastAsia" w:ascii="仿宋_GB2312" w:hAnsi="仿宋_GB2312" w:eastAsia="仿宋_GB2312" w:cs="仿宋_GB2312"/>
          <w:color w:val="000000" w:themeColor="text1"/>
          <w:sz w:val="32"/>
          <w:szCs w:val="32"/>
          <w:lang w:val="zh-CN"/>
          <w14:textFill>
            <w14:solidFill>
              <w14:schemeClr w14:val="tx1"/>
            </w14:solidFill>
          </w14:textFill>
        </w:rPr>
        <w:t>，资金到位率</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val="zh-CN"/>
          <w14:textFill>
            <w14:solidFill>
              <w14:schemeClr w14:val="tx1"/>
            </w14:solidFill>
          </w14:textFill>
        </w:rPr>
        <w:t>到位及时。截止</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日支付信访维稳应急（工作）经费</w:t>
      </w:r>
      <w:r>
        <w:rPr>
          <w:rFonts w:hint="eastAsia" w:ascii="Times New Roman" w:hAnsi="Times New Roman" w:eastAsia="仿宋_GB2312" w:cs="仿宋_GB2312"/>
          <w:color w:val="000000" w:themeColor="text1"/>
          <w:sz w:val="32"/>
          <w:szCs w:val="32"/>
          <w14:textFill>
            <w14:solidFill>
              <w14:schemeClr w14:val="tx1"/>
            </w14:solidFill>
          </w14:textFill>
        </w:rPr>
        <w:t>41</w:t>
      </w:r>
      <w:r>
        <w:rPr>
          <w:rFonts w:hint="eastAsia" w:ascii="仿宋_GB2312" w:hAnsi="仿宋_GB2312" w:eastAsia="仿宋_GB2312" w:cs="仿宋_GB2312"/>
          <w:color w:val="000000" w:themeColor="text1"/>
          <w:sz w:val="32"/>
          <w:szCs w:val="32"/>
          <w14:textFill>
            <w14:solidFill>
              <w14:schemeClr w14:val="tx1"/>
            </w14:solidFill>
          </w14:textFill>
        </w:rPr>
        <w:t>万元，项目资金全部支付，</w:t>
      </w:r>
      <w:r>
        <w:rPr>
          <w:rFonts w:hint="eastAsia" w:ascii="仿宋_GB2312" w:hAnsi="仿宋_GB2312" w:eastAsia="仿宋_GB2312" w:cs="仿宋_GB2312"/>
          <w:color w:val="000000" w:themeColor="text1"/>
          <w:sz w:val="32"/>
          <w:szCs w:val="32"/>
          <w:lang w:val="zh-CN"/>
          <w14:textFill>
            <w14:solidFill>
              <w14:schemeClr w14:val="tx1"/>
            </w14:solidFill>
          </w14:textFill>
        </w:rPr>
        <w:t>支付依据合规合法，资金支付与预算</w:t>
      </w:r>
      <w:r>
        <w:rPr>
          <w:rFonts w:hint="eastAsia" w:ascii="仿宋_GB2312" w:hAnsi="仿宋_GB2312" w:eastAsia="仿宋_GB2312" w:cs="仿宋_GB2312"/>
          <w:color w:val="000000" w:themeColor="text1"/>
          <w:sz w:val="32"/>
          <w:szCs w:val="32"/>
          <w14:textFill>
            <w14:solidFill>
              <w14:schemeClr w14:val="tx1"/>
            </w14:solidFill>
          </w14:textFill>
        </w:rPr>
        <w:t>相符</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信访维稳应急（工作）经费全面完成全年各项工作，运转正常，该项目评价得分</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分。</w:t>
      </w:r>
    </w:p>
    <w:p w14:paraId="66F0235D">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黑体" w:hAnsi="黑体" w:eastAsia="黑体"/>
          <w:color w:val="000000" w:themeColor="text1"/>
          <w:kern w:val="2"/>
          <w:sz w:val="32"/>
          <w:szCs w:val="24"/>
          <w14:textFill>
            <w14:solidFill>
              <w14:schemeClr w14:val="tx1"/>
            </w14:solidFill>
          </w14:textFill>
        </w:rPr>
      </w:pPr>
      <w:r>
        <w:rPr>
          <w:rFonts w:hint="eastAsia" w:ascii="黑体" w:hAnsi="黑体" w:eastAsia="黑体"/>
          <w:color w:val="000000" w:themeColor="text1"/>
          <w:kern w:val="2"/>
          <w:sz w:val="32"/>
          <w:szCs w:val="24"/>
          <w:lang w:val="zh-CN"/>
          <w14:textFill>
            <w14:solidFill>
              <w14:schemeClr w14:val="tx1"/>
            </w14:solidFill>
          </w14:textFill>
        </w:rPr>
        <w:t>五、存在主要问题：</w:t>
      </w:r>
      <w:r>
        <w:rPr>
          <w:rFonts w:hint="eastAsia" w:ascii="黑体" w:hAnsi="黑体" w:eastAsia="黑体"/>
          <w:color w:val="000000" w:themeColor="text1"/>
          <w:kern w:val="2"/>
          <w:sz w:val="32"/>
          <w:szCs w:val="24"/>
          <w14:textFill>
            <w14:solidFill>
              <w14:schemeClr w14:val="tx1"/>
            </w14:solidFill>
          </w14:textFill>
        </w:rPr>
        <w:t>无</w:t>
      </w:r>
    </w:p>
    <w:p w14:paraId="0F6FDE1A">
      <w:pPr>
        <w:keepNext w:val="0"/>
        <w:keepLines w:val="0"/>
        <w:pageBreakBefore w:val="0"/>
        <w:widowControl w:val="0"/>
        <w:kinsoku/>
        <w:wordWrap/>
        <w:overflowPunct w:val="0"/>
        <w:topLinePunct w:val="0"/>
        <w:bidi w:val="0"/>
        <w:spacing w:line="576" w:lineRule="exact"/>
        <w:ind w:leftChars="0" w:firstLine="640" w:firstLineChars="200"/>
        <w:jc w:val="both"/>
        <w:textAlignment w:val="auto"/>
        <w:rPr>
          <w:rFonts w:hint="eastAsia" w:ascii="黑体" w:hAnsi="黑体" w:eastAsia="黑体"/>
          <w:color w:val="000000" w:themeColor="text1"/>
          <w:kern w:val="2"/>
          <w:sz w:val="32"/>
          <w:szCs w:val="24"/>
          <w:lang w:val="zh-CN"/>
          <w14:textFill>
            <w14:solidFill>
              <w14:schemeClr w14:val="tx1"/>
            </w14:solidFill>
          </w14:textFill>
        </w:rPr>
      </w:pPr>
      <w:r>
        <w:rPr>
          <w:rFonts w:hint="eastAsia" w:ascii="黑体" w:hAnsi="黑体" w:eastAsia="黑体"/>
          <w:color w:val="000000" w:themeColor="text1"/>
          <w:kern w:val="2"/>
          <w:sz w:val="32"/>
          <w:szCs w:val="24"/>
          <w:lang w:val="zh-CN"/>
          <w14:textFill>
            <w14:solidFill>
              <w14:schemeClr w14:val="tx1"/>
            </w14:solidFill>
          </w14:textFill>
        </w:rPr>
        <w:t>六、改进建议</w:t>
      </w:r>
    </w:p>
    <w:p w14:paraId="4668B638">
      <w:pPr>
        <w:keepNext w:val="0"/>
        <w:keepLines w:val="0"/>
        <w:pageBreakBefore w:val="0"/>
        <w:widowControl w:val="0"/>
        <w:kinsoku/>
        <w:wordWrap/>
        <w:overflowPunct w:val="0"/>
        <w:topLinePunct w:val="0"/>
        <w:autoSpaceDE/>
        <w:autoSpaceDN/>
        <w:bidi w:val="0"/>
        <w:adjustRightInd/>
        <w:spacing w:line="576" w:lineRule="exact"/>
        <w:ind w:firstLine="640" w:firstLineChars="200"/>
        <w:textAlignment w:val="auto"/>
        <w:rPr>
          <w:rFonts w:hint="default"/>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加强目标绩效的管理。严格控制成本和预算，专款专用，确保资金支付和使用进度。</w:t>
      </w:r>
    </w:p>
    <w:p w14:paraId="64188AB1">
      <w:pPr>
        <w:spacing w:line="576" w:lineRule="exact"/>
        <w:ind w:firstLine="640"/>
        <w:jc w:val="both"/>
        <w:rPr>
          <w:rFonts w:hint="eastAsia" w:ascii="黑体" w:hAnsi="黑体" w:eastAsia="黑体"/>
          <w:color w:val="000000" w:themeColor="text1"/>
          <w:kern w:val="2"/>
          <w:sz w:val="32"/>
          <w:szCs w:val="24"/>
          <w:lang w:val="zh-CN"/>
          <w14:textFill>
            <w14:solidFill>
              <w14:schemeClr w14:val="tx1"/>
            </w14:solidFill>
          </w14:textFill>
        </w:rPr>
      </w:pPr>
    </w:p>
    <w:p w14:paraId="7A0C6093">
      <w:pPr>
        <w:pStyle w:val="2"/>
        <w:rPr>
          <w:rFonts w:hint="eastAsia" w:ascii="黑体" w:hAnsi="黑体" w:eastAsia="黑体"/>
          <w:color w:val="000000" w:themeColor="text1"/>
          <w:kern w:val="2"/>
          <w:sz w:val="32"/>
          <w:szCs w:val="24"/>
          <w:lang w:val="zh-CN"/>
          <w14:textFill>
            <w14:solidFill>
              <w14:schemeClr w14:val="tx1"/>
            </w14:solidFill>
          </w14:textFill>
        </w:rPr>
      </w:pPr>
    </w:p>
    <w:p w14:paraId="3E45D52D">
      <w:pPr>
        <w:pStyle w:val="16"/>
        <w:wordWrap w:val="0"/>
        <w:autoSpaceDE/>
        <w:autoSpaceDN/>
        <w:adjustRightInd/>
        <w:spacing w:line="520" w:lineRule="exact"/>
        <w:jc w:val="righ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中共广元市昭化区委群众工作局</w:t>
      </w:r>
      <w:r>
        <w:rPr>
          <w:rFonts w:hint="eastAsia" w:ascii="仿宋_GB2312" w:hAnsi="仿宋_GB2312" w:eastAsia="仿宋_GB2312" w:cs="仿宋_GB2312"/>
          <w:color w:val="000000" w:themeColor="text1"/>
          <w:sz w:val="32"/>
          <w:szCs w:val="32"/>
          <w:lang w:eastAsia="zh-CN"/>
          <w14:textFill>
            <w14:solidFill>
              <w14:schemeClr w14:val="tx1"/>
            </w14:solidFill>
          </w14:textFill>
        </w:rPr>
        <w:t>　　</w:t>
      </w:r>
    </w:p>
    <w:p w14:paraId="5744137B">
      <w:pPr>
        <w:pStyle w:val="16"/>
        <w:wordWrap w:val="0"/>
        <w:autoSpaceDE/>
        <w:autoSpaceDN/>
        <w:adjustRightInd/>
        <w:spacing w:line="520" w:lineRule="exact"/>
        <w:jc w:val="right"/>
        <w:rPr>
          <w:rFonts w:hint="eastAsia" w:eastAsia="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　　　　</w:t>
      </w:r>
    </w:p>
    <w:p w14:paraId="36CC02B4">
      <w:pPr>
        <w:pStyle w:val="2"/>
        <w:rPr>
          <w:rFonts w:hint="eastAsia" w:ascii="黑体" w:hAnsi="黑体" w:eastAsia="黑体"/>
          <w:color w:val="000000" w:themeColor="text1"/>
          <w:kern w:val="2"/>
          <w:sz w:val="32"/>
          <w:szCs w:val="24"/>
          <w:lang w:val="zh-CN"/>
          <w14:textFill>
            <w14:solidFill>
              <w14:schemeClr w14:val="tx1"/>
            </w14:solidFill>
          </w14:textFill>
        </w:rPr>
      </w:pPr>
    </w:p>
    <w:p w14:paraId="114DDF6F">
      <w:pPr>
        <w:pStyle w:val="2"/>
        <w:rPr>
          <w:rFonts w:hint="eastAsia" w:ascii="黑体" w:hAnsi="黑体" w:eastAsia="黑体"/>
          <w:color w:val="000000" w:themeColor="text1"/>
          <w:kern w:val="2"/>
          <w:sz w:val="32"/>
          <w:szCs w:val="24"/>
          <w:lang w:val="zh-CN"/>
          <w14:textFill>
            <w14:solidFill>
              <w14:schemeClr w14:val="tx1"/>
            </w14:solidFill>
          </w14:textFill>
        </w:rPr>
      </w:pPr>
    </w:p>
    <w:p w14:paraId="3F6EE4D1">
      <w:pPr>
        <w:pStyle w:val="2"/>
        <w:rPr>
          <w:rFonts w:hint="eastAsia" w:ascii="黑体" w:hAnsi="黑体" w:eastAsia="黑体"/>
          <w:color w:val="000000" w:themeColor="text1"/>
          <w:kern w:val="2"/>
          <w:sz w:val="32"/>
          <w:szCs w:val="24"/>
          <w:lang w:val="zh-CN"/>
          <w14:textFill>
            <w14:solidFill>
              <w14:schemeClr w14:val="tx1"/>
            </w14:solidFill>
          </w14:textFill>
        </w:rPr>
      </w:pPr>
    </w:p>
    <w:tbl>
      <w:tblPr>
        <w:tblStyle w:val="9"/>
        <w:tblW w:w="92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7"/>
        <w:gridCol w:w="831"/>
        <w:gridCol w:w="1107"/>
        <w:gridCol w:w="1095"/>
        <w:gridCol w:w="1383"/>
        <w:gridCol w:w="1340"/>
        <w:gridCol w:w="1366"/>
        <w:gridCol w:w="1371"/>
      </w:tblGrid>
      <w:tr w14:paraId="4C00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46" w:type="dxa"/>
            <w:gridSpan w:val="8"/>
            <w:tcBorders>
              <w:top w:val="nil"/>
              <w:left w:val="nil"/>
              <w:bottom w:val="nil"/>
              <w:right w:val="nil"/>
              <w:tl2br w:val="nil"/>
              <w:tr2bl w:val="nil"/>
            </w:tcBorders>
            <w:noWrap w:val="0"/>
            <w:vAlign w:val="center"/>
          </w:tcPr>
          <w:p w14:paraId="7B202912">
            <w:pPr>
              <w:widowControl/>
              <w:ind w:left="0" w:leftChars="0" w:firstLine="0" w:firstLineChars="0"/>
              <w:jc w:val="both"/>
              <w:textAlignment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广元市昭化区财政项目（政策）支出绩效自评表</w:t>
            </w:r>
          </w:p>
        </w:tc>
      </w:tr>
      <w:tr w14:paraId="71F6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246" w:type="dxa"/>
            <w:gridSpan w:val="8"/>
            <w:tcBorders>
              <w:top w:val="nil"/>
              <w:left w:val="nil"/>
              <w:bottom w:val="nil"/>
              <w:right w:val="nil"/>
              <w:tl2br w:val="nil"/>
              <w:tr2bl w:val="nil"/>
            </w:tcBorders>
            <w:noWrap w:val="0"/>
            <w:vAlign w:val="top"/>
          </w:tcPr>
          <w:p w14:paraId="1531062F">
            <w:pPr>
              <w:widowControl/>
              <w:jc w:val="center"/>
              <w:textAlignment w:val="top"/>
              <w:rPr>
                <w:rFonts w:hint="default" w:hAnsi="宋体" w:cs="宋体"/>
                <w:b w:val="0"/>
                <w:bCs w:val="0"/>
                <w:color w:val="000000" w:themeColor="text1"/>
                <w:sz w:val="24"/>
                <w:szCs w:val="24"/>
                <w14:textFill>
                  <w14:solidFill>
                    <w14:schemeClr w14:val="tx1"/>
                  </w14:solidFill>
                </w14:textFill>
              </w:rPr>
            </w:pPr>
            <w:r>
              <w:rPr>
                <w:rFonts w:hint="default" w:hAnsi="宋体" w:cs="宋体"/>
                <w:b w:val="0"/>
                <w:bCs w:val="0"/>
                <w:color w:val="000000" w:themeColor="text1"/>
                <w:sz w:val="24"/>
                <w:szCs w:val="24"/>
                <w14:textFill>
                  <w14:solidFill>
                    <w14:schemeClr w14:val="tx1"/>
                  </w14:solidFill>
                </w14:textFill>
              </w:rPr>
              <w:t xml:space="preserve">（ </w:t>
            </w:r>
            <w:r>
              <w:rPr>
                <w:rFonts w:hint="default" w:ascii="Times New Roman" w:hAnsi="Times New Roman" w:cs="宋体"/>
                <w:b w:val="0"/>
                <w:bCs w:val="0"/>
                <w:color w:val="000000" w:themeColor="text1"/>
                <w:sz w:val="24"/>
                <w:szCs w:val="24"/>
                <w14:textFill>
                  <w14:solidFill>
                    <w14:schemeClr w14:val="tx1"/>
                  </w14:solidFill>
                </w14:textFill>
              </w:rPr>
              <w:t>2023</w:t>
            </w:r>
            <w:r>
              <w:rPr>
                <w:rFonts w:hint="default" w:hAnsi="宋体" w:cs="宋体"/>
                <w:b w:val="0"/>
                <w:bCs w:val="0"/>
                <w:color w:val="000000" w:themeColor="text1"/>
                <w:sz w:val="24"/>
                <w:szCs w:val="24"/>
                <w14:textFill>
                  <w14:solidFill>
                    <w14:schemeClr w14:val="tx1"/>
                  </w14:solidFill>
                </w14:textFill>
              </w:rPr>
              <w:t>年度）</w:t>
            </w:r>
          </w:p>
        </w:tc>
      </w:tr>
      <w:tr w14:paraId="3BE1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9C819">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项目（政策）名称</w:t>
            </w:r>
          </w:p>
        </w:tc>
        <w:tc>
          <w:tcPr>
            <w:tcW w:w="763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A0DA2">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信访维稳应急（工作）经费</w:t>
            </w:r>
          </w:p>
        </w:tc>
      </w:tr>
      <w:tr w14:paraId="665C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8FA45">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主管部门</w:t>
            </w:r>
          </w:p>
        </w:tc>
        <w:tc>
          <w:tcPr>
            <w:tcW w:w="369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B55B6">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中共广元市昭化区委群众工作局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B73F2">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41DCC1F">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中共广元市昭化区委群众工作局</w:t>
            </w:r>
          </w:p>
        </w:tc>
      </w:tr>
      <w:tr w14:paraId="706C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8C899D2">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614DEFEE">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年度预算数（万元）</w:t>
            </w:r>
          </w:p>
        </w:tc>
        <w:tc>
          <w:tcPr>
            <w:tcW w:w="1428" w:type="dxa"/>
            <w:tcBorders>
              <w:top w:val="nil"/>
              <w:left w:val="single" w:color="000000" w:sz="4" w:space="0"/>
              <w:bottom w:val="single" w:color="000000" w:sz="4" w:space="0"/>
              <w:right w:val="single" w:color="000000" w:sz="4" w:space="0"/>
              <w:tl2br w:val="nil"/>
              <w:tr2bl w:val="nil"/>
            </w:tcBorders>
            <w:noWrap w:val="0"/>
            <w:vAlign w:val="center"/>
          </w:tcPr>
          <w:p w14:paraId="693C0F06">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65A14C77">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46D3D7D1">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00A5DDB6">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执行率</w:t>
            </w:r>
          </w:p>
        </w:tc>
      </w:tr>
      <w:tr w14:paraId="5327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74AAB0B">
            <w:pPr>
              <w:jc w:val="center"/>
              <w:rPr>
                <w:rFonts w:hint="default"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002DB">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年度资金总额</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0140F">
            <w:pPr>
              <w:widowControl/>
              <w:jc w:val="both"/>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13</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63210">
            <w:pPr>
              <w:widowControl/>
              <w:jc w:val="both"/>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41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05943">
            <w:pPr>
              <w:widowControl/>
              <w:jc w:val="both"/>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41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DAC58CA">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100</w:t>
            </w:r>
            <w:r>
              <w:rPr>
                <w:rFonts w:hint="default" w:hAnsi="宋体" w:cs="宋体"/>
                <w:b w:val="0"/>
                <w:bCs w:val="0"/>
                <w:color w:val="000000" w:themeColor="text1"/>
                <w:sz w:val="18"/>
                <w:szCs w:val="18"/>
                <w14:textFill>
                  <w14:solidFill>
                    <w14:schemeClr w14:val="tx1"/>
                  </w14:solidFill>
                </w14:textFill>
              </w:rPr>
              <w:t>%</w:t>
            </w:r>
          </w:p>
        </w:tc>
      </w:tr>
      <w:tr w14:paraId="7657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52B27C1">
            <w:pPr>
              <w:jc w:val="center"/>
              <w:rPr>
                <w:rFonts w:hint="default"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FEC54">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（一）财政拨款小计</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2C806">
            <w:pPr>
              <w:widowControl/>
              <w:jc w:val="both"/>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13</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FB5D5">
            <w:pPr>
              <w:widowControl/>
              <w:jc w:val="both"/>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41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B572F">
            <w:pPr>
              <w:widowControl/>
              <w:jc w:val="both"/>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41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D0796BC">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100</w:t>
            </w:r>
            <w:r>
              <w:rPr>
                <w:rFonts w:hint="default" w:hAnsi="宋体" w:cs="宋体"/>
                <w:b w:val="0"/>
                <w:bCs w:val="0"/>
                <w:color w:val="000000" w:themeColor="text1"/>
                <w:sz w:val="18"/>
                <w:szCs w:val="18"/>
                <w14:textFill>
                  <w14:solidFill>
                    <w14:schemeClr w14:val="tx1"/>
                  </w14:solidFill>
                </w14:textFill>
              </w:rPr>
              <w:t>%</w:t>
            </w:r>
          </w:p>
        </w:tc>
      </w:tr>
      <w:tr w14:paraId="541A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F6FB34F">
            <w:pPr>
              <w:jc w:val="center"/>
              <w:rPr>
                <w:rFonts w:hint="default"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F837F">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 xml:space="preserve">   </w:t>
            </w:r>
            <w:r>
              <w:rPr>
                <w:rFonts w:hint="default" w:ascii="Times New Roman" w:hAnsi="Times New Roman" w:cs="宋体"/>
                <w:b w:val="0"/>
                <w:bCs w:val="0"/>
                <w:color w:val="000000" w:themeColor="text1"/>
                <w:sz w:val="18"/>
                <w:szCs w:val="18"/>
                <w14:textFill>
                  <w14:solidFill>
                    <w14:schemeClr w14:val="tx1"/>
                  </w14:solidFill>
                </w14:textFill>
              </w:rPr>
              <w:t>1</w:t>
            </w:r>
            <w:r>
              <w:rPr>
                <w:rFonts w:hint="default" w:hAnsi="宋体" w:cs="宋体"/>
                <w:b w:val="0"/>
                <w:bCs w:val="0"/>
                <w:color w:val="000000" w:themeColor="text1"/>
                <w:sz w:val="18"/>
                <w:szCs w:val="18"/>
                <w14:textFill>
                  <w14:solidFill>
                    <w14:schemeClr w14:val="tx1"/>
                  </w14:solidFill>
                </w14:textFill>
              </w:rPr>
              <w:t>.一般公共预算</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A5845">
            <w:pPr>
              <w:widowControl/>
              <w:jc w:val="both"/>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13</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B95BB">
            <w:pPr>
              <w:widowControl/>
              <w:jc w:val="both"/>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41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0348F">
            <w:pPr>
              <w:widowControl/>
              <w:jc w:val="both"/>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41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2F50B988">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100</w:t>
            </w:r>
            <w:r>
              <w:rPr>
                <w:rFonts w:hint="default" w:hAnsi="宋体" w:cs="宋体"/>
                <w:b w:val="0"/>
                <w:bCs w:val="0"/>
                <w:color w:val="000000" w:themeColor="text1"/>
                <w:sz w:val="18"/>
                <w:szCs w:val="18"/>
                <w14:textFill>
                  <w14:solidFill>
                    <w14:schemeClr w14:val="tx1"/>
                  </w14:solidFill>
                </w14:textFill>
              </w:rPr>
              <w:t>%</w:t>
            </w:r>
          </w:p>
        </w:tc>
      </w:tr>
      <w:tr w14:paraId="7A89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A5DE974">
            <w:pPr>
              <w:jc w:val="center"/>
              <w:rPr>
                <w:rFonts w:hint="default"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BDEE5">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 xml:space="preserve">   </w:t>
            </w:r>
            <w:r>
              <w:rPr>
                <w:rFonts w:hint="default" w:ascii="Times New Roman" w:hAnsi="Times New Roman" w:cs="宋体"/>
                <w:b w:val="0"/>
                <w:bCs w:val="0"/>
                <w:color w:val="000000" w:themeColor="text1"/>
                <w:sz w:val="18"/>
                <w:szCs w:val="18"/>
                <w14:textFill>
                  <w14:solidFill>
                    <w14:schemeClr w14:val="tx1"/>
                  </w14:solidFill>
                </w14:textFill>
              </w:rPr>
              <w:t>2</w:t>
            </w:r>
            <w:r>
              <w:rPr>
                <w:rFonts w:hint="default" w:hAnsi="宋体" w:cs="宋体"/>
                <w:b w:val="0"/>
                <w:bCs w:val="0"/>
                <w:color w:val="000000" w:themeColor="text1"/>
                <w:sz w:val="18"/>
                <w:szCs w:val="18"/>
                <w14:textFill>
                  <w14:solidFill>
                    <w14:schemeClr w14:val="tx1"/>
                  </w14:solidFill>
                </w14:textFill>
              </w:rPr>
              <w:t>.政府性基金</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C4664">
            <w:pPr>
              <w:rPr>
                <w:rFonts w:hint="default" w:hAnsi="宋体" w:cs="宋体"/>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A2752">
            <w:pPr>
              <w:jc w:val="center"/>
              <w:rPr>
                <w:rFonts w:hint="default" w:hAnsi="宋体" w:cs="宋体"/>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0D0DD">
            <w:pPr>
              <w:jc w:val="center"/>
              <w:rPr>
                <w:rFonts w:hint="default" w:hAnsi="宋体" w:cs="宋体"/>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F2C3C">
            <w:pPr>
              <w:jc w:val="center"/>
              <w:rPr>
                <w:rFonts w:hint="default" w:hAnsi="宋体" w:cs="宋体"/>
                <w:b w:val="0"/>
                <w:bCs w:val="0"/>
                <w:color w:val="000000" w:themeColor="text1"/>
                <w:sz w:val="18"/>
                <w:szCs w:val="18"/>
                <w14:textFill>
                  <w14:solidFill>
                    <w14:schemeClr w14:val="tx1"/>
                  </w14:solidFill>
                </w14:textFill>
              </w:rPr>
            </w:pPr>
          </w:p>
        </w:tc>
      </w:tr>
      <w:tr w14:paraId="4DAF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8EF373B">
            <w:pPr>
              <w:jc w:val="center"/>
              <w:rPr>
                <w:rFonts w:hint="default"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DD215">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 xml:space="preserve">   </w:t>
            </w:r>
            <w:r>
              <w:rPr>
                <w:rFonts w:hint="default" w:ascii="Times New Roman" w:hAnsi="Times New Roman" w:cs="宋体"/>
                <w:b w:val="0"/>
                <w:bCs w:val="0"/>
                <w:color w:val="000000" w:themeColor="text1"/>
                <w:sz w:val="18"/>
                <w:szCs w:val="18"/>
                <w14:textFill>
                  <w14:solidFill>
                    <w14:schemeClr w14:val="tx1"/>
                  </w14:solidFill>
                </w14:textFill>
              </w:rPr>
              <w:t>3</w:t>
            </w:r>
            <w:r>
              <w:rPr>
                <w:rFonts w:hint="default" w:hAnsi="宋体" w:cs="宋体"/>
                <w:b w:val="0"/>
                <w:bCs w:val="0"/>
                <w:color w:val="000000" w:themeColor="text1"/>
                <w:sz w:val="18"/>
                <w:szCs w:val="18"/>
                <w14:textFill>
                  <w14:solidFill>
                    <w14:schemeClr w14:val="tx1"/>
                  </w14:solidFill>
                </w14:textFill>
              </w:rPr>
              <w:t>.国有资本经营预算</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DD45E">
            <w:pPr>
              <w:rPr>
                <w:rFonts w:hint="default" w:hAnsi="宋体" w:cs="宋体"/>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03262">
            <w:pPr>
              <w:jc w:val="center"/>
              <w:rPr>
                <w:rFonts w:hint="default" w:hAnsi="宋体" w:cs="宋体"/>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C58DD">
            <w:pPr>
              <w:jc w:val="center"/>
              <w:rPr>
                <w:rFonts w:hint="default" w:hAnsi="宋体" w:cs="宋体"/>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52C62">
            <w:pPr>
              <w:jc w:val="center"/>
              <w:rPr>
                <w:rFonts w:hint="default" w:hAnsi="宋体" w:cs="宋体"/>
                <w:b w:val="0"/>
                <w:bCs w:val="0"/>
                <w:color w:val="000000" w:themeColor="text1"/>
                <w:sz w:val="18"/>
                <w:szCs w:val="18"/>
                <w14:textFill>
                  <w14:solidFill>
                    <w14:schemeClr w14:val="tx1"/>
                  </w14:solidFill>
                </w14:textFill>
              </w:rPr>
            </w:pPr>
          </w:p>
        </w:tc>
      </w:tr>
      <w:tr w14:paraId="0142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9704252">
            <w:pPr>
              <w:jc w:val="center"/>
              <w:rPr>
                <w:rFonts w:hint="default"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ACF12">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（二）其他资金</w:t>
            </w:r>
          </w:p>
        </w:tc>
        <w:tc>
          <w:tcPr>
            <w:tcW w:w="14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E5F2D">
            <w:pPr>
              <w:rPr>
                <w:rFonts w:hint="default" w:hAnsi="宋体" w:cs="宋体"/>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8EB1A">
            <w:pPr>
              <w:jc w:val="center"/>
              <w:rPr>
                <w:rFonts w:hint="default" w:hAnsi="宋体" w:cs="宋体"/>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F7239">
            <w:pPr>
              <w:jc w:val="center"/>
              <w:rPr>
                <w:rFonts w:hint="default" w:hAnsi="宋体" w:cs="宋体"/>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93494">
            <w:pPr>
              <w:jc w:val="center"/>
              <w:rPr>
                <w:rFonts w:hint="default" w:hAnsi="宋体" w:cs="宋体"/>
                <w:b w:val="0"/>
                <w:bCs w:val="0"/>
                <w:color w:val="000000" w:themeColor="text1"/>
                <w:sz w:val="18"/>
                <w:szCs w:val="18"/>
                <w14:textFill>
                  <w14:solidFill>
                    <w14:schemeClr w14:val="tx1"/>
                  </w14:solidFill>
                </w14:textFill>
              </w:rPr>
            </w:pPr>
          </w:p>
        </w:tc>
      </w:tr>
      <w:tr w14:paraId="03F6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B60F9">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年度总体目标</w:t>
            </w:r>
          </w:p>
        </w:tc>
        <w:tc>
          <w:tcPr>
            <w:tcW w:w="454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92305">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AC96A">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全年实际完成情况</w:t>
            </w:r>
          </w:p>
        </w:tc>
      </w:tr>
      <w:tr w14:paraId="1438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F44B7">
            <w:pPr>
              <w:jc w:val="center"/>
              <w:rPr>
                <w:rFonts w:hint="default" w:hAnsi="宋体" w:cs="宋体"/>
                <w:b w:val="0"/>
                <w:bCs w:val="0"/>
                <w:color w:val="000000" w:themeColor="text1"/>
                <w:sz w:val="18"/>
                <w:szCs w:val="18"/>
                <w14:textFill>
                  <w14:solidFill>
                    <w14:schemeClr w14:val="tx1"/>
                  </w14:solidFill>
                </w14:textFill>
              </w:rPr>
            </w:pPr>
          </w:p>
        </w:tc>
        <w:tc>
          <w:tcPr>
            <w:tcW w:w="454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120F2">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该项经费是信访维稳应急费用，特殊时期乡镇和部门有信访人到省、市上访，组织人员去维稳和劝返开支差旅费，租车费，生活费等费用，保障我区的和谐稳定。每年到省、市处理信访应急约</w:t>
            </w:r>
            <w:r>
              <w:rPr>
                <w:rFonts w:hint="default" w:ascii="Times New Roman" w:hAnsi="Times New Roman" w:cs="宋体"/>
                <w:b w:val="0"/>
                <w:bCs w:val="0"/>
                <w:color w:val="000000" w:themeColor="text1"/>
                <w:sz w:val="18"/>
                <w:szCs w:val="18"/>
                <w14:textFill>
                  <w14:solidFill>
                    <w14:schemeClr w14:val="tx1"/>
                  </w14:solidFill>
                </w14:textFill>
              </w:rPr>
              <w:t>20</w:t>
            </w:r>
            <w:r>
              <w:rPr>
                <w:rFonts w:hint="default" w:hAnsi="宋体" w:cs="宋体"/>
                <w:b w:val="0"/>
                <w:bCs w:val="0"/>
                <w:color w:val="000000" w:themeColor="text1"/>
                <w:sz w:val="18"/>
                <w:szCs w:val="18"/>
                <w14:textFill>
                  <w14:solidFill>
                    <w14:schemeClr w14:val="tx1"/>
                  </w14:solidFill>
                </w14:textFill>
              </w:rPr>
              <w:t>次，接待和处理应急信访问题约</w:t>
            </w:r>
            <w:r>
              <w:rPr>
                <w:rFonts w:hint="default" w:ascii="Times New Roman" w:hAnsi="Times New Roman" w:cs="宋体"/>
                <w:b w:val="0"/>
                <w:bCs w:val="0"/>
                <w:color w:val="000000" w:themeColor="text1"/>
                <w:sz w:val="18"/>
                <w:szCs w:val="18"/>
                <w14:textFill>
                  <w14:solidFill>
                    <w14:schemeClr w14:val="tx1"/>
                  </w14:solidFill>
                </w14:textFill>
              </w:rPr>
              <w:t>86</w:t>
            </w:r>
            <w:r>
              <w:rPr>
                <w:rFonts w:hint="default" w:hAnsi="宋体" w:cs="宋体"/>
                <w:b w:val="0"/>
                <w:bCs w:val="0"/>
                <w:color w:val="000000" w:themeColor="text1"/>
                <w:sz w:val="18"/>
                <w:szCs w:val="18"/>
                <w14:textFill>
                  <w14:solidFill>
                    <w14:schemeClr w14:val="tx1"/>
                  </w14:solidFill>
                </w14:textFill>
              </w:rPr>
              <w:t>次。</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E80DF">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每年到省、市接待和处理信访问题</w:t>
            </w:r>
            <w:r>
              <w:rPr>
                <w:rFonts w:hint="default" w:ascii="Times New Roman" w:hAnsi="Times New Roman" w:cs="宋体"/>
                <w:b w:val="0"/>
                <w:bCs w:val="0"/>
                <w:color w:val="000000" w:themeColor="text1"/>
                <w:sz w:val="18"/>
                <w:szCs w:val="18"/>
                <w14:textFill>
                  <w14:solidFill>
                    <w14:schemeClr w14:val="tx1"/>
                  </w14:solidFill>
                </w14:textFill>
              </w:rPr>
              <w:t>85</w:t>
            </w:r>
            <w:r>
              <w:rPr>
                <w:rFonts w:hint="default" w:hAnsi="宋体" w:cs="宋体"/>
                <w:b w:val="0"/>
                <w:bCs w:val="0"/>
                <w:color w:val="000000" w:themeColor="text1"/>
                <w:sz w:val="18"/>
                <w:szCs w:val="18"/>
                <w14:textFill>
                  <w14:solidFill>
                    <w14:schemeClr w14:val="tx1"/>
                  </w14:solidFill>
                </w14:textFill>
              </w:rPr>
              <w:t>批次</w:t>
            </w:r>
          </w:p>
        </w:tc>
      </w:tr>
      <w:tr w14:paraId="2069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9F074">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绩效</w:t>
            </w:r>
            <w:r>
              <w:rPr>
                <w:rFonts w:hint="default" w:hAnsi="宋体" w:cs="宋体"/>
                <w:b w:val="0"/>
                <w:bCs w:val="0"/>
                <w:color w:val="000000" w:themeColor="text1"/>
                <w:sz w:val="18"/>
                <w:szCs w:val="18"/>
                <w14:textFill>
                  <w14:solidFill>
                    <w14:schemeClr w14:val="tx1"/>
                  </w14:solidFill>
                </w14:textFill>
              </w:rPr>
              <w:br w:type="textWrapping"/>
            </w:r>
            <w:r>
              <w:rPr>
                <w:rFonts w:hint="default" w:hAnsi="宋体" w:cs="宋体"/>
                <w:b w:val="0"/>
                <w:bCs w:val="0"/>
                <w:color w:val="000000" w:themeColor="text1"/>
                <w:sz w:val="18"/>
                <w:szCs w:val="18"/>
                <w14:textFill>
                  <w14:solidFill>
                    <w14:schemeClr w14:val="tx1"/>
                  </w14:solidFill>
                </w14:textFill>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F2EDB">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993BF">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二级指标</w:t>
            </w:r>
          </w:p>
        </w:tc>
        <w:tc>
          <w:tcPr>
            <w:tcW w:w="2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80313">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3FFFE">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B5159">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60D52">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偏差原因分析及改进措施</w:t>
            </w:r>
          </w:p>
        </w:tc>
      </w:tr>
      <w:tr w14:paraId="6865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44B44">
            <w:pPr>
              <w:jc w:val="center"/>
              <w:rPr>
                <w:rFonts w:hint="default" w:hAnsi="宋体" w:cs="宋体"/>
                <w:b w:val="0"/>
                <w:bCs w:val="0"/>
                <w:color w:val="000000" w:themeColor="text1"/>
                <w:sz w:val="18"/>
                <w:szCs w:val="18"/>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F0A82">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A694E">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数量指标</w:t>
            </w:r>
          </w:p>
        </w:tc>
        <w:tc>
          <w:tcPr>
            <w:tcW w:w="2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4CB36">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接待和处理应急信访问题</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A6360">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50</w:t>
            </w:r>
            <w:r>
              <w:rPr>
                <w:rFonts w:hint="default" w:hAnsi="宋体" w:cs="宋体"/>
                <w:b w:val="0"/>
                <w:bCs w:val="0"/>
                <w:color w:val="000000" w:themeColor="text1"/>
                <w:sz w:val="18"/>
                <w:szCs w:val="18"/>
                <w14:textFill>
                  <w14:solidFill>
                    <w14:schemeClr w14:val="tx1"/>
                  </w14:solidFill>
                </w14:textFill>
              </w:rPr>
              <w:t>批次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B22DE">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85</w:t>
            </w:r>
            <w:r>
              <w:rPr>
                <w:rFonts w:hint="default" w:hAnsi="宋体" w:cs="宋体"/>
                <w:b w:val="0"/>
                <w:bCs w:val="0"/>
                <w:color w:val="000000" w:themeColor="text1"/>
                <w:sz w:val="18"/>
                <w:szCs w:val="18"/>
                <w14:textFill>
                  <w14:solidFill>
                    <w14:schemeClr w14:val="tx1"/>
                  </w14:solidFill>
                </w14:textFill>
              </w:rPr>
              <w:t>批次</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549F7">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无</w:t>
            </w:r>
          </w:p>
        </w:tc>
      </w:tr>
      <w:tr w14:paraId="7EE8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2B3DE">
            <w:pPr>
              <w:jc w:val="center"/>
              <w:rPr>
                <w:rFonts w:hint="default" w:hAnsi="宋体" w:cs="宋体"/>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E3246">
            <w:pPr>
              <w:jc w:val="center"/>
              <w:rPr>
                <w:rFonts w:hint="default" w:hAnsi="宋体" w:cs="宋体"/>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2B676">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质量指标</w:t>
            </w:r>
          </w:p>
        </w:tc>
        <w:tc>
          <w:tcPr>
            <w:tcW w:w="2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151AE">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到省市处理信访问题质量</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EC12D">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好</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D7847">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好</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A5F9D">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无</w:t>
            </w:r>
          </w:p>
        </w:tc>
      </w:tr>
      <w:tr w14:paraId="2DB4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9746D">
            <w:pPr>
              <w:jc w:val="center"/>
              <w:rPr>
                <w:rFonts w:hint="default" w:hAnsi="宋体" w:cs="宋体"/>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4A894">
            <w:pPr>
              <w:jc w:val="center"/>
              <w:rPr>
                <w:rFonts w:hint="default" w:hAnsi="宋体" w:cs="宋体"/>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80F67">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成本指标</w:t>
            </w:r>
          </w:p>
        </w:tc>
        <w:tc>
          <w:tcPr>
            <w:tcW w:w="2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34017">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差旅费，生活费，租车费等费用</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C65F1">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13</w:t>
            </w:r>
            <w:r>
              <w:rPr>
                <w:rFonts w:hint="default" w:hAnsi="宋体" w:cs="宋体"/>
                <w:b w:val="0"/>
                <w:bCs w:val="0"/>
                <w:color w:val="000000" w:themeColor="text1"/>
                <w:sz w:val="18"/>
                <w:szCs w:val="18"/>
                <w14:textFill>
                  <w14:solidFill>
                    <w14:schemeClr w14:val="tx1"/>
                  </w14:solidFill>
                </w14:textFill>
              </w:rPr>
              <w:t>万</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D772A">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13</w:t>
            </w:r>
            <w:r>
              <w:rPr>
                <w:rFonts w:hint="default" w:hAnsi="宋体" w:cs="宋体"/>
                <w:b w:val="0"/>
                <w:bCs w:val="0"/>
                <w:color w:val="000000" w:themeColor="text1"/>
                <w:sz w:val="18"/>
                <w:szCs w:val="18"/>
                <w14:textFill>
                  <w14:solidFill>
                    <w14:schemeClr w14:val="tx1"/>
                  </w14:solidFill>
                </w14:textFill>
              </w:rPr>
              <w:t>万</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49A98">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无</w:t>
            </w:r>
          </w:p>
        </w:tc>
      </w:tr>
      <w:tr w14:paraId="60D4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2A5CA">
            <w:pPr>
              <w:jc w:val="center"/>
              <w:rPr>
                <w:rFonts w:hint="default" w:hAnsi="宋体" w:cs="宋体"/>
                <w:b w:val="0"/>
                <w:bCs w:val="0"/>
                <w:color w:val="000000" w:themeColor="text1"/>
                <w:sz w:val="18"/>
                <w:szCs w:val="18"/>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ABF86">
            <w:pPr>
              <w:jc w:val="center"/>
              <w:rPr>
                <w:rFonts w:hint="default" w:hAnsi="宋体" w:cs="宋体"/>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18999">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社会效益</w:t>
            </w:r>
            <w:r>
              <w:rPr>
                <w:rFonts w:hint="default" w:hAnsi="宋体" w:cs="宋体"/>
                <w:b w:val="0"/>
                <w:bCs w:val="0"/>
                <w:color w:val="000000" w:themeColor="text1"/>
                <w:sz w:val="18"/>
                <w:szCs w:val="18"/>
                <w14:textFill>
                  <w14:solidFill>
                    <w14:schemeClr w14:val="tx1"/>
                  </w14:solidFill>
                </w14:textFill>
              </w:rPr>
              <w:br w:type="textWrapping"/>
            </w:r>
            <w:r>
              <w:rPr>
                <w:rFonts w:hint="default" w:hAnsi="宋体" w:cs="宋体"/>
                <w:b w:val="0"/>
                <w:bCs w:val="0"/>
                <w:color w:val="000000" w:themeColor="text1"/>
                <w:sz w:val="18"/>
                <w:szCs w:val="18"/>
                <w14:textFill>
                  <w14:solidFill>
                    <w14:schemeClr w14:val="tx1"/>
                  </w14:solidFill>
                </w14:textFill>
              </w:rPr>
              <w:t>指标</w:t>
            </w:r>
          </w:p>
        </w:tc>
        <w:tc>
          <w:tcPr>
            <w:tcW w:w="2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A799B">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处理应急信访问题，维护全区社会稳定</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F7B3A">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好</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F24F6">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好</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5EF51">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无</w:t>
            </w:r>
          </w:p>
        </w:tc>
      </w:tr>
      <w:tr w14:paraId="3645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967FC">
            <w:pPr>
              <w:jc w:val="center"/>
              <w:rPr>
                <w:rFonts w:hint="default" w:hAnsi="宋体" w:cs="宋体"/>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A9BA9">
            <w:pPr>
              <w:jc w:val="center"/>
              <w:rPr>
                <w:rFonts w:hint="default" w:hAnsi="宋体" w:cs="宋体"/>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69B3F">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产出指标</w:t>
            </w:r>
          </w:p>
        </w:tc>
        <w:tc>
          <w:tcPr>
            <w:tcW w:w="2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75D95">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每年到市处理信访应急问题</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55CFC">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110</w:t>
            </w:r>
            <w:r>
              <w:rPr>
                <w:rFonts w:hint="default" w:hAnsi="宋体" w:cs="宋体"/>
                <w:b w:val="0"/>
                <w:bCs w:val="0"/>
                <w:color w:val="000000" w:themeColor="text1"/>
                <w:sz w:val="18"/>
                <w:szCs w:val="18"/>
                <w14:textFill>
                  <w14:solidFill>
                    <w14:schemeClr w14:val="tx1"/>
                  </w14:solidFill>
                </w14:textFill>
              </w:rPr>
              <w:t>批次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AAC4F">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85</w:t>
            </w:r>
            <w:r>
              <w:rPr>
                <w:rFonts w:hint="default" w:hAnsi="宋体" w:cs="宋体"/>
                <w:b w:val="0"/>
                <w:bCs w:val="0"/>
                <w:color w:val="000000" w:themeColor="text1"/>
                <w:sz w:val="18"/>
                <w:szCs w:val="18"/>
                <w14:textFill>
                  <w14:solidFill>
                    <w14:schemeClr w14:val="tx1"/>
                  </w14:solidFill>
                </w14:textFill>
              </w:rPr>
              <w:t>批次</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E3ADA">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无</w:t>
            </w:r>
          </w:p>
        </w:tc>
      </w:tr>
      <w:tr w14:paraId="68E1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60181">
            <w:pPr>
              <w:jc w:val="center"/>
              <w:rPr>
                <w:rFonts w:hint="default" w:hAnsi="宋体" w:cs="宋体"/>
                <w:b w:val="0"/>
                <w:bCs w:val="0"/>
                <w:color w:val="000000" w:themeColor="text1"/>
                <w:sz w:val="18"/>
                <w:szCs w:val="18"/>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7E98C">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满意度</w:t>
            </w:r>
            <w:r>
              <w:rPr>
                <w:rFonts w:hint="default" w:hAnsi="宋体" w:cs="宋体"/>
                <w:b w:val="0"/>
                <w:bCs w:val="0"/>
                <w:color w:val="000000" w:themeColor="text1"/>
                <w:sz w:val="18"/>
                <w:szCs w:val="18"/>
                <w14:textFill>
                  <w14:solidFill>
                    <w14:schemeClr w14:val="tx1"/>
                  </w14:solidFill>
                </w14:textFill>
              </w:rPr>
              <w:br w:type="textWrapping"/>
            </w:r>
            <w:r>
              <w:rPr>
                <w:rFonts w:hint="default" w:hAnsi="宋体" w:cs="宋体"/>
                <w:b w:val="0"/>
                <w:bCs w:val="0"/>
                <w:color w:val="000000" w:themeColor="text1"/>
                <w:sz w:val="18"/>
                <w:szCs w:val="18"/>
                <w14:textFill>
                  <w14:solidFill>
                    <w14:schemeClr w14:val="tx1"/>
                  </w14:solidFill>
                </w14:textFill>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932A4">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服务对象满意度指标</w:t>
            </w:r>
          </w:p>
        </w:tc>
        <w:tc>
          <w:tcPr>
            <w:tcW w:w="25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74842">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上访人满意度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ACAB2">
            <w:pPr>
              <w:widowControl/>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95</w:t>
            </w:r>
            <w:r>
              <w:rPr>
                <w:rFonts w:hint="default" w:hAnsi="宋体" w:cs="宋体"/>
                <w:b w:val="0"/>
                <w:bCs w:val="0"/>
                <w:color w:val="000000" w:themeColor="text1"/>
                <w:sz w:val="18"/>
                <w:szCs w:val="18"/>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692E5">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95</w:t>
            </w:r>
            <w:r>
              <w:rPr>
                <w:rFonts w:hint="default" w:hAnsi="宋体" w:cs="宋体"/>
                <w:b w:val="0"/>
                <w:bCs w:val="0"/>
                <w:color w:val="000000" w:themeColor="text1"/>
                <w:sz w:val="18"/>
                <w:szCs w:val="18"/>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5027F0">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无</w:t>
            </w:r>
          </w:p>
        </w:tc>
      </w:tr>
    </w:tbl>
    <w:p w14:paraId="665320DA">
      <w:pPr>
        <w:keepNext w:val="0"/>
        <w:keepLines w:val="0"/>
        <w:pageBreakBefore w:val="0"/>
        <w:widowControl w:val="0"/>
        <w:kinsoku/>
        <w:wordWrap/>
        <w:overflowPunct w:val="0"/>
        <w:topLinePunct w:val="0"/>
        <w:autoSpaceDE w:val="0"/>
        <w:autoSpaceDN w:val="0"/>
        <w:bidi w:val="0"/>
        <w:adjustRightInd w:val="0"/>
        <w:snapToGrid/>
        <w:spacing w:line="576" w:lineRule="exact"/>
        <w:ind w:left="0" w:leftChars="0" w:firstLine="0" w:firstLineChars="0"/>
        <w:jc w:val="center"/>
        <w:textAlignment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w:t>
      </w: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2023</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年特殊疑难信访资金项目支出绩效</w:t>
      </w:r>
    </w:p>
    <w:p w14:paraId="5F3BC4C1">
      <w:pPr>
        <w:keepNext w:val="0"/>
        <w:keepLines w:val="0"/>
        <w:pageBreakBefore w:val="0"/>
        <w:widowControl w:val="0"/>
        <w:kinsoku/>
        <w:wordWrap/>
        <w:overflowPunct w:val="0"/>
        <w:topLinePunct w:val="0"/>
        <w:autoSpaceDE w:val="0"/>
        <w:autoSpaceDN w:val="0"/>
        <w:bidi w:val="0"/>
        <w:adjustRightInd w:val="0"/>
        <w:snapToGrid/>
        <w:spacing w:line="576" w:lineRule="exact"/>
        <w:ind w:left="0" w:leftChars="0" w:firstLine="0" w:firstLineChars="0"/>
        <w:jc w:val="center"/>
        <w:textAlignment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自评报告</w:t>
      </w:r>
    </w:p>
    <w:p w14:paraId="2969C8C9">
      <w:pPr>
        <w:autoSpaceDE/>
        <w:autoSpaceDN/>
        <w:adjustRightInd/>
        <w:spacing w:line="52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p>
    <w:p w14:paraId="4FC35F5E">
      <w:pPr>
        <w:keepNext w:val="0"/>
        <w:keepLines w:val="0"/>
        <w:pageBreakBefore w:val="0"/>
        <w:widowControl w:val="0"/>
        <w:kinsoku/>
        <w:wordWrap/>
        <w:overflowPunct w:val="0"/>
        <w:topLinePunct w:val="0"/>
        <w:autoSpaceDE/>
        <w:autoSpaceDN/>
        <w:bidi w:val="0"/>
        <w:adjustRightInd/>
        <w:spacing w:line="576" w:lineRule="exact"/>
        <w:ind w:leftChars="0" w:firstLine="640" w:firstLineChars="200"/>
        <w:jc w:val="both"/>
        <w:textAlignment w:val="auto"/>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val="zh-CN"/>
          <w14:textFill>
            <w14:solidFill>
              <w14:schemeClr w14:val="tx1"/>
            </w14:solidFill>
          </w14:textFill>
        </w:rPr>
        <w:t>项目概况</w:t>
      </w:r>
    </w:p>
    <w:p w14:paraId="38AB5FE4">
      <w:pPr>
        <w:keepNext w:val="0"/>
        <w:keepLines w:val="0"/>
        <w:pageBreakBefore w:val="0"/>
        <w:widowControl w:val="0"/>
        <w:kinsoku/>
        <w:wordWrap/>
        <w:overflowPunct w:val="0"/>
        <w:topLinePunct w:val="0"/>
        <w:autoSpaceDE/>
        <w:autoSpaceDN/>
        <w:bidi w:val="0"/>
        <w:adjustRightIn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本单位</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年追加预算</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年特殊疑难信访资金项目。该项目是转移类项目，</w:t>
      </w:r>
      <w:r>
        <w:rPr>
          <w:rFonts w:hint="eastAsia" w:ascii="Times New Roman" w:eastAsia="仿宋_GB2312"/>
          <w:color w:val="000000" w:themeColor="text1"/>
          <w:sz w:val="32"/>
          <w:szCs w:val="32"/>
          <w14:textFill>
            <w14:solidFill>
              <w14:schemeClr w14:val="tx1"/>
            </w14:solidFill>
          </w14:textFill>
        </w:rPr>
        <w:t>全面落实中央、省、市信访工作决策部署，坚持以人民为中心，以“事要解决”为核心的工作思路，化解信访矛盾的社会效能，更好地维护群众合法权益，服务全区工作大局。</w:t>
      </w:r>
    </w:p>
    <w:p w14:paraId="0EBA3473">
      <w:pPr>
        <w:keepNext w:val="0"/>
        <w:keepLines w:val="0"/>
        <w:pageBreakBefore w:val="0"/>
        <w:widowControl w:val="0"/>
        <w:numPr>
          <w:ilvl w:val="0"/>
          <w:numId w:val="0"/>
        </w:numPr>
        <w:kinsoku/>
        <w:wordWrap/>
        <w:overflowPunct w:val="0"/>
        <w:topLinePunct w:val="0"/>
        <w:autoSpaceDE/>
        <w:autoSpaceDN/>
        <w:bidi w:val="0"/>
        <w:adjustRightInd/>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（一）</w:t>
      </w:r>
      <w:r>
        <w:rPr>
          <w:rFonts w:hint="eastAsia" w:ascii="楷体_GB2312" w:hAnsi="楷体_GB2312" w:eastAsia="楷体_GB2312" w:cs="楷体_GB2312"/>
          <w:b w:val="0"/>
          <w:bCs/>
          <w:color w:val="000000" w:themeColor="text1"/>
          <w:sz w:val="32"/>
          <w:szCs w:val="32"/>
          <w:lang w:val="zh-CN"/>
          <w14:textFill>
            <w14:solidFill>
              <w14:schemeClr w14:val="tx1"/>
            </w14:solidFill>
          </w14:textFill>
        </w:rPr>
        <w:t>项目资金申报及批复情况。</w:t>
      </w:r>
      <w:r>
        <w:rPr>
          <w:rFonts w:hint="eastAsia" w:ascii="仿宋_GB2312" w:hAnsi="仿宋_GB2312" w:eastAsia="仿宋_GB2312" w:cs="仿宋_GB2312"/>
          <w:color w:val="000000" w:themeColor="text1"/>
          <w:sz w:val="32"/>
          <w:szCs w:val="32"/>
          <w14:textFill>
            <w14:solidFill>
              <w14:schemeClr w14:val="tx1"/>
            </w14:solidFill>
          </w14:textFill>
        </w:rPr>
        <w:t>该项目是</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年追加预算的项目，该项目长期使用。</w:t>
      </w:r>
    </w:p>
    <w:p w14:paraId="0C079EB6">
      <w:pPr>
        <w:keepNext w:val="0"/>
        <w:keepLines w:val="0"/>
        <w:pageBreakBefore w:val="0"/>
        <w:widowControl w:val="0"/>
        <w:numPr>
          <w:ilvl w:val="0"/>
          <w:numId w:val="0"/>
        </w:numPr>
        <w:kinsoku/>
        <w:wordWrap/>
        <w:overflowPunct w:val="0"/>
        <w:topLinePunct w:val="0"/>
        <w:autoSpaceDE/>
        <w:autoSpaceDN/>
        <w:bidi w:val="0"/>
        <w:adjustRightInd/>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lang w:val="zh-CN"/>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14:textFill>
            <w14:solidFill>
              <w14:schemeClr w14:val="tx1"/>
            </w14:solidFill>
          </w14:textFill>
        </w:rPr>
        <w:t>（二）项目绩效目标。</w:t>
      </w:r>
    </w:p>
    <w:p w14:paraId="664761A0">
      <w:pPr>
        <w:pStyle w:val="8"/>
        <w:keepNext w:val="0"/>
        <w:keepLines w:val="0"/>
        <w:pageBreakBefore w:val="0"/>
        <w:widowControl w:val="0"/>
        <w:kinsoku/>
        <w:wordWrap/>
        <w:overflowPunct w:val="0"/>
        <w:topLinePunct w:val="0"/>
        <w:autoSpaceDE/>
        <w:autoSpaceDN/>
        <w:bidi w:val="0"/>
        <w:spacing w:after="0"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特殊疑难信访资金。该项经费是中央划拨的用于协调处理特殊信访疑难问题的资金，需要兑付给信访补偿款的相关费用，为切实推动信访问题的化解，巩固特殊疑难信访资金化解成果。特殊疑难信访问题及时受理率和办结率</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%。严格控制在预算资金内，解决特殊疑难信访问题质量很高，信访事项处理群众满意率</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p>
    <w:p w14:paraId="7E413CB0">
      <w:pPr>
        <w:pStyle w:val="8"/>
        <w:keepNext w:val="0"/>
        <w:keepLines w:val="0"/>
        <w:pageBreakBefore w:val="0"/>
        <w:widowControl w:val="0"/>
        <w:kinsoku/>
        <w:wordWrap/>
        <w:overflowPunct w:val="0"/>
        <w:topLinePunct w:val="0"/>
        <w:autoSpaceDE/>
        <w:autoSpaceDN/>
        <w:bidi w:val="0"/>
        <w:spacing w:after="0" w:line="576" w:lineRule="exact"/>
        <w:ind w:leftChars="0" w:firstLine="640" w:firstLineChars="200"/>
        <w:jc w:val="both"/>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t>（三）项目资金申报相符性。</w:t>
      </w:r>
      <w:r>
        <w:rPr>
          <w:rFonts w:hint="eastAsia" w:ascii="仿宋_GB2312" w:hAnsi="仿宋_GB2312" w:eastAsia="仿宋_GB2312" w:cs="仿宋_GB2312"/>
          <w:color w:val="000000" w:themeColor="text1"/>
          <w:sz w:val="32"/>
          <w:szCs w:val="32"/>
          <w14:textFill>
            <w14:solidFill>
              <w14:schemeClr w14:val="tx1"/>
            </w14:solidFill>
          </w14:textFill>
        </w:rPr>
        <w:t>追加</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年特殊疑难信访资金项目，该</w:t>
      </w:r>
      <w:r>
        <w:rPr>
          <w:rFonts w:hint="eastAsia" w:ascii="仿宋_GB2312" w:hAnsi="仿宋_GB2312" w:eastAsia="仿宋_GB2312" w:cs="仿宋_GB2312"/>
          <w:color w:val="000000" w:themeColor="text1"/>
          <w:sz w:val="32"/>
          <w:szCs w:val="32"/>
          <w:lang w:val="zh-CN"/>
          <w14:textFill>
            <w14:solidFill>
              <w14:schemeClr w14:val="tx1"/>
            </w14:solidFill>
          </w14:textFill>
        </w:rPr>
        <w:t>项目申报内容与具体实施内容相符，申报目标是合理可行</w:t>
      </w:r>
      <w:r>
        <w:rPr>
          <w:rFonts w:hint="eastAsia" w:ascii="仿宋_GB2312" w:hAnsi="仿宋_GB2312" w:eastAsia="仿宋_GB2312" w:cs="仿宋_GB2312"/>
          <w:color w:val="000000" w:themeColor="text1"/>
          <w:sz w:val="32"/>
          <w:szCs w:val="32"/>
          <w14:textFill>
            <w14:solidFill>
              <w14:schemeClr w14:val="tx1"/>
            </w14:solidFill>
          </w14:textFill>
        </w:rPr>
        <w:t>的；</w:t>
      </w:r>
    </w:p>
    <w:p w14:paraId="5FC0A412">
      <w:pPr>
        <w:pStyle w:val="8"/>
        <w:keepNext w:val="0"/>
        <w:keepLines w:val="0"/>
        <w:pageBreakBefore w:val="0"/>
        <w:widowControl w:val="0"/>
        <w:kinsoku/>
        <w:wordWrap/>
        <w:overflowPunct w:val="0"/>
        <w:topLinePunct w:val="0"/>
        <w:autoSpaceDE/>
        <w:autoSpaceDN/>
        <w:bidi w:val="0"/>
        <w:spacing w:after="0" w:line="576" w:lineRule="exact"/>
        <w:ind w:leftChars="0" w:firstLine="640" w:firstLineChars="200"/>
        <w:jc w:val="both"/>
        <w:textAlignment w:val="auto"/>
        <w:rPr>
          <w:rFonts w:hint="eastAsia" w:ascii="仿宋_GB2312" w:hAnsi="仿宋_GB2312" w:eastAsia="仿宋_GB2312" w:cs="仿宋_GB2312"/>
          <w:color w:val="000000" w:themeColor="text1"/>
          <w:sz w:val="24"/>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t>（四）自评步骤及方法。</w:t>
      </w:r>
      <w:r>
        <w:rPr>
          <w:rFonts w:hint="eastAsia" w:ascii="仿宋_GB2312" w:hAnsi="仿宋_GB2312" w:eastAsia="仿宋_GB2312" w:cs="仿宋_GB2312"/>
          <w:color w:val="000000" w:themeColor="text1"/>
          <w:sz w:val="32"/>
          <w:szCs w:val="32"/>
          <w14:textFill>
            <w14:solidFill>
              <w14:schemeClr w14:val="tx1"/>
            </w14:solidFill>
          </w14:textFill>
        </w:rPr>
        <w:t>项目采用成本效益分析法，因素分析法，最低成本法等分析方法开展自评。</w:t>
      </w:r>
    </w:p>
    <w:p w14:paraId="256913CC">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二、项目实施及管理情况</w:t>
      </w:r>
    </w:p>
    <w:p w14:paraId="4E06E3BE">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仿宋_GB2312" w:hAnsi="仿宋_GB2312" w:eastAsia="仿宋_GB2312" w:cs="仿宋_GB2312"/>
          <w:b/>
          <w:color w:val="000000" w:themeColor="text1"/>
          <w:sz w:val="32"/>
          <w:szCs w:val="32"/>
          <w:lang w:val="zh-CN"/>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t>（一）资金计划、到位及使用情况</w:t>
      </w:r>
    </w:p>
    <w:p w14:paraId="58FE88AA">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资金截止</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日，资金分两次到位（分别是</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日和</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zh-CN"/>
          <w14:textFill>
            <w14:solidFill>
              <w14:schemeClr w14:val="tx1"/>
            </w14:solidFill>
          </w14:textFill>
        </w:rPr>
        <w:t>，资金到位率</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val="zh-CN"/>
          <w14:textFill>
            <w14:solidFill>
              <w14:schemeClr w14:val="tx1"/>
            </w14:solidFill>
          </w14:textFill>
        </w:rPr>
        <w:t>到位及时。截止</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日支付</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年特殊疑难信访资金</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zh-CN"/>
          <w14:textFill>
            <w14:solidFill>
              <w14:schemeClr w14:val="tx1"/>
            </w14:solidFill>
          </w14:textFill>
        </w:rPr>
        <w:t>支付依据合规合法，资金支付与</w:t>
      </w:r>
      <w:r>
        <w:rPr>
          <w:rFonts w:hint="eastAsia" w:ascii="仿宋_GB2312" w:hAnsi="仿宋_GB2312" w:eastAsia="仿宋_GB2312" w:cs="仿宋_GB2312"/>
          <w:color w:val="000000" w:themeColor="text1"/>
          <w:sz w:val="32"/>
          <w:szCs w:val="32"/>
          <w14:textFill>
            <w14:solidFill>
              <w14:schemeClr w14:val="tx1"/>
            </w14:solidFill>
          </w14:textFill>
        </w:rPr>
        <w:t>追加</w:t>
      </w:r>
      <w:r>
        <w:rPr>
          <w:rFonts w:hint="eastAsia" w:ascii="仿宋_GB2312" w:hAnsi="仿宋_GB2312" w:eastAsia="仿宋_GB2312" w:cs="仿宋_GB2312"/>
          <w:color w:val="000000" w:themeColor="text1"/>
          <w:sz w:val="32"/>
          <w:szCs w:val="32"/>
          <w:lang w:val="zh-CN"/>
          <w14:textFill>
            <w14:solidFill>
              <w14:schemeClr w14:val="tx1"/>
            </w14:solidFill>
          </w14:textFill>
        </w:rPr>
        <w:t>预算</w:t>
      </w:r>
      <w:r>
        <w:rPr>
          <w:rFonts w:hint="eastAsia" w:ascii="仿宋_GB2312" w:hAnsi="仿宋_GB2312" w:eastAsia="仿宋_GB2312" w:cs="仿宋_GB2312"/>
          <w:color w:val="000000" w:themeColor="text1"/>
          <w:sz w:val="32"/>
          <w:szCs w:val="32"/>
          <w14:textFill>
            <w14:solidFill>
              <w14:schemeClr w14:val="tx1"/>
            </w14:solidFill>
          </w14:textFill>
        </w:rPr>
        <w:t>相符</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6BB895C4">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t>（二）项目财务管理情况</w:t>
      </w:r>
    </w:p>
    <w:p w14:paraId="167E8F48">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经费严格按照</w:t>
      </w:r>
      <w:r>
        <w:rPr>
          <w:rFonts w:hint="eastAsia" w:ascii="仿宋_GB2312" w:hAnsi="仿宋_GB2312" w:eastAsia="仿宋_GB2312" w:cs="仿宋_GB2312"/>
          <w:color w:val="000000" w:themeColor="text1"/>
          <w:sz w:val="32"/>
          <w:szCs w:val="32"/>
          <w:lang w:val="zh-CN"/>
          <w14:textFill>
            <w14:solidFill>
              <w14:schemeClr w14:val="tx1"/>
            </w14:solidFill>
          </w14:textFill>
        </w:rPr>
        <w:t>项目财务管理制度</w:t>
      </w:r>
      <w:r>
        <w:rPr>
          <w:rFonts w:hint="eastAsia" w:ascii="仿宋_GB2312" w:hAnsi="仿宋_GB2312" w:eastAsia="仿宋_GB2312" w:cs="仿宋_GB2312"/>
          <w:color w:val="000000" w:themeColor="text1"/>
          <w:sz w:val="32"/>
          <w:szCs w:val="32"/>
          <w14:textFill>
            <w14:solidFill>
              <w14:schemeClr w14:val="tx1"/>
            </w14:solidFill>
          </w14:textFill>
        </w:rPr>
        <w:t>执行</w:t>
      </w:r>
      <w:r>
        <w:rPr>
          <w:rFonts w:hint="eastAsia" w:ascii="仿宋_GB2312" w:hAnsi="仿宋_GB2312" w:eastAsia="仿宋_GB2312" w:cs="仿宋_GB2312"/>
          <w:color w:val="000000" w:themeColor="text1"/>
          <w:sz w:val="32"/>
          <w:szCs w:val="32"/>
          <w:lang w:val="zh-CN"/>
          <w14:textFill>
            <w14:solidFill>
              <w14:schemeClr w14:val="tx1"/>
            </w14:solidFill>
          </w14:textFill>
        </w:rPr>
        <w:t>、机构设置</w:t>
      </w:r>
      <w:r>
        <w:rPr>
          <w:rFonts w:hint="eastAsia" w:ascii="仿宋_GB2312" w:hAnsi="仿宋_GB2312" w:eastAsia="仿宋_GB2312" w:cs="仿宋_GB2312"/>
          <w:color w:val="000000" w:themeColor="text1"/>
          <w:sz w:val="32"/>
          <w:szCs w:val="32"/>
          <w14:textFill>
            <w14:solidFill>
              <w14:schemeClr w14:val="tx1"/>
            </w14:solidFill>
          </w14:textFill>
        </w:rPr>
        <w:t>健全，</w:t>
      </w:r>
      <w:r>
        <w:rPr>
          <w:rFonts w:hint="eastAsia" w:ascii="仿宋_GB2312" w:hAnsi="仿宋_GB2312" w:eastAsia="仿宋_GB2312" w:cs="仿宋_GB2312"/>
          <w:color w:val="000000" w:themeColor="text1"/>
          <w:sz w:val="32"/>
          <w:szCs w:val="32"/>
          <w:lang w:val="zh-CN"/>
          <w14:textFill>
            <w14:solidFill>
              <w14:schemeClr w14:val="tx1"/>
            </w14:solidFill>
          </w14:textFill>
        </w:rPr>
        <w:t>会计核算及账务处理</w:t>
      </w:r>
      <w:r>
        <w:rPr>
          <w:rFonts w:hint="eastAsia" w:ascii="仿宋_GB2312" w:hAnsi="仿宋_GB2312" w:eastAsia="仿宋_GB2312" w:cs="仿宋_GB2312"/>
          <w:color w:val="000000" w:themeColor="text1"/>
          <w:sz w:val="32"/>
          <w:szCs w:val="32"/>
          <w14:textFill>
            <w14:solidFill>
              <w14:schemeClr w14:val="tx1"/>
            </w14:solidFill>
          </w14:textFill>
        </w:rPr>
        <w:t>到位</w:t>
      </w:r>
      <w:r>
        <w:rPr>
          <w:rFonts w:hint="eastAsia" w:ascii="仿宋_GB2312" w:hAnsi="仿宋_GB2312" w:eastAsia="仿宋_GB2312" w:cs="仿宋_GB2312"/>
          <w:color w:val="000000" w:themeColor="text1"/>
          <w:sz w:val="32"/>
          <w:szCs w:val="32"/>
          <w:lang w:val="zh-CN"/>
          <w14:textFill>
            <w14:solidFill>
              <w14:schemeClr w14:val="tx1"/>
            </w14:solidFill>
          </w14:textFill>
        </w:rPr>
        <w:t>。严格执行财务管理制度、财务处理及时、会计核算规范。</w:t>
      </w:r>
    </w:p>
    <w:p w14:paraId="653AB1B2">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pPr>
      <w:r>
        <w:rPr>
          <w:rFonts w:hint="eastAsia" w:ascii="楷体_GB2312" w:hAnsi="楷体_GB2312" w:eastAsia="楷体_GB2312" w:cs="楷体_GB2312"/>
          <w:color w:val="000000" w:themeColor="text1"/>
          <w:sz w:val="32"/>
          <w:szCs w:val="32"/>
          <w:lang w:val="zh-CN"/>
          <w14:textFill>
            <w14:solidFill>
              <w14:schemeClr w14:val="tx1"/>
            </w14:solidFill>
          </w14:textFill>
        </w:rPr>
        <w:t>（三）</w:t>
      </w:r>
      <w:r>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t>项目组织实施及管理情况</w:t>
      </w:r>
    </w:p>
    <w:p w14:paraId="204D6F75">
      <w:pPr>
        <w:pStyle w:val="8"/>
        <w:keepNext w:val="0"/>
        <w:keepLines w:val="0"/>
        <w:pageBreakBefore w:val="0"/>
        <w:widowControl w:val="0"/>
        <w:numPr>
          <w:ilvl w:val="0"/>
          <w:numId w:val="0"/>
        </w:numPr>
        <w:kinsoku/>
        <w:wordWrap/>
        <w:overflowPunct w:val="0"/>
        <w:topLinePunct w:val="0"/>
        <w:autoSpaceDE/>
        <w:autoSpaceDN/>
        <w:bidi w:val="0"/>
        <w:spacing w:after="0"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追加</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年特殊疑难信访资金项目。该项目是转移类项目，是长期使用的项目。该项目严格按照相关制度管理和实施，严格项目监管。</w:t>
      </w:r>
    </w:p>
    <w:p w14:paraId="5378A34A">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三、项目绩效情况</w:t>
      </w:r>
      <w:r>
        <w:rPr>
          <w:rFonts w:hint="eastAsia" w:ascii="黑体" w:hAnsi="黑体" w:eastAsia="黑体" w:cs="黑体"/>
          <w:color w:val="000000" w:themeColor="text1"/>
          <w:sz w:val="32"/>
          <w:szCs w:val="32"/>
          <w:lang w:val="zh-CN"/>
          <w14:textFill>
            <w14:solidFill>
              <w14:schemeClr w14:val="tx1"/>
            </w14:solidFill>
          </w14:textFill>
        </w:rPr>
        <w:tab/>
      </w:r>
    </w:p>
    <w:p w14:paraId="59F9EF53">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t>（一）项目完成情况</w:t>
      </w:r>
    </w:p>
    <w:p w14:paraId="678BB80E">
      <w:pPr>
        <w:pStyle w:val="8"/>
        <w:keepNext w:val="0"/>
        <w:keepLines w:val="0"/>
        <w:pageBreakBefore w:val="0"/>
        <w:widowControl w:val="0"/>
        <w:kinsoku/>
        <w:wordWrap/>
        <w:overflowPunct w:val="0"/>
        <w:topLinePunct w:val="0"/>
        <w:autoSpaceDE/>
        <w:autoSpaceDN/>
        <w:bidi w:val="0"/>
        <w:spacing w:after="0"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追加</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年特殊疑难信访资金项目。解决特殊疑难行问题</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件次，特殊疑难信访问题及时受理率和办结率</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%。严格控制在预算资金内，解决特殊疑难信访问题质量很高，信访事项处理群众满意率</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p>
    <w:p w14:paraId="48F75475">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t>（二）项目效益情况。</w:t>
      </w:r>
    </w:p>
    <w:p w14:paraId="13F347AA">
      <w:pPr>
        <w:keepNext w:val="0"/>
        <w:keepLines w:val="0"/>
        <w:pageBreakBefore w:val="0"/>
        <w:widowControl w:val="0"/>
        <w:numPr>
          <w:ilvl w:val="0"/>
          <w:numId w:val="0"/>
        </w:numPr>
        <w:kinsoku/>
        <w:wordWrap/>
        <w:overflowPunct w:val="0"/>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b/>
          <w:color w:val="000000" w:themeColor="text1"/>
          <w:sz w:val="32"/>
          <w:szCs w:val="32"/>
          <w:lang w:val="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年特殊疑难信访资金项目。解决特殊疑难信访问题质量很高，信访事项处理群众满意率</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12BC62C1">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四、评价结论及问题建议</w:t>
      </w:r>
    </w:p>
    <w:p w14:paraId="1E475533">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t>（一）评价结论。</w:t>
      </w:r>
    </w:p>
    <w:p w14:paraId="51991A4D">
      <w:pPr>
        <w:keepNext w:val="0"/>
        <w:keepLines w:val="0"/>
        <w:pageBreakBefore w:val="0"/>
        <w:widowControl w:val="0"/>
        <w:numPr>
          <w:ilvl w:val="0"/>
          <w:numId w:val="0"/>
        </w:numPr>
        <w:kinsoku/>
        <w:wordWrap/>
        <w:overflowPunct w:val="0"/>
        <w:topLinePunct w:val="0"/>
        <w:autoSpaceDE/>
        <w:autoSpaceDN/>
        <w:bidi w:val="0"/>
        <w:snapToGrid w:val="0"/>
        <w:spacing w:line="576"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追加</w:t>
      </w:r>
      <w:r>
        <w:rPr>
          <w:rFonts w:hint="eastAsia" w:ascii="Times New Roman" w:hAnsi="Times New Roman" w:eastAsia="仿宋_GB2312" w:cs="仿宋_GB2312"/>
          <w:color w:val="000000" w:themeColor="text1"/>
          <w:sz w:val="32"/>
          <w:szCs w:val="32"/>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年特殊疑难信访资金项目，项目全面完成全年各项工作，运转正常，该项目评价得分</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分。</w:t>
      </w:r>
    </w:p>
    <w:p w14:paraId="1BB0E3A0">
      <w:pPr>
        <w:keepNext w:val="0"/>
        <w:keepLines w:val="0"/>
        <w:pageBreakBefore w:val="0"/>
        <w:widowControl w:val="0"/>
        <w:numPr>
          <w:ilvl w:val="0"/>
          <w:numId w:val="0"/>
        </w:numPr>
        <w:kinsoku/>
        <w:wordWrap/>
        <w:overflowPunct w:val="0"/>
        <w:topLinePunct w:val="0"/>
        <w:autoSpaceDE/>
        <w:autoSpaceDN/>
        <w:bidi w:val="0"/>
        <w:snapToGrid w:val="0"/>
        <w:spacing w:line="576" w:lineRule="exact"/>
        <w:ind w:leftChars="0" w:firstLine="640" w:firstLineChars="20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t>（二）存在的问题：</w:t>
      </w:r>
      <w:r>
        <w:rPr>
          <w:rFonts w:hint="eastAsia" w:ascii="仿宋_GB2312" w:hAnsi="仿宋_GB2312" w:eastAsia="仿宋_GB2312" w:cs="仿宋_GB2312"/>
          <w:b/>
          <w:color w:val="000000" w:themeColor="text1"/>
          <w:sz w:val="32"/>
          <w:szCs w:val="32"/>
          <w14:textFill>
            <w14:solidFill>
              <w14:schemeClr w14:val="tx1"/>
            </w14:solidFill>
          </w14:textFill>
        </w:rPr>
        <w:t>无</w:t>
      </w:r>
    </w:p>
    <w:p w14:paraId="7323AE52">
      <w:pPr>
        <w:keepNext w:val="0"/>
        <w:keepLines w:val="0"/>
        <w:pageBreakBefore w:val="0"/>
        <w:widowControl w:val="0"/>
        <w:kinsoku/>
        <w:wordWrap/>
        <w:overflowPunct w:val="0"/>
        <w:topLinePunct w:val="0"/>
        <w:autoSpaceDE/>
        <w:autoSpaceDN/>
        <w:bidi w:val="0"/>
        <w:snapToGrid w:val="0"/>
        <w:spacing w:line="576" w:lineRule="exact"/>
        <w:ind w:leftChars="0" w:firstLine="640" w:firstLineChars="200"/>
        <w:jc w:val="both"/>
        <w:textAlignment w:val="auto"/>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pPr>
      <w:r>
        <w:rPr>
          <w:rFonts w:hint="eastAsia" w:ascii="楷体_GB2312" w:hAnsi="楷体_GB2312" w:eastAsia="楷体_GB2312" w:cs="楷体_GB2312"/>
          <w:b w:val="0"/>
          <w:bCs/>
          <w:color w:val="000000" w:themeColor="text1"/>
          <w:sz w:val="32"/>
          <w:szCs w:val="32"/>
          <w:lang w:val="zh-CN" w:eastAsia="zh-CN" w:bidi="ar-SA"/>
          <w14:textFill>
            <w14:solidFill>
              <w14:schemeClr w14:val="tx1"/>
            </w14:solidFill>
          </w14:textFill>
        </w:rPr>
        <w:t>（三）相关措施建议：</w:t>
      </w:r>
    </w:p>
    <w:p w14:paraId="2181D818">
      <w:pPr>
        <w:keepNext w:val="0"/>
        <w:keepLines w:val="0"/>
        <w:pageBreakBefore w:val="0"/>
        <w:widowControl w:val="0"/>
        <w:kinsoku/>
        <w:wordWrap/>
        <w:overflowPunct w:val="0"/>
        <w:topLinePunct w:val="0"/>
        <w:autoSpaceDE/>
        <w:autoSpaceDN/>
        <w:bidi w:val="0"/>
        <w:adjustRightInd/>
        <w:spacing w:line="576" w:lineRule="exact"/>
        <w:ind w:leftChars="0" w:firstLine="640" w:firstLineChars="200"/>
        <w:jc w:val="both"/>
        <w:textAlignment w:val="auto"/>
        <w:rPr>
          <w:rFonts w:hint="default"/>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加强目标绩效的管理。严格控制成本和预算，专款专用，确保资金支付进度。</w:t>
      </w:r>
    </w:p>
    <w:p w14:paraId="0CA8AE25">
      <w:pPr>
        <w:numPr>
          <w:ilvl w:val="0"/>
          <w:numId w:val="0"/>
        </w:numPr>
        <w:autoSpaceDE/>
        <w:autoSpaceDN/>
        <w:adjustRightInd/>
        <w:spacing w:line="520" w:lineRule="exact"/>
        <w:ind w:leftChars="200"/>
        <w:rPr>
          <w:rFonts w:hint="eastAsia" w:ascii="仿宋_GB2312" w:hAnsi="仿宋_GB2312" w:eastAsia="仿宋_GB2312" w:cs="仿宋_GB2312"/>
          <w:color w:val="000000" w:themeColor="text1"/>
          <w:sz w:val="32"/>
          <w:szCs w:val="32"/>
          <w14:textFill>
            <w14:solidFill>
              <w14:schemeClr w14:val="tx1"/>
            </w14:solidFill>
          </w14:textFill>
        </w:rPr>
      </w:pPr>
    </w:p>
    <w:p w14:paraId="39C60C41">
      <w:pPr>
        <w:pStyle w:val="16"/>
        <w:autoSpaceDE/>
        <w:autoSpaceDN/>
        <w:adjustRightInd/>
        <w:spacing w:line="520" w:lineRule="exact"/>
        <w:rPr>
          <w:rFonts w:hint="eastAsia" w:ascii="仿宋_GB2312" w:hAnsi="仿宋_GB2312" w:eastAsia="仿宋_GB2312" w:cs="仿宋_GB2312"/>
          <w:color w:val="000000" w:themeColor="text1"/>
          <w:sz w:val="32"/>
          <w:szCs w:val="32"/>
          <w14:textFill>
            <w14:solidFill>
              <w14:schemeClr w14:val="tx1"/>
            </w14:solidFill>
          </w14:textFill>
        </w:rPr>
      </w:pPr>
    </w:p>
    <w:tbl>
      <w:tblPr>
        <w:tblStyle w:val="9"/>
        <w:tblW w:w="9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7"/>
        <w:gridCol w:w="832"/>
        <w:gridCol w:w="1107"/>
        <w:gridCol w:w="1094"/>
        <w:gridCol w:w="1569"/>
        <w:gridCol w:w="1336"/>
        <w:gridCol w:w="1320"/>
        <w:gridCol w:w="1427"/>
      </w:tblGrid>
      <w:tr w14:paraId="493C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42" w:type="dxa"/>
            <w:gridSpan w:val="8"/>
            <w:tcBorders>
              <w:top w:val="nil"/>
              <w:left w:val="nil"/>
              <w:bottom w:val="nil"/>
              <w:right w:val="nil"/>
              <w:tl2br w:val="nil"/>
              <w:tr2bl w:val="nil"/>
            </w:tcBorders>
            <w:noWrap w:val="0"/>
            <w:vAlign w:val="center"/>
          </w:tcPr>
          <w:p w14:paraId="6C7BA4B5">
            <w:pPr>
              <w:pStyle w:val="16"/>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中共广元市昭化区委群众工作局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p>
          <w:p w14:paraId="24072972">
            <w:pPr>
              <w:pStyle w:val="16"/>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eastAsia="仿宋_GB2312"/>
                <w:b w:val="0"/>
                <w:bCs w:val="0"/>
                <w:color w:val="000000" w:themeColor="text1"/>
                <w:sz w:val="24"/>
                <w:szCs w:val="24"/>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Times New Roman" w:hAnsi="Times New Roman" w:eastAsia="仿宋_GB2312" w:cs="仿宋_GB2312"/>
                <w:b w:val="0"/>
                <w:bCs w:val="0"/>
                <w:color w:val="000000" w:themeColor="text1"/>
                <w:sz w:val="32"/>
                <w:szCs w:val="32"/>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Times New Roman" w:hAnsi="Times New Roman"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Times New Roman" w:hAnsi="Times New Roman" w:eastAsia="仿宋_GB2312" w:cs="仿宋_GB2312"/>
                <w:b w:val="0"/>
                <w:bCs w:val="0"/>
                <w:color w:val="000000" w:themeColor="text1"/>
                <w:sz w:val="32"/>
                <w:szCs w:val="32"/>
                <w14:textFill>
                  <w14:solidFill>
                    <w14:schemeClr w14:val="tx1"/>
                  </w14:solidFill>
                </w14:textFill>
              </w:rPr>
              <w:t>12</w:t>
            </w:r>
            <w:r>
              <w:rPr>
                <w:rFonts w:hint="eastAsia" w:ascii="仿宋_GB2312" w:hAnsi="仿宋_GB2312" w:eastAsia="仿宋_GB2312" w:cs="仿宋_GB2312"/>
                <w:b w:val="0"/>
                <w:bCs w:val="0"/>
                <w:color w:val="000000" w:themeColor="text1"/>
                <w:sz w:val="32"/>
                <w:szCs w:val="32"/>
                <w14:textFill>
                  <w14:solidFill>
                    <w14:schemeClr w14:val="tx1"/>
                  </w14:solidFill>
                </w14:textFill>
              </w:rPr>
              <w:t>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　　　　</w:t>
            </w:r>
          </w:p>
          <w:p w14:paraId="15A12E28">
            <w:pPr>
              <w:widowControl/>
              <w:jc w:val="center"/>
              <w:textAlignment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p>
          <w:p w14:paraId="39A073AD">
            <w:pPr>
              <w:widowControl/>
              <w:jc w:val="center"/>
              <w:textAlignment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p>
          <w:p w14:paraId="57C6E028">
            <w:pPr>
              <w:widowControl/>
              <w:jc w:val="center"/>
              <w:textAlignment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p>
          <w:p w14:paraId="5D9894AB">
            <w:pPr>
              <w:widowControl/>
              <w:jc w:val="center"/>
              <w:textAlignment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广元市昭化区财政预算项目支出绩效自评表</w:t>
            </w:r>
          </w:p>
        </w:tc>
      </w:tr>
      <w:tr w14:paraId="384D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42" w:type="dxa"/>
            <w:gridSpan w:val="8"/>
            <w:tcBorders>
              <w:top w:val="nil"/>
              <w:left w:val="nil"/>
              <w:bottom w:val="nil"/>
              <w:right w:val="nil"/>
              <w:tl2br w:val="nil"/>
              <w:tr2bl w:val="nil"/>
            </w:tcBorders>
            <w:noWrap w:val="0"/>
            <w:vAlign w:val="top"/>
          </w:tcPr>
          <w:p w14:paraId="15779CFC">
            <w:pPr>
              <w:widowControl/>
              <w:jc w:val="center"/>
              <w:textAlignment w:val="top"/>
              <w:rPr>
                <w:rFonts w:hint="default" w:ascii="Times New Roman" w:hAnsi="宋体" w:cs="宋体"/>
                <w:b w:val="0"/>
                <w:bCs w:val="0"/>
                <w:color w:val="000000" w:themeColor="text1"/>
                <w:sz w:val="24"/>
                <w:szCs w:val="24"/>
                <w14:textFill>
                  <w14:solidFill>
                    <w14:schemeClr w14:val="tx1"/>
                  </w14:solidFill>
                </w14:textFill>
              </w:rPr>
            </w:pPr>
            <w:r>
              <w:rPr>
                <w:rFonts w:hint="default" w:hAnsi="宋体" w:cs="宋体"/>
                <w:b w:val="0"/>
                <w:bCs w:val="0"/>
                <w:color w:val="000000" w:themeColor="text1"/>
                <w:sz w:val="28"/>
                <w:szCs w:val="28"/>
                <w14:textFill>
                  <w14:solidFill>
                    <w14:schemeClr w14:val="tx1"/>
                  </w14:solidFill>
                </w14:textFill>
              </w:rPr>
              <w:t>（</w:t>
            </w:r>
            <w:r>
              <w:rPr>
                <w:rFonts w:hint="default" w:ascii="Times New Roman" w:hAnsi="Times New Roman" w:cs="宋体"/>
                <w:b w:val="0"/>
                <w:bCs w:val="0"/>
                <w:color w:val="000000" w:themeColor="text1"/>
                <w:sz w:val="28"/>
                <w:szCs w:val="28"/>
                <w14:textFill>
                  <w14:solidFill>
                    <w14:schemeClr w14:val="tx1"/>
                  </w14:solidFill>
                </w14:textFill>
              </w:rPr>
              <w:t>2023</w:t>
            </w:r>
            <w:r>
              <w:rPr>
                <w:rFonts w:hint="default" w:hAnsi="宋体" w:cs="宋体"/>
                <w:b w:val="0"/>
                <w:bCs w:val="0"/>
                <w:color w:val="000000" w:themeColor="text1"/>
                <w:sz w:val="28"/>
                <w:szCs w:val="28"/>
                <w14:textFill>
                  <w14:solidFill>
                    <w14:schemeClr w14:val="tx1"/>
                  </w14:solidFill>
                </w14:textFill>
              </w:rPr>
              <w:t>年度）</w:t>
            </w:r>
          </w:p>
        </w:tc>
      </w:tr>
      <w:tr w14:paraId="7EF5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66126">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项目（政策）名称</w:t>
            </w:r>
          </w:p>
        </w:tc>
        <w:tc>
          <w:tcPr>
            <w:tcW w:w="782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5A06B">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2023</w:t>
            </w:r>
            <w:r>
              <w:rPr>
                <w:rFonts w:hint="default" w:hAnsi="宋体" w:cs="宋体"/>
                <w:b w:val="0"/>
                <w:bCs w:val="0"/>
                <w:color w:val="000000" w:themeColor="text1"/>
                <w:sz w:val="18"/>
                <w:szCs w:val="18"/>
                <w14:textFill>
                  <w14:solidFill>
                    <w14:schemeClr w14:val="tx1"/>
                  </w14:solidFill>
                </w14:textFill>
              </w:rPr>
              <w:t>年特殊疑难信访资金</w:t>
            </w:r>
          </w:p>
        </w:tc>
      </w:tr>
      <w:tr w14:paraId="7595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7E373">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主管部门</w:t>
            </w:r>
          </w:p>
        </w:tc>
        <w:tc>
          <w:tcPr>
            <w:tcW w:w="389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72D41">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中共广元市昭化区委群众工作局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4382C">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10EB01B2">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中共广元市昭化区委群众工作局</w:t>
            </w:r>
          </w:p>
        </w:tc>
      </w:tr>
      <w:tr w14:paraId="63E3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B6D342E">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3CD73F92">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年度预算数（万元）</w:t>
            </w:r>
          </w:p>
        </w:tc>
        <w:tc>
          <w:tcPr>
            <w:tcW w:w="1624" w:type="dxa"/>
            <w:tcBorders>
              <w:top w:val="nil"/>
              <w:left w:val="single" w:color="000000" w:sz="4" w:space="0"/>
              <w:bottom w:val="single" w:color="000000" w:sz="4" w:space="0"/>
              <w:right w:val="single" w:color="000000" w:sz="4" w:space="0"/>
              <w:tl2br w:val="nil"/>
              <w:tr2bl w:val="nil"/>
            </w:tcBorders>
            <w:noWrap w:val="0"/>
            <w:vAlign w:val="center"/>
          </w:tcPr>
          <w:p w14:paraId="4AB66EF4">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454DACCF">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4515134A">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580629D2">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执行率</w:t>
            </w:r>
          </w:p>
        </w:tc>
      </w:tr>
      <w:tr w14:paraId="19D2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D5F2717">
            <w:pPr>
              <w:jc w:val="center"/>
              <w:rPr>
                <w:rFonts w:hint="default" w:ascii="Times New Roman"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39887">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年度资金总额</w:t>
            </w:r>
          </w:p>
        </w:tc>
        <w:tc>
          <w:tcPr>
            <w:tcW w:w="1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DAC04">
            <w:pPr>
              <w:jc w:val="both"/>
              <w:rPr>
                <w:rFonts w:hint="default" w:ascii="Times New Roman" w:hAnsi="宋体" w:cs="宋体"/>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E9453">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E8882">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2FD0DC16">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100</w:t>
            </w:r>
            <w:r>
              <w:rPr>
                <w:rFonts w:hint="default" w:ascii="Times New Roman" w:hAnsi="宋体" w:cs="宋体"/>
                <w:b w:val="0"/>
                <w:bCs w:val="0"/>
                <w:color w:val="000000" w:themeColor="text1"/>
                <w:sz w:val="18"/>
                <w:szCs w:val="18"/>
                <w14:textFill>
                  <w14:solidFill>
                    <w14:schemeClr w14:val="tx1"/>
                  </w14:solidFill>
                </w14:textFill>
              </w:rPr>
              <w:t>%</w:t>
            </w:r>
          </w:p>
        </w:tc>
      </w:tr>
      <w:tr w14:paraId="14B8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E017205">
            <w:pPr>
              <w:jc w:val="center"/>
              <w:rPr>
                <w:rFonts w:hint="default" w:ascii="Times New Roman"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E636D">
            <w:pPr>
              <w:widowControl/>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（一）财政拨款小计</w:t>
            </w:r>
          </w:p>
        </w:tc>
        <w:tc>
          <w:tcPr>
            <w:tcW w:w="1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62818">
            <w:pPr>
              <w:jc w:val="both"/>
              <w:rPr>
                <w:rFonts w:hint="default" w:ascii="Times New Roman" w:hAnsi="宋体" w:cs="宋体"/>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1D586">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AFB41">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70F360E1">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100</w:t>
            </w:r>
            <w:r>
              <w:rPr>
                <w:rFonts w:hint="default" w:ascii="Times New Roman" w:hAnsi="宋体" w:cs="宋体"/>
                <w:b w:val="0"/>
                <w:bCs w:val="0"/>
                <w:color w:val="000000" w:themeColor="text1"/>
                <w:sz w:val="18"/>
                <w:szCs w:val="18"/>
                <w14:textFill>
                  <w14:solidFill>
                    <w14:schemeClr w14:val="tx1"/>
                  </w14:solidFill>
                </w14:textFill>
              </w:rPr>
              <w:t>%</w:t>
            </w:r>
          </w:p>
        </w:tc>
      </w:tr>
      <w:tr w14:paraId="73D3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10BC6D1">
            <w:pPr>
              <w:jc w:val="center"/>
              <w:rPr>
                <w:rFonts w:hint="default" w:ascii="Times New Roman"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EF3B1">
            <w:pPr>
              <w:widowControl/>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宋体" w:cs="宋体"/>
                <w:b w:val="0"/>
                <w:bCs w:val="0"/>
                <w:color w:val="000000" w:themeColor="text1"/>
                <w:sz w:val="18"/>
                <w:szCs w:val="18"/>
                <w14:textFill>
                  <w14:solidFill>
                    <w14:schemeClr w14:val="tx1"/>
                  </w14:solidFill>
                </w14:textFill>
              </w:rPr>
              <w:t xml:space="preserve">   </w:t>
            </w:r>
            <w:r>
              <w:rPr>
                <w:rFonts w:hint="default" w:ascii="Times New Roman" w:hAnsi="Times New Roman" w:cs="宋体"/>
                <w:b w:val="0"/>
                <w:bCs w:val="0"/>
                <w:color w:val="000000" w:themeColor="text1"/>
                <w:sz w:val="18"/>
                <w:szCs w:val="18"/>
                <w14:textFill>
                  <w14:solidFill>
                    <w14:schemeClr w14:val="tx1"/>
                  </w14:solidFill>
                </w14:textFill>
              </w:rPr>
              <w:t>1</w:t>
            </w:r>
            <w:r>
              <w:rPr>
                <w:rFonts w:hint="default" w:ascii="Times New Roman" w:hAnsi="宋体" w:cs="宋体"/>
                <w:b w:val="0"/>
                <w:bCs w:val="0"/>
                <w:color w:val="000000" w:themeColor="text1"/>
                <w:sz w:val="18"/>
                <w:szCs w:val="18"/>
                <w14:textFill>
                  <w14:solidFill>
                    <w14:schemeClr w14:val="tx1"/>
                  </w14:solidFill>
                </w14:textFill>
              </w:rPr>
              <w:t>.</w:t>
            </w:r>
            <w:r>
              <w:rPr>
                <w:rFonts w:hint="default" w:hAnsi="宋体" w:cs="宋体"/>
                <w:b w:val="0"/>
                <w:bCs w:val="0"/>
                <w:color w:val="000000" w:themeColor="text1"/>
                <w:sz w:val="18"/>
                <w:szCs w:val="18"/>
                <w14:textFill>
                  <w14:solidFill>
                    <w14:schemeClr w14:val="tx1"/>
                  </w14:solidFill>
                </w14:textFill>
              </w:rPr>
              <w:t>一般公共预算</w:t>
            </w:r>
          </w:p>
        </w:tc>
        <w:tc>
          <w:tcPr>
            <w:tcW w:w="1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1052E">
            <w:pPr>
              <w:jc w:val="both"/>
              <w:rPr>
                <w:rFonts w:hint="default" w:ascii="Times New Roman" w:hAnsi="宋体" w:cs="宋体"/>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278C6">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A3AFE">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23F66283">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100</w:t>
            </w:r>
            <w:r>
              <w:rPr>
                <w:rFonts w:hint="default" w:ascii="Times New Roman" w:hAnsi="宋体" w:cs="宋体"/>
                <w:b w:val="0"/>
                <w:bCs w:val="0"/>
                <w:color w:val="000000" w:themeColor="text1"/>
                <w:sz w:val="18"/>
                <w:szCs w:val="18"/>
                <w14:textFill>
                  <w14:solidFill>
                    <w14:schemeClr w14:val="tx1"/>
                  </w14:solidFill>
                </w14:textFill>
              </w:rPr>
              <w:t>%</w:t>
            </w:r>
          </w:p>
        </w:tc>
      </w:tr>
      <w:tr w14:paraId="7786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2B516B1">
            <w:pPr>
              <w:jc w:val="center"/>
              <w:rPr>
                <w:rFonts w:hint="default" w:ascii="Times New Roman"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D9911">
            <w:pPr>
              <w:widowControl/>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宋体" w:cs="宋体"/>
                <w:b w:val="0"/>
                <w:bCs w:val="0"/>
                <w:color w:val="000000" w:themeColor="text1"/>
                <w:sz w:val="18"/>
                <w:szCs w:val="18"/>
                <w14:textFill>
                  <w14:solidFill>
                    <w14:schemeClr w14:val="tx1"/>
                  </w14:solidFill>
                </w14:textFill>
              </w:rPr>
              <w:t xml:space="preserve">   </w:t>
            </w:r>
            <w:r>
              <w:rPr>
                <w:rFonts w:hint="default" w:ascii="Times New Roman" w:hAnsi="Times New Roman" w:cs="宋体"/>
                <w:b w:val="0"/>
                <w:bCs w:val="0"/>
                <w:color w:val="000000" w:themeColor="text1"/>
                <w:sz w:val="18"/>
                <w:szCs w:val="18"/>
                <w14:textFill>
                  <w14:solidFill>
                    <w14:schemeClr w14:val="tx1"/>
                  </w14:solidFill>
                </w14:textFill>
              </w:rPr>
              <w:t>2</w:t>
            </w:r>
            <w:r>
              <w:rPr>
                <w:rFonts w:hint="default" w:ascii="Times New Roman" w:hAnsi="宋体" w:cs="宋体"/>
                <w:b w:val="0"/>
                <w:bCs w:val="0"/>
                <w:color w:val="000000" w:themeColor="text1"/>
                <w:sz w:val="18"/>
                <w:szCs w:val="18"/>
                <w14:textFill>
                  <w14:solidFill>
                    <w14:schemeClr w14:val="tx1"/>
                  </w14:solidFill>
                </w14:textFill>
              </w:rPr>
              <w:t>.</w:t>
            </w:r>
            <w:r>
              <w:rPr>
                <w:rFonts w:hint="default" w:hAnsi="宋体" w:cs="宋体"/>
                <w:b w:val="0"/>
                <w:bCs w:val="0"/>
                <w:color w:val="000000" w:themeColor="text1"/>
                <w:sz w:val="18"/>
                <w:szCs w:val="18"/>
                <w14:textFill>
                  <w14:solidFill>
                    <w14:schemeClr w14:val="tx1"/>
                  </w14:solidFill>
                </w14:textFill>
              </w:rPr>
              <w:t>政府性基金</w:t>
            </w:r>
          </w:p>
        </w:tc>
        <w:tc>
          <w:tcPr>
            <w:tcW w:w="1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16E2E">
            <w:pPr>
              <w:rPr>
                <w:rFonts w:hint="default" w:ascii="Times New Roman" w:hAnsi="宋体" w:cs="宋体"/>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211F8">
            <w:pPr>
              <w:jc w:val="center"/>
              <w:rPr>
                <w:rFonts w:hint="default" w:ascii="Times New Roman" w:hAnsi="宋体" w:cs="宋体"/>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F5694">
            <w:pPr>
              <w:jc w:val="center"/>
              <w:rPr>
                <w:rFonts w:hint="default" w:ascii="Times New Roman" w:hAnsi="宋体" w:cs="宋体"/>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61F08">
            <w:pPr>
              <w:jc w:val="center"/>
              <w:rPr>
                <w:rFonts w:hint="default" w:ascii="Times New Roman" w:hAnsi="宋体" w:cs="宋体"/>
                <w:b w:val="0"/>
                <w:bCs w:val="0"/>
                <w:color w:val="000000" w:themeColor="text1"/>
                <w:sz w:val="18"/>
                <w:szCs w:val="18"/>
                <w14:textFill>
                  <w14:solidFill>
                    <w14:schemeClr w14:val="tx1"/>
                  </w14:solidFill>
                </w14:textFill>
              </w:rPr>
            </w:pPr>
          </w:p>
        </w:tc>
      </w:tr>
      <w:tr w14:paraId="1986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27AC186">
            <w:pPr>
              <w:jc w:val="center"/>
              <w:rPr>
                <w:rFonts w:hint="default" w:ascii="Times New Roman"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277EE">
            <w:pPr>
              <w:widowControl/>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宋体" w:cs="宋体"/>
                <w:b w:val="0"/>
                <w:bCs w:val="0"/>
                <w:color w:val="000000" w:themeColor="text1"/>
                <w:sz w:val="18"/>
                <w:szCs w:val="18"/>
                <w14:textFill>
                  <w14:solidFill>
                    <w14:schemeClr w14:val="tx1"/>
                  </w14:solidFill>
                </w14:textFill>
              </w:rPr>
              <w:t xml:space="preserve">   </w:t>
            </w:r>
            <w:r>
              <w:rPr>
                <w:rFonts w:hint="default" w:ascii="Times New Roman" w:hAnsi="Times New Roman" w:cs="宋体"/>
                <w:b w:val="0"/>
                <w:bCs w:val="0"/>
                <w:color w:val="000000" w:themeColor="text1"/>
                <w:sz w:val="18"/>
                <w:szCs w:val="18"/>
                <w14:textFill>
                  <w14:solidFill>
                    <w14:schemeClr w14:val="tx1"/>
                  </w14:solidFill>
                </w14:textFill>
              </w:rPr>
              <w:t>3</w:t>
            </w:r>
            <w:r>
              <w:rPr>
                <w:rFonts w:hint="default" w:ascii="Times New Roman" w:hAnsi="宋体" w:cs="宋体"/>
                <w:b w:val="0"/>
                <w:bCs w:val="0"/>
                <w:color w:val="000000" w:themeColor="text1"/>
                <w:sz w:val="18"/>
                <w:szCs w:val="18"/>
                <w14:textFill>
                  <w14:solidFill>
                    <w14:schemeClr w14:val="tx1"/>
                  </w14:solidFill>
                </w14:textFill>
              </w:rPr>
              <w:t>.</w:t>
            </w:r>
            <w:r>
              <w:rPr>
                <w:rFonts w:hint="default" w:hAnsi="宋体" w:cs="宋体"/>
                <w:b w:val="0"/>
                <w:bCs w:val="0"/>
                <w:color w:val="000000" w:themeColor="text1"/>
                <w:sz w:val="18"/>
                <w:szCs w:val="18"/>
                <w14:textFill>
                  <w14:solidFill>
                    <w14:schemeClr w14:val="tx1"/>
                  </w14:solidFill>
                </w14:textFill>
              </w:rPr>
              <w:t>国有资本经营预算</w:t>
            </w:r>
          </w:p>
        </w:tc>
        <w:tc>
          <w:tcPr>
            <w:tcW w:w="1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3F5ED">
            <w:pPr>
              <w:rPr>
                <w:rFonts w:hint="default" w:ascii="Times New Roman" w:hAnsi="宋体" w:cs="宋体"/>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662E0">
            <w:pPr>
              <w:jc w:val="center"/>
              <w:rPr>
                <w:rFonts w:hint="default" w:ascii="Times New Roman" w:hAnsi="宋体" w:cs="宋体"/>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4808F">
            <w:pPr>
              <w:jc w:val="center"/>
              <w:rPr>
                <w:rFonts w:hint="default" w:ascii="Times New Roman" w:hAnsi="宋体" w:cs="宋体"/>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7738C">
            <w:pPr>
              <w:jc w:val="center"/>
              <w:rPr>
                <w:rFonts w:hint="default" w:ascii="Times New Roman" w:hAnsi="宋体" w:cs="宋体"/>
                <w:b w:val="0"/>
                <w:bCs w:val="0"/>
                <w:color w:val="000000" w:themeColor="text1"/>
                <w:sz w:val="18"/>
                <w:szCs w:val="18"/>
                <w14:textFill>
                  <w14:solidFill>
                    <w14:schemeClr w14:val="tx1"/>
                  </w14:solidFill>
                </w14:textFill>
              </w:rPr>
            </w:pPr>
          </w:p>
        </w:tc>
      </w:tr>
      <w:tr w14:paraId="3789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852B984">
            <w:pPr>
              <w:jc w:val="center"/>
              <w:rPr>
                <w:rFonts w:hint="default" w:ascii="Times New Roman" w:hAnsi="宋体" w:cs="宋体"/>
                <w:b w:val="0"/>
                <w:bCs w:val="0"/>
                <w:color w:val="000000" w:themeColor="text1"/>
                <w:sz w:val="18"/>
                <w:szCs w:val="18"/>
                <w14:textFill>
                  <w14:solidFill>
                    <w14:schemeClr w14:val="tx1"/>
                  </w14:solidFill>
                </w14:textFill>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BC653">
            <w:pPr>
              <w:widowControl/>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（二）其他资金</w:t>
            </w:r>
          </w:p>
        </w:tc>
        <w:tc>
          <w:tcPr>
            <w:tcW w:w="1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F455B">
            <w:pPr>
              <w:rPr>
                <w:rFonts w:hint="default" w:ascii="Times New Roman" w:hAnsi="宋体" w:cs="宋体"/>
                <w:b w:val="0"/>
                <w:bCs w:val="0"/>
                <w:color w:val="000000" w:themeColor="text1"/>
                <w:sz w:val="18"/>
                <w:szCs w:val="18"/>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A64D4">
            <w:pPr>
              <w:jc w:val="center"/>
              <w:rPr>
                <w:rFonts w:hint="default" w:ascii="Times New Roman" w:hAnsi="宋体" w:cs="宋体"/>
                <w:b w:val="0"/>
                <w:bCs w:val="0"/>
                <w:color w:val="000000" w:themeColor="text1"/>
                <w:sz w:val="18"/>
                <w:szCs w:val="18"/>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8748F">
            <w:pPr>
              <w:jc w:val="center"/>
              <w:rPr>
                <w:rFonts w:hint="default" w:ascii="Times New Roman" w:hAnsi="宋体" w:cs="宋体"/>
                <w:b w:val="0"/>
                <w:bCs w:val="0"/>
                <w:color w:val="000000" w:themeColor="text1"/>
                <w:sz w:val="18"/>
                <w:szCs w:val="18"/>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BDCC9">
            <w:pPr>
              <w:jc w:val="center"/>
              <w:rPr>
                <w:rFonts w:hint="default" w:ascii="Times New Roman" w:hAnsi="宋体" w:cs="宋体"/>
                <w:b w:val="0"/>
                <w:bCs w:val="0"/>
                <w:color w:val="000000" w:themeColor="text1"/>
                <w:sz w:val="18"/>
                <w:szCs w:val="18"/>
                <w14:textFill>
                  <w14:solidFill>
                    <w14:schemeClr w14:val="tx1"/>
                  </w14:solidFill>
                </w14:textFill>
              </w:rPr>
            </w:pPr>
          </w:p>
        </w:tc>
      </w:tr>
      <w:tr w14:paraId="7FAD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57778">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年度总体目标</w:t>
            </w:r>
          </w:p>
        </w:tc>
        <w:tc>
          <w:tcPr>
            <w:tcW w:w="474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14978">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1300C">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全年实际完成情况</w:t>
            </w:r>
          </w:p>
        </w:tc>
      </w:tr>
      <w:tr w14:paraId="6D78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76D2E">
            <w:pPr>
              <w:jc w:val="center"/>
              <w:rPr>
                <w:rFonts w:hint="default" w:ascii="Times New Roman" w:hAnsi="宋体" w:cs="宋体"/>
                <w:b w:val="0"/>
                <w:bCs w:val="0"/>
                <w:color w:val="000000" w:themeColor="text1"/>
                <w:sz w:val="18"/>
                <w:szCs w:val="18"/>
                <w14:textFill>
                  <w14:solidFill>
                    <w14:schemeClr w14:val="tx1"/>
                  </w14:solidFill>
                </w14:textFill>
              </w:rPr>
            </w:pPr>
          </w:p>
        </w:tc>
        <w:tc>
          <w:tcPr>
            <w:tcW w:w="474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73E0D">
            <w:pPr>
              <w:widowControl/>
              <w:jc w:val="left"/>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中央拨的解决特殊疑难信访问题的资金，兑付给信访人的资金</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F1CB0">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解决特殊疑难性</w:t>
            </w:r>
            <w:bookmarkStart w:id="0" w:name="_GoBack"/>
            <w:bookmarkEnd w:id="0"/>
            <w:r>
              <w:rPr>
                <w:rFonts w:hint="default" w:hAnsi="宋体" w:cs="宋体"/>
                <w:b w:val="0"/>
                <w:bCs w:val="0"/>
                <w:color w:val="000000" w:themeColor="text1"/>
                <w:sz w:val="18"/>
                <w:szCs w:val="18"/>
                <w14:textFill>
                  <w14:solidFill>
                    <w14:schemeClr w14:val="tx1"/>
                  </w14:solidFill>
                </w14:textFill>
              </w:rPr>
              <w:t>问题</w:t>
            </w:r>
            <w:r>
              <w:rPr>
                <w:rFonts w:hint="default" w:ascii="Times New Roman" w:hAnsi="Times New Roman" w:cs="宋体"/>
                <w:b w:val="0"/>
                <w:bCs w:val="0"/>
                <w:color w:val="000000" w:themeColor="text1"/>
                <w:sz w:val="18"/>
                <w:szCs w:val="18"/>
                <w14:textFill>
                  <w14:solidFill>
                    <w14:schemeClr w14:val="tx1"/>
                  </w14:solidFill>
                </w14:textFill>
              </w:rPr>
              <w:t>4</w:t>
            </w:r>
            <w:r>
              <w:rPr>
                <w:rFonts w:hint="default" w:hAnsi="宋体" w:cs="宋体"/>
                <w:b w:val="0"/>
                <w:bCs w:val="0"/>
                <w:color w:val="000000" w:themeColor="text1"/>
                <w:sz w:val="18"/>
                <w:szCs w:val="18"/>
                <w14:textFill>
                  <w14:solidFill>
                    <w14:schemeClr w14:val="tx1"/>
                  </w14:solidFill>
                </w14:textFill>
              </w:rPr>
              <w:t>件次，兑付资金</w:t>
            </w:r>
            <w:r>
              <w:rPr>
                <w:rFonts w:hint="default" w:ascii="Times New Roman" w:hAnsi="Times New Roman" w:cs="宋体"/>
                <w:b w:val="0"/>
                <w:bCs w:val="0"/>
                <w:color w:val="000000" w:themeColor="text1"/>
                <w:sz w:val="18"/>
                <w:szCs w:val="18"/>
                <w14:textFill>
                  <w14:solidFill>
                    <w14:schemeClr w14:val="tx1"/>
                  </w14:solidFill>
                </w14:textFill>
              </w:rPr>
              <w:t>11</w:t>
            </w:r>
            <w:r>
              <w:rPr>
                <w:rFonts w:hint="default" w:hAnsi="宋体" w:cs="宋体"/>
                <w:b w:val="0"/>
                <w:bCs w:val="0"/>
                <w:color w:val="000000" w:themeColor="text1"/>
                <w:sz w:val="18"/>
                <w:szCs w:val="18"/>
                <w14:textFill>
                  <w14:solidFill>
                    <w14:schemeClr w14:val="tx1"/>
                  </w14:solidFill>
                </w14:textFill>
              </w:rPr>
              <w:t>万元</w:t>
            </w:r>
          </w:p>
        </w:tc>
      </w:tr>
      <w:tr w14:paraId="7ED2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8A90B">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绩效</w:t>
            </w:r>
            <w:r>
              <w:rPr>
                <w:rFonts w:hint="default" w:ascii="Times New Roman" w:hAnsi="宋体" w:cs="宋体"/>
                <w:b w:val="0"/>
                <w:bCs w:val="0"/>
                <w:color w:val="000000" w:themeColor="text1"/>
                <w:sz w:val="18"/>
                <w:szCs w:val="18"/>
                <w14:textFill>
                  <w14:solidFill>
                    <w14:schemeClr w14:val="tx1"/>
                  </w14:solidFill>
                </w14:textFill>
              </w:rPr>
              <w:br w:type="textWrapping"/>
            </w:r>
            <w:r>
              <w:rPr>
                <w:rFonts w:hint="default" w:hAnsi="宋体" w:cs="宋体"/>
                <w:b w:val="0"/>
                <w:bCs w:val="0"/>
                <w:color w:val="000000" w:themeColor="text1"/>
                <w:sz w:val="18"/>
                <w:szCs w:val="18"/>
                <w14:textFill>
                  <w14:solidFill>
                    <w14:schemeClr w14:val="tx1"/>
                  </w14:solidFill>
                </w14:textFill>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2CCE1">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一级</w:t>
            </w:r>
          </w:p>
          <w:p w14:paraId="7B35CD4F">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542CD">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二级指标</w:t>
            </w:r>
          </w:p>
        </w:tc>
        <w:tc>
          <w:tcPr>
            <w:tcW w:w="27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21B37">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19827">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89E93">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1A0D8">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偏差原因分析及改进措施</w:t>
            </w:r>
          </w:p>
        </w:tc>
      </w:tr>
      <w:tr w14:paraId="1786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C292E">
            <w:pPr>
              <w:jc w:val="center"/>
              <w:rPr>
                <w:rFonts w:hint="default" w:ascii="Times New Roman" w:hAnsi="宋体" w:cs="宋体"/>
                <w:b w:val="0"/>
                <w:bCs w:val="0"/>
                <w:color w:val="000000" w:themeColor="text1"/>
                <w:sz w:val="18"/>
                <w:szCs w:val="18"/>
                <w14:textFill>
                  <w14:solidFill>
                    <w14:schemeClr w14:val="tx1"/>
                  </w14:solidFill>
                </w14:textFill>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7C7C5">
            <w:pPr>
              <w:widowControl/>
              <w:jc w:val="center"/>
              <w:textAlignment w:val="center"/>
              <w:rPr>
                <w:rFonts w:hint="default"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产出</w:t>
            </w:r>
          </w:p>
          <w:p w14:paraId="75FA86CB">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1F34D">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数量指标</w:t>
            </w:r>
          </w:p>
        </w:tc>
        <w:tc>
          <w:tcPr>
            <w:tcW w:w="27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C9AAF">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解决特殊疑难信访问题件次</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C444B">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6</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CC217">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4</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63563">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无</w:t>
            </w:r>
          </w:p>
        </w:tc>
      </w:tr>
      <w:tr w14:paraId="583A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6DE1A">
            <w:pPr>
              <w:jc w:val="center"/>
              <w:rPr>
                <w:rFonts w:hint="default" w:ascii="Times New Roman" w:hAnsi="宋体" w:cs="宋体"/>
                <w:b w:val="0"/>
                <w:bCs w:val="0"/>
                <w:color w:val="000000" w:themeColor="text1"/>
                <w:sz w:val="18"/>
                <w:szCs w:val="18"/>
                <w14:textFill>
                  <w14:solidFill>
                    <w14:schemeClr w14:val="tx1"/>
                  </w14:solidFill>
                </w14:textFill>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918E4">
            <w:pPr>
              <w:jc w:val="center"/>
              <w:rPr>
                <w:rFonts w:hint="default" w:ascii="Times New Roman" w:hAnsi="宋体" w:cs="宋体"/>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F4A56">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成本指标</w:t>
            </w:r>
          </w:p>
        </w:tc>
        <w:tc>
          <w:tcPr>
            <w:tcW w:w="27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47050">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解决特殊疑难信访问题所需资金</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443FD">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7B83F">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ascii="Times New Roman" w:hAnsi="Times New Roman" w:cs="宋体"/>
                <w:b w:val="0"/>
                <w:bCs w:val="0"/>
                <w:color w:val="000000" w:themeColor="text1"/>
                <w:sz w:val="18"/>
                <w:szCs w:val="18"/>
                <w14:textFill>
                  <w14:solidFill>
                    <w14:schemeClr w14:val="tx1"/>
                  </w14:solidFill>
                </w14:textFill>
              </w:rPr>
              <w:t>11</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1E9D1">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无</w:t>
            </w:r>
          </w:p>
        </w:tc>
      </w:tr>
      <w:tr w14:paraId="0B70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656FF">
            <w:pPr>
              <w:jc w:val="center"/>
              <w:rPr>
                <w:rFonts w:hint="default" w:ascii="Times New Roman" w:hAnsi="宋体" w:cs="宋体"/>
                <w:b w:val="0"/>
                <w:bCs w:val="0"/>
                <w:color w:val="000000" w:themeColor="text1"/>
                <w:sz w:val="18"/>
                <w:szCs w:val="18"/>
                <w14:textFill>
                  <w14:solidFill>
                    <w14:schemeClr w14:val="tx1"/>
                  </w14:solidFill>
                </w14:textFill>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5BE63">
            <w:pPr>
              <w:jc w:val="center"/>
              <w:rPr>
                <w:rFonts w:hint="default" w:ascii="Times New Roman" w:hAnsi="宋体" w:cs="宋体"/>
                <w:b w:val="0"/>
                <w:bCs w:val="0"/>
                <w:color w:val="000000" w:themeColor="text1"/>
                <w:sz w:val="18"/>
                <w:szCs w:val="18"/>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71198">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社会效益</w:t>
            </w:r>
            <w:r>
              <w:rPr>
                <w:rFonts w:hint="default" w:ascii="Times New Roman" w:hAnsi="宋体" w:cs="宋体"/>
                <w:b w:val="0"/>
                <w:bCs w:val="0"/>
                <w:color w:val="000000" w:themeColor="text1"/>
                <w:sz w:val="18"/>
                <w:szCs w:val="18"/>
                <w14:textFill>
                  <w14:solidFill>
                    <w14:schemeClr w14:val="tx1"/>
                  </w14:solidFill>
                </w14:textFill>
              </w:rPr>
              <w:br w:type="textWrapping"/>
            </w:r>
            <w:r>
              <w:rPr>
                <w:rFonts w:hint="default" w:hAnsi="宋体" w:cs="宋体"/>
                <w:b w:val="0"/>
                <w:bCs w:val="0"/>
                <w:color w:val="000000" w:themeColor="text1"/>
                <w:sz w:val="18"/>
                <w:szCs w:val="18"/>
                <w14:textFill>
                  <w14:solidFill>
                    <w14:schemeClr w14:val="tx1"/>
                  </w14:solidFill>
                </w14:textFill>
              </w:rPr>
              <w:t>指标</w:t>
            </w:r>
          </w:p>
        </w:tc>
        <w:tc>
          <w:tcPr>
            <w:tcW w:w="27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D46F7">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群众满意度很高</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0EFB4">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好</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8AD5E">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好</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AA73D">
            <w:pPr>
              <w:widowControl/>
              <w:jc w:val="center"/>
              <w:textAlignment w:val="center"/>
              <w:rPr>
                <w:rFonts w:hint="default" w:ascii="Times New Roman" w:hAnsi="宋体" w:cs="宋体"/>
                <w:b w:val="0"/>
                <w:bCs w:val="0"/>
                <w:color w:val="000000" w:themeColor="text1"/>
                <w:sz w:val="18"/>
                <w:szCs w:val="18"/>
                <w14:textFill>
                  <w14:solidFill>
                    <w14:schemeClr w14:val="tx1"/>
                  </w14:solidFill>
                </w14:textFill>
              </w:rPr>
            </w:pPr>
            <w:r>
              <w:rPr>
                <w:rFonts w:hint="default" w:hAnsi="宋体" w:cs="宋体"/>
                <w:b w:val="0"/>
                <w:bCs w:val="0"/>
                <w:color w:val="000000" w:themeColor="text1"/>
                <w:sz w:val="18"/>
                <w:szCs w:val="18"/>
                <w14:textFill>
                  <w14:solidFill>
                    <w14:schemeClr w14:val="tx1"/>
                  </w14:solidFill>
                </w14:textFill>
              </w:rPr>
              <w:t>无</w:t>
            </w:r>
          </w:p>
        </w:tc>
      </w:tr>
    </w:tbl>
    <w:p w14:paraId="5C1C1EE3">
      <w:pPr>
        <w:overflowPunct w:val="0"/>
        <w:topLinePunct/>
        <w:spacing w:line="576" w:lineRule="exact"/>
        <w:jc w:val="center"/>
        <w:rPr>
          <w:rFonts w:hint="eastAsia" w:ascii="仿宋_GB2312" w:hAnsi="仿宋_GB2312" w:eastAsia="仿宋_GB2312"/>
          <w:b w:val="0"/>
          <w:bCs w:val="0"/>
          <w:color w:val="000000" w:themeColor="text1"/>
          <w:kern w:val="2"/>
          <w:sz w:val="32"/>
          <w:szCs w:val="24"/>
          <w:highlight w:val="yellow"/>
          <w14:textFill>
            <w14:solidFill>
              <w14:schemeClr w14:val="tx1"/>
            </w14:solidFill>
          </w14:textFill>
        </w:rPr>
      </w:pPr>
    </w:p>
    <w:p w14:paraId="41A9825C">
      <w:pPr>
        <w:keepNext w:val="0"/>
        <w:keepLines w:val="0"/>
        <w:pageBreakBefore w:val="0"/>
        <w:widowControl w:val="0"/>
        <w:kinsoku/>
        <w:wordWrap/>
        <w:overflowPunct w:val="0"/>
        <w:topLinePunct w:val="0"/>
        <w:autoSpaceDE w:val="0"/>
        <w:autoSpaceDN w:val="0"/>
        <w:bidi w:val="0"/>
        <w:adjustRightInd w:val="0"/>
        <w:snapToGrid/>
        <w:spacing w:line="576" w:lineRule="exact"/>
        <w:jc w:val="center"/>
        <w:textAlignment w:val="auto"/>
        <w:rPr>
          <w:rFonts w:hint="eastAsia" w:ascii="方正小标宋简体" w:hAnsi="方正小标宋简体" w:eastAsia="方正小标宋简体" w:cs="方正小标宋简体"/>
          <w:color w:val="000000" w:themeColor="text1"/>
          <w:kern w:val="44"/>
          <w:sz w:val="44"/>
          <w:szCs w:val="24"/>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24"/>
          <w14:textFill>
            <w14:solidFill>
              <w14:schemeClr w14:val="tx1"/>
            </w14:solidFill>
          </w14:textFill>
        </w:rPr>
        <w:t>第</w:t>
      </w:r>
      <w:r>
        <w:rPr>
          <w:rFonts w:hint="eastAsia" w:ascii="方正小标宋简体" w:hAnsi="方正小标宋简体" w:eastAsia="方正小标宋简体" w:cs="方正小标宋简体"/>
          <w:color w:val="000000" w:themeColor="text1"/>
          <w:kern w:val="44"/>
          <w:sz w:val="44"/>
          <w:szCs w:val="24"/>
          <w14:textFill>
            <w14:solidFill>
              <w14:schemeClr w14:val="tx1"/>
            </w14:solidFill>
          </w14:textFill>
        </w:rPr>
        <w:t>五部分  附表</w:t>
      </w:r>
    </w:p>
    <w:p w14:paraId="344C379D">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color w:val="000000" w:themeColor="text1"/>
          <w:kern w:val="2"/>
          <w:sz w:val="32"/>
          <w:szCs w:val="24"/>
          <w14:textFill>
            <w14:solidFill>
              <w14:schemeClr w14:val="tx1"/>
            </w14:solidFill>
          </w14:textFill>
        </w:rPr>
      </w:pPr>
    </w:p>
    <w:p w14:paraId="094E34A9">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一、收入支出决算总表</w:t>
      </w:r>
    </w:p>
    <w:p w14:paraId="665BE20B">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二、收入决算表</w:t>
      </w:r>
    </w:p>
    <w:p w14:paraId="7C8BE601">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三、支出决算表</w:t>
      </w:r>
    </w:p>
    <w:p w14:paraId="3C3181DC">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四、财政拨款收入支出决算总表</w:t>
      </w:r>
    </w:p>
    <w:p w14:paraId="24D2E294">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五、财政拨款支出决算明细表</w:t>
      </w:r>
    </w:p>
    <w:p w14:paraId="52C58FD0">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六、一般公共预算财政拨款支出决算表</w:t>
      </w:r>
    </w:p>
    <w:p w14:paraId="037376EA">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七、一般公共预算财政拨款支出决算明细表</w:t>
      </w:r>
    </w:p>
    <w:p w14:paraId="61BFC645">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八、一般公共预算财政拨款基本支出决算表</w:t>
      </w:r>
    </w:p>
    <w:p w14:paraId="2D3C00E9">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九、一般公共预算财政拨款项目支出决算表</w:t>
      </w:r>
    </w:p>
    <w:p w14:paraId="7C004567">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b/>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十、政府性基金预算财政拨款收入支出决算表</w:t>
      </w:r>
    </w:p>
    <w:p w14:paraId="0BB42DD7">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十一、国有资本经营预算财政拨款收入支出决算表</w:t>
      </w:r>
    </w:p>
    <w:p w14:paraId="0F030B74">
      <w:pPr>
        <w:pStyle w:val="4"/>
        <w:keepNext w:val="0"/>
        <w:keepLines w:val="0"/>
        <w:pageBreakBefore w:val="0"/>
        <w:widowControl w:val="0"/>
        <w:kinsoku/>
        <w:wordWrap/>
        <w:overflowPunct w:val="0"/>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color w:val="000000" w:themeColor="text1"/>
          <w:kern w:val="2"/>
          <w:sz w:val="32"/>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十二、国有资本经营预算财政拨款支出决算表</w:t>
      </w:r>
    </w:p>
    <w:p w14:paraId="71364A8F">
      <w:pPr>
        <w:keepNext w:val="0"/>
        <w:keepLines w:val="0"/>
        <w:pageBreakBefore w:val="0"/>
        <w:widowControl w:val="0"/>
        <w:kinsoku/>
        <w:wordWrap/>
        <w:overflowPunct w:val="0"/>
        <w:topLinePunct w:val="0"/>
        <w:autoSpaceDE w:val="0"/>
        <w:autoSpaceDN w:val="0"/>
        <w:bidi w:val="0"/>
        <w:adjustRightInd w:val="0"/>
        <w:snapToGrid/>
        <w:spacing w:line="576" w:lineRule="exact"/>
        <w:textAlignment w:val="auto"/>
        <w:rPr>
          <w:rFonts w:hint="eastAsia" w:ascii="方正小标宋简体" w:hAnsi="方正小标宋简体" w:eastAsia="方正小标宋简体"/>
          <w:color w:val="000000" w:themeColor="text1"/>
          <w:kern w:val="2"/>
          <w:sz w:val="30"/>
          <w:szCs w:val="24"/>
          <w14:textFill>
            <w14:solidFill>
              <w14:schemeClr w14:val="tx1"/>
            </w14:solidFill>
          </w14:textFill>
        </w:rPr>
      </w:pPr>
      <w:r>
        <w:rPr>
          <w:rFonts w:hint="eastAsia" w:ascii="仿宋_GB2312" w:hAnsi="仿宋_GB2312" w:eastAsia="仿宋_GB2312"/>
          <w:color w:val="000000" w:themeColor="text1"/>
          <w:kern w:val="2"/>
          <w:sz w:val="32"/>
          <w:szCs w:val="24"/>
          <w14:textFill>
            <w14:solidFill>
              <w14:schemeClr w14:val="tx1"/>
            </w14:solidFill>
          </w14:textFill>
        </w:rPr>
        <w:t xml:space="preserve">    十三、财政拨款“三公”经费支出决算表</w:t>
      </w:r>
    </w:p>
    <w:sectPr>
      <w:footerReference r:id="rId4" w:type="default"/>
      <w:pgSz w:w="12240" w:h="15840"/>
      <w:pgMar w:top="2098" w:right="1474" w:bottom="1984" w:left="1587" w:header="850" w:footer="1587" w:gutter="0"/>
      <w:lnNumType w:countBy="0" w:distance="36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059B">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43E9CC3">
                          <w:pPr>
                            <w:pStyle w:val="6"/>
                            <w:keepNext w:val="0"/>
                            <w:keepLines w:val="0"/>
                            <w:pageBreakBefore w:val="0"/>
                            <w:widowControl w:val="0"/>
                            <w:kinsoku/>
                            <w:wordWrap/>
                            <w:overflowPunct w:val="0"/>
                            <w:topLinePunct w:val="0"/>
                            <w:bidi w:val="0"/>
                            <w:adjustRightInd w:val="0"/>
                            <w:snapToGrid w:val="0"/>
                            <w:ind w:left="240" w:leftChars="100" w:right="240" w:rightChars="100"/>
                            <w:jc w:val="both"/>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xa8bMAAgAACQQAAA4AAABkcnMvZTJvRG9jLnhtbK1TwY7TMBC9I/EP&#10;lu80bZF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muaBM6csNTw8/dv5x+/zj+/&#10;stfJns6HkrLu/RbHXSCYtPYN2vQlFazPlp6ulqo+MknB2WK+WEzJbUlnlw3xFA+/ewzxvQLLEqg4&#10;Us+yleJ4G+KQeklJtznYaGMoLkrj/ggQZ4oUqeKhxoRiv+vHwndQn0gtwjAGwcuNpjtvRYhbgdR3&#10;qpNeRryjpTHQVRxGxFkL+OVf8ZRP7aBTzjqao4o7ejacmQ+O2pRG7gLwAnYX4A72HdBgkvUYTYb0&#10;g3CS6CoeOTt41Ps2V5uUBv/2EEl+diVpGwSNkmlCsq/jNKcRfLzPWQ8veP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XW5UtAAAAAFAQAADwAAAAAAAAABACAAAAAiAAAAZHJzL2Rvd25yZXYueG1s&#10;UEsBAhQAFAAAAAgAh07iQIxa8bMAAgAACQQAAA4AAAAAAAAAAQAgAAAAHwEAAGRycy9lMm9Eb2Mu&#10;eG1sUEsFBgAAAAAGAAYAWQEAAJEFAAAAAA==&#10;">
              <v:fill on="f" focussize="0,0"/>
              <v:stroke on="f"/>
              <v:imagedata o:title=""/>
              <o:lock v:ext="edit" aspectratio="f"/>
              <v:textbox inset="0mm,0mm,0mm,0mm" style="mso-fit-shape-to-text:t;">
                <w:txbxContent>
                  <w:p w14:paraId="143E9CC3">
                    <w:pPr>
                      <w:pStyle w:val="6"/>
                      <w:keepNext w:val="0"/>
                      <w:keepLines w:val="0"/>
                      <w:pageBreakBefore w:val="0"/>
                      <w:widowControl w:val="0"/>
                      <w:kinsoku/>
                      <w:wordWrap/>
                      <w:overflowPunct w:val="0"/>
                      <w:topLinePunct w:val="0"/>
                      <w:bidi w:val="0"/>
                      <w:adjustRightInd w:val="0"/>
                      <w:snapToGrid w:val="0"/>
                      <w:ind w:left="240" w:leftChars="100" w:right="240" w:rightChars="100"/>
                      <w:jc w:val="both"/>
                      <w:textAlignment w:val="auto"/>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C9D9E">
    <w:pPr>
      <w:pStyle w:val="6"/>
      <w:spacing w:beforeLines="0" w:afterLines="0"/>
      <w:rPr>
        <w:rFonts w:hint="eastAsia"/>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3FB3577">
                          <w:pPr>
                            <w:pStyle w:val="6"/>
                            <w:spacing w:beforeLines="0" w:afterLines="0"/>
                            <w:ind w:left="240" w:leftChars="100" w:right="240" w:rightChars="100"/>
                            <w:jc w:val="both"/>
                            <w:rPr>
                              <w:rFonts w:hint="eastAsia"/>
                              <w:sz w:val="18"/>
                              <w:szCs w:val="1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MC8U9X9AQAA/wMAAA4AAAAAAAAAAQAgAAAAHwEAAGRycy9lMm9Eb2MueG1s&#10;UEsFBgAAAAAGAAYAWQEAAI4FAAAAAA==&#10;">
              <v:fill on="f" focussize="0,0"/>
              <v:stroke on="f"/>
              <v:imagedata o:title=""/>
              <o:lock v:ext="edit" aspectratio="f"/>
              <v:textbox inset="0mm,0mm,0mm,0mm" style="mso-fit-shape-to-text:t;">
                <w:txbxContent>
                  <w:p w14:paraId="73FB3577">
                    <w:pPr>
                      <w:pStyle w:val="6"/>
                      <w:spacing w:beforeLines="0" w:afterLines="0"/>
                      <w:ind w:left="240" w:leftChars="100" w:right="240" w:rightChars="100"/>
                      <w:jc w:val="both"/>
                      <w:rPr>
                        <w:rFonts w:hint="eastAsia"/>
                        <w:sz w:val="18"/>
                        <w:szCs w:val="1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66DE7"/>
    <w:multiLevelType w:val="multilevel"/>
    <w:tmpl w:val="96566DE7"/>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FC84485D"/>
    <w:multiLevelType w:val="multilevel"/>
    <w:tmpl w:val="FC84485D"/>
    <w:lvl w:ilvl="0" w:tentative="0">
      <w:start w:val="2"/>
      <w:numFmt w:val="chineseCounting"/>
      <w:suff w:val="nothing"/>
      <w:lvlText w:val="（%1）"/>
      <w:lvlJc w:val="left"/>
      <w:rPr>
        <w:rFonts w:hint="eastAsia" w:ascii="楷体_GB2312" w:hAnsi="楷体_GB2312" w:eastAsia="楷体_GB2312" w:cs="楷体_GB2312"/>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NjM4YjE1MTk1NmU3MjE3MDFhZDcyODQ0MjAzNWUifQ=="/>
  </w:docVars>
  <w:rsids>
    <w:rsidRoot w:val="00000000"/>
    <w:rsid w:val="0462410A"/>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pPr>
    <w:rPr>
      <w:rFonts w:hint="default" w:ascii="宋体" w:hAnsi="Times New Roman" w:eastAsia="宋体" w:cs="Times New Roman"/>
      <w:sz w:val="24"/>
      <w:szCs w:val="24"/>
      <w:lang w:val="en-US" w:eastAsia="zh-CN" w:bidi="ar-SA"/>
    </w:rPr>
  </w:style>
  <w:style w:type="paragraph" w:styleId="3">
    <w:name w:val="heading 1"/>
    <w:basedOn w:val="1"/>
    <w:link w:val="22"/>
    <w:unhideWhenUsed/>
    <w:qFormat/>
    <w:uiPriority w:val="99"/>
    <w:pPr>
      <w:outlineLvl w:val="0"/>
    </w:pPr>
    <w:rPr>
      <w:rFonts w:hint="default"/>
      <w:sz w:val="24"/>
      <w:szCs w:val="24"/>
    </w:rPr>
  </w:style>
  <w:style w:type="paragraph" w:styleId="4">
    <w:name w:val="heading 2"/>
    <w:basedOn w:val="1"/>
    <w:link w:val="21"/>
    <w:unhideWhenUsed/>
    <w:qFormat/>
    <w:uiPriority w:val="99"/>
    <w:pPr>
      <w:outlineLvl w:val="1"/>
    </w:pPr>
    <w:rPr>
      <w:rFonts w:hint="default"/>
      <w:sz w:val="24"/>
      <w:szCs w:val="24"/>
    </w:rPr>
  </w:style>
  <w:style w:type="character" w:default="1" w:styleId="11">
    <w:name w:val="Default Paragraph Font"/>
    <w:unhideWhenUsed/>
    <w:qFormat/>
    <w:uiPriority w:val="99"/>
    <w:rPr>
      <w:rFonts w:hint="default"/>
      <w:sz w:val="24"/>
      <w:szCs w:val="24"/>
    </w:rPr>
  </w:style>
  <w:style w:type="table" w:default="1" w:styleId="9">
    <w:name w:val="Normal Table"/>
    <w:qFormat/>
    <w:uiPriority w:val="99"/>
    <w:rPr>
      <w:sz w:val="24"/>
      <w:szCs w:val="24"/>
    </w:rPr>
    <w:tblPr>
      <w:tblCellMar>
        <w:top w:w="0" w:type="dxa"/>
        <w:left w:w="108" w:type="dxa"/>
        <w:bottom w:w="0" w:type="dxa"/>
        <w:right w:w="108" w:type="dxa"/>
      </w:tblCellMar>
    </w:tblPr>
  </w:style>
  <w:style w:type="paragraph" w:styleId="2">
    <w:name w:val="Body Text"/>
    <w:basedOn w:val="1"/>
    <w:link w:val="23"/>
    <w:unhideWhenUsed/>
    <w:qFormat/>
    <w:uiPriority w:val="99"/>
    <w:pPr>
      <w:spacing w:beforeLines="30"/>
    </w:pPr>
    <w:rPr>
      <w:rFonts w:hint="eastAsia" w:ascii="仿宋_GB2312" w:eastAsia="仿宋_GB2312"/>
      <w:sz w:val="30"/>
      <w:szCs w:val="24"/>
    </w:rPr>
  </w:style>
  <w:style w:type="paragraph" w:styleId="5">
    <w:name w:val="Body Text Indent"/>
    <w:basedOn w:val="1"/>
    <w:unhideWhenUsed/>
    <w:qFormat/>
    <w:uiPriority w:val="0"/>
    <w:pPr>
      <w:spacing w:after="120"/>
      <w:ind w:leftChars="200"/>
    </w:pPr>
    <w:rPr>
      <w:rFonts w:hint="default" w:ascii="Times New Roman"/>
      <w:sz w:val="24"/>
      <w:szCs w:val="32"/>
    </w:rPr>
  </w:style>
  <w:style w:type="paragraph" w:styleId="6">
    <w:name w:val="footer"/>
    <w:basedOn w:val="1"/>
    <w:link w:val="20"/>
    <w:unhideWhenUsed/>
    <w:qFormat/>
    <w:uiPriority w:val="99"/>
    <w:pPr>
      <w:tabs>
        <w:tab w:val="center" w:pos="4153"/>
        <w:tab w:val="right" w:pos="8306"/>
      </w:tabs>
      <w:snapToGrid w:val="0"/>
    </w:pPr>
    <w:rPr>
      <w:rFonts w:hint="default"/>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rFonts w:hint="default"/>
      <w:sz w:val="18"/>
      <w:szCs w:val="18"/>
    </w:rPr>
  </w:style>
  <w:style w:type="paragraph" w:styleId="8">
    <w:name w:val="Body Text First Indent 2"/>
    <w:basedOn w:val="5"/>
    <w:unhideWhenUsed/>
    <w:qFormat/>
    <w:uiPriority w:val="99"/>
    <w:pPr>
      <w:ind w:firstLine="420" w:firstLineChars="200"/>
    </w:pPr>
    <w:rPr>
      <w:rFonts w:hint="default"/>
      <w:sz w:val="24"/>
      <w:szCs w:val="32"/>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unhideWhenUsed/>
    <w:qFormat/>
    <w:uiPriority w:val="99"/>
    <w:rPr>
      <w:rFonts w:hint="default"/>
      <w:b/>
      <w:sz w:val="24"/>
      <w:szCs w:val="24"/>
    </w:rPr>
  </w:style>
  <w:style w:type="character" w:styleId="13">
    <w:name w:val="page number"/>
    <w:basedOn w:val="11"/>
    <w:unhideWhenUsed/>
    <w:qFormat/>
    <w:uiPriority w:val="0"/>
    <w:rPr>
      <w:rFonts w:hint="default"/>
      <w:sz w:val="24"/>
      <w:szCs w:val="24"/>
    </w:rPr>
  </w:style>
  <w:style w:type="paragraph" w:customStyle="1" w:styleId="14">
    <w:name w:val="Comment Text"/>
    <w:basedOn w:val="1"/>
    <w:unhideWhenUsed/>
    <w:qFormat/>
    <w:uiPriority w:val="0"/>
    <w:rPr>
      <w:rFonts w:hint="default"/>
      <w:sz w:val="24"/>
      <w:szCs w:val="24"/>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paragraph" w:customStyle="1" w:styleId="16">
    <w:name w:val=" Char Char Char Char Char Char Char Char Char Char Char Char Char Char1 Char Char Char Char"/>
    <w:basedOn w:val="1"/>
    <w:unhideWhenUsed/>
    <w:qFormat/>
    <w:uiPriority w:val="0"/>
    <w:rPr>
      <w:rFonts w:hint="default"/>
      <w:sz w:val="24"/>
      <w:szCs w:val="24"/>
    </w:rPr>
  </w:style>
  <w:style w:type="paragraph" w:customStyle="1" w:styleId="17">
    <w:name w:val="UserStyle_1"/>
    <w:basedOn w:val="1"/>
    <w:link w:val="25"/>
    <w:unhideWhenUsed/>
    <w:qFormat/>
    <w:uiPriority w:val="0"/>
    <w:pPr>
      <w:keepNext/>
      <w:keepLines/>
      <w:widowControl/>
      <w:spacing w:line="500" w:lineRule="exact"/>
      <w:ind w:firstLine="200" w:firstLineChars="200"/>
      <w:textAlignment w:val="baseline"/>
    </w:pPr>
    <w:rPr>
      <w:rFonts w:hint="default" w:ascii="Times New Roman" w:hAnsi="Calibri"/>
      <w:kern w:val="2"/>
      <w:sz w:val="21"/>
      <w:szCs w:val="24"/>
    </w:rPr>
  </w:style>
  <w:style w:type="paragraph" w:customStyle="1" w:styleId="18">
    <w:name w:val="Char Char Char Char"/>
    <w:basedOn w:val="1"/>
    <w:unhideWhenUsed/>
    <w:qFormat/>
    <w:uiPriority w:val="0"/>
    <w:rPr>
      <w:rFonts w:hint="default"/>
      <w:sz w:val="24"/>
      <w:szCs w:val="24"/>
    </w:rPr>
  </w:style>
  <w:style w:type="character" w:customStyle="1" w:styleId="19">
    <w:name w:val="font71"/>
    <w:basedOn w:val="11"/>
    <w:unhideWhenUsed/>
    <w:qFormat/>
    <w:uiPriority w:val="0"/>
    <w:rPr>
      <w:rFonts w:hint="default" w:ascii="Times New Roman" w:hAnsi="Times New Roman" w:eastAsia="Times New Roman" w:cs="Times New Roman"/>
      <w:sz w:val="28"/>
      <w:szCs w:val="24"/>
    </w:rPr>
  </w:style>
  <w:style w:type="character" w:customStyle="1" w:styleId="20">
    <w:name w:val="页脚 Char"/>
    <w:basedOn w:val="11"/>
    <w:link w:val="6"/>
    <w:unhideWhenUsed/>
    <w:qFormat/>
    <w:locked/>
    <w:uiPriority w:val="99"/>
    <w:rPr>
      <w:rFonts w:hint="default" w:cs="Times New Roman"/>
      <w:sz w:val="18"/>
      <w:szCs w:val="18"/>
    </w:rPr>
  </w:style>
  <w:style w:type="character" w:customStyle="1" w:styleId="21">
    <w:name w:val="标题 2 Char"/>
    <w:basedOn w:val="11"/>
    <w:link w:val="4"/>
    <w:unhideWhenUsed/>
    <w:qFormat/>
    <w:locked/>
    <w:uiPriority w:val="9"/>
    <w:rPr>
      <w:rFonts w:hint="default" w:ascii="宋体" w:hAnsi="Cambria" w:eastAsia="宋体" w:cs="Times New Roman"/>
      <w:b/>
      <w:sz w:val="32"/>
      <w:szCs w:val="32"/>
    </w:rPr>
  </w:style>
  <w:style w:type="character" w:customStyle="1" w:styleId="22">
    <w:name w:val="标题 1 Char"/>
    <w:basedOn w:val="11"/>
    <w:link w:val="3"/>
    <w:unhideWhenUsed/>
    <w:qFormat/>
    <w:locked/>
    <w:uiPriority w:val="9"/>
    <w:rPr>
      <w:rFonts w:hint="default" w:cs="Times New Roman"/>
      <w:b/>
      <w:kern w:val="44"/>
      <w:sz w:val="44"/>
      <w:szCs w:val="44"/>
    </w:rPr>
  </w:style>
  <w:style w:type="character" w:customStyle="1" w:styleId="23">
    <w:name w:val="正文文本 Char"/>
    <w:basedOn w:val="11"/>
    <w:link w:val="2"/>
    <w:unhideWhenUsed/>
    <w:qFormat/>
    <w:locked/>
    <w:uiPriority w:val="99"/>
    <w:rPr>
      <w:rFonts w:hint="default" w:cs="Times New Roman"/>
      <w:sz w:val="24"/>
      <w:szCs w:val="24"/>
    </w:rPr>
  </w:style>
  <w:style w:type="character" w:customStyle="1" w:styleId="24">
    <w:name w:val="页眉 Char"/>
    <w:basedOn w:val="11"/>
    <w:link w:val="7"/>
    <w:unhideWhenUsed/>
    <w:qFormat/>
    <w:locked/>
    <w:uiPriority w:val="99"/>
    <w:rPr>
      <w:rFonts w:hint="default" w:cs="Times New Roman"/>
      <w:sz w:val="18"/>
      <w:szCs w:val="18"/>
    </w:rPr>
  </w:style>
  <w:style w:type="character" w:customStyle="1" w:styleId="25">
    <w:name w:val="NormalCharacter"/>
    <w:link w:val="17"/>
    <w:unhideWhenUsed/>
    <w:qFormat/>
    <w:uiPriority w:val="0"/>
    <w:rPr>
      <w:rFonts w:hint="default" w:ascii="Times New Roman" w:hAnsi="Calibri" w:eastAsia="宋体"/>
      <w:kern w:val="2"/>
      <w:sz w:val="21"/>
      <w:szCs w:val="24"/>
    </w:rPr>
  </w:style>
  <w:style w:type="character" w:customStyle="1" w:styleId="26">
    <w:name w:val="CharStyle46"/>
    <w:basedOn w:val="11"/>
    <w:unhideWhenUsed/>
    <w:qFormat/>
    <w:uiPriority w:val="0"/>
    <w:rPr>
      <w:rFonts w:hint="default" w:ascii="Arial" w:hAnsi="Arial" w:eastAsia="宋体" w:cs="Arial"/>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1</a:t>
            </a:r>
            <a:r>
              <a:rPr altLang="en-US"/>
              <a:t>：收、支决算总计变动情况图</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c:v>
                </c:pt>
              </c:strCache>
            </c:strRef>
          </c:tx>
          <c:spPr>
            <a:solidFill>
              <a:schemeClr val="accent1"/>
            </a:solidFill>
            <a:ln>
              <a:noFill/>
            </a:ln>
            <a:effectLst/>
          </c:spPr>
          <c:invertIfNegative val="0"/>
          <c:dLbls>
            <c:delete val="1"/>
          </c:dLbls>
          <c:cat>
            <c:strRef>
              <c:f>Sheet1!$A$2:$A$3</c:f>
              <c:strCache>
                <c:ptCount val="2"/>
                <c:pt idx="0">
                  <c:v>2022年（万元）</c:v>
                </c:pt>
                <c:pt idx="1">
                  <c:v>2023年（万元）</c:v>
                </c:pt>
              </c:strCache>
            </c:strRef>
          </c:cat>
          <c:val>
            <c:numRef>
              <c:f>Sheet1!$B$2:$B$3</c:f>
              <c:numCache>
                <c:formatCode>General</c:formatCode>
                <c:ptCount val="2"/>
                <c:pt idx="0">
                  <c:v>195.64</c:v>
                </c:pt>
                <c:pt idx="1">
                  <c:v>223.06</c:v>
                </c:pt>
              </c:numCache>
            </c:numRef>
          </c:val>
        </c:ser>
        <c:ser>
          <c:idx val="1"/>
          <c:order val="1"/>
          <c:tx>
            <c:strRef>
              <c:f>Sheet1!$C$1</c:f>
              <c:strCache>
                <c:ptCount val="1"/>
                <c:pt idx="0">
                  <c:v>出</c:v>
                </c:pt>
              </c:strCache>
            </c:strRef>
          </c:tx>
          <c:spPr>
            <a:solidFill>
              <a:schemeClr val="accent2"/>
            </a:solidFill>
            <a:ln>
              <a:noFill/>
            </a:ln>
            <a:effectLst/>
          </c:spPr>
          <c:invertIfNegative val="0"/>
          <c:dLbls>
            <c:delete val="1"/>
          </c:dLbls>
          <c:cat>
            <c:strRef>
              <c:f>Sheet1!$A$2:$A$3</c:f>
              <c:strCache>
                <c:ptCount val="2"/>
                <c:pt idx="0">
                  <c:v>2022年（万元）</c:v>
                </c:pt>
                <c:pt idx="1">
                  <c:v>2023年（万元）</c:v>
                </c:pt>
              </c:strCache>
            </c:strRef>
          </c:cat>
          <c:val>
            <c:numRef>
              <c:f>Sheet1!$C$2:$C$3</c:f>
              <c:numCache>
                <c:formatCode>General</c:formatCode>
                <c:ptCount val="2"/>
                <c:pt idx="0">
                  <c:v>195.64</c:v>
                </c:pt>
                <c:pt idx="1">
                  <c:v>223.06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2022年（万元）</c:v>
                </c:pt>
                <c:pt idx="1">
                  <c:v>2023年（万元）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829856027"/>
        <c:axId val="110657882"/>
      </c:barChart>
      <c:catAx>
        <c:axId val="82985602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657882"/>
        <c:crosses val="autoZero"/>
        <c:auto val="1"/>
        <c:lblAlgn val="ctr"/>
        <c:lblOffset val="100"/>
        <c:noMultiLvlLbl val="0"/>
      </c:catAx>
      <c:valAx>
        <c:axId val="110657882"/>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8560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图2：收入决算结构图</c:v>
                </c:pt>
              </c:strCache>
            </c:strRef>
          </c:tx>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223.06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图3：支出决算结构图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138.42</c:v>
                </c:pt>
                <c:pt idx="1">
                  <c:v>84.64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4</a:t>
            </a:r>
            <a:r>
              <a:rPr altLang="en-US"/>
              <a:t>：财政拨款收、支决算总计变动情况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c:v>
                </c:pt>
              </c:strCache>
            </c:strRef>
          </c:tx>
          <c:spPr>
            <a:solidFill>
              <a:schemeClr val="accent1"/>
            </a:solidFill>
            <a:ln>
              <a:noFill/>
            </a:ln>
            <a:effectLst/>
          </c:spPr>
          <c:invertIfNegative val="0"/>
          <c:dLbls>
            <c:delete val="1"/>
          </c:dLbls>
          <c:cat>
            <c:strRef>
              <c:f>Sheet1!$A$2:$A$3</c:f>
              <c:strCache>
                <c:ptCount val="2"/>
                <c:pt idx="0">
                  <c:v>2022年（万元）</c:v>
                </c:pt>
                <c:pt idx="1">
                  <c:v>2023年（万元）</c:v>
                </c:pt>
              </c:strCache>
            </c:strRef>
          </c:cat>
          <c:val>
            <c:numRef>
              <c:f>Sheet1!$B$2:$B$3</c:f>
              <c:numCache>
                <c:formatCode>General</c:formatCode>
                <c:ptCount val="2"/>
                <c:pt idx="0">
                  <c:v>195.64</c:v>
                </c:pt>
                <c:pt idx="1">
                  <c:v>223.06</c:v>
                </c:pt>
              </c:numCache>
            </c:numRef>
          </c:val>
        </c:ser>
        <c:ser>
          <c:idx val="1"/>
          <c:order val="1"/>
          <c:tx>
            <c:strRef>
              <c:f>Sheet1!$C$1</c:f>
              <c:strCache>
                <c:ptCount val="1"/>
                <c:pt idx="0">
                  <c:v>支</c:v>
                </c:pt>
              </c:strCache>
            </c:strRef>
          </c:tx>
          <c:spPr>
            <a:solidFill>
              <a:schemeClr val="accent2"/>
            </a:solidFill>
            <a:ln>
              <a:noFill/>
            </a:ln>
            <a:effectLst/>
          </c:spPr>
          <c:invertIfNegative val="0"/>
          <c:dLbls>
            <c:delete val="1"/>
          </c:dLbls>
          <c:cat>
            <c:strRef>
              <c:f>Sheet1!$A$2:$A$3</c:f>
              <c:strCache>
                <c:ptCount val="2"/>
                <c:pt idx="0">
                  <c:v>2022年（万元）</c:v>
                </c:pt>
                <c:pt idx="1">
                  <c:v>2023年（万元）</c:v>
                </c:pt>
              </c:strCache>
            </c:strRef>
          </c:cat>
          <c:val>
            <c:numRef>
              <c:f>Sheet1!$C$2:$C$3</c:f>
              <c:numCache>
                <c:formatCode>General</c:formatCode>
                <c:ptCount val="2"/>
                <c:pt idx="0">
                  <c:v>195.64</c:v>
                </c:pt>
                <c:pt idx="1">
                  <c:v>223.06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2022年（万元）</c:v>
                </c:pt>
                <c:pt idx="1">
                  <c:v>2023年（万元）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176238969"/>
        <c:axId val="243276038"/>
      </c:barChart>
      <c:catAx>
        <c:axId val="17623896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276038"/>
        <c:crosses val="autoZero"/>
        <c:auto val="1"/>
        <c:lblAlgn val="ctr"/>
        <c:lblOffset val="100"/>
        <c:noMultiLvlLbl val="0"/>
      </c:catAx>
      <c:valAx>
        <c:axId val="243276038"/>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23896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5</a:t>
            </a:r>
            <a:r>
              <a:rPr altLang="en-US"/>
              <a:t>：一般公共预算财政拨款支出决算变动情况</a:t>
            </a:r>
            <a:endParaRPr altLang="en-US"/>
          </a:p>
        </c:rich>
      </c:tx>
      <c:layout>
        <c:manualLayout>
          <c:xMode val="edge"/>
          <c:yMode val="edge"/>
          <c:x val="0.158733993718289"/>
          <c:y val="0.035274118147046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c:v>
                </c:pt>
              </c:strCache>
            </c:strRef>
          </c:tx>
          <c:spPr>
            <a:solidFill>
              <a:schemeClr val="accent1"/>
            </a:solidFill>
            <a:ln>
              <a:noFill/>
            </a:ln>
            <a:effectLst/>
          </c:spPr>
          <c:invertIfNegative val="0"/>
          <c:dLbls>
            <c:delete val="1"/>
          </c:dLbls>
          <c:cat>
            <c:strRef>
              <c:f>Sheet1!$A$2:$A$3</c:f>
              <c:strCache>
                <c:ptCount val="2"/>
                <c:pt idx="0">
                  <c:v>2022年（万元）</c:v>
                </c:pt>
                <c:pt idx="1">
                  <c:v>2023年（万元）</c:v>
                </c:pt>
              </c:strCache>
            </c:strRef>
          </c:cat>
          <c:val>
            <c:numRef>
              <c:f>Sheet1!$B$2:$B$3</c:f>
              <c:numCache>
                <c:formatCode>General</c:formatCode>
                <c:ptCount val="2"/>
                <c:pt idx="0">
                  <c:v>195.64</c:v>
                </c:pt>
                <c:pt idx="1">
                  <c:v>223.06</c:v>
                </c:pt>
              </c:numCache>
            </c:numRef>
          </c:val>
        </c:ser>
        <c:ser>
          <c:idx val="1"/>
          <c:order val="1"/>
          <c:tx>
            <c:strRef>
              <c:f>Sheet1!$C$1</c:f>
              <c:strCache>
                <c:ptCount val="1"/>
                <c:pt idx="0">
                  <c:v>支</c:v>
                </c:pt>
              </c:strCache>
            </c:strRef>
          </c:tx>
          <c:spPr>
            <a:solidFill>
              <a:schemeClr val="accent2"/>
            </a:solidFill>
            <a:ln>
              <a:noFill/>
            </a:ln>
            <a:effectLst/>
          </c:spPr>
          <c:invertIfNegative val="0"/>
          <c:dLbls>
            <c:delete val="1"/>
          </c:dLbls>
          <c:cat>
            <c:strRef>
              <c:f>Sheet1!$A$2:$A$3</c:f>
              <c:strCache>
                <c:ptCount val="2"/>
                <c:pt idx="0">
                  <c:v>2022年（万元）</c:v>
                </c:pt>
                <c:pt idx="1">
                  <c:v>2023年（万元）</c:v>
                </c:pt>
              </c:strCache>
            </c:strRef>
          </c:cat>
          <c:val>
            <c:numRef>
              <c:f>Sheet1!$C$2:$C$3</c:f>
              <c:numCache>
                <c:formatCode>General</c:formatCode>
                <c:ptCount val="2"/>
                <c:pt idx="0">
                  <c:v>195.64</c:v>
                </c:pt>
                <c:pt idx="1">
                  <c:v>223.06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2022年（万元）</c:v>
                </c:pt>
                <c:pt idx="1">
                  <c:v>2023年（万元）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824412998"/>
        <c:axId val="98160771"/>
      </c:barChart>
      <c:catAx>
        <c:axId val="82441299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160771"/>
        <c:crosses val="autoZero"/>
        <c:auto val="1"/>
        <c:lblAlgn val="ctr"/>
        <c:lblOffset val="100"/>
        <c:noMultiLvlLbl val="0"/>
      </c:catAx>
      <c:valAx>
        <c:axId val="98160771"/>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4129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图6：一般公共预算财政拨款支出决算结构</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195.31</c:v>
                </c:pt>
                <c:pt idx="1">
                  <c:v>13.12</c:v>
                </c:pt>
                <c:pt idx="2">
                  <c:v>4.78</c:v>
                </c:pt>
                <c:pt idx="3">
                  <c:v>9.84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677133105802048"/>
          <c:y val="0.1533629939806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图7：“三公”经费财政拨款支出结构</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0</c:v>
                </c:pt>
                <c:pt idx="2">
                  <c:v>2.95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E1FB856BD44840FBA67BC6B3D2029251_13</vt:lpwstr>
  </property>
</Properties>
</file>

<file path=customXml/item3.xml><?xml version="1.0" encoding="utf-8"?>
<Properties xmlns="http://schemas.openxmlformats.org/officeDocument/2006/extended-properties" xmlns:vt="http://schemas.openxmlformats.org/officeDocument/2006/docPropsVTypes">
  <Pages>40</Pages>
  <Words>15028</Words>
  <Characters>16093</Characters>
  <TotalTime>4</TotalTime>
  <ScaleCrop>false</ScaleCrop>
  <LinksUpToDate>false</LinksUpToDate>
  <CharactersWithSpaces>16526</CharactersWithSpaces>
  <Application>WPS Office_12.1.0.18276_F1E327BC-269C-435d-A152-05C5408002CA</Applicat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2024-09-19T07:03:00Z</dcterms:created>
  <dc:creator>Administrator</dc:creator>
  <cp:lastModifiedBy>Administrator</cp:lastModifiedBy>
  <dcterms:modified xsi:type="dcterms:W3CDTF">2024-09-24T02:17:37Z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6d92b-d10b-47fb-bc31-134492e54248}">
  <ds:schemaRefs/>
</ds:datastoreItem>
</file>

<file path=customXml/itemProps3.xml><?xml version="1.0" encoding="utf-8"?>
<ds:datastoreItem xmlns:ds="http://schemas.openxmlformats.org/officeDocument/2006/customXml" ds:itemID="{4fb1975f-24eb-4fe7-86f5-ee2981fa281c}">
  <ds:schemaRefs/>
</ds:datastoreItem>
</file>

<file path=customXml/itemProps4.xml><?xml version="1.0" encoding="utf-8"?>
<ds:datastoreItem xmlns:ds="http://schemas.openxmlformats.org/officeDocument/2006/customXml" ds:itemID="{5a4daa5d-c87d-4216-a511-44fc27379097}">
  <ds:schemaRefs/>
</ds:datastoreItem>
</file>

<file path=docProps/app.xml><?xml version="1.0" encoding="utf-8"?>
<Properties xmlns="http://schemas.openxmlformats.org/officeDocument/2006/extended-properties" xmlns:vt="http://schemas.openxmlformats.org/officeDocument/2006/docPropsVTypes">
  <Pages>40</Pages>
  <Words>14861</Words>
  <Characters>15923</Characters>
  <TotalTime>8</TotalTime>
  <ScaleCrop>false</ScaleCrop>
  <LinksUpToDate>false</LinksUpToDate>
  <CharactersWithSpaces>16354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2024-09-19T07:03:00Z</dcterms:created>
  <dc:creator>Administrator</dc:creator>
  <cp:lastModifiedBy>Administrator</cp:lastModifiedBy>
  <dcterms:modified xsi:type="dcterms:W3CDTF">2024-09-25T02:35:55Z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E1FB856BD44840FBA67BC6B3D2029251_13</vt:lpwstr>
  </property>
</Properties>
</file>