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0FD4F09">
      <w:pPr>
        <w:kinsoku/>
        <w:wordWrap/>
        <w:autoSpaceDE w:val="0"/>
        <w:autoSpaceDN w:val="0"/>
        <w:bidi w:val="0"/>
        <w:adjustRightInd w:val="0"/>
        <w:spacing w:beforeLines="0" w:afterLines="0" w:line="576" w:lineRule="exact"/>
        <w:textAlignment w:val="auto"/>
        <w:rPr>
          <w:rFonts w:hint="eastAsia" w:ascii="方正小标宋简体" w:hAnsi="方正小标宋简体" w:eastAsia="方正小标宋简体"/>
          <w:color w:val="FF0000"/>
          <w:kern w:val="2"/>
          <w:sz w:val="30"/>
          <w:szCs w:val="24"/>
          <w:lang w:val="zh-CN"/>
        </w:rPr>
      </w:pPr>
    </w:p>
    <w:p w14:paraId="6C07045F">
      <w:pPr>
        <w:kinsoku/>
        <w:wordWrap/>
        <w:autoSpaceDE w:val="0"/>
        <w:autoSpaceDN w:val="0"/>
        <w:bidi w:val="0"/>
        <w:adjustRightInd w:val="0"/>
        <w:spacing w:beforeLines="0" w:afterLines="0" w:line="576" w:lineRule="exact"/>
        <w:jc w:val="center"/>
        <w:textAlignment w:val="auto"/>
        <w:rPr>
          <w:rFonts w:hint="eastAsia" w:ascii="方正小标宋简体" w:hAnsi="方正小标宋简体" w:eastAsia="方正小标宋简体"/>
          <w:color w:val="000000"/>
          <w:kern w:val="2"/>
          <w:sz w:val="72"/>
          <w:szCs w:val="24"/>
          <w:lang w:val="zh-CN"/>
        </w:rPr>
      </w:pPr>
    </w:p>
    <w:p w14:paraId="1F7E8A9E">
      <w:pPr>
        <w:kinsoku/>
        <w:wordWrap/>
        <w:autoSpaceDE w:val="0"/>
        <w:autoSpaceDN w:val="0"/>
        <w:bidi w:val="0"/>
        <w:adjustRightInd w:val="0"/>
        <w:spacing w:beforeLines="0" w:afterLines="0" w:line="576" w:lineRule="exact"/>
        <w:jc w:val="center"/>
        <w:textAlignment w:val="auto"/>
        <w:rPr>
          <w:rFonts w:hint="eastAsia" w:ascii="方正小标宋简体" w:hAnsi="方正小标宋简体" w:eastAsia="方正小标宋简体"/>
          <w:color w:val="000000"/>
          <w:kern w:val="2"/>
          <w:sz w:val="72"/>
          <w:szCs w:val="24"/>
          <w:lang w:val="zh-CN"/>
        </w:rPr>
      </w:pPr>
    </w:p>
    <w:p w14:paraId="4720C9FA">
      <w:pPr>
        <w:kinsoku/>
        <w:wordWrap/>
        <w:autoSpaceDE w:val="0"/>
        <w:autoSpaceDN w:val="0"/>
        <w:bidi w:val="0"/>
        <w:adjustRightInd w:val="0"/>
        <w:spacing w:beforeLines="0" w:afterLines="0" w:line="576" w:lineRule="exact"/>
        <w:jc w:val="center"/>
        <w:textAlignment w:val="auto"/>
        <w:rPr>
          <w:rFonts w:hint="eastAsia" w:ascii="方正小标宋简体" w:hAnsi="方正小标宋简体" w:eastAsia="方正小标宋简体"/>
          <w:color w:val="000000"/>
          <w:kern w:val="2"/>
          <w:sz w:val="72"/>
          <w:szCs w:val="24"/>
          <w:lang w:val="zh-CN"/>
        </w:rPr>
      </w:pPr>
    </w:p>
    <w:p w14:paraId="27713BFF">
      <w:pPr>
        <w:spacing w:beforeLines="0" w:afterLines="0" w:line="1400" w:lineRule="exact"/>
        <w:jc w:val="center"/>
        <w:rPr>
          <w:rFonts w:hint="eastAsia" w:ascii="方正小标宋简体" w:hAnsi="黑体" w:eastAsia="方正小标宋简体"/>
          <w:color w:val="000000"/>
          <w:kern w:val="2"/>
          <w:sz w:val="72"/>
          <w:szCs w:val="24"/>
          <w:lang w:val="zh-CN"/>
        </w:rPr>
      </w:pPr>
      <w:r>
        <w:rPr>
          <w:rFonts w:hint="eastAsia" w:ascii="方正小标宋简体" w:hAnsi="黑体" w:eastAsia="方正小标宋简体"/>
          <w:color w:val="000000"/>
          <w:kern w:val="2"/>
          <w:sz w:val="72"/>
          <w:szCs w:val="24"/>
          <w:lang w:val="zh-CN"/>
        </w:rPr>
        <w:t>2023年度</w:t>
      </w:r>
    </w:p>
    <w:p w14:paraId="3DA3094D">
      <w:pPr>
        <w:spacing w:beforeLines="0" w:afterLines="0" w:line="1400" w:lineRule="exact"/>
        <w:jc w:val="center"/>
        <w:rPr>
          <w:rFonts w:hint="eastAsia" w:ascii="方正小标宋简体" w:hAnsi="黑体" w:eastAsia="方正小标宋简体"/>
          <w:color w:val="000000"/>
          <w:kern w:val="2"/>
          <w:sz w:val="72"/>
          <w:szCs w:val="24"/>
          <w:lang w:val="zh-CN"/>
        </w:rPr>
      </w:pPr>
      <w:r>
        <w:rPr>
          <w:rFonts w:hint="eastAsia" w:ascii="方正小标宋简体" w:hAnsi="黑体" w:eastAsia="方正小标宋简体"/>
          <w:color w:val="000000"/>
          <w:kern w:val="2"/>
          <w:sz w:val="72"/>
          <w:szCs w:val="24"/>
        </w:rPr>
        <w:t>中共广元市昭化区委办公室</w:t>
      </w:r>
      <w:r>
        <w:rPr>
          <w:rFonts w:hint="eastAsia" w:ascii="方正小标宋简体" w:hAnsi="黑体" w:eastAsia="方正小标宋简体"/>
          <w:color w:val="000000"/>
          <w:kern w:val="2"/>
          <w:sz w:val="72"/>
          <w:szCs w:val="24"/>
          <w:lang w:val="zh-CN"/>
        </w:rPr>
        <w:t>部门决算</w:t>
      </w:r>
    </w:p>
    <w:p w14:paraId="5711B092">
      <w:pPr>
        <w:kinsoku/>
        <w:wordWrap/>
        <w:autoSpaceDE w:val="0"/>
        <w:autoSpaceDN w:val="0"/>
        <w:bidi w:val="0"/>
        <w:adjustRightInd w:val="0"/>
        <w:spacing w:beforeLines="0" w:afterLines="0" w:line="576" w:lineRule="exact"/>
        <w:jc w:val="center"/>
        <w:textAlignment w:val="auto"/>
        <w:rPr>
          <w:rFonts w:hint="eastAsia" w:ascii="黑体" w:hAnsi="黑体" w:eastAsia="黑体"/>
          <w:color w:val="000000"/>
          <w:kern w:val="2"/>
          <w:sz w:val="72"/>
          <w:szCs w:val="24"/>
          <w:lang w:val="zh-CN"/>
        </w:rPr>
      </w:pPr>
    </w:p>
    <w:p w14:paraId="6A6775B0">
      <w:pPr>
        <w:keepNext w:val="0"/>
        <w:keepLines w:val="0"/>
        <w:pageBreakBefore w:val="0"/>
        <w:widowControl w:val="0"/>
        <w:kinsoku/>
        <w:wordWrap/>
        <w:overflowPunct/>
        <w:topLinePunct w:val="0"/>
        <w:autoSpaceDE w:val="0"/>
        <w:autoSpaceDN w:val="0"/>
        <w:bidi w:val="0"/>
        <w:adjustRightInd w:val="0"/>
        <w:snapToGrid w:val="0"/>
        <w:spacing w:beforeLines="0" w:afterLines="0" w:line="576" w:lineRule="exact"/>
        <w:jc w:val="center"/>
        <w:textAlignment w:val="auto"/>
        <w:outlineLvl w:val="9"/>
        <w:rPr>
          <w:rFonts w:hint="eastAsia" w:ascii="方正小标宋简体" w:hAnsi="宋体" w:eastAsia="方正小标宋简体"/>
          <w:sz w:val="52"/>
          <w:szCs w:val="24"/>
        </w:rPr>
      </w:pPr>
    </w:p>
    <w:p w14:paraId="5ABC1CB1">
      <w:pPr>
        <w:pStyle w:val="2"/>
        <w:kinsoku/>
        <w:wordWrap/>
        <w:autoSpaceDE w:val="0"/>
        <w:autoSpaceDN w:val="0"/>
        <w:bidi w:val="0"/>
        <w:adjustRightInd w:val="0"/>
        <w:spacing w:before="72" w:afterLines="0" w:line="576" w:lineRule="exact"/>
        <w:textAlignment w:val="auto"/>
        <w:rPr>
          <w:rFonts w:hint="eastAsia"/>
          <w:sz w:val="30"/>
          <w:szCs w:val="24"/>
          <w:lang w:val="zh-CN"/>
        </w:rPr>
      </w:pPr>
    </w:p>
    <w:p w14:paraId="3A324DCB">
      <w:pPr>
        <w:keepNext/>
        <w:keepLines/>
        <w:pageBreakBefore/>
        <w:kinsoku/>
        <w:wordWrap/>
        <w:autoSpaceDE w:val="0"/>
        <w:autoSpaceDN w:val="0"/>
        <w:bidi w:val="0"/>
        <w:adjustRightInd w:val="0"/>
        <w:spacing w:beforeLines="0" w:afterLines="0" w:line="576" w:lineRule="exact"/>
        <w:jc w:val="center"/>
        <w:textAlignment w:val="auto"/>
        <w:rPr>
          <w:rFonts w:hint="eastAsia" w:ascii="黑体" w:hAnsi="黑体" w:eastAsia="黑体"/>
          <w:kern w:val="2"/>
          <w:sz w:val="48"/>
          <w:szCs w:val="24"/>
          <w:lang w:val="zh-CN"/>
        </w:rPr>
      </w:pPr>
      <w:r>
        <w:rPr>
          <w:rFonts w:hint="eastAsia" w:ascii="黑体" w:hAnsi="黑体" w:eastAsia="黑体"/>
          <w:kern w:val="2"/>
          <w:sz w:val="48"/>
          <w:szCs w:val="24"/>
          <w:lang w:val="zh-CN"/>
        </w:rPr>
        <w:t>目   录</w:t>
      </w:r>
    </w:p>
    <w:sdt>
      <w:sdtPr>
        <w:rPr>
          <w:rFonts w:hint="eastAsia" w:ascii="宋体" w:hAnsi="宋体" w:eastAsia="宋体" w:cs="Times New Roman"/>
          <w:sz w:val="21"/>
          <w:szCs w:val="24"/>
          <w:lang w:val="en-US" w:eastAsia="zh-CN" w:bidi="ar-SA"/>
        </w:rPr>
        <w:id w:val="147476567"/>
        <w15:color w:val="DBDBDB"/>
        <w:docPartObj>
          <w:docPartGallery w:val="Table of Contents"/>
          <w:docPartUnique/>
        </w:docPartObj>
      </w:sdtPr>
      <w:sdtEndPr>
        <w:rPr>
          <w:rFonts w:hint="default" w:ascii="Times New Roman" w:hAnsi="Times New Roman" w:eastAsia="宋体" w:cs="Times New Roman"/>
          <w:sz w:val="24"/>
          <w:szCs w:val="24"/>
          <w:lang w:val="en-US" w:eastAsia="zh-CN" w:bidi="ar-SA"/>
        </w:rPr>
      </w:sdtEndPr>
      <w:sdtContent>
        <w:p w14:paraId="47DDBC0F">
          <w:pPr>
            <w:spacing w:before="0" w:beforeLines="0" w:after="0" w:afterLines="0" w:line="240" w:lineRule="auto"/>
            <w:ind w:left="0" w:leftChars="0" w:right="0" w:rightChars="0" w:firstLine="0" w:firstLineChars="0"/>
            <w:jc w:val="center"/>
          </w:pPr>
        </w:p>
        <w:p w14:paraId="77774009">
          <w:pPr>
            <w:pStyle w:val="9"/>
            <w:tabs>
              <w:tab w:val="right" w:leader="dot" w:pos="9179"/>
            </w:tabs>
          </w:pPr>
          <w:r>
            <w:rPr>
              <w:rFonts w:hint="default"/>
              <w:sz w:val="24"/>
              <w:szCs w:val="24"/>
            </w:rPr>
            <w:fldChar w:fldCharType="begin"/>
          </w:r>
          <w:r>
            <w:rPr>
              <w:rFonts w:hint="default"/>
              <w:sz w:val="24"/>
              <w:szCs w:val="24"/>
            </w:rPr>
            <w:instrText xml:space="preserve">TOC \o "1-3" \h \u</w:instrText>
          </w:r>
          <w:r>
            <w:rPr>
              <w:rFonts w:hint="default"/>
              <w:sz w:val="24"/>
              <w:szCs w:val="24"/>
            </w:rPr>
            <w:fldChar w:fldCharType="separate"/>
          </w:r>
          <w:r>
            <w:fldChar w:fldCharType="begin"/>
          </w:r>
          <w:r>
            <w:instrText xml:space="preserve"> HYPERLINK \l "_Toc7753" </w:instrText>
          </w:r>
          <w:r>
            <w:fldChar w:fldCharType="separate"/>
          </w:r>
          <w:r>
            <w:rPr>
              <w:rFonts w:hint="eastAsia" w:ascii="黑体" w:hAnsi="黑体" w:eastAsia="黑体"/>
              <w:kern w:val="44"/>
              <w:szCs w:val="24"/>
            </w:rPr>
            <w:t>第一部分 部门概况</w:t>
          </w:r>
          <w:r>
            <w:tab/>
          </w:r>
          <w:r>
            <w:fldChar w:fldCharType="begin"/>
          </w:r>
          <w:r>
            <w:instrText xml:space="preserve"> PAGEREF _Toc7753 \h </w:instrText>
          </w:r>
          <w:r>
            <w:fldChar w:fldCharType="separate"/>
          </w:r>
          <w:r>
            <w:t>1</w:t>
          </w:r>
          <w:r>
            <w:fldChar w:fldCharType="end"/>
          </w:r>
          <w:r>
            <w:fldChar w:fldCharType="end"/>
          </w:r>
        </w:p>
        <w:p w14:paraId="0E093F3A">
          <w:pPr>
            <w:pStyle w:val="10"/>
            <w:tabs>
              <w:tab w:val="right" w:leader="dot" w:pos="9179"/>
            </w:tabs>
          </w:pPr>
          <w:r>
            <w:fldChar w:fldCharType="begin"/>
          </w:r>
          <w:r>
            <w:instrText xml:space="preserve"> HYPERLINK \l "_Toc21656" </w:instrText>
          </w:r>
          <w:r>
            <w:fldChar w:fldCharType="separate"/>
          </w:r>
          <w:r>
            <w:rPr>
              <w:rFonts w:hint="eastAsia" w:ascii="黑体" w:hAnsi="黑体" w:eastAsia="黑体"/>
              <w:kern w:val="2"/>
              <w:szCs w:val="24"/>
            </w:rPr>
            <w:t>一、部门职责</w:t>
          </w:r>
          <w:r>
            <w:tab/>
          </w:r>
          <w:r>
            <w:fldChar w:fldCharType="begin"/>
          </w:r>
          <w:r>
            <w:instrText xml:space="preserve"> PAGEREF _Toc21656 \h </w:instrText>
          </w:r>
          <w:r>
            <w:fldChar w:fldCharType="separate"/>
          </w:r>
          <w:r>
            <w:t>1</w:t>
          </w:r>
          <w:r>
            <w:fldChar w:fldCharType="end"/>
          </w:r>
          <w:r>
            <w:fldChar w:fldCharType="end"/>
          </w:r>
        </w:p>
        <w:p w14:paraId="0F4900E1">
          <w:pPr>
            <w:pStyle w:val="10"/>
            <w:tabs>
              <w:tab w:val="right" w:leader="dot" w:pos="9179"/>
            </w:tabs>
          </w:pPr>
          <w:r>
            <w:fldChar w:fldCharType="begin"/>
          </w:r>
          <w:r>
            <w:instrText xml:space="preserve"> HYPERLINK \l "_Toc4496" </w:instrText>
          </w:r>
          <w:r>
            <w:fldChar w:fldCharType="separate"/>
          </w:r>
          <w:r>
            <w:rPr>
              <w:rFonts w:hint="eastAsia" w:ascii="黑体" w:hAnsi="黑体" w:eastAsia="黑体"/>
              <w:kern w:val="2"/>
              <w:szCs w:val="24"/>
            </w:rPr>
            <w:t>二、机构设置</w:t>
          </w:r>
          <w:r>
            <w:tab/>
          </w:r>
          <w:r>
            <w:fldChar w:fldCharType="begin"/>
          </w:r>
          <w:r>
            <w:instrText xml:space="preserve"> PAGEREF _Toc4496 \h </w:instrText>
          </w:r>
          <w:r>
            <w:fldChar w:fldCharType="separate"/>
          </w:r>
          <w:r>
            <w:t>3</w:t>
          </w:r>
          <w:r>
            <w:fldChar w:fldCharType="end"/>
          </w:r>
          <w:r>
            <w:fldChar w:fldCharType="end"/>
          </w:r>
        </w:p>
        <w:p w14:paraId="0D1AA6B9">
          <w:pPr>
            <w:pStyle w:val="9"/>
            <w:tabs>
              <w:tab w:val="right" w:leader="dot" w:pos="9179"/>
            </w:tabs>
          </w:pPr>
          <w:r>
            <w:fldChar w:fldCharType="begin"/>
          </w:r>
          <w:r>
            <w:instrText xml:space="preserve"> HYPERLINK \l "_Toc27242" </w:instrText>
          </w:r>
          <w:r>
            <w:fldChar w:fldCharType="separate"/>
          </w:r>
          <w:r>
            <w:rPr>
              <w:rFonts w:hint="eastAsia" w:ascii="黑体" w:hAnsi="黑体" w:eastAsia="黑体"/>
              <w:kern w:val="44"/>
              <w:szCs w:val="24"/>
            </w:rPr>
            <w:t>第二部分  2023年度部门决算情况说明</w:t>
          </w:r>
          <w:r>
            <w:tab/>
          </w:r>
          <w:r>
            <w:fldChar w:fldCharType="begin"/>
          </w:r>
          <w:r>
            <w:instrText xml:space="preserve"> PAGEREF _Toc27242 \h </w:instrText>
          </w:r>
          <w:r>
            <w:fldChar w:fldCharType="separate"/>
          </w:r>
          <w:r>
            <w:t>4</w:t>
          </w:r>
          <w:r>
            <w:fldChar w:fldCharType="end"/>
          </w:r>
          <w:r>
            <w:fldChar w:fldCharType="end"/>
          </w:r>
        </w:p>
        <w:p w14:paraId="258000AE">
          <w:pPr>
            <w:pStyle w:val="10"/>
            <w:tabs>
              <w:tab w:val="right" w:leader="dot" w:pos="9179"/>
            </w:tabs>
          </w:pPr>
          <w:r>
            <w:fldChar w:fldCharType="begin"/>
          </w:r>
          <w:r>
            <w:instrText xml:space="preserve"> HYPERLINK \l "_Toc25163" </w:instrText>
          </w:r>
          <w:r>
            <w:fldChar w:fldCharType="separate"/>
          </w:r>
          <w:r>
            <w:rPr>
              <w:rFonts w:hint="eastAsia" w:ascii="黑体" w:hAnsi="黑体" w:eastAsia="黑体"/>
              <w:kern w:val="2"/>
              <w:szCs w:val="24"/>
            </w:rPr>
            <w:t>一、收入支出决算总体情况说明</w:t>
          </w:r>
          <w:r>
            <w:tab/>
          </w:r>
          <w:r>
            <w:fldChar w:fldCharType="begin"/>
          </w:r>
          <w:r>
            <w:instrText xml:space="preserve"> PAGEREF _Toc25163 \h </w:instrText>
          </w:r>
          <w:r>
            <w:fldChar w:fldCharType="separate"/>
          </w:r>
          <w:r>
            <w:t>4</w:t>
          </w:r>
          <w:r>
            <w:fldChar w:fldCharType="end"/>
          </w:r>
          <w:r>
            <w:fldChar w:fldCharType="end"/>
          </w:r>
        </w:p>
        <w:p w14:paraId="05EC4DD4">
          <w:pPr>
            <w:pStyle w:val="10"/>
            <w:tabs>
              <w:tab w:val="right" w:leader="dot" w:pos="9179"/>
            </w:tabs>
          </w:pPr>
          <w:r>
            <w:fldChar w:fldCharType="begin"/>
          </w:r>
          <w:r>
            <w:instrText xml:space="preserve"> HYPERLINK \l "_Toc7756" </w:instrText>
          </w:r>
          <w:r>
            <w:fldChar w:fldCharType="separate"/>
          </w:r>
          <w:r>
            <w:rPr>
              <w:rFonts w:hint="eastAsia" w:ascii="黑体" w:hAnsi="黑体" w:eastAsia="黑体"/>
              <w:kern w:val="2"/>
              <w:szCs w:val="24"/>
            </w:rPr>
            <w:t>二、收入决算情况说明</w:t>
          </w:r>
          <w:r>
            <w:tab/>
          </w:r>
          <w:r>
            <w:fldChar w:fldCharType="begin"/>
          </w:r>
          <w:r>
            <w:instrText xml:space="preserve"> PAGEREF _Toc7756 \h </w:instrText>
          </w:r>
          <w:r>
            <w:fldChar w:fldCharType="separate"/>
          </w:r>
          <w:r>
            <w:t>4</w:t>
          </w:r>
          <w:r>
            <w:fldChar w:fldCharType="end"/>
          </w:r>
          <w:r>
            <w:fldChar w:fldCharType="end"/>
          </w:r>
        </w:p>
        <w:p w14:paraId="1363D3A1">
          <w:pPr>
            <w:pStyle w:val="10"/>
            <w:tabs>
              <w:tab w:val="right" w:leader="dot" w:pos="9179"/>
            </w:tabs>
          </w:pPr>
          <w:r>
            <w:fldChar w:fldCharType="begin"/>
          </w:r>
          <w:r>
            <w:instrText xml:space="preserve"> HYPERLINK \l "_Toc16007" </w:instrText>
          </w:r>
          <w:r>
            <w:fldChar w:fldCharType="separate"/>
          </w:r>
          <w:r>
            <w:rPr>
              <w:rFonts w:hint="eastAsia" w:ascii="黑体" w:hAnsi="黑体" w:eastAsia="黑体"/>
              <w:kern w:val="2"/>
              <w:szCs w:val="24"/>
            </w:rPr>
            <w:t>三、支出决算情况说明</w:t>
          </w:r>
          <w:r>
            <w:tab/>
          </w:r>
          <w:r>
            <w:fldChar w:fldCharType="begin"/>
          </w:r>
          <w:r>
            <w:instrText xml:space="preserve"> PAGEREF _Toc16007 \h </w:instrText>
          </w:r>
          <w:r>
            <w:fldChar w:fldCharType="separate"/>
          </w:r>
          <w:r>
            <w:t>5</w:t>
          </w:r>
          <w:r>
            <w:fldChar w:fldCharType="end"/>
          </w:r>
          <w:r>
            <w:fldChar w:fldCharType="end"/>
          </w:r>
        </w:p>
        <w:p w14:paraId="5E3F252F">
          <w:pPr>
            <w:pStyle w:val="10"/>
            <w:tabs>
              <w:tab w:val="right" w:leader="dot" w:pos="9179"/>
            </w:tabs>
          </w:pPr>
          <w:r>
            <w:fldChar w:fldCharType="begin"/>
          </w:r>
          <w:r>
            <w:instrText xml:space="preserve"> HYPERLINK \l "_Toc25484" </w:instrText>
          </w:r>
          <w:r>
            <w:fldChar w:fldCharType="separate"/>
          </w:r>
          <w:r>
            <w:rPr>
              <w:rFonts w:hint="eastAsia" w:ascii="黑体" w:hAnsi="黑体" w:eastAsia="黑体"/>
              <w:kern w:val="2"/>
              <w:szCs w:val="24"/>
            </w:rPr>
            <w:t>四、财政拨款收入支出决算总体情况说明</w:t>
          </w:r>
          <w:r>
            <w:tab/>
          </w:r>
          <w:r>
            <w:fldChar w:fldCharType="begin"/>
          </w:r>
          <w:r>
            <w:instrText xml:space="preserve"> PAGEREF _Toc25484 \h </w:instrText>
          </w:r>
          <w:r>
            <w:fldChar w:fldCharType="separate"/>
          </w:r>
          <w:r>
            <w:t>6</w:t>
          </w:r>
          <w:r>
            <w:fldChar w:fldCharType="end"/>
          </w:r>
          <w:r>
            <w:fldChar w:fldCharType="end"/>
          </w:r>
        </w:p>
        <w:p w14:paraId="5D2A274C">
          <w:pPr>
            <w:pStyle w:val="10"/>
            <w:tabs>
              <w:tab w:val="right" w:leader="dot" w:pos="9179"/>
            </w:tabs>
          </w:pPr>
          <w:r>
            <w:fldChar w:fldCharType="begin"/>
          </w:r>
          <w:r>
            <w:instrText xml:space="preserve"> HYPERLINK \l "_Toc7179" </w:instrText>
          </w:r>
          <w:r>
            <w:fldChar w:fldCharType="separate"/>
          </w:r>
          <w:r>
            <w:rPr>
              <w:rFonts w:hint="eastAsia" w:ascii="黑体" w:hAnsi="黑体" w:eastAsia="黑体"/>
              <w:kern w:val="2"/>
              <w:szCs w:val="24"/>
            </w:rPr>
            <w:t>五、一般公共预算财政拨款支出决算情况说明</w:t>
          </w:r>
          <w:r>
            <w:tab/>
          </w:r>
          <w:r>
            <w:fldChar w:fldCharType="begin"/>
          </w:r>
          <w:r>
            <w:instrText xml:space="preserve"> PAGEREF _Toc7179 \h </w:instrText>
          </w:r>
          <w:r>
            <w:fldChar w:fldCharType="separate"/>
          </w:r>
          <w:r>
            <w:t>6</w:t>
          </w:r>
          <w:r>
            <w:fldChar w:fldCharType="end"/>
          </w:r>
          <w:r>
            <w:fldChar w:fldCharType="end"/>
          </w:r>
        </w:p>
        <w:p w14:paraId="16118D81">
          <w:pPr>
            <w:pStyle w:val="6"/>
            <w:tabs>
              <w:tab w:val="right" w:leader="dot" w:pos="9179"/>
            </w:tabs>
          </w:pPr>
          <w:r>
            <w:fldChar w:fldCharType="begin"/>
          </w:r>
          <w:r>
            <w:instrText xml:space="preserve"> HYPERLINK \l "_Toc4568" </w:instrText>
          </w:r>
          <w:r>
            <w:fldChar w:fldCharType="separate"/>
          </w:r>
          <w:r>
            <w:rPr>
              <w:rFonts w:hint="eastAsia" w:ascii="仿宋_GB2312" w:hAnsi="仿宋_GB2312" w:eastAsia="仿宋_GB2312"/>
              <w:kern w:val="2"/>
              <w:szCs w:val="24"/>
            </w:rPr>
            <w:t>（一）一般公共预算财政拨款支出决算总体情况</w:t>
          </w:r>
          <w:r>
            <w:tab/>
          </w:r>
          <w:r>
            <w:fldChar w:fldCharType="begin"/>
          </w:r>
          <w:r>
            <w:instrText xml:space="preserve"> PAGEREF _Toc4568 \h </w:instrText>
          </w:r>
          <w:r>
            <w:fldChar w:fldCharType="separate"/>
          </w:r>
          <w:r>
            <w:t>6</w:t>
          </w:r>
          <w:r>
            <w:fldChar w:fldCharType="end"/>
          </w:r>
          <w:r>
            <w:fldChar w:fldCharType="end"/>
          </w:r>
        </w:p>
        <w:p w14:paraId="1EBA2791">
          <w:pPr>
            <w:pStyle w:val="6"/>
            <w:tabs>
              <w:tab w:val="right" w:leader="dot" w:pos="9179"/>
            </w:tabs>
          </w:pPr>
          <w:r>
            <w:fldChar w:fldCharType="begin"/>
          </w:r>
          <w:r>
            <w:instrText xml:space="preserve"> HYPERLINK \l "_Toc20675" </w:instrText>
          </w:r>
          <w:r>
            <w:fldChar w:fldCharType="separate"/>
          </w:r>
          <w:r>
            <w:rPr>
              <w:rFonts w:hint="eastAsia" w:ascii="仿宋_GB2312" w:hAnsi="仿宋_GB2312" w:eastAsia="仿宋_GB2312"/>
              <w:kern w:val="2"/>
              <w:szCs w:val="24"/>
            </w:rPr>
            <w:t>（二）一般公共预算财政拨款支出决算结构情况</w:t>
          </w:r>
          <w:r>
            <w:tab/>
          </w:r>
          <w:r>
            <w:fldChar w:fldCharType="begin"/>
          </w:r>
          <w:r>
            <w:instrText xml:space="preserve"> PAGEREF _Toc20675 \h </w:instrText>
          </w:r>
          <w:r>
            <w:fldChar w:fldCharType="separate"/>
          </w:r>
          <w:r>
            <w:t>7</w:t>
          </w:r>
          <w:r>
            <w:fldChar w:fldCharType="end"/>
          </w:r>
          <w:r>
            <w:fldChar w:fldCharType="end"/>
          </w:r>
        </w:p>
        <w:p w14:paraId="0502C003">
          <w:pPr>
            <w:pStyle w:val="6"/>
            <w:tabs>
              <w:tab w:val="right" w:leader="dot" w:pos="9179"/>
            </w:tabs>
          </w:pPr>
          <w:r>
            <w:fldChar w:fldCharType="begin"/>
          </w:r>
          <w:r>
            <w:instrText xml:space="preserve"> HYPERLINK \l "_Toc30843" </w:instrText>
          </w:r>
          <w:r>
            <w:fldChar w:fldCharType="separate"/>
          </w:r>
          <w:r>
            <w:rPr>
              <w:rFonts w:hint="eastAsia" w:ascii="仿宋_GB2312" w:hAnsi="仿宋_GB2312" w:eastAsia="仿宋_GB2312"/>
              <w:kern w:val="2"/>
              <w:szCs w:val="24"/>
            </w:rPr>
            <w:t>（三）一般公共预算财政拨款支出决算具体情况</w:t>
          </w:r>
          <w:r>
            <w:tab/>
          </w:r>
          <w:r>
            <w:fldChar w:fldCharType="begin"/>
          </w:r>
          <w:r>
            <w:instrText xml:space="preserve"> PAGEREF _Toc30843 \h </w:instrText>
          </w:r>
          <w:r>
            <w:fldChar w:fldCharType="separate"/>
          </w:r>
          <w:r>
            <w:t>8</w:t>
          </w:r>
          <w:r>
            <w:fldChar w:fldCharType="end"/>
          </w:r>
          <w:r>
            <w:fldChar w:fldCharType="end"/>
          </w:r>
        </w:p>
        <w:p w14:paraId="755E3877">
          <w:pPr>
            <w:pStyle w:val="10"/>
            <w:tabs>
              <w:tab w:val="right" w:leader="dot" w:pos="9179"/>
            </w:tabs>
          </w:pPr>
          <w:r>
            <w:fldChar w:fldCharType="begin"/>
          </w:r>
          <w:r>
            <w:instrText xml:space="preserve"> HYPERLINK \l "_Toc17305" </w:instrText>
          </w:r>
          <w:r>
            <w:fldChar w:fldCharType="separate"/>
          </w:r>
          <w:r>
            <w:rPr>
              <w:rFonts w:hint="eastAsia" w:ascii="黑体" w:hAnsi="黑体" w:eastAsia="黑体"/>
              <w:kern w:val="2"/>
              <w:szCs w:val="24"/>
            </w:rPr>
            <w:t>六、一般公共预算财政拨款基本支出决算情况说明</w:t>
          </w:r>
          <w:r>
            <w:tab/>
          </w:r>
          <w:r>
            <w:fldChar w:fldCharType="begin"/>
          </w:r>
          <w:r>
            <w:instrText xml:space="preserve"> PAGEREF _Toc17305 \h </w:instrText>
          </w:r>
          <w:r>
            <w:fldChar w:fldCharType="separate"/>
          </w:r>
          <w:r>
            <w:t>9</w:t>
          </w:r>
          <w:r>
            <w:fldChar w:fldCharType="end"/>
          </w:r>
          <w:r>
            <w:fldChar w:fldCharType="end"/>
          </w:r>
        </w:p>
        <w:p w14:paraId="2F9404A5">
          <w:pPr>
            <w:pStyle w:val="10"/>
            <w:tabs>
              <w:tab w:val="right" w:leader="dot" w:pos="9179"/>
            </w:tabs>
          </w:pPr>
          <w:r>
            <w:fldChar w:fldCharType="begin"/>
          </w:r>
          <w:r>
            <w:instrText xml:space="preserve"> HYPERLINK \l "_Toc3161" </w:instrText>
          </w:r>
          <w:r>
            <w:fldChar w:fldCharType="separate"/>
          </w:r>
          <w:r>
            <w:rPr>
              <w:rFonts w:hint="eastAsia" w:ascii="黑体" w:hAnsi="黑体" w:eastAsia="黑体"/>
              <w:kern w:val="2"/>
              <w:szCs w:val="24"/>
            </w:rPr>
            <w:t>七、财政拨款“三公”经费支出决算情况说明</w:t>
          </w:r>
          <w:r>
            <w:tab/>
          </w:r>
          <w:r>
            <w:fldChar w:fldCharType="begin"/>
          </w:r>
          <w:r>
            <w:instrText xml:space="preserve"> PAGEREF _Toc3161 \h </w:instrText>
          </w:r>
          <w:r>
            <w:fldChar w:fldCharType="separate"/>
          </w:r>
          <w:r>
            <w:t>9</w:t>
          </w:r>
          <w:r>
            <w:fldChar w:fldCharType="end"/>
          </w:r>
          <w:r>
            <w:fldChar w:fldCharType="end"/>
          </w:r>
        </w:p>
        <w:p w14:paraId="06432BAF">
          <w:pPr>
            <w:pStyle w:val="6"/>
            <w:tabs>
              <w:tab w:val="right" w:leader="dot" w:pos="9179"/>
            </w:tabs>
          </w:pPr>
          <w:r>
            <w:fldChar w:fldCharType="begin"/>
          </w:r>
          <w:r>
            <w:instrText xml:space="preserve"> HYPERLINK \l "_Toc8444" </w:instrText>
          </w:r>
          <w:r>
            <w:fldChar w:fldCharType="separate"/>
          </w:r>
          <w:r>
            <w:rPr>
              <w:rFonts w:hint="eastAsia" w:ascii="仿宋_GB2312" w:hAnsi="仿宋_GB2312" w:eastAsia="仿宋_GB2312"/>
              <w:kern w:val="2"/>
              <w:szCs w:val="24"/>
            </w:rPr>
            <w:t>（一）“三公”经费财政拨款支出决算总体情况说明</w:t>
          </w:r>
          <w:r>
            <w:tab/>
          </w:r>
          <w:r>
            <w:fldChar w:fldCharType="begin"/>
          </w:r>
          <w:r>
            <w:instrText xml:space="preserve"> PAGEREF _Toc8444 \h </w:instrText>
          </w:r>
          <w:r>
            <w:fldChar w:fldCharType="separate"/>
          </w:r>
          <w:r>
            <w:t>9</w:t>
          </w:r>
          <w:r>
            <w:fldChar w:fldCharType="end"/>
          </w:r>
          <w:r>
            <w:fldChar w:fldCharType="end"/>
          </w:r>
        </w:p>
        <w:p w14:paraId="292D9078">
          <w:pPr>
            <w:pStyle w:val="6"/>
            <w:tabs>
              <w:tab w:val="right" w:leader="dot" w:pos="9179"/>
            </w:tabs>
          </w:pPr>
          <w:r>
            <w:fldChar w:fldCharType="begin"/>
          </w:r>
          <w:r>
            <w:instrText xml:space="preserve"> HYPERLINK \l "_Toc3802" </w:instrText>
          </w:r>
          <w:r>
            <w:fldChar w:fldCharType="separate"/>
          </w:r>
          <w:r>
            <w:rPr>
              <w:rFonts w:hint="eastAsia" w:ascii="仿宋_GB2312" w:hAnsi="仿宋_GB2312" w:eastAsia="仿宋_GB2312"/>
              <w:kern w:val="2"/>
              <w:szCs w:val="24"/>
            </w:rPr>
            <w:t>（二）“三公”经费财政拨款支出决算具体情况说明</w:t>
          </w:r>
          <w:r>
            <w:tab/>
          </w:r>
          <w:r>
            <w:fldChar w:fldCharType="begin"/>
          </w:r>
          <w:r>
            <w:instrText xml:space="preserve"> PAGEREF _Toc3802 \h </w:instrText>
          </w:r>
          <w:r>
            <w:fldChar w:fldCharType="separate"/>
          </w:r>
          <w:r>
            <w:t>10</w:t>
          </w:r>
          <w:r>
            <w:fldChar w:fldCharType="end"/>
          </w:r>
          <w:r>
            <w:fldChar w:fldCharType="end"/>
          </w:r>
        </w:p>
        <w:p w14:paraId="7BF517C4">
          <w:pPr>
            <w:pStyle w:val="10"/>
            <w:tabs>
              <w:tab w:val="right" w:leader="dot" w:pos="9179"/>
            </w:tabs>
          </w:pPr>
          <w:r>
            <w:fldChar w:fldCharType="begin"/>
          </w:r>
          <w:r>
            <w:instrText xml:space="preserve"> HYPERLINK \l "_Toc6301" </w:instrText>
          </w:r>
          <w:r>
            <w:fldChar w:fldCharType="separate"/>
          </w:r>
          <w:r>
            <w:rPr>
              <w:rFonts w:hint="eastAsia" w:ascii="黑体" w:hAnsi="黑体" w:eastAsia="黑体"/>
              <w:kern w:val="2"/>
              <w:szCs w:val="24"/>
            </w:rPr>
            <w:t>八、政府性基金预算支出决算情况说明</w:t>
          </w:r>
          <w:r>
            <w:tab/>
          </w:r>
          <w:r>
            <w:fldChar w:fldCharType="begin"/>
          </w:r>
          <w:r>
            <w:instrText xml:space="preserve"> PAGEREF _Toc6301 \h </w:instrText>
          </w:r>
          <w:r>
            <w:fldChar w:fldCharType="separate"/>
          </w:r>
          <w:r>
            <w:t>11</w:t>
          </w:r>
          <w:r>
            <w:fldChar w:fldCharType="end"/>
          </w:r>
          <w:r>
            <w:fldChar w:fldCharType="end"/>
          </w:r>
        </w:p>
        <w:p w14:paraId="24E098AC">
          <w:pPr>
            <w:pStyle w:val="10"/>
            <w:tabs>
              <w:tab w:val="right" w:leader="dot" w:pos="9179"/>
            </w:tabs>
          </w:pPr>
          <w:r>
            <w:fldChar w:fldCharType="begin"/>
          </w:r>
          <w:r>
            <w:instrText xml:space="preserve"> HYPERLINK \l "_Toc15658" </w:instrText>
          </w:r>
          <w:r>
            <w:fldChar w:fldCharType="separate"/>
          </w:r>
          <w:r>
            <w:rPr>
              <w:rFonts w:hint="eastAsia" w:ascii="黑体" w:hAnsi="黑体" w:eastAsia="黑体"/>
              <w:kern w:val="2"/>
              <w:szCs w:val="24"/>
            </w:rPr>
            <w:t>九、国有资本经营预算支出决算情况说明</w:t>
          </w:r>
          <w:r>
            <w:tab/>
          </w:r>
          <w:r>
            <w:fldChar w:fldCharType="begin"/>
          </w:r>
          <w:r>
            <w:instrText xml:space="preserve"> PAGEREF _Toc15658 \h </w:instrText>
          </w:r>
          <w:r>
            <w:fldChar w:fldCharType="separate"/>
          </w:r>
          <w:r>
            <w:t>12</w:t>
          </w:r>
          <w:r>
            <w:fldChar w:fldCharType="end"/>
          </w:r>
          <w:r>
            <w:fldChar w:fldCharType="end"/>
          </w:r>
        </w:p>
        <w:p w14:paraId="0EDDD334">
          <w:pPr>
            <w:pStyle w:val="10"/>
            <w:tabs>
              <w:tab w:val="right" w:leader="dot" w:pos="9179"/>
            </w:tabs>
          </w:pPr>
          <w:r>
            <w:fldChar w:fldCharType="begin"/>
          </w:r>
          <w:r>
            <w:instrText xml:space="preserve"> HYPERLINK \l "_Toc5685" </w:instrText>
          </w:r>
          <w:r>
            <w:fldChar w:fldCharType="separate"/>
          </w:r>
          <w:r>
            <w:rPr>
              <w:rFonts w:hint="eastAsia" w:ascii="黑体" w:hAnsi="黑体" w:eastAsia="黑体"/>
              <w:kern w:val="2"/>
              <w:szCs w:val="24"/>
            </w:rPr>
            <w:t>十、其他重要事项的情况说明</w:t>
          </w:r>
          <w:r>
            <w:tab/>
          </w:r>
          <w:r>
            <w:fldChar w:fldCharType="begin"/>
          </w:r>
          <w:r>
            <w:instrText xml:space="preserve"> PAGEREF _Toc5685 \h </w:instrText>
          </w:r>
          <w:r>
            <w:fldChar w:fldCharType="separate"/>
          </w:r>
          <w:r>
            <w:t>12</w:t>
          </w:r>
          <w:r>
            <w:fldChar w:fldCharType="end"/>
          </w:r>
          <w:r>
            <w:fldChar w:fldCharType="end"/>
          </w:r>
        </w:p>
        <w:p w14:paraId="28D383DF">
          <w:pPr>
            <w:pStyle w:val="6"/>
            <w:tabs>
              <w:tab w:val="right" w:leader="dot" w:pos="9179"/>
            </w:tabs>
          </w:pPr>
          <w:r>
            <w:fldChar w:fldCharType="begin"/>
          </w:r>
          <w:r>
            <w:instrText xml:space="preserve"> HYPERLINK \l "_Toc21107" </w:instrText>
          </w:r>
          <w:r>
            <w:fldChar w:fldCharType="separate"/>
          </w:r>
          <w:r>
            <w:rPr>
              <w:rFonts w:hint="eastAsia" w:ascii="仿宋_GB2312" w:hAnsi="仿宋_GB2312" w:eastAsia="仿宋_GB2312"/>
              <w:kern w:val="2"/>
              <w:szCs w:val="24"/>
            </w:rPr>
            <w:t>（一）机关运行经费支出情况</w:t>
          </w:r>
          <w:r>
            <w:tab/>
          </w:r>
          <w:r>
            <w:fldChar w:fldCharType="begin"/>
          </w:r>
          <w:r>
            <w:instrText xml:space="preserve"> PAGEREF _Toc21107 \h </w:instrText>
          </w:r>
          <w:r>
            <w:fldChar w:fldCharType="separate"/>
          </w:r>
          <w:r>
            <w:t>12</w:t>
          </w:r>
          <w:r>
            <w:fldChar w:fldCharType="end"/>
          </w:r>
          <w:r>
            <w:fldChar w:fldCharType="end"/>
          </w:r>
        </w:p>
        <w:p w14:paraId="5DF8CE87">
          <w:pPr>
            <w:pStyle w:val="6"/>
            <w:tabs>
              <w:tab w:val="right" w:leader="dot" w:pos="9179"/>
            </w:tabs>
          </w:pPr>
          <w:r>
            <w:fldChar w:fldCharType="begin"/>
          </w:r>
          <w:r>
            <w:instrText xml:space="preserve"> HYPERLINK \l "_Toc13641" </w:instrText>
          </w:r>
          <w:r>
            <w:fldChar w:fldCharType="separate"/>
          </w:r>
          <w:r>
            <w:rPr>
              <w:rFonts w:hint="eastAsia" w:ascii="仿宋_GB2312" w:hAnsi="仿宋_GB2312" w:eastAsia="仿宋_GB2312"/>
              <w:kern w:val="2"/>
              <w:szCs w:val="24"/>
            </w:rPr>
            <w:t>（二）政府采购支出情况</w:t>
          </w:r>
          <w:r>
            <w:tab/>
          </w:r>
          <w:r>
            <w:fldChar w:fldCharType="begin"/>
          </w:r>
          <w:r>
            <w:instrText xml:space="preserve"> PAGEREF _Toc13641 \h </w:instrText>
          </w:r>
          <w:r>
            <w:fldChar w:fldCharType="separate"/>
          </w:r>
          <w:r>
            <w:t>12</w:t>
          </w:r>
          <w:r>
            <w:fldChar w:fldCharType="end"/>
          </w:r>
          <w:r>
            <w:fldChar w:fldCharType="end"/>
          </w:r>
        </w:p>
        <w:p w14:paraId="1DB203C1">
          <w:pPr>
            <w:pStyle w:val="6"/>
            <w:tabs>
              <w:tab w:val="right" w:leader="dot" w:pos="9179"/>
            </w:tabs>
          </w:pPr>
          <w:r>
            <w:fldChar w:fldCharType="begin"/>
          </w:r>
          <w:r>
            <w:instrText xml:space="preserve"> HYPERLINK \l "_Toc15620" </w:instrText>
          </w:r>
          <w:r>
            <w:fldChar w:fldCharType="separate"/>
          </w:r>
          <w:r>
            <w:rPr>
              <w:rFonts w:hint="eastAsia" w:ascii="仿宋_GB2312" w:hAnsi="仿宋_GB2312" w:eastAsia="仿宋_GB2312"/>
              <w:kern w:val="2"/>
              <w:szCs w:val="24"/>
            </w:rPr>
            <w:t>（三）国有资产占有使用情况</w:t>
          </w:r>
          <w:r>
            <w:tab/>
          </w:r>
          <w:r>
            <w:fldChar w:fldCharType="begin"/>
          </w:r>
          <w:r>
            <w:instrText xml:space="preserve"> PAGEREF _Toc15620 \h </w:instrText>
          </w:r>
          <w:r>
            <w:fldChar w:fldCharType="separate"/>
          </w:r>
          <w:r>
            <w:t>12</w:t>
          </w:r>
          <w:r>
            <w:fldChar w:fldCharType="end"/>
          </w:r>
          <w:r>
            <w:fldChar w:fldCharType="end"/>
          </w:r>
        </w:p>
        <w:p w14:paraId="57A00194">
          <w:pPr>
            <w:pStyle w:val="6"/>
            <w:tabs>
              <w:tab w:val="right" w:leader="dot" w:pos="9179"/>
            </w:tabs>
          </w:pPr>
          <w:r>
            <w:fldChar w:fldCharType="begin"/>
          </w:r>
          <w:r>
            <w:instrText xml:space="preserve"> HYPERLINK \l "_Toc28748" </w:instrText>
          </w:r>
          <w:r>
            <w:fldChar w:fldCharType="separate"/>
          </w:r>
          <w:r>
            <w:rPr>
              <w:rFonts w:hint="eastAsia" w:ascii="仿宋_GB2312" w:hAnsi="仿宋_GB2312" w:eastAsia="仿宋_GB2312"/>
              <w:kern w:val="2"/>
              <w:szCs w:val="24"/>
            </w:rPr>
            <w:t>（四）预算绩效管理情况。</w:t>
          </w:r>
          <w:r>
            <w:tab/>
          </w:r>
          <w:r>
            <w:fldChar w:fldCharType="begin"/>
          </w:r>
          <w:r>
            <w:instrText xml:space="preserve"> PAGEREF _Toc28748 \h </w:instrText>
          </w:r>
          <w:r>
            <w:fldChar w:fldCharType="separate"/>
          </w:r>
          <w:r>
            <w:t>12</w:t>
          </w:r>
          <w:r>
            <w:fldChar w:fldCharType="end"/>
          </w:r>
          <w:r>
            <w:fldChar w:fldCharType="end"/>
          </w:r>
        </w:p>
        <w:p w14:paraId="0A4DE137">
          <w:pPr>
            <w:pStyle w:val="9"/>
            <w:tabs>
              <w:tab w:val="right" w:leader="dot" w:pos="9179"/>
            </w:tabs>
          </w:pPr>
          <w:r>
            <w:fldChar w:fldCharType="begin"/>
          </w:r>
          <w:r>
            <w:instrText xml:space="preserve"> HYPERLINK \l "_Toc9595" </w:instrText>
          </w:r>
          <w:r>
            <w:fldChar w:fldCharType="separate"/>
          </w:r>
          <w:r>
            <w:rPr>
              <w:rFonts w:hint="eastAsia" w:ascii="黑体" w:hAnsi="黑体" w:eastAsia="黑体"/>
              <w:kern w:val="2"/>
              <w:szCs w:val="24"/>
            </w:rPr>
            <w:t>第三部分  名</w:t>
          </w:r>
          <w:r>
            <w:rPr>
              <w:rFonts w:hint="eastAsia" w:ascii="黑体" w:hAnsi="黑体" w:eastAsia="黑体"/>
              <w:kern w:val="44"/>
              <w:szCs w:val="24"/>
            </w:rPr>
            <w:t>词解释</w:t>
          </w:r>
          <w:r>
            <w:tab/>
          </w:r>
          <w:r>
            <w:fldChar w:fldCharType="begin"/>
          </w:r>
          <w:r>
            <w:instrText xml:space="preserve"> PAGEREF _Toc9595 \h </w:instrText>
          </w:r>
          <w:r>
            <w:fldChar w:fldCharType="separate"/>
          </w:r>
          <w:r>
            <w:t>16</w:t>
          </w:r>
          <w:r>
            <w:fldChar w:fldCharType="end"/>
          </w:r>
          <w:r>
            <w:fldChar w:fldCharType="end"/>
          </w:r>
        </w:p>
        <w:p w14:paraId="7870162B">
          <w:pPr>
            <w:pStyle w:val="9"/>
            <w:tabs>
              <w:tab w:val="right" w:leader="dot" w:pos="9179"/>
            </w:tabs>
          </w:pPr>
          <w:r>
            <w:fldChar w:fldCharType="begin"/>
          </w:r>
          <w:r>
            <w:instrText xml:space="preserve"> HYPERLINK \l "_Toc19852" </w:instrText>
          </w:r>
          <w:r>
            <w:fldChar w:fldCharType="separate"/>
          </w:r>
          <w:r>
            <w:rPr>
              <w:rFonts w:hint="eastAsia" w:ascii="黑体" w:hAnsi="黑体" w:eastAsia="黑体"/>
              <w:kern w:val="2"/>
              <w:szCs w:val="24"/>
            </w:rPr>
            <w:t>第</w:t>
          </w:r>
          <w:r>
            <w:rPr>
              <w:rFonts w:hint="eastAsia" w:ascii="黑体" w:hAnsi="黑体" w:eastAsia="黑体"/>
              <w:kern w:val="44"/>
              <w:szCs w:val="24"/>
            </w:rPr>
            <w:t>四部分  附件</w:t>
          </w:r>
          <w:r>
            <w:tab/>
          </w:r>
          <w:r>
            <w:fldChar w:fldCharType="begin"/>
          </w:r>
          <w:r>
            <w:instrText xml:space="preserve"> PAGEREF _Toc19852 \h </w:instrText>
          </w:r>
          <w:r>
            <w:fldChar w:fldCharType="separate"/>
          </w:r>
          <w:r>
            <w:t>20</w:t>
          </w:r>
          <w:r>
            <w:fldChar w:fldCharType="end"/>
          </w:r>
          <w:r>
            <w:fldChar w:fldCharType="end"/>
          </w:r>
        </w:p>
        <w:p w14:paraId="4EB17AA0">
          <w:pPr>
            <w:pStyle w:val="6"/>
            <w:tabs>
              <w:tab w:val="right" w:leader="dot" w:pos="9179"/>
            </w:tabs>
          </w:pPr>
          <w:r>
            <w:fldChar w:fldCharType="begin"/>
          </w:r>
          <w:r>
            <w:instrText xml:space="preserve"> HYPERLINK \l "_Toc8298" </w:instrText>
          </w:r>
          <w:r>
            <w:fldChar w:fldCharType="separate"/>
          </w:r>
          <w:r>
            <w:rPr>
              <w:rFonts w:hint="eastAsia" w:ascii="黑体" w:hAnsi="黑体" w:eastAsia="黑体"/>
              <w:kern w:val="2"/>
              <w:szCs w:val="24"/>
            </w:rPr>
            <w:t>附件1</w:t>
          </w:r>
          <w:r>
            <w:tab/>
          </w:r>
          <w:r>
            <w:fldChar w:fldCharType="begin"/>
          </w:r>
          <w:r>
            <w:instrText xml:space="preserve"> PAGEREF _Toc8298 \h </w:instrText>
          </w:r>
          <w:r>
            <w:fldChar w:fldCharType="separate"/>
          </w:r>
          <w:r>
            <w:t>20</w:t>
          </w:r>
          <w:r>
            <w:fldChar w:fldCharType="end"/>
          </w:r>
          <w:r>
            <w:fldChar w:fldCharType="end"/>
          </w:r>
        </w:p>
        <w:p w14:paraId="7C982658">
          <w:pPr>
            <w:pStyle w:val="6"/>
            <w:tabs>
              <w:tab w:val="right" w:leader="dot" w:pos="9179"/>
            </w:tabs>
          </w:pPr>
          <w:r>
            <w:fldChar w:fldCharType="begin"/>
          </w:r>
          <w:r>
            <w:instrText xml:space="preserve"> HYPERLINK \l "_Toc8399" </w:instrText>
          </w:r>
          <w:r>
            <w:fldChar w:fldCharType="separate"/>
          </w:r>
          <w:r>
            <w:rPr>
              <w:rFonts w:hint="eastAsia" w:ascii="黑体" w:hAnsi="黑体" w:eastAsia="黑体"/>
              <w:kern w:val="2"/>
              <w:szCs w:val="24"/>
            </w:rPr>
            <w:t>附件2</w:t>
          </w:r>
          <w:r>
            <w:tab/>
          </w:r>
          <w:r>
            <w:fldChar w:fldCharType="begin"/>
          </w:r>
          <w:r>
            <w:instrText xml:space="preserve"> PAGEREF _Toc8399 \h </w:instrText>
          </w:r>
          <w:r>
            <w:fldChar w:fldCharType="separate"/>
          </w:r>
          <w:r>
            <w:t>41</w:t>
          </w:r>
          <w:r>
            <w:fldChar w:fldCharType="end"/>
          </w:r>
          <w:r>
            <w:fldChar w:fldCharType="end"/>
          </w:r>
        </w:p>
        <w:p w14:paraId="3FC06BBE">
          <w:pPr>
            <w:pStyle w:val="9"/>
            <w:tabs>
              <w:tab w:val="right" w:leader="dot" w:pos="9179"/>
            </w:tabs>
          </w:pPr>
          <w:r>
            <w:fldChar w:fldCharType="begin"/>
          </w:r>
          <w:r>
            <w:instrText xml:space="preserve"> HYPERLINK \l "_Toc26135" </w:instrText>
          </w:r>
          <w:r>
            <w:fldChar w:fldCharType="separate"/>
          </w:r>
          <w:r>
            <w:rPr>
              <w:rFonts w:hint="eastAsia" w:ascii="黑体" w:hAnsi="黑体" w:eastAsia="黑体"/>
              <w:kern w:val="2"/>
              <w:szCs w:val="24"/>
            </w:rPr>
            <w:t>第</w:t>
          </w:r>
          <w:r>
            <w:rPr>
              <w:rFonts w:hint="eastAsia" w:ascii="黑体" w:hAnsi="黑体" w:eastAsia="黑体"/>
              <w:kern w:val="44"/>
              <w:szCs w:val="24"/>
            </w:rPr>
            <w:t>五部分  附表</w:t>
          </w:r>
          <w:r>
            <w:tab/>
          </w:r>
          <w:r>
            <w:fldChar w:fldCharType="begin"/>
          </w:r>
          <w:r>
            <w:instrText xml:space="preserve"> PAGEREF _Toc26135 \h </w:instrText>
          </w:r>
          <w:r>
            <w:fldChar w:fldCharType="separate"/>
          </w:r>
          <w:r>
            <w:t>82</w:t>
          </w:r>
          <w:r>
            <w:fldChar w:fldCharType="end"/>
          </w:r>
          <w:r>
            <w:fldChar w:fldCharType="end"/>
          </w:r>
        </w:p>
        <w:p w14:paraId="32253F25">
          <w:pPr>
            <w:pStyle w:val="10"/>
            <w:tabs>
              <w:tab w:val="right" w:leader="dot" w:pos="9179"/>
            </w:tabs>
          </w:pPr>
          <w:r>
            <w:fldChar w:fldCharType="begin"/>
          </w:r>
          <w:r>
            <w:instrText xml:space="preserve"> HYPERLINK \l "_Toc28297" </w:instrText>
          </w:r>
          <w:r>
            <w:fldChar w:fldCharType="separate"/>
          </w:r>
          <w:r>
            <w:rPr>
              <w:rFonts w:hint="eastAsia" w:ascii="仿宋_GB2312" w:hAnsi="仿宋_GB2312" w:eastAsia="仿宋_GB2312"/>
              <w:kern w:val="2"/>
              <w:szCs w:val="24"/>
            </w:rPr>
            <w:t>一、收入支出决算总表</w:t>
          </w:r>
          <w:r>
            <w:tab/>
          </w:r>
          <w:r>
            <w:fldChar w:fldCharType="begin"/>
          </w:r>
          <w:r>
            <w:instrText xml:space="preserve"> PAGEREF _Toc28297 \h </w:instrText>
          </w:r>
          <w:r>
            <w:fldChar w:fldCharType="separate"/>
          </w:r>
          <w:r>
            <w:t>82</w:t>
          </w:r>
          <w:r>
            <w:fldChar w:fldCharType="end"/>
          </w:r>
          <w:r>
            <w:fldChar w:fldCharType="end"/>
          </w:r>
        </w:p>
        <w:p w14:paraId="136C09BA">
          <w:pPr>
            <w:pStyle w:val="10"/>
            <w:tabs>
              <w:tab w:val="right" w:leader="dot" w:pos="9179"/>
            </w:tabs>
          </w:pPr>
          <w:r>
            <w:fldChar w:fldCharType="begin"/>
          </w:r>
          <w:r>
            <w:instrText xml:space="preserve"> HYPERLINK \l "_Toc2372" </w:instrText>
          </w:r>
          <w:r>
            <w:fldChar w:fldCharType="separate"/>
          </w:r>
          <w:r>
            <w:rPr>
              <w:rFonts w:hint="eastAsia" w:ascii="仿宋_GB2312" w:hAnsi="仿宋_GB2312" w:eastAsia="仿宋_GB2312"/>
              <w:kern w:val="2"/>
              <w:szCs w:val="24"/>
            </w:rPr>
            <w:t>二、收入决算表</w:t>
          </w:r>
          <w:r>
            <w:tab/>
          </w:r>
          <w:r>
            <w:fldChar w:fldCharType="begin"/>
          </w:r>
          <w:r>
            <w:instrText xml:space="preserve"> PAGEREF _Toc2372 \h </w:instrText>
          </w:r>
          <w:r>
            <w:fldChar w:fldCharType="separate"/>
          </w:r>
          <w:r>
            <w:t>82</w:t>
          </w:r>
          <w:r>
            <w:fldChar w:fldCharType="end"/>
          </w:r>
          <w:r>
            <w:fldChar w:fldCharType="end"/>
          </w:r>
        </w:p>
        <w:p w14:paraId="6917F25A">
          <w:pPr>
            <w:pStyle w:val="10"/>
            <w:tabs>
              <w:tab w:val="right" w:leader="dot" w:pos="9179"/>
            </w:tabs>
          </w:pPr>
          <w:r>
            <w:fldChar w:fldCharType="begin"/>
          </w:r>
          <w:r>
            <w:instrText xml:space="preserve"> HYPERLINK \l "_Toc9745" </w:instrText>
          </w:r>
          <w:r>
            <w:fldChar w:fldCharType="separate"/>
          </w:r>
          <w:r>
            <w:rPr>
              <w:rFonts w:hint="eastAsia" w:ascii="仿宋_GB2312" w:hAnsi="仿宋_GB2312" w:eastAsia="仿宋_GB2312"/>
              <w:kern w:val="2"/>
              <w:szCs w:val="24"/>
            </w:rPr>
            <w:t>三、支出决算表</w:t>
          </w:r>
          <w:r>
            <w:tab/>
          </w:r>
          <w:r>
            <w:fldChar w:fldCharType="begin"/>
          </w:r>
          <w:r>
            <w:instrText xml:space="preserve"> PAGEREF _Toc9745 \h </w:instrText>
          </w:r>
          <w:r>
            <w:fldChar w:fldCharType="separate"/>
          </w:r>
          <w:r>
            <w:t>82</w:t>
          </w:r>
          <w:r>
            <w:fldChar w:fldCharType="end"/>
          </w:r>
          <w:r>
            <w:fldChar w:fldCharType="end"/>
          </w:r>
        </w:p>
        <w:p w14:paraId="5A2BDCD2">
          <w:pPr>
            <w:pStyle w:val="10"/>
            <w:tabs>
              <w:tab w:val="right" w:leader="dot" w:pos="9179"/>
            </w:tabs>
          </w:pPr>
          <w:r>
            <w:fldChar w:fldCharType="begin"/>
          </w:r>
          <w:r>
            <w:instrText xml:space="preserve"> HYPERLINK \l "_Toc11551" </w:instrText>
          </w:r>
          <w:r>
            <w:fldChar w:fldCharType="separate"/>
          </w:r>
          <w:r>
            <w:rPr>
              <w:rFonts w:hint="eastAsia" w:ascii="仿宋_GB2312" w:hAnsi="仿宋_GB2312" w:eastAsia="仿宋_GB2312"/>
              <w:kern w:val="2"/>
              <w:szCs w:val="24"/>
            </w:rPr>
            <w:t>四、财政拨款收入支出决算总表</w:t>
          </w:r>
          <w:r>
            <w:tab/>
          </w:r>
          <w:r>
            <w:fldChar w:fldCharType="begin"/>
          </w:r>
          <w:r>
            <w:instrText xml:space="preserve"> PAGEREF _Toc11551 \h </w:instrText>
          </w:r>
          <w:r>
            <w:fldChar w:fldCharType="separate"/>
          </w:r>
          <w:r>
            <w:t>82</w:t>
          </w:r>
          <w:r>
            <w:fldChar w:fldCharType="end"/>
          </w:r>
          <w:r>
            <w:fldChar w:fldCharType="end"/>
          </w:r>
        </w:p>
        <w:p w14:paraId="18AE67F0">
          <w:pPr>
            <w:pStyle w:val="10"/>
            <w:tabs>
              <w:tab w:val="right" w:leader="dot" w:pos="9179"/>
            </w:tabs>
          </w:pPr>
          <w:r>
            <w:fldChar w:fldCharType="begin"/>
          </w:r>
          <w:r>
            <w:instrText xml:space="preserve"> HYPERLINK \l "_Toc21063" </w:instrText>
          </w:r>
          <w:r>
            <w:fldChar w:fldCharType="separate"/>
          </w:r>
          <w:r>
            <w:rPr>
              <w:rFonts w:hint="eastAsia" w:ascii="仿宋_GB2312" w:hAnsi="仿宋_GB2312" w:eastAsia="仿宋_GB2312"/>
              <w:kern w:val="2"/>
              <w:szCs w:val="24"/>
            </w:rPr>
            <w:t>五、财政拨款支出决算明细表</w:t>
          </w:r>
          <w:r>
            <w:tab/>
          </w:r>
          <w:r>
            <w:fldChar w:fldCharType="begin"/>
          </w:r>
          <w:r>
            <w:instrText xml:space="preserve"> PAGEREF _Toc21063 \h </w:instrText>
          </w:r>
          <w:r>
            <w:fldChar w:fldCharType="separate"/>
          </w:r>
          <w:r>
            <w:t>82</w:t>
          </w:r>
          <w:r>
            <w:fldChar w:fldCharType="end"/>
          </w:r>
          <w:r>
            <w:fldChar w:fldCharType="end"/>
          </w:r>
        </w:p>
        <w:p w14:paraId="1C2AEE25">
          <w:pPr>
            <w:pStyle w:val="10"/>
            <w:tabs>
              <w:tab w:val="right" w:leader="dot" w:pos="9179"/>
            </w:tabs>
          </w:pPr>
          <w:r>
            <w:fldChar w:fldCharType="begin"/>
          </w:r>
          <w:r>
            <w:instrText xml:space="preserve"> HYPERLINK \l "_Toc31690" </w:instrText>
          </w:r>
          <w:r>
            <w:fldChar w:fldCharType="separate"/>
          </w:r>
          <w:r>
            <w:rPr>
              <w:rFonts w:hint="eastAsia" w:ascii="仿宋_GB2312" w:hAnsi="仿宋_GB2312" w:eastAsia="仿宋_GB2312"/>
              <w:kern w:val="2"/>
              <w:szCs w:val="24"/>
            </w:rPr>
            <w:t>六、一般公共预算财政拨款支出决算表</w:t>
          </w:r>
          <w:r>
            <w:tab/>
          </w:r>
          <w:r>
            <w:fldChar w:fldCharType="begin"/>
          </w:r>
          <w:r>
            <w:instrText xml:space="preserve"> PAGEREF _Toc31690 \h </w:instrText>
          </w:r>
          <w:r>
            <w:fldChar w:fldCharType="separate"/>
          </w:r>
          <w:r>
            <w:t>82</w:t>
          </w:r>
          <w:r>
            <w:fldChar w:fldCharType="end"/>
          </w:r>
          <w:r>
            <w:fldChar w:fldCharType="end"/>
          </w:r>
        </w:p>
        <w:p w14:paraId="447AE544">
          <w:pPr>
            <w:pStyle w:val="10"/>
            <w:tabs>
              <w:tab w:val="right" w:leader="dot" w:pos="9179"/>
            </w:tabs>
          </w:pPr>
          <w:r>
            <w:fldChar w:fldCharType="begin"/>
          </w:r>
          <w:r>
            <w:instrText xml:space="preserve"> HYPERLINK \l "_Toc7293" </w:instrText>
          </w:r>
          <w:r>
            <w:fldChar w:fldCharType="separate"/>
          </w:r>
          <w:r>
            <w:rPr>
              <w:rFonts w:hint="eastAsia" w:ascii="仿宋_GB2312" w:hAnsi="仿宋_GB2312" w:eastAsia="仿宋_GB2312"/>
              <w:kern w:val="2"/>
              <w:szCs w:val="24"/>
            </w:rPr>
            <w:t>七、一般公共预算财政拨款支出决算明细表</w:t>
          </w:r>
          <w:r>
            <w:tab/>
          </w:r>
          <w:r>
            <w:fldChar w:fldCharType="begin"/>
          </w:r>
          <w:r>
            <w:instrText xml:space="preserve"> PAGEREF _Toc7293 \h </w:instrText>
          </w:r>
          <w:r>
            <w:fldChar w:fldCharType="separate"/>
          </w:r>
          <w:r>
            <w:t>82</w:t>
          </w:r>
          <w:r>
            <w:fldChar w:fldCharType="end"/>
          </w:r>
          <w:r>
            <w:fldChar w:fldCharType="end"/>
          </w:r>
        </w:p>
        <w:p w14:paraId="500FE0F6">
          <w:pPr>
            <w:pStyle w:val="10"/>
            <w:tabs>
              <w:tab w:val="right" w:leader="dot" w:pos="9179"/>
            </w:tabs>
          </w:pPr>
          <w:r>
            <w:fldChar w:fldCharType="begin"/>
          </w:r>
          <w:r>
            <w:instrText xml:space="preserve"> HYPERLINK \l "_Toc27169" </w:instrText>
          </w:r>
          <w:r>
            <w:fldChar w:fldCharType="separate"/>
          </w:r>
          <w:r>
            <w:rPr>
              <w:rFonts w:hint="eastAsia" w:ascii="仿宋_GB2312" w:hAnsi="仿宋_GB2312" w:eastAsia="仿宋_GB2312"/>
              <w:kern w:val="2"/>
              <w:szCs w:val="24"/>
            </w:rPr>
            <w:t>八、一般公共预算财政拨款基本支出决算表</w:t>
          </w:r>
          <w:r>
            <w:tab/>
          </w:r>
          <w:r>
            <w:fldChar w:fldCharType="begin"/>
          </w:r>
          <w:r>
            <w:instrText xml:space="preserve"> PAGEREF _Toc27169 \h </w:instrText>
          </w:r>
          <w:r>
            <w:fldChar w:fldCharType="separate"/>
          </w:r>
          <w:r>
            <w:t>82</w:t>
          </w:r>
          <w:r>
            <w:fldChar w:fldCharType="end"/>
          </w:r>
          <w:r>
            <w:fldChar w:fldCharType="end"/>
          </w:r>
        </w:p>
        <w:p w14:paraId="220B32DC">
          <w:pPr>
            <w:pStyle w:val="10"/>
            <w:tabs>
              <w:tab w:val="right" w:leader="dot" w:pos="9179"/>
            </w:tabs>
          </w:pPr>
          <w:r>
            <w:fldChar w:fldCharType="begin"/>
          </w:r>
          <w:r>
            <w:instrText xml:space="preserve"> HYPERLINK \l "_Toc7082" </w:instrText>
          </w:r>
          <w:r>
            <w:fldChar w:fldCharType="separate"/>
          </w:r>
          <w:r>
            <w:rPr>
              <w:rFonts w:hint="eastAsia" w:ascii="仿宋_GB2312" w:hAnsi="仿宋_GB2312" w:eastAsia="仿宋_GB2312"/>
              <w:kern w:val="2"/>
              <w:szCs w:val="24"/>
            </w:rPr>
            <w:t>九、一般公共预算财政拨款项目支出决算表</w:t>
          </w:r>
          <w:r>
            <w:tab/>
          </w:r>
          <w:r>
            <w:fldChar w:fldCharType="begin"/>
          </w:r>
          <w:r>
            <w:instrText xml:space="preserve"> PAGEREF _Toc7082 \h </w:instrText>
          </w:r>
          <w:r>
            <w:fldChar w:fldCharType="separate"/>
          </w:r>
          <w:r>
            <w:t>82</w:t>
          </w:r>
          <w:r>
            <w:fldChar w:fldCharType="end"/>
          </w:r>
          <w:r>
            <w:fldChar w:fldCharType="end"/>
          </w:r>
        </w:p>
        <w:p w14:paraId="3DA9F549">
          <w:pPr>
            <w:pStyle w:val="10"/>
            <w:tabs>
              <w:tab w:val="right" w:leader="dot" w:pos="9179"/>
            </w:tabs>
          </w:pPr>
          <w:r>
            <w:fldChar w:fldCharType="begin"/>
          </w:r>
          <w:r>
            <w:instrText xml:space="preserve"> HYPERLINK \l "_Toc31395" </w:instrText>
          </w:r>
          <w:r>
            <w:fldChar w:fldCharType="separate"/>
          </w:r>
          <w:r>
            <w:rPr>
              <w:rFonts w:hint="eastAsia" w:ascii="仿宋_GB2312" w:hAnsi="仿宋_GB2312" w:eastAsia="仿宋_GB2312"/>
              <w:kern w:val="2"/>
              <w:szCs w:val="24"/>
            </w:rPr>
            <w:t>十、政府性基金预算财政拨款收入支出决算表</w:t>
          </w:r>
          <w:r>
            <w:tab/>
          </w:r>
          <w:r>
            <w:fldChar w:fldCharType="begin"/>
          </w:r>
          <w:r>
            <w:instrText xml:space="preserve"> PAGEREF _Toc31395 \h </w:instrText>
          </w:r>
          <w:r>
            <w:fldChar w:fldCharType="separate"/>
          </w:r>
          <w:r>
            <w:t>82</w:t>
          </w:r>
          <w:r>
            <w:fldChar w:fldCharType="end"/>
          </w:r>
          <w:r>
            <w:fldChar w:fldCharType="end"/>
          </w:r>
        </w:p>
        <w:p w14:paraId="0FD18D2A">
          <w:pPr>
            <w:pStyle w:val="10"/>
            <w:tabs>
              <w:tab w:val="right" w:leader="dot" w:pos="9179"/>
            </w:tabs>
          </w:pPr>
          <w:r>
            <w:fldChar w:fldCharType="begin"/>
          </w:r>
          <w:r>
            <w:instrText xml:space="preserve"> HYPERLINK \l "_Toc31275" </w:instrText>
          </w:r>
          <w:r>
            <w:fldChar w:fldCharType="separate"/>
          </w:r>
          <w:r>
            <w:rPr>
              <w:rFonts w:hint="eastAsia" w:ascii="仿宋_GB2312" w:hAnsi="仿宋_GB2312" w:eastAsia="仿宋_GB2312"/>
              <w:kern w:val="2"/>
              <w:szCs w:val="24"/>
            </w:rPr>
            <w:t>十一、国有资本经营预算财政拨款收入支出决算表</w:t>
          </w:r>
          <w:r>
            <w:tab/>
          </w:r>
          <w:r>
            <w:fldChar w:fldCharType="begin"/>
          </w:r>
          <w:r>
            <w:instrText xml:space="preserve"> PAGEREF _Toc31275 \h </w:instrText>
          </w:r>
          <w:r>
            <w:fldChar w:fldCharType="separate"/>
          </w:r>
          <w:r>
            <w:t>82</w:t>
          </w:r>
          <w:r>
            <w:fldChar w:fldCharType="end"/>
          </w:r>
          <w:r>
            <w:fldChar w:fldCharType="end"/>
          </w:r>
        </w:p>
        <w:p w14:paraId="530734FF">
          <w:pPr>
            <w:pStyle w:val="10"/>
            <w:tabs>
              <w:tab w:val="right" w:leader="dot" w:pos="9179"/>
            </w:tabs>
          </w:pPr>
          <w:r>
            <w:fldChar w:fldCharType="begin"/>
          </w:r>
          <w:r>
            <w:instrText xml:space="preserve"> HYPERLINK \l "_Toc169" </w:instrText>
          </w:r>
          <w:r>
            <w:fldChar w:fldCharType="separate"/>
          </w:r>
          <w:r>
            <w:rPr>
              <w:rFonts w:hint="eastAsia" w:ascii="仿宋_GB2312" w:hAnsi="仿宋_GB2312" w:eastAsia="仿宋_GB2312"/>
              <w:kern w:val="2"/>
              <w:szCs w:val="24"/>
            </w:rPr>
            <w:t>十二、国有资本经营预算财政拨款支出决算表</w:t>
          </w:r>
          <w:r>
            <w:tab/>
          </w:r>
          <w:r>
            <w:fldChar w:fldCharType="begin"/>
          </w:r>
          <w:r>
            <w:instrText xml:space="preserve"> PAGEREF _Toc169 \h </w:instrText>
          </w:r>
          <w:r>
            <w:fldChar w:fldCharType="separate"/>
          </w:r>
          <w:r>
            <w:t>82</w:t>
          </w:r>
          <w:r>
            <w:fldChar w:fldCharType="end"/>
          </w:r>
          <w:r>
            <w:fldChar w:fldCharType="end"/>
          </w:r>
        </w:p>
        <w:p w14:paraId="66383916">
          <w:pPr>
            <w:pStyle w:val="10"/>
            <w:tabs>
              <w:tab w:val="right" w:leader="dot" w:pos="9179"/>
            </w:tabs>
          </w:pPr>
          <w:r>
            <w:fldChar w:fldCharType="begin"/>
          </w:r>
          <w:r>
            <w:instrText xml:space="preserve"> HYPERLINK \l "_Toc3746" </w:instrText>
          </w:r>
          <w:r>
            <w:fldChar w:fldCharType="separate"/>
          </w:r>
          <w:r>
            <w:rPr>
              <w:rFonts w:hint="eastAsia" w:ascii="仿宋_GB2312" w:hAnsi="仿宋_GB2312" w:eastAsia="仿宋_GB2312"/>
              <w:kern w:val="2"/>
              <w:szCs w:val="24"/>
            </w:rPr>
            <w:t>十三、财政拨款“三公”经费支出决算表</w:t>
          </w:r>
          <w:r>
            <w:tab/>
          </w:r>
          <w:r>
            <w:fldChar w:fldCharType="begin"/>
          </w:r>
          <w:r>
            <w:instrText xml:space="preserve"> PAGEREF _Toc3746 \h </w:instrText>
          </w:r>
          <w:r>
            <w:fldChar w:fldCharType="separate"/>
          </w:r>
          <w:r>
            <w:t>82</w:t>
          </w:r>
          <w:r>
            <w:fldChar w:fldCharType="end"/>
          </w:r>
          <w:r>
            <w:fldChar w:fldCharType="end"/>
          </w:r>
        </w:p>
        <w:p w14:paraId="39E7BF7C">
          <w:pPr>
            <w:widowControl/>
            <w:kinsoku/>
            <w:wordWrap/>
            <w:autoSpaceDE w:val="0"/>
            <w:autoSpaceDN w:val="0"/>
            <w:bidi w:val="0"/>
            <w:adjustRightInd w:val="0"/>
            <w:snapToGrid w:val="0"/>
            <w:spacing w:beforeLines="0" w:afterLines="0" w:line="576" w:lineRule="exact"/>
            <w:textAlignment w:val="auto"/>
            <w:rPr>
              <w:rFonts w:hint="default" w:ascii="Times New Roman" w:hAnsi="Times New Roman" w:eastAsia="宋体" w:cs="Times New Roman"/>
              <w:sz w:val="24"/>
              <w:szCs w:val="24"/>
              <w:lang w:val="en-US" w:eastAsia="zh-CN" w:bidi="ar-SA"/>
            </w:rPr>
          </w:pPr>
          <w:r>
            <w:rPr>
              <w:rFonts w:hint="default"/>
              <w:szCs w:val="24"/>
            </w:rPr>
            <w:fldChar w:fldCharType="end"/>
          </w:r>
        </w:p>
      </w:sdtContent>
    </w:sdt>
    <w:p w14:paraId="4822FAAB">
      <w:pPr>
        <w:pStyle w:val="2"/>
        <w:rPr>
          <w:rFonts w:hint="default"/>
        </w:rPr>
      </w:pPr>
    </w:p>
    <w:p w14:paraId="7BBF76E5">
      <w:pPr>
        <w:kinsoku/>
        <w:wordWrap/>
        <w:autoSpaceDE w:val="0"/>
        <w:autoSpaceDN w:val="0"/>
        <w:bidi w:val="0"/>
        <w:adjustRightInd w:val="0"/>
        <w:spacing w:beforeLines="0" w:afterLines="0" w:line="576" w:lineRule="exact"/>
        <w:textAlignment w:val="auto"/>
        <w:rPr>
          <w:rFonts w:hint="default"/>
          <w:sz w:val="24"/>
          <w:szCs w:val="24"/>
        </w:rPr>
      </w:pPr>
    </w:p>
    <w:p w14:paraId="7A4476EF">
      <w:pPr>
        <w:pStyle w:val="2"/>
        <w:kinsoku/>
        <w:wordWrap/>
        <w:autoSpaceDE w:val="0"/>
        <w:autoSpaceDN w:val="0"/>
        <w:bidi w:val="0"/>
        <w:adjustRightInd w:val="0"/>
        <w:spacing w:before="72" w:afterLines="0" w:line="576" w:lineRule="exact"/>
        <w:textAlignment w:val="auto"/>
        <w:rPr>
          <w:rFonts w:hint="eastAsia"/>
          <w:sz w:val="30"/>
          <w:szCs w:val="24"/>
        </w:rPr>
        <w:sectPr>
          <w:pgSz w:w="12240" w:h="15840"/>
          <w:pgMar w:top="2098" w:right="1474" w:bottom="1984" w:left="1587" w:header="720" w:footer="720" w:gutter="0"/>
          <w:lnNumType w:countBy="0" w:distance="360"/>
          <w:cols w:space="0" w:num="1"/>
          <w:rtlGutter w:val="0"/>
          <w:docGrid w:linePitch="0" w:charSpace="0"/>
        </w:sectPr>
      </w:pPr>
    </w:p>
    <w:p w14:paraId="34295F66">
      <w:pPr>
        <w:pStyle w:val="3"/>
        <w:keepNext/>
        <w:keepLines/>
        <w:pageBreakBefore/>
        <w:kinsoku/>
        <w:wordWrap/>
        <w:autoSpaceDE w:val="0"/>
        <w:autoSpaceDN w:val="0"/>
        <w:bidi w:val="0"/>
        <w:adjustRightInd w:val="0"/>
        <w:spacing w:beforeLines="0" w:after="313" w:afterLines="0" w:line="576" w:lineRule="exact"/>
        <w:jc w:val="center"/>
        <w:textAlignment w:val="auto"/>
        <w:rPr>
          <w:rFonts w:hint="eastAsia" w:ascii="黑体" w:hAnsi="黑体" w:eastAsia="黑体"/>
          <w:b/>
          <w:kern w:val="44"/>
          <w:sz w:val="44"/>
          <w:szCs w:val="24"/>
        </w:rPr>
      </w:pPr>
      <w:bookmarkStart w:id="0" w:name="_Toc7753"/>
      <w:r>
        <w:rPr>
          <w:rFonts w:hint="eastAsia" w:ascii="黑体" w:hAnsi="黑体" w:eastAsia="黑体"/>
          <w:kern w:val="44"/>
          <w:sz w:val="44"/>
          <w:szCs w:val="24"/>
        </w:rPr>
        <w:t>第一部分 部门概况</w:t>
      </w:r>
      <w:bookmarkEnd w:id="0"/>
    </w:p>
    <w:p w14:paraId="7E331F38">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黑体" w:hAnsi="黑体" w:eastAsia="黑体"/>
          <w:kern w:val="2"/>
          <w:sz w:val="32"/>
          <w:szCs w:val="24"/>
        </w:rPr>
      </w:pPr>
      <w:bookmarkStart w:id="1" w:name="_Toc21656"/>
      <w:r>
        <w:rPr>
          <w:rFonts w:hint="eastAsia" w:ascii="黑体" w:hAnsi="黑体" w:eastAsia="黑体"/>
          <w:color w:val="000000"/>
          <w:kern w:val="2"/>
          <w:sz w:val="32"/>
          <w:szCs w:val="24"/>
        </w:rPr>
        <w:t>一、部门职责</w:t>
      </w:r>
      <w:bookmarkEnd w:id="1"/>
    </w:p>
    <w:p w14:paraId="29C58B34">
      <w:pPr>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r>
        <w:rPr>
          <w:rFonts w:hint="eastAsia" w:ascii="仿宋_GB2312" w:hAnsi="仿宋_GB2312" w:eastAsia="仿宋_GB2312"/>
          <w:kern w:val="2"/>
          <w:sz w:val="32"/>
          <w:szCs w:val="24"/>
        </w:rPr>
        <w:t>（一）主要职能。</w:t>
      </w:r>
    </w:p>
    <w:p w14:paraId="4A71B276">
      <w:pPr>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color w:val="000000"/>
          <w:kern w:val="2"/>
          <w:sz w:val="32"/>
          <w:szCs w:val="24"/>
          <w:highlight w:val="yellow"/>
        </w:rPr>
      </w:pPr>
      <w:r>
        <w:rPr>
          <w:rFonts w:hint="eastAsia" w:ascii="仿宋_GB2312" w:hAnsi="仿宋_GB2312" w:eastAsia="仿宋_GB2312"/>
          <w:color w:val="000000"/>
          <w:sz w:val="32"/>
          <w:szCs w:val="24"/>
          <w:highlight w:val="none"/>
        </w:rPr>
        <w:t>负责区委日常工作的处理、区委领导公务活动的统筹安排、区委重大活动的组织协调；负责区委文件和会议材料的起草、核稿工作；负责区委领导的文秘服务工作；负责区委文书处理、档案管理工作；负责对全区党委系统办公室工作的业务联系和指导工作；负责区党代会、区委全委会、常委会、书记办公会和区委名义召开的综合性大型会议的会务工作；协助区委领导组织会议决定的实施；负责承办中央、省委、市委和区委重大决策、重要工作部署落实情况的督促检查以及领导指示、批示的督查督办工作；对下级党组织或有关部门请示、报告区委的问题提出处理意见，提交有关部门办理或交区委领导审批；负责对上级党委和区委重要工作部署贯彻落实的督查督办，办理政协委员提案；围绕区委的中心工作和领导关注的全局性重大问题，开展调查研究，及时反映情况，提出建议；负责党务信息工作，及时准确地向区委领导及上级领导机关、乡（镇）党委和区级部门提供决策信息；负责全区党政系统的密码通信、密码管理和文电的传递；负责区级部门和乡镇传真通信和党政网运行的指导、管理；根据区委领导指示和工作需要，组织协调区级有关部门的工作，对有关问题提出协调处理意见，报区委领导决；负责区委上传下达工作，及时向区委领导报告重要情况，协助处理各部门向区委反映的重要情况；负责区委机关行政事务、后勤保障和安全保卫工作及接待工作；负责党群各部门的综合协调工作；对区级各部门办公室、各乡镇党政办公室进行</w:t>
      </w:r>
      <w:r>
        <w:rPr>
          <w:rFonts w:hint="eastAsia" w:ascii="仿宋_GB2312" w:hAnsi="仿宋_GB2312" w:eastAsia="仿宋_GB2312"/>
          <w:color w:val="000000"/>
          <w:sz w:val="32"/>
          <w:szCs w:val="24"/>
          <w:highlight w:val="none"/>
          <w:lang w:eastAsia="zh-CN"/>
        </w:rPr>
        <w:t>业</w:t>
      </w:r>
      <w:r>
        <w:rPr>
          <w:rFonts w:hint="eastAsia" w:ascii="仿宋_GB2312" w:hAnsi="仿宋_GB2312" w:eastAsia="仿宋_GB2312"/>
          <w:color w:val="000000"/>
          <w:sz w:val="32"/>
          <w:szCs w:val="24"/>
          <w:highlight w:val="none"/>
        </w:rPr>
        <w:t>务指导及职权范围内的综合协调工作；管理区公务服务中心、区委政策研究中心、区目标绩效事务中心、区档案馆、区密钥管理中心；完成区委及上级部门交办的其他工作。</w:t>
      </w:r>
    </w:p>
    <w:p w14:paraId="4DE251E1">
      <w:pPr>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color w:val="0000FF"/>
          <w:sz w:val="32"/>
          <w:szCs w:val="24"/>
        </w:rPr>
      </w:pPr>
      <w:r>
        <w:rPr>
          <w:rFonts w:hint="eastAsia" w:ascii="仿宋_GB2312" w:hAnsi="仿宋_GB2312" w:eastAsia="仿宋_GB2312"/>
          <w:color w:val="000000"/>
          <w:sz w:val="32"/>
          <w:szCs w:val="24"/>
        </w:rPr>
        <w:t>（二）2023年重点工作完成情况。</w:t>
      </w:r>
    </w:p>
    <w:p w14:paraId="51FF0B67">
      <w:pPr>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color w:val="000000"/>
          <w:kern w:val="2"/>
          <w:sz w:val="32"/>
          <w:szCs w:val="24"/>
          <w:highlight w:val="yellow"/>
        </w:rPr>
      </w:pPr>
      <w:r>
        <w:rPr>
          <w:rFonts w:hint="eastAsia" w:ascii="仿宋_GB2312" w:hAnsi="仿宋_GB2312" w:eastAsia="仿宋_GB2312"/>
          <w:color w:val="000000"/>
          <w:sz w:val="32"/>
          <w:szCs w:val="24"/>
          <w:highlight w:val="none"/>
        </w:rPr>
        <w:t>2023年，区委办公室将把牢区委中枢部门定位，一是旗帜鲜明讲政治，把学习宣传贯彻党的二十大精神作为当前和今后一个时期的首要政治任务，推出围绕党的二十大精神部署的创新事项，办好专题民主生活会和专题组织生活会，推动党的二十大精神在全办落地生根、开花结果。二是坚定不移推进全面从严治党，把严的主基调贯穿始终，全面贯彻落实中央八项规定精神，将党风廉政建设和反腐败工作与日常工作同推进，弘扬廉洁文化，营造政治清明、机关清廉、干部清正、风气清朗的政治生态和发展环境。三是推动以文辅政见成效，进一步提高政策研究工作的前瞻性、计划性、主动性，解放文稿写作思维，结合当前工作实际，高质量完成一批具有前瞻性、针对性、含金量高的专题研究，明确未来政策实施</w:t>
      </w:r>
      <w:bookmarkStart w:id="42" w:name="_GoBack"/>
      <w:bookmarkEnd w:id="42"/>
      <w:r>
        <w:rPr>
          <w:rFonts w:hint="eastAsia" w:ascii="仿宋_GB2312" w:hAnsi="仿宋_GB2312" w:eastAsia="仿宋_GB2312"/>
          <w:color w:val="000000"/>
          <w:sz w:val="32"/>
          <w:szCs w:val="24"/>
          <w:highlight w:val="none"/>
        </w:rPr>
        <w:t>方向，谋划推进新一批重大改革项目，推动昭化经济社会发展。四是围绕区委中心工作，进一步规范公文办理、改进督查督办方式方法，加强对改革工作的总体指导和协调督促，坚守党委信息工作核心职能，广泛搜集经济和社会发展信息，紧抓快办，助力决策部署推动落实。</w:t>
      </w:r>
    </w:p>
    <w:p w14:paraId="5C65F5D5">
      <w:pPr>
        <w:pStyle w:val="4"/>
        <w:keepNext/>
        <w:keepLines/>
        <w:kinsoku/>
        <w:wordWrap/>
        <w:autoSpaceDE w:val="0"/>
        <w:autoSpaceDN w:val="0"/>
        <w:bidi w:val="0"/>
        <w:adjustRightInd w:val="0"/>
        <w:spacing w:beforeLines="0" w:afterLines="0" w:line="576" w:lineRule="exact"/>
        <w:ind w:firstLine="640"/>
        <w:jc w:val="both"/>
        <w:textAlignment w:val="auto"/>
        <w:rPr>
          <w:rFonts w:hint="default" w:ascii="Cambria" w:cs="Cambria"/>
          <w:kern w:val="2"/>
          <w:sz w:val="32"/>
          <w:szCs w:val="24"/>
        </w:rPr>
      </w:pPr>
      <w:bookmarkStart w:id="2" w:name="_Toc4496"/>
      <w:r>
        <w:rPr>
          <w:rFonts w:hint="eastAsia" w:ascii="黑体" w:hAnsi="黑体" w:eastAsia="黑体"/>
          <w:color w:val="000000"/>
          <w:kern w:val="2"/>
          <w:sz w:val="32"/>
          <w:szCs w:val="24"/>
        </w:rPr>
        <w:t>二、机</w:t>
      </w:r>
      <w:r>
        <w:rPr>
          <w:rFonts w:hint="eastAsia" w:ascii="黑体" w:hAnsi="黑体" w:eastAsia="黑体"/>
          <w:kern w:val="2"/>
          <w:sz w:val="32"/>
          <w:szCs w:val="24"/>
        </w:rPr>
        <w:t>构设置</w:t>
      </w:r>
      <w:bookmarkEnd w:id="2"/>
    </w:p>
    <w:p w14:paraId="6746AAA5">
      <w:pPr>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r>
        <w:rPr>
          <w:rFonts w:hint="eastAsia" w:ascii="仿宋_GB2312" w:hAnsi="仿宋_GB2312" w:eastAsia="仿宋_GB2312"/>
          <w:kern w:val="2"/>
          <w:sz w:val="32"/>
          <w:szCs w:val="24"/>
        </w:rPr>
        <w:t>中共广元市昭化区委办公室部门属于一级预算单位，下属二级预算单位</w:t>
      </w:r>
      <w:r>
        <w:rPr>
          <w:rFonts w:hint="eastAsia" w:ascii="仿宋_GB2312" w:hAnsi="仿宋_GB2312" w:eastAsia="仿宋_GB2312"/>
          <w:kern w:val="2"/>
          <w:sz w:val="32"/>
          <w:szCs w:val="24"/>
          <w:lang w:val="en-US" w:eastAsia="zh-CN"/>
        </w:rPr>
        <w:t>0</w:t>
      </w:r>
      <w:r>
        <w:rPr>
          <w:rFonts w:hint="eastAsia" w:ascii="仿宋_GB2312" w:hAnsi="仿宋_GB2312" w:eastAsia="仿宋_GB2312"/>
          <w:kern w:val="2"/>
          <w:sz w:val="32"/>
          <w:szCs w:val="24"/>
        </w:rPr>
        <w:t>个，其中行政单位</w:t>
      </w:r>
      <w:r>
        <w:rPr>
          <w:rFonts w:hint="eastAsia" w:ascii="仿宋_GB2312" w:hAnsi="仿宋_GB2312" w:eastAsia="仿宋_GB2312"/>
          <w:kern w:val="2"/>
          <w:sz w:val="32"/>
          <w:szCs w:val="24"/>
          <w:lang w:val="en-US" w:eastAsia="zh-CN"/>
        </w:rPr>
        <w:t>0</w:t>
      </w:r>
      <w:r>
        <w:rPr>
          <w:rFonts w:hint="eastAsia" w:ascii="仿宋_GB2312" w:hAnsi="仿宋_GB2312" w:eastAsia="仿宋_GB2312"/>
          <w:kern w:val="2"/>
          <w:sz w:val="32"/>
          <w:szCs w:val="24"/>
        </w:rPr>
        <w:t>个，参照公务员法管理的事业单位</w:t>
      </w:r>
      <w:r>
        <w:rPr>
          <w:rFonts w:hint="eastAsia" w:ascii="仿宋_GB2312" w:hAnsi="仿宋_GB2312" w:eastAsia="仿宋_GB2312"/>
          <w:kern w:val="2"/>
          <w:sz w:val="32"/>
          <w:szCs w:val="24"/>
          <w:lang w:val="en-US" w:eastAsia="zh-CN"/>
        </w:rPr>
        <w:t>0</w:t>
      </w:r>
      <w:r>
        <w:rPr>
          <w:rFonts w:hint="eastAsia" w:ascii="仿宋_GB2312" w:hAnsi="仿宋_GB2312" w:eastAsia="仿宋_GB2312"/>
          <w:kern w:val="2"/>
          <w:sz w:val="32"/>
          <w:szCs w:val="24"/>
        </w:rPr>
        <w:t>个，其他事业单位</w:t>
      </w:r>
      <w:r>
        <w:rPr>
          <w:rFonts w:hint="eastAsia" w:ascii="仿宋_GB2312" w:hAnsi="仿宋_GB2312" w:eastAsia="仿宋_GB2312"/>
          <w:kern w:val="2"/>
          <w:sz w:val="32"/>
          <w:szCs w:val="24"/>
          <w:lang w:val="en-US" w:eastAsia="zh-CN"/>
        </w:rPr>
        <w:t>0</w:t>
      </w:r>
      <w:r>
        <w:rPr>
          <w:rFonts w:hint="eastAsia" w:ascii="仿宋_GB2312" w:hAnsi="仿宋_GB2312" w:eastAsia="仿宋_GB2312"/>
          <w:kern w:val="2"/>
          <w:sz w:val="32"/>
          <w:szCs w:val="24"/>
        </w:rPr>
        <w:t>个。</w:t>
      </w:r>
    </w:p>
    <w:p w14:paraId="48E58966">
      <w:pPr>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color w:val="000000"/>
          <w:sz w:val="32"/>
          <w:szCs w:val="24"/>
          <w:lang w:val="en-US" w:eastAsia="zh-CN"/>
        </w:rPr>
      </w:pPr>
      <w:r>
        <w:rPr>
          <w:rFonts w:hint="eastAsia" w:ascii="仿宋_GB2312" w:hAnsi="仿宋_GB2312" w:eastAsia="仿宋_GB2312"/>
          <w:color w:val="000000"/>
          <w:sz w:val="32"/>
          <w:szCs w:val="24"/>
        </w:rPr>
        <w:t>纳入2023年度部门决算编制范围的二级预算单位</w:t>
      </w:r>
      <w:r>
        <w:rPr>
          <w:rFonts w:hint="eastAsia" w:ascii="仿宋_GB2312" w:hAnsi="仿宋_GB2312" w:eastAsia="仿宋_GB2312"/>
          <w:color w:val="000000"/>
          <w:sz w:val="32"/>
          <w:szCs w:val="24"/>
          <w:lang w:val="en-US" w:eastAsia="zh-CN"/>
        </w:rPr>
        <w:t>:</w:t>
      </w:r>
    </w:p>
    <w:p w14:paraId="3425BE12">
      <w:pPr>
        <w:pStyle w:val="2"/>
        <w:ind w:firstLine="600" w:firstLineChars="200"/>
        <w:rPr>
          <w:rFonts w:hint="eastAsia" w:eastAsia="仿宋_GB2312"/>
          <w:lang w:val="en-US" w:eastAsia="zh-CN"/>
        </w:rPr>
      </w:pPr>
      <w:r>
        <w:rPr>
          <w:rFonts w:hint="eastAsia"/>
          <w:lang w:val="en-US" w:eastAsia="zh-CN"/>
        </w:rPr>
        <w:t>无</w:t>
      </w:r>
    </w:p>
    <w:p w14:paraId="29BC70F3">
      <w:pPr>
        <w:pStyle w:val="2"/>
        <w:kinsoku/>
        <w:wordWrap/>
        <w:autoSpaceDE w:val="0"/>
        <w:autoSpaceDN w:val="0"/>
        <w:bidi w:val="0"/>
        <w:adjustRightInd w:val="0"/>
        <w:spacing w:before="72" w:afterLines="0" w:line="576" w:lineRule="exact"/>
        <w:textAlignment w:val="auto"/>
        <w:rPr>
          <w:rFonts w:hint="eastAsia"/>
          <w:sz w:val="30"/>
          <w:szCs w:val="24"/>
        </w:rPr>
      </w:pPr>
    </w:p>
    <w:p w14:paraId="11ED952B">
      <w:pPr>
        <w:pStyle w:val="2"/>
        <w:kinsoku/>
        <w:wordWrap/>
        <w:autoSpaceDE w:val="0"/>
        <w:autoSpaceDN w:val="0"/>
        <w:bidi w:val="0"/>
        <w:adjustRightInd w:val="0"/>
        <w:spacing w:before="72" w:afterLines="0" w:line="576" w:lineRule="exact"/>
        <w:textAlignment w:val="auto"/>
        <w:rPr>
          <w:rFonts w:hint="eastAsia"/>
          <w:sz w:val="30"/>
          <w:szCs w:val="24"/>
        </w:rPr>
        <w:sectPr>
          <w:footerReference r:id="rId4" w:type="default"/>
          <w:pgSz w:w="12240" w:h="15840"/>
          <w:pgMar w:top="2098" w:right="1474" w:bottom="1984" w:left="1587" w:header="720" w:footer="720" w:gutter="0"/>
          <w:lnNumType w:countBy="0" w:distance="360"/>
          <w:pgNumType w:fmt="decimal" w:start="1"/>
          <w:cols w:space="0" w:num="1"/>
          <w:rtlGutter w:val="0"/>
          <w:docGrid w:linePitch="0" w:charSpace="0"/>
        </w:sectPr>
      </w:pPr>
    </w:p>
    <w:p w14:paraId="25AA64BE">
      <w:pPr>
        <w:keepNext/>
        <w:keepLines/>
        <w:pageBreakBefore/>
        <w:widowControl w:val="0"/>
        <w:kinsoku/>
        <w:wordWrap/>
        <w:overflowPunct/>
        <w:topLinePunct w:val="0"/>
        <w:autoSpaceDE w:val="0"/>
        <w:autoSpaceDN w:val="0"/>
        <w:bidi w:val="0"/>
        <w:adjustRightInd w:val="0"/>
        <w:snapToGrid/>
        <w:spacing w:beforeLines="0" w:after="313" w:afterLines="0" w:line="576" w:lineRule="exact"/>
        <w:jc w:val="center"/>
        <w:textAlignment w:val="auto"/>
        <w:outlineLvl w:val="0"/>
        <w:rPr>
          <w:rFonts w:hint="default" w:eastAsia="Times New Roman"/>
          <w:kern w:val="2"/>
          <w:sz w:val="21"/>
          <w:szCs w:val="24"/>
        </w:rPr>
      </w:pPr>
      <w:bookmarkStart w:id="3" w:name="_Toc27242"/>
      <w:r>
        <w:rPr>
          <w:rFonts w:hint="eastAsia" w:ascii="黑体" w:hAnsi="黑体" w:eastAsia="黑体"/>
          <w:b/>
          <w:kern w:val="44"/>
          <w:sz w:val="44"/>
          <w:szCs w:val="24"/>
        </w:rPr>
        <w:t>第二部分  2023年度部门决算情况说明</w:t>
      </w:r>
      <w:bookmarkEnd w:id="3"/>
    </w:p>
    <w:p w14:paraId="178656D4">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4" w:name="_Toc25163"/>
      <w:r>
        <w:rPr>
          <w:rFonts w:hint="eastAsia" w:ascii="黑体" w:hAnsi="黑体" w:eastAsia="黑体"/>
          <w:color w:val="000000"/>
          <w:kern w:val="2"/>
          <w:sz w:val="32"/>
          <w:szCs w:val="24"/>
        </w:rPr>
        <w:t>一、收</w:t>
      </w:r>
      <w:r>
        <w:rPr>
          <w:rFonts w:hint="eastAsia" w:ascii="黑体" w:hAnsi="黑体" w:eastAsia="黑体"/>
          <w:kern w:val="2"/>
          <w:sz w:val="32"/>
          <w:szCs w:val="24"/>
        </w:rPr>
        <w:t>入支出决算总体情况说明</w:t>
      </w:r>
      <w:bookmarkEnd w:id="4"/>
    </w:p>
    <w:p w14:paraId="6AD06218">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2023年度收、支总计均为1303.16万元。与2022年度相比，收、支总计各增加525.71万元，增长</w:t>
      </w:r>
      <w:r>
        <w:rPr>
          <w:rFonts w:hint="eastAsia" w:ascii="仿宋_GB2312" w:hAnsi="仿宋_GB2312" w:eastAsia="仿宋_GB2312"/>
          <w:color w:val="000000"/>
          <w:kern w:val="2"/>
          <w:sz w:val="32"/>
          <w:szCs w:val="24"/>
          <w:lang w:val="en-US" w:eastAsia="zh-CN"/>
        </w:rPr>
        <w:t>67.6</w:t>
      </w:r>
      <w:r>
        <w:rPr>
          <w:rFonts w:hint="eastAsia" w:ascii="仿宋_GB2312" w:hAnsi="仿宋_GB2312" w:eastAsia="仿宋_GB2312"/>
          <w:color w:val="000000"/>
          <w:kern w:val="2"/>
          <w:sz w:val="32"/>
          <w:szCs w:val="24"/>
        </w:rPr>
        <w:t>%。主要变动原因是2023年</w:t>
      </w:r>
      <w:r>
        <w:rPr>
          <w:rFonts w:hint="eastAsia" w:ascii="仿宋_GB2312" w:hAnsi="仿宋_GB2312" w:eastAsia="仿宋_GB2312"/>
          <w:color w:val="000000"/>
          <w:kern w:val="2"/>
          <w:sz w:val="32"/>
          <w:szCs w:val="24"/>
          <w:lang w:val="en-US" w:eastAsia="zh-CN"/>
        </w:rPr>
        <w:t>度</w:t>
      </w:r>
      <w:r>
        <w:rPr>
          <w:rFonts w:hint="eastAsia" w:ascii="仿宋_GB2312" w:hAnsi="仿宋_GB2312" w:eastAsia="仿宋_GB2312"/>
          <w:color w:val="000000"/>
          <w:kern w:val="2"/>
          <w:sz w:val="32"/>
          <w:szCs w:val="24"/>
        </w:rPr>
        <w:t>新增信息化建设项目</w:t>
      </w:r>
      <w:r>
        <w:rPr>
          <w:rFonts w:hint="eastAsia" w:ascii="仿宋_GB2312" w:hAnsi="仿宋_GB2312" w:eastAsia="仿宋_GB2312"/>
          <w:color w:val="000000"/>
          <w:kern w:val="2"/>
          <w:sz w:val="32"/>
          <w:szCs w:val="24"/>
          <w:lang w:eastAsia="zh-CN"/>
        </w:rPr>
        <w:t>、在职职工的工资较2022年有所增长、兑现退休干部死亡丧葬、抚恤金等</w:t>
      </w:r>
      <w:r>
        <w:rPr>
          <w:rFonts w:hint="eastAsia" w:ascii="仿宋_GB2312" w:hAnsi="仿宋_GB2312" w:eastAsia="仿宋_GB2312"/>
          <w:color w:val="000000"/>
          <w:kern w:val="2"/>
          <w:sz w:val="32"/>
          <w:szCs w:val="24"/>
        </w:rPr>
        <w:t>。</w:t>
      </w:r>
    </w:p>
    <w:p w14:paraId="6518FD0E">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5054600" cy="2626995"/>
            <wp:effectExtent l="0" t="0" r="0" b="1905"/>
            <wp:docPr id="17" name="图片 13"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图片6"/>
                    <pic:cNvPicPr>
                      <a:picLocks noChangeAspect="1"/>
                    </pic:cNvPicPr>
                  </pic:nvPicPr>
                  <pic:blipFill>
                    <a:blip r:embed="rId8"/>
                    <a:stretch>
                      <a:fillRect/>
                    </a:stretch>
                  </pic:blipFill>
                  <pic:spPr>
                    <a:xfrm>
                      <a:off x="0" y="0"/>
                      <a:ext cx="5054600" cy="2626995"/>
                    </a:xfrm>
                    <a:prstGeom prst="rect">
                      <a:avLst/>
                    </a:prstGeom>
                  </pic:spPr>
                </pic:pic>
              </a:graphicData>
            </a:graphic>
          </wp:inline>
        </w:drawing>
      </w:r>
    </w:p>
    <w:p w14:paraId="51F84B96">
      <w:pPr>
        <w:kinsoku/>
        <w:wordWrap/>
        <w:overflowPunct w:val="0"/>
        <w:topLinePunct/>
        <w:autoSpaceDE w:val="0"/>
        <w:autoSpaceDN w:val="0"/>
        <w:bidi w:val="0"/>
        <w:adjustRightInd w:val="0"/>
        <w:spacing w:beforeLines="0" w:afterLines="0" w:line="576" w:lineRule="exact"/>
        <w:jc w:val="center"/>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highlight w:val="none"/>
        </w:rPr>
        <w:t>（图1：收、支决算总计变动情况图）</w:t>
      </w:r>
    </w:p>
    <w:p w14:paraId="6FF10C8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5" w:name="_Toc7756"/>
      <w:r>
        <w:rPr>
          <w:rFonts w:hint="eastAsia" w:ascii="黑体" w:hAnsi="黑体" w:eastAsia="黑体"/>
          <w:color w:val="000000"/>
          <w:kern w:val="2"/>
          <w:sz w:val="32"/>
          <w:szCs w:val="24"/>
        </w:rPr>
        <w:t>二、收</w:t>
      </w:r>
      <w:r>
        <w:rPr>
          <w:rFonts w:hint="eastAsia" w:ascii="黑体" w:hAnsi="黑体" w:eastAsia="黑体"/>
          <w:kern w:val="2"/>
          <w:sz w:val="32"/>
          <w:szCs w:val="24"/>
        </w:rPr>
        <w:t>入决算情况说明</w:t>
      </w:r>
      <w:bookmarkEnd w:id="5"/>
    </w:p>
    <w:p w14:paraId="5D9FEAE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2023年本年收入合计1303.16万元，其中：一般公共预算财政拨款收入1303.16万元，占</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27CD989F">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2364740" cy="2533650"/>
            <wp:effectExtent l="0" t="0" r="10160" b="6350"/>
            <wp:docPr id="18" name="图片 1" descr="微信截图_2024091816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微信截图_20240918160642"/>
                    <pic:cNvPicPr>
                      <a:picLocks noChangeAspect="1"/>
                    </pic:cNvPicPr>
                  </pic:nvPicPr>
                  <pic:blipFill>
                    <a:blip r:embed="rId9"/>
                    <a:stretch>
                      <a:fillRect/>
                    </a:stretch>
                  </pic:blipFill>
                  <pic:spPr>
                    <a:xfrm>
                      <a:off x="0" y="0"/>
                      <a:ext cx="2364740" cy="2533650"/>
                    </a:xfrm>
                    <a:prstGeom prst="rect">
                      <a:avLst/>
                    </a:prstGeom>
                  </pic:spPr>
                </pic:pic>
              </a:graphicData>
            </a:graphic>
          </wp:inline>
        </w:drawing>
      </w:r>
    </w:p>
    <w:p w14:paraId="7A42D0A3">
      <w:pPr>
        <w:kinsoku/>
        <w:wordWrap/>
        <w:overflowPunct w:val="0"/>
        <w:topLinePunct/>
        <w:autoSpaceDE w:val="0"/>
        <w:autoSpaceDN w:val="0"/>
        <w:bidi w:val="0"/>
        <w:adjustRightInd w:val="0"/>
        <w:spacing w:beforeLines="0" w:afterLines="0" w:line="576" w:lineRule="exact"/>
        <w:jc w:val="center"/>
        <w:textAlignment w:val="auto"/>
        <w:rPr>
          <w:rFonts w:hint="eastAsia" w:ascii="仿宋_GB2312" w:hAnsi="仿宋_GB2312" w:eastAsia="仿宋_GB2312"/>
          <w:color w:val="FF0000"/>
          <w:kern w:val="2"/>
          <w:sz w:val="32"/>
          <w:szCs w:val="24"/>
        </w:rPr>
      </w:pPr>
      <w:r>
        <w:rPr>
          <w:rFonts w:hint="eastAsia" w:ascii="仿宋_GB2312" w:hAnsi="仿宋_GB2312" w:eastAsia="仿宋_GB2312"/>
          <w:color w:val="000000"/>
          <w:kern w:val="2"/>
          <w:sz w:val="32"/>
          <w:szCs w:val="24"/>
          <w:highlight w:val="none"/>
        </w:rPr>
        <w:t>（图2：收入决算结构图）</w:t>
      </w:r>
    </w:p>
    <w:p w14:paraId="42D558B6">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6" w:name="_Toc16007"/>
      <w:r>
        <w:rPr>
          <w:rFonts w:hint="eastAsia" w:ascii="黑体" w:hAnsi="黑体" w:eastAsia="黑体"/>
          <w:color w:val="000000"/>
          <w:kern w:val="2"/>
          <w:sz w:val="32"/>
          <w:szCs w:val="24"/>
        </w:rPr>
        <w:t>三、支</w:t>
      </w:r>
      <w:r>
        <w:rPr>
          <w:rFonts w:hint="eastAsia" w:ascii="黑体" w:hAnsi="黑体" w:eastAsia="黑体"/>
          <w:kern w:val="2"/>
          <w:sz w:val="32"/>
          <w:szCs w:val="24"/>
        </w:rPr>
        <w:t>出决算情况说明</w:t>
      </w:r>
      <w:bookmarkEnd w:id="6"/>
    </w:p>
    <w:p w14:paraId="4FCD28F1">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2023年本年支出合计1303.16万元，其中：基本支出783.16万元，占</w:t>
      </w:r>
      <w:r>
        <w:rPr>
          <w:rFonts w:hint="eastAsia" w:ascii="仿宋_GB2312" w:hAnsi="仿宋_GB2312" w:eastAsia="仿宋_GB2312"/>
          <w:color w:val="000000"/>
          <w:kern w:val="2"/>
          <w:sz w:val="32"/>
          <w:szCs w:val="24"/>
          <w:lang w:val="en-US" w:eastAsia="zh-CN"/>
        </w:rPr>
        <w:t>60.1</w:t>
      </w:r>
      <w:r>
        <w:rPr>
          <w:rFonts w:hint="eastAsia" w:ascii="仿宋_GB2312" w:hAnsi="仿宋_GB2312" w:eastAsia="仿宋_GB2312"/>
          <w:color w:val="000000"/>
          <w:kern w:val="2"/>
          <w:sz w:val="32"/>
          <w:szCs w:val="24"/>
        </w:rPr>
        <w:t>%；项目支出520万元，占39.9%。</w:t>
      </w:r>
    </w:p>
    <w:p w14:paraId="3278DC21">
      <w:pPr>
        <w:pStyle w:val="2"/>
        <w:jc w:val="center"/>
        <w:rPr>
          <w:rFonts w:hint="eastAsia" w:eastAsia="仿宋_GB2312"/>
          <w:lang w:eastAsia="zh-CN"/>
        </w:rPr>
      </w:pPr>
      <w:r>
        <w:rPr>
          <w:rFonts w:hint="eastAsia" w:eastAsia="仿宋_GB2312"/>
          <w:lang w:eastAsia="zh-CN"/>
        </w:rPr>
        <w:drawing>
          <wp:inline distT="0" distB="0" distL="114300" distR="114300">
            <wp:extent cx="2711450" cy="2520950"/>
            <wp:effectExtent l="0" t="0" r="6350" b="6350"/>
            <wp:docPr id="19" name="图片 1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图片7"/>
                    <pic:cNvPicPr>
                      <a:picLocks noChangeAspect="1"/>
                    </pic:cNvPicPr>
                  </pic:nvPicPr>
                  <pic:blipFill>
                    <a:blip r:embed="rId10"/>
                    <a:stretch>
                      <a:fillRect/>
                    </a:stretch>
                  </pic:blipFill>
                  <pic:spPr>
                    <a:xfrm>
                      <a:off x="0" y="0"/>
                      <a:ext cx="2711450" cy="2520950"/>
                    </a:xfrm>
                    <a:prstGeom prst="rect">
                      <a:avLst/>
                    </a:prstGeom>
                  </pic:spPr>
                </pic:pic>
              </a:graphicData>
            </a:graphic>
          </wp:inline>
        </w:drawing>
      </w:r>
    </w:p>
    <w:p w14:paraId="45388E69">
      <w:pPr>
        <w:kinsoku/>
        <w:wordWrap/>
        <w:overflowPunct w:val="0"/>
        <w:topLinePunct/>
        <w:autoSpaceDE w:val="0"/>
        <w:autoSpaceDN w:val="0"/>
        <w:bidi w:val="0"/>
        <w:adjustRightInd w:val="0"/>
        <w:spacing w:beforeLines="0" w:afterLines="0" w:line="576" w:lineRule="exact"/>
        <w:jc w:val="center"/>
        <w:textAlignment w:val="auto"/>
        <w:rPr>
          <w:rFonts w:hint="eastAsia" w:ascii="仿宋_GB2312" w:hAnsi="仿宋_GB2312" w:eastAsia="仿宋_GB2312"/>
          <w:color w:val="FF0000"/>
          <w:kern w:val="2"/>
          <w:sz w:val="32"/>
          <w:szCs w:val="24"/>
        </w:rPr>
      </w:pPr>
      <w:r>
        <w:rPr>
          <w:rFonts w:hint="eastAsia" w:ascii="仿宋_GB2312" w:hAnsi="仿宋_GB2312" w:eastAsia="仿宋_GB2312"/>
          <w:color w:val="000000"/>
          <w:kern w:val="2"/>
          <w:sz w:val="32"/>
          <w:szCs w:val="24"/>
          <w:highlight w:val="none"/>
        </w:rPr>
        <w:t>（图3：支出决算结构图）</w:t>
      </w:r>
    </w:p>
    <w:p w14:paraId="7235294F">
      <w:pPr>
        <w:rPr>
          <w:rFonts w:hint="eastAsia" w:ascii="黑体" w:hAnsi="黑体" w:eastAsia="黑体"/>
          <w:color w:val="000000"/>
          <w:kern w:val="2"/>
          <w:sz w:val="32"/>
          <w:szCs w:val="24"/>
        </w:rPr>
      </w:pPr>
      <w:r>
        <w:br w:type="page"/>
      </w:r>
    </w:p>
    <w:p w14:paraId="2BFBCEE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7" w:name="_Toc25484"/>
      <w:r>
        <w:rPr>
          <w:rFonts w:hint="eastAsia" w:ascii="黑体" w:hAnsi="黑体" w:eastAsia="黑体"/>
          <w:color w:val="000000"/>
          <w:kern w:val="2"/>
          <w:sz w:val="32"/>
          <w:szCs w:val="24"/>
        </w:rPr>
        <w:t>四、财</w:t>
      </w:r>
      <w:r>
        <w:rPr>
          <w:rFonts w:hint="eastAsia" w:ascii="黑体" w:hAnsi="黑体" w:eastAsia="黑体"/>
          <w:kern w:val="2"/>
          <w:sz w:val="32"/>
          <w:szCs w:val="24"/>
        </w:rPr>
        <w:t>政拨款收入支出决算总体情况说明</w:t>
      </w:r>
      <w:bookmarkEnd w:id="7"/>
    </w:p>
    <w:p w14:paraId="27CA39B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财政拨款收、支总计均为1303.16万元。与2022年度相比，财政拨款收、支总计各增加525.71万元，增长67.6%。主要变动原因是2023年度新增信息化建设项目、在职职工的工资较2022年有所增长、兑现退休干部死亡丧葬、抚恤金等。</w:t>
      </w:r>
    </w:p>
    <w:p w14:paraId="0BEEB2DE">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4673600" cy="2616200"/>
            <wp:effectExtent l="0" t="0" r="0" b="0"/>
            <wp:docPr id="20" name="图片 1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图片8"/>
                    <pic:cNvPicPr>
                      <a:picLocks noChangeAspect="1"/>
                    </pic:cNvPicPr>
                  </pic:nvPicPr>
                  <pic:blipFill>
                    <a:blip r:embed="rId11"/>
                    <a:stretch>
                      <a:fillRect/>
                    </a:stretch>
                  </pic:blipFill>
                  <pic:spPr>
                    <a:xfrm>
                      <a:off x="0" y="0"/>
                      <a:ext cx="4673600" cy="2616200"/>
                    </a:xfrm>
                    <a:prstGeom prst="rect">
                      <a:avLst/>
                    </a:prstGeom>
                  </pic:spPr>
                </pic:pic>
              </a:graphicData>
            </a:graphic>
          </wp:inline>
        </w:drawing>
      </w:r>
    </w:p>
    <w:p w14:paraId="2F204320">
      <w:pPr>
        <w:kinsoku/>
        <w:wordWrap/>
        <w:overflowPunct w:val="0"/>
        <w:topLinePunct/>
        <w:autoSpaceDE w:val="0"/>
        <w:autoSpaceDN w:val="0"/>
        <w:bidi w:val="0"/>
        <w:adjustRightInd w:val="0"/>
        <w:spacing w:beforeLines="0" w:afterLines="0" w:line="576" w:lineRule="exact"/>
        <w:jc w:val="center"/>
        <w:textAlignment w:val="auto"/>
        <w:rPr>
          <w:rFonts w:hint="eastAsia" w:ascii="仿宋_GB2312" w:hAnsi="仿宋_GB2312" w:eastAsia="仿宋_GB2312"/>
          <w:i/>
          <w:color w:val="000000"/>
          <w:kern w:val="2"/>
          <w:sz w:val="32"/>
          <w:szCs w:val="24"/>
        </w:rPr>
      </w:pPr>
      <w:r>
        <w:rPr>
          <w:rFonts w:hint="eastAsia" w:ascii="仿宋_GB2312" w:hAnsi="仿宋_GB2312" w:eastAsia="仿宋_GB2312"/>
          <w:color w:val="000000"/>
          <w:kern w:val="2"/>
          <w:sz w:val="32"/>
          <w:szCs w:val="24"/>
          <w:highlight w:val="none"/>
        </w:rPr>
        <w:t>（图4：财政拨款收、支决算总计变动情况）</w:t>
      </w:r>
    </w:p>
    <w:p w14:paraId="0602887A">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8" w:name="_Toc7179"/>
      <w:r>
        <w:rPr>
          <w:rFonts w:hint="eastAsia" w:ascii="黑体" w:hAnsi="黑体" w:eastAsia="黑体"/>
          <w:color w:val="000000"/>
          <w:kern w:val="2"/>
          <w:sz w:val="32"/>
          <w:szCs w:val="24"/>
        </w:rPr>
        <w:t>五、</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般公共预算财政拨款支出决算情况说明</w:t>
      </w:r>
      <w:bookmarkEnd w:id="8"/>
    </w:p>
    <w:p w14:paraId="5A4D0254">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9" w:name="_Toc4568"/>
      <w:r>
        <w:rPr>
          <w:rFonts w:hint="eastAsia" w:ascii="仿宋_GB2312" w:hAnsi="仿宋_GB2312" w:eastAsia="仿宋_GB2312"/>
          <w:b/>
          <w:color w:val="000000"/>
          <w:kern w:val="2"/>
          <w:sz w:val="32"/>
          <w:szCs w:val="24"/>
        </w:rPr>
        <w:t>（一）一般公共预算财政拨款支出决算总体情况</w:t>
      </w:r>
      <w:bookmarkEnd w:id="9"/>
    </w:p>
    <w:p w14:paraId="70270C48">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2023年度一般公共预算财政拨款支出1303.16万元，占本年支出合计的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%。与2022年度相比，一般公共预算财政拨款支出增加525.71万元，增长67.6%。主要变动原因是2023年度新增信息化建设项目、在职职工的工资较2022年有所增长、兑现退休干部死亡丧葬、抚恤金等。</w:t>
      </w:r>
    </w:p>
    <w:p w14:paraId="75E3547E">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4140200" cy="2193290"/>
            <wp:effectExtent l="0" t="0" r="0" b="3810"/>
            <wp:docPr id="21" name="图片 1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图片3"/>
                    <pic:cNvPicPr>
                      <a:picLocks noChangeAspect="1"/>
                    </pic:cNvPicPr>
                  </pic:nvPicPr>
                  <pic:blipFill>
                    <a:blip r:embed="rId12"/>
                    <a:stretch>
                      <a:fillRect/>
                    </a:stretch>
                  </pic:blipFill>
                  <pic:spPr>
                    <a:xfrm>
                      <a:off x="0" y="0"/>
                      <a:ext cx="4140200" cy="2193290"/>
                    </a:xfrm>
                    <a:prstGeom prst="rect">
                      <a:avLst/>
                    </a:prstGeom>
                  </pic:spPr>
                </pic:pic>
              </a:graphicData>
            </a:graphic>
          </wp:inline>
        </w:drawing>
      </w:r>
    </w:p>
    <w:p w14:paraId="4D3D8ACD">
      <w:pPr>
        <w:kinsoku/>
        <w:wordWrap/>
        <w:overflowPunct w:val="0"/>
        <w:topLinePunct/>
        <w:autoSpaceDE w:val="0"/>
        <w:autoSpaceDN w:val="0"/>
        <w:bidi w:val="0"/>
        <w:adjustRightInd w:val="0"/>
        <w:spacing w:beforeLines="0" w:afterLines="0" w:line="576" w:lineRule="exact"/>
        <w:jc w:val="center"/>
        <w:textAlignment w:val="auto"/>
        <w:rPr>
          <w:rFonts w:hint="eastAsia" w:ascii="仿宋_GB2312" w:hAnsi="仿宋_GB2312" w:eastAsia="仿宋_GB2312"/>
          <w:i/>
          <w:color w:val="000000"/>
          <w:kern w:val="2"/>
          <w:sz w:val="32"/>
          <w:szCs w:val="24"/>
          <w:highlight w:val="yellow"/>
        </w:rPr>
      </w:pPr>
      <w:r>
        <w:rPr>
          <w:rFonts w:hint="eastAsia" w:ascii="仿宋_GB2312" w:hAnsi="仿宋_GB2312" w:eastAsia="仿宋_GB2312"/>
          <w:color w:val="000000"/>
          <w:kern w:val="2"/>
          <w:sz w:val="32"/>
          <w:szCs w:val="24"/>
          <w:highlight w:val="none"/>
        </w:rPr>
        <w:t>（图5：一般公共预算财政拨款支出决算变动情况）</w:t>
      </w:r>
    </w:p>
    <w:p w14:paraId="46C7823A">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10" w:name="_Toc20675"/>
      <w:r>
        <w:rPr>
          <w:rFonts w:hint="eastAsia" w:ascii="仿宋_GB2312" w:hAnsi="仿宋_GB2312" w:eastAsia="仿宋_GB2312"/>
          <w:b/>
          <w:color w:val="000000"/>
          <w:kern w:val="2"/>
          <w:sz w:val="32"/>
          <w:szCs w:val="24"/>
        </w:rPr>
        <w:t>（二）一般公共预算财政拨款支出决算结构情况</w:t>
      </w:r>
      <w:bookmarkEnd w:id="10"/>
    </w:p>
    <w:p w14:paraId="5E555CC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2023年度一般公共预算财政拨款支出1303.16万元，主要用于以下方面: 一般公共服务支出686.44万元，占</w:t>
      </w:r>
      <w:r>
        <w:rPr>
          <w:rFonts w:hint="eastAsia" w:ascii="仿宋_GB2312" w:hAnsi="仿宋_GB2312" w:eastAsia="仿宋_GB2312"/>
          <w:color w:val="000000"/>
          <w:kern w:val="2"/>
          <w:sz w:val="32"/>
          <w:szCs w:val="24"/>
          <w:lang w:val="en-US" w:eastAsia="zh-CN"/>
        </w:rPr>
        <w:t>52.7</w:t>
      </w:r>
      <w:r>
        <w:rPr>
          <w:rFonts w:hint="eastAsia" w:ascii="仿宋_GB2312" w:hAnsi="仿宋_GB2312" w:eastAsia="仿宋_GB2312"/>
          <w:color w:val="000000"/>
          <w:kern w:val="2"/>
          <w:sz w:val="32"/>
          <w:szCs w:val="24"/>
        </w:rPr>
        <w:t>%；社会保障和就业支出55.89万元，占</w:t>
      </w:r>
      <w:r>
        <w:rPr>
          <w:rFonts w:hint="eastAsia" w:ascii="仿宋_GB2312" w:hAnsi="仿宋_GB2312" w:eastAsia="仿宋_GB2312"/>
          <w:color w:val="000000"/>
          <w:kern w:val="2"/>
          <w:sz w:val="32"/>
          <w:szCs w:val="24"/>
          <w:lang w:val="en-US" w:eastAsia="zh-CN"/>
        </w:rPr>
        <w:t>4.3</w:t>
      </w:r>
      <w:r>
        <w:rPr>
          <w:rFonts w:hint="eastAsia" w:ascii="仿宋_GB2312" w:hAnsi="仿宋_GB2312" w:eastAsia="仿宋_GB2312"/>
          <w:color w:val="000000"/>
          <w:kern w:val="2"/>
          <w:sz w:val="32"/>
          <w:szCs w:val="24"/>
        </w:rPr>
        <w:t>%；卫生健康支出12.41万元，占</w:t>
      </w:r>
      <w:r>
        <w:rPr>
          <w:rFonts w:hint="eastAsia" w:ascii="仿宋_GB2312" w:hAnsi="仿宋_GB2312" w:eastAsia="仿宋_GB2312"/>
          <w:color w:val="000000"/>
          <w:kern w:val="2"/>
          <w:sz w:val="32"/>
          <w:szCs w:val="24"/>
          <w:lang w:val="en-US" w:eastAsia="zh-CN"/>
        </w:rPr>
        <w:t>1</w:t>
      </w:r>
      <w:r>
        <w:rPr>
          <w:rFonts w:hint="eastAsia" w:ascii="仿宋_GB2312" w:hAnsi="仿宋_GB2312" w:eastAsia="仿宋_GB2312"/>
          <w:color w:val="000000"/>
          <w:kern w:val="2"/>
          <w:sz w:val="32"/>
          <w:szCs w:val="24"/>
        </w:rPr>
        <w:t>%；农林水支出20万元，占</w:t>
      </w:r>
      <w:r>
        <w:rPr>
          <w:rFonts w:hint="eastAsia" w:ascii="仿宋_GB2312" w:hAnsi="仿宋_GB2312" w:eastAsia="仿宋_GB2312"/>
          <w:color w:val="000000"/>
          <w:kern w:val="2"/>
          <w:sz w:val="32"/>
          <w:szCs w:val="24"/>
          <w:lang w:val="en-US" w:eastAsia="zh-CN"/>
        </w:rPr>
        <w:t>1.5</w:t>
      </w:r>
      <w:r>
        <w:rPr>
          <w:rFonts w:hint="eastAsia" w:ascii="仿宋_GB2312" w:hAnsi="仿宋_GB2312" w:eastAsia="仿宋_GB2312"/>
          <w:color w:val="000000"/>
          <w:kern w:val="2"/>
          <w:sz w:val="32"/>
          <w:szCs w:val="24"/>
        </w:rPr>
        <w:t>%；住房保障支出28.43万元，占</w:t>
      </w:r>
      <w:r>
        <w:rPr>
          <w:rFonts w:hint="eastAsia" w:ascii="仿宋_GB2312" w:hAnsi="仿宋_GB2312" w:eastAsia="仿宋_GB2312"/>
          <w:color w:val="000000"/>
          <w:kern w:val="2"/>
          <w:sz w:val="32"/>
          <w:szCs w:val="24"/>
          <w:lang w:val="en-US" w:eastAsia="zh-CN"/>
        </w:rPr>
        <w:t>2.2</w:t>
      </w:r>
      <w:r>
        <w:rPr>
          <w:rFonts w:hint="eastAsia" w:ascii="仿宋_GB2312" w:hAnsi="仿宋_GB2312" w:eastAsia="仿宋_GB2312"/>
          <w:color w:val="000000"/>
          <w:kern w:val="2"/>
          <w:sz w:val="32"/>
          <w:szCs w:val="24"/>
        </w:rPr>
        <w:t>%；其他支出500万元，占</w:t>
      </w:r>
      <w:r>
        <w:rPr>
          <w:rFonts w:hint="eastAsia" w:ascii="仿宋_GB2312" w:hAnsi="仿宋_GB2312" w:eastAsia="仿宋_GB2312"/>
          <w:color w:val="000000"/>
          <w:kern w:val="2"/>
          <w:sz w:val="32"/>
          <w:szCs w:val="24"/>
          <w:lang w:val="en-US" w:eastAsia="zh-CN"/>
        </w:rPr>
        <w:t>38.3</w:t>
      </w:r>
      <w:r>
        <w:rPr>
          <w:rFonts w:hint="eastAsia" w:ascii="仿宋_GB2312" w:hAnsi="仿宋_GB2312" w:eastAsia="仿宋_GB2312"/>
          <w:color w:val="000000"/>
          <w:kern w:val="2"/>
          <w:sz w:val="32"/>
          <w:szCs w:val="24"/>
        </w:rPr>
        <w:t>%。</w:t>
      </w:r>
    </w:p>
    <w:p w14:paraId="395A46B2">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4975860" cy="2219960"/>
            <wp:effectExtent l="0" t="0" r="2540" b="2540"/>
            <wp:docPr id="22" name="图片 1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图片4"/>
                    <pic:cNvPicPr>
                      <a:picLocks noChangeAspect="1"/>
                    </pic:cNvPicPr>
                  </pic:nvPicPr>
                  <pic:blipFill>
                    <a:blip r:embed="rId13"/>
                    <a:stretch>
                      <a:fillRect/>
                    </a:stretch>
                  </pic:blipFill>
                  <pic:spPr>
                    <a:xfrm>
                      <a:off x="0" y="0"/>
                      <a:ext cx="4975860" cy="2219960"/>
                    </a:xfrm>
                    <a:prstGeom prst="rect">
                      <a:avLst/>
                    </a:prstGeom>
                  </pic:spPr>
                </pic:pic>
              </a:graphicData>
            </a:graphic>
          </wp:inline>
        </w:drawing>
      </w:r>
    </w:p>
    <w:p w14:paraId="36AE506B">
      <w:pPr>
        <w:kinsoku/>
        <w:wordWrap/>
        <w:overflowPunct w:val="0"/>
        <w:topLinePunct/>
        <w:autoSpaceDE w:val="0"/>
        <w:autoSpaceDN w:val="0"/>
        <w:bidi w:val="0"/>
        <w:adjustRightInd w:val="0"/>
        <w:spacing w:beforeLines="0" w:afterLines="0" w:line="576" w:lineRule="exact"/>
        <w:jc w:val="center"/>
        <w:textAlignment w:val="auto"/>
        <w:rPr>
          <w:rFonts w:hint="eastAsia" w:ascii="仿宋_GB2312" w:hAnsi="仿宋_GB2312" w:eastAsia="仿宋_GB2312"/>
          <w:i/>
          <w:color w:val="000000"/>
          <w:kern w:val="2"/>
          <w:sz w:val="32"/>
          <w:szCs w:val="24"/>
        </w:rPr>
      </w:pPr>
      <w:r>
        <w:rPr>
          <w:rFonts w:hint="eastAsia" w:ascii="仿宋_GB2312" w:hAnsi="仿宋_GB2312" w:eastAsia="仿宋_GB2312"/>
          <w:color w:val="000000"/>
          <w:kern w:val="2"/>
          <w:sz w:val="32"/>
          <w:szCs w:val="24"/>
          <w:highlight w:val="none"/>
        </w:rPr>
        <w:t>（图6：一般公共预算财政拨款支出决算结构）</w:t>
      </w:r>
    </w:p>
    <w:p w14:paraId="7EB02D4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11" w:name="_Toc30843"/>
      <w:r>
        <w:rPr>
          <w:rFonts w:hint="eastAsia" w:ascii="仿宋_GB2312" w:hAnsi="仿宋_GB2312" w:eastAsia="仿宋_GB2312"/>
          <w:b/>
          <w:color w:val="000000"/>
          <w:kern w:val="2"/>
          <w:sz w:val="32"/>
          <w:szCs w:val="24"/>
        </w:rPr>
        <w:t>（三）一般公共预算财政拨款支出决算具体情况</w:t>
      </w:r>
      <w:bookmarkEnd w:id="11"/>
    </w:p>
    <w:p w14:paraId="6D671ED3">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i/>
          <w:color w:val="000000"/>
          <w:kern w:val="2"/>
          <w:sz w:val="32"/>
          <w:szCs w:val="24"/>
        </w:rPr>
      </w:pPr>
      <w:r>
        <w:rPr>
          <w:rFonts w:hint="eastAsia" w:ascii="仿宋_GB2312" w:hAnsi="仿宋_GB2312" w:eastAsia="仿宋_GB2312"/>
          <w:b/>
          <w:color w:val="000000"/>
          <w:kern w:val="2"/>
          <w:sz w:val="32"/>
          <w:szCs w:val="24"/>
        </w:rPr>
        <w:t>2023年度一般公共预算支出全年预算数为1303.16万元，支出决算数为1303.16万元，完成全年预算数的</w:t>
      </w:r>
      <w:r>
        <w:rPr>
          <w:rFonts w:hint="eastAsia" w:ascii="仿宋_GB2312" w:hAnsi="仿宋_GB2312" w:eastAsia="仿宋_GB2312"/>
          <w:b/>
          <w:color w:val="000000"/>
          <w:kern w:val="2"/>
          <w:sz w:val="32"/>
          <w:szCs w:val="24"/>
          <w:lang w:val="en-US" w:eastAsia="zh-CN"/>
        </w:rPr>
        <w:t>100</w:t>
      </w:r>
      <w:r>
        <w:rPr>
          <w:rFonts w:hint="eastAsia" w:ascii="仿宋_GB2312" w:hAnsi="仿宋_GB2312" w:eastAsia="仿宋_GB2312"/>
          <w:b/>
          <w:color w:val="000000"/>
          <w:kern w:val="2"/>
          <w:sz w:val="32"/>
          <w:szCs w:val="24"/>
        </w:rPr>
        <w:t>%。其中：</w:t>
      </w:r>
    </w:p>
    <w:p w14:paraId="4F82B07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1.一般公共服务支出（类）党委办公厅（室）及相关机构事务（款）行政运行（项）:</w:t>
      </w:r>
      <w:r>
        <w:rPr>
          <w:rFonts w:hint="eastAsia" w:ascii="仿宋_GB2312" w:hAnsi="仿宋_GB2312" w:eastAsia="仿宋_GB2312"/>
          <w:color w:val="000000"/>
          <w:kern w:val="2"/>
          <w:sz w:val="32"/>
          <w:szCs w:val="24"/>
        </w:rPr>
        <w:t>全年预算为560.75万元，支出决算为560.75万元，完成全年预算的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7751BC1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2.一般公共服务支出（类）党委办公厅（室）及相关机构事务（款）事业运行（项）:</w:t>
      </w:r>
      <w:r>
        <w:rPr>
          <w:rFonts w:hint="eastAsia" w:ascii="仿宋_GB2312" w:hAnsi="仿宋_GB2312" w:eastAsia="仿宋_GB2312"/>
          <w:color w:val="000000"/>
          <w:kern w:val="2"/>
          <w:sz w:val="32"/>
          <w:szCs w:val="24"/>
        </w:rPr>
        <w:t>全年预算为125.68万元，支出决算为125.68万元，完成全年预算的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74DF2BF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3.社会保障和就业支出（类）行政事业单位养老支出（款）机关事业单位基本养老保险缴费支出（项）:</w:t>
      </w:r>
      <w:r>
        <w:rPr>
          <w:rFonts w:hint="eastAsia" w:ascii="仿宋_GB2312" w:hAnsi="仿宋_GB2312" w:eastAsia="仿宋_GB2312"/>
          <w:color w:val="000000"/>
          <w:kern w:val="2"/>
          <w:sz w:val="32"/>
          <w:szCs w:val="24"/>
        </w:rPr>
        <w:t>全年预算为34.13万元，支出决算为34.13万元，完成全年预算的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2FF9C0A8">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4.社会保障和就业支出（类）抚恤（款）死亡抚恤（项）:</w:t>
      </w:r>
      <w:r>
        <w:rPr>
          <w:rFonts w:hint="eastAsia" w:ascii="仿宋_GB2312" w:hAnsi="仿宋_GB2312" w:eastAsia="仿宋_GB2312"/>
          <w:color w:val="000000"/>
          <w:kern w:val="2"/>
          <w:sz w:val="32"/>
          <w:szCs w:val="24"/>
        </w:rPr>
        <w:t>全年预算为21.76万元，支出决算为21.76万元，完成全年预算的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2F645BA6">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5.卫生健康支出（类）行政事业单位医疗（款）行政单位医疗（项）:</w:t>
      </w:r>
      <w:r>
        <w:rPr>
          <w:rFonts w:hint="eastAsia" w:ascii="仿宋_GB2312" w:hAnsi="仿宋_GB2312" w:eastAsia="仿宋_GB2312"/>
          <w:color w:val="000000"/>
          <w:kern w:val="2"/>
          <w:sz w:val="32"/>
          <w:szCs w:val="24"/>
        </w:rPr>
        <w:t>全年预算为12.41万元，支出决算为12.41万元，完成全年预算的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72DAC284">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6.农林水支出（类）巩固脱贫攻坚成果衔接乡村振兴（款）其他巩固脱贫攻坚成果衔接乡村振兴支出（项）:</w:t>
      </w:r>
      <w:r>
        <w:rPr>
          <w:rFonts w:hint="eastAsia" w:ascii="仿宋_GB2312" w:hAnsi="仿宋_GB2312" w:eastAsia="仿宋_GB2312"/>
          <w:color w:val="000000"/>
          <w:kern w:val="2"/>
          <w:sz w:val="32"/>
          <w:szCs w:val="24"/>
        </w:rPr>
        <w:t>全年预算为20万元，支出决算为20万元，完成全年预算的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7EEAF340">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lang w:val="en-US" w:eastAsia="zh-CN"/>
        </w:rPr>
        <w:t>7</w:t>
      </w:r>
      <w:r>
        <w:rPr>
          <w:rFonts w:hint="eastAsia" w:ascii="仿宋_GB2312" w:hAnsi="仿宋_GB2312" w:eastAsia="仿宋_GB2312"/>
          <w:b/>
          <w:color w:val="000000"/>
          <w:kern w:val="2"/>
          <w:sz w:val="32"/>
          <w:szCs w:val="24"/>
        </w:rPr>
        <w:t>.住房保障支出（类）住房改革支出（款）住房公积金（项）:</w:t>
      </w:r>
      <w:r>
        <w:rPr>
          <w:rFonts w:hint="eastAsia" w:ascii="仿宋_GB2312" w:hAnsi="仿宋_GB2312" w:eastAsia="仿宋_GB2312"/>
          <w:color w:val="000000"/>
          <w:kern w:val="2"/>
          <w:sz w:val="32"/>
          <w:szCs w:val="24"/>
        </w:rPr>
        <w:t>全年预算为28.43万元，支出决算为28.43万元，完成全年预算的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p>
    <w:p w14:paraId="7DA8D833">
      <w:pPr>
        <w:kinsoku/>
        <w:wordWrap/>
        <w:overflowPunct w:val="0"/>
        <w:topLinePunct/>
        <w:autoSpaceDE w:val="0"/>
        <w:autoSpaceDN w:val="0"/>
        <w:bidi w:val="0"/>
        <w:adjustRightInd w:val="0"/>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s="Times New Roman"/>
          <w:b/>
          <w:color w:val="000000"/>
          <w:kern w:val="2"/>
          <w:sz w:val="32"/>
          <w:szCs w:val="24"/>
          <w:lang w:val="en-US" w:eastAsia="zh-CN" w:bidi="ar-SA"/>
        </w:rPr>
        <w:t>8.其他支出（类）其他支出（款）其他支出（项）:</w:t>
      </w:r>
      <w:r>
        <w:rPr>
          <w:rFonts w:hint="eastAsia" w:ascii="仿宋_GB2312" w:hAnsi="仿宋_GB2312" w:eastAsia="仿宋_GB2312" w:cs="Times New Roman"/>
          <w:color w:val="000000"/>
          <w:kern w:val="2"/>
          <w:sz w:val="32"/>
          <w:szCs w:val="24"/>
          <w:lang w:val="en-US" w:eastAsia="zh-CN" w:bidi="ar-SA"/>
        </w:rPr>
        <w:t>全年预算为500万元，支出决算为500万元，完成全年预算的100%。</w:t>
      </w:r>
    </w:p>
    <w:p w14:paraId="5EF58C07">
      <w:pPr>
        <w:keepNext w:val="0"/>
        <w:keepLines w:val="0"/>
        <w:pageBreakBefore w:val="0"/>
        <w:widowControl w:val="0"/>
        <w:tabs>
          <w:tab w:val="right" w:pos="8306"/>
        </w:tabs>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default" w:ascii="Cambria" w:cs="Cambria"/>
          <w:b/>
          <w:kern w:val="2"/>
          <w:sz w:val="32"/>
          <w:szCs w:val="24"/>
        </w:rPr>
      </w:pPr>
      <w:bookmarkStart w:id="12" w:name="_Toc17305"/>
      <w:r>
        <w:rPr>
          <w:rFonts w:hint="eastAsia" w:ascii="黑体" w:hAnsi="黑体" w:eastAsia="黑体"/>
          <w:color w:val="000000"/>
          <w:kern w:val="2"/>
          <w:sz w:val="32"/>
          <w:szCs w:val="24"/>
        </w:rPr>
        <w:t>六</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般公共预算财政拨款基本支出决算情况说明</w:t>
      </w:r>
      <w:bookmarkEnd w:id="12"/>
      <w:r>
        <w:rPr>
          <w:rFonts w:hint="eastAsia" w:ascii="黑体" w:hAnsi="黑体" w:eastAsia="黑体"/>
          <w:kern w:val="2"/>
          <w:sz w:val="32"/>
          <w:szCs w:val="24"/>
        </w:rPr>
        <w:tab/>
      </w:r>
    </w:p>
    <w:p w14:paraId="09AE183A">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2023年度一般公共预算财政拨款基本支出783.16万元，其中：</w:t>
      </w:r>
    </w:p>
    <w:p w14:paraId="3AB11997">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人员经费</w:t>
      </w:r>
      <w:r>
        <w:rPr>
          <w:rFonts w:hint="eastAsia" w:ascii="仿宋_GB2312" w:hAnsi="仿宋_GB2312" w:eastAsia="仿宋_GB2312"/>
          <w:color w:val="000000"/>
          <w:kern w:val="2"/>
          <w:sz w:val="32"/>
          <w:szCs w:val="24"/>
        </w:rPr>
        <w:t>385.92万元，主要包括：基本工资105.82万元、津贴补贴39.75万元、奖金91.53万元、绩效工资36.33万元、机关事业单位基本养老保险缴费34.13万元、职工基本医疗保险缴费12.4</w:t>
      </w:r>
      <w:r>
        <w:rPr>
          <w:rFonts w:hint="eastAsia" w:ascii="仿宋_GB2312" w:hAnsi="仿宋_GB2312" w:eastAsia="仿宋_GB2312"/>
          <w:color w:val="000000"/>
          <w:kern w:val="2"/>
          <w:sz w:val="32"/>
          <w:szCs w:val="24"/>
          <w:lang w:val="en-US" w:eastAsia="zh-CN"/>
        </w:rPr>
        <w:t>2</w:t>
      </w:r>
      <w:r>
        <w:rPr>
          <w:rFonts w:hint="eastAsia" w:ascii="仿宋_GB2312" w:hAnsi="仿宋_GB2312" w:eastAsia="仿宋_GB2312"/>
          <w:color w:val="000000"/>
          <w:kern w:val="2"/>
          <w:sz w:val="32"/>
          <w:szCs w:val="24"/>
        </w:rPr>
        <w:t>万元、住房公积金28.43万元、其他工资福利支出8.65万元、抚恤金21.76万元、生活补助7.05万元、奖励金0.05万元。</w:t>
      </w:r>
    </w:p>
    <w:p w14:paraId="18C4617A">
      <w:pPr>
        <w:kinsoku/>
        <w:wordWrap/>
        <w:overflowPunct w:val="0"/>
        <w:topLinePunct/>
        <w:autoSpaceDE w:val="0"/>
        <w:autoSpaceDN w:val="0"/>
        <w:bidi w:val="0"/>
        <w:adjustRightInd w:val="0"/>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公用经费</w:t>
      </w:r>
      <w:r>
        <w:rPr>
          <w:rFonts w:hint="eastAsia" w:ascii="仿宋_GB2312" w:hAnsi="仿宋_GB2312" w:eastAsia="仿宋_GB2312"/>
          <w:color w:val="000000"/>
          <w:kern w:val="2"/>
          <w:sz w:val="32"/>
          <w:szCs w:val="24"/>
        </w:rPr>
        <w:t>397.24万元，主要包括：办公费76万元、印刷费86万元、邮电费15万元、差旅费79万元、维修（护）费</w:t>
      </w:r>
      <w:r>
        <w:rPr>
          <w:rFonts w:hint="eastAsia" w:ascii="仿宋_GB2312" w:hAnsi="仿宋_GB2312" w:eastAsia="仿宋_GB2312"/>
          <w:color w:val="000000"/>
          <w:kern w:val="2"/>
          <w:sz w:val="32"/>
          <w:szCs w:val="24"/>
          <w:lang w:val="en-US" w:eastAsia="zh-CN"/>
        </w:rPr>
        <w:t>6</w:t>
      </w:r>
      <w:r>
        <w:rPr>
          <w:rFonts w:hint="eastAsia" w:ascii="仿宋_GB2312" w:hAnsi="仿宋_GB2312" w:eastAsia="仿宋_GB2312"/>
          <w:color w:val="000000"/>
          <w:kern w:val="2"/>
          <w:sz w:val="32"/>
          <w:szCs w:val="24"/>
        </w:rPr>
        <w:t>万元、租赁费</w:t>
      </w:r>
      <w:r>
        <w:rPr>
          <w:rFonts w:hint="eastAsia" w:ascii="仿宋_GB2312" w:hAnsi="仿宋_GB2312" w:eastAsia="仿宋_GB2312"/>
          <w:color w:val="000000"/>
          <w:kern w:val="2"/>
          <w:sz w:val="32"/>
          <w:szCs w:val="24"/>
          <w:lang w:val="en-US" w:eastAsia="zh-CN"/>
        </w:rPr>
        <w:t>5</w:t>
      </w:r>
      <w:r>
        <w:rPr>
          <w:rFonts w:hint="eastAsia" w:ascii="仿宋_GB2312" w:hAnsi="仿宋_GB2312" w:eastAsia="仿宋_GB2312"/>
          <w:color w:val="000000"/>
          <w:kern w:val="2"/>
          <w:sz w:val="32"/>
          <w:szCs w:val="24"/>
        </w:rPr>
        <w:t>万元、会议费</w:t>
      </w:r>
      <w:r>
        <w:rPr>
          <w:rFonts w:hint="eastAsia" w:ascii="仿宋_GB2312" w:hAnsi="仿宋_GB2312" w:eastAsia="仿宋_GB2312"/>
          <w:color w:val="000000"/>
          <w:kern w:val="2"/>
          <w:sz w:val="32"/>
          <w:szCs w:val="24"/>
          <w:lang w:val="en-US" w:eastAsia="zh-CN"/>
        </w:rPr>
        <w:t>48</w:t>
      </w:r>
      <w:r>
        <w:rPr>
          <w:rFonts w:hint="eastAsia" w:ascii="仿宋_GB2312" w:hAnsi="仿宋_GB2312" w:eastAsia="仿宋_GB2312"/>
          <w:color w:val="000000"/>
          <w:kern w:val="2"/>
          <w:sz w:val="32"/>
          <w:szCs w:val="24"/>
        </w:rPr>
        <w:t>万元、培训费</w:t>
      </w:r>
      <w:r>
        <w:rPr>
          <w:rFonts w:hint="eastAsia" w:ascii="仿宋_GB2312" w:hAnsi="仿宋_GB2312" w:eastAsia="仿宋_GB2312"/>
          <w:color w:val="000000"/>
          <w:kern w:val="2"/>
          <w:sz w:val="32"/>
          <w:szCs w:val="24"/>
          <w:lang w:val="en-US" w:eastAsia="zh-CN"/>
        </w:rPr>
        <w:t>27.6</w:t>
      </w:r>
      <w:r>
        <w:rPr>
          <w:rFonts w:hint="eastAsia" w:ascii="仿宋_GB2312" w:hAnsi="仿宋_GB2312" w:eastAsia="仿宋_GB2312"/>
          <w:color w:val="000000"/>
          <w:kern w:val="2"/>
          <w:sz w:val="32"/>
          <w:szCs w:val="24"/>
        </w:rPr>
        <w:t>万元、公务接待费12.4万元、劳务费8.5万元、工会经费1.71万元、公务用车运行维护费9.79万元、其他交通费9.24万元、其他商品和服务支出</w:t>
      </w:r>
      <w:r>
        <w:rPr>
          <w:rFonts w:hint="eastAsia" w:ascii="仿宋_GB2312" w:hAnsi="仿宋_GB2312" w:eastAsia="仿宋_GB2312"/>
          <w:color w:val="000000"/>
          <w:kern w:val="2"/>
          <w:sz w:val="32"/>
          <w:szCs w:val="24"/>
          <w:lang w:val="en-US" w:eastAsia="zh-CN"/>
        </w:rPr>
        <w:t>13</w:t>
      </w:r>
      <w:r>
        <w:rPr>
          <w:rFonts w:hint="eastAsia" w:ascii="仿宋_GB2312" w:hAnsi="仿宋_GB2312" w:eastAsia="仿宋_GB2312"/>
          <w:color w:val="000000"/>
          <w:kern w:val="2"/>
          <w:sz w:val="32"/>
          <w:szCs w:val="24"/>
        </w:rPr>
        <w:t>万元。</w:t>
      </w:r>
    </w:p>
    <w:p w14:paraId="229ECA0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13" w:name="_Toc3161"/>
      <w:r>
        <w:rPr>
          <w:rFonts w:hint="eastAsia" w:ascii="黑体" w:hAnsi="黑体" w:eastAsia="黑体"/>
          <w:color w:val="000000"/>
          <w:kern w:val="2"/>
          <w:sz w:val="32"/>
          <w:szCs w:val="24"/>
        </w:rPr>
        <w:t>七、财政拨款</w:t>
      </w:r>
      <w:r>
        <w:rPr>
          <w:rFonts w:hint="eastAsia" w:ascii="黑体" w:hAnsi="黑体" w:eastAsia="黑体"/>
          <w:b/>
          <w:kern w:val="2"/>
          <w:sz w:val="32"/>
          <w:szCs w:val="24"/>
        </w:rPr>
        <w:t>“</w:t>
      </w:r>
      <w:r>
        <w:rPr>
          <w:rFonts w:hint="eastAsia" w:ascii="黑体" w:hAnsi="黑体" w:eastAsia="黑体"/>
          <w:kern w:val="2"/>
          <w:sz w:val="32"/>
          <w:szCs w:val="24"/>
        </w:rPr>
        <w:t>三公”经费支出决算情况说明</w:t>
      </w:r>
      <w:bookmarkEnd w:id="13"/>
    </w:p>
    <w:p w14:paraId="5D1562A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14" w:name="_Toc8444"/>
      <w:r>
        <w:rPr>
          <w:rFonts w:hint="eastAsia" w:ascii="仿宋_GB2312" w:hAnsi="仿宋_GB2312" w:eastAsia="仿宋_GB2312"/>
          <w:b/>
          <w:color w:val="000000"/>
          <w:kern w:val="2"/>
          <w:sz w:val="32"/>
          <w:szCs w:val="24"/>
        </w:rPr>
        <w:t>（一）“三公”经费财政拨款支出决算总体情况说明</w:t>
      </w:r>
      <w:bookmarkEnd w:id="14"/>
    </w:p>
    <w:p w14:paraId="6E1D5475">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2023年度“三公”经费财政拨款支出预算为22.19万元，支出决算为22.19万元，完成预算的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w:t>
      </w:r>
      <w:r>
        <w:rPr>
          <w:rFonts w:hint="eastAsia" w:ascii="仿宋_GB2312" w:hAnsi="仿宋_GB2312" w:eastAsia="仿宋_GB2312"/>
          <w:color w:val="000000"/>
          <w:kern w:val="2"/>
          <w:sz w:val="32"/>
          <w:szCs w:val="24"/>
          <w:lang w:val="en-US" w:eastAsia="zh-CN"/>
        </w:rPr>
        <w:t>决算数</w:t>
      </w:r>
      <w:r>
        <w:rPr>
          <w:rFonts w:hint="eastAsia" w:ascii="仿宋_GB2312" w:hAnsi="仿宋_GB2312" w:eastAsia="仿宋_GB2312"/>
          <w:color w:val="000000"/>
          <w:kern w:val="2"/>
          <w:sz w:val="32"/>
          <w:szCs w:val="24"/>
          <w:highlight w:val="none"/>
        </w:rPr>
        <w:t>与预算数持平</w:t>
      </w:r>
      <w:r>
        <w:rPr>
          <w:rFonts w:hint="eastAsia" w:ascii="仿宋_GB2312" w:hAnsi="仿宋_GB2312" w:eastAsia="仿宋_GB2312"/>
          <w:color w:val="000000"/>
          <w:kern w:val="2"/>
          <w:sz w:val="32"/>
          <w:szCs w:val="24"/>
        </w:rPr>
        <w:t>的主要原因是严格按照预算控制支出。决算数较上年持平的主要原因是严格按照预算控制支出。</w:t>
      </w:r>
    </w:p>
    <w:p w14:paraId="0E0293F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15" w:name="_Toc3802"/>
      <w:r>
        <w:rPr>
          <w:rFonts w:hint="eastAsia" w:ascii="仿宋_GB2312" w:hAnsi="仿宋_GB2312" w:eastAsia="仿宋_GB2312"/>
          <w:b/>
          <w:color w:val="000000"/>
          <w:kern w:val="2"/>
          <w:sz w:val="32"/>
          <w:szCs w:val="24"/>
        </w:rPr>
        <w:t>（二）“三公”经费财政拨款支出决算具体情况说明</w:t>
      </w:r>
      <w:bookmarkEnd w:id="15"/>
    </w:p>
    <w:p w14:paraId="66A4F04C">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2023年度“三公”经费财政拨款支出决算中，因公出国（境）费支出决算</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rPr>
        <w:t>万元，占</w:t>
      </w:r>
      <w:r>
        <w:rPr>
          <w:rFonts w:hint="eastAsia" w:ascii="仿宋_GB2312" w:hAnsi="仿宋_GB2312" w:eastAsia="仿宋_GB2312"/>
          <w:color w:val="000000"/>
          <w:kern w:val="2"/>
          <w:sz w:val="32"/>
          <w:szCs w:val="24"/>
          <w:lang w:val="en-US" w:eastAsia="zh-CN"/>
        </w:rPr>
        <w:t>0</w:t>
      </w:r>
      <w:r>
        <w:rPr>
          <w:rFonts w:hint="eastAsia" w:ascii="仿宋_GB2312" w:hAnsi="仿宋_GB2312" w:eastAsia="仿宋_GB2312"/>
          <w:color w:val="000000"/>
          <w:kern w:val="2"/>
          <w:sz w:val="32"/>
          <w:szCs w:val="24"/>
        </w:rPr>
        <w:t>%；公务用车购置及运行维护费支出决算</w:t>
      </w:r>
      <w:r>
        <w:rPr>
          <w:rFonts w:hint="eastAsia" w:ascii="仿宋_GB2312" w:hAnsi="仿宋_GB2312" w:eastAsia="仿宋_GB2312"/>
          <w:color w:val="000000"/>
          <w:kern w:val="2"/>
          <w:sz w:val="32"/>
          <w:szCs w:val="24"/>
          <w:lang w:val="en-US" w:eastAsia="zh-CN"/>
        </w:rPr>
        <w:t>9.79</w:t>
      </w:r>
      <w:r>
        <w:rPr>
          <w:rFonts w:hint="eastAsia" w:ascii="仿宋_GB2312" w:hAnsi="仿宋_GB2312" w:eastAsia="仿宋_GB2312"/>
          <w:color w:val="000000"/>
          <w:kern w:val="2"/>
          <w:sz w:val="32"/>
          <w:szCs w:val="24"/>
        </w:rPr>
        <w:t>万元，占</w:t>
      </w:r>
      <w:r>
        <w:rPr>
          <w:rFonts w:hint="eastAsia" w:ascii="仿宋_GB2312" w:hAnsi="仿宋_GB2312" w:eastAsia="仿宋_GB2312"/>
          <w:color w:val="000000"/>
          <w:kern w:val="2"/>
          <w:sz w:val="32"/>
          <w:szCs w:val="24"/>
          <w:lang w:val="en-US" w:eastAsia="zh-CN"/>
        </w:rPr>
        <w:t>44.1</w:t>
      </w:r>
      <w:r>
        <w:rPr>
          <w:rFonts w:hint="eastAsia" w:ascii="仿宋_GB2312" w:hAnsi="仿宋_GB2312" w:eastAsia="仿宋_GB2312"/>
          <w:color w:val="000000"/>
          <w:kern w:val="2"/>
          <w:sz w:val="32"/>
          <w:szCs w:val="24"/>
        </w:rPr>
        <w:t>%；公务接待费支出决算12.4万元，占55.</w:t>
      </w:r>
      <w:r>
        <w:rPr>
          <w:rFonts w:hint="eastAsia" w:ascii="仿宋_GB2312" w:hAnsi="仿宋_GB2312" w:eastAsia="仿宋_GB2312"/>
          <w:color w:val="000000"/>
          <w:kern w:val="2"/>
          <w:sz w:val="32"/>
          <w:szCs w:val="24"/>
          <w:lang w:val="en-US" w:eastAsia="zh-CN"/>
        </w:rPr>
        <w:t>9</w:t>
      </w:r>
      <w:r>
        <w:rPr>
          <w:rFonts w:hint="eastAsia" w:ascii="仿宋_GB2312" w:hAnsi="仿宋_GB2312" w:eastAsia="仿宋_GB2312"/>
          <w:color w:val="000000"/>
          <w:kern w:val="2"/>
          <w:sz w:val="32"/>
          <w:szCs w:val="24"/>
        </w:rPr>
        <w:t>%。具体情况如下：</w:t>
      </w:r>
    </w:p>
    <w:p w14:paraId="6F8C4366">
      <w:pPr>
        <w:pStyle w:val="2"/>
        <w:keepNext w:val="0"/>
        <w:keepLines w:val="0"/>
        <w:pageBreakBefore w:val="0"/>
        <w:widowControl w:val="0"/>
        <w:kinsoku/>
        <w:wordWrap/>
        <w:autoSpaceDE w:val="0"/>
        <w:autoSpaceDN w:val="0"/>
        <w:bidi w:val="0"/>
        <w:adjustRightInd w:val="0"/>
        <w:snapToGrid/>
        <w:spacing w:line="240" w:lineRule="auto"/>
        <w:jc w:val="center"/>
        <w:textAlignment w:val="auto"/>
        <w:rPr>
          <w:rFonts w:hint="eastAsia" w:eastAsia="仿宋_GB2312"/>
          <w:lang w:eastAsia="zh-CN"/>
        </w:rPr>
      </w:pPr>
      <w:r>
        <w:rPr>
          <w:rFonts w:hint="eastAsia" w:eastAsia="仿宋_GB2312"/>
          <w:lang w:eastAsia="zh-CN"/>
        </w:rPr>
        <w:drawing>
          <wp:inline distT="0" distB="0" distL="114300" distR="114300">
            <wp:extent cx="4292600" cy="2482850"/>
            <wp:effectExtent l="0" t="0" r="0" b="6350"/>
            <wp:docPr id="23" name="图片 1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图片5"/>
                    <pic:cNvPicPr>
                      <a:picLocks noChangeAspect="1"/>
                    </pic:cNvPicPr>
                  </pic:nvPicPr>
                  <pic:blipFill>
                    <a:blip r:embed="rId14"/>
                    <a:stretch>
                      <a:fillRect/>
                    </a:stretch>
                  </pic:blipFill>
                  <pic:spPr>
                    <a:xfrm>
                      <a:off x="0" y="0"/>
                      <a:ext cx="4292600" cy="2482850"/>
                    </a:xfrm>
                    <a:prstGeom prst="rect">
                      <a:avLst/>
                    </a:prstGeom>
                  </pic:spPr>
                </pic:pic>
              </a:graphicData>
            </a:graphic>
          </wp:inline>
        </w:drawing>
      </w:r>
    </w:p>
    <w:p w14:paraId="1E9A793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jc w:val="center"/>
        <w:textAlignment w:val="auto"/>
        <w:rPr>
          <w:rFonts w:hint="eastAsia" w:ascii="仿宋_GB2312" w:hAnsi="仿宋_GB2312" w:eastAsia="仿宋_GB2312"/>
          <w:i/>
          <w:color w:val="000000"/>
          <w:kern w:val="2"/>
          <w:sz w:val="32"/>
          <w:szCs w:val="24"/>
        </w:rPr>
      </w:pPr>
      <w:r>
        <w:rPr>
          <w:rFonts w:hint="eastAsia" w:ascii="仿宋_GB2312" w:hAnsi="仿宋_GB2312" w:eastAsia="仿宋_GB2312"/>
          <w:color w:val="000000"/>
          <w:kern w:val="2"/>
          <w:sz w:val="32"/>
          <w:szCs w:val="24"/>
          <w:highlight w:val="none"/>
        </w:rPr>
        <w:t>（图7：“三公”经费财政拨款支出结构）</w:t>
      </w:r>
    </w:p>
    <w:p w14:paraId="67B8E4B3">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1.因公出国（境）经费</w:t>
      </w:r>
      <w:r>
        <w:rPr>
          <w:rFonts w:hint="eastAsia" w:ascii="仿宋_GB2312" w:hAnsi="仿宋_GB2312" w:eastAsia="仿宋_GB2312"/>
          <w:color w:val="000000"/>
          <w:kern w:val="2"/>
          <w:sz w:val="32"/>
          <w:szCs w:val="24"/>
        </w:rPr>
        <w:t>预算为0万元，年初未安排预算。因公出国（境）支出决算较2022年度无变化。</w:t>
      </w:r>
    </w:p>
    <w:p w14:paraId="5EAB6861">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2.公务用车购置及运行维护费</w:t>
      </w:r>
      <w:r>
        <w:rPr>
          <w:rFonts w:hint="eastAsia" w:ascii="仿宋_GB2312" w:hAnsi="仿宋_GB2312" w:eastAsia="仿宋_GB2312"/>
          <w:color w:val="000000"/>
          <w:kern w:val="2"/>
          <w:sz w:val="32"/>
          <w:szCs w:val="24"/>
        </w:rPr>
        <w:t>预算为9.79万元,支出决算为9.79万元，完成预算的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%。公务用车购置及运行维护费支出决算比2022年度</w:t>
      </w:r>
      <w:r>
        <w:rPr>
          <w:rFonts w:hint="eastAsia" w:ascii="仿宋_GB2312" w:hAnsi="仿宋_GB2312" w:eastAsia="仿宋_GB2312"/>
          <w:color w:val="000000"/>
          <w:kern w:val="2"/>
          <w:sz w:val="32"/>
          <w:szCs w:val="24"/>
          <w:lang w:val="en-US" w:eastAsia="zh-CN"/>
        </w:rPr>
        <w:t>无变化</w:t>
      </w:r>
      <w:r>
        <w:rPr>
          <w:rFonts w:hint="eastAsia" w:ascii="仿宋_GB2312" w:hAnsi="仿宋_GB2312" w:eastAsia="仿宋_GB2312"/>
          <w:color w:val="000000"/>
          <w:kern w:val="2"/>
          <w:sz w:val="32"/>
          <w:szCs w:val="24"/>
        </w:rPr>
        <w:t>。</w:t>
      </w:r>
    </w:p>
    <w:p w14:paraId="5D10BE37">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其中：</w:t>
      </w:r>
      <w:r>
        <w:rPr>
          <w:rFonts w:hint="eastAsia" w:ascii="仿宋_GB2312" w:hAnsi="仿宋_GB2312" w:eastAsia="仿宋_GB2312"/>
          <w:b/>
          <w:color w:val="000000"/>
          <w:kern w:val="2"/>
          <w:sz w:val="32"/>
          <w:szCs w:val="24"/>
        </w:rPr>
        <w:t>公务用车购置费</w:t>
      </w:r>
      <w:r>
        <w:rPr>
          <w:rFonts w:hint="eastAsia" w:ascii="仿宋_GB2312" w:hAnsi="仿宋_GB2312" w:eastAsia="仿宋_GB2312"/>
          <w:color w:val="000000"/>
          <w:kern w:val="2"/>
          <w:sz w:val="32"/>
          <w:szCs w:val="24"/>
        </w:rPr>
        <w:t>支出0万元。全年按规定更新购置公务用车0辆，其中：轿车0辆、金额0万元，越野车0辆、金额0万元，小型客车0辆、金额0万元，中型客车和大型客车0辆、金额0万元，其他车型0辆、金额0万元。截至2023年12月31日，本部门共有公务用车1辆，其中：轿车0辆、越野车1辆、小型客车0辆、中型客车和大型客车0辆、其他车型0辆。</w:t>
      </w:r>
    </w:p>
    <w:p w14:paraId="03FE8CA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公务用车运行维护费</w:t>
      </w:r>
      <w:r>
        <w:rPr>
          <w:rFonts w:hint="eastAsia" w:ascii="仿宋_GB2312" w:hAnsi="仿宋_GB2312" w:eastAsia="仿宋_GB2312"/>
          <w:color w:val="000000"/>
          <w:kern w:val="2"/>
          <w:sz w:val="32"/>
          <w:szCs w:val="24"/>
        </w:rPr>
        <w:t>支出9.79万元。主要用于机要特种车所需的燃料费、维修费、过路过桥费、保险费等支出。</w:t>
      </w:r>
    </w:p>
    <w:p w14:paraId="17BA1D9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3.公务接待费</w:t>
      </w:r>
      <w:r>
        <w:rPr>
          <w:rFonts w:hint="eastAsia" w:ascii="仿宋_GB2312" w:hAnsi="仿宋_GB2312" w:eastAsia="仿宋_GB2312"/>
          <w:color w:val="000000"/>
          <w:kern w:val="2"/>
          <w:sz w:val="32"/>
          <w:szCs w:val="24"/>
        </w:rPr>
        <w:t>预算为12.4万元，支出决算为12.4万元，完成预算的</w:t>
      </w:r>
      <w:r>
        <w:rPr>
          <w:rFonts w:hint="eastAsia" w:ascii="仿宋_GB2312" w:hAnsi="仿宋_GB2312" w:eastAsia="仿宋_GB2312"/>
          <w:color w:val="000000"/>
          <w:kern w:val="2"/>
          <w:sz w:val="32"/>
          <w:szCs w:val="24"/>
          <w:lang w:val="en-US" w:eastAsia="zh-CN"/>
        </w:rPr>
        <w:t>100</w:t>
      </w:r>
      <w:r>
        <w:rPr>
          <w:rFonts w:hint="eastAsia" w:ascii="仿宋_GB2312" w:hAnsi="仿宋_GB2312" w:eastAsia="仿宋_GB2312"/>
          <w:color w:val="000000"/>
          <w:kern w:val="2"/>
          <w:sz w:val="32"/>
          <w:szCs w:val="24"/>
        </w:rPr>
        <w:t>%。公务接待费支出决算比2022年度无变化。其中：</w:t>
      </w:r>
    </w:p>
    <w:p w14:paraId="574C943E">
      <w:pPr>
        <w:pStyle w:val="2"/>
        <w:kinsoku/>
        <w:wordWrap/>
        <w:overflowPunct w:val="0"/>
        <w:topLinePunct/>
        <w:autoSpaceDE w:val="0"/>
        <w:autoSpaceDN w:val="0"/>
        <w:bidi w:val="0"/>
        <w:adjustRightInd w:val="0"/>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国内公务接待</w:t>
      </w:r>
      <w:r>
        <w:rPr>
          <w:rFonts w:hint="eastAsia" w:ascii="仿宋_GB2312" w:hAnsi="仿宋_GB2312" w:eastAsia="仿宋_GB2312"/>
          <w:color w:val="000000"/>
          <w:kern w:val="2"/>
          <w:sz w:val="32"/>
          <w:szCs w:val="24"/>
        </w:rPr>
        <w:t>支出12.4万元。主要用于中央、省、市领导调研，开展业务活动，上级对口部门考察调研开支的交通费、住宿费、用餐费。国内公务接待</w:t>
      </w:r>
      <w:r>
        <w:rPr>
          <w:rFonts w:hint="eastAsia" w:ascii="仿宋_GB2312" w:hAnsi="仿宋_GB2312" w:eastAsia="仿宋_GB2312"/>
          <w:color w:val="000000"/>
          <w:kern w:val="2"/>
          <w:sz w:val="32"/>
          <w:szCs w:val="24"/>
          <w:lang w:val="en-US" w:eastAsia="zh-CN"/>
        </w:rPr>
        <w:t>125</w:t>
      </w:r>
      <w:r>
        <w:rPr>
          <w:rFonts w:hint="eastAsia" w:ascii="仿宋_GB2312" w:hAnsi="仿宋_GB2312" w:eastAsia="仿宋_GB2312"/>
          <w:color w:val="000000"/>
          <w:kern w:val="2"/>
          <w:sz w:val="32"/>
          <w:szCs w:val="24"/>
        </w:rPr>
        <w:t>批次，936人次，共计支出12.4万元，具体内容包括：</w:t>
      </w:r>
      <w:r>
        <w:rPr>
          <w:rFonts w:hint="eastAsia" w:ascii="仿宋_GB2312" w:hAnsi="仿宋_GB2312" w:eastAsia="仿宋_GB2312"/>
          <w:color w:val="000000"/>
          <w:kern w:val="2"/>
          <w:sz w:val="32"/>
          <w:szCs w:val="24"/>
          <w:lang w:val="en-US" w:eastAsia="zh-CN"/>
        </w:rPr>
        <w:t>省、市领导调研机要保密、改革政研和信息等工作，共计支出</w:t>
      </w:r>
      <w:r>
        <w:rPr>
          <w:rFonts w:hint="eastAsia" w:ascii="仿宋_GB2312" w:hAnsi="仿宋_GB2312" w:eastAsia="仿宋_GB2312"/>
          <w:color w:val="000000"/>
          <w:kern w:val="2"/>
          <w:sz w:val="32"/>
          <w:szCs w:val="24"/>
        </w:rPr>
        <w:t>12.4万元。</w:t>
      </w:r>
    </w:p>
    <w:p w14:paraId="2D42BAB7">
      <w:pPr>
        <w:pStyle w:val="2"/>
        <w:kinsoku/>
        <w:wordWrap/>
        <w:overflowPunct w:val="0"/>
        <w:topLinePunct/>
        <w:autoSpaceDE w:val="0"/>
        <w:autoSpaceDN w:val="0"/>
        <w:bidi w:val="0"/>
        <w:adjustRightInd w:val="0"/>
        <w:spacing w:beforeLines="0" w:afterLines="0" w:line="576" w:lineRule="exact"/>
        <w:ind w:firstLine="643"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外事接待</w:t>
      </w:r>
      <w:r>
        <w:rPr>
          <w:rFonts w:hint="eastAsia" w:ascii="仿宋_GB2312" w:hAnsi="仿宋_GB2312" w:eastAsia="仿宋_GB2312"/>
          <w:color w:val="000000"/>
          <w:kern w:val="2"/>
          <w:sz w:val="32"/>
          <w:szCs w:val="24"/>
        </w:rPr>
        <w:t>支出0万元，外事接待0批次，0人，共计支出0万元。</w:t>
      </w:r>
    </w:p>
    <w:p w14:paraId="075AEC97">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b/>
          <w:kern w:val="2"/>
          <w:sz w:val="32"/>
          <w:szCs w:val="24"/>
        </w:rPr>
      </w:pPr>
      <w:bookmarkStart w:id="16" w:name="_Toc6301"/>
      <w:r>
        <w:rPr>
          <w:rFonts w:hint="eastAsia" w:ascii="黑体" w:hAnsi="黑体" w:eastAsia="黑体"/>
          <w:color w:val="000000"/>
          <w:kern w:val="2"/>
          <w:sz w:val="32"/>
          <w:szCs w:val="24"/>
        </w:rPr>
        <w:t>八、</w:t>
      </w:r>
      <w:r>
        <w:rPr>
          <w:rFonts w:hint="eastAsia" w:ascii="黑体" w:hAnsi="黑体" w:eastAsia="黑体"/>
          <w:kern w:val="2"/>
          <w:sz w:val="32"/>
          <w:szCs w:val="24"/>
        </w:rPr>
        <w:t>政府性基金预算支出决算情况说明</w:t>
      </w:r>
      <w:bookmarkEnd w:id="16"/>
    </w:p>
    <w:p w14:paraId="007A3AD9">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2023年度政府性基金预算拨款支出0万元。</w:t>
      </w:r>
    </w:p>
    <w:p w14:paraId="7645A62A">
      <w:pPr>
        <w:rPr>
          <w:rFonts w:hint="eastAsia" w:ascii="黑体" w:hAnsi="黑体" w:eastAsia="黑体"/>
          <w:kern w:val="2"/>
          <w:sz w:val="32"/>
          <w:szCs w:val="24"/>
        </w:rPr>
      </w:pPr>
      <w:r>
        <w:br w:type="page"/>
      </w:r>
    </w:p>
    <w:p w14:paraId="1C46D6A1">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kern w:val="2"/>
          <w:sz w:val="32"/>
          <w:szCs w:val="24"/>
        </w:rPr>
      </w:pPr>
      <w:bookmarkStart w:id="17" w:name="_Toc15658"/>
      <w:r>
        <w:rPr>
          <w:rFonts w:hint="eastAsia" w:ascii="黑体" w:hAnsi="黑体" w:eastAsia="黑体"/>
          <w:kern w:val="2"/>
          <w:sz w:val="32"/>
          <w:szCs w:val="24"/>
        </w:rPr>
        <w:t>九、国有资本经营预算支出决算情况说明</w:t>
      </w:r>
      <w:bookmarkEnd w:id="17"/>
    </w:p>
    <w:p w14:paraId="7D144E7D">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2023年度国有资本经营预算拨款支出0万元。</w:t>
      </w:r>
    </w:p>
    <w:p w14:paraId="7134043C">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outlineLvl w:val="1"/>
        <w:rPr>
          <w:rFonts w:hint="eastAsia" w:ascii="黑体" w:hAnsi="黑体" w:eastAsia="黑体"/>
          <w:b/>
          <w:kern w:val="2"/>
          <w:sz w:val="32"/>
          <w:szCs w:val="24"/>
        </w:rPr>
      </w:pPr>
      <w:bookmarkStart w:id="18" w:name="_Toc5685"/>
      <w:r>
        <w:rPr>
          <w:rFonts w:hint="eastAsia" w:ascii="黑体" w:hAnsi="黑体" w:eastAsia="黑体"/>
          <w:color w:val="000000"/>
          <w:kern w:val="2"/>
          <w:sz w:val="32"/>
          <w:szCs w:val="24"/>
        </w:rPr>
        <w:t>十</w:t>
      </w:r>
      <w:r>
        <w:rPr>
          <w:rFonts w:hint="eastAsia" w:ascii="黑体" w:hAnsi="黑体" w:eastAsia="黑体"/>
          <w:b/>
          <w:kern w:val="2"/>
          <w:sz w:val="32"/>
          <w:szCs w:val="24"/>
        </w:rPr>
        <w:t>、</w:t>
      </w:r>
      <w:r>
        <w:rPr>
          <w:rFonts w:hint="eastAsia" w:ascii="黑体" w:hAnsi="黑体" w:eastAsia="黑体"/>
          <w:kern w:val="2"/>
          <w:sz w:val="32"/>
          <w:szCs w:val="24"/>
        </w:rPr>
        <w:t>其他重要事项的情况说明</w:t>
      </w:r>
      <w:bookmarkEnd w:id="18"/>
    </w:p>
    <w:p w14:paraId="2EFF64F4">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color w:val="000000"/>
          <w:kern w:val="2"/>
          <w:sz w:val="32"/>
          <w:szCs w:val="24"/>
        </w:rPr>
      </w:pPr>
      <w:bookmarkStart w:id="19" w:name="_Toc21107"/>
      <w:r>
        <w:rPr>
          <w:rFonts w:hint="eastAsia" w:ascii="仿宋_GB2312" w:hAnsi="仿宋_GB2312" w:eastAsia="仿宋_GB2312"/>
          <w:b/>
          <w:color w:val="000000"/>
          <w:kern w:val="2"/>
          <w:sz w:val="32"/>
          <w:szCs w:val="24"/>
        </w:rPr>
        <w:t>（一）机关运行经费支出情况</w:t>
      </w:r>
      <w:bookmarkEnd w:id="19"/>
    </w:p>
    <w:p w14:paraId="369A2691">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i/>
          <w:color w:val="000000"/>
          <w:kern w:val="2"/>
          <w:sz w:val="32"/>
          <w:szCs w:val="24"/>
        </w:rPr>
      </w:pPr>
      <w:r>
        <w:rPr>
          <w:rFonts w:hint="eastAsia" w:ascii="仿宋_GB2312" w:eastAsia="仿宋_GB2312"/>
          <w:color w:val="auto"/>
          <w:sz w:val="32"/>
          <w:szCs w:val="32"/>
        </w:rPr>
        <w:t>2023年度，中共广元市昭化区委办公室机关运行经费支出397.24万元，比2022年度增加26.69万元，增长7.2%。</w:t>
      </w:r>
      <w:r>
        <w:rPr>
          <w:rFonts w:hint="eastAsia" w:ascii="仿宋_GB2312" w:hAnsi="仿宋_GB2312" w:eastAsia="仿宋_GB2312"/>
          <w:color w:val="000000"/>
          <w:kern w:val="2"/>
          <w:sz w:val="32"/>
          <w:szCs w:val="24"/>
        </w:rPr>
        <w:t>主要原因是公用经费增加，总经费增加。</w:t>
      </w:r>
    </w:p>
    <w:p w14:paraId="32893C6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20" w:name="_Toc13641"/>
      <w:r>
        <w:rPr>
          <w:rFonts w:hint="eastAsia" w:ascii="仿宋_GB2312" w:hAnsi="仿宋_GB2312" w:eastAsia="仿宋_GB2312"/>
          <w:b/>
          <w:color w:val="000000"/>
          <w:kern w:val="2"/>
          <w:sz w:val="32"/>
          <w:szCs w:val="24"/>
        </w:rPr>
        <w:t>（二）政府采购支出情况</w:t>
      </w:r>
      <w:bookmarkEnd w:id="20"/>
    </w:p>
    <w:p w14:paraId="03278592">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2023年，中共广元市昭化区委办公室未发生政府采购支出</w:t>
      </w:r>
      <w:r>
        <w:rPr>
          <w:rFonts w:hint="eastAsia" w:ascii="仿宋_GB2312" w:hAnsi="仿宋_GB2312" w:eastAsia="仿宋_GB2312"/>
          <w:color w:val="000000"/>
          <w:kern w:val="2"/>
          <w:sz w:val="32"/>
          <w:szCs w:val="24"/>
          <w:lang w:eastAsia="zh-CN"/>
        </w:rPr>
        <w:t>。</w:t>
      </w:r>
    </w:p>
    <w:p w14:paraId="793F573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21" w:name="_Toc15620"/>
      <w:r>
        <w:rPr>
          <w:rFonts w:hint="eastAsia" w:ascii="仿宋_GB2312" w:hAnsi="仿宋_GB2312" w:eastAsia="仿宋_GB2312"/>
          <w:b/>
          <w:color w:val="000000"/>
          <w:kern w:val="2"/>
          <w:sz w:val="32"/>
          <w:szCs w:val="24"/>
        </w:rPr>
        <w:t>（三）国有资产占有使用情况</w:t>
      </w:r>
      <w:bookmarkEnd w:id="21"/>
    </w:p>
    <w:p w14:paraId="4030E575">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截至2023年12月31日，中共广元市昭化区委办公室共有车辆</w:t>
      </w:r>
      <w:r>
        <w:rPr>
          <w:rFonts w:hint="eastAsia" w:ascii="仿宋_GB2312" w:hAnsi="仿宋_GB2312" w:eastAsia="仿宋_GB2312"/>
          <w:color w:val="000000"/>
          <w:kern w:val="2"/>
          <w:sz w:val="32"/>
          <w:szCs w:val="24"/>
          <w:lang w:val="en-US" w:eastAsia="zh-CN"/>
        </w:rPr>
        <w:t>1</w:t>
      </w:r>
      <w:r>
        <w:rPr>
          <w:rFonts w:hint="eastAsia" w:ascii="仿宋_GB2312" w:hAnsi="仿宋_GB2312" w:eastAsia="仿宋_GB2312"/>
          <w:color w:val="000000"/>
          <w:kern w:val="2"/>
          <w:sz w:val="32"/>
          <w:szCs w:val="24"/>
        </w:rPr>
        <w:t>辆，其中：副部（省）级及以上领导用车0辆、主要负责人用车0辆、机要通信用车</w:t>
      </w:r>
      <w:r>
        <w:rPr>
          <w:rFonts w:hint="eastAsia" w:ascii="仿宋_GB2312" w:hAnsi="仿宋_GB2312" w:eastAsia="仿宋_GB2312"/>
          <w:color w:val="000000"/>
          <w:kern w:val="2"/>
          <w:sz w:val="32"/>
          <w:szCs w:val="24"/>
          <w:lang w:val="en-US" w:eastAsia="zh-CN"/>
        </w:rPr>
        <w:t>1</w:t>
      </w:r>
      <w:r>
        <w:rPr>
          <w:rFonts w:hint="eastAsia" w:ascii="仿宋_GB2312" w:hAnsi="仿宋_GB2312" w:eastAsia="仿宋_GB2312"/>
          <w:color w:val="000000"/>
          <w:kern w:val="2"/>
          <w:sz w:val="32"/>
          <w:szCs w:val="24"/>
        </w:rPr>
        <w:t>辆、应急保障用车0辆、执法执勤用车0辆、特种专业技术用车0辆、离退休干部服务用车0辆、其他用车0辆。</w:t>
      </w:r>
    </w:p>
    <w:p w14:paraId="1263FB62">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单价100万元（含）以上设备0台（套）。</w:t>
      </w:r>
    </w:p>
    <w:p w14:paraId="64B424C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3" w:firstLineChars="200"/>
        <w:jc w:val="both"/>
        <w:textAlignment w:val="auto"/>
        <w:outlineLvl w:val="2"/>
        <w:rPr>
          <w:rFonts w:hint="eastAsia" w:ascii="仿宋_GB2312" w:hAnsi="仿宋_GB2312" w:eastAsia="仿宋_GB2312"/>
          <w:b/>
          <w:color w:val="000000"/>
          <w:kern w:val="2"/>
          <w:sz w:val="32"/>
          <w:szCs w:val="24"/>
        </w:rPr>
      </w:pPr>
      <w:bookmarkStart w:id="22" w:name="_Toc28748"/>
      <w:r>
        <w:rPr>
          <w:rFonts w:hint="eastAsia" w:ascii="仿宋_GB2312" w:hAnsi="仿宋_GB2312" w:eastAsia="仿宋_GB2312"/>
          <w:b/>
          <w:color w:val="000000"/>
          <w:kern w:val="2"/>
          <w:sz w:val="32"/>
          <w:szCs w:val="24"/>
        </w:rPr>
        <w:t>（四）预算绩效管理情况。</w:t>
      </w:r>
      <w:bookmarkEnd w:id="22"/>
    </w:p>
    <w:p w14:paraId="4A261E02">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kern w:val="2"/>
          <w:sz w:val="32"/>
          <w:szCs w:val="24"/>
        </w:rPr>
      </w:pPr>
      <w:r>
        <w:rPr>
          <w:rFonts w:hint="eastAsia" w:ascii="仿宋_GB2312" w:hAnsi="仿宋_GB2312" w:eastAsia="仿宋_GB2312"/>
          <w:kern w:val="2"/>
          <w:sz w:val="32"/>
          <w:szCs w:val="24"/>
        </w:rPr>
        <w:t>根据预算绩效管理要求，本部门在2023年度预算编制阶段，组织对落实区委区政府中心工作及重大决策部署工作经费、政策研究、深化改革、党史地志工作经费、办公室运行工作经费</w:t>
      </w:r>
      <w:r>
        <w:rPr>
          <w:rFonts w:hint="eastAsia" w:ascii="仿宋_GB2312" w:hAnsi="仿宋_GB2312" w:eastAsia="仿宋_GB2312"/>
          <w:kern w:val="2"/>
          <w:sz w:val="32"/>
          <w:szCs w:val="24"/>
          <w:lang w:eastAsia="zh-CN"/>
        </w:rPr>
        <w:t>、全委会、全委扩大会、区委常委会、全区办公室主任会、全面深化改革会、国安工作会、各类业务培训等会议经费、涉密类工作经费</w:t>
      </w:r>
      <w:r>
        <w:rPr>
          <w:rFonts w:hint="eastAsia" w:ascii="仿宋_GB2312" w:hAnsi="仿宋_GB2312" w:eastAsia="仿宋_GB2312"/>
          <w:kern w:val="2"/>
          <w:sz w:val="32"/>
          <w:szCs w:val="24"/>
        </w:rPr>
        <w:t>等</w:t>
      </w:r>
      <w:r>
        <w:rPr>
          <w:rFonts w:hint="eastAsia" w:ascii="仿宋_GB2312" w:hAnsi="仿宋_GB2312" w:eastAsia="仿宋_GB2312"/>
          <w:kern w:val="2"/>
          <w:sz w:val="32"/>
          <w:szCs w:val="24"/>
          <w:lang w:val="en-US" w:eastAsia="zh-CN"/>
        </w:rPr>
        <w:t>8</w:t>
      </w:r>
      <w:r>
        <w:rPr>
          <w:rFonts w:hint="eastAsia" w:ascii="仿宋_GB2312" w:hAnsi="仿宋_GB2312" w:eastAsia="仿宋_GB2312"/>
          <w:kern w:val="2"/>
          <w:sz w:val="32"/>
          <w:szCs w:val="24"/>
        </w:rPr>
        <w:t>个项目开展了预算事前绩效评估，对</w:t>
      </w:r>
      <w:r>
        <w:rPr>
          <w:rFonts w:hint="eastAsia" w:ascii="仿宋_GB2312" w:hAnsi="仿宋_GB2312" w:eastAsia="仿宋_GB2312"/>
          <w:kern w:val="2"/>
          <w:sz w:val="32"/>
          <w:szCs w:val="24"/>
          <w:lang w:val="en-US" w:eastAsia="zh-CN"/>
        </w:rPr>
        <w:t>8</w:t>
      </w:r>
      <w:r>
        <w:rPr>
          <w:rFonts w:hint="eastAsia" w:ascii="仿宋_GB2312" w:hAnsi="仿宋_GB2312" w:eastAsia="仿宋_GB2312"/>
          <w:kern w:val="2"/>
          <w:sz w:val="32"/>
          <w:szCs w:val="24"/>
        </w:rPr>
        <w:t>个项目编制了绩效目标，预算执行过程中，选取</w:t>
      </w:r>
      <w:r>
        <w:rPr>
          <w:rFonts w:hint="eastAsia" w:ascii="仿宋_GB2312" w:hAnsi="仿宋_GB2312" w:eastAsia="仿宋_GB2312"/>
          <w:kern w:val="2"/>
          <w:sz w:val="32"/>
          <w:szCs w:val="24"/>
          <w:lang w:val="en-US" w:eastAsia="zh-CN"/>
        </w:rPr>
        <w:t>8</w:t>
      </w:r>
      <w:r>
        <w:rPr>
          <w:rFonts w:hint="eastAsia" w:ascii="仿宋_GB2312" w:hAnsi="仿宋_GB2312" w:eastAsia="仿宋_GB2312"/>
          <w:kern w:val="2"/>
          <w:sz w:val="32"/>
          <w:szCs w:val="24"/>
        </w:rPr>
        <w:t>个项目开展绩效监控。</w:t>
      </w:r>
    </w:p>
    <w:p w14:paraId="2450725B">
      <w:pPr>
        <w:kinsoku/>
        <w:wordWrap/>
        <w:overflowPunct w:val="0"/>
        <w:topLinePunct/>
        <w:autoSpaceDE w:val="0"/>
        <w:autoSpaceDN w:val="0"/>
        <w:bidi w:val="0"/>
        <w:adjustRightInd w:val="0"/>
        <w:spacing w:beforeLines="0" w:afterLines="0" w:line="576" w:lineRule="exact"/>
        <w:ind w:firstLine="640" w:firstLineChars="200"/>
        <w:jc w:val="both"/>
        <w:textAlignment w:val="auto"/>
        <w:rPr>
          <w:rFonts w:hint="eastAsia" w:ascii="仿宋_GB2312" w:hAnsi="仿宋_GB2312" w:eastAsia="仿宋_GB2312"/>
          <w:kern w:val="2"/>
          <w:sz w:val="32"/>
          <w:szCs w:val="24"/>
          <w:highlight w:val="none"/>
        </w:rPr>
      </w:pPr>
      <w:r>
        <w:rPr>
          <w:rFonts w:hint="eastAsia" w:ascii="仿宋_GB2312" w:hAnsi="仿宋_GB2312" w:eastAsia="仿宋_GB2312"/>
          <w:kern w:val="2"/>
          <w:sz w:val="32"/>
          <w:szCs w:val="24"/>
        </w:rPr>
        <w:t>2023年度组织</w:t>
      </w:r>
      <w:r>
        <w:rPr>
          <w:rFonts w:hint="eastAsia" w:ascii="仿宋_GB2312" w:hAnsi="仿宋_GB2312" w:eastAsia="仿宋_GB2312"/>
          <w:color w:val="auto"/>
          <w:kern w:val="2"/>
          <w:sz w:val="32"/>
          <w:szCs w:val="24"/>
        </w:rPr>
        <w:t>一般公共预算、政府性基金预算、国有资本经营预算以及资本资产、债券资金等全面开展绩效自评，</w:t>
      </w:r>
      <w:r>
        <w:rPr>
          <w:rFonts w:hint="eastAsia" w:ascii="仿宋_GB2312" w:hAnsi="仿宋_GB2312" w:eastAsia="仿宋_GB2312"/>
          <w:kern w:val="2"/>
          <w:sz w:val="32"/>
          <w:szCs w:val="24"/>
        </w:rPr>
        <w:t>形成202</w:t>
      </w:r>
      <w:r>
        <w:rPr>
          <w:rFonts w:hint="eastAsia" w:ascii="仿宋_GB2312" w:hAnsi="仿宋_GB2312" w:eastAsia="仿宋_GB2312"/>
          <w:kern w:val="2"/>
          <w:sz w:val="32"/>
          <w:szCs w:val="24"/>
          <w:lang w:val="en-US" w:eastAsia="zh-CN"/>
        </w:rPr>
        <w:t>3</w:t>
      </w:r>
      <w:r>
        <w:rPr>
          <w:rFonts w:hint="eastAsia" w:ascii="仿宋_GB2312" w:hAnsi="仿宋_GB2312" w:eastAsia="仿宋_GB2312"/>
          <w:kern w:val="2"/>
          <w:sz w:val="32"/>
          <w:szCs w:val="24"/>
        </w:rPr>
        <w:t>年中共广元市昭化区委办公室（部门）整体（含部门预算项目）绩效自评报告、2023年办公室运行工作经费项目</w:t>
      </w:r>
      <w:r>
        <w:rPr>
          <w:rFonts w:hint="eastAsia" w:ascii="仿宋_GB2312" w:hAnsi="仿宋_GB2312" w:eastAsia="仿宋_GB2312"/>
          <w:kern w:val="2"/>
          <w:sz w:val="32"/>
          <w:szCs w:val="24"/>
          <w:lang w:eastAsia="zh-CN"/>
        </w:rPr>
        <w:t>、2023年会议费项目、2023年涉密类工作经费项目、2023年政策研究费项目、2023年重大决策部署项目</w:t>
      </w:r>
      <w:r>
        <w:rPr>
          <w:rFonts w:hint="eastAsia" w:ascii="仿宋_GB2312" w:hAnsi="仿宋_GB2312" w:eastAsia="仿宋_GB2312"/>
          <w:kern w:val="2"/>
          <w:sz w:val="32"/>
          <w:szCs w:val="24"/>
        </w:rPr>
        <w:t>等专项预算项目绩效自评报告，</w:t>
      </w:r>
      <w:r>
        <w:rPr>
          <w:rFonts w:hint="eastAsia" w:ascii="仿宋_GB2312" w:hAnsi="仿宋_GB2312" w:eastAsia="仿宋_GB2312" w:cs="仿宋_GB2312"/>
          <w:color w:val="auto"/>
          <w:sz w:val="32"/>
          <w:szCs w:val="32"/>
        </w:rPr>
        <w:t>其中，</w:t>
      </w:r>
      <w:r>
        <w:rPr>
          <w:rFonts w:hint="eastAsia" w:ascii="仿宋_GB2312" w:hAnsi="仿宋_GB2312" w:eastAsia="仿宋_GB2312"/>
          <w:kern w:val="2"/>
          <w:sz w:val="32"/>
          <w:szCs w:val="24"/>
        </w:rPr>
        <w:t>中共广元市昭化区委办公室</w:t>
      </w:r>
      <w:r>
        <w:rPr>
          <w:rFonts w:hint="eastAsia" w:ascii="仿宋_GB2312" w:hAnsi="仿宋_GB2312" w:eastAsia="仿宋_GB2312" w:cs="仿宋_GB2312"/>
          <w:color w:val="auto"/>
          <w:sz w:val="32"/>
          <w:szCs w:val="32"/>
        </w:rPr>
        <w:t>部门整体（含部门预算项目）绩效自评得分为</w:t>
      </w:r>
      <w:r>
        <w:rPr>
          <w:rFonts w:hint="eastAsia" w:ascii="仿宋_GB2312" w:hAnsi="仿宋_GB2312" w:eastAsia="仿宋_GB2312" w:cs="仿宋_GB2312"/>
          <w:color w:val="auto"/>
          <w:sz w:val="32"/>
          <w:szCs w:val="32"/>
          <w:lang w:val="en-US" w:eastAsia="zh-CN"/>
        </w:rPr>
        <w:t>98</w:t>
      </w:r>
      <w:r>
        <w:rPr>
          <w:rFonts w:hint="eastAsia" w:ascii="仿宋_GB2312" w:hAnsi="仿宋_GB2312" w:eastAsia="仿宋_GB2312" w:cs="仿宋_GB2312"/>
          <w:color w:val="auto"/>
          <w:sz w:val="32"/>
          <w:szCs w:val="32"/>
        </w:rPr>
        <w:t>分，绩效自评综述：2023年中共广元市昭化区委办公室财务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2023年基本完成，在保障机关运转、履行职能职责上整体情况良好；</w:t>
      </w:r>
      <w:r>
        <w:rPr>
          <w:rFonts w:hint="eastAsia" w:ascii="仿宋_GB2312" w:hAnsi="仿宋_GB2312" w:eastAsia="仿宋_GB2312"/>
          <w:kern w:val="2"/>
          <w:sz w:val="32"/>
          <w:szCs w:val="24"/>
          <w:highlight w:val="none"/>
        </w:rPr>
        <w:t>2023年办公室运行工作经费项目专项预算项目绩效自评得分为</w:t>
      </w:r>
      <w:r>
        <w:rPr>
          <w:rFonts w:hint="eastAsia" w:ascii="仿宋_GB2312" w:hAnsi="仿宋_GB2312" w:eastAsia="仿宋_GB2312"/>
          <w:kern w:val="2"/>
          <w:sz w:val="32"/>
          <w:szCs w:val="24"/>
          <w:highlight w:val="none"/>
          <w:lang w:val="en-US" w:eastAsia="zh-CN"/>
        </w:rPr>
        <w:t>100</w:t>
      </w:r>
      <w:r>
        <w:rPr>
          <w:rFonts w:hint="eastAsia" w:ascii="仿宋_GB2312" w:hAnsi="仿宋_GB2312" w:eastAsia="仿宋_GB2312"/>
          <w:kern w:val="2"/>
          <w:sz w:val="32"/>
          <w:szCs w:val="24"/>
          <w:highlight w:val="none"/>
        </w:rPr>
        <w:t>分，绩效自评综述：围绕财政资金测算和使用过程，并根据该项目的基本情况、预算明细、支出明细、绩效目标申报、部门履职完成情况、履职效果等信息对该项目资金进行绩效评价。该项目建设质量要求高，全面完成该项目的各类支付工作，运转正常，基本实现了预期绩效目标，总体执行情况良好，该项目评价得分</w:t>
      </w:r>
      <w:r>
        <w:rPr>
          <w:rFonts w:hint="eastAsia" w:ascii="仿宋_GB2312" w:hAnsi="仿宋_GB2312" w:eastAsia="仿宋_GB2312"/>
          <w:kern w:val="2"/>
          <w:sz w:val="32"/>
          <w:szCs w:val="24"/>
          <w:highlight w:val="none"/>
          <w:lang w:val="en-US" w:eastAsia="zh-CN"/>
        </w:rPr>
        <w:t>100分</w:t>
      </w:r>
      <w:r>
        <w:rPr>
          <w:rFonts w:hint="eastAsia" w:ascii="仿宋_GB2312" w:hAnsi="仿宋_GB2312" w:eastAsia="仿宋_GB2312"/>
          <w:kern w:val="2"/>
          <w:sz w:val="32"/>
          <w:szCs w:val="24"/>
          <w:highlight w:val="none"/>
        </w:rPr>
        <w:t>。</w:t>
      </w:r>
      <w:r>
        <w:rPr>
          <w:rFonts w:hint="eastAsia" w:ascii="仿宋_GB2312" w:hAnsi="仿宋_GB2312" w:eastAsia="仿宋_GB2312"/>
          <w:kern w:val="2"/>
          <w:sz w:val="32"/>
          <w:szCs w:val="24"/>
          <w:highlight w:val="none"/>
          <w:lang w:val="en-US" w:eastAsia="zh-CN"/>
        </w:rPr>
        <w:t>2023年会议费项目</w:t>
      </w:r>
      <w:r>
        <w:rPr>
          <w:rFonts w:hint="eastAsia" w:ascii="仿宋_GB2312" w:hAnsi="仿宋_GB2312" w:eastAsia="仿宋_GB2312"/>
          <w:kern w:val="2"/>
          <w:sz w:val="32"/>
          <w:szCs w:val="24"/>
          <w:highlight w:val="none"/>
        </w:rPr>
        <w:t>专项预算项目绩效自评得分为</w:t>
      </w:r>
      <w:r>
        <w:rPr>
          <w:rFonts w:hint="eastAsia" w:ascii="仿宋_GB2312" w:hAnsi="仿宋_GB2312" w:eastAsia="仿宋_GB2312"/>
          <w:kern w:val="2"/>
          <w:sz w:val="32"/>
          <w:szCs w:val="24"/>
          <w:highlight w:val="none"/>
          <w:lang w:val="en-US" w:eastAsia="zh-CN"/>
        </w:rPr>
        <w:t>100</w:t>
      </w:r>
      <w:r>
        <w:rPr>
          <w:rFonts w:hint="eastAsia" w:ascii="仿宋_GB2312" w:hAnsi="仿宋_GB2312" w:eastAsia="仿宋_GB2312"/>
          <w:kern w:val="2"/>
          <w:sz w:val="32"/>
          <w:szCs w:val="24"/>
          <w:highlight w:val="none"/>
        </w:rPr>
        <w:t>分，绩效自评综述：</w:t>
      </w:r>
      <w:r>
        <w:rPr>
          <w:rFonts w:hint="eastAsia" w:ascii="仿宋_GB2312" w:hAnsi="仿宋_GB2312" w:eastAsia="仿宋_GB2312"/>
          <w:kern w:val="2"/>
          <w:sz w:val="32"/>
          <w:szCs w:val="24"/>
          <w:highlight w:val="none"/>
          <w:lang w:val="en-US" w:eastAsia="zh-CN"/>
        </w:rPr>
        <w:t>全委会、全委扩大会、区委常委会、全区办公室主任会、全面深化改革会、国安工作会、各类培训等会议经费，该项目建设质量要求高，全面完成全年各类会议的支付工作，运转正常，基本实现了预期绩效目标，总体执行情况良好该项目评价得分 100分</w:t>
      </w:r>
      <w:r>
        <w:rPr>
          <w:rFonts w:hint="eastAsia" w:ascii="仿宋_GB2312" w:hAnsi="仿宋_GB2312" w:eastAsia="仿宋_GB2312"/>
          <w:kern w:val="2"/>
          <w:sz w:val="32"/>
          <w:szCs w:val="24"/>
          <w:highlight w:val="none"/>
        </w:rPr>
        <w:t>。</w:t>
      </w:r>
      <w:r>
        <w:rPr>
          <w:rFonts w:hint="eastAsia" w:ascii="仿宋_GB2312" w:hAnsi="仿宋_GB2312" w:eastAsia="仿宋_GB2312"/>
          <w:kern w:val="2"/>
          <w:sz w:val="32"/>
          <w:szCs w:val="24"/>
          <w:highlight w:val="none"/>
          <w:lang w:val="en-US" w:eastAsia="zh-CN"/>
        </w:rPr>
        <w:t>2023年涉密类工作经费项目</w:t>
      </w:r>
      <w:r>
        <w:rPr>
          <w:rFonts w:hint="eastAsia" w:ascii="仿宋_GB2312" w:hAnsi="仿宋_GB2312" w:eastAsia="仿宋_GB2312"/>
          <w:kern w:val="2"/>
          <w:sz w:val="32"/>
          <w:szCs w:val="24"/>
          <w:highlight w:val="none"/>
        </w:rPr>
        <w:t>专项预算项目绩效自评得分为</w:t>
      </w:r>
      <w:r>
        <w:rPr>
          <w:rFonts w:hint="eastAsia" w:ascii="仿宋_GB2312" w:hAnsi="仿宋_GB2312" w:eastAsia="仿宋_GB2312"/>
          <w:kern w:val="2"/>
          <w:sz w:val="32"/>
          <w:szCs w:val="24"/>
          <w:highlight w:val="none"/>
          <w:lang w:val="en-US" w:eastAsia="zh-CN"/>
        </w:rPr>
        <w:t>100</w:t>
      </w:r>
      <w:r>
        <w:rPr>
          <w:rFonts w:hint="eastAsia" w:ascii="仿宋_GB2312" w:hAnsi="仿宋_GB2312" w:eastAsia="仿宋_GB2312"/>
          <w:kern w:val="2"/>
          <w:sz w:val="32"/>
          <w:szCs w:val="24"/>
          <w:highlight w:val="none"/>
        </w:rPr>
        <w:t>分，绩效自评综述：</w:t>
      </w:r>
      <w:r>
        <w:rPr>
          <w:rFonts w:hint="eastAsia" w:ascii="仿宋_GB2312" w:hAnsi="仿宋_GB2312" w:eastAsia="仿宋_GB2312"/>
          <w:kern w:val="2"/>
          <w:sz w:val="32"/>
          <w:szCs w:val="24"/>
          <w:highlight w:val="none"/>
          <w:lang w:val="en-US" w:eastAsia="zh-CN"/>
        </w:rPr>
        <w:t>围绕财政资金测算和使用过程，并根据该项目的基本情况、预算明细、支出明细、绩效目标申报、部门履职完成情况、履职效果等信息对该项目资金进行绩效评价。该项目建设质量要求高，全面完成该项目的各类支付工作，运转正常基本实现了预期绩效目标，总体执行情况良好，该项目评价得分100分</w:t>
      </w:r>
      <w:r>
        <w:rPr>
          <w:rFonts w:hint="eastAsia" w:ascii="仿宋_GB2312" w:hAnsi="仿宋_GB2312" w:eastAsia="仿宋_GB2312"/>
          <w:kern w:val="2"/>
          <w:sz w:val="32"/>
          <w:szCs w:val="24"/>
          <w:highlight w:val="none"/>
        </w:rPr>
        <w:t>。</w:t>
      </w:r>
      <w:r>
        <w:rPr>
          <w:rFonts w:hint="eastAsia" w:ascii="仿宋_GB2312" w:hAnsi="仿宋_GB2312" w:eastAsia="仿宋_GB2312"/>
          <w:kern w:val="2"/>
          <w:sz w:val="32"/>
          <w:szCs w:val="24"/>
          <w:highlight w:val="none"/>
          <w:lang w:val="en-US" w:eastAsia="zh-CN"/>
        </w:rPr>
        <w:t>2023年政策研究费项目</w:t>
      </w:r>
      <w:r>
        <w:rPr>
          <w:rFonts w:hint="eastAsia" w:ascii="仿宋_GB2312" w:hAnsi="仿宋_GB2312" w:eastAsia="仿宋_GB2312"/>
          <w:kern w:val="2"/>
          <w:sz w:val="32"/>
          <w:szCs w:val="24"/>
          <w:highlight w:val="none"/>
        </w:rPr>
        <w:t>专项预算项目绩效自评得分为</w:t>
      </w:r>
      <w:r>
        <w:rPr>
          <w:rFonts w:hint="eastAsia" w:ascii="仿宋_GB2312" w:hAnsi="仿宋_GB2312" w:eastAsia="仿宋_GB2312"/>
          <w:kern w:val="2"/>
          <w:sz w:val="32"/>
          <w:szCs w:val="24"/>
          <w:highlight w:val="none"/>
          <w:lang w:val="en-US" w:eastAsia="zh-CN"/>
        </w:rPr>
        <w:t>100</w:t>
      </w:r>
      <w:r>
        <w:rPr>
          <w:rFonts w:hint="eastAsia" w:ascii="仿宋_GB2312" w:hAnsi="仿宋_GB2312" w:eastAsia="仿宋_GB2312"/>
          <w:kern w:val="2"/>
          <w:sz w:val="32"/>
          <w:szCs w:val="24"/>
          <w:highlight w:val="none"/>
        </w:rPr>
        <w:t>分，绩效自评综述：</w:t>
      </w:r>
      <w:r>
        <w:rPr>
          <w:rFonts w:hint="eastAsia" w:ascii="仿宋_GB2312" w:hAnsi="仿宋_GB2312" w:eastAsia="仿宋_GB2312"/>
          <w:kern w:val="2"/>
          <w:sz w:val="32"/>
          <w:szCs w:val="24"/>
          <w:highlight w:val="none"/>
          <w:lang w:val="en-US" w:eastAsia="zh-CN"/>
        </w:rPr>
        <w:t>政策研究、深化改革、党史地志工作经费该项目建设质量要求高，全面完成全年各类支付工作，运转正常基本实现了预期绩效目标，总体执行情况良好，该项目评价得分100分</w:t>
      </w:r>
      <w:r>
        <w:rPr>
          <w:rFonts w:hint="eastAsia" w:ascii="仿宋_GB2312" w:hAnsi="仿宋_GB2312" w:eastAsia="仿宋_GB2312"/>
          <w:kern w:val="2"/>
          <w:sz w:val="32"/>
          <w:szCs w:val="24"/>
          <w:highlight w:val="none"/>
        </w:rPr>
        <w:t>。</w:t>
      </w:r>
      <w:r>
        <w:rPr>
          <w:rFonts w:hint="eastAsia" w:ascii="仿宋_GB2312" w:hAnsi="仿宋_GB2312" w:eastAsia="仿宋_GB2312"/>
          <w:kern w:val="2"/>
          <w:sz w:val="32"/>
          <w:szCs w:val="24"/>
          <w:highlight w:val="none"/>
          <w:lang w:val="en-US" w:eastAsia="zh-CN"/>
        </w:rPr>
        <w:t>2023年重大决策部署项目</w:t>
      </w:r>
      <w:r>
        <w:rPr>
          <w:rFonts w:hint="eastAsia" w:ascii="仿宋_GB2312" w:hAnsi="仿宋_GB2312" w:eastAsia="仿宋_GB2312"/>
          <w:kern w:val="2"/>
          <w:sz w:val="32"/>
          <w:szCs w:val="24"/>
          <w:highlight w:val="none"/>
        </w:rPr>
        <w:t>专项预算项目绩效自评得分为</w:t>
      </w:r>
      <w:r>
        <w:rPr>
          <w:rFonts w:hint="eastAsia" w:ascii="仿宋_GB2312" w:hAnsi="仿宋_GB2312" w:eastAsia="仿宋_GB2312"/>
          <w:kern w:val="2"/>
          <w:sz w:val="32"/>
          <w:szCs w:val="24"/>
          <w:highlight w:val="none"/>
          <w:lang w:val="en-US" w:eastAsia="zh-CN"/>
        </w:rPr>
        <w:t>100</w:t>
      </w:r>
      <w:r>
        <w:rPr>
          <w:rFonts w:hint="eastAsia" w:ascii="仿宋_GB2312" w:hAnsi="仿宋_GB2312" w:eastAsia="仿宋_GB2312"/>
          <w:kern w:val="2"/>
          <w:sz w:val="32"/>
          <w:szCs w:val="24"/>
          <w:highlight w:val="none"/>
        </w:rPr>
        <w:t>分，绩效自评综述：</w:t>
      </w:r>
      <w:r>
        <w:rPr>
          <w:rFonts w:hint="eastAsia" w:ascii="仿宋_GB2312" w:hAnsi="仿宋_GB2312" w:eastAsia="仿宋_GB2312"/>
          <w:kern w:val="2"/>
          <w:sz w:val="32"/>
          <w:szCs w:val="24"/>
          <w:highlight w:val="none"/>
          <w:lang w:val="en-US" w:eastAsia="zh-CN"/>
        </w:rPr>
        <w:t>围绕财政资金测算和使用过程，并根据该项目的基本情况、预算明细、支出明细、绩效目标申报、部门履职完成情况、履职效果等信息对该项目资金进行绩效评价。该项目建设质量要求高，全面完成该项目的各类支付工作，运转正常，基本实现了预期绩效目标，总体执行情况良好，该项目评价得分100分</w:t>
      </w:r>
      <w:r>
        <w:rPr>
          <w:rFonts w:hint="eastAsia" w:ascii="仿宋_GB2312" w:hAnsi="仿宋_GB2312" w:eastAsia="仿宋_GB2312"/>
          <w:kern w:val="2"/>
          <w:sz w:val="32"/>
          <w:szCs w:val="24"/>
          <w:highlight w:val="none"/>
        </w:rPr>
        <w:t>。绩效自评报告详见附件（第四部分）。</w:t>
      </w:r>
    </w:p>
    <w:p w14:paraId="76337231">
      <w:pPr>
        <w:pStyle w:val="2"/>
        <w:kinsoku/>
        <w:wordWrap/>
        <w:autoSpaceDE w:val="0"/>
        <w:autoSpaceDN w:val="0"/>
        <w:bidi w:val="0"/>
        <w:adjustRightInd w:val="0"/>
        <w:spacing w:before="72" w:afterLines="0" w:line="576" w:lineRule="exact"/>
        <w:textAlignment w:val="auto"/>
        <w:rPr>
          <w:rFonts w:hint="eastAsia"/>
          <w:sz w:val="30"/>
          <w:szCs w:val="24"/>
          <w:highlight w:val="none"/>
        </w:rPr>
        <w:sectPr>
          <w:pgSz w:w="12240" w:h="15840"/>
          <w:pgMar w:top="2098" w:right="1474" w:bottom="1984" w:left="1587" w:header="720" w:footer="720" w:gutter="0"/>
          <w:lnNumType w:countBy="0" w:distance="360"/>
          <w:pgNumType w:fmt="decimal"/>
          <w:cols w:space="0" w:num="1"/>
          <w:rtlGutter w:val="0"/>
          <w:docGrid w:linePitch="0" w:charSpace="0"/>
        </w:sectPr>
      </w:pPr>
    </w:p>
    <w:p w14:paraId="5FAAEC23">
      <w:pPr>
        <w:keepNext/>
        <w:keepLines/>
        <w:pageBreakBefore/>
        <w:widowControl w:val="0"/>
        <w:kinsoku/>
        <w:wordWrap/>
        <w:overflowPunct/>
        <w:topLinePunct w:val="0"/>
        <w:autoSpaceDE w:val="0"/>
        <w:autoSpaceDN w:val="0"/>
        <w:bidi w:val="0"/>
        <w:adjustRightInd w:val="0"/>
        <w:snapToGrid/>
        <w:spacing w:beforeLines="0" w:after="313" w:afterLines="0" w:line="576" w:lineRule="exact"/>
        <w:jc w:val="center"/>
        <w:textAlignment w:val="auto"/>
        <w:outlineLvl w:val="0"/>
        <w:rPr>
          <w:rFonts w:hint="eastAsia" w:ascii="黑体" w:hAnsi="黑体" w:eastAsia="黑体"/>
          <w:kern w:val="44"/>
          <w:sz w:val="44"/>
          <w:szCs w:val="24"/>
        </w:rPr>
      </w:pPr>
      <w:bookmarkStart w:id="23" w:name="_Toc9595"/>
      <w:r>
        <w:rPr>
          <w:rFonts w:hint="eastAsia" w:ascii="黑体" w:hAnsi="黑体" w:eastAsia="黑体"/>
          <w:color w:val="000000"/>
          <w:kern w:val="2"/>
          <w:sz w:val="44"/>
          <w:szCs w:val="24"/>
        </w:rPr>
        <w:t>第三部分  名</w:t>
      </w:r>
      <w:r>
        <w:rPr>
          <w:rFonts w:hint="eastAsia" w:ascii="黑体" w:hAnsi="黑体" w:eastAsia="黑体"/>
          <w:kern w:val="44"/>
          <w:sz w:val="44"/>
          <w:szCs w:val="24"/>
        </w:rPr>
        <w:t>词解释</w:t>
      </w:r>
      <w:bookmarkEnd w:id="23"/>
    </w:p>
    <w:p w14:paraId="7E08493C">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一、财政拨款收入：指单位从同级财政部门取得的财政预算资金。</w:t>
      </w:r>
    </w:p>
    <w:p w14:paraId="43908263">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二、事业收入：指事业单位开展专业业务活动及辅助活动取得的收入。</w:t>
      </w:r>
    </w:p>
    <w:p w14:paraId="70DE6097">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三、经营收入：指事业单位在专业业务活动及其辅助活动之外开展非独立核算经营活动取得的收入。</w:t>
      </w:r>
    </w:p>
    <w:p w14:paraId="40D0162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四、其他收入：指单位取得的除上述收入以外的各项收入。 </w:t>
      </w:r>
    </w:p>
    <w:p w14:paraId="341C778A">
      <w:pPr>
        <w:pStyle w:val="16"/>
        <w:keepNext w:val="0"/>
        <w:keepLines w:val="0"/>
        <w:pageBreakBefore w:val="0"/>
        <w:widowControl w:val="0"/>
        <w:kinsoku/>
        <w:wordWrap/>
        <w:autoSpaceDE w:val="0"/>
        <w:autoSpaceDN w:val="0"/>
        <w:bidi w:val="0"/>
        <w:adjustRightInd w:val="0"/>
        <w:snapToGrid/>
        <w:spacing w:line="576" w:lineRule="exact"/>
        <w:ind w:firstLine="640" w:firstLineChars="200"/>
        <w:textAlignment w:val="auto"/>
        <w:rPr>
          <w:rFonts w:hint="eastAsia" w:ascii="仿宋_GB2312" w:eastAsia="仿宋_GB2312"/>
          <w:color w:val="auto"/>
          <w:sz w:val="32"/>
          <w:szCs w:val="32"/>
        </w:rPr>
      </w:pPr>
      <w:r>
        <w:rPr>
          <w:rFonts w:hint="eastAsia" w:ascii="仿宋_GB2312" w:hAnsi="仿宋_GB2312" w:eastAsia="仿宋_GB2312"/>
          <w:kern w:val="2"/>
          <w:sz w:val="32"/>
          <w:szCs w:val="24"/>
        </w:rPr>
        <w:t>五、</w:t>
      </w: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 xml:space="preserve">：指事业单位使用以前年度积累的非财政拨款结余弥补当年收支差额的金额。 </w:t>
      </w:r>
    </w:p>
    <w:p w14:paraId="55973B1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 xml:space="preserve">六、年初结转和结余：指以前年度尚未完成、结转到本年按有关规定继续使用的资金。 </w:t>
      </w:r>
    </w:p>
    <w:p w14:paraId="755FD49A">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七、结余分配：指事业单位按照会计制度规定缴纳的所得税、提取的专用结余以及转入非财政拨款结余的金额等。</w:t>
      </w:r>
    </w:p>
    <w:p w14:paraId="73D99B3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八、年末结转和结余：指单位按有关规定结转到下年或以后年度继续使用的资金。</w:t>
      </w:r>
    </w:p>
    <w:p w14:paraId="30075CB9">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九、一般公共服务支出（类）党委办公厅（室）及相关机构事务（款）行政运行（项）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反映行政单位(包括实行公务员管理的事业单位)的基本支出</w:t>
      </w:r>
      <w:r>
        <w:rPr>
          <w:rFonts w:hint="eastAsia" w:ascii="仿宋_GB2312" w:hAnsi="仿宋_GB2312" w:eastAsia="仿宋_GB2312"/>
          <w:color w:val="000000"/>
          <w:kern w:val="2"/>
          <w:sz w:val="32"/>
          <w:szCs w:val="24"/>
        </w:rPr>
        <w:t>。</w:t>
      </w:r>
    </w:p>
    <w:p w14:paraId="6592E6F3">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十、一般公共服务支出（类）党委办公厅（室）及相关机构事务（款）事业运行（项）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反映事业单位的基本支出，不包括行政单位(包括实行公务员管理的事业单位)后勤服务中心、医务室等附属事业单位</w:t>
      </w:r>
      <w:r>
        <w:rPr>
          <w:rFonts w:hint="eastAsia" w:ascii="仿宋_GB2312" w:hAnsi="仿宋_GB2312" w:eastAsia="仿宋_GB2312"/>
          <w:color w:val="000000"/>
          <w:kern w:val="2"/>
          <w:sz w:val="32"/>
          <w:szCs w:val="24"/>
        </w:rPr>
        <w:t>。</w:t>
      </w:r>
    </w:p>
    <w:p w14:paraId="2770A092">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十一、社会保障和就业支出（类）行政事业单位养老支出（款）机关事业单位基本养老保险缴费支出（项）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机关事业单位实施养老保险制度由单位缴纳的基本养老保险费支出</w:t>
      </w:r>
      <w:r>
        <w:rPr>
          <w:rFonts w:hint="eastAsia" w:ascii="仿宋_GB2312" w:hAnsi="仿宋_GB2312" w:eastAsia="仿宋_GB2312"/>
          <w:color w:val="000000"/>
          <w:kern w:val="2"/>
          <w:sz w:val="32"/>
          <w:szCs w:val="24"/>
        </w:rPr>
        <w:t>。</w:t>
      </w:r>
    </w:p>
    <w:p w14:paraId="2C168C13">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十二、社会保障和就业支出（类）抚恤（款）死亡抚恤（项）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反映按规定用于烈士和牺牲、病故人员家属的一次性和定期抚恤金、丧葬补助费以及烈士褒扬金</w:t>
      </w:r>
      <w:r>
        <w:rPr>
          <w:rFonts w:hint="eastAsia" w:ascii="仿宋_GB2312" w:hAnsi="仿宋_GB2312" w:eastAsia="仿宋_GB2312"/>
          <w:color w:val="000000"/>
          <w:kern w:val="2"/>
          <w:sz w:val="32"/>
          <w:szCs w:val="24"/>
        </w:rPr>
        <w:t>。</w:t>
      </w:r>
    </w:p>
    <w:p w14:paraId="75604F3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十三、卫生健康支出（类）行政事业单位医疗（款）行政单位医疗（项）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反映财政部门安排的行政单位(包括实行公务员管理的事业单位，下同)基本医疗保险缴费经费，未参加医疗保险的行政单位的公费医疗经费，按国家规定享受离休人员、红军老战士待遇人员的医疗经费</w:t>
      </w:r>
      <w:r>
        <w:rPr>
          <w:rFonts w:hint="eastAsia" w:ascii="仿宋_GB2312" w:hAnsi="仿宋_GB2312" w:eastAsia="仿宋_GB2312"/>
          <w:color w:val="000000"/>
          <w:kern w:val="2"/>
          <w:sz w:val="32"/>
          <w:szCs w:val="24"/>
        </w:rPr>
        <w:t>。</w:t>
      </w:r>
    </w:p>
    <w:p w14:paraId="215F73FB">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十四、农林水支出（类）巩固脱贫攻坚成果衔接乡村振兴（款）其他巩固脱贫攻坚成果衔接乡村振兴支出（项）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反映除上述项目以外其他用于巩固拓展脱贫攻坚成果同乡村振兴有效衔接方面的支出</w:t>
      </w:r>
      <w:r>
        <w:rPr>
          <w:rFonts w:hint="eastAsia" w:ascii="仿宋_GB2312" w:hAnsi="仿宋_GB2312" w:eastAsia="仿宋_GB2312"/>
          <w:color w:val="000000"/>
          <w:kern w:val="2"/>
          <w:sz w:val="32"/>
          <w:szCs w:val="24"/>
        </w:rPr>
        <w:t>。</w:t>
      </w:r>
    </w:p>
    <w:p w14:paraId="7F6EB15D">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十五、住房保障支出（类）住房改革支出（款）住房公积金（项）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行政事业单位按照人力资源和社会保障部、财政部规定的基本工资和津贴补贴以及规定比例为职工缴纳的住房公积金</w:t>
      </w:r>
      <w:r>
        <w:rPr>
          <w:rFonts w:hint="eastAsia" w:ascii="仿宋_GB2312" w:hAnsi="仿宋_GB2312" w:eastAsia="仿宋_GB2312"/>
          <w:color w:val="000000"/>
          <w:kern w:val="2"/>
          <w:sz w:val="32"/>
          <w:szCs w:val="24"/>
        </w:rPr>
        <w:t>。</w:t>
      </w:r>
    </w:p>
    <w:p w14:paraId="54ACAD16">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i/>
          <w:color w:val="000000"/>
          <w:kern w:val="2"/>
          <w:sz w:val="32"/>
          <w:szCs w:val="24"/>
        </w:rPr>
      </w:pPr>
      <w:r>
        <w:rPr>
          <w:rFonts w:hint="eastAsia" w:ascii="仿宋_GB2312" w:hAnsi="仿宋_GB2312" w:eastAsia="仿宋_GB2312"/>
          <w:color w:val="000000"/>
          <w:kern w:val="2"/>
          <w:sz w:val="32"/>
          <w:szCs w:val="24"/>
        </w:rPr>
        <w:t>十六、其他支出（类）其他支出（款）其他支出（项）</w:t>
      </w:r>
      <w:r>
        <w:rPr>
          <w:rFonts w:hint="eastAsia" w:ascii="仿宋_GB2312" w:hAnsi="仿宋_GB2312" w:eastAsia="仿宋_GB2312"/>
          <w:color w:val="000000"/>
          <w:sz w:val="32"/>
          <w:szCs w:val="24"/>
        </w:rPr>
        <w:t>：指</w:t>
      </w:r>
      <w:r>
        <w:rPr>
          <w:rFonts w:hint="eastAsia" w:ascii="仿宋_GB2312" w:hAnsi="仿宋_GB2312" w:eastAsia="仿宋_GB2312"/>
          <w:color w:val="000000"/>
          <w:sz w:val="32"/>
          <w:szCs w:val="24"/>
          <w:lang w:val="en-US" w:eastAsia="zh-CN"/>
        </w:rPr>
        <w:t>反映除上述项目以外其他不能划分到具体功能科目中的支出项目</w:t>
      </w:r>
      <w:r>
        <w:rPr>
          <w:rFonts w:hint="eastAsia" w:ascii="仿宋_GB2312" w:hAnsi="仿宋_GB2312" w:eastAsia="仿宋_GB2312"/>
          <w:color w:val="000000"/>
          <w:kern w:val="2"/>
          <w:sz w:val="32"/>
          <w:szCs w:val="24"/>
        </w:rPr>
        <w:t>。</w:t>
      </w:r>
    </w:p>
    <w:p w14:paraId="553B9F4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十七、基本支出：指为保障机构正常运转、完成日常工作任务而发生的人员支出和公用支出。</w:t>
      </w:r>
    </w:p>
    <w:p w14:paraId="43F4EE79">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 xml:space="preserve">十八、项目支出：指在基本支出之外为完成特定行政任务和事业发展目标所发生的支出。 </w:t>
      </w:r>
    </w:p>
    <w:p w14:paraId="2E94F816">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十九、经营支出：指事业单位在专业业务活动及其辅助活动之外开展非独立核算经营活动发生的支出。</w:t>
      </w:r>
    </w:p>
    <w:p w14:paraId="3CD00E9E">
      <w:pPr>
        <w:keepNext w:val="0"/>
        <w:keepLines w:val="0"/>
        <w:pageBreakBefore w:val="0"/>
        <w:widowControl w:val="0"/>
        <w:kinsoku/>
        <w:wordWrap/>
        <w:overflowPunct w:val="0"/>
        <w:topLinePunct/>
        <w:autoSpaceDE w:val="0"/>
        <w:autoSpaceDN w:val="0"/>
        <w:bidi w:val="0"/>
        <w:adjustRightInd w:val="0"/>
        <w:snapToGrid/>
        <w:spacing w:beforeLines="0" w:afterLines="0" w:line="576" w:lineRule="exact"/>
        <w:ind w:firstLine="640" w:firstLineChars="200"/>
        <w:jc w:val="both"/>
        <w:textAlignment w:val="auto"/>
        <w:rPr>
          <w:rFonts w:hint="eastAsia" w:ascii="仿宋_GB2312" w:hAnsi="仿宋_GB2312" w:eastAsia="仿宋_GB2312"/>
          <w:color w:val="000000"/>
          <w:sz w:val="32"/>
          <w:szCs w:val="24"/>
        </w:rPr>
      </w:pPr>
      <w:r>
        <w:rPr>
          <w:rFonts w:hint="eastAsia" w:ascii="仿宋_GB2312" w:hAnsi="仿宋_GB2312" w:eastAsia="仿宋_GB2312"/>
          <w:color w:val="000000"/>
          <w:sz w:val="32"/>
          <w:szCs w:val="24"/>
          <w:lang w:val="en-US" w:eastAsia="zh-CN"/>
        </w:rPr>
        <w:t>二</w:t>
      </w:r>
      <w:r>
        <w:rPr>
          <w:rFonts w:hint="eastAsia" w:ascii="仿宋_GB2312" w:hAnsi="仿宋_GB2312" w:eastAsia="仿宋_GB2312"/>
          <w:color w:val="000000"/>
          <w:sz w:val="32"/>
          <w:szCs w:val="24"/>
        </w:rPr>
        <w:t>十、“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4230984A">
      <w:pPr>
        <w:kinsoku/>
        <w:wordWrap/>
        <w:autoSpaceDE w:val="0"/>
        <w:autoSpaceDN w:val="0"/>
        <w:bidi w:val="0"/>
        <w:adjustRightInd w:val="0"/>
        <w:spacing w:beforeLines="0" w:afterLines="0" w:line="576" w:lineRule="exact"/>
        <w:ind w:firstLine="640"/>
        <w:jc w:val="both"/>
        <w:textAlignment w:val="auto"/>
        <w:rPr>
          <w:rFonts w:hint="eastAsia" w:ascii="黑体" w:hAnsi="黑体" w:eastAsia="黑体"/>
          <w:color w:val="000000"/>
          <w:kern w:val="2"/>
          <w:sz w:val="44"/>
          <w:szCs w:val="24"/>
        </w:rPr>
      </w:pPr>
      <w:r>
        <w:rPr>
          <w:rFonts w:hint="eastAsia" w:ascii="仿宋_GB2312" w:hAnsi="仿宋_GB2312" w:eastAsia="仿宋_GB2312"/>
          <w:color w:val="000000"/>
          <w:sz w:val="32"/>
          <w:szCs w:val="24"/>
          <w:lang w:val="en-US" w:eastAsia="zh-CN"/>
        </w:rPr>
        <w:t>二</w:t>
      </w:r>
      <w:r>
        <w:rPr>
          <w:rFonts w:hint="eastAsia" w:ascii="仿宋_GB2312" w:hAnsi="仿宋_GB2312" w:eastAsia="仿宋_GB2312"/>
          <w:color w:val="000000"/>
          <w:sz w:val="32"/>
          <w:szCs w:val="24"/>
        </w:rPr>
        <w:t>十一、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29F716CA">
      <w:pPr>
        <w:keepNext/>
        <w:keepLines/>
        <w:kinsoku/>
        <w:wordWrap/>
        <w:autoSpaceDE w:val="0"/>
        <w:autoSpaceDN w:val="0"/>
        <w:bidi w:val="0"/>
        <w:adjustRightInd w:val="0"/>
        <w:spacing w:beforeLines="0" w:afterLines="0" w:line="576" w:lineRule="exact"/>
        <w:jc w:val="center"/>
        <w:textAlignment w:val="auto"/>
        <w:rPr>
          <w:rFonts w:hint="eastAsia" w:ascii="黑体" w:hAnsi="黑体" w:eastAsia="黑体"/>
          <w:color w:val="000000"/>
          <w:kern w:val="2"/>
          <w:sz w:val="44"/>
          <w:szCs w:val="24"/>
        </w:rPr>
        <w:sectPr>
          <w:pgSz w:w="12240" w:h="15840"/>
          <w:pgMar w:top="2098" w:right="1474" w:bottom="1984" w:left="1587" w:header="720" w:footer="720" w:gutter="0"/>
          <w:lnNumType w:countBy="0" w:distance="360"/>
          <w:pgNumType w:fmt="decimal"/>
          <w:cols w:space="0" w:num="1"/>
          <w:rtlGutter w:val="0"/>
          <w:docGrid w:linePitch="0" w:charSpace="0"/>
        </w:sectPr>
      </w:pPr>
    </w:p>
    <w:p w14:paraId="7DC523BE">
      <w:pPr>
        <w:keepNext/>
        <w:keepLines/>
        <w:pageBreakBefore/>
        <w:widowControl w:val="0"/>
        <w:kinsoku/>
        <w:wordWrap/>
        <w:overflowPunct/>
        <w:topLinePunct w:val="0"/>
        <w:autoSpaceDE w:val="0"/>
        <w:autoSpaceDN w:val="0"/>
        <w:bidi w:val="0"/>
        <w:adjustRightInd w:val="0"/>
        <w:snapToGrid/>
        <w:spacing w:beforeLines="0" w:afterLines="0" w:line="576" w:lineRule="exact"/>
        <w:jc w:val="center"/>
        <w:textAlignment w:val="auto"/>
        <w:outlineLvl w:val="0"/>
        <w:rPr>
          <w:rFonts w:hint="eastAsia" w:ascii="黑体" w:hAnsi="黑体" w:eastAsia="黑体"/>
          <w:kern w:val="44"/>
          <w:sz w:val="44"/>
          <w:szCs w:val="24"/>
        </w:rPr>
      </w:pPr>
      <w:bookmarkStart w:id="24" w:name="_Toc19852"/>
      <w:r>
        <w:rPr>
          <w:rFonts w:hint="eastAsia" w:ascii="黑体" w:hAnsi="黑体" w:eastAsia="黑体"/>
          <w:color w:val="000000"/>
          <w:kern w:val="2"/>
          <w:sz w:val="44"/>
          <w:szCs w:val="24"/>
        </w:rPr>
        <w:t>第</w:t>
      </w:r>
      <w:r>
        <w:rPr>
          <w:rFonts w:hint="eastAsia" w:ascii="黑体" w:hAnsi="黑体" w:eastAsia="黑体"/>
          <w:kern w:val="44"/>
          <w:sz w:val="44"/>
          <w:szCs w:val="24"/>
        </w:rPr>
        <w:t>四部分  附件</w:t>
      </w:r>
      <w:bookmarkEnd w:id="24"/>
    </w:p>
    <w:p w14:paraId="574540E8">
      <w:pPr>
        <w:keepNext/>
        <w:keepLines/>
        <w:pageBreakBefore w:val="0"/>
        <w:widowControl w:val="0"/>
        <w:kinsoku/>
        <w:wordWrap/>
        <w:overflowPunct/>
        <w:topLinePunct w:val="0"/>
        <w:autoSpaceDE w:val="0"/>
        <w:autoSpaceDN w:val="0"/>
        <w:bidi w:val="0"/>
        <w:adjustRightInd w:val="0"/>
        <w:snapToGrid/>
        <w:spacing w:beforeLines="0" w:afterLines="0" w:line="576" w:lineRule="exact"/>
        <w:textAlignment w:val="auto"/>
        <w:outlineLvl w:val="2"/>
        <w:rPr>
          <w:rFonts w:hint="eastAsia" w:ascii="方正小标宋简体" w:hAnsi="方正小标宋简体" w:eastAsia="方正小标宋简体"/>
          <w:kern w:val="2"/>
          <w:sz w:val="44"/>
          <w:szCs w:val="24"/>
        </w:rPr>
      </w:pPr>
      <w:bookmarkStart w:id="25" w:name="_Toc8298"/>
      <w:r>
        <w:rPr>
          <w:rFonts w:hint="eastAsia" w:ascii="黑体" w:hAnsi="黑体" w:eastAsia="黑体"/>
          <w:kern w:val="2"/>
          <w:sz w:val="32"/>
          <w:szCs w:val="24"/>
        </w:rPr>
        <w:t>附件1</w:t>
      </w:r>
      <w:bookmarkEnd w:id="25"/>
    </w:p>
    <w:p w14:paraId="18CF38FF">
      <w:pPr>
        <w:keepNext/>
        <w:keepLines/>
        <w:kinsoku/>
        <w:wordWrap/>
        <w:autoSpaceDE w:val="0"/>
        <w:autoSpaceDN w:val="0"/>
        <w:bidi w:val="0"/>
        <w:adjustRightInd w:val="0"/>
        <w:spacing w:beforeLines="0" w:afterLines="0" w:line="576" w:lineRule="exact"/>
        <w:jc w:val="center"/>
        <w:textAlignment w:val="auto"/>
        <w:rPr>
          <w:rFonts w:hint="eastAsia" w:ascii="方正小标宋简体" w:hAnsi="方正小标宋简体" w:eastAsia="方正小标宋简体" w:cs="方正小标宋简体"/>
          <w:kern w:val="2"/>
          <w:sz w:val="44"/>
          <w:szCs w:val="44"/>
        </w:rPr>
      </w:pPr>
      <w:r>
        <w:rPr>
          <w:rFonts w:hint="eastAsia" w:ascii="方正小标宋简体" w:hAnsi="方正小标宋简体" w:eastAsia="方正小标宋简体" w:cs="方正小标宋简体"/>
          <w:kern w:val="2"/>
          <w:sz w:val="44"/>
          <w:szCs w:val="44"/>
        </w:rPr>
        <w:t>2023年中共广元市昭化区委办公室</w:t>
      </w:r>
    </w:p>
    <w:p w14:paraId="736A63D0">
      <w:pPr>
        <w:keepNext/>
        <w:keepLines/>
        <w:kinsoku/>
        <w:wordWrap/>
        <w:autoSpaceDE w:val="0"/>
        <w:autoSpaceDN w:val="0"/>
        <w:bidi w:val="0"/>
        <w:adjustRightInd w:val="0"/>
        <w:spacing w:beforeLines="0" w:afterLines="0" w:line="576" w:lineRule="exact"/>
        <w:jc w:val="center"/>
        <w:textAlignment w:val="auto"/>
        <w:rPr>
          <w:rFonts w:hint="eastAsia" w:ascii="黑体" w:hAnsi="黑体" w:eastAsia="黑体"/>
          <w:color w:val="000000"/>
          <w:sz w:val="44"/>
          <w:szCs w:val="24"/>
          <w:lang w:val="zh-CN"/>
        </w:rPr>
      </w:pPr>
      <w:r>
        <w:rPr>
          <w:rFonts w:hint="eastAsia" w:ascii="方正小标宋简体" w:hAnsi="方正小标宋简体" w:eastAsia="方正小标宋简体" w:cs="方正小标宋简体"/>
          <w:kern w:val="2"/>
          <w:sz w:val="44"/>
          <w:szCs w:val="44"/>
        </w:rPr>
        <w:t>预算</w:t>
      </w:r>
      <w:r>
        <w:rPr>
          <w:rFonts w:hint="eastAsia" w:ascii="方正小标宋简体" w:hAnsi="方正小标宋简体" w:eastAsia="方正小标宋简体" w:cs="方正小标宋简体"/>
          <w:kern w:val="2"/>
          <w:sz w:val="44"/>
          <w:szCs w:val="44"/>
          <w:lang w:val="zh-CN"/>
        </w:rPr>
        <w:t>绩效评价报告</w:t>
      </w:r>
    </w:p>
    <w:p w14:paraId="69460ACA">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spacing w:val="0"/>
          <w:kern w:val="2"/>
          <w:sz w:val="32"/>
          <w:szCs w:val="32"/>
        </w:rPr>
      </w:pPr>
      <w:r>
        <w:rPr>
          <w:rFonts w:hint="eastAsia" w:ascii="黑体" w:hAnsi="宋体" w:eastAsia="黑体" w:cs="黑体"/>
          <w:spacing w:val="0"/>
          <w:kern w:val="2"/>
          <w:sz w:val="32"/>
          <w:szCs w:val="32"/>
          <w:lang w:val="en-US" w:eastAsia="zh-CN"/>
        </w:rPr>
        <w:t>一、预算单位概况</w:t>
      </w:r>
    </w:p>
    <w:p w14:paraId="2CCCD1C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（一）机构职能</w:t>
      </w:r>
    </w:p>
    <w:p w14:paraId="20F14F1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负责区委日常工作的处理、区委领导公务活动的统筹安排、区委重大活动的组织协调；负责区委文件和会议材料的起草、核稿工作；负责区委领导的文秘服务工作；负责区委文书处理、档案管理工作；负责对全区党委系统办公室工作的业务联系和指导工作；负责区党代会、区委全委会、常委会、书记办公会和区委名义召开的综合性大型会议的会务工作；协助区委领导组织会议决定的实施；负责承办中央、省委、市委和区委重大决策、重要工作部署落实情况的督促检查以及领导指示、批示的督查督办工作；对下级党组织或有关部门请示、报告区委的问题提出处理意见，提交有关部门办理或交区委领导审批；负责对上级党委和区委重要工作部署贯彻落实的督查督办，办理政协委员提案；围绕区委的中心工作和领导关注的全局性重大问题，开展调查研究，及时反映情况，提出建议；负责党务信息工作，及时准确地向区委领导及上级领导机关、乡（镇）党委和区级部门提供决策信息；负责全区党政系统的密码通信、密码管理和文电的传递；负责区级部门和乡镇传真通信和党政网运行的指导、管理；根据区委领导指示和工作需要，组织协调区级有关部门的工作，对有关问题提出协调处理意见，报区委领导决；负责区委上传下达工作，及时向区委领导报告重要情况，协助处理各部门向区委反映的重要情况；负责区委机关行政事务、后勤保障和安全保卫工作及接待工作；负责党群各部门的综合协调工作；对区级各部门办公室、各乡镇党政办公室进行</w:t>
      </w:r>
      <w:r>
        <w:rPr>
          <w:rFonts w:hint="eastAsia" w:ascii="仿宋_GB2312" w:eastAsia="仿宋_GB2312" w:cs="仿宋_GB2312"/>
          <w:spacing w:val="0"/>
          <w:kern w:val="2"/>
          <w:sz w:val="32"/>
          <w:szCs w:val="32"/>
          <w:lang w:val="en-US" w:eastAsia="zh-CN"/>
        </w:rPr>
        <w:t>业</w:t>
      </w:r>
      <w:r>
        <w:rPr>
          <w:rFonts w:hint="default" w:ascii="仿宋_GB2312" w:hAnsi="Times New Roman" w:eastAsia="仿宋_GB2312" w:cs="仿宋_GB2312"/>
          <w:spacing w:val="0"/>
          <w:kern w:val="2"/>
          <w:sz w:val="32"/>
          <w:szCs w:val="32"/>
          <w:lang w:val="en-US" w:eastAsia="zh-CN"/>
        </w:rPr>
        <w:t>务指导及职权范围内的综合协调工作；管理区公务服务中心、区委政策研究中心、区目标绩效事务中心、区档案馆、区密钥管理中心；完成区委及上级部门交办的其他工作。</w:t>
      </w:r>
    </w:p>
    <w:p w14:paraId="63869EA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（二）机构组成</w:t>
      </w:r>
    </w:p>
    <w:p w14:paraId="15CB376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区委办公室为一级预算单位,无下属二级预算单位。内设机构</w:t>
      </w:r>
      <w:r>
        <w:rPr>
          <w:rFonts w:hint="default" w:ascii="Times New Roman" w:hAnsi="Times New Roman" w:eastAsia="仿宋_GB2312" w:cs="Times New Roman"/>
          <w:spacing w:val="0"/>
          <w:kern w:val="2"/>
          <w:sz w:val="32"/>
          <w:szCs w:val="32"/>
          <w:lang w:val="en-US" w:eastAsia="zh-CN"/>
        </w:rPr>
        <w:t>9</w:t>
      </w:r>
      <w:r>
        <w:rPr>
          <w:rFonts w:hint="default" w:ascii="仿宋_GB2312" w:hAnsi="Times New Roman" w:eastAsia="仿宋_GB2312" w:cs="仿宋_GB2312"/>
          <w:spacing w:val="0"/>
          <w:kern w:val="2"/>
          <w:sz w:val="32"/>
          <w:szCs w:val="32"/>
          <w:lang w:val="en-US" w:eastAsia="zh-CN"/>
        </w:rPr>
        <w:t>个股室：综合股（督查股）、秘书股、信息调研一股、信息调研二股、法规股、行政股、史志管理和政策研究股（区委改革办秘书股）、保密机要股、档案管理股。</w:t>
      </w:r>
    </w:p>
    <w:p w14:paraId="5A72A499">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（三）人员概况</w:t>
      </w:r>
    </w:p>
    <w:p w14:paraId="019C848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区委办共有编制</w:t>
      </w:r>
      <w:r>
        <w:rPr>
          <w:rFonts w:hint="default" w:ascii="Times New Roman" w:hAnsi="Times New Roman" w:eastAsia="仿宋_GB2312" w:cs="Times New Roman"/>
          <w:spacing w:val="0"/>
          <w:kern w:val="2"/>
          <w:sz w:val="32"/>
          <w:szCs w:val="32"/>
          <w:lang w:val="en-US" w:eastAsia="zh-CN"/>
        </w:rPr>
        <w:t>33</w:t>
      </w:r>
      <w:r>
        <w:rPr>
          <w:rFonts w:hint="default" w:ascii="仿宋_GB2312" w:hAnsi="Times New Roman" w:eastAsia="仿宋_GB2312" w:cs="仿宋_GB2312"/>
          <w:spacing w:val="0"/>
          <w:kern w:val="2"/>
          <w:sz w:val="32"/>
          <w:szCs w:val="32"/>
          <w:lang w:val="en-US" w:eastAsia="zh-CN"/>
        </w:rPr>
        <w:t>名，其中：行政编制</w:t>
      </w:r>
      <w:r>
        <w:rPr>
          <w:rFonts w:hint="default" w:ascii="Times New Roman" w:hAnsi="Times New Roman" w:eastAsia="仿宋_GB2312" w:cs="Times New Roman"/>
          <w:spacing w:val="0"/>
          <w:kern w:val="2"/>
          <w:sz w:val="32"/>
          <w:szCs w:val="32"/>
          <w:lang w:val="en-US" w:eastAsia="zh-CN"/>
        </w:rPr>
        <w:t>16</w:t>
      </w:r>
      <w:r>
        <w:rPr>
          <w:rFonts w:hint="default" w:ascii="仿宋_GB2312" w:hAnsi="Times New Roman" w:eastAsia="仿宋_GB2312" w:cs="仿宋_GB2312"/>
          <w:spacing w:val="0"/>
          <w:kern w:val="2"/>
          <w:sz w:val="32"/>
          <w:szCs w:val="32"/>
          <w:lang w:val="en-US" w:eastAsia="zh-CN"/>
        </w:rPr>
        <w:t>名，事业编制</w:t>
      </w:r>
      <w:r>
        <w:rPr>
          <w:rFonts w:hint="default" w:ascii="Times New Roman" w:hAnsi="Times New Roman" w:eastAsia="仿宋_GB2312" w:cs="Times New Roman"/>
          <w:spacing w:val="0"/>
          <w:kern w:val="2"/>
          <w:sz w:val="32"/>
          <w:szCs w:val="32"/>
          <w:lang w:val="en-US" w:eastAsia="zh-CN"/>
        </w:rPr>
        <w:t>16</w:t>
      </w:r>
      <w:r>
        <w:rPr>
          <w:rFonts w:hint="default" w:ascii="仿宋_GB2312" w:hAnsi="Times New Roman" w:eastAsia="仿宋_GB2312" w:cs="仿宋_GB2312"/>
          <w:spacing w:val="0"/>
          <w:kern w:val="2"/>
          <w:sz w:val="32"/>
          <w:szCs w:val="32"/>
          <w:lang w:val="en-US" w:eastAsia="zh-CN"/>
        </w:rPr>
        <w:t>名，机关工勤</w:t>
      </w:r>
      <w:r>
        <w:rPr>
          <w:rFonts w:hint="default" w:ascii="Times New Roman" w:hAnsi="Times New Roman" w:eastAsia="仿宋_GB2312" w:cs="Times New Roman"/>
          <w:spacing w:val="0"/>
          <w:kern w:val="2"/>
          <w:sz w:val="32"/>
          <w:szCs w:val="32"/>
          <w:lang w:val="en-US" w:eastAsia="zh-CN"/>
        </w:rPr>
        <w:t>1</w:t>
      </w:r>
      <w:r>
        <w:rPr>
          <w:rFonts w:hint="default" w:ascii="仿宋_GB2312" w:hAnsi="Times New Roman" w:eastAsia="仿宋_GB2312" w:cs="仿宋_GB2312"/>
          <w:spacing w:val="0"/>
          <w:kern w:val="2"/>
          <w:sz w:val="32"/>
          <w:szCs w:val="32"/>
          <w:lang w:val="en-US" w:eastAsia="zh-CN"/>
        </w:rPr>
        <w:t>名。</w:t>
      </w: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年末实有在编制内人员</w:t>
      </w:r>
      <w:r>
        <w:rPr>
          <w:rFonts w:hint="default" w:ascii="Times New Roman" w:hAnsi="Times New Roman" w:eastAsia="仿宋_GB2312" w:cs="Times New Roman"/>
          <w:spacing w:val="0"/>
          <w:kern w:val="2"/>
          <w:sz w:val="32"/>
          <w:szCs w:val="32"/>
          <w:lang w:val="en-US" w:eastAsia="zh-CN"/>
        </w:rPr>
        <w:t>23</w:t>
      </w:r>
      <w:r>
        <w:rPr>
          <w:rFonts w:hint="default" w:ascii="仿宋_GB2312" w:hAnsi="Times New Roman" w:eastAsia="仿宋_GB2312" w:cs="仿宋_GB2312"/>
          <w:spacing w:val="0"/>
          <w:kern w:val="2"/>
          <w:sz w:val="32"/>
          <w:szCs w:val="32"/>
          <w:lang w:val="en-US" w:eastAsia="zh-CN"/>
        </w:rPr>
        <w:t>人，其中：行政人员</w:t>
      </w:r>
      <w:r>
        <w:rPr>
          <w:rFonts w:hint="default" w:ascii="Times New Roman" w:hAnsi="Times New Roman" w:eastAsia="仿宋_GB2312" w:cs="Times New Roman"/>
          <w:spacing w:val="0"/>
          <w:kern w:val="2"/>
          <w:sz w:val="32"/>
          <w:szCs w:val="32"/>
          <w:lang w:val="en-US" w:eastAsia="zh-CN"/>
        </w:rPr>
        <w:t>12</w:t>
      </w:r>
      <w:r>
        <w:rPr>
          <w:rFonts w:hint="default" w:ascii="仿宋_GB2312" w:hAnsi="Times New Roman" w:eastAsia="仿宋_GB2312" w:cs="仿宋_GB2312"/>
          <w:spacing w:val="0"/>
          <w:kern w:val="2"/>
          <w:sz w:val="32"/>
          <w:szCs w:val="32"/>
          <w:lang w:val="en-US" w:eastAsia="zh-CN"/>
        </w:rPr>
        <w:t>人，其他事业人员</w:t>
      </w:r>
      <w:r>
        <w:rPr>
          <w:rFonts w:hint="default" w:ascii="Times New Roman" w:hAnsi="Times New Roman" w:eastAsia="仿宋_GB2312" w:cs="Times New Roman"/>
          <w:spacing w:val="0"/>
          <w:kern w:val="2"/>
          <w:sz w:val="32"/>
          <w:szCs w:val="32"/>
          <w:lang w:val="en-US" w:eastAsia="zh-CN"/>
        </w:rPr>
        <w:t>10</w:t>
      </w:r>
      <w:r>
        <w:rPr>
          <w:rFonts w:hint="default" w:ascii="仿宋_GB2312" w:hAnsi="Times New Roman" w:eastAsia="仿宋_GB2312" w:cs="仿宋_GB2312"/>
          <w:spacing w:val="0"/>
          <w:kern w:val="2"/>
          <w:sz w:val="32"/>
          <w:szCs w:val="32"/>
          <w:lang w:val="en-US" w:eastAsia="zh-CN"/>
        </w:rPr>
        <w:t>人，机关工勤</w:t>
      </w:r>
      <w:r>
        <w:rPr>
          <w:rFonts w:hint="default" w:ascii="Times New Roman" w:hAnsi="Times New Roman" w:eastAsia="仿宋_GB2312" w:cs="Times New Roman"/>
          <w:spacing w:val="0"/>
          <w:kern w:val="2"/>
          <w:sz w:val="32"/>
          <w:szCs w:val="32"/>
          <w:lang w:val="en-US" w:eastAsia="zh-CN"/>
        </w:rPr>
        <w:t>1</w:t>
      </w:r>
      <w:r>
        <w:rPr>
          <w:rFonts w:hint="default" w:ascii="仿宋_GB2312" w:hAnsi="Times New Roman" w:eastAsia="仿宋_GB2312" w:cs="仿宋_GB2312"/>
          <w:spacing w:val="0"/>
          <w:kern w:val="2"/>
          <w:sz w:val="32"/>
          <w:szCs w:val="32"/>
          <w:lang w:val="en-US" w:eastAsia="zh-CN"/>
        </w:rPr>
        <w:t>人。按财政供给率分，均为财政全额供给。</w:t>
      </w:r>
    </w:p>
    <w:p w14:paraId="73BDAC6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（四）当年重点工作任务概述</w:t>
      </w:r>
    </w:p>
    <w:p w14:paraId="3369DA3F">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区委办公室将把牢区委中枢部门定位，一是旗帜鲜明讲政治，把学习宣传贯彻党的二十大精神作为当前和今后一个时期的首要政治任务，推出围绕党的二十大精神部署的创新事项，办好专题民主生活会和专题组织生活会，推动党的二十大精神在全办落地生根、开花结果。二是坚定不移推进全面从严治党，把严的主基调贯穿始终，全面贯彻落实中央八项规定精神，将党风廉政建设和反腐败工作与日常工作同推进，弘扬廉洁文化，营造政治清明、机关清廉、干部清正、风气清朗的政治生态和发展环境。三是推动以文辅政见成效，进一步提高政策研究工作的前瞻性、计划性、主动性，解放文稿写作思维，结合当前工作实际，高质量完成一批具有前瞻性、针对性、含金量高的专题研究，明确未来政策实施方向，谋划推进新一批重大改革项目，推动昭化经济社会发展。四是围绕区委中心工作，进一步规范公文办理、改进督查督办方式方法，加强对改革工作的总体指导和协调督促，坚守党委信息工作核心职能，广泛搜集经济和社会发展信息，紧抓快办，助力决策部署推动落实。</w:t>
      </w:r>
    </w:p>
    <w:p w14:paraId="45B05B9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spacing w:val="0"/>
          <w:kern w:val="2"/>
          <w:sz w:val="32"/>
          <w:szCs w:val="32"/>
        </w:rPr>
      </w:pPr>
      <w:r>
        <w:rPr>
          <w:rFonts w:hint="eastAsia" w:ascii="黑体" w:hAnsi="宋体" w:eastAsia="黑体" w:cs="黑体"/>
          <w:spacing w:val="0"/>
          <w:kern w:val="2"/>
          <w:sz w:val="32"/>
          <w:szCs w:val="32"/>
          <w:lang w:val="en-US" w:eastAsia="zh-CN"/>
        </w:rPr>
        <w:t>二、预算单位财政收支情况</w:t>
      </w:r>
    </w:p>
    <w:p w14:paraId="77B70A6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（一）单位财政资金收入情况</w:t>
      </w:r>
    </w:p>
    <w:p w14:paraId="64D8D17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区委办</w:t>
      </w: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年一般公共预算收入</w:t>
      </w:r>
      <w:r>
        <w:rPr>
          <w:rFonts w:hint="default" w:ascii="Times New Roman" w:hAnsi="Times New Roman" w:eastAsia="仿宋_GB2312" w:cs="Times New Roman"/>
          <w:spacing w:val="0"/>
          <w:kern w:val="2"/>
          <w:sz w:val="32"/>
          <w:szCs w:val="32"/>
          <w:lang w:val="en-US" w:eastAsia="zh-CN"/>
        </w:rPr>
        <w:t>1303</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16</w:t>
      </w:r>
      <w:r>
        <w:rPr>
          <w:rFonts w:hint="default" w:ascii="仿宋_GB2312" w:hAnsi="Times New Roman" w:eastAsia="仿宋_GB2312" w:cs="仿宋_GB2312"/>
          <w:spacing w:val="0"/>
          <w:kern w:val="2"/>
          <w:sz w:val="32"/>
          <w:szCs w:val="32"/>
          <w:lang w:val="en-US" w:eastAsia="zh-CN"/>
        </w:rPr>
        <w:t>万元。其中：人员经费</w:t>
      </w:r>
      <w:r>
        <w:rPr>
          <w:rFonts w:hint="default" w:ascii="Times New Roman" w:hAnsi="Times New Roman" w:eastAsia="仿宋_GB2312" w:cs="Times New Roman"/>
          <w:spacing w:val="0"/>
          <w:kern w:val="2"/>
          <w:sz w:val="32"/>
          <w:szCs w:val="32"/>
          <w:lang w:val="en-US" w:eastAsia="zh-CN"/>
        </w:rPr>
        <w:t>385</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92</w:t>
      </w:r>
      <w:r>
        <w:rPr>
          <w:rFonts w:hint="default" w:ascii="仿宋_GB2312" w:hAnsi="Times New Roman" w:eastAsia="仿宋_GB2312" w:cs="仿宋_GB2312"/>
          <w:spacing w:val="0"/>
          <w:kern w:val="2"/>
          <w:sz w:val="32"/>
          <w:szCs w:val="32"/>
          <w:lang w:val="en-US" w:eastAsia="zh-CN"/>
        </w:rPr>
        <w:t>万元，占</w:t>
      </w:r>
      <w:r>
        <w:rPr>
          <w:rFonts w:hint="default" w:ascii="Times New Roman" w:hAnsi="Times New Roman" w:eastAsia="仿宋_GB2312" w:cs="Times New Roman"/>
          <w:spacing w:val="0"/>
          <w:kern w:val="2"/>
          <w:sz w:val="32"/>
          <w:szCs w:val="32"/>
          <w:lang w:val="en-US" w:eastAsia="zh-CN"/>
        </w:rPr>
        <w:t>29</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61</w:t>
      </w:r>
      <w:r>
        <w:rPr>
          <w:rFonts w:hint="default" w:ascii="仿宋_GB2312" w:hAnsi="Times New Roman" w:eastAsia="仿宋_GB2312" w:cs="仿宋_GB2312"/>
          <w:spacing w:val="0"/>
          <w:kern w:val="2"/>
          <w:sz w:val="32"/>
          <w:szCs w:val="32"/>
          <w:lang w:val="en-US" w:eastAsia="zh-CN"/>
        </w:rPr>
        <w:t>%；日常公用经费</w:t>
      </w:r>
      <w:r>
        <w:rPr>
          <w:rFonts w:hint="default" w:ascii="Times New Roman" w:hAnsi="Times New Roman" w:eastAsia="仿宋_GB2312" w:cs="Times New Roman"/>
          <w:spacing w:val="0"/>
          <w:kern w:val="2"/>
          <w:sz w:val="32"/>
          <w:szCs w:val="32"/>
          <w:lang w:val="en-US" w:eastAsia="zh-CN"/>
        </w:rPr>
        <w:t>417</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24</w:t>
      </w:r>
      <w:r>
        <w:rPr>
          <w:rFonts w:hint="default" w:ascii="仿宋_GB2312" w:hAnsi="Times New Roman" w:eastAsia="仿宋_GB2312" w:cs="仿宋_GB2312"/>
          <w:spacing w:val="0"/>
          <w:kern w:val="2"/>
          <w:sz w:val="32"/>
          <w:szCs w:val="32"/>
          <w:lang w:val="en-US" w:eastAsia="zh-CN"/>
        </w:rPr>
        <w:t>万元，占</w:t>
      </w:r>
      <w:r>
        <w:rPr>
          <w:rFonts w:hint="default" w:ascii="Times New Roman" w:hAnsi="Times New Roman" w:eastAsia="仿宋_GB2312" w:cs="Times New Roman"/>
          <w:spacing w:val="0"/>
          <w:kern w:val="2"/>
          <w:sz w:val="32"/>
          <w:szCs w:val="32"/>
          <w:lang w:val="en-US" w:eastAsia="zh-CN"/>
        </w:rPr>
        <w:t>32</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02</w:t>
      </w:r>
      <w:r>
        <w:rPr>
          <w:rFonts w:hint="default" w:ascii="仿宋_GB2312" w:hAnsi="Times New Roman" w:eastAsia="仿宋_GB2312" w:cs="仿宋_GB2312"/>
          <w:spacing w:val="0"/>
          <w:kern w:val="2"/>
          <w:sz w:val="32"/>
          <w:szCs w:val="32"/>
          <w:lang w:val="en-US" w:eastAsia="zh-CN"/>
        </w:rPr>
        <w:t>%，项目支出</w:t>
      </w:r>
      <w:r>
        <w:rPr>
          <w:rFonts w:hint="default" w:ascii="Times New Roman" w:hAnsi="Times New Roman" w:eastAsia="仿宋_GB2312" w:cs="Times New Roman"/>
          <w:spacing w:val="0"/>
          <w:kern w:val="2"/>
          <w:sz w:val="32"/>
          <w:szCs w:val="32"/>
          <w:lang w:val="en-US" w:eastAsia="zh-CN"/>
        </w:rPr>
        <w:t>500</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w:t>
      </w:r>
      <w:r>
        <w:rPr>
          <w:rFonts w:hint="default" w:ascii="仿宋_GB2312" w:hAnsi="Times New Roman" w:eastAsia="仿宋_GB2312" w:cs="仿宋_GB2312"/>
          <w:spacing w:val="0"/>
          <w:kern w:val="2"/>
          <w:sz w:val="32"/>
          <w:szCs w:val="32"/>
          <w:lang w:val="en-US" w:eastAsia="zh-CN"/>
        </w:rPr>
        <w:t>万元，占</w:t>
      </w:r>
      <w:r>
        <w:rPr>
          <w:rFonts w:hint="default" w:ascii="Times New Roman" w:hAnsi="Times New Roman" w:eastAsia="仿宋_GB2312" w:cs="Times New Roman"/>
          <w:spacing w:val="0"/>
          <w:kern w:val="2"/>
          <w:sz w:val="32"/>
          <w:szCs w:val="32"/>
          <w:lang w:val="en-US" w:eastAsia="zh-CN"/>
        </w:rPr>
        <w:t>38</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37</w:t>
      </w:r>
      <w:r>
        <w:rPr>
          <w:rFonts w:hint="default" w:ascii="仿宋_GB2312" w:hAnsi="Times New Roman" w:eastAsia="仿宋_GB2312" w:cs="仿宋_GB2312"/>
          <w:spacing w:val="0"/>
          <w:kern w:val="2"/>
          <w:sz w:val="32"/>
          <w:szCs w:val="32"/>
          <w:lang w:val="en-US" w:eastAsia="zh-CN"/>
        </w:rPr>
        <w:t>%。</w:t>
      </w:r>
    </w:p>
    <w:p w14:paraId="7F2ECE9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（二）单位财政支出情况</w:t>
      </w:r>
    </w:p>
    <w:p w14:paraId="7A7C92F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区委办</w:t>
      </w: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 xml:space="preserve">年一般公共预算财政拨款支出 </w:t>
      </w:r>
      <w:r>
        <w:rPr>
          <w:rFonts w:hint="default" w:ascii="Times New Roman" w:hAnsi="Times New Roman" w:eastAsia="仿宋_GB2312" w:cs="Times New Roman"/>
          <w:spacing w:val="0"/>
          <w:kern w:val="2"/>
          <w:sz w:val="32"/>
          <w:szCs w:val="32"/>
          <w:lang w:val="en-US" w:eastAsia="zh-CN"/>
        </w:rPr>
        <w:t>1303</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16</w:t>
      </w:r>
      <w:r>
        <w:rPr>
          <w:rFonts w:hint="default" w:ascii="仿宋_GB2312" w:hAnsi="Times New Roman" w:eastAsia="仿宋_GB2312" w:cs="仿宋_GB2312"/>
          <w:spacing w:val="0"/>
          <w:kern w:val="2"/>
          <w:sz w:val="32"/>
          <w:szCs w:val="32"/>
          <w:lang w:val="en-US" w:eastAsia="zh-CN"/>
        </w:rPr>
        <w:t>万元。其中：</w:t>
      </w:r>
    </w:p>
    <w:p w14:paraId="35772BB6">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人员经费</w:t>
      </w:r>
      <w:r>
        <w:rPr>
          <w:rFonts w:hint="default" w:ascii="Times New Roman" w:hAnsi="Times New Roman" w:eastAsia="仿宋_GB2312" w:cs="Times New Roman"/>
          <w:spacing w:val="0"/>
          <w:kern w:val="2"/>
          <w:sz w:val="32"/>
          <w:szCs w:val="32"/>
          <w:lang w:val="en-US" w:eastAsia="zh-CN"/>
        </w:rPr>
        <w:t>385</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92</w:t>
      </w:r>
      <w:r>
        <w:rPr>
          <w:rFonts w:hint="default" w:ascii="仿宋_GB2312" w:hAnsi="Times New Roman" w:eastAsia="仿宋_GB2312" w:cs="仿宋_GB2312"/>
          <w:spacing w:val="0"/>
          <w:kern w:val="2"/>
          <w:sz w:val="32"/>
          <w:szCs w:val="32"/>
          <w:lang w:val="en-US" w:eastAsia="zh-CN"/>
        </w:rPr>
        <w:t>万元，主要包括：基本工资</w:t>
      </w:r>
      <w:r>
        <w:rPr>
          <w:rFonts w:hint="default" w:ascii="Times New Roman" w:hAnsi="Times New Roman" w:eastAsia="仿宋_GB2312" w:cs="Times New Roman"/>
          <w:spacing w:val="0"/>
          <w:kern w:val="2"/>
          <w:sz w:val="32"/>
          <w:szCs w:val="32"/>
          <w:lang w:val="en-US" w:eastAsia="zh-CN"/>
        </w:rPr>
        <w:t>105</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82</w:t>
      </w:r>
      <w:r>
        <w:rPr>
          <w:rFonts w:hint="default" w:ascii="仿宋_GB2312" w:hAnsi="Times New Roman" w:eastAsia="仿宋_GB2312" w:cs="仿宋_GB2312"/>
          <w:spacing w:val="0"/>
          <w:kern w:val="2"/>
          <w:sz w:val="32"/>
          <w:szCs w:val="32"/>
          <w:lang w:val="en-US" w:eastAsia="zh-CN"/>
        </w:rPr>
        <w:t>万元、津贴补贴</w:t>
      </w:r>
      <w:r>
        <w:rPr>
          <w:rFonts w:hint="default" w:ascii="Times New Roman" w:hAnsi="Times New Roman" w:eastAsia="仿宋_GB2312" w:cs="Times New Roman"/>
          <w:spacing w:val="0"/>
          <w:kern w:val="2"/>
          <w:sz w:val="32"/>
          <w:szCs w:val="32"/>
          <w:lang w:val="en-US" w:eastAsia="zh-CN"/>
        </w:rPr>
        <w:t>39</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75</w:t>
      </w:r>
      <w:r>
        <w:rPr>
          <w:rFonts w:hint="default" w:ascii="仿宋_GB2312" w:hAnsi="Times New Roman" w:eastAsia="仿宋_GB2312" w:cs="仿宋_GB2312"/>
          <w:spacing w:val="0"/>
          <w:kern w:val="2"/>
          <w:sz w:val="32"/>
          <w:szCs w:val="32"/>
          <w:lang w:val="en-US" w:eastAsia="zh-CN"/>
        </w:rPr>
        <w:t>万元、奖金</w:t>
      </w:r>
      <w:r>
        <w:rPr>
          <w:rFonts w:hint="default" w:ascii="Times New Roman" w:hAnsi="Times New Roman" w:eastAsia="仿宋_GB2312" w:cs="Times New Roman"/>
          <w:spacing w:val="0"/>
          <w:kern w:val="2"/>
          <w:sz w:val="32"/>
          <w:szCs w:val="32"/>
          <w:lang w:val="en-US" w:eastAsia="zh-CN"/>
        </w:rPr>
        <w:t>91</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53</w:t>
      </w:r>
      <w:r>
        <w:rPr>
          <w:rFonts w:hint="default" w:ascii="仿宋_GB2312" w:hAnsi="Times New Roman" w:eastAsia="仿宋_GB2312" w:cs="仿宋_GB2312"/>
          <w:spacing w:val="0"/>
          <w:kern w:val="2"/>
          <w:sz w:val="32"/>
          <w:szCs w:val="32"/>
          <w:lang w:val="en-US" w:eastAsia="zh-CN"/>
        </w:rPr>
        <w:t>万元、绩效工资</w:t>
      </w:r>
      <w:r>
        <w:rPr>
          <w:rFonts w:hint="default" w:ascii="Times New Roman" w:hAnsi="Times New Roman" w:eastAsia="仿宋_GB2312" w:cs="Times New Roman"/>
          <w:spacing w:val="0"/>
          <w:kern w:val="2"/>
          <w:sz w:val="32"/>
          <w:szCs w:val="32"/>
          <w:lang w:val="en-US" w:eastAsia="zh-CN"/>
        </w:rPr>
        <w:t>36</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33</w:t>
      </w:r>
      <w:r>
        <w:rPr>
          <w:rFonts w:hint="default" w:ascii="仿宋_GB2312" w:hAnsi="Times New Roman" w:eastAsia="仿宋_GB2312" w:cs="仿宋_GB2312"/>
          <w:spacing w:val="0"/>
          <w:kern w:val="2"/>
          <w:sz w:val="32"/>
          <w:szCs w:val="32"/>
          <w:lang w:val="en-US" w:eastAsia="zh-CN"/>
        </w:rPr>
        <w:t>万元、机关事业单位基本养老保险缴费</w:t>
      </w:r>
      <w:r>
        <w:rPr>
          <w:rFonts w:hint="default" w:ascii="Times New Roman" w:hAnsi="Times New Roman" w:eastAsia="仿宋_GB2312" w:cs="Times New Roman"/>
          <w:spacing w:val="0"/>
          <w:kern w:val="2"/>
          <w:sz w:val="32"/>
          <w:szCs w:val="32"/>
          <w:lang w:val="en-US" w:eastAsia="zh-CN"/>
        </w:rPr>
        <w:t>34</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13</w:t>
      </w:r>
      <w:r>
        <w:rPr>
          <w:rFonts w:hint="default" w:ascii="仿宋_GB2312" w:hAnsi="Times New Roman" w:eastAsia="仿宋_GB2312" w:cs="仿宋_GB2312"/>
          <w:spacing w:val="0"/>
          <w:kern w:val="2"/>
          <w:sz w:val="32"/>
          <w:szCs w:val="32"/>
          <w:lang w:val="en-US" w:eastAsia="zh-CN"/>
        </w:rPr>
        <w:t>万元、职工基本医疗保险缴费</w:t>
      </w:r>
      <w:r>
        <w:rPr>
          <w:rFonts w:hint="default" w:ascii="Times New Roman" w:hAnsi="Times New Roman" w:eastAsia="仿宋_GB2312" w:cs="Times New Roman"/>
          <w:spacing w:val="0"/>
          <w:kern w:val="2"/>
          <w:sz w:val="32"/>
          <w:szCs w:val="32"/>
          <w:lang w:val="en-US" w:eastAsia="zh-CN"/>
        </w:rPr>
        <w:t>12</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41</w:t>
      </w:r>
      <w:r>
        <w:rPr>
          <w:rFonts w:hint="default" w:ascii="仿宋_GB2312" w:hAnsi="Times New Roman" w:eastAsia="仿宋_GB2312" w:cs="仿宋_GB2312"/>
          <w:spacing w:val="0"/>
          <w:kern w:val="2"/>
          <w:sz w:val="32"/>
          <w:szCs w:val="32"/>
          <w:lang w:val="en-US" w:eastAsia="zh-CN"/>
        </w:rPr>
        <w:t>万元、住房公积金</w:t>
      </w:r>
      <w:r>
        <w:rPr>
          <w:rFonts w:hint="default" w:ascii="Times New Roman" w:hAnsi="Times New Roman" w:eastAsia="仿宋_GB2312" w:cs="Times New Roman"/>
          <w:spacing w:val="0"/>
          <w:kern w:val="2"/>
          <w:sz w:val="32"/>
          <w:szCs w:val="32"/>
          <w:lang w:val="en-US" w:eastAsia="zh-CN"/>
        </w:rPr>
        <w:t>28</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43</w:t>
      </w:r>
      <w:r>
        <w:rPr>
          <w:rFonts w:hint="default" w:ascii="仿宋_GB2312" w:hAnsi="Times New Roman" w:eastAsia="仿宋_GB2312" w:cs="仿宋_GB2312"/>
          <w:spacing w:val="0"/>
          <w:kern w:val="2"/>
          <w:sz w:val="32"/>
          <w:szCs w:val="32"/>
          <w:lang w:val="en-US" w:eastAsia="zh-CN"/>
        </w:rPr>
        <w:t>万元、其他工资福利支出</w:t>
      </w:r>
      <w:r>
        <w:rPr>
          <w:rFonts w:hint="default" w:ascii="Times New Roman" w:hAnsi="Times New Roman" w:eastAsia="仿宋_GB2312" w:cs="Times New Roman"/>
          <w:spacing w:val="0"/>
          <w:kern w:val="2"/>
          <w:sz w:val="32"/>
          <w:szCs w:val="32"/>
          <w:lang w:val="en-US" w:eastAsia="zh-CN"/>
        </w:rPr>
        <w:t>8</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65</w:t>
      </w:r>
      <w:r>
        <w:rPr>
          <w:rFonts w:hint="default" w:ascii="仿宋_GB2312" w:hAnsi="Times New Roman" w:eastAsia="仿宋_GB2312" w:cs="仿宋_GB2312"/>
          <w:spacing w:val="0"/>
          <w:kern w:val="2"/>
          <w:sz w:val="32"/>
          <w:szCs w:val="32"/>
          <w:lang w:val="en-US" w:eastAsia="zh-CN"/>
        </w:rPr>
        <w:t>万元、生活补助</w:t>
      </w:r>
      <w:r>
        <w:rPr>
          <w:rFonts w:hint="default" w:ascii="Times New Roman" w:hAnsi="Times New Roman" w:eastAsia="仿宋_GB2312" w:cs="Times New Roman"/>
          <w:spacing w:val="0"/>
          <w:kern w:val="2"/>
          <w:sz w:val="32"/>
          <w:szCs w:val="32"/>
          <w:lang w:val="en-US" w:eastAsia="zh-CN"/>
        </w:rPr>
        <w:t>7</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05</w:t>
      </w:r>
      <w:r>
        <w:rPr>
          <w:rFonts w:hint="default" w:ascii="仿宋_GB2312" w:hAnsi="Times New Roman" w:eastAsia="仿宋_GB2312" w:cs="仿宋_GB2312"/>
          <w:spacing w:val="0"/>
          <w:kern w:val="2"/>
          <w:sz w:val="32"/>
          <w:szCs w:val="32"/>
          <w:lang w:val="en-US" w:eastAsia="zh-CN"/>
        </w:rPr>
        <w:t>万元、奖励金</w:t>
      </w:r>
      <w:r>
        <w:rPr>
          <w:rFonts w:hint="default" w:ascii="Times New Roman" w:hAnsi="Times New Roman" w:eastAsia="仿宋_GB2312" w:cs="Times New Roman"/>
          <w:spacing w:val="0"/>
          <w:kern w:val="2"/>
          <w:sz w:val="32"/>
          <w:szCs w:val="32"/>
          <w:lang w:val="en-US" w:eastAsia="zh-CN"/>
        </w:rPr>
        <w:t>0</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05</w:t>
      </w:r>
      <w:r>
        <w:rPr>
          <w:rFonts w:hint="default" w:ascii="仿宋_GB2312" w:hAnsi="Times New Roman" w:eastAsia="仿宋_GB2312" w:cs="仿宋_GB2312"/>
          <w:spacing w:val="0"/>
          <w:kern w:val="2"/>
          <w:sz w:val="32"/>
          <w:szCs w:val="32"/>
          <w:lang w:val="en-US" w:eastAsia="zh-CN"/>
        </w:rPr>
        <w:t>万元、抚恤金</w:t>
      </w:r>
      <w:r>
        <w:rPr>
          <w:rFonts w:hint="default" w:ascii="Times New Roman" w:hAnsi="Times New Roman" w:eastAsia="仿宋_GB2312" w:cs="Times New Roman"/>
          <w:spacing w:val="0"/>
          <w:kern w:val="2"/>
          <w:sz w:val="32"/>
          <w:szCs w:val="32"/>
          <w:lang w:val="en-US" w:eastAsia="zh-CN"/>
        </w:rPr>
        <w:t>21</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76</w:t>
      </w:r>
      <w:r>
        <w:rPr>
          <w:rFonts w:hint="default" w:ascii="仿宋_GB2312" w:hAnsi="Times New Roman" w:eastAsia="仿宋_GB2312" w:cs="仿宋_GB2312"/>
          <w:spacing w:val="0"/>
          <w:kern w:val="2"/>
          <w:sz w:val="32"/>
          <w:szCs w:val="32"/>
          <w:lang w:val="en-US" w:eastAsia="zh-CN"/>
        </w:rPr>
        <w:t>万元。</w:t>
      </w:r>
    </w:p>
    <w:p w14:paraId="17066E1F">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日常公用经费</w:t>
      </w:r>
      <w:r>
        <w:rPr>
          <w:rFonts w:hint="default" w:ascii="Times New Roman" w:hAnsi="Times New Roman" w:eastAsia="仿宋_GB2312" w:cs="Times New Roman"/>
          <w:spacing w:val="0"/>
          <w:kern w:val="2"/>
          <w:sz w:val="32"/>
          <w:szCs w:val="32"/>
          <w:lang w:val="en-US" w:eastAsia="zh-CN"/>
        </w:rPr>
        <w:t>417</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24</w:t>
      </w:r>
      <w:r>
        <w:rPr>
          <w:rFonts w:hint="default" w:ascii="仿宋_GB2312" w:hAnsi="Times New Roman" w:eastAsia="仿宋_GB2312" w:cs="仿宋_GB2312"/>
          <w:spacing w:val="0"/>
          <w:kern w:val="2"/>
          <w:sz w:val="32"/>
          <w:szCs w:val="32"/>
          <w:lang w:val="en-US" w:eastAsia="zh-CN"/>
        </w:rPr>
        <w:t>万元，主要包括：办公费</w:t>
      </w:r>
      <w:r>
        <w:rPr>
          <w:rFonts w:hint="default" w:ascii="Times New Roman" w:hAnsi="Times New Roman" w:eastAsia="仿宋_GB2312" w:cs="Times New Roman"/>
          <w:spacing w:val="0"/>
          <w:kern w:val="2"/>
          <w:sz w:val="32"/>
          <w:szCs w:val="32"/>
          <w:lang w:val="en-US" w:eastAsia="zh-CN"/>
        </w:rPr>
        <w:t>76</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w:t>
      </w:r>
      <w:r>
        <w:rPr>
          <w:rFonts w:hint="default" w:ascii="仿宋_GB2312" w:hAnsi="Times New Roman" w:eastAsia="仿宋_GB2312" w:cs="仿宋_GB2312"/>
          <w:spacing w:val="0"/>
          <w:kern w:val="2"/>
          <w:sz w:val="32"/>
          <w:szCs w:val="32"/>
          <w:lang w:val="en-US" w:eastAsia="zh-CN"/>
        </w:rPr>
        <w:t>万元、印刷费</w:t>
      </w:r>
      <w:r>
        <w:rPr>
          <w:rFonts w:hint="default" w:ascii="Times New Roman" w:hAnsi="Times New Roman" w:eastAsia="仿宋_GB2312" w:cs="Times New Roman"/>
          <w:spacing w:val="0"/>
          <w:kern w:val="2"/>
          <w:sz w:val="32"/>
          <w:szCs w:val="32"/>
          <w:lang w:val="en-US" w:eastAsia="zh-CN"/>
        </w:rPr>
        <w:t>86</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w:t>
      </w:r>
      <w:r>
        <w:rPr>
          <w:rFonts w:hint="default" w:ascii="仿宋_GB2312" w:hAnsi="Times New Roman" w:eastAsia="仿宋_GB2312" w:cs="仿宋_GB2312"/>
          <w:spacing w:val="0"/>
          <w:kern w:val="2"/>
          <w:sz w:val="32"/>
          <w:szCs w:val="32"/>
          <w:lang w:val="en-US" w:eastAsia="zh-CN"/>
        </w:rPr>
        <w:t>万元、差旅费</w:t>
      </w:r>
      <w:r>
        <w:rPr>
          <w:rFonts w:hint="default" w:ascii="Times New Roman" w:hAnsi="Times New Roman" w:eastAsia="仿宋_GB2312" w:cs="Times New Roman"/>
          <w:spacing w:val="0"/>
          <w:kern w:val="2"/>
          <w:sz w:val="32"/>
          <w:szCs w:val="32"/>
          <w:lang w:val="en-US" w:eastAsia="zh-CN"/>
        </w:rPr>
        <w:t>79</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000</w:t>
      </w:r>
      <w:r>
        <w:rPr>
          <w:rFonts w:hint="default" w:ascii="仿宋_GB2312" w:hAnsi="Times New Roman" w:eastAsia="仿宋_GB2312" w:cs="仿宋_GB2312"/>
          <w:spacing w:val="0"/>
          <w:kern w:val="2"/>
          <w:sz w:val="32"/>
          <w:szCs w:val="32"/>
          <w:lang w:val="en-US" w:eastAsia="zh-CN"/>
        </w:rPr>
        <w:t>万元、会议费</w:t>
      </w:r>
      <w:r>
        <w:rPr>
          <w:rFonts w:hint="default" w:ascii="Times New Roman" w:hAnsi="Times New Roman" w:eastAsia="仿宋_GB2312" w:cs="Times New Roman"/>
          <w:spacing w:val="0"/>
          <w:kern w:val="2"/>
          <w:sz w:val="32"/>
          <w:szCs w:val="32"/>
          <w:lang w:val="en-US" w:eastAsia="zh-CN"/>
        </w:rPr>
        <w:t>48</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w:t>
      </w:r>
      <w:r>
        <w:rPr>
          <w:rFonts w:hint="default" w:ascii="仿宋_GB2312" w:hAnsi="Times New Roman" w:eastAsia="仿宋_GB2312" w:cs="仿宋_GB2312"/>
          <w:spacing w:val="0"/>
          <w:kern w:val="2"/>
          <w:sz w:val="32"/>
          <w:szCs w:val="32"/>
          <w:lang w:val="en-US" w:eastAsia="zh-CN"/>
        </w:rPr>
        <w:t>万元、培训费</w:t>
      </w:r>
      <w:r>
        <w:rPr>
          <w:rFonts w:hint="default" w:ascii="Times New Roman" w:hAnsi="Times New Roman" w:eastAsia="仿宋_GB2312" w:cs="Times New Roman"/>
          <w:spacing w:val="0"/>
          <w:kern w:val="2"/>
          <w:sz w:val="32"/>
          <w:szCs w:val="32"/>
          <w:lang w:val="en-US" w:eastAsia="zh-CN"/>
        </w:rPr>
        <w:t>27</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60</w:t>
      </w:r>
      <w:r>
        <w:rPr>
          <w:rFonts w:hint="default" w:ascii="仿宋_GB2312" w:hAnsi="Times New Roman" w:eastAsia="仿宋_GB2312" w:cs="仿宋_GB2312"/>
          <w:spacing w:val="0"/>
          <w:kern w:val="2"/>
          <w:sz w:val="32"/>
          <w:szCs w:val="32"/>
          <w:lang w:val="en-US" w:eastAsia="zh-CN"/>
        </w:rPr>
        <w:t>万元、公务接待费</w:t>
      </w:r>
      <w:r>
        <w:rPr>
          <w:rFonts w:hint="default" w:ascii="Times New Roman" w:hAnsi="Times New Roman" w:eastAsia="仿宋_GB2312" w:cs="Times New Roman"/>
          <w:spacing w:val="0"/>
          <w:kern w:val="2"/>
          <w:sz w:val="32"/>
          <w:szCs w:val="32"/>
          <w:lang w:val="en-US" w:eastAsia="zh-CN"/>
        </w:rPr>
        <w:t>12</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40</w:t>
      </w:r>
      <w:r>
        <w:rPr>
          <w:rFonts w:hint="default" w:ascii="仿宋_GB2312" w:hAnsi="Times New Roman" w:eastAsia="仿宋_GB2312" w:cs="仿宋_GB2312"/>
          <w:spacing w:val="0"/>
          <w:kern w:val="2"/>
          <w:sz w:val="32"/>
          <w:szCs w:val="32"/>
          <w:lang w:val="en-US" w:eastAsia="zh-CN"/>
        </w:rPr>
        <w:t>万元、劳务费</w:t>
      </w:r>
      <w:r>
        <w:rPr>
          <w:rFonts w:hint="default" w:ascii="Times New Roman" w:hAnsi="Times New Roman" w:eastAsia="仿宋_GB2312" w:cs="Times New Roman"/>
          <w:spacing w:val="0"/>
          <w:kern w:val="2"/>
          <w:sz w:val="32"/>
          <w:szCs w:val="32"/>
          <w:lang w:val="en-US" w:eastAsia="zh-CN"/>
        </w:rPr>
        <w:t>28</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50</w:t>
      </w:r>
      <w:r>
        <w:rPr>
          <w:rFonts w:hint="default" w:ascii="仿宋_GB2312" w:hAnsi="Times New Roman" w:eastAsia="仿宋_GB2312" w:cs="仿宋_GB2312"/>
          <w:spacing w:val="0"/>
          <w:kern w:val="2"/>
          <w:sz w:val="32"/>
          <w:szCs w:val="32"/>
          <w:lang w:val="en-US" w:eastAsia="zh-CN"/>
        </w:rPr>
        <w:t>万元、工会经费</w:t>
      </w:r>
      <w:r>
        <w:rPr>
          <w:rFonts w:hint="default" w:ascii="Times New Roman" w:hAnsi="Times New Roman" w:eastAsia="仿宋_GB2312" w:cs="Times New Roman"/>
          <w:spacing w:val="0"/>
          <w:kern w:val="2"/>
          <w:sz w:val="32"/>
          <w:szCs w:val="32"/>
          <w:lang w:val="en-US" w:eastAsia="zh-CN"/>
        </w:rPr>
        <w:t>1</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71</w:t>
      </w:r>
      <w:r>
        <w:rPr>
          <w:rFonts w:hint="default" w:ascii="仿宋_GB2312" w:hAnsi="Times New Roman" w:eastAsia="仿宋_GB2312" w:cs="仿宋_GB2312"/>
          <w:spacing w:val="0"/>
          <w:kern w:val="2"/>
          <w:sz w:val="32"/>
          <w:szCs w:val="32"/>
          <w:lang w:val="en-US" w:eastAsia="zh-CN"/>
        </w:rPr>
        <w:t>万元、维修（护）费</w:t>
      </w:r>
      <w:r>
        <w:rPr>
          <w:rFonts w:hint="default" w:ascii="Times New Roman" w:hAnsi="Times New Roman" w:eastAsia="仿宋_GB2312" w:cs="Times New Roman"/>
          <w:spacing w:val="0"/>
          <w:kern w:val="2"/>
          <w:sz w:val="32"/>
          <w:szCs w:val="32"/>
          <w:lang w:val="en-US" w:eastAsia="zh-CN"/>
        </w:rPr>
        <w:t>6</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w:t>
      </w:r>
      <w:r>
        <w:rPr>
          <w:rFonts w:hint="default" w:ascii="仿宋_GB2312" w:hAnsi="Times New Roman" w:eastAsia="仿宋_GB2312" w:cs="仿宋_GB2312"/>
          <w:spacing w:val="0"/>
          <w:kern w:val="2"/>
          <w:sz w:val="32"/>
          <w:szCs w:val="32"/>
          <w:lang w:val="en-US" w:eastAsia="zh-CN"/>
        </w:rPr>
        <w:t>万元、租赁费</w:t>
      </w:r>
      <w:r>
        <w:rPr>
          <w:rFonts w:hint="default" w:ascii="Times New Roman" w:hAnsi="Times New Roman" w:eastAsia="仿宋_GB2312" w:cs="Times New Roman"/>
          <w:spacing w:val="0"/>
          <w:kern w:val="2"/>
          <w:sz w:val="32"/>
          <w:szCs w:val="32"/>
          <w:lang w:val="en-US" w:eastAsia="zh-CN"/>
        </w:rPr>
        <w:t>5</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w:t>
      </w:r>
      <w:r>
        <w:rPr>
          <w:rFonts w:hint="default" w:ascii="仿宋_GB2312" w:hAnsi="Times New Roman" w:eastAsia="仿宋_GB2312" w:cs="仿宋_GB2312"/>
          <w:spacing w:val="0"/>
          <w:kern w:val="2"/>
          <w:sz w:val="32"/>
          <w:szCs w:val="32"/>
          <w:lang w:val="en-US" w:eastAsia="zh-CN"/>
        </w:rPr>
        <w:t>万元、邮电费</w:t>
      </w:r>
      <w:r>
        <w:rPr>
          <w:rFonts w:hint="default" w:ascii="Times New Roman" w:hAnsi="Times New Roman" w:eastAsia="仿宋_GB2312" w:cs="Times New Roman"/>
          <w:spacing w:val="0"/>
          <w:kern w:val="2"/>
          <w:sz w:val="32"/>
          <w:szCs w:val="32"/>
          <w:lang w:val="en-US" w:eastAsia="zh-CN"/>
        </w:rPr>
        <w:t>15</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w:t>
      </w:r>
      <w:r>
        <w:rPr>
          <w:rFonts w:hint="default" w:ascii="仿宋_GB2312" w:hAnsi="Times New Roman" w:eastAsia="仿宋_GB2312" w:cs="仿宋_GB2312"/>
          <w:spacing w:val="0"/>
          <w:kern w:val="2"/>
          <w:sz w:val="32"/>
          <w:szCs w:val="32"/>
          <w:lang w:val="en-US" w:eastAsia="zh-CN"/>
        </w:rPr>
        <w:t>万元、公务用车运行维护费</w:t>
      </w:r>
      <w:r>
        <w:rPr>
          <w:rFonts w:hint="default" w:ascii="Times New Roman" w:hAnsi="Times New Roman" w:eastAsia="仿宋_GB2312" w:cs="Times New Roman"/>
          <w:spacing w:val="0"/>
          <w:kern w:val="2"/>
          <w:sz w:val="32"/>
          <w:szCs w:val="32"/>
          <w:lang w:val="en-US" w:eastAsia="zh-CN"/>
        </w:rPr>
        <w:t>9</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79</w:t>
      </w:r>
      <w:r>
        <w:rPr>
          <w:rFonts w:hint="default" w:ascii="仿宋_GB2312" w:hAnsi="Times New Roman" w:eastAsia="仿宋_GB2312" w:cs="仿宋_GB2312"/>
          <w:spacing w:val="0"/>
          <w:kern w:val="2"/>
          <w:sz w:val="32"/>
          <w:szCs w:val="32"/>
          <w:lang w:val="en-US" w:eastAsia="zh-CN"/>
        </w:rPr>
        <w:t>万元、其他交通费用</w:t>
      </w:r>
      <w:r>
        <w:rPr>
          <w:rFonts w:hint="default" w:ascii="Times New Roman" w:hAnsi="Times New Roman" w:eastAsia="仿宋_GB2312" w:cs="Times New Roman"/>
          <w:spacing w:val="0"/>
          <w:kern w:val="2"/>
          <w:sz w:val="32"/>
          <w:szCs w:val="32"/>
          <w:lang w:val="en-US" w:eastAsia="zh-CN"/>
        </w:rPr>
        <w:t>9</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24</w:t>
      </w:r>
      <w:r>
        <w:rPr>
          <w:rFonts w:hint="default" w:ascii="仿宋_GB2312" w:hAnsi="Times New Roman" w:eastAsia="仿宋_GB2312" w:cs="仿宋_GB2312"/>
          <w:spacing w:val="0"/>
          <w:kern w:val="2"/>
          <w:sz w:val="32"/>
          <w:szCs w:val="32"/>
          <w:lang w:val="en-US" w:eastAsia="zh-CN"/>
        </w:rPr>
        <w:t>万元、其他商品和服务支出</w:t>
      </w:r>
      <w:r>
        <w:rPr>
          <w:rFonts w:hint="default" w:ascii="Times New Roman" w:hAnsi="Times New Roman" w:eastAsia="仿宋_GB2312" w:cs="Times New Roman"/>
          <w:spacing w:val="0"/>
          <w:kern w:val="2"/>
          <w:sz w:val="32"/>
          <w:szCs w:val="32"/>
          <w:lang w:val="en-US" w:eastAsia="zh-CN"/>
        </w:rPr>
        <w:t>13</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w:t>
      </w:r>
      <w:r>
        <w:rPr>
          <w:rFonts w:hint="default" w:ascii="仿宋_GB2312" w:hAnsi="Times New Roman" w:eastAsia="仿宋_GB2312" w:cs="仿宋_GB2312"/>
          <w:spacing w:val="0"/>
          <w:kern w:val="2"/>
          <w:sz w:val="32"/>
          <w:szCs w:val="32"/>
          <w:lang w:val="en-US" w:eastAsia="zh-CN"/>
        </w:rPr>
        <w:t>万元。</w:t>
      </w:r>
    </w:p>
    <w:p w14:paraId="2932BF7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项目支出</w:t>
      </w:r>
      <w:r>
        <w:rPr>
          <w:rFonts w:hint="default" w:ascii="Times New Roman" w:hAnsi="Times New Roman" w:eastAsia="仿宋_GB2312" w:cs="Times New Roman"/>
          <w:spacing w:val="0"/>
          <w:kern w:val="2"/>
          <w:sz w:val="32"/>
          <w:szCs w:val="32"/>
          <w:lang w:val="en-US" w:eastAsia="zh-CN"/>
        </w:rPr>
        <w:t>500</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00</w:t>
      </w:r>
      <w:r>
        <w:rPr>
          <w:rFonts w:hint="default" w:ascii="仿宋_GB2312" w:hAnsi="Times New Roman" w:eastAsia="仿宋_GB2312" w:cs="仿宋_GB2312"/>
          <w:spacing w:val="0"/>
          <w:kern w:val="2"/>
          <w:sz w:val="32"/>
          <w:szCs w:val="32"/>
          <w:lang w:val="en-US" w:eastAsia="zh-CN"/>
        </w:rPr>
        <w:t>万元。</w:t>
      </w:r>
    </w:p>
    <w:p w14:paraId="27C910AC">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（三）结转和结余情况</w:t>
      </w:r>
    </w:p>
    <w:p w14:paraId="0B414A6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区委办</w:t>
      </w: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年无结转结余。</w:t>
      </w:r>
    </w:p>
    <w:p w14:paraId="64D62F04">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spacing w:val="0"/>
          <w:kern w:val="2"/>
          <w:sz w:val="32"/>
          <w:szCs w:val="32"/>
        </w:rPr>
      </w:pPr>
      <w:r>
        <w:rPr>
          <w:rFonts w:hint="eastAsia" w:ascii="黑体" w:hAnsi="宋体" w:eastAsia="黑体" w:cs="黑体"/>
          <w:spacing w:val="0"/>
          <w:kern w:val="2"/>
          <w:sz w:val="32"/>
          <w:szCs w:val="32"/>
          <w:lang w:val="en-US" w:eastAsia="zh-CN"/>
        </w:rPr>
        <w:t>三、部门整体预算绩效管理情况</w:t>
      </w:r>
    </w:p>
    <w:p w14:paraId="010572D9">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（一）部门预算总体绩效</w:t>
      </w:r>
    </w:p>
    <w:p w14:paraId="478EF71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Times New Roman" w:hAnsi="Times New Roman" w:eastAsia="仿宋_GB2312" w:cs="Times New Roman"/>
          <w:spacing w:val="0"/>
          <w:kern w:val="2"/>
          <w:sz w:val="32"/>
          <w:szCs w:val="32"/>
          <w:lang w:val="en-US" w:eastAsia="zh-CN"/>
        </w:rPr>
        <w:t>1</w:t>
      </w:r>
      <w:r>
        <w:rPr>
          <w:rFonts w:hint="default" w:ascii="仿宋_GB2312" w:hAnsi="Times New Roman" w:eastAsia="仿宋_GB2312" w:cs="仿宋_GB2312"/>
          <w:spacing w:val="0"/>
          <w:kern w:val="2"/>
          <w:sz w:val="32"/>
          <w:szCs w:val="32"/>
          <w:lang w:val="en-US" w:eastAsia="zh-CN"/>
        </w:rPr>
        <w:t xml:space="preserve">.目标管理。 </w:t>
      </w:r>
    </w:p>
    <w:p w14:paraId="1AE8DCC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本单位绩效目标编制要素是完整的，绩效指标细化量化准确，绩效目标纳入本单位室务会研究决策。年初预算和年末决算编制内容真实有效，编制数据完整、准确。年初预算绩效目标编制完整、合理。报表报送及时准确。单位人员类、其他运转类项目收支执行进度良好、部门整体绩效目标完成较好，无偏差。</w:t>
      </w:r>
    </w:p>
    <w:p w14:paraId="1302955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Times New Roman" w:hAnsi="Times New Roman" w:eastAsia="仿宋_GB2312" w:cs="Times New Roman"/>
          <w:spacing w:val="0"/>
          <w:kern w:val="2"/>
          <w:sz w:val="32"/>
          <w:szCs w:val="32"/>
          <w:lang w:val="en-US" w:eastAsia="zh-CN"/>
        </w:rPr>
        <w:t>2</w:t>
      </w:r>
      <w:r>
        <w:rPr>
          <w:rFonts w:hint="default" w:ascii="仿宋_GB2312" w:hAnsi="Times New Roman" w:eastAsia="仿宋_GB2312" w:cs="仿宋_GB2312"/>
          <w:spacing w:val="0"/>
          <w:kern w:val="2"/>
          <w:sz w:val="32"/>
          <w:szCs w:val="32"/>
          <w:lang w:val="en-US" w:eastAsia="zh-CN"/>
        </w:rPr>
        <w:t>.过程管控。</w:t>
      </w:r>
    </w:p>
    <w:p w14:paraId="39378A8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在支出控制方面，部门日常公用经费、项目支出中的办公费、印刷费、接待费、差旅费、邮电费、广告宣传费等科目年初预算数与决算数无偏差。我办严格落实党政机关过紧日子要求，在执行过程中做到花钱与办事、绩效与责任深度融合，把资金用在刀刃上，按时完成绩效监控数据的更新填报，做到绩效自行监控全覆盖，执行进度正常推进，控制有效。本单位预算管理方面无违纪违规问题。</w:t>
      </w:r>
    </w:p>
    <w:p w14:paraId="746DCA9F">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Times New Roman" w:hAnsi="Times New Roman" w:eastAsia="仿宋_GB2312" w:cs="Times New Roman"/>
          <w:spacing w:val="0"/>
          <w:kern w:val="2"/>
          <w:sz w:val="32"/>
          <w:szCs w:val="32"/>
          <w:lang w:val="en-US" w:eastAsia="zh-CN"/>
        </w:rPr>
        <w:t>3</w:t>
      </w:r>
      <w:r>
        <w:rPr>
          <w:rFonts w:hint="default" w:ascii="仿宋_GB2312" w:hAnsi="Times New Roman" w:eastAsia="仿宋_GB2312" w:cs="仿宋_GB2312"/>
          <w:spacing w:val="0"/>
          <w:kern w:val="2"/>
          <w:sz w:val="32"/>
          <w:szCs w:val="32"/>
          <w:lang w:val="en-US" w:eastAsia="zh-CN"/>
        </w:rPr>
        <w:t>.完成（效率）结果。预算结余率（低效无效率）情况</w:t>
      </w:r>
    </w:p>
    <w:p w14:paraId="4FA07AC9">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年全年支出</w:t>
      </w:r>
      <w:r>
        <w:rPr>
          <w:rFonts w:hint="default" w:ascii="Times New Roman" w:hAnsi="Times New Roman" w:eastAsia="仿宋_GB2312" w:cs="Times New Roman"/>
          <w:spacing w:val="0"/>
          <w:kern w:val="2"/>
          <w:sz w:val="32"/>
          <w:szCs w:val="32"/>
          <w:lang w:val="en-US" w:eastAsia="zh-CN"/>
        </w:rPr>
        <w:t>1303</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16</w:t>
      </w:r>
      <w:r>
        <w:rPr>
          <w:rFonts w:hint="default" w:ascii="仿宋_GB2312" w:hAnsi="Times New Roman" w:eastAsia="仿宋_GB2312" w:cs="仿宋_GB2312"/>
          <w:spacing w:val="0"/>
          <w:kern w:val="2"/>
          <w:sz w:val="32"/>
          <w:szCs w:val="32"/>
          <w:lang w:val="en-US" w:eastAsia="zh-CN"/>
        </w:rPr>
        <w:t>万元，支付过程及时有力，控制有度，无低效无效率资金使用情况。</w:t>
      </w:r>
    </w:p>
    <w:p w14:paraId="290D9FC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（二）部门预算绩效管理情况</w:t>
      </w:r>
    </w:p>
    <w:p w14:paraId="59752D4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Times New Roman" w:hAnsi="Times New Roman" w:eastAsia="仿宋_GB2312" w:cs="Times New Roman"/>
          <w:spacing w:val="0"/>
          <w:kern w:val="2"/>
          <w:sz w:val="32"/>
          <w:szCs w:val="32"/>
          <w:lang w:val="en-US" w:eastAsia="zh-CN"/>
        </w:rPr>
        <w:t>1</w:t>
      </w:r>
      <w:r>
        <w:rPr>
          <w:rFonts w:hint="default" w:ascii="仿宋_GB2312" w:hAnsi="Times New Roman" w:eastAsia="仿宋_GB2312" w:cs="仿宋_GB2312"/>
          <w:spacing w:val="0"/>
          <w:kern w:val="2"/>
          <w:sz w:val="32"/>
          <w:szCs w:val="32"/>
          <w:lang w:val="en-US" w:eastAsia="zh-CN"/>
        </w:rPr>
        <w:t>.部门预算项目绩效情况</w:t>
      </w:r>
    </w:p>
    <w:p w14:paraId="0A7C8FB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中共广元市昭化区委办公室根据单位实际情况制定年初部门预算绩效目标，其中人员类</w:t>
      </w:r>
      <w:r>
        <w:rPr>
          <w:rFonts w:hint="default" w:ascii="Times New Roman" w:hAnsi="Times New Roman" w:eastAsia="仿宋_GB2312" w:cs="Times New Roman"/>
          <w:spacing w:val="0"/>
          <w:kern w:val="2"/>
          <w:sz w:val="32"/>
          <w:szCs w:val="32"/>
          <w:lang w:val="en-US" w:eastAsia="zh-CN"/>
        </w:rPr>
        <w:t>385</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92</w:t>
      </w:r>
      <w:r>
        <w:rPr>
          <w:rFonts w:hint="default" w:ascii="仿宋_GB2312" w:hAnsi="Times New Roman" w:eastAsia="仿宋_GB2312" w:cs="仿宋_GB2312"/>
          <w:spacing w:val="0"/>
          <w:kern w:val="2"/>
          <w:sz w:val="32"/>
          <w:szCs w:val="32"/>
          <w:lang w:val="en-US" w:eastAsia="zh-CN"/>
        </w:rPr>
        <w:t>万元按月保障在职人员工资、保险、住房公积金；日常公用经费</w:t>
      </w:r>
      <w:r>
        <w:rPr>
          <w:rFonts w:hint="default" w:ascii="Times New Roman" w:hAnsi="Times New Roman" w:eastAsia="仿宋_GB2312" w:cs="Times New Roman"/>
          <w:spacing w:val="0"/>
          <w:kern w:val="2"/>
          <w:sz w:val="32"/>
          <w:szCs w:val="32"/>
          <w:lang w:val="en-US" w:eastAsia="zh-CN"/>
        </w:rPr>
        <w:t>36</w:t>
      </w:r>
      <w:r>
        <w:rPr>
          <w:rFonts w:hint="default" w:ascii="仿宋_GB2312" w:hAnsi="Times New Roman" w:eastAsia="仿宋_GB2312" w:cs="仿宋_GB2312"/>
          <w:spacing w:val="0"/>
          <w:kern w:val="2"/>
          <w:sz w:val="32"/>
          <w:szCs w:val="32"/>
          <w:lang w:val="en-US" w:eastAsia="zh-CN"/>
        </w:rPr>
        <w:t>万元包括办公费、差旅费、公务接待费、印刷费等支出；其他运转类</w:t>
      </w:r>
      <w:r>
        <w:rPr>
          <w:rFonts w:hint="default" w:ascii="Times New Roman" w:hAnsi="Times New Roman" w:eastAsia="仿宋_GB2312" w:cs="Times New Roman"/>
          <w:spacing w:val="0"/>
          <w:kern w:val="2"/>
          <w:sz w:val="32"/>
          <w:szCs w:val="32"/>
          <w:lang w:val="en-US" w:eastAsia="zh-CN"/>
        </w:rPr>
        <w:t>352</w:t>
      </w:r>
      <w:r>
        <w:rPr>
          <w:rFonts w:hint="default" w:ascii="仿宋_GB2312" w:hAnsi="Times New Roman" w:eastAsia="仿宋_GB2312" w:cs="仿宋_GB2312"/>
          <w:spacing w:val="0"/>
          <w:kern w:val="2"/>
          <w:sz w:val="32"/>
          <w:szCs w:val="32"/>
          <w:lang w:val="en-US" w:eastAsia="zh-CN"/>
        </w:rPr>
        <w:t>万元保障办公室综合性日常工作正常运转；保障政策研究、深化改革、党史地志工作有序开展；重点项目督查督办调研成效显著；保密机要工作安全高效运转；区委全委会等各类会议顺利召开。</w:t>
      </w: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年全年支出</w:t>
      </w:r>
      <w:r>
        <w:rPr>
          <w:rFonts w:hint="default" w:ascii="Times New Roman" w:hAnsi="Times New Roman" w:eastAsia="仿宋_GB2312" w:cs="Times New Roman"/>
          <w:spacing w:val="0"/>
          <w:kern w:val="2"/>
          <w:sz w:val="32"/>
          <w:szCs w:val="32"/>
          <w:lang w:val="en-US" w:eastAsia="zh-CN"/>
        </w:rPr>
        <w:t>1303</w:t>
      </w:r>
      <w:r>
        <w:rPr>
          <w:rFonts w:hint="default" w:ascii="仿宋_GB2312" w:hAnsi="Times New Roman" w:eastAsia="仿宋_GB2312" w:cs="仿宋_GB2312"/>
          <w:spacing w:val="0"/>
          <w:kern w:val="2"/>
          <w:sz w:val="32"/>
          <w:szCs w:val="32"/>
          <w:lang w:val="en-US" w:eastAsia="zh-CN"/>
        </w:rPr>
        <w:t>.</w:t>
      </w:r>
      <w:r>
        <w:rPr>
          <w:rFonts w:hint="default" w:ascii="Times New Roman" w:hAnsi="Times New Roman" w:eastAsia="仿宋_GB2312" w:cs="Times New Roman"/>
          <w:spacing w:val="0"/>
          <w:kern w:val="2"/>
          <w:sz w:val="32"/>
          <w:szCs w:val="32"/>
          <w:lang w:val="en-US" w:eastAsia="zh-CN"/>
        </w:rPr>
        <w:t>16</w:t>
      </w:r>
      <w:r>
        <w:rPr>
          <w:rFonts w:hint="default" w:ascii="仿宋_GB2312" w:hAnsi="Times New Roman" w:eastAsia="仿宋_GB2312" w:cs="仿宋_GB2312"/>
          <w:spacing w:val="0"/>
          <w:kern w:val="2"/>
          <w:sz w:val="32"/>
          <w:szCs w:val="32"/>
          <w:lang w:val="en-US" w:eastAsia="zh-CN"/>
        </w:rPr>
        <w:t>万元，支付过程及时有力，控制有度，无低效无效率资金使用情况，无违规记录，实现了年初制定的绩效目标。日常公用经费如办公费、印刷费、会议费等年初预算数与决算实际数对比在正常范围内。</w:t>
      </w:r>
    </w:p>
    <w:p w14:paraId="6DB53F94">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Times New Roman" w:hAnsi="Times New Roman" w:eastAsia="仿宋_GB2312" w:cs="Times New Roman"/>
          <w:spacing w:val="0"/>
          <w:kern w:val="2"/>
          <w:sz w:val="32"/>
          <w:szCs w:val="32"/>
          <w:lang w:val="en-US" w:eastAsia="zh-CN"/>
        </w:rPr>
        <w:t>2</w:t>
      </w:r>
      <w:r>
        <w:rPr>
          <w:rFonts w:hint="default" w:ascii="仿宋_GB2312" w:hAnsi="Times New Roman" w:eastAsia="仿宋_GB2312" w:cs="仿宋_GB2312"/>
          <w:spacing w:val="0"/>
          <w:kern w:val="2"/>
          <w:sz w:val="32"/>
          <w:szCs w:val="32"/>
          <w:lang w:val="en-US" w:eastAsia="zh-CN"/>
        </w:rPr>
        <w:t>、专项预算绩效情况</w:t>
      </w:r>
    </w:p>
    <w:p w14:paraId="361F702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区委办</w:t>
      </w: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年无专项预算。</w:t>
      </w:r>
    </w:p>
    <w:p w14:paraId="510DD3F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（三）绩效结果应用</w:t>
      </w:r>
    </w:p>
    <w:p w14:paraId="5D4760F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本单位严格执行预决算公开制度。在内部应用方面，将内设股室和代管部门绩效自评纳入考核体系，建立对内设股室和代管部门预算与绩效挂钩机制。按要求将相关绩效信息随同决算公开。本部门针对绩效管理过程中（包括绩效目标核查、绩效监控核查、重点自评抽查和重点绩效评价）提出的问题进行整改、完善政策、改进管理。在应用反馈方面，本部门在规定时间内向财政部门反馈应用绩效结果报告。</w:t>
      </w:r>
    </w:p>
    <w:p w14:paraId="1356FC54">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（四）自评质量</w:t>
      </w:r>
    </w:p>
    <w:p w14:paraId="634B47D8">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default" w:ascii="仿宋_GB2312" w:eastAsia="仿宋_GB2312" w:cs="仿宋_GB2312"/>
          <w:spacing w:val="0"/>
          <w:kern w:val="2"/>
          <w:sz w:val="32"/>
          <w:szCs w:val="32"/>
        </w:rPr>
      </w:pP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中共广元市昭化区委办公室财务支出符合国家财经法规和财务管理制度规定以及有关专项资金管理办法的规定，资金的拨付有完整的审批过程和手续，支出基本符合部门预算批复的用途，资金使用无截留、挤占、挪用、虚列支出等情况。根据区政府绩效考核文件精神，绩效目标在</w:t>
      </w: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年基本完成，在保障机关运转、履行职能职责上整体情况良好。</w:t>
      </w:r>
    </w:p>
    <w:p w14:paraId="70B6E482">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（五）根据审计监督、财会监督和决算审查结果反映部门上一年度预算管理符合相关财政财务管理规定，无违法违纪规定。</w:t>
      </w:r>
    </w:p>
    <w:p w14:paraId="4C4B1870">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eastAsia" w:ascii="黑体" w:hAnsi="宋体" w:eastAsia="黑体" w:cs="黑体"/>
          <w:spacing w:val="0"/>
          <w:kern w:val="2"/>
          <w:sz w:val="32"/>
          <w:szCs w:val="32"/>
        </w:rPr>
      </w:pPr>
      <w:r>
        <w:rPr>
          <w:rFonts w:hint="eastAsia" w:ascii="黑体" w:hAnsi="宋体" w:eastAsia="黑体" w:cs="黑体"/>
          <w:spacing w:val="0"/>
          <w:kern w:val="2"/>
          <w:sz w:val="32"/>
          <w:szCs w:val="32"/>
          <w:lang w:val="en-US" w:eastAsia="zh-CN"/>
        </w:rPr>
        <w:t>四、存在的问题及建议</w:t>
      </w:r>
    </w:p>
    <w:p w14:paraId="558D9899">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（一）存在问题</w:t>
      </w:r>
    </w:p>
    <w:p w14:paraId="52F4B0F8">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一是绩效管理意识不高；二是预算绩效编制的精准性还有待进一步提高。在编制过程中与业务股室沟通不够，造成在开展过程中应急性时间较多，在支出时也还存在申报计划时功能科目与实际支出不一致的情况。</w:t>
      </w:r>
    </w:p>
    <w:p w14:paraId="486A8459">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default" w:ascii="楷体_GB2312" w:eastAsia="楷体_GB2312" w:cs="楷体_GB2312"/>
          <w:spacing w:val="0"/>
          <w:kern w:val="2"/>
          <w:sz w:val="32"/>
          <w:szCs w:val="32"/>
        </w:rPr>
      </w:pPr>
      <w:r>
        <w:rPr>
          <w:rFonts w:hint="default" w:ascii="楷体_GB2312" w:hAnsi="Times New Roman" w:eastAsia="楷体_GB2312" w:cs="楷体_GB2312"/>
          <w:spacing w:val="0"/>
          <w:kern w:val="2"/>
          <w:sz w:val="32"/>
          <w:szCs w:val="32"/>
          <w:lang w:val="en-US" w:eastAsia="zh-CN"/>
        </w:rPr>
        <w:t>（二）改进建议</w:t>
      </w:r>
    </w:p>
    <w:p w14:paraId="7DFFE75C">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下一步改进措施：一是进一步提高预算绩效管理意识； 二是精准编制预算绩效，提高预算绩效编制的科学性、合理性、严谨性和可控性；三是严格按照政策标准，优化支出结构，加快工作进度，提高预算编制的科学化精细化水平。</w:t>
      </w:r>
    </w:p>
    <w:p w14:paraId="6F734165">
      <w:pPr>
        <w:keepNext w:val="0"/>
        <w:keepLines w:val="0"/>
        <w:widowControl w:val="0"/>
        <w:suppressLineNumbers w:val="0"/>
        <w:autoSpaceDE w:val="0"/>
        <w:autoSpaceDN/>
        <w:spacing w:before="0" w:beforeAutospacing="0" w:after="0" w:afterAutospacing="0" w:line="600" w:lineRule="exact"/>
        <w:ind w:left="0" w:right="0" w:firstLine="640" w:firstLineChars="2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 xml:space="preserve"> </w:t>
      </w:r>
    </w:p>
    <w:p w14:paraId="45124B9A">
      <w:pPr>
        <w:keepNext w:val="0"/>
        <w:keepLines w:val="0"/>
        <w:widowControl w:val="0"/>
        <w:suppressLineNumbers w:val="0"/>
        <w:autoSpaceDE w:val="0"/>
        <w:autoSpaceDN/>
        <w:spacing w:before="0" w:beforeAutospacing="0" w:after="0" w:afterAutospacing="0" w:line="600" w:lineRule="exact"/>
        <w:ind w:left="1760" w:leftChars="200" w:right="0" w:hanging="1280" w:hangingChars="4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附件：</w:t>
      </w:r>
      <w:r>
        <w:rPr>
          <w:rFonts w:hint="default" w:ascii="Times New Roman" w:hAnsi="Times New Roman" w:eastAsia="仿宋_GB2312" w:cs="Times New Roman"/>
          <w:spacing w:val="0"/>
          <w:kern w:val="2"/>
          <w:sz w:val="32"/>
          <w:szCs w:val="32"/>
          <w:lang w:val="en-US" w:eastAsia="zh-CN"/>
        </w:rPr>
        <w:t>1</w:t>
      </w:r>
      <w:r>
        <w:rPr>
          <w:rFonts w:hint="default" w:ascii="仿宋_GB2312" w:hAnsi="Times New Roman" w:eastAsia="仿宋_GB2312" w:cs="仿宋_GB2312"/>
          <w:spacing w:val="0"/>
          <w:kern w:val="2"/>
          <w:sz w:val="32"/>
          <w:szCs w:val="32"/>
          <w:lang w:val="en-US" w:eastAsia="zh-CN"/>
        </w:rPr>
        <w:t>.中共广元市昭化区委办公室</w:t>
      </w: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年部门整体支出绩效目标自评表</w:t>
      </w:r>
    </w:p>
    <w:p w14:paraId="14D92761">
      <w:pPr>
        <w:keepNext w:val="0"/>
        <w:keepLines w:val="0"/>
        <w:widowControl w:val="0"/>
        <w:suppressLineNumbers w:val="0"/>
        <w:autoSpaceDE w:val="0"/>
        <w:autoSpaceDN/>
        <w:spacing w:before="0" w:beforeAutospacing="0" w:after="0" w:afterAutospacing="0" w:line="600" w:lineRule="exact"/>
        <w:ind w:right="0" w:firstLine="1280" w:firstLineChars="400"/>
        <w:jc w:val="both"/>
        <w:rPr>
          <w:rFonts w:hint="default" w:ascii="仿宋_GB2312" w:eastAsia="仿宋_GB2312" w:cs="仿宋_GB2312"/>
          <w:spacing w:val="0"/>
          <w:kern w:val="2"/>
          <w:sz w:val="32"/>
          <w:szCs w:val="32"/>
        </w:rPr>
      </w:pPr>
      <w:r>
        <w:rPr>
          <w:rFonts w:hint="default" w:ascii="Times New Roman" w:hAnsi="Times New Roman" w:eastAsia="仿宋_GB2312" w:cs="Times New Roman"/>
          <w:spacing w:val="0"/>
          <w:kern w:val="2"/>
          <w:sz w:val="32"/>
          <w:szCs w:val="32"/>
          <w:lang w:val="en-US" w:eastAsia="zh-CN"/>
        </w:rPr>
        <w:t>2</w:t>
      </w:r>
      <w:r>
        <w:rPr>
          <w:rFonts w:hint="default" w:ascii="仿宋_GB2312" w:hAnsi="Times New Roman" w:eastAsia="仿宋_GB2312" w:cs="仿宋_GB2312"/>
          <w:spacing w:val="0"/>
          <w:kern w:val="2"/>
          <w:sz w:val="32"/>
          <w:szCs w:val="32"/>
          <w:lang w:val="en-US" w:eastAsia="zh-CN"/>
        </w:rPr>
        <w:t>.中共广元市昭化区委办公室</w:t>
      </w:r>
      <w:r>
        <w:rPr>
          <w:rFonts w:hint="default" w:ascii="Times New Roman" w:hAnsi="Times New Roman" w:eastAsia="仿宋_GB2312" w:cs="Times New Roman"/>
          <w:spacing w:val="0"/>
          <w:kern w:val="2"/>
          <w:sz w:val="32"/>
          <w:szCs w:val="32"/>
          <w:lang w:val="en-US" w:eastAsia="zh-CN"/>
        </w:rPr>
        <w:t>2023</w:t>
      </w:r>
      <w:r>
        <w:rPr>
          <w:rFonts w:hint="default" w:ascii="仿宋_GB2312" w:hAnsi="Times New Roman" w:eastAsia="仿宋_GB2312" w:cs="仿宋_GB2312"/>
          <w:spacing w:val="0"/>
          <w:kern w:val="2"/>
          <w:sz w:val="32"/>
          <w:szCs w:val="32"/>
          <w:lang w:val="en-US" w:eastAsia="zh-CN"/>
        </w:rPr>
        <w:t>年部门整体支出</w:t>
      </w:r>
    </w:p>
    <w:p w14:paraId="2E14EBC3">
      <w:pPr>
        <w:keepNext w:val="0"/>
        <w:keepLines w:val="0"/>
        <w:widowControl w:val="0"/>
        <w:suppressLineNumbers w:val="0"/>
        <w:autoSpaceDE w:val="0"/>
        <w:autoSpaceDN/>
        <w:spacing w:before="0" w:beforeAutospacing="0" w:after="0" w:afterAutospacing="0" w:line="600" w:lineRule="exact"/>
        <w:ind w:right="0" w:firstLine="1600" w:firstLineChars="500"/>
        <w:jc w:val="both"/>
        <w:rPr>
          <w:rFonts w:hint="default" w:ascii="仿宋_GB2312" w:eastAsia="仿宋_GB2312" w:cs="仿宋_GB2312"/>
          <w:spacing w:val="0"/>
          <w:kern w:val="2"/>
          <w:sz w:val="32"/>
          <w:szCs w:val="32"/>
        </w:rPr>
      </w:pPr>
      <w:r>
        <w:rPr>
          <w:rFonts w:hint="default" w:ascii="仿宋_GB2312" w:hAnsi="Times New Roman" w:eastAsia="仿宋_GB2312" w:cs="仿宋_GB2312"/>
          <w:spacing w:val="0"/>
          <w:kern w:val="2"/>
          <w:sz w:val="32"/>
          <w:szCs w:val="32"/>
          <w:lang w:val="en-US" w:eastAsia="zh-CN"/>
        </w:rPr>
        <w:t>绩效自评评分表</w:t>
      </w:r>
    </w:p>
    <w:p w14:paraId="7D370CCE">
      <w:pPr>
        <w:pStyle w:val="11"/>
        <w:keepNext w:val="0"/>
        <w:keepLines w:val="0"/>
        <w:widowControl w:val="0"/>
        <w:suppressLineNumbers w:val="0"/>
        <w:autoSpaceDE w:val="0"/>
        <w:autoSpaceDN/>
        <w:spacing w:before="0" w:beforeAutospacing="1" w:after="0" w:afterAutospacing="0" w:line="600" w:lineRule="exact"/>
        <w:ind w:right="0"/>
        <w:jc w:val="left"/>
        <w:rPr>
          <w:rFonts w:hint="eastAsia" w:ascii="Times New Roman" w:hAnsi="Times New Roman" w:eastAsia="黑体" w:cs="Times New Roman"/>
          <w:spacing w:val="0"/>
          <w:kern w:val="2"/>
          <w:sz w:val="32"/>
          <w:szCs w:val="32"/>
        </w:rPr>
      </w:pPr>
    </w:p>
    <w:p w14:paraId="5EC17FC7">
      <w:pPr>
        <w:keepNext w:val="0"/>
        <w:keepLines w:val="0"/>
        <w:widowControl w:val="0"/>
        <w:suppressLineNumbers w:val="0"/>
        <w:wordWrap w:val="0"/>
        <w:autoSpaceDE w:val="0"/>
        <w:autoSpaceDN/>
        <w:spacing w:before="0" w:beforeAutospacing="0" w:after="0" w:afterAutospacing="0" w:line="600" w:lineRule="exact"/>
        <w:ind w:right="0"/>
        <w:jc w:val="right"/>
        <w:rPr>
          <w:rFonts w:hint="default" w:ascii="Times New Roman" w:hAnsi="Times New Roman" w:eastAsia="仿宋_GB2312" w:cs="Times New Roman"/>
          <w:spacing w:val="0"/>
          <w:kern w:val="2"/>
          <w:sz w:val="32"/>
          <w:szCs w:val="32"/>
        </w:rPr>
      </w:pPr>
      <w:r>
        <w:rPr>
          <w:rFonts w:hint="default" w:ascii="仿宋_GB2312" w:hAnsi="Times New Roman" w:eastAsia="仿宋_GB2312" w:cs="仿宋_GB2312"/>
          <w:spacing w:val="0"/>
          <w:kern w:val="2"/>
          <w:sz w:val="32"/>
          <w:szCs w:val="32"/>
          <w:lang w:val="en-US" w:eastAsia="zh-CN"/>
        </w:rPr>
        <w:t>中共广元市昭化区委办公室</w:t>
      </w:r>
    </w:p>
    <w:p w14:paraId="6942C2FB">
      <w:pPr>
        <w:keepNext w:val="0"/>
        <w:keepLines w:val="0"/>
        <w:widowControl w:val="0"/>
        <w:suppressLineNumbers w:val="0"/>
        <w:wordWrap w:val="0"/>
        <w:autoSpaceDE w:val="0"/>
        <w:autoSpaceDN/>
        <w:spacing w:before="0" w:beforeAutospacing="0" w:after="0" w:afterAutospacing="0" w:line="600" w:lineRule="exact"/>
        <w:ind w:right="0"/>
        <w:jc w:val="right"/>
        <w:rPr>
          <w:rFonts w:hint="default" w:ascii="仿宋_GB2312" w:eastAsia="仿宋_GB2312" w:cs="仿宋_GB2312"/>
          <w:kern w:val="2"/>
          <w:sz w:val="32"/>
          <w:szCs w:val="32"/>
        </w:rPr>
      </w:pPr>
      <w:r>
        <w:rPr>
          <w:rFonts w:hint="default" w:ascii="Times New Roman" w:hAnsi="Times New Roman" w:eastAsia="仿宋_GB2312" w:cs="Times New Roman"/>
          <w:spacing w:val="0"/>
          <w:kern w:val="2"/>
          <w:sz w:val="32"/>
          <w:szCs w:val="32"/>
          <w:lang w:val="en-US" w:eastAsia="zh-CN"/>
        </w:rPr>
        <w:t>2024</w:t>
      </w:r>
      <w:r>
        <w:rPr>
          <w:rFonts w:hint="default" w:ascii="仿宋_GB2312" w:hAnsi="Times New Roman" w:eastAsia="仿宋_GB2312" w:cs="仿宋_GB2312"/>
          <w:spacing w:val="0"/>
          <w:kern w:val="2"/>
          <w:sz w:val="32"/>
          <w:szCs w:val="32"/>
          <w:lang w:val="en-US" w:eastAsia="zh-CN"/>
        </w:rPr>
        <w:t>年</w:t>
      </w:r>
      <w:r>
        <w:rPr>
          <w:rFonts w:hint="default" w:ascii="Times New Roman" w:hAnsi="Times New Roman" w:eastAsia="仿宋_GB2312" w:cs="Times New Roman"/>
          <w:spacing w:val="0"/>
          <w:kern w:val="2"/>
          <w:sz w:val="32"/>
          <w:szCs w:val="32"/>
          <w:lang w:val="en-US" w:eastAsia="zh-CN"/>
        </w:rPr>
        <w:t>5</w:t>
      </w:r>
      <w:r>
        <w:rPr>
          <w:rFonts w:hint="default" w:ascii="仿宋_GB2312" w:hAnsi="Times New Roman" w:eastAsia="仿宋_GB2312" w:cs="仿宋_GB2312"/>
          <w:spacing w:val="0"/>
          <w:kern w:val="2"/>
          <w:sz w:val="32"/>
          <w:szCs w:val="32"/>
          <w:lang w:val="en-US" w:eastAsia="zh-CN"/>
        </w:rPr>
        <w:t>月</w:t>
      </w:r>
      <w:r>
        <w:rPr>
          <w:rFonts w:hint="default" w:ascii="Times New Roman" w:hAnsi="Times New Roman" w:eastAsia="仿宋_GB2312" w:cs="Times New Roman"/>
          <w:spacing w:val="0"/>
          <w:kern w:val="2"/>
          <w:sz w:val="32"/>
          <w:szCs w:val="32"/>
          <w:lang w:val="en-US" w:eastAsia="zh-CN"/>
        </w:rPr>
        <w:t>8</w:t>
      </w:r>
      <w:r>
        <w:rPr>
          <w:rFonts w:hint="default" w:ascii="仿宋_GB2312" w:hAnsi="Times New Roman" w:eastAsia="仿宋_GB2312" w:cs="仿宋_GB2312"/>
          <w:spacing w:val="0"/>
          <w:kern w:val="2"/>
          <w:sz w:val="32"/>
          <w:szCs w:val="32"/>
          <w:lang w:val="en-US" w:eastAsia="zh-CN"/>
        </w:rPr>
        <w:t>日</w:t>
      </w:r>
    </w:p>
    <w:p w14:paraId="0F74802D">
      <w:pPr>
        <w:keepNext w:val="0"/>
        <w:keepLines w:val="0"/>
        <w:widowControl w:val="0"/>
        <w:suppressLineNumbers w:val="0"/>
        <w:autoSpaceDE w:val="0"/>
        <w:autoSpaceDN/>
        <w:spacing w:before="0" w:beforeAutospacing="0" w:after="0" w:afterAutospacing="0" w:line="576" w:lineRule="exact"/>
        <w:ind w:left="0" w:right="0"/>
        <w:jc w:val="both"/>
        <w:rPr>
          <w:rFonts w:hint="default" w:ascii="仿宋_GB2312" w:eastAsia="仿宋_GB2312" w:cs="仿宋_GB2312"/>
          <w:kern w:val="2"/>
          <w:sz w:val="32"/>
          <w:szCs w:val="32"/>
        </w:rPr>
      </w:pPr>
      <w:r>
        <w:rPr>
          <w:rFonts w:hint="eastAsia" w:ascii="黑体" w:hAnsi="宋体" w:eastAsia="黑体" w:cs="黑体"/>
          <w:kern w:val="2"/>
          <w:sz w:val="32"/>
          <w:szCs w:val="32"/>
          <w:lang w:val="en-US" w:eastAsia="zh-CN"/>
        </w:rPr>
        <w:t>附件1</w:t>
      </w:r>
    </w:p>
    <w:p w14:paraId="53B82A9A">
      <w:pPr>
        <w:keepNext w:val="0"/>
        <w:keepLines w:val="0"/>
        <w:widowControl/>
        <w:suppressLineNumbers w:val="0"/>
        <w:autoSpaceDE w:val="0"/>
        <w:autoSpaceDN/>
        <w:spacing w:before="0" w:beforeAutospacing="0" w:after="0" w:afterAutospacing="0" w:line="576" w:lineRule="exact"/>
        <w:ind w:left="0" w:right="0"/>
        <w:jc w:val="center"/>
        <w:textAlignment w:val="center"/>
        <w:rPr>
          <w:rFonts w:hint="eastAsia" w:ascii="方正小标宋简体" w:hAnsi="方正小标宋简体" w:eastAsia="方正小标宋简体" w:cs="方正小标宋简体"/>
          <w:i w:val="0"/>
          <w:iCs w:val="0"/>
          <w:color w:val="000000"/>
          <w:kern w:val="2"/>
          <w:sz w:val="36"/>
          <w:szCs w:val="36"/>
        </w:rPr>
      </w:pPr>
      <w:r>
        <w:rPr>
          <w:rFonts w:hint="eastAsia" w:ascii="方正小标宋简体" w:hAnsi="方正小标宋简体" w:eastAsia="方正小标宋简体" w:cs="方正小标宋简体"/>
          <w:i w:val="0"/>
          <w:iCs w:val="0"/>
          <w:color w:val="000000"/>
          <w:kern w:val="0"/>
          <w:sz w:val="36"/>
          <w:szCs w:val="36"/>
          <w:lang w:val="en-US" w:eastAsia="zh-CN"/>
        </w:rPr>
        <w:t>广元市昭化区部门整体支出绩效目标自评表</w:t>
      </w:r>
    </w:p>
    <w:tbl>
      <w:tblPr>
        <w:tblStyle w:val="13"/>
        <w:tblW w:w="95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1"/>
        <w:gridCol w:w="806"/>
        <w:gridCol w:w="994"/>
        <w:gridCol w:w="1328"/>
        <w:gridCol w:w="1972"/>
        <w:gridCol w:w="1253"/>
        <w:gridCol w:w="1256"/>
        <w:gridCol w:w="1117"/>
      </w:tblGrid>
      <w:tr w14:paraId="5F105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9517" w:type="dxa"/>
            <w:gridSpan w:val="8"/>
            <w:tcBorders>
              <w:top w:val="nil"/>
              <w:left w:val="nil"/>
              <w:bottom w:val="nil"/>
              <w:right w:val="nil"/>
            </w:tcBorders>
            <w:shd w:val="clear" w:color="auto" w:fill="auto"/>
            <w:vAlign w:val="top"/>
          </w:tcPr>
          <w:p w14:paraId="79CA65F5">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top"/>
              <w:rPr>
                <w:rFonts w:hint="eastAsia" w:ascii="宋体" w:hAnsi="宋体" w:eastAsia="宋体" w:cs="宋体"/>
                <w:b/>
                <w:bCs/>
                <w:i w:val="0"/>
                <w:iCs w:val="0"/>
                <w:color w:val="000000"/>
                <w:kern w:val="2"/>
                <w:sz w:val="24"/>
                <w:szCs w:val="24"/>
              </w:rPr>
            </w:pPr>
            <w:r>
              <w:rPr>
                <w:rFonts w:hint="eastAsia" w:ascii="宋体" w:hAnsi="宋体" w:eastAsia="宋体" w:cs="宋体"/>
                <w:b w:val="0"/>
                <w:bCs w:val="0"/>
                <w:i w:val="0"/>
                <w:iCs w:val="0"/>
                <w:color w:val="000000"/>
                <w:kern w:val="0"/>
                <w:sz w:val="24"/>
                <w:szCs w:val="24"/>
                <w:lang w:val="en-US" w:eastAsia="zh-CN"/>
              </w:rPr>
              <w:t>（</w:t>
            </w:r>
            <w:r>
              <w:rPr>
                <w:rFonts w:hint="default" w:ascii="Times New Roman" w:hAnsi="Times New Roman" w:eastAsia="宋体" w:cs="Times New Roman"/>
                <w:b w:val="0"/>
                <w:bCs w:val="0"/>
                <w:i w:val="0"/>
                <w:iCs w:val="0"/>
                <w:color w:val="000000"/>
                <w:kern w:val="0"/>
                <w:sz w:val="24"/>
                <w:szCs w:val="24"/>
                <w:lang w:val="en-US" w:eastAsia="zh-CN"/>
              </w:rPr>
              <w:t>2023</w:t>
            </w:r>
            <w:r>
              <w:rPr>
                <w:rFonts w:hint="eastAsia" w:ascii="宋体" w:hAnsi="宋体" w:eastAsia="宋体" w:cs="宋体"/>
                <w:b w:val="0"/>
                <w:bCs w:val="0"/>
                <w:i w:val="0"/>
                <w:iCs w:val="0"/>
                <w:color w:val="000000"/>
                <w:kern w:val="0"/>
                <w:sz w:val="24"/>
                <w:szCs w:val="24"/>
                <w:lang w:val="en-US" w:eastAsia="zh-CN"/>
              </w:rPr>
              <w:t>年度）</w:t>
            </w:r>
          </w:p>
        </w:tc>
      </w:tr>
      <w:tr w14:paraId="04B63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5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29C714">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主管部门</w:t>
            </w:r>
          </w:p>
        </w:tc>
        <w:tc>
          <w:tcPr>
            <w:tcW w:w="4294" w:type="dxa"/>
            <w:gridSpan w:val="3"/>
            <w:tcBorders>
              <w:top w:val="single" w:color="000000" w:sz="4" w:space="0"/>
              <w:left w:val="nil"/>
              <w:bottom w:val="single" w:color="000000" w:sz="4" w:space="0"/>
              <w:right w:val="single" w:color="000000" w:sz="4" w:space="0"/>
            </w:tcBorders>
            <w:shd w:val="clear" w:color="auto" w:fill="auto"/>
            <w:vAlign w:val="center"/>
          </w:tcPr>
          <w:p w14:paraId="77CC7AEB">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中共广元市昭化区委办公室</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52AAC0D0">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实施单位</w:t>
            </w:r>
          </w:p>
        </w:tc>
        <w:tc>
          <w:tcPr>
            <w:tcW w:w="2373" w:type="dxa"/>
            <w:gridSpan w:val="2"/>
            <w:tcBorders>
              <w:top w:val="single" w:color="000000" w:sz="4" w:space="0"/>
              <w:left w:val="nil"/>
              <w:bottom w:val="single" w:color="000000" w:sz="4" w:space="0"/>
              <w:right w:val="single" w:color="000000" w:sz="4" w:space="0"/>
            </w:tcBorders>
            <w:shd w:val="clear" w:color="auto" w:fill="auto"/>
            <w:noWrap/>
            <w:vAlign w:val="center"/>
          </w:tcPr>
          <w:p w14:paraId="175CD72F">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中共广元市昭化区委办公室</w:t>
            </w:r>
          </w:p>
        </w:tc>
      </w:tr>
      <w:tr w14:paraId="6B525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597" w:type="dxa"/>
            <w:gridSpan w:val="2"/>
            <w:vMerge w:val="restart"/>
            <w:tcBorders>
              <w:top w:val="nil"/>
              <w:left w:val="single" w:color="000000" w:sz="4" w:space="0"/>
              <w:bottom w:val="nil"/>
              <w:right w:val="single" w:color="000000" w:sz="4" w:space="0"/>
            </w:tcBorders>
            <w:shd w:val="clear" w:color="auto" w:fill="auto"/>
            <w:vAlign w:val="center"/>
          </w:tcPr>
          <w:p w14:paraId="6D5E9E22">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项目（政策）</w:t>
            </w:r>
          </w:p>
          <w:p w14:paraId="0E3590EE">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资金（万元）</w:t>
            </w:r>
          </w:p>
        </w:tc>
        <w:tc>
          <w:tcPr>
            <w:tcW w:w="2322" w:type="dxa"/>
            <w:gridSpan w:val="2"/>
            <w:tcBorders>
              <w:top w:val="nil"/>
              <w:left w:val="nil"/>
              <w:bottom w:val="single" w:color="000000" w:sz="4" w:space="0"/>
              <w:right w:val="single" w:color="000000" w:sz="4" w:space="0"/>
            </w:tcBorders>
            <w:shd w:val="clear" w:color="auto" w:fill="auto"/>
            <w:vAlign w:val="center"/>
          </w:tcPr>
          <w:p w14:paraId="4A356BF7">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年度预算数（万元）</w:t>
            </w:r>
          </w:p>
        </w:tc>
        <w:tc>
          <w:tcPr>
            <w:tcW w:w="1972" w:type="dxa"/>
            <w:tcBorders>
              <w:top w:val="nil"/>
              <w:left w:val="nil"/>
              <w:bottom w:val="single" w:color="000000" w:sz="4" w:space="0"/>
              <w:right w:val="single" w:color="000000" w:sz="4" w:space="0"/>
            </w:tcBorders>
            <w:shd w:val="clear" w:color="auto" w:fill="auto"/>
            <w:vAlign w:val="center"/>
          </w:tcPr>
          <w:p w14:paraId="3575BE2E">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年初预算数</w:t>
            </w:r>
          </w:p>
        </w:tc>
        <w:tc>
          <w:tcPr>
            <w:tcW w:w="1253" w:type="dxa"/>
            <w:tcBorders>
              <w:top w:val="nil"/>
              <w:left w:val="nil"/>
              <w:bottom w:val="single" w:color="000000" w:sz="4" w:space="0"/>
              <w:right w:val="single" w:color="000000" w:sz="4" w:space="0"/>
            </w:tcBorders>
            <w:shd w:val="clear" w:color="auto" w:fill="auto"/>
            <w:vAlign w:val="center"/>
          </w:tcPr>
          <w:p w14:paraId="52CF485A">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全年预算数</w:t>
            </w:r>
          </w:p>
        </w:tc>
        <w:tc>
          <w:tcPr>
            <w:tcW w:w="1256" w:type="dxa"/>
            <w:tcBorders>
              <w:top w:val="nil"/>
              <w:left w:val="nil"/>
              <w:bottom w:val="single" w:color="000000" w:sz="4" w:space="0"/>
              <w:right w:val="single" w:color="000000" w:sz="4" w:space="0"/>
            </w:tcBorders>
            <w:shd w:val="clear" w:color="auto" w:fill="auto"/>
            <w:vAlign w:val="center"/>
          </w:tcPr>
          <w:p w14:paraId="161B0D25">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全年执行数</w:t>
            </w:r>
          </w:p>
        </w:tc>
        <w:tc>
          <w:tcPr>
            <w:tcW w:w="1117" w:type="dxa"/>
            <w:tcBorders>
              <w:top w:val="nil"/>
              <w:left w:val="nil"/>
              <w:bottom w:val="single" w:color="000000" w:sz="4" w:space="0"/>
              <w:right w:val="single" w:color="000000" w:sz="4" w:space="0"/>
            </w:tcBorders>
            <w:shd w:val="clear" w:color="auto" w:fill="auto"/>
            <w:vAlign w:val="center"/>
          </w:tcPr>
          <w:p w14:paraId="62B1EDDB">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执行率（%）</w:t>
            </w:r>
          </w:p>
        </w:tc>
      </w:tr>
      <w:tr w14:paraId="54A59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597" w:type="dxa"/>
            <w:gridSpan w:val="2"/>
            <w:vMerge w:val="continue"/>
            <w:tcBorders>
              <w:top w:val="nil"/>
              <w:left w:val="single" w:color="000000" w:sz="4" w:space="0"/>
              <w:bottom w:val="nil"/>
              <w:right w:val="single" w:color="000000" w:sz="4" w:space="0"/>
            </w:tcBorders>
            <w:shd w:val="clear" w:color="auto" w:fill="auto"/>
            <w:vAlign w:val="center"/>
          </w:tcPr>
          <w:p w14:paraId="5B74F77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22" w:type="dxa"/>
            <w:gridSpan w:val="2"/>
            <w:tcBorders>
              <w:top w:val="single" w:color="000000" w:sz="4" w:space="0"/>
              <w:left w:val="nil"/>
              <w:bottom w:val="single" w:color="000000" w:sz="4" w:space="0"/>
              <w:right w:val="single" w:color="000000" w:sz="4" w:space="0"/>
            </w:tcBorders>
            <w:shd w:val="clear" w:color="auto" w:fill="auto"/>
            <w:vAlign w:val="center"/>
          </w:tcPr>
          <w:p w14:paraId="3542CF28">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年度资金总额</w:t>
            </w:r>
          </w:p>
        </w:tc>
        <w:tc>
          <w:tcPr>
            <w:tcW w:w="1972" w:type="dxa"/>
            <w:tcBorders>
              <w:top w:val="single" w:color="000000" w:sz="4" w:space="0"/>
              <w:left w:val="nil"/>
              <w:bottom w:val="single" w:color="000000" w:sz="4" w:space="0"/>
              <w:right w:val="single" w:color="000000" w:sz="4" w:space="0"/>
            </w:tcBorders>
            <w:shd w:val="clear" w:color="auto" w:fill="auto"/>
            <w:vAlign w:val="center"/>
          </w:tcPr>
          <w:p w14:paraId="56E9A8D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779</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32</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19A651F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1303</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16</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5D5779D3">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1303</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16</w:t>
            </w:r>
          </w:p>
        </w:tc>
        <w:tc>
          <w:tcPr>
            <w:tcW w:w="1117" w:type="dxa"/>
            <w:tcBorders>
              <w:top w:val="nil"/>
              <w:left w:val="nil"/>
              <w:bottom w:val="single" w:color="000000" w:sz="4" w:space="0"/>
              <w:right w:val="single" w:color="000000" w:sz="4" w:space="0"/>
            </w:tcBorders>
            <w:shd w:val="clear" w:color="auto" w:fill="auto"/>
            <w:vAlign w:val="center"/>
          </w:tcPr>
          <w:p w14:paraId="37EAEB2C">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r>
              <w:rPr>
                <w:rFonts w:hint="eastAsia" w:ascii="宋体" w:hAnsi="宋体" w:eastAsia="宋体" w:cs="宋体"/>
                <w:i w:val="0"/>
                <w:iCs w:val="0"/>
                <w:color w:val="000000"/>
                <w:kern w:val="0"/>
                <w:sz w:val="18"/>
                <w:szCs w:val="18"/>
                <w:lang w:val="en-US" w:eastAsia="zh-CN"/>
              </w:rPr>
              <w:t>%</w:t>
            </w:r>
          </w:p>
        </w:tc>
      </w:tr>
      <w:tr w14:paraId="7F0274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597" w:type="dxa"/>
            <w:gridSpan w:val="2"/>
            <w:vMerge w:val="continue"/>
            <w:tcBorders>
              <w:top w:val="nil"/>
              <w:left w:val="single" w:color="000000" w:sz="4" w:space="0"/>
              <w:bottom w:val="nil"/>
              <w:right w:val="single" w:color="000000" w:sz="4" w:space="0"/>
            </w:tcBorders>
            <w:shd w:val="clear" w:color="auto" w:fill="auto"/>
            <w:vAlign w:val="center"/>
          </w:tcPr>
          <w:p w14:paraId="0D19252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22" w:type="dxa"/>
            <w:gridSpan w:val="2"/>
            <w:tcBorders>
              <w:top w:val="single" w:color="000000" w:sz="4" w:space="0"/>
              <w:left w:val="nil"/>
              <w:bottom w:val="single" w:color="000000" w:sz="4" w:space="0"/>
              <w:right w:val="single" w:color="000000" w:sz="4" w:space="0"/>
            </w:tcBorders>
            <w:shd w:val="clear" w:color="auto" w:fill="auto"/>
            <w:vAlign w:val="center"/>
          </w:tcPr>
          <w:p w14:paraId="43C23DA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（一）财政拨款小计</w:t>
            </w:r>
          </w:p>
        </w:tc>
        <w:tc>
          <w:tcPr>
            <w:tcW w:w="1972" w:type="dxa"/>
            <w:tcBorders>
              <w:top w:val="single" w:color="000000" w:sz="4" w:space="0"/>
              <w:left w:val="nil"/>
              <w:bottom w:val="single" w:color="000000" w:sz="4" w:space="0"/>
              <w:right w:val="single" w:color="000000" w:sz="4" w:space="0"/>
            </w:tcBorders>
            <w:shd w:val="clear" w:color="auto" w:fill="auto"/>
            <w:vAlign w:val="center"/>
          </w:tcPr>
          <w:p w14:paraId="1DC91AAB">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779</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32</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2B3F5822">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1303</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16</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3C750C6D">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1303</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16</w:t>
            </w:r>
          </w:p>
        </w:tc>
        <w:tc>
          <w:tcPr>
            <w:tcW w:w="1117" w:type="dxa"/>
            <w:tcBorders>
              <w:top w:val="nil"/>
              <w:left w:val="nil"/>
              <w:bottom w:val="single" w:color="000000" w:sz="4" w:space="0"/>
              <w:right w:val="single" w:color="000000" w:sz="4" w:space="0"/>
            </w:tcBorders>
            <w:shd w:val="clear" w:color="auto" w:fill="auto"/>
            <w:vAlign w:val="center"/>
          </w:tcPr>
          <w:p w14:paraId="2B78ACEB">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r>
              <w:rPr>
                <w:rFonts w:hint="eastAsia" w:ascii="宋体" w:hAnsi="宋体" w:eastAsia="宋体" w:cs="宋体"/>
                <w:i w:val="0"/>
                <w:iCs w:val="0"/>
                <w:color w:val="000000"/>
                <w:kern w:val="0"/>
                <w:sz w:val="18"/>
                <w:szCs w:val="18"/>
                <w:lang w:val="en-US" w:eastAsia="zh-CN"/>
              </w:rPr>
              <w:t>%</w:t>
            </w:r>
          </w:p>
        </w:tc>
      </w:tr>
      <w:tr w14:paraId="4A734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597" w:type="dxa"/>
            <w:gridSpan w:val="2"/>
            <w:vMerge w:val="continue"/>
            <w:tcBorders>
              <w:top w:val="nil"/>
              <w:left w:val="single" w:color="000000" w:sz="4" w:space="0"/>
              <w:bottom w:val="nil"/>
              <w:right w:val="single" w:color="000000" w:sz="4" w:space="0"/>
            </w:tcBorders>
            <w:shd w:val="clear" w:color="auto" w:fill="auto"/>
            <w:vAlign w:val="center"/>
          </w:tcPr>
          <w:p w14:paraId="3608F99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22" w:type="dxa"/>
            <w:gridSpan w:val="2"/>
            <w:tcBorders>
              <w:top w:val="single" w:color="000000" w:sz="4" w:space="0"/>
              <w:left w:val="nil"/>
              <w:bottom w:val="single" w:color="000000" w:sz="4" w:space="0"/>
              <w:right w:val="single" w:color="000000" w:sz="4" w:space="0"/>
            </w:tcBorders>
            <w:shd w:val="clear" w:color="auto" w:fill="auto"/>
            <w:vAlign w:val="center"/>
          </w:tcPr>
          <w:p w14:paraId="4A8F2A85">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.一般公共预算</w:t>
            </w:r>
          </w:p>
        </w:tc>
        <w:tc>
          <w:tcPr>
            <w:tcW w:w="1972" w:type="dxa"/>
            <w:tcBorders>
              <w:top w:val="single" w:color="000000" w:sz="4" w:space="0"/>
              <w:left w:val="nil"/>
              <w:bottom w:val="single" w:color="000000" w:sz="4" w:space="0"/>
              <w:right w:val="single" w:color="000000" w:sz="4" w:space="0"/>
            </w:tcBorders>
            <w:shd w:val="clear" w:color="auto" w:fill="auto"/>
            <w:vAlign w:val="center"/>
          </w:tcPr>
          <w:p w14:paraId="204371CA">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779</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32</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13452EF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1303</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16</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47E055E4">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1303</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16</w:t>
            </w:r>
          </w:p>
        </w:tc>
        <w:tc>
          <w:tcPr>
            <w:tcW w:w="1117" w:type="dxa"/>
            <w:tcBorders>
              <w:top w:val="nil"/>
              <w:left w:val="nil"/>
              <w:bottom w:val="single" w:color="000000" w:sz="4" w:space="0"/>
              <w:right w:val="single" w:color="000000" w:sz="4" w:space="0"/>
            </w:tcBorders>
            <w:shd w:val="clear" w:color="auto" w:fill="auto"/>
            <w:vAlign w:val="center"/>
          </w:tcPr>
          <w:p w14:paraId="65F974D9">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r>
              <w:rPr>
                <w:rFonts w:hint="eastAsia" w:ascii="宋体" w:hAnsi="宋体" w:eastAsia="宋体" w:cs="宋体"/>
                <w:i w:val="0"/>
                <w:iCs w:val="0"/>
                <w:color w:val="000000"/>
                <w:kern w:val="0"/>
                <w:sz w:val="18"/>
                <w:szCs w:val="18"/>
                <w:lang w:val="en-US" w:eastAsia="zh-CN"/>
              </w:rPr>
              <w:t>%</w:t>
            </w:r>
          </w:p>
        </w:tc>
      </w:tr>
      <w:tr w14:paraId="5F9D5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597" w:type="dxa"/>
            <w:gridSpan w:val="2"/>
            <w:vMerge w:val="continue"/>
            <w:tcBorders>
              <w:top w:val="nil"/>
              <w:left w:val="single" w:color="000000" w:sz="4" w:space="0"/>
              <w:bottom w:val="nil"/>
              <w:right w:val="single" w:color="000000" w:sz="4" w:space="0"/>
            </w:tcBorders>
            <w:shd w:val="clear" w:color="auto" w:fill="auto"/>
            <w:vAlign w:val="center"/>
          </w:tcPr>
          <w:p w14:paraId="64AAD37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22" w:type="dxa"/>
            <w:gridSpan w:val="2"/>
            <w:tcBorders>
              <w:top w:val="single" w:color="000000" w:sz="4" w:space="0"/>
              <w:left w:val="nil"/>
              <w:bottom w:val="single" w:color="000000" w:sz="4" w:space="0"/>
              <w:right w:val="single" w:color="000000" w:sz="4" w:space="0"/>
            </w:tcBorders>
            <w:shd w:val="clear" w:color="auto" w:fill="auto"/>
            <w:vAlign w:val="center"/>
          </w:tcPr>
          <w:p w14:paraId="336BBCD3">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2</w:t>
            </w:r>
            <w:r>
              <w:rPr>
                <w:rFonts w:hint="eastAsia" w:ascii="宋体" w:hAnsi="宋体" w:eastAsia="宋体" w:cs="宋体"/>
                <w:i w:val="0"/>
                <w:iCs w:val="0"/>
                <w:color w:val="000000"/>
                <w:kern w:val="0"/>
                <w:sz w:val="18"/>
                <w:szCs w:val="18"/>
                <w:lang w:val="en-US" w:eastAsia="zh-CN"/>
              </w:rPr>
              <w:t>.政府性基金</w:t>
            </w:r>
          </w:p>
        </w:tc>
        <w:tc>
          <w:tcPr>
            <w:tcW w:w="1972" w:type="dxa"/>
            <w:tcBorders>
              <w:top w:val="single" w:color="000000" w:sz="4" w:space="0"/>
              <w:left w:val="nil"/>
              <w:bottom w:val="single" w:color="000000" w:sz="4" w:space="0"/>
              <w:right w:val="single" w:color="000000" w:sz="4" w:space="0"/>
            </w:tcBorders>
            <w:shd w:val="clear" w:color="auto" w:fill="auto"/>
            <w:vAlign w:val="center"/>
          </w:tcPr>
          <w:p w14:paraId="1BA1DE5E">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5409551A">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45992695">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c>
          <w:tcPr>
            <w:tcW w:w="1117" w:type="dxa"/>
            <w:tcBorders>
              <w:top w:val="nil"/>
              <w:left w:val="nil"/>
              <w:bottom w:val="single" w:color="000000" w:sz="4" w:space="0"/>
              <w:right w:val="single" w:color="000000" w:sz="4" w:space="0"/>
            </w:tcBorders>
            <w:shd w:val="clear" w:color="auto" w:fill="auto"/>
            <w:vAlign w:val="center"/>
          </w:tcPr>
          <w:p w14:paraId="5BF8FC29">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r>
      <w:tr w14:paraId="2853D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597" w:type="dxa"/>
            <w:gridSpan w:val="2"/>
            <w:vMerge w:val="continue"/>
            <w:tcBorders>
              <w:top w:val="nil"/>
              <w:left w:val="single" w:color="000000" w:sz="4" w:space="0"/>
              <w:bottom w:val="nil"/>
              <w:right w:val="single" w:color="000000" w:sz="4" w:space="0"/>
            </w:tcBorders>
            <w:shd w:val="clear" w:color="auto" w:fill="auto"/>
            <w:vAlign w:val="center"/>
          </w:tcPr>
          <w:p w14:paraId="7E89E81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22" w:type="dxa"/>
            <w:gridSpan w:val="2"/>
            <w:tcBorders>
              <w:top w:val="single" w:color="000000" w:sz="4" w:space="0"/>
              <w:left w:val="nil"/>
              <w:bottom w:val="single" w:color="000000" w:sz="4" w:space="0"/>
              <w:right w:val="single" w:color="000000" w:sz="4" w:space="0"/>
            </w:tcBorders>
            <w:shd w:val="clear" w:color="auto" w:fill="auto"/>
            <w:vAlign w:val="center"/>
          </w:tcPr>
          <w:p w14:paraId="55896507">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3</w:t>
            </w:r>
            <w:r>
              <w:rPr>
                <w:rFonts w:hint="eastAsia" w:ascii="宋体" w:hAnsi="宋体" w:eastAsia="宋体" w:cs="宋体"/>
                <w:i w:val="0"/>
                <w:iCs w:val="0"/>
                <w:color w:val="000000"/>
                <w:kern w:val="0"/>
                <w:sz w:val="18"/>
                <w:szCs w:val="18"/>
                <w:lang w:val="en-US" w:eastAsia="zh-CN"/>
              </w:rPr>
              <w:t>.国有资本经营预算</w:t>
            </w:r>
          </w:p>
        </w:tc>
        <w:tc>
          <w:tcPr>
            <w:tcW w:w="1972" w:type="dxa"/>
            <w:tcBorders>
              <w:top w:val="single" w:color="000000" w:sz="4" w:space="0"/>
              <w:left w:val="nil"/>
              <w:bottom w:val="single" w:color="000000" w:sz="4" w:space="0"/>
              <w:right w:val="single" w:color="000000" w:sz="4" w:space="0"/>
            </w:tcBorders>
            <w:shd w:val="clear" w:color="auto" w:fill="auto"/>
            <w:vAlign w:val="center"/>
          </w:tcPr>
          <w:p w14:paraId="342E4B88">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6D9C0908">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30F22313">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c>
          <w:tcPr>
            <w:tcW w:w="1117" w:type="dxa"/>
            <w:tcBorders>
              <w:top w:val="nil"/>
              <w:left w:val="nil"/>
              <w:bottom w:val="single" w:color="000000" w:sz="4" w:space="0"/>
              <w:right w:val="single" w:color="000000" w:sz="4" w:space="0"/>
            </w:tcBorders>
            <w:shd w:val="clear" w:color="auto" w:fill="auto"/>
            <w:vAlign w:val="center"/>
          </w:tcPr>
          <w:p w14:paraId="70D23434">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r>
      <w:tr w14:paraId="456B9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597" w:type="dxa"/>
            <w:gridSpan w:val="2"/>
            <w:vMerge w:val="continue"/>
            <w:tcBorders>
              <w:top w:val="nil"/>
              <w:left w:val="single" w:color="000000" w:sz="4" w:space="0"/>
              <w:bottom w:val="nil"/>
              <w:right w:val="single" w:color="000000" w:sz="4" w:space="0"/>
            </w:tcBorders>
            <w:shd w:val="clear" w:color="auto" w:fill="auto"/>
            <w:vAlign w:val="center"/>
          </w:tcPr>
          <w:p w14:paraId="074DA76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322" w:type="dxa"/>
            <w:gridSpan w:val="2"/>
            <w:tcBorders>
              <w:top w:val="single" w:color="000000" w:sz="4" w:space="0"/>
              <w:left w:val="nil"/>
              <w:bottom w:val="single" w:color="000000" w:sz="4" w:space="0"/>
              <w:right w:val="single" w:color="000000" w:sz="4" w:space="0"/>
            </w:tcBorders>
            <w:shd w:val="clear" w:color="auto" w:fill="auto"/>
            <w:vAlign w:val="center"/>
          </w:tcPr>
          <w:p w14:paraId="245B723C">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（二）其他资金</w:t>
            </w:r>
          </w:p>
        </w:tc>
        <w:tc>
          <w:tcPr>
            <w:tcW w:w="1972" w:type="dxa"/>
            <w:tcBorders>
              <w:top w:val="single" w:color="000000" w:sz="4" w:space="0"/>
              <w:left w:val="nil"/>
              <w:bottom w:val="single" w:color="000000" w:sz="4" w:space="0"/>
              <w:right w:val="single" w:color="000000" w:sz="4" w:space="0"/>
            </w:tcBorders>
            <w:shd w:val="clear" w:color="auto" w:fill="auto"/>
            <w:vAlign w:val="center"/>
          </w:tcPr>
          <w:p w14:paraId="2FD767EE">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439B178F">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0A653A87">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c>
          <w:tcPr>
            <w:tcW w:w="1117" w:type="dxa"/>
            <w:tcBorders>
              <w:top w:val="nil"/>
              <w:left w:val="nil"/>
              <w:bottom w:val="single" w:color="000000" w:sz="4" w:space="0"/>
              <w:right w:val="single" w:color="000000" w:sz="4" w:space="0"/>
            </w:tcBorders>
            <w:shd w:val="clear" w:color="auto" w:fill="auto"/>
            <w:vAlign w:val="center"/>
          </w:tcPr>
          <w:p w14:paraId="531712F9">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p>
        </w:tc>
      </w:tr>
      <w:tr w14:paraId="30FD6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90A70">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整体</w:t>
            </w:r>
          </w:p>
          <w:p w14:paraId="072F9FDD">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目标</w:t>
            </w:r>
          </w:p>
        </w:tc>
        <w:tc>
          <w:tcPr>
            <w:tcW w:w="6353" w:type="dxa"/>
            <w:gridSpan w:val="5"/>
            <w:tcBorders>
              <w:top w:val="single" w:color="000000" w:sz="4" w:space="0"/>
              <w:left w:val="nil"/>
              <w:bottom w:val="single" w:color="000000" w:sz="4" w:space="0"/>
              <w:right w:val="single" w:color="000000" w:sz="4" w:space="0"/>
            </w:tcBorders>
            <w:shd w:val="clear" w:color="auto" w:fill="auto"/>
            <w:vAlign w:val="center"/>
          </w:tcPr>
          <w:p w14:paraId="1E650318">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年度目标</w:t>
            </w:r>
          </w:p>
        </w:tc>
        <w:tc>
          <w:tcPr>
            <w:tcW w:w="2373" w:type="dxa"/>
            <w:gridSpan w:val="2"/>
            <w:tcBorders>
              <w:top w:val="single" w:color="000000" w:sz="4" w:space="0"/>
              <w:left w:val="nil"/>
              <w:bottom w:val="single" w:color="000000" w:sz="4" w:space="0"/>
              <w:right w:val="single" w:color="000000" w:sz="4" w:space="0"/>
            </w:tcBorders>
            <w:shd w:val="clear" w:color="auto" w:fill="auto"/>
            <w:vAlign w:val="center"/>
          </w:tcPr>
          <w:p w14:paraId="76C38B77">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完成情况</w:t>
            </w:r>
          </w:p>
        </w:tc>
      </w:tr>
      <w:tr w14:paraId="41CDC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jc w:val="center"/>
        </w:trPr>
        <w:tc>
          <w:tcPr>
            <w:tcW w:w="7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3D38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53" w:type="dxa"/>
            <w:gridSpan w:val="5"/>
            <w:tcBorders>
              <w:top w:val="single" w:color="000000" w:sz="4" w:space="0"/>
              <w:left w:val="nil"/>
              <w:bottom w:val="single" w:color="000000" w:sz="4" w:space="0"/>
              <w:right w:val="single" w:color="000000" w:sz="4" w:space="0"/>
            </w:tcBorders>
            <w:shd w:val="clear" w:color="auto" w:fill="auto"/>
            <w:vAlign w:val="center"/>
          </w:tcPr>
          <w:p w14:paraId="78FCA482">
            <w:pPr>
              <w:keepNext w:val="0"/>
              <w:keepLines w:val="0"/>
              <w:widowControl/>
              <w:suppressLineNumbers w:val="0"/>
              <w:autoSpaceDE w:val="0"/>
              <w:autoSpaceDN/>
              <w:spacing w:before="0" w:beforeAutospacing="0" w:after="0" w:afterAutospacing="0" w:line="300" w:lineRule="exact"/>
              <w:ind w:left="-60" w:leftChars="-25" w:right="-60" w:rightChars="-25" w:firstLine="360" w:firstLineChars="200"/>
              <w:jc w:val="both"/>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围绕区委八届六次全会暨区委工作会议重大部署，开展各类调研，起草区委全会及全区性重大会议材料，统筹安排区委各类活动会议，为区委决策提供参考。召开深改委会议、专项小组会议，拟制党史、地方志工作规划和编纂方案，负责区委大事记、《昭化年鉴》、《执政实录》的编撰工作，组织并指导全区政策研究工作等；负责区委或区委、区政府联合召开的各种会议的会务组织工作，协助做好区四大班子领导出席各项公务活动和会议的协调安排工作，负责区委办公室日常事务，指导基层部门的会务工作；加强全区办公室业务培训指导，召开全区办公室系统工作会议。进一步完善公文处理运转体系，规范明密件管理。向省市报备党内规范性文件，进一步完善文件前置审批、会议审批、重要活动计划、督查检查考核统筹备案等制度，确保工作规范有序。紧密围绕中央、省市领导调研指示精神和区委区政府主要领导批示交办事项，加强督查督办，有效推动重大决策部署落地生根。强化机关党建工作，开展支部主题党日活动和党风廉政建设主题日活动，促进机关党建工作有效落实。加强机关管理工作，加大保洁力度，加强基础设施日常维护，强化机关安全保卫、车辆运行和安全等后勤保障，推进节约型机关创建。加强保密机要工作，开展保密宣传教育，做好电子政务内网技术保障工作，确保密码电报万无一失、国家秘密绝对安全。加强档案管理工作，完成全区档案规范化建设。加强驻村帮扶工作。</w:t>
            </w:r>
          </w:p>
        </w:tc>
        <w:tc>
          <w:tcPr>
            <w:tcW w:w="2373" w:type="dxa"/>
            <w:gridSpan w:val="2"/>
            <w:tcBorders>
              <w:top w:val="single" w:color="000000" w:sz="4" w:space="0"/>
              <w:left w:val="nil"/>
              <w:bottom w:val="single" w:color="000000" w:sz="4" w:space="0"/>
              <w:right w:val="single" w:color="000000" w:sz="4" w:space="0"/>
            </w:tcBorders>
            <w:shd w:val="clear" w:color="auto" w:fill="auto"/>
            <w:vAlign w:val="center"/>
          </w:tcPr>
          <w:p w14:paraId="3927A7F3">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全面完成</w:t>
            </w:r>
          </w:p>
        </w:tc>
      </w:tr>
      <w:tr w14:paraId="0AF13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791" w:type="dxa"/>
            <w:vMerge w:val="restart"/>
            <w:tcBorders>
              <w:top w:val="nil"/>
              <w:left w:val="single" w:color="000000" w:sz="4" w:space="0"/>
              <w:bottom w:val="single" w:color="000000" w:sz="4" w:space="0"/>
              <w:right w:val="single" w:color="000000" w:sz="4" w:space="0"/>
            </w:tcBorders>
            <w:shd w:val="clear" w:color="auto" w:fill="auto"/>
            <w:vAlign w:val="center"/>
          </w:tcPr>
          <w:p w14:paraId="65990390">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部门整体绩效指标</w:t>
            </w:r>
          </w:p>
        </w:tc>
        <w:tc>
          <w:tcPr>
            <w:tcW w:w="806" w:type="dxa"/>
            <w:tcBorders>
              <w:top w:val="single" w:color="000000" w:sz="4" w:space="0"/>
              <w:left w:val="nil"/>
              <w:bottom w:val="single" w:color="000000" w:sz="4" w:space="0"/>
              <w:right w:val="single" w:color="000000" w:sz="4" w:space="0"/>
            </w:tcBorders>
            <w:shd w:val="clear" w:color="auto" w:fill="auto"/>
            <w:vAlign w:val="center"/>
          </w:tcPr>
          <w:p w14:paraId="4F10132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一级指标</w:t>
            </w:r>
          </w:p>
        </w:tc>
        <w:tc>
          <w:tcPr>
            <w:tcW w:w="994" w:type="dxa"/>
            <w:tcBorders>
              <w:top w:val="single" w:color="000000" w:sz="4" w:space="0"/>
              <w:left w:val="nil"/>
              <w:bottom w:val="single" w:color="000000" w:sz="4" w:space="0"/>
              <w:right w:val="single" w:color="000000" w:sz="4" w:space="0"/>
            </w:tcBorders>
            <w:shd w:val="clear" w:color="auto" w:fill="auto"/>
            <w:vAlign w:val="center"/>
          </w:tcPr>
          <w:p w14:paraId="7241593A">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二级指标</w:t>
            </w:r>
          </w:p>
        </w:tc>
        <w:tc>
          <w:tcPr>
            <w:tcW w:w="3300" w:type="dxa"/>
            <w:gridSpan w:val="2"/>
            <w:tcBorders>
              <w:top w:val="single" w:color="000000" w:sz="4" w:space="0"/>
              <w:left w:val="nil"/>
              <w:bottom w:val="single" w:color="000000" w:sz="4" w:space="0"/>
              <w:right w:val="single" w:color="000000" w:sz="4" w:space="0"/>
            </w:tcBorders>
            <w:shd w:val="clear" w:color="auto" w:fill="auto"/>
            <w:vAlign w:val="center"/>
          </w:tcPr>
          <w:p w14:paraId="6578D3C4">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三级指标</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483E08F9">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年度指标值</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50E91D1A">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实际完成值</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63B7FA3B">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spacing w:val="-6"/>
                <w:kern w:val="0"/>
                <w:sz w:val="18"/>
                <w:szCs w:val="18"/>
                <w:lang w:val="en-US" w:eastAsia="zh-CN"/>
              </w:rPr>
              <w:t>偏差原因分析及改进措施</w:t>
            </w:r>
          </w:p>
        </w:tc>
      </w:tr>
      <w:tr w14:paraId="43BC1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35D3C78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vMerge w:val="restart"/>
            <w:tcBorders>
              <w:top w:val="nil"/>
              <w:left w:val="nil"/>
              <w:bottom w:val="single" w:color="000000" w:sz="4" w:space="0"/>
              <w:right w:val="single" w:color="000000" w:sz="4" w:space="0"/>
            </w:tcBorders>
            <w:shd w:val="clear" w:color="auto" w:fill="auto"/>
            <w:vAlign w:val="center"/>
          </w:tcPr>
          <w:p w14:paraId="54A12ADF">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产出指标</w:t>
            </w:r>
          </w:p>
        </w:tc>
        <w:tc>
          <w:tcPr>
            <w:tcW w:w="994" w:type="dxa"/>
            <w:vMerge w:val="restart"/>
            <w:tcBorders>
              <w:top w:val="nil"/>
              <w:left w:val="nil"/>
              <w:bottom w:val="single" w:color="000000" w:sz="4" w:space="0"/>
              <w:right w:val="single" w:color="000000" w:sz="4" w:space="0"/>
            </w:tcBorders>
            <w:shd w:val="clear" w:color="auto" w:fill="auto"/>
            <w:vAlign w:val="center"/>
          </w:tcPr>
          <w:p w14:paraId="231DC40E">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数量指标</w:t>
            </w:r>
          </w:p>
        </w:tc>
        <w:tc>
          <w:tcPr>
            <w:tcW w:w="1328" w:type="dxa"/>
            <w:tcBorders>
              <w:top w:val="single" w:color="000000" w:sz="4" w:space="0"/>
              <w:left w:val="nil"/>
              <w:bottom w:val="single" w:color="000000" w:sz="4" w:space="0"/>
              <w:right w:val="single" w:color="000000" w:sz="4" w:space="0"/>
            </w:tcBorders>
            <w:shd w:val="clear" w:color="auto" w:fill="auto"/>
            <w:vAlign w:val="center"/>
          </w:tcPr>
          <w:p w14:paraId="5A3CA52D">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nil"/>
              <w:bottom w:val="single" w:color="000000" w:sz="4" w:space="0"/>
              <w:right w:val="single" w:color="000000" w:sz="4" w:space="0"/>
            </w:tcBorders>
            <w:shd w:val="clear" w:color="auto" w:fill="auto"/>
            <w:vAlign w:val="center"/>
          </w:tcPr>
          <w:p w14:paraId="7F4F897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举办各类会议次数</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15AACBD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80</w:t>
            </w:r>
            <w:r>
              <w:rPr>
                <w:rFonts w:hint="eastAsia" w:ascii="宋体" w:hAnsi="宋体" w:eastAsia="宋体" w:cs="宋体"/>
                <w:i w:val="0"/>
                <w:iCs w:val="0"/>
                <w:color w:val="000000"/>
                <w:kern w:val="0"/>
                <w:sz w:val="18"/>
                <w:szCs w:val="18"/>
                <w:lang w:val="en-US" w:eastAsia="zh-CN"/>
              </w:rPr>
              <w:t>场次</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12497D77">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80</w:t>
            </w:r>
            <w:r>
              <w:rPr>
                <w:rFonts w:hint="eastAsia" w:ascii="宋体" w:hAnsi="宋体" w:eastAsia="宋体" w:cs="宋体"/>
                <w:i w:val="0"/>
                <w:iCs w:val="0"/>
                <w:color w:val="000000"/>
                <w:kern w:val="0"/>
                <w:sz w:val="18"/>
                <w:szCs w:val="18"/>
                <w:lang w:val="en-US" w:eastAsia="zh-CN"/>
              </w:rPr>
              <w:t>场次</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42CFDCAF">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53C8B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25B6453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vMerge w:val="continue"/>
            <w:tcBorders>
              <w:top w:val="nil"/>
              <w:left w:val="nil"/>
              <w:bottom w:val="single" w:color="000000" w:sz="4" w:space="0"/>
              <w:right w:val="single" w:color="000000" w:sz="4" w:space="0"/>
            </w:tcBorders>
            <w:shd w:val="clear" w:color="auto" w:fill="auto"/>
            <w:vAlign w:val="center"/>
          </w:tcPr>
          <w:p w14:paraId="0D273A7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94" w:type="dxa"/>
            <w:vMerge w:val="continue"/>
            <w:tcBorders>
              <w:top w:val="nil"/>
              <w:left w:val="nil"/>
              <w:bottom w:val="single" w:color="000000" w:sz="4" w:space="0"/>
              <w:right w:val="single" w:color="000000" w:sz="4" w:space="0"/>
            </w:tcBorders>
            <w:shd w:val="clear" w:color="auto" w:fill="auto"/>
            <w:vAlign w:val="center"/>
          </w:tcPr>
          <w:p w14:paraId="12AFD14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28" w:type="dxa"/>
            <w:tcBorders>
              <w:top w:val="single" w:color="000000" w:sz="4" w:space="0"/>
              <w:left w:val="nil"/>
              <w:bottom w:val="single" w:color="000000" w:sz="4" w:space="0"/>
              <w:right w:val="nil"/>
            </w:tcBorders>
            <w:shd w:val="clear" w:color="auto" w:fill="auto"/>
            <w:vAlign w:val="center"/>
          </w:tcPr>
          <w:p w14:paraId="0ECE8B91">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2</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B6CE8">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单位在职职工人数</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699E983A">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25</w:t>
            </w:r>
            <w:r>
              <w:rPr>
                <w:rFonts w:hint="eastAsia" w:ascii="宋体" w:hAnsi="宋体" w:eastAsia="宋体" w:cs="宋体"/>
                <w:i w:val="0"/>
                <w:iCs w:val="0"/>
                <w:color w:val="000000"/>
                <w:kern w:val="0"/>
                <w:sz w:val="18"/>
                <w:szCs w:val="18"/>
                <w:lang w:val="en-US" w:eastAsia="zh-CN"/>
              </w:rPr>
              <w:t>人</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080AB29E">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25</w:t>
            </w:r>
            <w:r>
              <w:rPr>
                <w:rFonts w:hint="eastAsia" w:ascii="宋体" w:hAnsi="宋体" w:eastAsia="宋体" w:cs="宋体"/>
                <w:i w:val="0"/>
                <w:iCs w:val="0"/>
                <w:color w:val="000000"/>
                <w:kern w:val="0"/>
                <w:sz w:val="18"/>
                <w:szCs w:val="18"/>
                <w:lang w:val="en-US" w:eastAsia="zh-CN"/>
              </w:rPr>
              <w:t>人</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6839F129">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2D096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5B8C97C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vMerge w:val="continue"/>
            <w:tcBorders>
              <w:top w:val="nil"/>
              <w:left w:val="nil"/>
              <w:bottom w:val="single" w:color="000000" w:sz="4" w:space="0"/>
              <w:right w:val="single" w:color="000000" w:sz="4" w:space="0"/>
            </w:tcBorders>
            <w:shd w:val="clear" w:color="auto" w:fill="auto"/>
            <w:vAlign w:val="center"/>
          </w:tcPr>
          <w:p w14:paraId="4EA9CF8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94" w:type="dxa"/>
            <w:vMerge w:val="continue"/>
            <w:tcBorders>
              <w:top w:val="nil"/>
              <w:left w:val="nil"/>
              <w:bottom w:val="single" w:color="000000" w:sz="4" w:space="0"/>
              <w:right w:val="single" w:color="000000" w:sz="4" w:space="0"/>
            </w:tcBorders>
            <w:shd w:val="clear" w:color="auto" w:fill="auto"/>
            <w:vAlign w:val="center"/>
          </w:tcPr>
          <w:p w14:paraId="2931ECF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28" w:type="dxa"/>
            <w:tcBorders>
              <w:top w:val="single" w:color="000000" w:sz="4" w:space="0"/>
              <w:left w:val="nil"/>
              <w:bottom w:val="single" w:color="000000" w:sz="4" w:space="0"/>
              <w:right w:val="nil"/>
            </w:tcBorders>
            <w:shd w:val="clear" w:color="auto" w:fill="auto"/>
            <w:vAlign w:val="center"/>
          </w:tcPr>
          <w:p w14:paraId="5C4520D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3</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BA26B">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开展培训次数</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2A63EBEC">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w:t>
            </w:r>
            <w:r>
              <w:rPr>
                <w:rFonts w:hint="eastAsia" w:ascii="宋体" w:hAnsi="宋体" w:eastAsia="宋体" w:cs="宋体"/>
                <w:i w:val="0"/>
                <w:iCs w:val="0"/>
                <w:color w:val="000000"/>
                <w:kern w:val="0"/>
                <w:sz w:val="18"/>
                <w:szCs w:val="18"/>
                <w:lang w:val="en-US" w:eastAsia="zh-CN"/>
              </w:rPr>
              <w:t>次</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5EBCEBC1">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w:t>
            </w:r>
            <w:r>
              <w:rPr>
                <w:rFonts w:hint="eastAsia" w:ascii="宋体" w:hAnsi="宋体" w:eastAsia="宋体" w:cs="宋体"/>
                <w:i w:val="0"/>
                <w:iCs w:val="0"/>
                <w:color w:val="000000"/>
                <w:kern w:val="0"/>
                <w:sz w:val="18"/>
                <w:szCs w:val="18"/>
                <w:lang w:val="en-US" w:eastAsia="zh-CN"/>
              </w:rPr>
              <w:t>次</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4C51223E">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577F8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60D4A32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vMerge w:val="continue"/>
            <w:tcBorders>
              <w:top w:val="nil"/>
              <w:left w:val="nil"/>
              <w:bottom w:val="single" w:color="000000" w:sz="4" w:space="0"/>
              <w:right w:val="single" w:color="000000" w:sz="4" w:space="0"/>
            </w:tcBorders>
            <w:shd w:val="clear" w:color="auto" w:fill="auto"/>
            <w:vAlign w:val="center"/>
          </w:tcPr>
          <w:p w14:paraId="7755086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94" w:type="dxa"/>
            <w:tcBorders>
              <w:top w:val="single" w:color="000000" w:sz="4" w:space="0"/>
              <w:left w:val="nil"/>
              <w:bottom w:val="single" w:color="000000" w:sz="4" w:space="0"/>
              <w:right w:val="single" w:color="000000" w:sz="4" w:space="0"/>
            </w:tcBorders>
            <w:shd w:val="clear" w:color="auto" w:fill="auto"/>
            <w:vAlign w:val="center"/>
          </w:tcPr>
          <w:p w14:paraId="3E4AED01">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质量指标</w:t>
            </w:r>
          </w:p>
        </w:tc>
        <w:tc>
          <w:tcPr>
            <w:tcW w:w="1328" w:type="dxa"/>
            <w:tcBorders>
              <w:top w:val="single" w:color="000000" w:sz="4" w:space="0"/>
              <w:left w:val="nil"/>
              <w:bottom w:val="single" w:color="000000" w:sz="4" w:space="0"/>
              <w:right w:val="nil"/>
            </w:tcBorders>
            <w:shd w:val="clear" w:color="auto" w:fill="auto"/>
            <w:vAlign w:val="center"/>
          </w:tcPr>
          <w:p w14:paraId="627BBDF3">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3B3A">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参训人员考试达标率</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424C5C38">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99</w:t>
            </w:r>
            <w:r>
              <w:rPr>
                <w:rFonts w:hint="eastAsia" w:ascii="宋体" w:hAnsi="宋体" w:eastAsia="宋体" w:cs="宋体"/>
                <w:i w:val="0"/>
                <w:iCs w:val="0"/>
                <w:color w:val="000000"/>
                <w:kern w:val="0"/>
                <w:sz w:val="18"/>
                <w:szCs w:val="18"/>
                <w:lang w:val="en-US" w:eastAsia="zh-CN"/>
              </w:rPr>
              <w:t>%</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35EE6EC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99</w:t>
            </w:r>
            <w:r>
              <w:rPr>
                <w:rFonts w:hint="eastAsia" w:ascii="宋体" w:hAnsi="宋体" w:eastAsia="宋体" w:cs="宋体"/>
                <w:i w:val="0"/>
                <w:iCs w:val="0"/>
                <w:color w:val="000000"/>
                <w:kern w:val="0"/>
                <w:sz w:val="18"/>
                <w:szCs w:val="18"/>
                <w:lang w:val="en-US" w:eastAsia="zh-CN"/>
              </w:rPr>
              <w:t>%</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7232235C">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0B2A8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3C65694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vMerge w:val="continue"/>
            <w:tcBorders>
              <w:top w:val="nil"/>
              <w:left w:val="nil"/>
              <w:bottom w:val="single" w:color="000000" w:sz="4" w:space="0"/>
              <w:right w:val="single" w:color="000000" w:sz="4" w:space="0"/>
            </w:tcBorders>
            <w:shd w:val="clear" w:color="auto" w:fill="auto"/>
            <w:vAlign w:val="center"/>
          </w:tcPr>
          <w:p w14:paraId="02ADC1B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94" w:type="dxa"/>
            <w:tcBorders>
              <w:top w:val="single" w:color="000000" w:sz="4" w:space="0"/>
              <w:left w:val="nil"/>
              <w:bottom w:val="single" w:color="000000" w:sz="4" w:space="0"/>
              <w:right w:val="single" w:color="000000" w:sz="4" w:space="0"/>
            </w:tcBorders>
            <w:shd w:val="clear" w:color="auto" w:fill="auto"/>
            <w:vAlign w:val="center"/>
          </w:tcPr>
          <w:p w14:paraId="07E6CB2D">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时效指标</w:t>
            </w:r>
          </w:p>
        </w:tc>
        <w:tc>
          <w:tcPr>
            <w:tcW w:w="1328" w:type="dxa"/>
            <w:tcBorders>
              <w:top w:val="single" w:color="000000" w:sz="4" w:space="0"/>
              <w:left w:val="nil"/>
              <w:bottom w:val="single" w:color="000000" w:sz="4" w:space="0"/>
              <w:right w:val="nil"/>
            </w:tcBorders>
            <w:shd w:val="clear" w:color="auto" w:fill="auto"/>
            <w:vAlign w:val="center"/>
          </w:tcPr>
          <w:p w14:paraId="7038E964">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63FA1">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spacing w:val="-6"/>
                <w:kern w:val="0"/>
                <w:sz w:val="18"/>
                <w:szCs w:val="18"/>
                <w:lang w:val="en-US" w:eastAsia="zh-CN"/>
              </w:rPr>
              <w:t>年度各项工作完成及时率</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4EEE251E">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99</w:t>
            </w:r>
            <w:r>
              <w:rPr>
                <w:rFonts w:hint="eastAsia" w:ascii="宋体" w:hAnsi="宋体" w:eastAsia="宋体" w:cs="宋体"/>
                <w:i w:val="0"/>
                <w:iCs w:val="0"/>
                <w:color w:val="000000"/>
                <w:kern w:val="0"/>
                <w:sz w:val="18"/>
                <w:szCs w:val="18"/>
                <w:lang w:val="en-US" w:eastAsia="zh-CN"/>
              </w:rPr>
              <w:t>%</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32B1B6B0">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99</w:t>
            </w:r>
            <w:r>
              <w:rPr>
                <w:rFonts w:hint="eastAsia" w:ascii="宋体" w:hAnsi="宋体" w:eastAsia="宋体" w:cs="宋体"/>
                <w:i w:val="0"/>
                <w:iCs w:val="0"/>
                <w:color w:val="000000"/>
                <w:kern w:val="0"/>
                <w:sz w:val="18"/>
                <w:szCs w:val="18"/>
                <w:lang w:val="en-US" w:eastAsia="zh-CN"/>
              </w:rPr>
              <w:t>%</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2E0728D1">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064B2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193DADC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vMerge w:val="continue"/>
            <w:tcBorders>
              <w:top w:val="nil"/>
              <w:left w:val="nil"/>
              <w:bottom w:val="single" w:color="000000" w:sz="4" w:space="0"/>
              <w:right w:val="single" w:color="000000" w:sz="4" w:space="0"/>
            </w:tcBorders>
            <w:shd w:val="clear" w:color="auto" w:fill="auto"/>
            <w:vAlign w:val="center"/>
          </w:tcPr>
          <w:p w14:paraId="5B0515D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94" w:type="dxa"/>
            <w:vMerge w:val="restart"/>
            <w:tcBorders>
              <w:top w:val="nil"/>
              <w:left w:val="nil"/>
              <w:bottom w:val="single" w:color="000000" w:sz="4" w:space="0"/>
              <w:right w:val="single" w:color="000000" w:sz="4" w:space="0"/>
            </w:tcBorders>
            <w:shd w:val="clear" w:color="auto" w:fill="auto"/>
            <w:vAlign w:val="center"/>
          </w:tcPr>
          <w:p w14:paraId="061CEC65">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成本指标</w:t>
            </w:r>
          </w:p>
        </w:tc>
        <w:tc>
          <w:tcPr>
            <w:tcW w:w="1328" w:type="dxa"/>
            <w:tcBorders>
              <w:top w:val="single" w:color="000000" w:sz="4" w:space="0"/>
              <w:left w:val="nil"/>
              <w:bottom w:val="single" w:color="000000" w:sz="4" w:space="0"/>
              <w:right w:val="nil"/>
            </w:tcBorders>
            <w:shd w:val="clear" w:color="auto" w:fill="auto"/>
            <w:vAlign w:val="center"/>
          </w:tcPr>
          <w:p w14:paraId="6D58506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DA25B">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各类会议经费投入</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38552B99">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r>
              <w:rPr>
                <w:rFonts w:hint="eastAsia" w:ascii="宋体" w:hAnsi="宋体" w:eastAsia="宋体" w:cs="宋体"/>
                <w:i w:val="0"/>
                <w:iCs w:val="0"/>
                <w:color w:val="000000"/>
                <w:kern w:val="0"/>
                <w:sz w:val="18"/>
                <w:szCs w:val="18"/>
                <w:lang w:val="en-US" w:eastAsia="zh-CN"/>
              </w:rPr>
              <w:t>万元</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43C15EEA">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r>
              <w:rPr>
                <w:rFonts w:hint="eastAsia" w:ascii="宋体" w:hAnsi="宋体" w:eastAsia="宋体" w:cs="宋体"/>
                <w:i w:val="0"/>
                <w:iCs w:val="0"/>
                <w:color w:val="000000"/>
                <w:kern w:val="0"/>
                <w:sz w:val="18"/>
                <w:szCs w:val="18"/>
                <w:lang w:val="en-US" w:eastAsia="zh-CN"/>
              </w:rPr>
              <w:t>万元</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75F19AC0">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4E715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1B9A175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vMerge w:val="continue"/>
            <w:tcBorders>
              <w:top w:val="nil"/>
              <w:left w:val="nil"/>
              <w:bottom w:val="single" w:color="000000" w:sz="4" w:space="0"/>
              <w:right w:val="single" w:color="000000" w:sz="4" w:space="0"/>
            </w:tcBorders>
            <w:shd w:val="clear" w:color="auto" w:fill="auto"/>
            <w:vAlign w:val="center"/>
          </w:tcPr>
          <w:p w14:paraId="304EE68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94" w:type="dxa"/>
            <w:vMerge w:val="continue"/>
            <w:tcBorders>
              <w:top w:val="nil"/>
              <w:left w:val="nil"/>
              <w:bottom w:val="single" w:color="000000" w:sz="4" w:space="0"/>
              <w:right w:val="single" w:color="000000" w:sz="4" w:space="0"/>
            </w:tcBorders>
            <w:shd w:val="clear" w:color="auto" w:fill="auto"/>
            <w:vAlign w:val="center"/>
          </w:tcPr>
          <w:p w14:paraId="37302B5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28" w:type="dxa"/>
            <w:tcBorders>
              <w:top w:val="single" w:color="000000" w:sz="4" w:space="0"/>
              <w:left w:val="nil"/>
              <w:bottom w:val="single" w:color="000000" w:sz="4" w:space="0"/>
              <w:right w:val="nil"/>
            </w:tcBorders>
            <w:shd w:val="clear" w:color="auto" w:fill="auto"/>
            <w:vAlign w:val="center"/>
          </w:tcPr>
          <w:p w14:paraId="183034C5">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2</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3F025">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运转经费控制额</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0EF8AA5A">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417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32</w:t>
            </w:r>
            <w:r>
              <w:rPr>
                <w:rFonts w:hint="eastAsia" w:ascii="宋体" w:hAnsi="宋体" w:eastAsia="宋体" w:cs="宋体"/>
                <w:i w:val="0"/>
                <w:iCs w:val="0"/>
                <w:color w:val="000000"/>
                <w:kern w:val="0"/>
                <w:sz w:val="18"/>
                <w:szCs w:val="18"/>
                <w:lang w:val="en-US" w:eastAsia="zh-CN"/>
              </w:rPr>
              <w:t>万元</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3E824B0C">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417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32</w:t>
            </w:r>
            <w:r>
              <w:rPr>
                <w:rFonts w:hint="eastAsia" w:ascii="宋体" w:hAnsi="宋体" w:eastAsia="宋体" w:cs="宋体"/>
                <w:i w:val="0"/>
                <w:iCs w:val="0"/>
                <w:color w:val="000000"/>
                <w:kern w:val="0"/>
                <w:sz w:val="18"/>
                <w:szCs w:val="18"/>
                <w:lang w:val="en-US" w:eastAsia="zh-CN"/>
              </w:rPr>
              <w:t>万元</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30994412">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0086A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8"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195C803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vMerge w:val="continue"/>
            <w:tcBorders>
              <w:top w:val="nil"/>
              <w:left w:val="nil"/>
              <w:bottom w:val="single" w:color="000000" w:sz="4" w:space="0"/>
              <w:right w:val="single" w:color="000000" w:sz="4" w:space="0"/>
            </w:tcBorders>
            <w:shd w:val="clear" w:color="auto" w:fill="auto"/>
            <w:vAlign w:val="center"/>
          </w:tcPr>
          <w:p w14:paraId="4F40899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994" w:type="dxa"/>
            <w:vMerge w:val="continue"/>
            <w:tcBorders>
              <w:top w:val="nil"/>
              <w:left w:val="nil"/>
              <w:bottom w:val="single" w:color="000000" w:sz="4" w:space="0"/>
              <w:right w:val="single" w:color="000000" w:sz="4" w:space="0"/>
            </w:tcBorders>
            <w:shd w:val="clear" w:color="auto" w:fill="auto"/>
            <w:vAlign w:val="center"/>
          </w:tcPr>
          <w:p w14:paraId="26B47F0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328" w:type="dxa"/>
            <w:tcBorders>
              <w:top w:val="single" w:color="000000" w:sz="4" w:space="0"/>
              <w:left w:val="nil"/>
              <w:bottom w:val="single" w:color="000000" w:sz="4" w:space="0"/>
              <w:right w:val="nil"/>
            </w:tcBorders>
            <w:shd w:val="clear" w:color="auto" w:fill="auto"/>
            <w:vAlign w:val="center"/>
          </w:tcPr>
          <w:p w14:paraId="606CF625">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3</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D8E6B">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重点项目督查督办、政策研究、深化改革等专项经费控制额</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79EE7D28">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318</w:t>
            </w:r>
            <w:r>
              <w:rPr>
                <w:rFonts w:hint="eastAsia" w:ascii="宋体" w:hAnsi="宋体" w:eastAsia="宋体" w:cs="宋体"/>
                <w:i w:val="0"/>
                <w:iCs w:val="0"/>
                <w:color w:val="000000"/>
                <w:kern w:val="0"/>
                <w:sz w:val="18"/>
                <w:szCs w:val="18"/>
                <w:lang w:val="en-US" w:eastAsia="zh-CN"/>
              </w:rPr>
              <w:t>万元</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60C3B480">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318</w:t>
            </w:r>
            <w:r>
              <w:rPr>
                <w:rFonts w:hint="eastAsia" w:ascii="宋体" w:hAnsi="宋体" w:eastAsia="宋体" w:cs="宋体"/>
                <w:i w:val="0"/>
                <w:iCs w:val="0"/>
                <w:color w:val="000000"/>
                <w:kern w:val="0"/>
                <w:sz w:val="18"/>
                <w:szCs w:val="18"/>
                <w:lang w:val="en-US" w:eastAsia="zh-CN"/>
              </w:rPr>
              <w:t>万元</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03457C34">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79DB3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8"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301D11E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tcBorders>
              <w:top w:val="single" w:color="000000" w:sz="4" w:space="0"/>
              <w:left w:val="nil"/>
              <w:bottom w:val="single" w:color="000000" w:sz="4" w:space="0"/>
              <w:right w:val="single" w:color="000000" w:sz="4" w:space="0"/>
            </w:tcBorders>
            <w:shd w:val="clear" w:color="auto" w:fill="auto"/>
            <w:vAlign w:val="center"/>
          </w:tcPr>
          <w:p w14:paraId="28050A4E">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效益指标</w:t>
            </w:r>
          </w:p>
        </w:tc>
        <w:tc>
          <w:tcPr>
            <w:tcW w:w="994" w:type="dxa"/>
            <w:tcBorders>
              <w:top w:val="single" w:color="000000" w:sz="4" w:space="0"/>
              <w:left w:val="nil"/>
              <w:bottom w:val="single" w:color="000000" w:sz="4" w:space="0"/>
              <w:right w:val="single" w:color="000000" w:sz="4" w:space="0"/>
            </w:tcBorders>
            <w:shd w:val="clear" w:color="auto" w:fill="auto"/>
            <w:vAlign w:val="center"/>
          </w:tcPr>
          <w:p w14:paraId="22C551C7">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社会效益</w:t>
            </w:r>
          </w:p>
          <w:p w14:paraId="4597D8CC">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328" w:type="dxa"/>
            <w:tcBorders>
              <w:top w:val="single" w:color="000000" w:sz="4" w:space="0"/>
              <w:left w:val="nil"/>
              <w:bottom w:val="single" w:color="000000" w:sz="4" w:space="0"/>
              <w:right w:val="nil"/>
            </w:tcBorders>
            <w:shd w:val="clear" w:color="auto" w:fill="auto"/>
            <w:vAlign w:val="center"/>
          </w:tcPr>
          <w:p w14:paraId="1F3C8B9E">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FE0AC">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指导全区党政重要工作落实落地</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0E55799D">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定性</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57E6B56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定性</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558D4220">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7AF68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6" w:hRule="atLeast"/>
          <w:jc w:val="center"/>
        </w:trPr>
        <w:tc>
          <w:tcPr>
            <w:tcW w:w="791" w:type="dxa"/>
            <w:vMerge w:val="continue"/>
            <w:tcBorders>
              <w:top w:val="nil"/>
              <w:left w:val="single" w:color="000000" w:sz="4" w:space="0"/>
              <w:bottom w:val="single" w:color="000000" w:sz="4" w:space="0"/>
              <w:right w:val="single" w:color="000000" w:sz="4" w:space="0"/>
            </w:tcBorders>
            <w:shd w:val="clear" w:color="auto" w:fill="auto"/>
            <w:vAlign w:val="center"/>
          </w:tcPr>
          <w:p w14:paraId="6E88553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06" w:type="dxa"/>
            <w:tcBorders>
              <w:top w:val="single" w:color="000000" w:sz="4" w:space="0"/>
              <w:left w:val="nil"/>
              <w:bottom w:val="single" w:color="000000" w:sz="4" w:space="0"/>
              <w:right w:val="single" w:color="000000" w:sz="4" w:space="0"/>
            </w:tcBorders>
            <w:shd w:val="clear" w:color="auto" w:fill="auto"/>
            <w:vAlign w:val="center"/>
          </w:tcPr>
          <w:p w14:paraId="729E935F">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满意度</w:t>
            </w:r>
          </w:p>
          <w:p w14:paraId="19DDD535">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994" w:type="dxa"/>
            <w:tcBorders>
              <w:top w:val="single" w:color="000000" w:sz="4" w:space="0"/>
              <w:left w:val="nil"/>
              <w:bottom w:val="single" w:color="000000" w:sz="4" w:space="0"/>
              <w:right w:val="single" w:color="000000" w:sz="4" w:space="0"/>
            </w:tcBorders>
            <w:shd w:val="clear" w:color="auto" w:fill="auto"/>
            <w:vAlign w:val="center"/>
          </w:tcPr>
          <w:p w14:paraId="08D3B2F4">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服务对象满意度指标</w:t>
            </w:r>
          </w:p>
        </w:tc>
        <w:tc>
          <w:tcPr>
            <w:tcW w:w="1328" w:type="dxa"/>
            <w:tcBorders>
              <w:top w:val="single" w:color="000000" w:sz="4" w:space="0"/>
              <w:left w:val="nil"/>
              <w:bottom w:val="single" w:color="000000" w:sz="4" w:space="0"/>
              <w:right w:val="nil"/>
            </w:tcBorders>
            <w:shd w:val="clear" w:color="auto" w:fill="auto"/>
            <w:vAlign w:val="center"/>
          </w:tcPr>
          <w:p w14:paraId="6C9557E6">
            <w:pPr>
              <w:keepNext w:val="0"/>
              <w:keepLines w:val="0"/>
              <w:widowControl/>
              <w:suppressLineNumbers w:val="0"/>
              <w:autoSpaceDE w:val="0"/>
              <w:autoSpaceDN/>
              <w:spacing w:before="0" w:beforeAutospacing="0" w:after="0" w:afterAutospacing="0" w:line="300" w:lineRule="exact"/>
              <w:ind w:left="-60" w:leftChars="-25" w:right="-60" w:rightChars="-25"/>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1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6A7E6">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干部群众满意度</w:t>
            </w:r>
          </w:p>
        </w:tc>
        <w:tc>
          <w:tcPr>
            <w:tcW w:w="1253" w:type="dxa"/>
            <w:tcBorders>
              <w:top w:val="single" w:color="000000" w:sz="4" w:space="0"/>
              <w:left w:val="nil"/>
              <w:bottom w:val="single" w:color="000000" w:sz="4" w:space="0"/>
              <w:right w:val="single" w:color="000000" w:sz="4" w:space="0"/>
            </w:tcBorders>
            <w:shd w:val="clear" w:color="auto" w:fill="auto"/>
            <w:vAlign w:val="center"/>
          </w:tcPr>
          <w:p w14:paraId="497E9198">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99</w:t>
            </w:r>
            <w:r>
              <w:rPr>
                <w:rFonts w:hint="eastAsia" w:ascii="宋体" w:hAnsi="宋体" w:eastAsia="宋体" w:cs="宋体"/>
                <w:i w:val="0"/>
                <w:iCs w:val="0"/>
                <w:color w:val="000000"/>
                <w:kern w:val="0"/>
                <w:sz w:val="18"/>
                <w:szCs w:val="18"/>
                <w:lang w:val="en-US" w:eastAsia="zh-CN"/>
              </w:rPr>
              <w:t>%</w:t>
            </w:r>
          </w:p>
        </w:tc>
        <w:tc>
          <w:tcPr>
            <w:tcW w:w="1256" w:type="dxa"/>
            <w:tcBorders>
              <w:top w:val="single" w:color="000000" w:sz="4" w:space="0"/>
              <w:left w:val="nil"/>
              <w:bottom w:val="single" w:color="000000" w:sz="4" w:space="0"/>
              <w:right w:val="single" w:color="000000" w:sz="4" w:space="0"/>
            </w:tcBorders>
            <w:shd w:val="clear" w:color="auto" w:fill="auto"/>
            <w:vAlign w:val="center"/>
          </w:tcPr>
          <w:p w14:paraId="395E80DA">
            <w:pPr>
              <w:keepNext w:val="0"/>
              <w:keepLines w:val="0"/>
              <w:widowControl/>
              <w:suppressLineNumbers w:val="0"/>
              <w:autoSpaceDE w:val="0"/>
              <w:autoSpaceDN/>
              <w:spacing w:before="0" w:beforeAutospacing="0" w:after="0" w:afterAutospacing="0" w:line="30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99</w:t>
            </w:r>
            <w:r>
              <w:rPr>
                <w:rFonts w:hint="eastAsia" w:ascii="宋体" w:hAnsi="宋体" w:eastAsia="宋体" w:cs="宋体"/>
                <w:i w:val="0"/>
                <w:iCs w:val="0"/>
                <w:color w:val="000000"/>
                <w:kern w:val="0"/>
                <w:sz w:val="18"/>
                <w:szCs w:val="18"/>
                <w:lang w:val="en-US" w:eastAsia="zh-CN"/>
              </w:rPr>
              <w:t>%</w:t>
            </w:r>
          </w:p>
        </w:tc>
        <w:tc>
          <w:tcPr>
            <w:tcW w:w="1117" w:type="dxa"/>
            <w:tcBorders>
              <w:top w:val="single" w:color="000000" w:sz="4" w:space="0"/>
              <w:left w:val="nil"/>
              <w:bottom w:val="single" w:color="000000" w:sz="4" w:space="0"/>
              <w:right w:val="single" w:color="000000" w:sz="4" w:space="0"/>
            </w:tcBorders>
            <w:shd w:val="clear" w:color="auto" w:fill="auto"/>
            <w:vAlign w:val="center"/>
          </w:tcPr>
          <w:p w14:paraId="00D60770">
            <w:pPr>
              <w:keepNext w:val="0"/>
              <w:keepLines w:val="0"/>
              <w:widowControl/>
              <w:suppressLineNumbers w:val="0"/>
              <w:autoSpaceDE w:val="0"/>
              <w:autoSpaceDN/>
              <w:spacing w:before="0" w:beforeAutospacing="0" w:after="0" w:afterAutospacing="0" w:line="30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bl>
    <w:p w14:paraId="648710B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10BACA9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1EE1B0D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649A469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3202EB2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492B9D96">
      <w:pPr>
        <w:rPr>
          <w:rFonts w:hint="default" w:ascii="仿宋_GB2312" w:eastAsia="仿宋_GB2312" w:cs="仿宋_GB2312"/>
          <w:kern w:val="2"/>
          <w:sz w:val="32"/>
          <w:szCs w:val="32"/>
        </w:rPr>
        <w:sectPr>
          <w:pgSz w:w="11906" w:h="16838"/>
          <w:pgMar w:top="2098" w:right="1474" w:bottom="1984" w:left="1587" w:header="850" w:footer="1587" w:gutter="0"/>
          <w:lnNumType w:countBy="0" w:distance="360"/>
          <w:pgNumType w:fmt="decimal"/>
          <w:cols w:space="0" w:num="1"/>
          <w:rtlGutter w:val="0"/>
          <w:docGrid w:type="lines" w:linePitch="439" w:charSpace="0"/>
        </w:sectPr>
      </w:pPr>
    </w:p>
    <w:p w14:paraId="0F24AA26">
      <w:pPr>
        <w:keepNext w:val="0"/>
        <w:keepLines w:val="0"/>
        <w:widowControl w:val="0"/>
        <w:suppressLineNumbers w:val="0"/>
        <w:autoSpaceDE w:val="0"/>
        <w:autoSpaceDN/>
        <w:spacing w:before="0" w:beforeAutospacing="0" w:after="0" w:afterAutospacing="0" w:line="576" w:lineRule="exact"/>
        <w:ind w:left="0" w:leftChars="0" w:right="0" w:firstLine="240" w:firstLineChars="75"/>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附件2</w:t>
      </w:r>
    </w:p>
    <w:p w14:paraId="1E99899B">
      <w:pPr>
        <w:keepNext w:val="0"/>
        <w:keepLines w:val="0"/>
        <w:widowControl w:val="0"/>
        <w:suppressLineNumbers w:val="0"/>
        <w:autoSpaceDE w:val="0"/>
        <w:autoSpaceDN/>
        <w:spacing w:before="0" w:beforeAutospacing="0" w:after="0" w:afterAutospacing="0" w:line="576" w:lineRule="exact"/>
        <w:ind w:left="0" w:right="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 xml:space="preserve"> </w:t>
      </w:r>
    </w:p>
    <w:p w14:paraId="7135C54F">
      <w:pPr>
        <w:keepNext w:val="0"/>
        <w:keepLines w:val="0"/>
        <w:widowControl/>
        <w:suppressLineNumbers w:val="0"/>
        <w:autoSpaceDE w:val="0"/>
        <w:autoSpaceDN/>
        <w:spacing w:before="0" w:beforeAutospacing="0" w:after="0" w:afterAutospacing="0" w:line="576" w:lineRule="exact"/>
        <w:ind w:left="0" w:right="0"/>
        <w:jc w:val="center"/>
        <w:textAlignment w:val="center"/>
        <w:rPr>
          <w:rFonts w:hint="eastAsia" w:ascii="方正小标宋简体" w:hAnsi="方正小标宋简体" w:eastAsia="方正小标宋简体" w:cs="方正小标宋简体"/>
          <w:i w:val="0"/>
          <w:iCs w:val="0"/>
          <w:color w:val="000000"/>
          <w:kern w:val="2"/>
          <w:sz w:val="40"/>
          <w:szCs w:val="40"/>
        </w:rPr>
      </w:pPr>
      <w:r>
        <w:rPr>
          <w:rStyle w:val="25"/>
          <w:rFonts w:hint="eastAsia" w:ascii="方正小标宋简体" w:hAnsi="方正小标宋简体" w:eastAsia="方正小标宋简体" w:cs="方正小标宋简体"/>
          <w:color w:val="000000"/>
          <w:kern w:val="2"/>
          <w:sz w:val="44"/>
          <w:szCs w:val="44"/>
          <w:lang w:val="en-US" w:eastAsia="zh-CN"/>
        </w:rPr>
        <w:t>广元市昭化区委办公室</w:t>
      </w:r>
      <w:r>
        <w:rPr>
          <w:rStyle w:val="25"/>
          <w:rFonts w:hint="default" w:ascii="方正小标宋简体" w:hAnsi="方正小标宋简体" w:eastAsia="方正小标宋简体" w:cs="方正小标宋简体"/>
          <w:color w:val="000000"/>
          <w:kern w:val="2"/>
          <w:sz w:val="44"/>
          <w:szCs w:val="44"/>
          <w:lang w:val="en-US" w:eastAsia="zh-CN"/>
        </w:rPr>
        <w:t>2024</w:t>
      </w:r>
      <w:r>
        <w:rPr>
          <w:rStyle w:val="25"/>
          <w:rFonts w:hint="eastAsia" w:ascii="方正小标宋简体" w:hAnsi="方正小标宋简体" w:eastAsia="方正小标宋简体" w:cs="方正小标宋简体"/>
          <w:color w:val="000000"/>
          <w:kern w:val="2"/>
          <w:sz w:val="44"/>
          <w:szCs w:val="44"/>
          <w:lang w:val="en-US" w:eastAsia="zh-CN"/>
        </w:rPr>
        <w:t>年部门整体预算绩效自评评分表</w:t>
      </w:r>
    </w:p>
    <w:tbl>
      <w:tblPr>
        <w:tblStyle w:val="13"/>
        <w:tblW w:w="48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636"/>
        <w:gridCol w:w="636"/>
        <w:gridCol w:w="843"/>
        <w:gridCol w:w="426"/>
        <w:gridCol w:w="2568"/>
        <w:gridCol w:w="3595"/>
        <w:gridCol w:w="452"/>
      </w:tblGrid>
      <w:tr w14:paraId="1F230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08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AEBCD6">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1"/>
                <w:szCs w:val="21"/>
              </w:rPr>
            </w:pPr>
            <w:r>
              <w:rPr>
                <w:rFonts w:hint="eastAsia" w:ascii="黑体" w:hAnsi="宋体" w:eastAsia="黑体" w:cs="黑体"/>
                <w:b w:val="0"/>
                <w:bCs w:val="0"/>
                <w:i w:val="0"/>
                <w:iCs w:val="0"/>
                <w:color w:val="000000"/>
                <w:kern w:val="0"/>
                <w:sz w:val="21"/>
                <w:szCs w:val="21"/>
                <w:lang w:val="en-US" w:eastAsia="zh-CN"/>
              </w:rPr>
              <w:t>绩效指标</w:t>
            </w:r>
          </w:p>
        </w:tc>
        <w:tc>
          <w:tcPr>
            <w:tcW w:w="1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CD7FED">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1"/>
                <w:szCs w:val="21"/>
              </w:rPr>
            </w:pPr>
            <w:r>
              <w:rPr>
                <w:rFonts w:hint="eastAsia" w:ascii="黑体" w:hAnsi="宋体" w:eastAsia="黑体" w:cs="黑体"/>
                <w:b w:val="0"/>
                <w:bCs w:val="0"/>
                <w:i w:val="0"/>
                <w:iCs w:val="0"/>
                <w:color w:val="000000"/>
                <w:kern w:val="0"/>
                <w:sz w:val="21"/>
                <w:szCs w:val="21"/>
                <w:lang w:val="en-US" w:eastAsia="zh-CN"/>
              </w:rPr>
              <w:t>指标分值</w:t>
            </w:r>
          </w:p>
        </w:tc>
        <w:tc>
          <w:tcPr>
            <w:tcW w:w="144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40C5D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1"/>
                <w:szCs w:val="21"/>
              </w:rPr>
            </w:pPr>
            <w:r>
              <w:rPr>
                <w:rFonts w:hint="eastAsia" w:ascii="黑体" w:hAnsi="宋体" w:eastAsia="黑体" w:cs="黑体"/>
                <w:b w:val="0"/>
                <w:bCs w:val="0"/>
                <w:i w:val="0"/>
                <w:iCs w:val="0"/>
                <w:color w:val="000000"/>
                <w:kern w:val="0"/>
                <w:sz w:val="21"/>
                <w:szCs w:val="21"/>
                <w:lang w:val="en-US" w:eastAsia="zh-CN"/>
              </w:rPr>
              <w:t>指标解释</w:t>
            </w:r>
          </w:p>
        </w:tc>
        <w:tc>
          <w:tcPr>
            <w:tcW w:w="20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798C9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1"/>
                <w:szCs w:val="21"/>
              </w:rPr>
            </w:pPr>
            <w:r>
              <w:rPr>
                <w:rFonts w:hint="eastAsia" w:ascii="黑体" w:hAnsi="宋体" w:eastAsia="黑体" w:cs="黑体"/>
                <w:b w:val="0"/>
                <w:bCs w:val="0"/>
                <w:i w:val="0"/>
                <w:iCs w:val="0"/>
                <w:color w:val="000000"/>
                <w:kern w:val="0"/>
                <w:sz w:val="21"/>
                <w:szCs w:val="21"/>
                <w:lang w:val="en-US" w:eastAsia="zh-CN"/>
              </w:rPr>
              <w:t>评价要点及说明</w:t>
            </w:r>
          </w:p>
        </w:tc>
        <w:tc>
          <w:tcPr>
            <w:tcW w:w="2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8F2A6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1"/>
                <w:szCs w:val="21"/>
              </w:rPr>
            </w:pPr>
            <w:r>
              <w:rPr>
                <w:rFonts w:hint="eastAsia" w:ascii="黑体" w:hAnsi="宋体" w:eastAsia="黑体" w:cs="黑体"/>
                <w:b w:val="0"/>
                <w:bCs w:val="0"/>
                <w:i w:val="0"/>
                <w:iCs w:val="0"/>
                <w:color w:val="000000"/>
                <w:kern w:val="0"/>
                <w:sz w:val="21"/>
                <w:szCs w:val="21"/>
                <w:lang w:val="en-US" w:eastAsia="zh-CN"/>
              </w:rPr>
              <w:t>自评得分</w:t>
            </w:r>
          </w:p>
        </w:tc>
      </w:tr>
      <w:tr w14:paraId="39BA0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8D33F">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1"/>
                <w:szCs w:val="21"/>
              </w:rPr>
            </w:pPr>
            <w:r>
              <w:rPr>
                <w:rFonts w:hint="eastAsia" w:ascii="黑体" w:hAnsi="宋体" w:eastAsia="黑体" w:cs="黑体"/>
                <w:b w:val="0"/>
                <w:bCs w:val="0"/>
                <w:i w:val="0"/>
                <w:iCs w:val="0"/>
                <w:color w:val="000000"/>
                <w:kern w:val="0"/>
                <w:sz w:val="21"/>
                <w:szCs w:val="21"/>
                <w:lang w:val="en-US" w:eastAsia="zh-CN"/>
              </w:rPr>
              <w:t>一级指标</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5B15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1"/>
                <w:szCs w:val="21"/>
              </w:rPr>
            </w:pPr>
            <w:r>
              <w:rPr>
                <w:rFonts w:hint="eastAsia" w:ascii="黑体" w:hAnsi="宋体" w:eastAsia="黑体" w:cs="黑体"/>
                <w:b w:val="0"/>
                <w:bCs w:val="0"/>
                <w:i w:val="0"/>
                <w:iCs w:val="0"/>
                <w:color w:val="000000"/>
                <w:kern w:val="0"/>
                <w:sz w:val="21"/>
                <w:szCs w:val="21"/>
                <w:lang w:val="en-US" w:eastAsia="zh-CN"/>
              </w:rPr>
              <w:t>二级指标</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5FF42">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1"/>
                <w:szCs w:val="21"/>
              </w:rPr>
            </w:pPr>
            <w:r>
              <w:rPr>
                <w:rFonts w:hint="eastAsia" w:ascii="黑体" w:hAnsi="宋体" w:eastAsia="黑体" w:cs="黑体"/>
                <w:b w:val="0"/>
                <w:bCs w:val="0"/>
                <w:i w:val="0"/>
                <w:iCs w:val="0"/>
                <w:color w:val="000000"/>
                <w:kern w:val="0"/>
                <w:sz w:val="21"/>
                <w:szCs w:val="21"/>
                <w:lang w:val="en-US" w:eastAsia="zh-CN"/>
              </w:rPr>
              <w:t>三级指标</w:t>
            </w:r>
          </w:p>
        </w:tc>
        <w:tc>
          <w:tcPr>
            <w:tcW w:w="1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2900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44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25CD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0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6458A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33F4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115092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82" w:type="pct"/>
            <w:vMerge w:val="restart"/>
            <w:tcBorders>
              <w:top w:val="nil"/>
              <w:left w:val="single" w:color="000000" w:sz="4" w:space="0"/>
              <w:bottom w:val="single" w:color="000000" w:sz="4" w:space="0"/>
              <w:right w:val="single" w:color="000000" w:sz="4" w:space="0"/>
            </w:tcBorders>
            <w:shd w:val="clear" w:color="auto" w:fill="auto"/>
            <w:vAlign w:val="center"/>
          </w:tcPr>
          <w:p w14:paraId="5ADA0E2D">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部门预算总体绩效</w:t>
            </w:r>
          </w:p>
          <w:p w14:paraId="1065D3B7">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50</w:t>
            </w:r>
            <w:r>
              <w:rPr>
                <w:rFonts w:hint="eastAsia" w:ascii="宋体" w:hAnsi="宋体" w:eastAsia="宋体" w:cs="宋体"/>
                <w:i w:val="0"/>
                <w:iCs w:val="0"/>
                <w:color w:val="000000"/>
                <w:kern w:val="0"/>
                <w:sz w:val="21"/>
                <w:szCs w:val="21"/>
                <w:lang w:val="en-US" w:eastAsia="zh-CN"/>
              </w:rPr>
              <w:t>分）</w:t>
            </w:r>
          </w:p>
        </w:tc>
        <w:tc>
          <w:tcPr>
            <w:tcW w:w="304" w:type="pct"/>
            <w:vMerge w:val="restart"/>
            <w:tcBorders>
              <w:top w:val="nil"/>
              <w:left w:val="single" w:color="000000" w:sz="4" w:space="0"/>
              <w:bottom w:val="single" w:color="000000" w:sz="4" w:space="0"/>
              <w:right w:val="single" w:color="000000" w:sz="4" w:space="0"/>
            </w:tcBorders>
            <w:shd w:val="clear" w:color="auto" w:fill="auto"/>
            <w:vAlign w:val="center"/>
          </w:tcPr>
          <w:p w14:paraId="30C2BA70">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目标管理（</w:t>
            </w:r>
            <w:r>
              <w:rPr>
                <w:rFonts w:hint="default" w:ascii="Times New Roman" w:hAnsi="Times New Roman" w:eastAsia="宋体" w:cs="Times New Roman"/>
                <w:i w:val="0"/>
                <w:iCs w:val="0"/>
                <w:color w:val="000000"/>
                <w:kern w:val="0"/>
                <w:sz w:val="21"/>
                <w:szCs w:val="21"/>
                <w:lang w:val="en-US" w:eastAsia="zh-CN"/>
              </w:rPr>
              <w:t>22</w:t>
            </w:r>
            <w:r>
              <w:rPr>
                <w:rFonts w:hint="eastAsia" w:ascii="宋体" w:hAnsi="宋体" w:eastAsia="宋体" w:cs="宋体"/>
                <w:i w:val="0"/>
                <w:iCs w:val="0"/>
                <w:color w:val="000000"/>
                <w:kern w:val="0"/>
                <w:sz w:val="21"/>
                <w:szCs w:val="21"/>
                <w:lang w:val="en-US" w:eastAsia="zh-CN"/>
              </w:rPr>
              <w:t>分）</w:t>
            </w:r>
          </w:p>
        </w:tc>
        <w:tc>
          <w:tcPr>
            <w:tcW w:w="500" w:type="pct"/>
            <w:vMerge w:val="restart"/>
            <w:tcBorders>
              <w:top w:val="nil"/>
              <w:left w:val="single" w:color="000000" w:sz="4" w:space="0"/>
              <w:bottom w:val="single" w:color="000000" w:sz="4" w:space="0"/>
              <w:right w:val="single" w:color="000000" w:sz="4" w:space="0"/>
            </w:tcBorders>
            <w:shd w:val="clear" w:color="auto" w:fill="auto"/>
            <w:vAlign w:val="center"/>
          </w:tcPr>
          <w:p w14:paraId="5AA3F0C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目标制定（</w:t>
            </w:r>
            <w:r>
              <w:rPr>
                <w:rFonts w:hint="default" w:ascii="Times New Roman" w:hAnsi="Times New Roman" w:eastAsia="宋体" w:cs="Times New Roman"/>
                <w:i w:val="0"/>
                <w:iCs w:val="0"/>
                <w:color w:val="000000"/>
                <w:kern w:val="0"/>
                <w:sz w:val="21"/>
                <w:szCs w:val="21"/>
                <w:lang w:val="en-US" w:eastAsia="zh-CN"/>
              </w:rPr>
              <w:t>12</w:t>
            </w:r>
            <w:r>
              <w:rPr>
                <w:rFonts w:hint="eastAsia" w:ascii="宋体" w:hAnsi="宋体" w:eastAsia="宋体" w:cs="宋体"/>
                <w:i w:val="0"/>
                <w:iCs w:val="0"/>
                <w:color w:val="000000"/>
                <w:kern w:val="0"/>
                <w:sz w:val="21"/>
                <w:szCs w:val="21"/>
                <w:lang w:val="en-US" w:eastAsia="zh-CN"/>
              </w:rPr>
              <w:t>分）</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D34E7">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7</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643A7">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部门年初绩效目标和年度执行中增加预算绩效目标编制质量。</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16E1D">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.根据区财政组织开展对部门整体和部门预算项目绩效目标编制在科学合理、规范完整、细化量化（成本指标设置情况）、与预算安排相匹配等方面情况的会审结果换算得分或根据评价组评审得分。</w:t>
            </w:r>
            <w:r>
              <w:rPr>
                <w:rFonts w:hint="default" w:ascii="Times New Roman" w:hAnsi="Times New Roman" w:eastAsia="宋体" w:cs="Times New Roman"/>
                <w:i w:val="0"/>
                <w:iCs w:val="0"/>
                <w:color w:val="000000"/>
                <w:kern w:val="0"/>
                <w:sz w:val="21"/>
                <w:szCs w:val="21"/>
                <w:lang w:val="en-US" w:eastAsia="zh-CN"/>
              </w:rPr>
              <w:t>4</w:t>
            </w:r>
            <w:r>
              <w:rPr>
                <w:rFonts w:hint="eastAsia" w:ascii="宋体" w:hAnsi="宋体" w:eastAsia="宋体" w:cs="宋体"/>
                <w:i w:val="0"/>
                <w:iCs w:val="0"/>
                <w:color w:val="000000"/>
                <w:kern w:val="0"/>
                <w:sz w:val="21"/>
                <w:szCs w:val="21"/>
                <w:lang w:val="en-US" w:eastAsia="zh-CN"/>
              </w:rPr>
              <w:t>分；</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.年度执行中增加的项目预算，根据预算一体化系统导出的绩效目标申报表编制质量确定，分值</w:t>
            </w:r>
            <w:r>
              <w:rPr>
                <w:rFonts w:hint="default" w:ascii="Times New Roman" w:hAnsi="Times New Roman" w:eastAsia="宋体" w:cs="Times New Roman"/>
                <w:i w:val="0"/>
                <w:iCs w:val="0"/>
                <w:color w:val="000000"/>
                <w:kern w:val="0"/>
                <w:sz w:val="21"/>
                <w:szCs w:val="21"/>
                <w:lang w:val="en-US" w:eastAsia="zh-CN"/>
              </w:rPr>
              <w:t>3</w:t>
            </w:r>
            <w:r>
              <w:rPr>
                <w:rFonts w:hint="eastAsia" w:ascii="宋体" w:hAnsi="宋体" w:eastAsia="宋体" w:cs="宋体"/>
                <w:i w:val="0"/>
                <w:iCs w:val="0"/>
                <w:color w:val="000000"/>
                <w:kern w:val="0"/>
                <w:sz w:val="21"/>
                <w:szCs w:val="21"/>
                <w:lang w:val="en-US" w:eastAsia="zh-CN"/>
              </w:rPr>
              <w:t>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5BDF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7</w:t>
            </w:r>
          </w:p>
        </w:tc>
      </w:tr>
      <w:tr w14:paraId="546C4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5CD426A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continue"/>
            <w:tcBorders>
              <w:top w:val="nil"/>
              <w:left w:val="single" w:color="000000" w:sz="4" w:space="0"/>
              <w:bottom w:val="single" w:color="000000" w:sz="4" w:space="0"/>
              <w:right w:val="single" w:color="000000" w:sz="4" w:space="0"/>
            </w:tcBorders>
            <w:shd w:val="clear" w:color="auto" w:fill="auto"/>
            <w:vAlign w:val="center"/>
          </w:tcPr>
          <w:p w14:paraId="543A4F4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0" w:type="pct"/>
            <w:vMerge w:val="continue"/>
            <w:tcBorders>
              <w:top w:val="nil"/>
              <w:left w:val="single" w:color="000000" w:sz="4" w:space="0"/>
              <w:bottom w:val="single" w:color="000000" w:sz="4" w:space="0"/>
              <w:right w:val="single" w:color="000000" w:sz="4" w:space="0"/>
            </w:tcBorders>
            <w:shd w:val="clear" w:color="auto" w:fill="auto"/>
            <w:vAlign w:val="center"/>
          </w:tcPr>
          <w:p w14:paraId="74F87CB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169E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2</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7AB8B">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预算编制阶段向人大反馈绩效目标质量审查情况。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776C2">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每反馈一个问题扣</w:t>
            </w:r>
            <w:r>
              <w:rPr>
                <w:rFonts w:hint="default" w:ascii="Times New Roman" w:hAnsi="Times New Roman" w:eastAsia="宋体" w:cs="Times New Roman"/>
                <w:i w:val="0"/>
                <w:iCs w:val="0"/>
                <w:color w:val="000000"/>
                <w:kern w:val="0"/>
                <w:sz w:val="21"/>
                <w:szCs w:val="21"/>
                <w:lang w:val="en-US" w:eastAsia="zh-CN"/>
              </w:rPr>
              <w:t>0</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分，扣完为止。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96668">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2</w:t>
            </w:r>
          </w:p>
        </w:tc>
      </w:tr>
      <w:tr w14:paraId="639E0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2AABBAA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continue"/>
            <w:tcBorders>
              <w:top w:val="nil"/>
              <w:left w:val="single" w:color="000000" w:sz="4" w:space="0"/>
              <w:bottom w:val="single" w:color="000000" w:sz="4" w:space="0"/>
              <w:right w:val="single" w:color="000000" w:sz="4" w:space="0"/>
            </w:tcBorders>
            <w:shd w:val="clear" w:color="auto" w:fill="auto"/>
            <w:vAlign w:val="center"/>
          </w:tcPr>
          <w:p w14:paraId="7B02502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0" w:type="pct"/>
            <w:vMerge w:val="continue"/>
            <w:tcBorders>
              <w:top w:val="nil"/>
              <w:left w:val="single" w:color="000000" w:sz="4" w:space="0"/>
              <w:bottom w:val="single" w:color="000000" w:sz="4" w:space="0"/>
              <w:right w:val="single" w:color="000000" w:sz="4" w:space="0"/>
            </w:tcBorders>
            <w:shd w:val="clear" w:color="auto" w:fill="auto"/>
            <w:vAlign w:val="center"/>
          </w:tcPr>
          <w:p w14:paraId="0C17CE6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AE2CD">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3</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95018">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绩效目标制定是否纳入本部门（单位）集体决策范围。</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9EFDA">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绩效目标制定纳入本部门（单位）党组（委）会（办公会）集体决策范围，并有相关佐证材料的得</w:t>
            </w:r>
            <w:r>
              <w:rPr>
                <w:rFonts w:hint="default" w:ascii="Times New Roman" w:hAnsi="Times New Roman" w:eastAsia="宋体" w:cs="Times New Roman"/>
                <w:i w:val="0"/>
                <w:iCs w:val="0"/>
                <w:color w:val="000000"/>
                <w:kern w:val="0"/>
                <w:sz w:val="21"/>
                <w:szCs w:val="21"/>
                <w:lang w:val="en-US" w:eastAsia="zh-CN"/>
              </w:rPr>
              <w:t>3</w:t>
            </w:r>
            <w:r>
              <w:rPr>
                <w:rFonts w:hint="eastAsia" w:ascii="宋体" w:hAnsi="宋体" w:eastAsia="宋体" w:cs="宋体"/>
                <w:i w:val="0"/>
                <w:iCs w:val="0"/>
                <w:color w:val="000000"/>
                <w:kern w:val="0"/>
                <w:sz w:val="21"/>
                <w:szCs w:val="21"/>
                <w:lang w:val="en-US" w:eastAsia="zh-CN"/>
              </w:rPr>
              <w:t>分，否则不得分。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8259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3</w:t>
            </w:r>
          </w:p>
        </w:tc>
      </w:tr>
      <w:tr w14:paraId="54D64B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17ABEB4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continue"/>
            <w:tcBorders>
              <w:top w:val="nil"/>
              <w:left w:val="single" w:color="000000" w:sz="4" w:space="0"/>
              <w:bottom w:val="single" w:color="000000" w:sz="4" w:space="0"/>
              <w:right w:val="single" w:color="000000" w:sz="4" w:space="0"/>
            </w:tcBorders>
            <w:shd w:val="clear" w:color="auto" w:fill="auto"/>
            <w:vAlign w:val="center"/>
          </w:tcPr>
          <w:p w14:paraId="3C6728C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0" w:type="pct"/>
            <w:vMerge w:val="restart"/>
            <w:tcBorders>
              <w:top w:val="nil"/>
              <w:left w:val="single" w:color="000000" w:sz="4" w:space="0"/>
              <w:bottom w:val="single" w:color="000000" w:sz="4" w:space="0"/>
              <w:right w:val="single" w:color="000000" w:sz="4" w:space="0"/>
            </w:tcBorders>
            <w:shd w:val="clear" w:color="auto" w:fill="auto"/>
            <w:vAlign w:val="center"/>
          </w:tcPr>
          <w:p w14:paraId="6AE7ED6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目标实现（</w:t>
            </w:r>
            <w:r>
              <w:rPr>
                <w:rFonts w:hint="default" w:ascii="Times New Roman" w:hAnsi="Times New Roman" w:eastAsia="宋体" w:cs="Times New Roman"/>
                <w:i w:val="0"/>
                <w:iCs w:val="0"/>
                <w:color w:val="000000"/>
                <w:kern w:val="0"/>
                <w:sz w:val="21"/>
                <w:szCs w:val="21"/>
                <w:lang w:val="en-US" w:eastAsia="zh-CN"/>
              </w:rPr>
              <w:t>10</w:t>
            </w:r>
            <w:r>
              <w:rPr>
                <w:rFonts w:hint="eastAsia" w:ascii="宋体" w:hAnsi="宋体" w:eastAsia="宋体" w:cs="宋体"/>
                <w:i w:val="0"/>
                <w:iCs w:val="0"/>
                <w:color w:val="000000"/>
                <w:kern w:val="0"/>
                <w:sz w:val="21"/>
                <w:szCs w:val="21"/>
                <w:lang w:val="en-US" w:eastAsia="zh-CN"/>
              </w:rPr>
              <w:t>分）</w:t>
            </w:r>
          </w:p>
        </w:tc>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523B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5</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A2897">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部门整体绩效目标中数量指标、成本指标的完成情况。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1E6D6">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对照部门年初整体支出绩效目标编制和完成情况，计算指标得分=绩效目标数量指标、成本指标完成的指标个数/全部数量指标、成本指标指标个数×</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8976B">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5</w:t>
            </w:r>
          </w:p>
        </w:tc>
      </w:tr>
      <w:tr w14:paraId="0D45C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08BF1F0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continue"/>
            <w:tcBorders>
              <w:top w:val="nil"/>
              <w:left w:val="single" w:color="000000" w:sz="4" w:space="0"/>
              <w:bottom w:val="single" w:color="000000" w:sz="4" w:space="0"/>
              <w:right w:val="single" w:color="000000" w:sz="4" w:space="0"/>
            </w:tcBorders>
            <w:shd w:val="clear" w:color="auto" w:fill="auto"/>
            <w:vAlign w:val="center"/>
          </w:tcPr>
          <w:p w14:paraId="4EAB2E0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0" w:type="pct"/>
            <w:vMerge w:val="continue"/>
            <w:tcBorders>
              <w:top w:val="nil"/>
              <w:left w:val="single" w:color="000000" w:sz="4" w:space="0"/>
              <w:bottom w:val="single" w:color="000000" w:sz="4" w:space="0"/>
              <w:right w:val="single" w:color="000000" w:sz="4" w:space="0"/>
            </w:tcBorders>
            <w:shd w:val="clear" w:color="auto" w:fill="auto"/>
            <w:vAlign w:val="center"/>
          </w:tcPr>
          <w:p w14:paraId="4EDE548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805C7">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5</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1C6C7">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部门整体绩效目标实现程度与预期目标的偏离情况。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3393C">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color w:val="000000"/>
                <w:sz w:val="21"/>
                <w:szCs w:val="21"/>
              </w:rPr>
            </w:pPr>
            <w:r>
              <w:rPr>
                <w:rStyle w:val="24"/>
                <w:rFonts w:hint="eastAsia" w:ascii="宋体" w:hAnsi="宋体" w:eastAsia="宋体" w:cs="宋体"/>
                <w:color w:val="000000"/>
                <w:kern w:val="2"/>
                <w:sz w:val="21"/>
                <w:szCs w:val="21"/>
                <w:lang w:val="en-US" w:eastAsia="zh-CN"/>
              </w:rPr>
              <w:t>部门年初整体支出绩效目标实际完成值偏离预期指标</w:t>
            </w:r>
            <w:r>
              <w:rPr>
                <w:rStyle w:val="24"/>
                <w:rFonts w:hint="default" w:ascii="Times New Roman" w:hAnsi="Times New Roman" w:eastAsia="宋体" w:cs="Times New Roman"/>
                <w:color w:val="000000"/>
                <w:kern w:val="2"/>
                <w:sz w:val="21"/>
                <w:szCs w:val="21"/>
                <w:lang w:val="en-US" w:eastAsia="zh-CN"/>
              </w:rPr>
              <w:t>30</w:t>
            </w:r>
            <w:r>
              <w:rPr>
                <w:rStyle w:val="24"/>
                <w:rFonts w:hint="eastAsia" w:ascii="宋体" w:hAnsi="宋体" w:eastAsia="宋体" w:cs="宋体"/>
                <w:color w:val="000000"/>
                <w:kern w:val="2"/>
                <w:sz w:val="21"/>
                <w:szCs w:val="21"/>
                <w:lang w:val="en-US" w:eastAsia="zh-CN"/>
              </w:rPr>
              <w:t>%以上（含</w:t>
            </w:r>
            <w:r>
              <w:rPr>
                <w:rStyle w:val="24"/>
                <w:rFonts w:hint="default" w:ascii="Times New Roman" w:hAnsi="Times New Roman" w:eastAsia="宋体" w:cs="Times New Roman"/>
                <w:color w:val="000000"/>
                <w:kern w:val="2"/>
                <w:sz w:val="21"/>
                <w:szCs w:val="21"/>
                <w:lang w:val="en-US" w:eastAsia="zh-CN"/>
              </w:rPr>
              <w:t>30</w:t>
            </w:r>
            <w:r>
              <w:rPr>
                <w:rStyle w:val="24"/>
                <w:rFonts w:hint="eastAsia" w:ascii="宋体" w:hAnsi="宋体" w:eastAsia="宋体" w:cs="宋体"/>
                <w:color w:val="000000"/>
                <w:kern w:val="2"/>
                <w:sz w:val="21"/>
                <w:szCs w:val="21"/>
                <w:lang w:val="en-US" w:eastAsia="zh-CN"/>
              </w:rPr>
              <w:t>%）的，均不计分。该项指标得分=已完成预期指标值的数量指标、成本指标中偏离度在</w:t>
            </w:r>
            <w:r>
              <w:rPr>
                <w:rStyle w:val="24"/>
                <w:rFonts w:hint="default" w:ascii="Times New Roman" w:hAnsi="Times New Roman" w:eastAsia="宋体" w:cs="Times New Roman"/>
                <w:color w:val="000000"/>
                <w:kern w:val="2"/>
                <w:sz w:val="21"/>
                <w:szCs w:val="21"/>
                <w:lang w:val="en-US" w:eastAsia="zh-CN"/>
              </w:rPr>
              <w:t>30</w:t>
            </w:r>
            <w:r>
              <w:rPr>
                <w:rStyle w:val="24"/>
                <w:rFonts w:hint="eastAsia" w:ascii="宋体" w:hAnsi="宋体" w:eastAsia="宋体" w:cs="宋体"/>
                <w:color w:val="000000"/>
                <w:kern w:val="2"/>
                <w:sz w:val="21"/>
                <w:szCs w:val="21"/>
                <w:lang w:val="en-US" w:eastAsia="zh-CN"/>
              </w:rPr>
              <w:t>%内的指标个数/已完成预期指标值的数量指标、成本指标个数</w:t>
            </w:r>
            <w:r>
              <w:rPr>
                <w:rStyle w:val="26"/>
                <w:rFonts w:hint="default" w:ascii="汉仪细圆B5" w:hAnsi="汉仪细圆B5" w:eastAsia="汉仪细圆B5" w:cs="汉仪细圆B5"/>
                <w:color w:val="000000"/>
                <w:kern w:val="2"/>
                <w:sz w:val="21"/>
                <w:szCs w:val="21"/>
                <w:lang w:val="en-US" w:eastAsia="zh-CN"/>
              </w:rPr>
              <w:t>×</w:t>
            </w:r>
            <w:r>
              <w:rPr>
                <w:rStyle w:val="24"/>
                <w:rFonts w:hint="default" w:ascii="Times New Roman" w:hAnsi="Times New Roman" w:eastAsia="宋体" w:cs="Times New Roman"/>
                <w:color w:val="000000"/>
                <w:kern w:val="2"/>
                <w:sz w:val="21"/>
                <w:szCs w:val="21"/>
                <w:lang w:val="en-US" w:eastAsia="zh-CN"/>
              </w:rPr>
              <w:t>5</w:t>
            </w:r>
            <w:r>
              <w:rPr>
                <w:rStyle w:val="24"/>
                <w:rFonts w:hint="eastAsia" w:ascii="宋体" w:hAnsi="宋体" w:eastAsia="宋体" w:cs="宋体"/>
                <w:color w:val="000000"/>
                <w:kern w:val="2"/>
                <w:sz w:val="21"/>
                <w:szCs w:val="21"/>
                <w:lang w:val="en-US" w:eastAsia="zh-CN"/>
              </w:rPr>
              <w:t>。</w:t>
            </w:r>
          </w:p>
          <w:p w14:paraId="40E171F4">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Style w:val="24"/>
                <w:rFonts w:hint="eastAsia" w:ascii="宋体" w:hAnsi="宋体" w:eastAsia="宋体" w:cs="宋体"/>
                <w:color w:val="000000"/>
                <w:kern w:val="2"/>
                <w:sz w:val="21"/>
                <w:szCs w:val="21"/>
                <w:lang w:val="en-US" w:eastAsia="zh-CN"/>
              </w:rPr>
              <w:t>偏离度=（绩效指标实际完成值-设定预期指标值）/设定预期指标值。</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24C1B">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5</w:t>
            </w:r>
          </w:p>
        </w:tc>
      </w:tr>
      <w:tr w14:paraId="2C8220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0377204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restart"/>
            <w:tcBorders>
              <w:top w:val="nil"/>
              <w:left w:val="single" w:color="000000" w:sz="4" w:space="0"/>
              <w:bottom w:val="single" w:color="000000" w:sz="4" w:space="0"/>
              <w:right w:val="single" w:color="000000" w:sz="4" w:space="0"/>
            </w:tcBorders>
            <w:shd w:val="clear" w:color="auto" w:fill="auto"/>
            <w:vAlign w:val="center"/>
          </w:tcPr>
          <w:p w14:paraId="43D9338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过程管控（</w:t>
            </w:r>
            <w:r>
              <w:rPr>
                <w:rFonts w:hint="default" w:ascii="Times New Roman" w:hAnsi="Times New Roman" w:eastAsia="宋体" w:cs="Times New Roman"/>
                <w:i w:val="0"/>
                <w:iCs w:val="0"/>
                <w:color w:val="000000"/>
                <w:kern w:val="0"/>
                <w:sz w:val="21"/>
                <w:szCs w:val="21"/>
                <w:lang w:val="en-US" w:eastAsia="zh-CN"/>
              </w:rPr>
              <w:t>20</w:t>
            </w:r>
            <w:r>
              <w:rPr>
                <w:rFonts w:hint="eastAsia" w:ascii="宋体" w:hAnsi="宋体" w:eastAsia="宋体" w:cs="宋体"/>
                <w:i w:val="0"/>
                <w:iCs w:val="0"/>
                <w:color w:val="000000"/>
                <w:kern w:val="0"/>
                <w:sz w:val="21"/>
                <w:szCs w:val="21"/>
                <w:lang w:val="en-US" w:eastAsia="zh-CN"/>
              </w:rPr>
              <w:t>分）</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A8F9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0"/>
                <w:sz w:val="21"/>
                <w:szCs w:val="21"/>
                <w:lang w:val="en-US" w:eastAsia="zh-CN"/>
              </w:rPr>
              <w:t>支出控制</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518BD">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b/>
                <w:bCs/>
                <w:i w:val="0"/>
                <w:iCs w:val="0"/>
                <w:color w:val="000000"/>
                <w:kern w:val="2"/>
                <w:sz w:val="21"/>
                <w:szCs w:val="21"/>
              </w:rPr>
            </w:pPr>
            <w:r>
              <w:rPr>
                <w:rFonts w:hint="default" w:ascii="Times New Roman" w:hAnsi="Times New Roman" w:eastAsia="宋体" w:cs="Times New Roman"/>
                <w:b/>
                <w:bCs/>
                <w:i w:val="0"/>
                <w:iCs w:val="0"/>
                <w:color w:val="000000"/>
                <w:kern w:val="0"/>
                <w:sz w:val="21"/>
                <w:szCs w:val="21"/>
                <w:lang w:val="en-US" w:eastAsia="zh-CN"/>
              </w:rPr>
              <w:t>4</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4C1B3">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部门公用经费及非定额公用支出控制情况。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BCFB9">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计算部门日常公用经费、项目支出中“办公费、印刷费、差旅费、水费、电费、物业管理费”等科目年初预算数与实际支出数（决算数）偏差程度。</w:t>
            </w:r>
          </w:p>
          <w:p w14:paraId="18BA1CD1">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预决算偏差程度在</w:t>
            </w:r>
            <w:r>
              <w:rPr>
                <w:rFonts w:hint="default" w:ascii="Times New Roman" w:hAnsi="Times New Roman" w:eastAsia="宋体" w:cs="Times New Roman"/>
                <w:i w:val="0"/>
                <w:iCs w:val="0"/>
                <w:color w:val="000000"/>
                <w:kern w:val="0"/>
                <w:sz w:val="21"/>
                <w:szCs w:val="21"/>
                <w:lang w:val="en-US" w:eastAsia="zh-CN"/>
              </w:rPr>
              <w:t>10</w:t>
            </w:r>
            <w:r>
              <w:rPr>
                <w:rFonts w:hint="eastAsia" w:ascii="宋体" w:hAnsi="宋体" w:eastAsia="宋体" w:cs="宋体"/>
                <w:i w:val="0"/>
                <w:iCs w:val="0"/>
                <w:color w:val="000000"/>
                <w:kern w:val="0"/>
                <w:sz w:val="21"/>
                <w:szCs w:val="21"/>
                <w:lang w:val="en-US" w:eastAsia="zh-CN"/>
              </w:rPr>
              <w:t>%以内的，得</w:t>
            </w:r>
            <w:r>
              <w:rPr>
                <w:rFonts w:hint="default" w:ascii="Times New Roman" w:hAnsi="Times New Roman" w:eastAsia="宋体" w:cs="Times New Roman"/>
                <w:i w:val="0"/>
                <w:iCs w:val="0"/>
                <w:color w:val="000000"/>
                <w:kern w:val="0"/>
                <w:sz w:val="21"/>
                <w:szCs w:val="21"/>
                <w:lang w:val="en-US" w:eastAsia="zh-CN"/>
              </w:rPr>
              <w:t>4</w:t>
            </w:r>
            <w:r>
              <w:rPr>
                <w:rFonts w:hint="eastAsia" w:ascii="宋体" w:hAnsi="宋体" w:eastAsia="宋体" w:cs="宋体"/>
                <w:i w:val="0"/>
                <w:iCs w:val="0"/>
                <w:color w:val="000000"/>
                <w:kern w:val="0"/>
                <w:sz w:val="21"/>
                <w:szCs w:val="21"/>
                <w:lang w:val="en-US" w:eastAsia="zh-CN"/>
              </w:rPr>
              <w:t>分。偏差度在</w:t>
            </w:r>
            <w:r>
              <w:rPr>
                <w:rFonts w:hint="default" w:ascii="Times New Roman" w:hAnsi="Times New Roman" w:eastAsia="宋体" w:cs="Times New Roman"/>
                <w:i w:val="0"/>
                <w:iCs w:val="0"/>
                <w:color w:val="000000"/>
                <w:kern w:val="0"/>
                <w:sz w:val="21"/>
                <w:szCs w:val="21"/>
                <w:lang w:val="en-US" w:eastAsia="zh-CN"/>
              </w:rPr>
              <w:t>10</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20</w:t>
            </w:r>
            <w:r>
              <w:rPr>
                <w:rFonts w:hint="eastAsia" w:ascii="宋体" w:hAnsi="宋体" w:eastAsia="宋体" w:cs="宋体"/>
                <w:i w:val="0"/>
                <w:iCs w:val="0"/>
                <w:color w:val="000000"/>
                <w:kern w:val="0"/>
                <w:sz w:val="21"/>
                <w:szCs w:val="21"/>
                <w:lang w:val="en-US" w:eastAsia="zh-CN"/>
              </w:rPr>
              <w:t>%之间的，得</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分，偏差度超过</w:t>
            </w:r>
            <w:r>
              <w:rPr>
                <w:rFonts w:hint="default" w:ascii="Times New Roman" w:hAnsi="Times New Roman" w:eastAsia="宋体" w:cs="Times New Roman"/>
                <w:i w:val="0"/>
                <w:iCs w:val="0"/>
                <w:color w:val="000000"/>
                <w:kern w:val="0"/>
                <w:sz w:val="21"/>
                <w:szCs w:val="21"/>
                <w:lang w:val="en-US" w:eastAsia="zh-CN"/>
              </w:rPr>
              <w:t>20</w:t>
            </w:r>
            <w:r>
              <w:rPr>
                <w:rFonts w:hint="eastAsia" w:ascii="宋体" w:hAnsi="宋体" w:eastAsia="宋体" w:cs="宋体"/>
                <w:i w:val="0"/>
                <w:iCs w:val="0"/>
                <w:color w:val="000000"/>
                <w:kern w:val="0"/>
                <w:sz w:val="21"/>
                <w:szCs w:val="21"/>
                <w:lang w:val="en-US" w:eastAsia="zh-CN"/>
              </w:rPr>
              <w:t>%的，不得分。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E18A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4</w:t>
            </w:r>
          </w:p>
        </w:tc>
      </w:tr>
      <w:tr w14:paraId="2BB163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31"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011A572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continue"/>
            <w:tcBorders>
              <w:top w:val="nil"/>
              <w:left w:val="single" w:color="000000" w:sz="4" w:space="0"/>
              <w:bottom w:val="single" w:color="000000" w:sz="4" w:space="0"/>
              <w:right w:val="single" w:color="000000" w:sz="4" w:space="0"/>
            </w:tcBorders>
            <w:shd w:val="clear" w:color="auto" w:fill="auto"/>
            <w:vAlign w:val="center"/>
          </w:tcPr>
          <w:p w14:paraId="615DE64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E1F7B">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执行进度</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DAD1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6</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E9E31">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部门在</w:t>
            </w:r>
            <w:r>
              <w:rPr>
                <w:rFonts w:hint="default" w:ascii="Times New Roman" w:hAnsi="Times New Roman" w:eastAsia="宋体" w:cs="Times New Roman"/>
                <w:i w:val="0"/>
                <w:iCs w:val="0"/>
                <w:color w:val="000000"/>
                <w:kern w:val="0"/>
                <w:sz w:val="21"/>
                <w:szCs w:val="21"/>
                <w:lang w:val="en-US" w:eastAsia="zh-CN"/>
              </w:rPr>
              <w:t>6</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9</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11</w:t>
            </w:r>
            <w:r>
              <w:rPr>
                <w:rFonts w:hint="eastAsia" w:ascii="宋体" w:hAnsi="宋体" w:eastAsia="宋体" w:cs="宋体"/>
                <w:i w:val="0"/>
                <w:iCs w:val="0"/>
                <w:color w:val="000000"/>
                <w:kern w:val="0"/>
                <w:sz w:val="21"/>
                <w:szCs w:val="21"/>
                <w:lang w:val="en-US" w:eastAsia="zh-CN"/>
              </w:rPr>
              <w:t>月及年终的预算执行情况。反映预算执行的及时性和均衡性程度（以当年财政国库支付进度比例要求考核）；</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0AFED">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.部门预算项目预算执行进度在</w:t>
            </w:r>
            <w:r>
              <w:rPr>
                <w:rFonts w:hint="default" w:ascii="Times New Roman" w:hAnsi="Times New Roman" w:eastAsia="宋体" w:cs="Times New Roman"/>
                <w:i w:val="0"/>
                <w:iCs w:val="0"/>
                <w:color w:val="000000"/>
                <w:kern w:val="0"/>
                <w:sz w:val="21"/>
                <w:szCs w:val="21"/>
                <w:lang w:val="en-US" w:eastAsia="zh-CN"/>
              </w:rPr>
              <w:t>6</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9</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11</w:t>
            </w:r>
            <w:r>
              <w:rPr>
                <w:rFonts w:hint="eastAsia" w:ascii="宋体" w:hAnsi="宋体" w:eastAsia="宋体" w:cs="宋体"/>
                <w:i w:val="0"/>
                <w:iCs w:val="0"/>
                <w:color w:val="000000"/>
                <w:kern w:val="0"/>
                <w:sz w:val="21"/>
                <w:szCs w:val="21"/>
                <w:lang w:val="en-US" w:eastAsia="zh-CN"/>
              </w:rPr>
              <w:t>月应达到序时进度的</w:t>
            </w:r>
            <w:r>
              <w:rPr>
                <w:rFonts w:hint="default" w:ascii="Times New Roman" w:hAnsi="Times New Roman" w:eastAsia="宋体" w:cs="Times New Roman"/>
                <w:i w:val="0"/>
                <w:iCs w:val="0"/>
                <w:color w:val="000000"/>
                <w:kern w:val="0"/>
                <w:sz w:val="21"/>
                <w:szCs w:val="21"/>
                <w:lang w:val="en-US" w:eastAsia="zh-CN"/>
              </w:rPr>
              <w:t>80</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90</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90</w:t>
            </w:r>
            <w:r>
              <w:rPr>
                <w:rFonts w:hint="eastAsia" w:ascii="宋体" w:hAnsi="宋体" w:eastAsia="宋体" w:cs="宋体"/>
                <w:i w:val="0"/>
                <w:iCs w:val="0"/>
                <w:color w:val="000000"/>
                <w:kern w:val="0"/>
                <w:sz w:val="21"/>
                <w:szCs w:val="21"/>
                <w:lang w:val="en-US" w:eastAsia="zh-CN"/>
              </w:rPr>
              <w:t>%，即实际支出进度分别达到</w:t>
            </w:r>
            <w:r>
              <w:rPr>
                <w:rFonts w:hint="default" w:ascii="Times New Roman" w:hAnsi="Times New Roman" w:eastAsia="宋体" w:cs="Times New Roman"/>
                <w:i w:val="0"/>
                <w:iCs w:val="0"/>
                <w:color w:val="000000"/>
                <w:kern w:val="0"/>
                <w:sz w:val="21"/>
                <w:szCs w:val="21"/>
                <w:lang w:val="en-US" w:eastAsia="zh-CN"/>
              </w:rPr>
              <w:t>40</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67</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82</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 xml:space="preserve">%。                                                     </w:t>
            </w:r>
            <w:r>
              <w:rPr>
                <w:rFonts w:hint="default" w:ascii="Times New Roman" w:hAnsi="Times New Roman" w:eastAsia="宋体" w:cs="Times New Roman"/>
                <w:i w:val="0"/>
                <w:iCs w:val="0"/>
                <w:color w:val="000000"/>
                <w:kern w:val="0"/>
                <w:sz w:val="21"/>
                <w:szCs w:val="21"/>
                <w:lang w:val="en-US" w:eastAsia="zh-CN"/>
              </w:rPr>
              <w:t>6</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9</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11</w:t>
            </w:r>
            <w:r>
              <w:rPr>
                <w:rFonts w:hint="eastAsia" w:ascii="宋体" w:hAnsi="宋体" w:eastAsia="宋体" w:cs="宋体"/>
                <w:i w:val="0"/>
                <w:iCs w:val="0"/>
                <w:color w:val="000000"/>
                <w:kern w:val="0"/>
                <w:sz w:val="21"/>
                <w:szCs w:val="21"/>
                <w:lang w:val="en-US" w:eastAsia="zh-CN"/>
              </w:rPr>
              <w:t>月部门预算执行进度达到目标进度的分别得</w:t>
            </w: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分、</w:t>
            </w: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分、</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分，未达到目标进度的按其实际进度占目标进度的比重计算得分；截止自评日预算执行进度达到</w:t>
            </w:r>
            <w:r>
              <w:rPr>
                <w:rFonts w:hint="default" w:ascii="Times New Roman" w:hAnsi="Times New Roman" w:eastAsia="宋体" w:cs="Times New Roman"/>
                <w:i w:val="0"/>
                <w:iCs w:val="0"/>
                <w:color w:val="000000"/>
                <w:kern w:val="0"/>
                <w:sz w:val="21"/>
                <w:szCs w:val="21"/>
                <w:lang w:val="en-US" w:eastAsia="zh-CN"/>
              </w:rPr>
              <w:t>100</w:t>
            </w:r>
            <w:r>
              <w:rPr>
                <w:rFonts w:hint="eastAsia" w:ascii="宋体" w:hAnsi="宋体" w:eastAsia="宋体" w:cs="宋体"/>
                <w:i w:val="0"/>
                <w:iCs w:val="0"/>
                <w:color w:val="000000"/>
                <w:kern w:val="0"/>
                <w:sz w:val="21"/>
                <w:szCs w:val="21"/>
                <w:lang w:val="en-US" w:eastAsia="zh-CN"/>
              </w:rPr>
              <w:t>%的，得</w:t>
            </w:r>
            <w:r>
              <w:rPr>
                <w:rFonts w:hint="default" w:ascii="Times New Roman" w:hAnsi="Times New Roman" w:eastAsia="宋体" w:cs="Times New Roman"/>
                <w:i w:val="0"/>
                <w:iCs w:val="0"/>
                <w:color w:val="000000"/>
                <w:kern w:val="0"/>
                <w:sz w:val="21"/>
                <w:szCs w:val="21"/>
                <w:lang w:val="en-US" w:eastAsia="zh-CN"/>
              </w:rPr>
              <w:t>6</w:t>
            </w:r>
            <w:r>
              <w:rPr>
                <w:rFonts w:hint="eastAsia" w:ascii="宋体" w:hAnsi="宋体" w:eastAsia="宋体" w:cs="宋体"/>
                <w:i w:val="0"/>
                <w:iCs w:val="0"/>
                <w:color w:val="000000"/>
                <w:kern w:val="0"/>
                <w:sz w:val="21"/>
                <w:szCs w:val="21"/>
                <w:lang w:val="en-US" w:eastAsia="zh-CN"/>
              </w:rPr>
              <w:t>分，未达</w:t>
            </w:r>
            <w:r>
              <w:rPr>
                <w:rFonts w:hint="default" w:ascii="Times New Roman" w:hAnsi="Times New Roman" w:eastAsia="宋体" w:cs="Times New Roman"/>
                <w:i w:val="0"/>
                <w:iCs w:val="0"/>
                <w:color w:val="000000"/>
                <w:kern w:val="0"/>
                <w:sz w:val="21"/>
                <w:szCs w:val="21"/>
                <w:lang w:val="en-US" w:eastAsia="zh-CN"/>
              </w:rPr>
              <w:t>100</w:t>
            </w:r>
            <w:r>
              <w:rPr>
                <w:rFonts w:hint="eastAsia" w:ascii="宋体" w:hAnsi="宋体" w:eastAsia="宋体" w:cs="宋体"/>
                <w:i w:val="0"/>
                <w:iCs w:val="0"/>
                <w:color w:val="000000"/>
                <w:kern w:val="0"/>
                <w:sz w:val="21"/>
                <w:szCs w:val="21"/>
                <w:lang w:val="en-US" w:eastAsia="zh-CN"/>
              </w:rPr>
              <w:t>%的，按照实际进度量化计算得分。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E0D7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6</w:t>
            </w:r>
          </w:p>
        </w:tc>
      </w:tr>
      <w:tr w14:paraId="275061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344"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716EC83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continue"/>
            <w:tcBorders>
              <w:top w:val="nil"/>
              <w:left w:val="single" w:color="000000" w:sz="4" w:space="0"/>
              <w:bottom w:val="single" w:color="000000" w:sz="4" w:space="0"/>
              <w:right w:val="single" w:color="000000" w:sz="4" w:space="0"/>
            </w:tcBorders>
            <w:shd w:val="clear" w:color="auto" w:fill="auto"/>
            <w:vAlign w:val="center"/>
          </w:tcPr>
          <w:p w14:paraId="706AC2E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85B6B">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同步调整</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F067F">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5</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FDCF4">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部门预算执行中，预算调整和绩效目标调整同步实现情况。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6ACFA">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对照年度预算执行过程中部门预算项目绩效目标管理情况，在调整预算时未同步调整绩效目标的，每有一个项目扣</w:t>
            </w: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分，扣完为止。</w:t>
            </w:r>
          </w:p>
          <w:p w14:paraId="008483E8">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（重点核实范围：部门机关及至少</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个下属单位的所有纳入绩效目标管理的部门预算项目）</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9529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5</w:t>
            </w:r>
          </w:p>
        </w:tc>
      </w:tr>
      <w:tr w14:paraId="3BF2B1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5"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6C5D0AE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continue"/>
            <w:tcBorders>
              <w:top w:val="nil"/>
              <w:left w:val="single" w:color="000000" w:sz="4" w:space="0"/>
              <w:bottom w:val="single" w:color="000000" w:sz="4" w:space="0"/>
              <w:right w:val="single" w:color="000000" w:sz="4" w:space="0"/>
            </w:tcBorders>
            <w:shd w:val="clear" w:color="auto" w:fill="auto"/>
            <w:vAlign w:val="center"/>
          </w:tcPr>
          <w:p w14:paraId="47D01F2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41C22">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及时处置</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55776">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5</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8407A">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部门绩效运行监控处置情况。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E9AD">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根据财政局组织开展对绩效运行监控及时提出预算收回、调整处置意见并加以落实等方面情况的会审结果换算得分或根据自行监控发现问题进行整改的计算。</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AD0C8">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5</w:t>
            </w:r>
          </w:p>
        </w:tc>
      </w:tr>
      <w:tr w14:paraId="67368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9"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2BC5719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F6C5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完成结果</w:t>
            </w:r>
          </w:p>
          <w:p w14:paraId="3AABCD8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8</w:t>
            </w:r>
            <w:r>
              <w:rPr>
                <w:rFonts w:hint="eastAsia" w:ascii="宋体" w:hAnsi="宋体" w:eastAsia="宋体" w:cs="宋体"/>
                <w:i w:val="0"/>
                <w:iCs w:val="0"/>
                <w:color w:val="000000"/>
                <w:kern w:val="0"/>
                <w:sz w:val="21"/>
                <w:szCs w:val="21"/>
                <w:lang w:val="en-US" w:eastAsia="zh-CN"/>
              </w:rPr>
              <w:t>分）</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26834">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预算结余率</w:t>
            </w:r>
          </w:p>
          <w:p w14:paraId="65B9672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（低效无效率）</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E55B8">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8</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0EE80">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部门预算项目年终预算结余情况。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2EAD1">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指标得分=部门预算项目预算结余率小于</w:t>
            </w:r>
            <w:r>
              <w:rPr>
                <w:rFonts w:hint="default" w:ascii="Times New Roman" w:hAnsi="Times New Roman" w:eastAsia="宋体" w:cs="Times New Roman"/>
                <w:i w:val="0"/>
                <w:iCs w:val="0"/>
                <w:color w:val="000000"/>
                <w:kern w:val="0"/>
                <w:sz w:val="21"/>
                <w:szCs w:val="21"/>
                <w:lang w:val="en-US" w:eastAsia="zh-CN"/>
              </w:rPr>
              <w:t>10</w:t>
            </w:r>
            <w:r>
              <w:rPr>
                <w:rFonts w:hint="eastAsia" w:ascii="宋体" w:hAnsi="宋体" w:eastAsia="宋体" w:cs="宋体"/>
                <w:i w:val="0"/>
                <w:iCs w:val="0"/>
                <w:color w:val="000000"/>
                <w:kern w:val="0"/>
                <w:sz w:val="21"/>
                <w:szCs w:val="21"/>
                <w:lang w:val="en-US" w:eastAsia="zh-CN"/>
              </w:rPr>
              <w:t>%的项目数/部门预算项目总数×</w:t>
            </w:r>
            <w:r>
              <w:rPr>
                <w:rFonts w:hint="default" w:ascii="Times New Roman" w:hAnsi="Times New Roman" w:eastAsia="宋体" w:cs="Times New Roman"/>
                <w:i w:val="0"/>
                <w:iCs w:val="0"/>
                <w:color w:val="000000"/>
                <w:kern w:val="0"/>
                <w:sz w:val="21"/>
                <w:szCs w:val="21"/>
                <w:lang w:val="en-US" w:eastAsia="zh-CN"/>
              </w:rPr>
              <w:t>8</w:t>
            </w:r>
            <w:r>
              <w:rPr>
                <w:rFonts w:hint="eastAsia" w:ascii="宋体" w:hAnsi="宋体" w:eastAsia="宋体" w:cs="宋体"/>
                <w:i w:val="0"/>
                <w:iCs w:val="0"/>
                <w:color w:val="000000"/>
                <w:kern w:val="0"/>
                <w:sz w:val="21"/>
                <w:szCs w:val="21"/>
                <w:lang w:val="en-US" w:eastAsia="zh-CN"/>
              </w:rPr>
              <w:t>。</w:t>
            </w:r>
          </w:p>
          <w:p w14:paraId="53909EE0">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（重点核实范围为</w:t>
            </w:r>
            <w:r>
              <w:rPr>
                <w:color w:val="FF0000"/>
              </w:rPr>
              <w:t>:</w:t>
            </w:r>
            <w:r>
              <w:t>机关部门</w:t>
            </w:r>
            <w:r>
              <w:rPr>
                <w:rFonts w:hint="eastAsia" w:ascii="宋体" w:hAnsi="宋体" w:eastAsia="宋体" w:cs="宋体"/>
                <w:i w:val="0"/>
                <w:iCs w:val="0"/>
                <w:color w:val="000000"/>
                <w:kern w:val="0"/>
                <w:sz w:val="21"/>
                <w:szCs w:val="21"/>
                <w:lang w:val="en-US" w:eastAsia="zh-CN"/>
              </w:rPr>
              <w:t>及至少</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个下属单位的所有纳入绩效目标管理的部门预算项目）。结余率=（实际使用资金-预算资金）/预算资金*</w:t>
            </w:r>
            <w:r>
              <w:rPr>
                <w:rFonts w:hint="default" w:ascii="Times New Roman" w:hAnsi="Times New Roman" w:eastAsia="宋体" w:cs="Times New Roman"/>
                <w:i w:val="0"/>
                <w:iCs w:val="0"/>
                <w:color w:val="000000"/>
                <w:kern w:val="0"/>
                <w:sz w:val="21"/>
                <w:szCs w:val="21"/>
                <w:lang w:val="en-US" w:eastAsia="zh-CN"/>
              </w:rPr>
              <w:t>100</w:t>
            </w:r>
            <w:r>
              <w:rPr>
                <w:rFonts w:hint="eastAsia" w:ascii="宋体" w:hAnsi="宋体" w:eastAsia="宋体" w:cs="宋体"/>
                <w:i w:val="0"/>
                <w:iCs w:val="0"/>
                <w:color w:val="000000"/>
                <w:kern w:val="0"/>
                <w:sz w:val="21"/>
                <w:szCs w:val="21"/>
                <w:lang w:val="en-US" w:eastAsia="zh-CN"/>
              </w:rPr>
              <w:t>%</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FD437">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8</w:t>
            </w:r>
          </w:p>
        </w:tc>
      </w:tr>
      <w:tr w14:paraId="476A9D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69179">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部门预算项目绩效</w:t>
            </w:r>
          </w:p>
          <w:p w14:paraId="371E3603">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30</w:t>
            </w:r>
            <w:r>
              <w:rPr>
                <w:rFonts w:hint="eastAsia" w:ascii="宋体" w:hAnsi="宋体" w:eastAsia="宋体" w:cs="宋体"/>
                <w:i w:val="0"/>
                <w:iCs w:val="0"/>
                <w:color w:val="000000"/>
                <w:kern w:val="0"/>
                <w:sz w:val="21"/>
                <w:szCs w:val="21"/>
                <w:lang w:val="en-US" w:eastAsia="zh-CN"/>
              </w:rPr>
              <w:t>分）</w:t>
            </w:r>
          </w:p>
        </w:tc>
        <w:tc>
          <w:tcPr>
            <w:tcW w:w="442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61EDAFD6">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财政重点绩效评价组和各预算单位结合部门管理的特定目标类部门预算项目数量，分段选取部分特定目标类部门预算项目实施评价并打分，将形成的项目评价分数的平均分（百分制）按</w:t>
            </w:r>
            <w:r>
              <w:rPr>
                <w:rFonts w:hint="default" w:ascii="Times New Roman" w:hAnsi="Times New Roman" w:eastAsia="宋体" w:cs="Times New Roman"/>
                <w:i w:val="0"/>
                <w:iCs w:val="0"/>
                <w:color w:val="000000"/>
                <w:kern w:val="0"/>
                <w:sz w:val="21"/>
                <w:szCs w:val="21"/>
                <w:lang w:val="en-US" w:eastAsia="zh-CN"/>
              </w:rPr>
              <w:t>25</w:t>
            </w:r>
            <w:r>
              <w:rPr>
                <w:rFonts w:hint="eastAsia" w:ascii="宋体" w:hAnsi="宋体" w:eastAsia="宋体" w:cs="宋体"/>
                <w:i w:val="0"/>
                <w:iCs w:val="0"/>
                <w:color w:val="000000"/>
                <w:kern w:val="0"/>
                <w:sz w:val="21"/>
                <w:szCs w:val="21"/>
                <w:lang w:val="en-US" w:eastAsia="zh-CN"/>
              </w:rPr>
              <w:t>%的比例换算得分。</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2023</w:t>
            </w:r>
            <w:r>
              <w:rPr>
                <w:rFonts w:hint="eastAsia" w:ascii="宋体" w:hAnsi="宋体" w:eastAsia="宋体" w:cs="宋体"/>
                <w:i w:val="0"/>
                <w:iCs w:val="0"/>
                <w:color w:val="000000"/>
                <w:kern w:val="0"/>
                <w:sz w:val="21"/>
                <w:szCs w:val="21"/>
                <w:lang w:val="en-US" w:eastAsia="zh-CN"/>
              </w:rPr>
              <w:t>年对区本级</w:t>
            </w:r>
            <w:r>
              <w:rPr>
                <w:rFonts w:hint="default" w:ascii="Times New Roman" w:hAnsi="Times New Roman" w:eastAsia="宋体" w:cs="Times New Roman"/>
                <w:i w:val="0"/>
                <w:iCs w:val="0"/>
                <w:color w:val="000000"/>
                <w:kern w:val="0"/>
                <w:sz w:val="21"/>
                <w:szCs w:val="21"/>
                <w:lang w:val="en-US" w:eastAsia="zh-CN"/>
              </w:rPr>
              <w:t>50</w:t>
            </w:r>
            <w:r>
              <w:rPr>
                <w:rFonts w:hint="eastAsia" w:ascii="宋体" w:hAnsi="宋体" w:eastAsia="宋体" w:cs="宋体"/>
                <w:i w:val="0"/>
                <w:iCs w:val="0"/>
                <w:color w:val="000000"/>
                <w:kern w:val="0"/>
                <w:sz w:val="21"/>
                <w:szCs w:val="21"/>
                <w:lang w:val="en-US" w:eastAsia="zh-CN"/>
              </w:rPr>
              <w:t>万元及以上的预算项目开展自行评估并将评估资料提交区财政的，得</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分。应开展未开展的每发现一个扣</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分，直至此项扣完。若应开展</w:t>
            </w: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个，且未开展的，此项不得分。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8F64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30</w:t>
            </w:r>
          </w:p>
        </w:tc>
      </w:tr>
      <w:tr w14:paraId="547E98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82" w:type="pct"/>
            <w:vMerge w:val="restart"/>
            <w:tcBorders>
              <w:top w:val="nil"/>
              <w:left w:val="single" w:color="000000" w:sz="4" w:space="0"/>
              <w:bottom w:val="single" w:color="000000" w:sz="4" w:space="0"/>
              <w:right w:val="single" w:color="000000" w:sz="4" w:space="0"/>
            </w:tcBorders>
            <w:shd w:val="clear" w:color="auto" w:fill="auto"/>
            <w:vAlign w:val="center"/>
          </w:tcPr>
          <w:p w14:paraId="3A81395F">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绩效结果应用</w:t>
            </w:r>
          </w:p>
          <w:p w14:paraId="4CC17D5F">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14</w:t>
            </w:r>
            <w:r>
              <w:rPr>
                <w:rFonts w:hint="eastAsia" w:ascii="宋体" w:hAnsi="宋体" w:eastAsia="宋体" w:cs="宋体"/>
                <w:i w:val="0"/>
                <w:iCs w:val="0"/>
                <w:color w:val="000000"/>
                <w:kern w:val="0"/>
                <w:sz w:val="21"/>
                <w:szCs w:val="21"/>
                <w:lang w:val="en-US" w:eastAsia="zh-CN"/>
              </w:rPr>
              <w:t>分）</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C9CB2">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内部应用</w:t>
            </w:r>
          </w:p>
          <w:p w14:paraId="5F17F4F5">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4</w:t>
            </w:r>
            <w:r>
              <w:rPr>
                <w:rFonts w:hint="eastAsia" w:ascii="宋体" w:hAnsi="宋体" w:eastAsia="宋体" w:cs="宋体"/>
                <w:i w:val="0"/>
                <w:iCs w:val="0"/>
                <w:color w:val="000000"/>
                <w:kern w:val="0"/>
                <w:sz w:val="21"/>
                <w:szCs w:val="21"/>
                <w:lang w:val="en-US" w:eastAsia="zh-CN"/>
              </w:rPr>
              <w:t>分）</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71A1">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预算绩效制度建设</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04BC">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4</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FBCD2">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预算绩效管理制度和内部预算绩效工作考核挂钩制度</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A552B">
            <w:pPr>
              <w:keepNext w:val="0"/>
              <w:keepLines w:val="0"/>
              <w:widowControl/>
              <w:suppressLineNumbers w:val="0"/>
              <w:autoSpaceDE w:val="0"/>
              <w:autoSpaceDN/>
              <w:spacing w:before="0" w:beforeAutospacing="0" w:after="0" w:afterAutospacing="0" w:line="330" w:lineRule="exact"/>
              <w:ind w:left="0" w:right="0"/>
              <w:jc w:val="left"/>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.建立健全本部门（单位）预算绩效管理制度，有正式文件依据且内容齐全，符合我区政府出台绩效制度和实际要求的，得</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分。有文件依据，但内容不全或相关内容过时的，扣</w:t>
            </w: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分，无正式文件</w:t>
            </w:r>
            <w:r>
              <w:t>依</w:t>
            </w:r>
            <w:r>
              <w:rPr>
                <w:rFonts w:hint="eastAsia" w:ascii="宋体" w:hAnsi="宋体" w:eastAsia="宋体" w:cs="宋体"/>
                <w:i w:val="0"/>
                <w:iCs w:val="0"/>
                <w:color w:val="000000"/>
                <w:kern w:val="0"/>
                <w:sz w:val="21"/>
                <w:szCs w:val="21"/>
                <w:lang w:val="en-US" w:eastAsia="zh-CN"/>
              </w:rPr>
              <w:t>据，仅提供world版本且内容不全的，不得分。</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.建立对内设机构和下属单位纳入内部预算绩效工作考核机制，有正式文件依据且实行绩效考核挂钩的，得</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分。无正式文件依据但实行内部预算绩效工作考核挂钩的，得</w:t>
            </w: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分，有正式文件依据但未实行内部考核的，得</w:t>
            </w:r>
            <w:r>
              <w:rPr>
                <w:rFonts w:hint="default" w:ascii="Times New Roman" w:hAnsi="Times New Roman" w:eastAsia="宋体" w:cs="Times New Roman"/>
                <w:i w:val="0"/>
                <w:iCs w:val="0"/>
                <w:color w:val="000000"/>
                <w:kern w:val="0"/>
                <w:sz w:val="21"/>
                <w:szCs w:val="21"/>
                <w:lang w:val="en-US" w:eastAsia="zh-CN"/>
              </w:rPr>
              <w:t>1</w:t>
            </w:r>
            <w:r>
              <w:rPr>
                <w:rFonts w:hint="eastAsia" w:ascii="宋体" w:hAnsi="宋体" w:eastAsia="宋体" w:cs="宋体"/>
                <w:i w:val="0"/>
                <w:iCs w:val="0"/>
                <w:color w:val="000000"/>
                <w:kern w:val="0"/>
                <w:sz w:val="21"/>
                <w:szCs w:val="21"/>
                <w:lang w:val="en-US" w:eastAsia="zh-CN"/>
              </w:rPr>
              <w:t>分；既无正式文件依据且未实行内部考核挂钩的，不得分。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83024">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2</w:t>
            </w:r>
          </w:p>
        </w:tc>
      </w:tr>
      <w:tr w14:paraId="65FE2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22E2E2B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BC3EB">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信息公开</w:t>
            </w:r>
          </w:p>
          <w:p w14:paraId="2B47D1A1">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3</w:t>
            </w:r>
            <w:r>
              <w:rPr>
                <w:rFonts w:hint="eastAsia" w:ascii="宋体" w:hAnsi="宋体" w:eastAsia="宋体" w:cs="宋体"/>
                <w:i w:val="0"/>
                <w:iCs w:val="0"/>
                <w:color w:val="000000"/>
                <w:kern w:val="0"/>
                <w:sz w:val="21"/>
                <w:szCs w:val="21"/>
                <w:lang w:val="en-US" w:eastAsia="zh-CN"/>
              </w:rPr>
              <w:t>分）</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86F94">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自评公开</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33C66">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3</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DCBC8">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部门是否按要求将部门整体绩效自评情况和自行组织的评价情况向社会公开。</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4A578">
            <w:pPr>
              <w:keepNext w:val="0"/>
              <w:keepLines w:val="0"/>
              <w:widowControl/>
              <w:suppressLineNumbers w:val="0"/>
              <w:autoSpaceDE w:val="0"/>
              <w:autoSpaceDN/>
              <w:spacing w:before="0" w:beforeAutospacing="0" w:after="0" w:afterAutospacing="0" w:line="33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按绩效自评公开要求将预算绩效目标、中央转移支付自评等相关绩效信息随同预、决算和上级要求公开的时间进行公开的，得</w:t>
            </w:r>
            <w:r>
              <w:rPr>
                <w:rFonts w:hint="default" w:ascii="Times New Roman" w:hAnsi="Times New Roman" w:eastAsia="宋体" w:cs="Times New Roman"/>
                <w:i w:val="0"/>
                <w:iCs w:val="0"/>
                <w:color w:val="000000"/>
                <w:kern w:val="0"/>
                <w:sz w:val="21"/>
                <w:szCs w:val="21"/>
                <w:lang w:val="en-US" w:eastAsia="zh-CN"/>
              </w:rPr>
              <w:t>3</w:t>
            </w:r>
            <w:r>
              <w:rPr>
                <w:rFonts w:hint="eastAsia" w:ascii="宋体" w:hAnsi="宋体" w:eastAsia="宋体" w:cs="宋体"/>
                <w:i w:val="0"/>
                <w:iCs w:val="0"/>
                <w:color w:val="000000"/>
                <w:kern w:val="0"/>
                <w:sz w:val="21"/>
                <w:szCs w:val="21"/>
                <w:lang w:val="en-US" w:eastAsia="zh-CN"/>
              </w:rPr>
              <w:t>分，否则不得分。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D9D1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3</w:t>
            </w:r>
          </w:p>
        </w:tc>
      </w:tr>
      <w:tr w14:paraId="4E20E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26BEC77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restart"/>
            <w:tcBorders>
              <w:top w:val="nil"/>
              <w:left w:val="single" w:color="000000" w:sz="4" w:space="0"/>
              <w:bottom w:val="single" w:color="000000" w:sz="4" w:space="0"/>
              <w:right w:val="single" w:color="000000" w:sz="4" w:space="0"/>
            </w:tcBorders>
            <w:shd w:val="clear" w:color="auto" w:fill="auto"/>
            <w:vAlign w:val="center"/>
          </w:tcPr>
          <w:p w14:paraId="3EEE3B6E">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整改反馈</w:t>
            </w:r>
          </w:p>
          <w:p w14:paraId="6198064A">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7</w:t>
            </w:r>
            <w:r>
              <w:rPr>
                <w:rFonts w:hint="eastAsia" w:ascii="宋体" w:hAnsi="宋体" w:eastAsia="宋体" w:cs="宋体"/>
                <w:i w:val="0"/>
                <w:iCs w:val="0"/>
                <w:color w:val="000000"/>
                <w:kern w:val="0"/>
                <w:sz w:val="21"/>
                <w:szCs w:val="21"/>
                <w:lang w:val="en-US" w:eastAsia="zh-CN"/>
              </w:rPr>
              <w:t>分）</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0DA3D">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问题整改</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A16FA">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4</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43DA8">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部门根据绩效管理结果整改问题、完善政策、改进管理的情况。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315CC">
            <w:pPr>
              <w:keepNext w:val="0"/>
              <w:keepLines w:val="0"/>
              <w:widowControl/>
              <w:suppressLineNumbers w:val="0"/>
              <w:autoSpaceDE w:val="0"/>
              <w:autoSpaceDN/>
              <w:spacing w:before="0" w:beforeAutospacing="0" w:after="0" w:afterAutospacing="0" w:line="33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针对绩效管理过程中（包括绩效目标核查、绩效监控核查、重点自评抽查复核、重点绩效评价等）提出的问题进行全面整改，得</w:t>
            </w:r>
            <w:r>
              <w:rPr>
                <w:rFonts w:hint="default" w:ascii="Times New Roman" w:hAnsi="Times New Roman" w:eastAsia="宋体" w:cs="Times New Roman"/>
                <w:i w:val="0"/>
                <w:iCs w:val="0"/>
                <w:color w:val="000000"/>
                <w:kern w:val="0"/>
                <w:sz w:val="21"/>
                <w:szCs w:val="21"/>
                <w:lang w:val="en-US" w:eastAsia="zh-CN"/>
              </w:rPr>
              <w:t>4</w:t>
            </w:r>
            <w:r>
              <w:rPr>
                <w:rFonts w:hint="eastAsia" w:ascii="宋体" w:hAnsi="宋体" w:eastAsia="宋体" w:cs="宋体"/>
                <w:i w:val="0"/>
                <w:iCs w:val="0"/>
                <w:color w:val="000000"/>
                <w:kern w:val="0"/>
                <w:sz w:val="21"/>
                <w:szCs w:val="21"/>
                <w:lang w:val="en-US" w:eastAsia="zh-CN"/>
              </w:rPr>
              <w:t>分，否则视整改落实情况扣分。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8D52F">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4</w:t>
            </w:r>
          </w:p>
        </w:tc>
      </w:tr>
      <w:tr w14:paraId="35797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282" w:type="pct"/>
            <w:vMerge w:val="continue"/>
            <w:tcBorders>
              <w:top w:val="nil"/>
              <w:left w:val="single" w:color="000000" w:sz="4" w:space="0"/>
              <w:bottom w:val="single" w:color="000000" w:sz="4" w:space="0"/>
              <w:right w:val="single" w:color="000000" w:sz="4" w:space="0"/>
            </w:tcBorders>
            <w:shd w:val="clear" w:color="auto" w:fill="auto"/>
            <w:vAlign w:val="center"/>
          </w:tcPr>
          <w:p w14:paraId="7E46326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304" w:type="pct"/>
            <w:vMerge w:val="continue"/>
            <w:tcBorders>
              <w:top w:val="nil"/>
              <w:left w:val="single" w:color="000000" w:sz="4" w:space="0"/>
              <w:bottom w:val="single" w:color="000000" w:sz="4" w:space="0"/>
              <w:right w:val="single" w:color="000000" w:sz="4" w:space="0"/>
            </w:tcBorders>
            <w:shd w:val="clear" w:color="auto" w:fill="auto"/>
            <w:vAlign w:val="center"/>
          </w:tcPr>
          <w:p w14:paraId="685D32B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9AA5D">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应用反馈</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B4749">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3</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189E0">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部门按要求及时向财政部门反馈问题整改及结果应用情况。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8DF3F">
            <w:pPr>
              <w:keepNext w:val="0"/>
              <w:keepLines w:val="0"/>
              <w:widowControl/>
              <w:suppressLineNumbers w:val="0"/>
              <w:autoSpaceDE w:val="0"/>
              <w:autoSpaceDN/>
              <w:spacing w:before="0" w:beforeAutospacing="0" w:after="0" w:afterAutospacing="0" w:line="33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部门在规定时间内向财政部门反馈问题整改及绩效结果应用报告，报告内容翔实、问题整改到位、结果应用充分的，得</w:t>
            </w:r>
            <w:r>
              <w:rPr>
                <w:rFonts w:hint="default" w:ascii="Times New Roman" w:hAnsi="Times New Roman" w:eastAsia="宋体" w:cs="Times New Roman"/>
                <w:i w:val="0"/>
                <w:iCs w:val="0"/>
                <w:color w:val="000000"/>
                <w:kern w:val="0"/>
                <w:sz w:val="21"/>
                <w:szCs w:val="21"/>
                <w:lang w:val="en-US" w:eastAsia="zh-CN"/>
              </w:rPr>
              <w:t>3</w:t>
            </w:r>
            <w:r>
              <w:rPr>
                <w:rFonts w:hint="eastAsia" w:ascii="宋体" w:hAnsi="宋体" w:eastAsia="宋体" w:cs="宋体"/>
                <w:i w:val="0"/>
                <w:iCs w:val="0"/>
                <w:color w:val="000000"/>
                <w:kern w:val="0"/>
                <w:sz w:val="21"/>
                <w:szCs w:val="21"/>
                <w:lang w:val="en-US" w:eastAsia="zh-CN"/>
              </w:rPr>
              <w:t>分，否则视反馈报告质量酌情扣分。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8E9E2">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3</w:t>
            </w:r>
          </w:p>
        </w:tc>
      </w:tr>
      <w:tr w14:paraId="0C682C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28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7DF0E">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自评质量（</w:t>
            </w:r>
            <w:r>
              <w:rPr>
                <w:rFonts w:hint="default" w:ascii="Times New Roman" w:hAnsi="Times New Roman" w:eastAsia="宋体" w:cs="Times New Roman"/>
                <w:i w:val="0"/>
                <w:iCs w:val="0"/>
                <w:color w:val="000000"/>
                <w:kern w:val="0"/>
                <w:sz w:val="21"/>
                <w:szCs w:val="21"/>
                <w:lang w:val="en-US" w:eastAsia="zh-CN"/>
              </w:rPr>
              <w:t>6</w:t>
            </w:r>
            <w:r>
              <w:rPr>
                <w:rFonts w:hint="eastAsia" w:ascii="宋体" w:hAnsi="宋体" w:eastAsia="宋体" w:cs="宋体"/>
                <w:i w:val="0"/>
                <w:iCs w:val="0"/>
                <w:color w:val="000000"/>
                <w:kern w:val="0"/>
                <w:sz w:val="21"/>
                <w:szCs w:val="21"/>
                <w:lang w:val="en-US" w:eastAsia="zh-CN"/>
              </w:rPr>
              <w:t>分）</w:t>
            </w:r>
          </w:p>
        </w:tc>
        <w:tc>
          <w:tcPr>
            <w:tcW w:w="3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6836B">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0"/>
                <w:sz w:val="21"/>
                <w:szCs w:val="21"/>
              </w:rPr>
            </w:pPr>
            <w:r>
              <w:rPr>
                <w:rFonts w:hint="eastAsia" w:ascii="宋体" w:hAnsi="宋体" w:eastAsia="宋体" w:cs="宋体"/>
                <w:i w:val="0"/>
                <w:iCs w:val="0"/>
                <w:color w:val="000000"/>
                <w:kern w:val="0"/>
                <w:sz w:val="21"/>
                <w:szCs w:val="21"/>
                <w:lang w:val="en-US" w:eastAsia="zh-CN"/>
              </w:rPr>
              <w:t>自评质量</w:t>
            </w:r>
          </w:p>
          <w:p w14:paraId="0A5EA838">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6</w:t>
            </w:r>
            <w:r>
              <w:rPr>
                <w:rFonts w:hint="eastAsia" w:ascii="宋体" w:hAnsi="宋体" w:eastAsia="宋体" w:cs="宋体"/>
                <w:i w:val="0"/>
                <w:iCs w:val="0"/>
                <w:color w:val="000000"/>
                <w:kern w:val="0"/>
                <w:sz w:val="21"/>
                <w:szCs w:val="21"/>
                <w:lang w:val="en-US" w:eastAsia="zh-CN"/>
              </w:rPr>
              <w:t>分）</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97B82">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自评质量</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78591">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6</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B8E16">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部门整体支出自评准确率。</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4F99D">
            <w:pPr>
              <w:keepNext w:val="0"/>
              <w:keepLines w:val="0"/>
              <w:widowControl/>
              <w:suppressLineNumbers w:val="0"/>
              <w:autoSpaceDE w:val="0"/>
              <w:autoSpaceDN/>
              <w:spacing w:before="0" w:beforeAutospacing="0" w:after="0" w:afterAutospacing="0" w:line="33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部门整体支出自评得分与评价组抽查得分差异在</w:t>
            </w:r>
            <w:r>
              <w:rPr>
                <w:rFonts w:hint="default" w:ascii="Times New Roman" w:hAnsi="Times New Roman" w:eastAsia="宋体" w:cs="Times New Roman"/>
                <w:i w:val="0"/>
                <w:iCs w:val="0"/>
                <w:color w:val="000000"/>
                <w:kern w:val="0"/>
                <w:sz w:val="21"/>
                <w:szCs w:val="21"/>
                <w:lang w:val="en-US" w:eastAsia="zh-CN"/>
              </w:rPr>
              <w:t>10</w:t>
            </w:r>
            <w:r>
              <w:rPr>
                <w:rFonts w:hint="eastAsia" w:ascii="宋体" w:hAnsi="宋体" w:eastAsia="宋体" w:cs="宋体"/>
                <w:i w:val="0"/>
                <w:iCs w:val="0"/>
                <w:color w:val="000000"/>
                <w:kern w:val="0"/>
                <w:sz w:val="21"/>
                <w:szCs w:val="21"/>
                <w:lang w:val="en-US" w:eastAsia="zh-CN"/>
              </w:rPr>
              <w:t>%以内的，不扣分；在</w:t>
            </w:r>
            <w:r>
              <w:rPr>
                <w:rFonts w:hint="default" w:ascii="Times New Roman" w:hAnsi="Times New Roman" w:eastAsia="宋体" w:cs="Times New Roman"/>
                <w:i w:val="0"/>
                <w:iCs w:val="0"/>
                <w:color w:val="000000"/>
                <w:kern w:val="0"/>
                <w:sz w:val="21"/>
                <w:szCs w:val="21"/>
                <w:lang w:val="en-US" w:eastAsia="zh-CN"/>
              </w:rPr>
              <w:t>10</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15</w:t>
            </w:r>
            <w:r>
              <w:rPr>
                <w:rFonts w:hint="eastAsia" w:ascii="宋体" w:hAnsi="宋体" w:eastAsia="宋体" w:cs="宋体"/>
                <w:i w:val="0"/>
                <w:iCs w:val="0"/>
                <w:color w:val="000000"/>
                <w:kern w:val="0"/>
                <w:sz w:val="21"/>
                <w:szCs w:val="21"/>
                <w:lang w:val="en-US" w:eastAsia="zh-CN"/>
              </w:rPr>
              <w:t>%之间的，扣</w:t>
            </w:r>
            <w:r>
              <w:rPr>
                <w:rFonts w:hint="default" w:ascii="Times New Roman" w:hAnsi="Times New Roman" w:eastAsia="宋体" w:cs="Times New Roman"/>
                <w:i w:val="0"/>
                <w:iCs w:val="0"/>
                <w:color w:val="000000"/>
                <w:kern w:val="0"/>
                <w:sz w:val="21"/>
                <w:szCs w:val="21"/>
                <w:lang w:val="en-US" w:eastAsia="zh-CN"/>
              </w:rPr>
              <w:t>2</w:t>
            </w:r>
            <w:r>
              <w:rPr>
                <w:rFonts w:hint="eastAsia" w:ascii="宋体" w:hAnsi="宋体" w:eastAsia="宋体" w:cs="宋体"/>
                <w:i w:val="0"/>
                <w:iCs w:val="0"/>
                <w:color w:val="000000"/>
                <w:kern w:val="0"/>
                <w:sz w:val="21"/>
                <w:szCs w:val="21"/>
                <w:lang w:val="en-US" w:eastAsia="zh-CN"/>
              </w:rPr>
              <w:t>分，在</w:t>
            </w:r>
            <w:r>
              <w:rPr>
                <w:rFonts w:hint="default" w:ascii="Times New Roman" w:hAnsi="Times New Roman" w:eastAsia="宋体" w:cs="Times New Roman"/>
                <w:i w:val="0"/>
                <w:iCs w:val="0"/>
                <w:color w:val="000000"/>
                <w:kern w:val="0"/>
                <w:sz w:val="21"/>
                <w:szCs w:val="21"/>
                <w:lang w:val="en-US" w:eastAsia="zh-CN"/>
              </w:rPr>
              <w:t>10</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20</w:t>
            </w:r>
            <w:r>
              <w:rPr>
                <w:rFonts w:hint="eastAsia" w:ascii="宋体" w:hAnsi="宋体" w:eastAsia="宋体" w:cs="宋体"/>
                <w:i w:val="0"/>
                <w:iCs w:val="0"/>
                <w:color w:val="000000"/>
                <w:kern w:val="0"/>
                <w:sz w:val="21"/>
                <w:szCs w:val="21"/>
                <w:lang w:val="en-US" w:eastAsia="zh-CN"/>
              </w:rPr>
              <w:t>%之间的，扣</w:t>
            </w:r>
            <w:r>
              <w:rPr>
                <w:rFonts w:hint="default" w:ascii="Times New Roman" w:hAnsi="Times New Roman" w:eastAsia="宋体" w:cs="Times New Roman"/>
                <w:i w:val="0"/>
                <w:iCs w:val="0"/>
                <w:color w:val="000000"/>
                <w:kern w:val="0"/>
                <w:sz w:val="21"/>
                <w:szCs w:val="21"/>
                <w:lang w:val="en-US" w:eastAsia="zh-CN"/>
              </w:rPr>
              <w:t>4</w:t>
            </w:r>
            <w:r>
              <w:rPr>
                <w:rFonts w:hint="eastAsia" w:ascii="宋体" w:hAnsi="宋体" w:eastAsia="宋体" w:cs="宋体"/>
                <w:i w:val="0"/>
                <w:iCs w:val="0"/>
                <w:color w:val="000000"/>
                <w:kern w:val="0"/>
                <w:sz w:val="21"/>
                <w:szCs w:val="21"/>
                <w:lang w:val="en-US" w:eastAsia="zh-CN"/>
              </w:rPr>
              <w:t>分，在</w:t>
            </w:r>
            <w:r>
              <w:rPr>
                <w:rFonts w:hint="default" w:ascii="Times New Roman" w:hAnsi="Times New Roman" w:eastAsia="宋体" w:cs="Times New Roman"/>
                <w:i w:val="0"/>
                <w:iCs w:val="0"/>
                <w:color w:val="000000"/>
                <w:kern w:val="0"/>
                <w:sz w:val="21"/>
                <w:szCs w:val="21"/>
                <w:lang w:val="en-US" w:eastAsia="zh-CN"/>
              </w:rPr>
              <w:t>20</w:t>
            </w:r>
            <w:r>
              <w:rPr>
                <w:rFonts w:hint="eastAsia" w:ascii="宋体" w:hAnsi="宋体" w:eastAsia="宋体" w:cs="宋体"/>
                <w:i w:val="0"/>
                <w:iCs w:val="0"/>
                <w:color w:val="000000"/>
                <w:kern w:val="0"/>
                <w:sz w:val="21"/>
                <w:szCs w:val="21"/>
                <w:lang w:val="en-US" w:eastAsia="zh-CN"/>
              </w:rPr>
              <w:t>%以上的，扣</w:t>
            </w:r>
            <w:r>
              <w:rPr>
                <w:rFonts w:hint="default" w:ascii="Times New Roman" w:hAnsi="Times New Roman" w:eastAsia="宋体" w:cs="Times New Roman"/>
                <w:i w:val="0"/>
                <w:iCs w:val="0"/>
                <w:color w:val="000000"/>
                <w:kern w:val="0"/>
                <w:sz w:val="21"/>
                <w:szCs w:val="21"/>
                <w:lang w:val="en-US" w:eastAsia="zh-CN"/>
              </w:rPr>
              <w:t>6</w:t>
            </w:r>
            <w:r>
              <w:rPr>
                <w:rFonts w:hint="eastAsia" w:ascii="宋体" w:hAnsi="宋体" w:eastAsia="宋体" w:cs="宋体"/>
                <w:i w:val="0"/>
                <w:iCs w:val="0"/>
                <w:color w:val="000000"/>
                <w:kern w:val="0"/>
                <w:sz w:val="21"/>
                <w:szCs w:val="21"/>
                <w:lang w:val="en-US" w:eastAsia="zh-CN"/>
              </w:rPr>
              <w:t>分。（此为财政重点绩效评价计分标准，部门参照该标准对部门及下属单位抽查计分）。</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A5850">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6</w:t>
            </w:r>
          </w:p>
        </w:tc>
      </w:tr>
      <w:tr w14:paraId="76AFD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087" w:type="pct"/>
            <w:gridSpan w:val="3"/>
            <w:vMerge w:val="restart"/>
            <w:tcBorders>
              <w:top w:val="nil"/>
              <w:left w:val="single" w:color="000000" w:sz="4" w:space="0"/>
              <w:bottom w:val="single" w:color="000000" w:sz="4" w:space="0"/>
              <w:right w:val="single" w:color="000000" w:sz="4" w:space="0"/>
            </w:tcBorders>
            <w:shd w:val="clear" w:color="auto" w:fill="auto"/>
            <w:vAlign w:val="center"/>
          </w:tcPr>
          <w:p w14:paraId="39495C5C">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扣分项（</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分）</w:t>
            </w: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ECA7F">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3</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F1B9A">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根据审计监督、财会监督和决算审查结果反映部门上一年度部门预算管理是否符合相关财政财务管理规定。</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3856E">
            <w:pPr>
              <w:keepNext w:val="0"/>
              <w:keepLines w:val="0"/>
              <w:widowControl/>
              <w:suppressLineNumbers w:val="0"/>
              <w:autoSpaceDE w:val="0"/>
              <w:autoSpaceDN/>
              <w:spacing w:before="0" w:beforeAutospacing="0" w:after="0" w:afterAutospacing="0" w:line="330" w:lineRule="exact"/>
              <w:ind w:left="0" w:right="0"/>
              <w:jc w:val="both"/>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依据评价年度审计监督、财会监督和决算审查结果，反映部门预算管理是否符合相关财政财务管理制度规定以及有关专项资金管理办法的规定；资金的拨付是否有完整的审批程序和手续；重大项目开支是否经过评估论证；是否符合部门预算批复的用途；年度内被各层级发现预算资金方面重大违规违纪问题或被区财政发送“两书一函”（约谈通知书、整改通知书和提醒敦促函）；是否存在未落实党政机关过紧日子相关要求等情况。每有一个问题点扣</w:t>
            </w:r>
            <w:r>
              <w:rPr>
                <w:rFonts w:hint="default" w:ascii="Times New Roman" w:hAnsi="Times New Roman" w:eastAsia="宋体" w:cs="Times New Roman"/>
                <w:i w:val="0"/>
                <w:iCs w:val="0"/>
                <w:color w:val="000000"/>
                <w:kern w:val="0"/>
                <w:sz w:val="21"/>
                <w:szCs w:val="21"/>
                <w:lang w:val="en-US" w:eastAsia="zh-CN"/>
              </w:rPr>
              <w:t>0</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分，扣完为止。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1380B">
            <w:pPr>
              <w:keepNext w:val="0"/>
              <w:keepLines w:val="0"/>
              <w:widowControl/>
              <w:suppressLineNumbers w:val="0"/>
              <w:autoSpaceDE w:val="0"/>
              <w:autoSpaceDN/>
              <w:spacing w:before="0" w:beforeAutospacing="0" w:after="0" w:afterAutospacing="0" w:line="270" w:lineRule="exact"/>
              <w:ind w:left="0" w:right="0"/>
              <w:jc w:val="both"/>
              <w:rPr>
                <w:rFonts w:hint="eastAsia" w:ascii="宋体" w:hAnsi="宋体" w:eastAsia="宋体" w:cs="宋体"/>
                <w:i w:val="0"/>
                <w:iCs w:val="0"/>
                <w:color w:val="000000"/>
                <w:kern w:val="2"/>
                <w:sz w:val="21"/>
                <w:szCs w:val="21"/>
              </w:rPr>
            </w:pPr>
          </w:p>
        </w:tc>
      </w:tr>
      <w:tr w14:paraId="1D78B6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087" w:type="pct"/>
            <w:gridSpan w:val="3"/>
            <w:vMerge w:val="continue"/>
            <w:tcBorders>
              <w:top w:val="nil"/>
              <w:left w:val="single" w:color="000000" w:sz="4" w:space="0"/>
              <w:bottom w:val="single" w:color="000000" w:sz="4" w:space="0"/>
              <w:right w:val="single" w:color="000000" w:sz="4" w:space="0"/>
            </w:tcBorders>
            <w:shd w:val="clear" w:color="auto" w:fill="auto"/>
            <w:vAlign w:val="center"/>
          </w:tcPr>
          <w:p w14:paraId="53E5D31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0C317">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2</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0CC1C">
            <w:pPr>
              <w:keepNext w:val="0"/>
              <w:keepLines w:val="0"/>
              <w:widowControl/>
              <w:suppressLineNumbers w:val="0"/>
              <w:autoSpaceDE w:val="0"/>
              <w:autoSpaceDN/>
              <w:spacing w:before="0" w:beforeAutospacing="0" w:after="0" w:afterAutospacing="0" w:line="31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被评价单位配合评价工作情况。</w:t>
            </w:r>
          </w:p>
        </w:tc>
        <w:tc>
          <w:tcPr>
            <w:tcW w:w="20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85875">
            <w:pPr>
              <w:keepNext w:val="0"/>
              <w:keepLines w:val="0"/>
              <w:widowControl/>
              <w:suppressLineNumbers w:val="0"/>
              <w:autoSpaceDE w:val="0"/>
              <w:autoSpaceDN/>
              <w:spacing w:before="0" w:beforeAutospacing="0" w:after="0" w:afterAutospacing="0" w:line="330" w:lineRule="exact"/>
              <w:ind w:left="0" w:right="0"/>
              <w:jc w:val="left"/>
              <w:textAlignment w:val="center"/>
              <w:rPr>
                <w:rFonts w:hint="eastAsia" w:ascii="宋体" w:hAnsi="宋体" w:eastAsia="宋体" w:cs="宋体"/>
                <w:i w:val="0"/>
                <w:iCs w:val="0"/>
                <w:color w:val="000000"/>
                <w:kern w:val="2"/>
                <w:sz w:val="21"/>
                <w:szCs w:val="21"/>
              </w:rPr>
            </w:pPr>
            <w:r>
              <w:rPr>
                <w:rFonts w:hint="eastAsia" w:ascii="宋体" w:hAnsi="宋体" w:eastAsia="宋体" w:cs="宋体"/>
                <w:i w:val="0"/>
                <w:iCs w:val="0"/>
                <w:color w:val="000000"/>
                <w:kern w:val="0"/>
                <w:sz w:val="21"/>
                <w:szCs w:val="21"/>
                <w:lang w:val="en-US" w:eastAsia="zh-CN"/>
              </w:rPr>
              <w:t>财政重点绩效评价工作开展过程中，评价组发现被评价对象拖延推诿、提交资料不及时等拒不配合评价工作的，经报财政局复核确认后按</w:t>
            </w:r>
            <w:r>
              <w:rPr>
                <w:rFonts w:hint="default" w:ascii="Times New Roman" w:hAnsi="Times New Roman" w:eastAsia="宋体" w:cs="Times New Roman"/>
                <w:i w:val="0"/>
                <w:iCs w:val="0"/>
                <w:color w:val="000000"/>
                <w:kern w:val="0"/>
                <w:sz w:val="21"/>
                <w:szCs w:val="21"/>
                <w:lang w:val="en-US" w:eastAsia="zh-CN"/>
              </w:rPr>
              <w:t>0</w:t>
            </w:r>
            <w:r>
              <w:rPr>
                <w:rFonts w:hint="eastAsia" w:ascii="宋体" w:hAnsi="宋体" w:eastAsia="宋体" w:cs="宋体"/>
                <w:i w:val="0"/>
                <w:iCs w:val="0"/>
                <w:color w:val="000000"/>
                <w:kern w:val="0"/>
                <w:sz w:val="21"/>
                <w:szCs w:val="21"/>
                <w:lang w:val="en-US" w:eastAsia="zh-CN"/>
              </w:rPr>
              <w:t>.</w:t>
            </w:r>
            <w:r>
              <w:rPr>
                <w:rFonts w:hint="default" w:ascii="Times New Roman" w:hAnsi="Times New Roman" w:eastAsia="宋体" w:cs="Times New Roman"/>
                <w:i w:val="0"/>
                <w:iCs w:val="0"/>
                <w:color w:val="000000"/>
                <w:kern w:val="0"/>
                <w:sz w:val="21"/>
                <w:szCs w:val="21"/>
                <w:lang w:val="en-US" w:eastAsia="zh-CN"/>
              </w:rPr>
              <w:t>5</w:t>
            </w:r>
            <w:r>
              <w:rPr>
                <w:rFonts w:hint="eastAsia" w:ascii="宋体" w:hAnsi="宋体" w:eastAsia="宋体" w:cs="宋体"/>
                <w:i w:val="0"/>
                <w:iCs w:val="0"/>
                <w:color w:val="000000"/>
                <w:kern w:val="0"/>
                <w:sz w:val="21"/>
                <w:szCs w:val="21"/>
                <w:lang w:val="en-US" w:eastAsia="zh-CN"/>
              </w:rPr>
              <w:t>分/次予以扣分，扣完为止。</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A09B0">
            <w:pPr>
              <w:keepNext w:val="0"/>
              <w:keepLines w:val="0"/>
              <w:widowControl/>
              <w:suppressLineNumbers w:val="0"/>
              <w:autoSpaceDE w:val="0"/>
              <w:autoSpaceDN/>
              <w:spacing w:before="0" w:beforeAutospacing="0" w:after="0" w:afterAutospacing="0" w:line="270" w:lineRule="exact"/>
              <w:ind w:left="0" w:right="0"/>
              <w:jc w:val="both"/>
              <w:rPr>
                <w:rFonts w:hint="eastAsia" w:ascii="宋体" w:hAnsi="宋体" w:eastAsia="宋体" w:cs="宋体"/>
                <w:i w:val="0"/>
                <w:iCs w:val="0"/>
                <w:color w:val="000000"/>
                <w:kern w:val="2"/>
                <w:sz w:val="21"/>
                <w:szCs w:val="21"/>
              </w:rPr>
            </w:pPr>
          </w:p>
        </w:tc>
      </w:tr>
      <w:tr w14:paraId="722478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471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09454BC">
            <w:pPr>
              <w:keepNext w:val="0"/>
              <w:keepLines w:val="0"/>
              <w:widowControl/>
              <w:suppressLineNumbers w:val="0"/>
              <w:autoSpaceDE w:val="0"/>
              <w:autoSpaceDN/>
              <w:spacing w:before="0" w:beforeAutospacing="0" w:after="0" w:afterAutospacing="0" w:line="310" w:lineRule="exact"/>
              <w:ind w:left="0" w:right="0"/>
              <w:jc w:val="center"/>
              <w:textAlignment w:val="center"/>
              <w:rPr>
                <w:rFonts w:hint="eastAsia" w:ascii="宋体" w:hAnsi="宋体" w:eastAsia="宋体" w:cs="宋体"/>
                <w:b/>
                <w:bCs/>
                <w:i w:val="0"/>
                <w:iCs w:val="0"/>
                <w:color w:val="000000"/>
                <w:kern w:val="2"/>
                <w:sz w:val="21"/>
                <w:szCs w:val="21"/>
              </w:rPr>
            </w:pPr>
            <w:r>
              <w:rPr>
                <w:rFonts w:hint="eastAsia" w:ascii="宋体" w:hAnsi="宋体" w:eastAsia="宋体" w:cs="宋体"/>
                <w:b/>
                <w:bCs/>
                <w:i w:val="0"/>
                <w:iCs w:val="0"/>
                <w:color w:val="000000"/>
                <w:kern w:val="0"/>
                <w:sz w:val="21"/>
                <w:szCs w:val="21"/>
                <w:lang w:val="en-US" w:eastAsia="zh-CN"/>
              </w:rPr>
              <w:t>合计</w:t>
            </w:r>
          </w:p>
        </w:tc>
        <w:tc>
          <w:tcPr>
            <w:tcW w:w="2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3CA86">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1"/>
                <w:szCs w:val="21"/>
              </w:rPr>
            </w:pPr>
            <w:r>
              <w:rPr>
                <w:rFonts w:hint="default" w:ascii="Times New Roman" w:hAnsi="Times New Roman" w:eastAsia="宋体" w:cs="Times New Roman"/>
                <w:i w:val="0"/>
                <w:iCs w:val="0"/>
                <w:color w:val="000000"/>
                <w:kern w:val="0"/>
                <w:sz w:val="21"/>
                <w:szCs w:val="21"/>
                <w:lang w:val="en-US" w:eastAsia="zh-CN"/>
              </w:rPr>
              <w:t>98</w:t>
            </w:r>
          </w:p>
        </w:tc>
      </w:tr>
    </w:tbl>
    <w:p w14:paraId="49BA74CE">
      <w:pPr>
        <w:keepNext/>
        <w:keepLines/>
        <w:kinsoku/>
        <w:wordWrap/>
        <w:autoSpaceDE w:val="0"/>
        <w:autoSpaceDN w:val="0"/>
        <w:bidi w:val="0"/>
        <w:adjustRightInd w:val="0"/>
        <w:spacing w:beforeLines="0" w:afterLines="0" w:line="576" w:lineRule="exact"/>
        <w:jc w:val="both"/>
        <w:textAlignment w:val="auto"/>
        <w:rPr>
          <w:rFonts w:hint="eastAsia" w:ascii="仿宋_GB2312" w:hAnsi="仿宋_GB2312" w:eastAsia="仿宋_GB2312"/>
          <w:kern w:val="2"/>
          <w:sz w:val="32"/>
          <w:szCs w:val="24"/>
        </w:rPr>
      </w:pPr>
    </w:p>
    <w:p w14:paraId="5D87B02C">
      <w:pPr>
        <w:rPr>
          <w:rFonts w:hint="eastAsia" w:ascii="仿宋_GB2312" w:hAnsi="仿宋_GB2312" w:eastAsia="仿宋_GB2312"/>
          <w:kern w:val="2"/>
          <w:sz w:val="32"/>
          <w:szCs w:val="24"/>
        </w:rPr>
      </w:pPr>
      <w:r>
        <w:br w:type="page"/>
      </w:r>
    </w:p>
    <w:p w14:paraId="5B72F1F4">
      <w:pPr>
        <w:keepNext/>
        <w:keepLines/>
        <w:kinsoku/>
        <w:wordWrap/>
        <w:autoSpaceDE w:val="0"/>
        <w:autoSpaceDN w:val="0"/>
        <w:bidi w:val="0"/>
        <w:adjustRightInd w:val="0"/>
        <w:spacing w:beforeLines="0" w:afterLines="0" w:line="576" w:lineRule="exact"/>
        <w:jc w:val="both"/>
        <w:textAlignment w:val="auto"/>
        <w:rPr>
          <w:rFonts w:hint="eastAsia" w:ascii="仿宋_GB2312" w:hAnsi="仿宋_GB2312" w:eastAsia="仿宋_GB2312"/>
          <w:kern w:val="2"/>
          <w:sz w:val="32"/>
          <w:szCs w:val="24"/>
        </w:rPr>
      </w:pPr>
      <w:r>
        <w:rPr>
          <w:rFonts w:hint="eastAsia" w:ascii="仿宋_GB2312" w:hAnsi="仿宋_GB2312" w:eastAsia="仿宋_GB2312"/>
          <w:kern w:val="2"/>
          <w:sz w:val="32"/>
          <w:szCs w:val="24"/>
        </w:rPr>
        <w:t>附表：部门预算项目支出绩效自评表（2023年度）</w:t>
      </w:r>
    </w:p>
    <w:p w14:paraId="784C8136">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宋体" w:hAnsi="宋体" w:eastAsia="宋体" w:cs="宋体"/>
          <w:b w:val="0"/>
          <w:bCs w:val="0"/>
          <w:i w:val="0"/>
          <w:iCs w:val="0"/>
          <w:color w:val="000000"/>
          <w:sz w:val="30"/>
          <w:szCs w:val="30"/>
          <w:u w:val="none"/>
        </w:rPr>
      </w:pPr>
      <w:r>
        <w:rPr>
          <w:rFonts w:hint="eastAsia" w:ascii="宋体" w:hAnsi="宋体" w:eastAsia="宋体" w:cs="宋体"/>
          <w:b w:val="0"/>
          <w:bCs w:val="0"/>
          <w:i w:val="0"/>
          <w:iCs w:val="0"/>
          <w:color w:val="000000"/>
          <w:kern w:val="0"/>
          <w:sz w:val="30"/>
          <w:szCs w:val="30"/>
          <w:u w:val="none"/>
          <w:lang w:val="en-US" w:eastAsia="zh-CN"/>
        </w:rPr>
        <w:t>广元市昭化区财政项目（政策）支出绩效自评表</w:t>
      </w:r>
    </w:p>
    <w:tbl>
      <w:tblPr>
        <w:tblStyle w:val="13"/>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4"/>
        <w:gridCol w:w="852"/>
        <w:gridCol w:w="1129"/>
        <w:gridCol w:w="1140"/>
        <w:gridCol w:w="1770"/>
        <w:gridCol w:w="1380"/>
        <w:gridCol w:w="1320"/>
        <w:gridCol w:w="1233"/>
      </w:tblGrid>
      <w:tr w14:paraId="4C759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9588" w:type="dxa"/>
            <w:gridSpan w:val="8"/>
            <w:tcBorders>
              <w:top w:val="nil"/>
              <w:left w:val="nil"/>
              <w:bottom w:val="nil"/>
              <w:right w:val="nil"/>
            </w:tcBorders>
            <w:shd w:val="clear" w:color="auto" w:fill="auto"/>
            <w:vAlign w:val="top"/>
          </w:tcPr>
          <w:p w14:paraId="05307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val="0"/>
                <w:bCs w:val="0"/>
                <w:i w:val="0"/>
                <w:iCs w:val="0"/>
                <w:color w:val="000000"/>
                <w:kern w:val="0"/>
                <w:sz w:val="24"/>
                <w:szCs w:val="24"/>
                <w:u w:val="none"/>
                <w:lang w:val="en-US" w:eastAsia="zh-CN"/>
              </w:rPr>
              <w:t>（2023年度）</w:t>
            </w:r>
          </w:p>
        </w:tc>
      </w:tr>
      <w:tr w14:paraId="4F187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2"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A78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7972"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E944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办公室运行工作经费</w:t>
            </w:r>
          </w:p>
        </w:tc>
      </w:tr>
      <w:tr w14:paraId="20613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2"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7B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403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8A6F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5E0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B8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r>
      <w:tr w14:paraId="64F06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jc w:val="center"/>
        </w:trPr>
        <w:tc>
          <w:tcPr>
            <w:tcW w:w="1616"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2C556B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269" w:type="dxa"/>
            <w:gridSpan w:val="2"/>
            <w:tcBorders>
              <w:top w:val="nil"/>
              <w:left w:val="single" w:color="000000" w:sz="4" w:space="0"/>
              <w:bottom w:val="single" w:color="000000" w:sz="4" w:space="0"/>
              <w:right w:val="single" w:color="000000" w:sz="4" w:space="0"/>
            </w:tcBorders>
            <w:shd w:val="clear" w:color="auto" w:fill="auto"/>
            <w:vAlign w:val="center"/>
          </w:tcPr>
          <w:p w14:paraId="064E51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年度预算数（万元）</w:t>
            </w:r>
          </w:p>
        </w:tc>
        <w:tc>
          <w:tcPr>
            <w:tcW w:w="1770" w:type="dxa"/>
            <w:tcBorders>
              <w:top w:val="nil"/>
              <w:left w:val="single" w:color="000000" w:sz="4" w:space="0"/>
              <w:bottom w:val="single" w:color="000000" w:sz="4" w:space="0"/>
              <w:right w:val="single" w:color="000000" w:sz="4" w:space="0"/>
            </w:tcBorders>
            <w:shd w:val="clear" w:color="auto" w:fill="auto"/>
            <w:vAlign w:val="center"/>
          </w:tcPr>
          <w:p w14:paraId="56FD92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380" w:type="dxa"/>
            <w:tcBorders>
              <w:top w:val="nil"/>
              <w:left w:val="single" w:color="000000" w:sz="4" w:space="0"/>
              <w:bottom w:val="single" w:color="000000" w:sz="4" w:space="0"/>
              <w:right w:val="single" w:color="000000" w:sz="4" w:space="0"/>
            </w:tcBorders>
            <w:shd w:val="clear" w:color="auto" w:fill="auto"/>
            <w:vAlign w:val="center"/>
          </w:tcPr>
          <w:p w14:paraId="2018D9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全年预算数</w:t>
            </w:r>
          </w:p>
        </w:tc>
        <w:tc>
          <w:tcPr>
            <w:tcW w:w="1320" w:type="dxa"/>
            <w:tcBorders>
              <w:top w:val="nil"/>
              <w:left w:val="single" w:color="000000" w:sz="4" w:space="0"/>
              <w:bottom w:val="single" w:color="000000" w:sz="4" w:space="0"/>
              <w:right w:val="single" w:color="000000" w:sz="4" w:space="0"/>
            </w:tcBorders>
            <w:shd w:val="clear" w:color="auto" w:fill="auto"/>
            <w:vAlign w:val="center"/>
          </w:tcPr>
          <w:p w14:paraId="31BC7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233" w:type="dxa"/>
            <w:tcBorders>
              <w:top w:val="nil"/>
              <w:left w:val="single" w:color="000000" w:sz="4" w:space="0"/>
              <w:bottom w:val="single" w:color="000000" w:sz="4" w:space="0"/>
              <w:right w:val="single" w:color="000000" w:sz="4" w:space="0"/>
            </w:tcBorders>
            <w:shd w:val="clear" w:color="auto" w:fill="auto"/>
            <w:vAlign w:val="center"/>
          </w:tcPr>
          <w:p w14:paraId="353E68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040DE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7461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674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7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64F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912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w:t>
            </w:r>
          </w:p>
        </w:tc>
        <w:tc>
          <w:tcPr>
            <w:tcW w:w="1233" w:type="dxa"/>
            <w:tcBorders>
              <w:top w:val="nil"/>
              <w:left w:val="single" w:color="000000" w:sz="4" w:space="0"/>
              <w:bottom w:val="single" w:color="000000" w:sz="4" w:space="0"/>
              <w:right w:val="single" w:color="000000" w:sz="4" w:space="0"/>
            </w:tcBorders>
            <w:shd w:val="clear" w:color="auto" w:fill="auto"/>
            <w:vAlign w:val="center"/>
          </w:tcPr>
          <w:p w14:paraId="3C0FF1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rPr>
              <w:t>100%</w:t>
            </w:r>
          </w:p>
        </w:tc>
      </w:tr>
      <w:tr w14:paraId="27E10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2"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B04B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23B8E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2D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56D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8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F2F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rPr>
              <w:t>100%</w:t>
            </w:r>
          </w:p>
        </w:tc>
      </w:tr>
      <w:tr w14:paraId="2F574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2"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A7FB8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BACF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1.一般公共预算</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8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9E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4699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E3E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rPr>
              <w:t>100%</w:t>
            </w:r>
          </w:p>
        </w:tc>
      </w:tr>
      <w:tr w14:paraId="1C94D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2"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23543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8E93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2.政府性基金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98B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3A1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81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89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r>
      <w:tr w14:paraId="39557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EDE6D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9E32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3.国有资本经营预算</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1EB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04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8DB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84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r>
      <w:tr w14:paraId="330F6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DDD8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91E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7B8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F70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4ED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0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r>
      <w:tr w14:paraId="7A8E1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61AC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48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2BCF0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58ECC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全年实际完成情况</w:t>
            </w:r>
          </w:p>
        </w:tc>
      </w:tr>
      <w:tr w14:paraId="4596A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0C23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rPr>
                <w:rFonts w:hint="eastAsia" w:ascii="宋体" w:hAnsi="宋体" w:eastAsia="宋体" w:cs="宋体"/>
                <w:i w:val="0"/>
                <w:iCs w:val="0"/>
                <w:color w:val="000000"/>
                <w:sz w:val="18"/>
                <w:szCs w:val="18"/>
                <w:u w:val="none"/>
              </w:rPr>
            </w:pPr>
          </w:p>
        </w:tc>
        <w:tc>
          <w:tcPr>
            <w:tcW w:w="489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F9443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紧紧围绕区委中心工作，做好机关公文处理、督查督办、党内法规、党委信息、文秘调研、档案管理、网络管理、培训宣传、能力提升等，保证机关工作正常有序开展，努力提升工作质量和效率。</w:t>
            </w:r>
          </w:p>
        </w:tc>
        <w:tc>
          <w:tcPr>
            <w:tcW w:w="3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8585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全面完成</w:t>
            </w:r>
          </w:p>
        </w:tc>
      </w:tr>
      <w:tr w14:paraId="4781F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B524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绩效</w:t>
            </w:r>
          </w:p>
          <w:p w14:paraId="00A30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58E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一级指标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E9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二级指标</w:t>
            </w:r>
          </w:p>
        </w:tc>
        <w:tc>
          <w:tcPr>
            <w:tcW w:w="29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3289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三级指标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6D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年度指标值</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1AE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实际完成值</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9B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偏差原因分析及改进措施</w:t>
            </w:r>
          </w:p>
        </w:tc>
      </w:tr>
      <w:tr w14:paraId="7EA03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F85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4938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产出指标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4AF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0CF19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5D7B5F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开展培训次数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51CDC">
            <w:pPr>
              <w:keepNext w:val="0"/>
              <w:keepLines w:val="0"/>
              <w:pageBreakBefore w:val="0"/>
              <w:widowControl/>
              <w:suppressLineNumbers w:val="0"/>
              <w:tabs>
                <w:tab w:val="left" w:pos="498"/>
              </w:tabs>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≥10次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AA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63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无</w:t>
            </w:r>
          </w:p>
        </w:tc>
      </w:tr>
      <w:tr w14:paraId="458DB5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5B2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11D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456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质量指标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4C42A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18C95F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pacing w:val="-6"/>
                <w:kern w:val="0"/>
                <w:sz w:val="18"/>
                <w:szCs w:val="18"/>
                <w:u w:val="none"/>
                <w:lang w:val="en-US" w:eastAsia="zh-CN"/>
              </w:rPr>
              <w:t>参训人员考试达标率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A2C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4899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A6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61DB5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05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F03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C14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时效指标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4471A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673059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完成时间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079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1年</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3C3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916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21AA0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1A0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8B78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168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成本指标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23EE6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3E16F4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预算资金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ABD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≤61.21万元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B45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61.21万元</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F23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4C91E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9C8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0599D8">
            <w:pPr>
              <w:keepNext w:val="0"/>
              <w:keepLines w:val="0"/>
              <w:pageBreakBefore w:val="0"/>
              <w:widowControl/>
              <w:suppressLineNumbers w:val="0"/>
              <w:tabs>
                <w:tab w:val="left" w:pos="244"/>
              </w:tabs>
              <w:kinsoku/>
              <w:wordWrap/>
              <w:overflowPunct/>
              <w:topLinePunct w:val="0"/>
              <w:autoSpaceDE/>
              <w:autoSpaceDN/>
              <w:bidi w:val="0"/>
              <w:adjustRightInd/>
              <w:snapToGrid/>
              <w:spacing w:before="0" w:beforeAutospacing="0" w:after="0" w:afterAutospacing="0" w:line="240" w:lineRule="exact"/>
              <w:ind w:left="0" w:right="0"/>
              <w:jc w:val="left"/>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效益指标</w:t>
            </w: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A27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社会效益</w:t>
            </w:r>
          </w:p>
          <w:p w14:paraId="36875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3634E7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01C735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确保各项工作高效</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7B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定性</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EF4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优</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FB7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00E5AD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B52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F7B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516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2D89E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指标2：</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3E3D2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办文办会失误率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CA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≤5%</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6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5%</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E8F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063DF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5B4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A4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满意度</w:t>
            </w:r>
          </w:p>
          <w:p w14:paraId="1E81D6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B5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服务对象满意度指标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500F4B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3B44A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干部群众对办公室工作的满意度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06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rPr>
              <w:t>≥99%</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D1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5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bl>
    <w:p w14:paraId="0AAF420A">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宋体" w:hAnsi="宋体" w:eastAsia="宋体" w:cs="宋体"/>
          <w:i w:val="0"/>
          <w:iCs w:val="0"/>
          <w:color w:val="000000"/>
          <w:spacing w:val="-11"/>
          <w:sz w:val="32"/>
          <w:szCs w:val="32"/>
          <w:u w:val="none"/>
        </w:rPr>
      </w:pPr>
      <w:r>
        <w:rPr>
          <w:rFonts w:hint="eastAsia" w:ascii="宋体" w:hAnsi="宋体" w:eastAsia="宋体" w:cs="宋体"/>
          <w:i w:val="0"/>
          <w:iCs w:val="0"/>
          <w:color w:val="000000"/>
          <w:spacing w:val="-11"/>
          <w:kern w:val="0"/>
          <w:sz w:val="32"/>
          <w:szCs w:val="32"/>
          <w:u w:val="none"/>
          <w:lang w:val="en-US" w:eastAsia="zh-CN"/>
        </w:rPr>
        <w:t>广元市昭化区财政项目（政策）支出绩效自评表</w:t>
      </w:r>
    </w:p>
    <w:p w14:paraId="2881FD50">
      <w:pPr>
        <w:keepNext w:val="0"/>
        <w:keepLines w:val="0"/>
        <w:widowControl/>
        <w:suppressLineNumbers w:val="0"/>
        <w:jc w:val="center"/>
        <w:textAlignment w:val="top"/>
        <w:rPr>
          <w:rFonts w:hint="eastAsia" w:asciiTheme="minorEastAsia" w:hAnsiTheme="minorEastAsia" w:eastAsiaTheme="minorEastAsia" w:cstheme="minorEastAsia"/>
          <w:b w:val="0"/>
          <w:bCs w:val="0"/>
          <w:i w:val="0"/>
          <w:iCs w:val="0"/>
          <w:color w:val="000000"/>
          <w:sz w:val="21"/>
          <w:szCs w:val="21"/>
          <w:u w:val="none"/>
        </w:rPr>
      </w:pPr>
      <w:r>
        <w:rPr>
          <w:rFonts w:hint="eastAsia" w:asciiTheme="minorEastAsia" w:hAnsiTheme="minorEastAsia" w:eastAsiaTheme="minorEastAsia" w:cstheme="minorEastAsia"/>
          <w:b w:val="0"/>
          <w:bCs w:val="0"/>
          <w:i w:val="0"/>
          <w:iCs w:val="0"/>
          <w:color w:val="000000"/>
          <w:kern w:val="0"/>
          <w:sz w:val="21"/>
          <w:szCs w:val="21"/>
          <w:u w:val="none"/>
          <w:lang w:val="en-US" w:eastAsia="zh-CN"/>
        </w:rPr>
        <w:t>（2023年度）</w:t>
      </w:r>
    </w:p>
    <w:tbl>
      <w:tblPr>
        <w:tblStyle w:val="13"/>
        <w:tblW w:w="97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3"/>
        <w:gridCol w:w="852"/>
        <w:gridCol w:w="1129"/>
        <w:gridCol w:w="1140"/>
        <w:gridCol w:w="2038"/>
        <w:gridCol w:w="1208"/>
        <w:gridCol w:w="1281"/>
        <w:gridCol w:w="1313"/>
      </w:tblGrid>
      <w:tr w14:paraId="5E92D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8AA9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81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5437B3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全委会、全委扩大会、区委常委会、全区办公室主任会、全面深化改革会、国安工作会、各类业务培训等会议经费</w:t>
            </w:r>
          </w:p>
        </w:tc>
      </w:tr>
      <w:tr w14:paraId="6CEB3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jc w:val="center"/>
        </w:trPr>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F38D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43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3142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DCD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25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C75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24"/>
                <w:szCs w:val="24"/>
                <w:u w:val="none"/>
              </w:rPr>
            </w:pPr>
          </w:p>
        </w:tc>
      </w:tr>
      <w:tr w14:paraId="57506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377335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269" w:type="dxa"/>
            <w:gridSpan w:val="2"/>
            <w:tcBorders>
              <w:top w:val="nil"/>
              <w:left w:val="single" w:color="000000" w:sz="4" w:space="0"/>
              <w:bottom w:val="single" w:color="000000" w:sz="4" w:space="0"/>
              <w:right w:val="single" w:color="000000" w:sz="4" w:space="0"/>
            </w:tcBorders>
            <w:shd w:val="clear" w:color="auto" w:fill="auto"/>
            <w:vAlign w:val="center"/>
          </w:tcPr>
          <w:p w14:paraId="3F6BF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年度预算数（万元）</w:t>
            </w:r>
          </w:p>
        </w:tc>
        <w:tc>
          <w:tcPr>
            <w:tcW w:w="2038" w:type="dxa"/>
            <w:tcBorders>
              <w:top w:val="nil"/>
              <w:left w:val="single" w:color="000000" w:sz="4" w:space="0"/>
              <w:bottom w:val="single" w:color="000000" w:sz="4" w:space="0"/>
              <w:right w:val="single" w:color="000000" w:sz="4" w:space="0"/>
            </w:tcBorders>
            <w:shd w:val="clear" w:color="auto" w:fill="auto"/>
            <w:vAlign w:val="center"/>
          </w:tcPr>
          <w:p w14:paraId="61045C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208" w:type="dxa"/>
            <w:tcBorders>
              <w:top w:val="nil"/>
              <w:left w:val="single" w:color="000000" w:sz="4" w:space="0"/>
              <w:bottom w:val="single" w:color="000000" w:sz="4" w:space="0"/>
              <w:right w:val="single" w:color="000000" w:sz="4" w:space="0"/>
            </w:tcBorders>
            <w:shd w:val="clear" w:color="auto" w:fill="auto"/>
            <w:vAlign w:val="center"/>
          </w:tcPr>
          <w:p w14:paraId="12DCB6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全年预算数</w:t>
            </w:r>
          </w:p>
        </w:tc>
        <w:tc>
          <w:tcPr>
            <w:tcW w:w="1281" w:type="dxa"/>
            <w:tcBorders>
              <w:top w:val="nil"/>
              <w:left w:val="single" w:color="000000" w:sz="4" w:space="0"/>
              <w:bottom w:val="single" w:color="000000" w:sz="4" w:space="0"/>
              <w:right w:val="single" w:color="000000" w:sz="4" w:space="0"/>
            </w:tcBorders>
            <w:shd w:val="clear" w:color="auto" w:fill="auto"/>
            <w:vAlign w:val="center"/>
          </w:tcPr>
          <w:p w14:paraId="7FF733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313" w:type="dxa"/>
            <w:tcBorders>
              <w:top w:val="nil"/>
              <w:left w:val="single" w:color="000000" w:sz="4" w:space="0"/>
              <w:bottom w:val="single" w:color="000000" w:sz="4" w:space="0"/>
              <w:right w:val="single" w:color="000000" w:sz="4" w:space="0"/>
            </w:tcBorders>
            <w:shd w:val="clear" w:color="auto" w:fill="auto"/>
            <w:vAlign w:val="center"/>
          </w:tcPr>
          <w:p w14:paraId="5B09A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70A93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9202F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9641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A2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CF6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87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p>
        </w:tc>
        <w:tc>
          <w:tcPr>
            <w:tcW w:w="1313" w:type="dxa"/>
            <w:tcBorders>
              <w:top w:val="nil"/>
              <w:left w:val="single" w:color="000000" w:sz="4" w:space="0"/>
              <w:bottom w:val="single" w:color="000000" w:sz="4" w:space="0"/>
              <w:right w:val="single" w:color="000000" w:sz="4" w:space="0"/>
            </w:tcBorders>
            <w:shd w:val="clear" w:color="auto" w:fill="auto"/>
            <w:vAlign w:val="center"/>
          </w:tcPr>
          <w:p w14:paraId="766CF7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2F01C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159256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08C6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61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4D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51E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5FA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2F2DA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8EAFE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0EBA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.一般公共预算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3B7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F07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77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27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4FAD5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E3BE1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BEEA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.政府性基金</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345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EF2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97E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394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r>
      <w:tr w14:paraId="206BC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63902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F142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3</w:t>
            </w:r>
            <w:r>
              <w:rPr>
                <w:rFonts w:hint="eastAsia" w:ascii="宋体" w:hAnsi="宋体" w:eastAsia="宋体" w:cs="宋体"/>
                <w:i w:val="0"/>
                <w:iCs w:val="0"/>
                <w:color w:val="000000"/>
                <w:kern w:val="0"/>
                <w:sz w:val="18"/>
                <w:szCs w:val="18"/>
                <w:u w:val="none"/>
                <w:lang w:val="en-US" w:eastAsia="zh-CN"/>
              </w:rPr>
              <w:t>.国有资本经营预算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DB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left"/>
              <w:rPr>
                <w:rFonts w:hint="eastAsia" w:ascii="宋体" w:hAnsi="宋体" w:eastAsia="宋体" w:cs="宋体"/>
                <w:i w:val="0"/>
                <w:iCs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396E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B9E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DE7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r>
      <w:tr w14:paraId="4AE89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 w:hRule="atLeast"/>
          <w:jc w:val="center"/>
        </w:trPr>
        <w:tc>
          <w:tcPr>
            <w:tcW w:w="1615"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62FBA1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3EA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F02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left"/>
              <w:rPr>
                <w:rFonts w:hint="eastAsia" w:ascii="宋体" w:hAnsi="宋体" w:eastAsia="宋体" w:cs="宋体"/>
                <w:i w:val="0"/>
                <w:iCs w:val="0"/>
                <w:color w:val="000000"/>
                <w:sz w:val="18"/>
                <w:szCs w:val="18"/>
                <w:u w:val="none"/>
              </w:rPr>
            </w:pP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151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F0D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71E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r>
      <w:tr w14:paraId="57EAC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jc w:val="center"/>
        </w:trPr>
        <w:tc>
          <w:tcPr>
            <w:tcW w:w="7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6770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51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FAACC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8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F5BFD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全年实际完成情况</w:t>
            </w:r>
          </w:p>
        </w:tc>
      </w:tr>
      <w:tr w14:paraId="1AA0C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254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51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08A1A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保障各类会议正常召开，各项政策落实落地，推动全区工作正常开展。该资金用于区委常委会、区委常委会（扩大）会议、全委会、全委扩大会、全区办公室工作会、全面深化改革会、国安工作会以及各种业务培训会等各种重要会议的会务组织工作，指导基层部门的会务工作。保证会议召开的质量。</w:t>
            </w:r>
          </w:p>
        </w:tc>
        <w:tc>
          <w:tcPr>
            <w:tcW w:w="380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069C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全面完成</w:t>
            </w:r>
          </w:p>
        </w:tc>
      </w:tr>
      <w:tr w14:paraId="67FB3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5E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绩效</w:t>
            </w:r>
          </w:p>
          <w:p w14:paraId="3296E9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58C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一级指标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1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二级指标</w:t>
            </w:r>
          </w:p>
        </w:tc>
        <w:tc>
          <w:tcPr>
            <w:tcW w:w="31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2704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三级指标</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2CD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年度指标值</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A7A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实际完成值</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49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偏差原因分析及改进措施</w:t>
            </w:r>
          </w:p>
        </w:tc>
      </w:tr>
      <w:tr w14:paraId="5461E8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DB6D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13DC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产出指标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4F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476FD9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31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Style w:val="27"/>
                <w:lang w:val="en-US" w:eastAsia="zh-CN"/>
              </w:rPr>
              <w:t>全年召开会议次数</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DDB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80</w:t>
            </w:r>
            <w:r>
              <w:rPr>
                <w:rFonts w:hint="eastAsia" w:ascii="宋体" w:hAnsi="宋体" w:eastAsia="宋体" w:cs="宋体"/>
                <w:i w:val="0"/>
                <w:iCs w:val="0"/>
                <w:color w:val="000000"/>
                <w:kern w:val="0"/>
                <w:sz w:val="18"/>
                <w:szCs w:val="18"/>
                <w:u w:val="none"/>
                <w:lang w:val="en-US" w:eastAsia="zh-CN"/>
              </w:rPr>
              <w:t>场次</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04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80</w:t>
            </w:r>
            <w:r>
              <w:rPr>
                <w:rFonts w:hint="eastAsia" w:ascii="宋体" w:hAnsi="宋体" w:eastAsia="宋体" w:cs="宋体"/>
                <w:i w:val="0"/>
                <w:iCs w:val="0"/>
                <w:color w:val="000000"/>
                <w:kern w:val="0"/>
                <w:sz w:val="18"/>
                <w:szCs w:val="18"/>
                <w:u w:val="none"/>
                <w:lang w:val="en-US" w:eastAsia="zh-CN"/>
              </w:rPr>
              <w:t>场次</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F8F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无</w:t>
            </w:r>
          </w:p>
        </w:tc>
      </w:tr>
      <w:tr w14:paraId="68812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8CCE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AD0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029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质量指标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5D4013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4BD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Style w:val="27"/>
                <w:lang w:val="en-US" w:eastAsia="zh-CN"/>
              </w:rPr>
              <w:t>任务完成率</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D3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B6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0B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5E8D2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BD9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685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00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时效指标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13B461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ADC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Style w:val="27"/>
                <w:lang w:val="en-US" w:eastAsia="zh-CN"/>
              </w:rPr>
              <w:t>完成时限</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563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年</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5F0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年</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4F3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29ABF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719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7D6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3DF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成本指标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0CEDCE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CFE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Style w:val="27"/>
                <w:lang w:val="en-US" w:eastAsia="zh-CN"/>
              </w:rPr>
              <w:t>预算资金</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43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r>
              <w:rPr>
                <w:rFonts w:hint="eastAsia" w:ascii="宋体" w:hAnsi="宋体" w:eastAsia="宋体" w:cs="宋体"/>
                <w:i w:val="0"/>
                <w:iCs w:val="0"/>
                <w:color w:val="000000"/>
                <w:kern w:val="0"/>
                <w:sz w:val="18"/>
                <w:szCs w:val="18"/>
                <w:u w:val="none"/>
                <w:lang w:val="en-US" w:eastAsia="zh-CN"/>
              </w:rPr>
              <w:t>万元</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DE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44</w:t>
            </w:r>
            <w:r>
              <w:rPr>
                <w:rFonts w:hint="eastAsia" w:ascii="宋体" w:hAnsi="宋体" w:eastAsia="宋体" w:cs="宋体"/>
                <w:i w:val="0"/>
                <w:iCs w:val="0"/>
                <w:color w:val="000000"/>
                <w:kern w:val="0"/>
                <w:sz w:val="18"/>
                <w:szCs w:val="18"/>
                <w:u w:val="none"/>
                <w:lang w:val="en-US" w:eastAsia="zh-CN"/>
              </w:rPr>
              <w:t>万元</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16B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04AAA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048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873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E025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3FBABF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1B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Style w:val="27"/>
                <w:lang w:val="en-US" w:eastAsia="zh-CN"/>
              </w:rPr>
              <w:t>会务失误情况</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74A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w:t>
            </w:r>
            <w:r>
              <w:rPr>
                <w:rFonts w:hint="eastAsia" w:ascii="宋体" w:hAnsi="宋体" w:eastAsia="宋体" w:cs="宋体"/>
                <w:i w:val="0"/>
                <w:iCs w:val="0"/>
                <w:color w:val="000000"/>
                <w:kern w:val="0"/>
                <w:sz w:val="18"/>
                <w:szCs w:val="18"/>
                <w:u w:val="none"/>
                <w:lang w:val="en-US" w:eastAsia="zh-CN"/>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EAB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w:t>
            </w:r>
            <w:r>
              <w:rPr>
                <w:rFonts w:hint="eastAsia" w:ascii="宋体" w:hAnsi="宋体" w:eastAsia="宋体" w:cs="宋体"/>
                <w:i w:val="0"/>
                <w:iCs w:val="0"/>
                <w:color w:val="000000"/>
                <w:kern w:val="0"/>
                <w:sz w:val="18"/>
                <w:szCs w:val="18"/>
                <w:u w:val="none"/>
                <w:lang w:val="en-US" w:eastAsia="zh-CN"/>
              </w:rPr>
              <w:t>%</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27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0B457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D91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D7D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效益指标</w:t>
            </w:r>
          </w:p>
        </w:tc>
        <w:tc>
          <w:tcPr>
            <w:tcW w:w="1129" w:type="dxa"/>
            <w:tcBorders>
              <w:top w:val="single" w:color="000000" w:sz="4" w:space="0"/>
              <w:left w:val="single" w:color="000000" w:sz="4" w:space="0"/>
              <w:bottom w:val="nil"/>
              <w:right w:val="single" w:color="000000" w:sz="4" w:space="0"/>
            </w:tcBorders>
            <w:shd w:val="clear" w:color="auto" w:fill="auto"/>
            <w:vAlign w:val="center"/>
          </w:tcPr>
          <w:p w14:paraId="1A8503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社会效益</w:t>
            </w:r>
          </w:p>
          <w:p w14:paraId="6D39B2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7AA1B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A6D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Style w:val="27"/>
                <w:lang w:val="en-US" w:eastAsia="zh-CN"/>
              </w:rPr>
              <w:t>提高行政运转率</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10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95</w:t>
            </w:r>
            <w:r>
              <w:rPr>
                <w:rFonts w:hint="eastAsia" w:ascii="宋体" w:hAnsi="宋体" w:eastAsia="宋体" w:cs="宋体"/>
                <w:i w:val="0"/>
                <w:iCs w:val="0"/>
                <w:color w:val="000000"/>
                <w:kern w:val="0"/>
                <w:sz w:val="18"/>
                <w:szCs w:val="18"/>
                <w:u w:val="none"/>
                <w:lang w:val="en-US" w:eastAsia="zh-CN"/>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A7F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95</w:t>
            </w:r>
            <w:r>
              <w:rPr>
                <w:rFonts w:hint="eastAsia" w:ascii="宋体" w:hAnsi="宋体" w:eastAsia="宋体" w:cs="宋体"/>
                <w:i w:val="0"/>
                <w:iCs w:val="0"/>
                <w:color w:val="000000"/>
                <w:kern w:val="0"/>
                <w:sz w:val="18"/>
                <w:szCs w:val="18"/>
                <w:u w:val="none"/>
                <w:lang w:val="en-US" w:eastAsia="zh-CN"/>
              </w:rPr>
              <w:t>%</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32D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040D0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003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B49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满意度</w:t>
            </w:r>
          </w:p>
          <w:p w14:paraId="4B56E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36B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服务对象满意度指标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1F49F5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F7F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Style w:val="27"/>
                <w:lang w:val="en-US" w:eastAsia="zh-CN"/>
              </w:rPr>
              <w:t>参会人员满意度</w:t>
            </w:r>
          </w:p>
        </w:tc>
        <w:tc>
          <w:tcPr>
            <w:tcW w:w="12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07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c>
          <w:tcPr>
            <w:tcW w:w="12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59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c>
          <w:tcPr>
            <w:tcW w:w="13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AA3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80" w:lineRule="exact"/>
              <w:ind w:left="-60" w:leftChars="-25" w:right="-60" w:rightChars="-25"/>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bl>
    <w:p w14:paraId="0EFEF95C">
      <w:pPr>
        <w:keepNext w:val="0"/>
        <w:keepLines w:val="0"/>
        <w:pageBreakBefore w:val="0"/>
        <w:widowControl w:val="0"/>
        <w:numPr>
          <w:ilvl w:val="0"/>
          <w:numId w:val="0"/>
        </w:numPr>
        <w:kinsoku/>
        <w:wordWrap/>
        <w:overflowPunct w:val="0"/>
        <w:topLinePunct/>
        <w:autoSpaceDE w:val="0"/>
        <w:autoSpaceDN w:val="0"/>
        <w:bidi w:val="0"/>
        <w:adjustRightInd w:val="0"/>
        <w:snapToGrid/>
        <w:spacing w:beforeLines="0" w:afterLines="0" w:line="240" w:lineRule="exact"/>
        <w:jc w:val="both"/>
        <w:textAlignment w:val="auto"/>
        <w:outlineLvl w:val="9"/>
        <w:rPr>
          <w:rFonts w:hint="eastAsia" w:ascii="黑体" w:hAnsi="黑体" w:eastAsia="黑体"/>
          <w:color w:val="000000"/>
          <w:kern w:val="2"/>
          <w:sz w:val="44"/>
          <w:szCs w:val="24"/>
        </w:rPr>
      </w:pPr>
    </w:p>
    <w:p w14:paraId="5236AA6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rPr>
        <w:t>广元市昭化区财政项目（政策）支出绩效自评表</w:t>
      </w:r>
    </w:p>
    <w:p w14:paraId="27E1BA9D">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 xml:space="preserve">（ </w:t>
      </w:r>
      <w:r>
        <w:rPr>
          <w:rFonts w:hint="eastAsia" w:ascii="Times New Roman" w:hAnsi="Times New Roman" w:eastAsia="宋体" w:cs="宋体"/>
          <w:b/>
          <w:bCs/>
          <w:i w:val="0"/>
          <w:iCs w:val="0"/>
          <w:color w:val="000000"/>
          <w:kern w:val="0"/>
          <w:sz w:val="24"/>
          <w:szCs w:val="24"/>
          <w:u w:val="none"/>
          <w:lang w:val="en-US" w:eastAsia="zh-CN"/>
        </w:rPr>
        <w:t>2023</w:t>
      </w:r>
      <w:r>
        <w:rPr>
          <w:rFonts w:hint="eastAsia" w:ascii="宋体" w:hAnsi="宋体" w:eastAsia="宋体" w:cs="宋体"/>
          <w:b/>
          <w:bCs/>
          <w:i w:val="0"/>
          <w:iCs w:val="0"/>
          <w:color w:val="000000"/>
          <w:kern w:val="0"/>
          <w:sz w:val="24"/>
          <w:szCs w:val="24"/>
          <w:u w:val="none"/>
          <w:lang w:val="en-US" w:eastAsia="zh-CN"/>
        </w:rPr>
        <w:t>年度）</w:t>
      </w:r>
    </w:p>
    <w:tbl>
      <w:tblPr>
        <w:tblStyle w:val="13"/>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75E9F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0DE12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82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87C8F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涉密类工作经费</w:t>
            </w:r>
          </w:p>
        </w:tc>
      </w:tr>
      <w:tr w14:paraId="0591B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BB32B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43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19577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201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D15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r>
      <w:tr w14:paraId="51952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jc w:val="center"/>
        </w:trPr>
        <w:tc>
          <w:tcPr>
            <w:tcW w:w="1616"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641F5E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269" w:type="dxa"/>
            <w:gridSpan w:val="2"/>
            <w:tcBorders>
              <w:top w:val="nil"/>
              <w:left w:val="single" w:color="000000" w:sz="4" w:space="0"/>
              <w:bottom w:val="single" w:color="000000" w:sz="4" w:space="0"/>
              <w:right w:val="single" w:color="000000" w:sz="4" w:space="0"/>
            </w:tcBorders>
            <w:shd w:val="clear" w:color="auto" w:fill="auto"/>
            <w:vAlign w:val="center"/>
          </w:tcPr>
          <w:p w14:paraId="156258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年度预算数（万元）</w:t>
            </w:r>
          </w:p>
        </w:tc>
        <w:tc>
          <w:tcPr>
            <w:tcW w:w="2038" w:type="dxa"/>
            <w:tcBorders>
              <w:top w:val="nil"/>
              <w:left w:val="single" w:color="000000" w:sz="4" w:space="0"/>
              <w:bottom w:val="single" w:color="000000" w:sz="4" w:space="0"/>
              <w:right w:val="single" w:color="000000" w:sz="4" w:space="0"/>
            </w:tcBorders>
            <w:shd w:val="clear" w:color="auto" w:fill="auto"/>
            <w:vAlign w:val="center"/>
          </w:tcPr>
          <w:p w14:paraId="52E963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380" w:type="dxa"/>
            <w:tcBorders>
              <w:top w:val="nil"/>
              <w:left w:val="single" w:color="000000" w:sz="4" w:space="0"/>
              <w:bottom w:val="single" w:color="000000" w:sz="4" w:space="0"/>
              <w:right w:val="single" w:color="000000" w:sz="4" w:space="0"/>
            </w:tcBorders>
            <w:shd w:val="clear" w:color="auto" w:fill="auto"/>
            <w:vAlign w:val="center"/>
          </w:tcPr>
          <w:p w14:paraId="1C2E2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全年预算数</w:t>
            </w:r>
          </w:p>
        </w:tc>
        <w:tc>
          <w:tcPr>
            <w:tcW w:w="1320" w:type="dxa"/>
            <w:tcBorders>
              <w:top w:val="nil"/>
              <w:left w:val="single" w:color="000000" w:sz="4" w:space="0"/>
              <w:bottom w:val="single" w:color="000000" w:sz="4" w:space="0"/>
              <w:right w:val="single" w:color="000000" w:sz="4" w:space="0"/>
            </w:tcBorders>
            <w:shd w:val="clear" w:color="auto" w:fill="auto"/>
            <w:vAlign w:val="center"/>
          </w:tcPr>
          <w:p w14:paraId="3223C2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233" w:type="dxa"/>
            <w:tcBorders>
              <w:top w:val="nil"/>
              <w:left w:val="single" w:color="000000" w:sz="4" w:space="0"/>
              <w:bottom w:val="single" w:color="000000" w:sz="4" w:space="0"/>
              <w:right w:val="single" w:color="000000" w:sz="4" w:space="0"/>
            </w:tcBorders>
            <w:shd w:val="clear" w:color="auto" w:fill="auto"/>
            <w:vAlign w:val="center"/>
          </w:tcPr>
          <w:p w14:paraId="36DA6F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1B792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A24A4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EBA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1D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BFF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2F1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p>
        </w:tc>
        <w:tc>
          <w:tcPr>
            <w:tcW w:w="1233" w:type="dxa"/>
            <w:tcBorders>
              <w:top w:val="nil"/>
              <w:left w:val="single" w:color="000000" w:sz="4" w:space="0"/>
              <w:bottom w:val="single" w:color="000000" w:sz="4" w:space="0"/>
              <w:right w:val="single" w:color="000000" w:sz="4" w:space="0"/>
            </w:tcBorders>
            <w:shd w:val="clear" w:color="auto" w:fill="auto"/>
            <w:vAlign w:val="center"/>
          </w:tcPr>
          <w:p w14:paraId="26EF46F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7259D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A8FF8F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167AC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AA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C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42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76A5F">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1F545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7EAAA5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54697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.一般公共预算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D2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F0A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1E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A111">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3C41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243B0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3F0B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.政府性基金</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54D4">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8058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F3C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759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0DE4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06DA5F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2CE33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3</w:t>
            </w:r>
            <w:r>
              <w:rPr>
                <w:rFonts w:hint="eastAsia" w:ascii="宋体" w:hAnsi="宋体" w:eastAsia="宋体" w:cs="宋体"/>
                <w:i w:val="0"/>
                <w:iCs w:val="0"/>
                <w:color w:val="000000"/>
                <w:kern w:val="0"/>
                <w:sz w:val="18"/>
                <w:szCs w:val="18"/>
                <w:u w:val="none"/>
                <w:lang w:val="en-US" w:eastAsia="zh-CN"/>
              </w:rPr>
              <w:t>.国有资本经营预算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CDC38">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152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CE63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49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3A2B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718C2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E1DEC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9F0FE">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96C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741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CFD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78E0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6A5F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51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139F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FC7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全年实际完成情况</w:t>
            </w:r>
          </w:p>
        </w:tc>
      </w:tr>
      <w:tr w14:paraId="7005D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E304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6841B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承办国安委国安办各类会议，搞好国家安全日、反间谍法、</w:t>
            </w:r>
            <w:r>
              <w:rPr>
                <w:rFonts w:hint="eastAsia" w:ascii="宋体" w:hAnsi="宋体" w:cs="宋体"/>
                <w:i w:val="0"/>
                <w:iCs w:val="0"/>
                <w:color w:val="000000"/>
                <w:kern w:val="0"/>
                <w:sz w:val="18"/>
                <w:szCs w:val="18"/>
                <w:u w:val="none"/>
                <w:lang w:val="en-US" w:eastAsia="zh-CN"/>
              </w:rPr>
              <w:t>法治宣传</w:t>
            </w:r>
            <w:r>
              <w:rPr>
                <w:rFonts w:hint="eastAsia" w:ascii="宋体" w:hAnsi="宋体" w:eastAsia="宋体" w:cs="宋体"/>
                <w:i w:val="0"/>
                <w:iCs w:val="0"/>
                <w:color w:val="000000"/>
                <w:kern w:val="0"/>
                <w:sz w:val="18"/>
                <w:szCs w:val="18"/>
                <w:u w:val="none"/>
                <w:lang w:val="en-US" w:eastAsia="zh-CN"/>
              </w:rPr>
              <w:t>日等活动的氛围营造和宣传；做好保密工作的日常管理、保密文件的销毁、监督检查、宣传教育培训等，确保工作秘密万无一失。</w:t>
            </w:r>
          </w:p>
        </w:tc>
        <w:tc>
          <w:tcPr>
            <w:tcW w:w="3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BD4AF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全面完成</w:t>
            </w:r>
          </w:p>
        </w:tc>
      </w:tr>
      <w:tr w14:paraId="2202D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56E1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绩效</w:t>
            </w:r>
          </w:p>
          <w:p w14:paraId="1EA74C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9BB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一级</w:t>
            </w:r>
          </w:p>
          <w:p w14:paraId="722C6D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8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二级指标</w:t>
            </w:r>
          </w:p>
        </w:tc>
        <w:tc>
          <w:tcPr>
            <w:tcW w:w="31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841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三级指标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04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年度指标值</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DE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实际完成值</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8C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偏差原因分析及改进</w:t>
            </w:r>
          </w:p>
          <w:p w14:paraId="5B67B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措施</w:t>
            </w:r>
          </w:p>
        </w:tc>
      </w:tr>
      <w:tr w14:paraId="37E89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9711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95C9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产出指标</w:t>
            </w: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69B1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179EE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4BAC97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对全区干部职工进行保密培训</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33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5000</w:t>
            </w:r>
            <w:r>
              <w:rPr>
                <w:rFonts w:hint="eastAsia" w:ascii="宋体" w:hAnsi="宋体" w:eastAsia="宋体" w:cs="宋体"/>
                <w:i w:val="0"/>
                <w:iCs w:val="0"/>
                <w:color w:val="000000"/>
                <w:kern w:val="0"/>
                <w:sz w:val="18"/>
                <w:szCs w:val="18"/>
                <w:u w:val="none"/>
                <w:lang w:val="en-US" w:eastAsia="zh-CN"/>
              </w:rPr>
              <w:t>次</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441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5000</w:t>
            </w:r>
            <w:r>
              <w:rPr>
                <w:rFonts w:hint="eastAsia" w:ascii="宋体" w:hAnsi="宋体" w:eastAsia="宋体" w:cs="宋体"/>
                <w:i w:val="0"/>
                <w:iCs w:val="0"/>
                <w:color w:val="000000"/>
                <w:kern w:val="0"/>
                <w:sz w:val="18"/>
                <w:szCs w:val="18"/>
                <w:u w:val="none"/>
                <w:lang w:val="en-US" w:eastAsia="zh-CN"/>
              </w:rPr>
              <w:t>次</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2F6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7A752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588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B01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CA087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58DB227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77C877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印发保密宣传资料</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742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10000</w:t>
            </w:r>
            <w:r>
              <w:rPr>
                <w:rFonts w:hint="eastAsia" w:ascii="宋体" w:hAnsi="宋体" w:eastAsia="宋体" w:cs="宋体"/>
                <w:i w:val="0"/>
                <w:iCs w:val="0"/>
                <w:color w:val="000000"/>
                <w:kern w:val="0"/>
                <w:sz w:val="18"/>
                <w:szCs w:val="18"/>
                <w:u w:val="none"/>
                <w:lang w:val="en-US" w:eastAsia="zh-CN"/>
              </w:rPr>
              <w:t>份</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B5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10000</w:t>
            </w:r>
            <w:r>
              <w:rPr>
                <w:rFonts w:hint="eastAsia" w:ascii="宋体" w:hAnsi="宋体" w:eastAsia="宋体" w:cs="宋体"/>
                <w:i w:val="0"/>
                <w:iCs w:val="0"/>
                <w:color w:val="000000"/>
                <w:kern w:val="0"/>
                <w:sz w:val="18"/>
                <w:szCs w:val="18"/>
                <w:u w:val="none"/>
                <w:lang w:val="en-US" w:eastAsia="zh-CN"/>
              </w:rPr>
              <w:t>份</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CE2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19E67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AEFE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1AE9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B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质量指标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0CDE7F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5CBA5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开展涉密文件销毁工作</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90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定性</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44F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合格</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A8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66A8E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DBA3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224E6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EC40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时效指标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326B523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4A3135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完成时间</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319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年</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88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年</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AB23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无</w:t>
            </w:r>
          </w:p>
        </w:tc>
      </w:tr>
      <w:tr w14:paraId="55415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AB3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A21E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5191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7D0462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77B8D0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spacing w:val="-11"/>
                <w:kern w:val="0"/>
                <w:sz w:val="18"/>
                <w:szCs w:val="18"/>
                <w:u w:val="none"/>
                <w:lang w:val="en-US" w:eastAsia="zh-CN"/>
              </w:rPr>
              <w:t>各项保密工作完成及时率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05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98</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02D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98</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EA9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55D04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B2A1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0E2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68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成本指标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4C3348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6080C3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预算资金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BC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r>
              <w:rPr>
                <w:rFonts w:hint="eastAsia" w:ascii="宋体" w:hAnsi="宋体" w:eastAsia="宋体" w:cs="宋体"/>
                <w:i w:val="0"/>
                <w:iCs w:val="0"/>
                <w:color w:val="000000"/>
                <w:kern w:val="0"/>
                <w:sz w:val="18"/>
                <w:szCs w:val="18"/>
                <w:u w:val="none"/>
                <w:lang w:val="en-US" w:eastAsia="zh-CN"/>
              </w:rPr>
              <w:t>万元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FF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57</w:t>
            </w: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79</w:t>
            </w:r>
            <w:r>
              <w:rPr>
                <w:rFonts w:hint="eastAsia" w:ascii="宋体" w:hAnsi="宋体" w:eastAsia="宋体" w:cs="宋体"/>
                <w:i w:val="0"/>
                <w:iCs w:val="0"/>
                <w:color w:val="000000"/>
                <w:kern w:val="0"/>
                <w:sz w:val="18"/>
                <w:szCs w:val="18"/>
                <w:u w:val="none"/>
                <w:lang w:val="en-US" w:eastAsia="zh-CN"/>
              </w:rPr>
              <w:t>万元</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125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1F8F5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23DF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8BF3C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效益指标</w:t>
            </w: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827D18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社会效益</w:t>
            </w:r>
          </w:p>
          <w:p w14:paraId="5B6E6E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0AA2F4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44AB369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涉密文件限时办结情况</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33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定性</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F9A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优</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CB5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3FE79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7007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4F0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83F1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59AEE1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64B06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保密知识普及率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B9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90</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523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90</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C1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5BC10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9759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C0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满意度</w:t>
            </w:r>
          </w:p>
          <w:p w14:paraId="0F1FF0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CCF9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服务对象满意度指标</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FC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E75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干部职工满意度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EF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w:t>
            </w:r>
            <w:r>
              <w:rPr>
                <w:rFonts w:hint="eastAsia" w:ascii="Times New Roman" w:hAnsi="Times New Roman" w:eastAsia="宋体" w:cs="宋体"/>
                <w:i w:val="0"/>
                <w:iCs w:val="0"/>
                <w:color w:val="000000"/>
                <w:kern w:val="0"/>
                <w:sz w:val="18"/>
                <w:szCs w:val="18"/>
                <w:u w:val="none"/>
                <w:lang w:val="en-US" w:eastAsia="zh-CN"/>
              </w:rPr>
              <w:t>98</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96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98</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87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bl>
    <w:p w14:paraId="79A8F2B1">
      <w:pPr>
        <w:pStyle w:val="12"/>
        <w:ind w:left="0" w:leftChars="0" w:firstLine="0" w:firstLineChars="0"/>
        <w:rPr>
          <w:rFonts w:hint="eastAsia"/>
        </w:rPr>
      </w:pPr>
    </w:p>
    <w:p w14:paraId="615A31B8">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hint="eastAsia" w:ascii="宋体" w:hAnsi="宋体" w:eastAsia="宋体" w:cs="宋体"/>
          <w:i w:val="0"/>
          <w:iCs w:val="0"/>
          <w:color w:val="000000"/>
          <w:spacing w:val="-6"/>
          <w:sz w:val="32"/>
          <w:szCs w:val="32"/>
          <w:u w:val="none"/>
        </w:rPr>
      </w:pPr>
      <w:r>
        <w:rPr>
          <w:rFonts w:hint="eastAsia" w:ascii="宋体" w:hAnsi="宋体" w:eastAsia="宋体" w:cs="宋体"/>
          <w:i w:val="0"/>
          <w:iCs w:val="0"/>
          <w:color w:val="000000"/>
          <w:spacing w:val="-6"/>
          <w:kern w:val="0"/>
          <w:sz w:val="32"/>
          <w:szCs w:val="32"/>
          <w:u w:val="none"/>
          <w:lang w:val="en-US" w:eastAsia="zh-CN"/>
        </w:rPr>
        <w:t>广元市昭化区财政项目（政策）支出绩效自评表</w:t>
      </w:r>
    </w:p>
    <w:tbl>
      <w:tblPr>
        <w:tblStyle w:val="13"/>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1149D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 w:hRule="atLeast"/>
          <w:jc w:val="center"/>
        </w:trPr>
        <w:tc>
          <w:tcPr>
            <w:tcW w:w="9856" w:type="dxa"/>
            <w:gridSpan w:val="8"/>
            <w:tcBorders>
              <w:top w:val="nil"/>
              <w:left w:val="nil"/>
              <w:bottom w:val="nil"/>
              <w:right w:val="nil"/>
            </w:tcBorders>
            <w:shd w:val="clear" w:color="auto" w:fill="auto"/>
            <w:vAlign w:val="top"/>
          </w:tcPr>
          <w:p w14:paraId="4F1BA79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w:t>
            </w:r>
            <w:r>
              <w:rPr>
                <w:rFonts w:hint="eastAsia" w:ascii="Times New Roman" w:hAnsi="Times New Roman" w:eastAsia="宋体" w:cs="宋体"/>
                <w:b/>
                <w:bCs/>
                <w:i w:val="0"/>
                <w:iCs w:val="0"/>
                <w:color w:val="000000"/>
                <w:kern w:val="0"/>
                <w:sz w:val="24"/>
                <w:szCs w:val="24"/>
                <w:u w:val="none"/>
                <w:lang w:val="en-US" w:eastAsia="zh-CN"/>
              </w:rPr>
              <w:t>2023</w:t>
            </w:r>
            <w:r>
              <w:rPr>
                <w:rFonts w:hint="eastAsia" w:ascii="宋体" w:hAnsi="宋体" w:eastAsia="宋体" w:cs="宋体"/>
                <w:b/>
                <w:bCs/>
                <w:i w:val="0"/>
                <w:iCs w:val="0"/>
                <w:color w:val="000000"/>
                <w:kern w:val="0"/>
                <w:sz w:val="24"/>
                <w:szCs w:val="24"/>
                <w:u w:val="none"/>
                <w:lang w:val="en-US" w:eastAsia="zh-CN"/>
              </w:rPr>
              <w:t>年度）</w:t>
            </w:r>
          </w:p>
        </w:tc>
      </w:tr>
      <w:tr w14:paraId="27D88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7CD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82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78149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政策研究、深化改革、党史地志工作经费</w:t>
            </w:r>
          </w:p>
        </w:tc>
      </w:tr>
      <w:tr w14:paraId="12549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015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43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A5F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8F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957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r>
      <w:tr w14:paraId="0DC02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40AA84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269" w:type="dxa"/>
            <w:gridSpan w:val="2"/>
            <w:tcBorders>
              <w:top w:val="nil"/>
              <w:left w:val="single" w:color="000000" w:sz="4" w:space="0"/>
              <w:bottom w:val="single" w:color="000000" w:sz="4" w:space="0"/>
              <w:right w:val="single" w:color="000000" w:sz="4" w:space="0"/>
            </w:tcBorders>
            <w:shd w:val="clear" w:color="auto" w:fill="auto"/>
            <w:vAlign w:val="center"/>
          </w:tcPr>
          <w:p w14:paraId="1BFC90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年度预算数（万元）</w:t>
            </w:r>
          </w:p>
        </w:tc>
        <w:tc>
          <w:tcPr>
            <w:tcW w:w="2038" w:type="dxa"/>
            <w:tcBorders>
              <w:top w:val="nil"/>
              <w:left w:val="single" w:color="000000" w:sz="4" w:space="0"/>
              <w:bottom w:val="single" w:color="000000" w:sz="4" w:space="0"/>
              <w:right w:val="single" w:color="000000" w:sz="4" w:space="0"/>
            </w:tcBorders>
            <w:shd w:val="clear" w:color="auto" w:fill="auto"/>
            <w:vAlign w:val="center"/>
          </w:tcPr>
          <w:p w14:paraId="6D794D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380" w:type="dxa"/>
            <w:tcBorders>
              <w:top w:val="nil"/>
              <w:left w:val="single" w:color="000000" w:sz="4" w:space="0"/>
              <w:bottom w:val="single" w:color="000000" w:sz="4" w:space="0"/>
              <w:right w:val="single" w:color="000000" w:sz="4" w:space="0"/>
            </w:tcBorders>
            <w:shd w:val="clear" w:color="auto" w:fill="auto"/>
            <w:vAlign w:val="center"/>
          </w:tcPr>
          <w:p w14:paraId="5CDC41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全年预算数</w:t>
            </w:r>
          </w:p>
        </w:tc>
        <w:tc>
          <w:tcPr>
            <w:tcW w:w="1320" w:type="dxa"/>
            <w:tcBorders>
              <w:top w:val="nil"/>
              <w:left w:val="single" w:color="000000" w:sz="4" w:space="0"/>
              <w:bottom w:val="single" w:color="000000" w:sz="4" w:space="0"/>
              <w:right w:val="single" w:color="000000" w:sz="4" w:space="0"/>
            </w:tcBorders>
            <w:shd w:val="clear" w:color="auto" w:fill="auto"/>
            <w:vAlign w:val="center"/>
          </w:tcPr>
          <w:p w14:paraId="1A843A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233" w:type="dxa"/>
            <w:tcBorders>
              <w:top w:val="nil"/>
              <w:left w:val="single" w:color="000000" w:sz="4" w:space="0"/>
              <w:bottom w:val="single" w:color="000000" w:sz="4" w:space="0"/>
              <w:right w:val="single" w:color="000000" w:sz="4" w:space="0"/>
            </w:tcBorders>
            <w:shd w:val="clear" w:color="auto" w:fill="auto"/>
            <w:vAlign w:val="center"/>
          </w:tcPr>
          <w:p w14:paraId="363EA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7A68A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514D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E27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F0B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60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9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233" w:type="dxa"/>
            <w:tcBorders>
              <w:top w:val="nil"/>
              <w:left w:val="single" w:color="000000" w:sz="4" w:space="0"/>
              <w:bottom w:val="single" w:color="000000" w:sz="4" w:space="0"/>
              <w:right w:val="single" w:color="000000" w:sz="4" w:space="0"/>
            </w:tcBorders>
            <w:shd w:val="clear" w:color="auto" w:fill="auto"/>
            <w:vAlign w:val="center"/>
          </w:tcPr>
          <w:p w14:paraId="3A74F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3C4DA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BA0E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1AF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72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44E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0F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C0C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01751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AD33E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D1F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.一般公共预算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3B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0D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8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AE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17DCB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955E3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98BB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.政府性基金</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AB1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04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EB2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0F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r>
      <w:tr w14:paraId="61501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A0001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BD8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3</w:t>
            </w:r>
            <w:r>
              <w:rPr>
                <w:rFonts w:hint="eastAsia" w:ascii="宋体" w:hAnsi="宋体" w:eastAsia="宋体" w:cs="宋体"/>
                <w:i w:val="0"/>
                <w:iCs w:val="0"/>
                <w:color w:val="000000"/>
                <w:kern w:val="0"/>
                <w:sz w:val="18"/>
                <w:szCs w:val="18"/>
                <w:u w:val="none"/>
                <w:lang w:val="en-US" w:eastAsia="zh-CN"/>
              </w:rPr>
              <w:t>.国有资本经营预算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D15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D3A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BC0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737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r>
      <w:tr w14:paraId="419A2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EB721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FEF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9F1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80A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D9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F97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r>
      <w:tr w14:paraId="08695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C1EE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51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23FCB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11C28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全年实际完成情况</w:t>
            </w:r>
          </w:p>
        </w:tc>
      </w:tr>
      <w:tr w14:paraId="2E67E1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61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51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FC5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负责编纂昭化区志、指导各部门志、镇志的编纂；高质量完成</w:t>
            </w:r>
            <w:r>
              <w:rPr>
                <w:rFonts w:hint="eastAsia" w:ascii="Times New Roman" w:hAnsi="Times New Roman" w:eastAsia="宋体" w:cs="宋体"/>
                <w:i w:val="0"/>
                <w:iCs w:val="0"/>
                <w:color w:val="000000"/>
                <w:kern w:val="0"/>
                <w:sz w:val="18"/>
                <w:szCs w:val="18"/>
                <w:u w:val="none"/>
                <w:lang w:val="en-US" w:eastAsia="zh-CN"/>
              </w:rPr>
              <w:t>2024</w:t>
            </w:r>
            <w:r>
              <w:rPr>
                <w:rFonts w:hint="eastAsia" w:ascii="宋体" w:hAnsi="宋体" w:eastAsia="宋体" w:cs="宋体"/>
                <w:i w:val="0"/>
                <w:iCs w:val="0"/>
                <w:color w:val="000000"/>
                <w:kern w:val="0"/>
                <w:sz w:val="18"/>
                <w:szCs w:val="18"/>
                <w:u w:val="none"/>
                <w:lang w:val="en-US" w:eastAsia="zh-CN"/>
              </w:rPr>
              <w:t>年《昭化年鉴》、《执政实录》的编纂工作；负责征集昭化党史专题资料和口述</w:t>
            </w:r>
            <w:r>
              <w:t>党</w:t>
            </w:r>
            <w:r>
              <w:rPr>
                <w:rFonts w:hint="eastAsia" w:ascii="宋体" w:hAnsi="宋体" w:eastAsia="宋体" w:cs="宋体"/>
                <w:i w:val="0"/>
                <w:iCs w:val="0"/>
                <w:color w:val="000000"/>
                <w:kern w:val="0"/>
                <w:sz w:val="18"/>
                <w:szCs w:val="18"/>
                <w:u w:val="none"/>
                <w:lang w:val="en-US" w:eastAsia="zh-CN"/>
              </w:rPr>
              <w:t>史资料，并建立、充实党史资料库；到镇和部门开展改革调研、研究区委改革办日常工作，保证区深化改革工作的日常运转，促进改革深化，提高会议质量，保证工作有序推进；就城市建设与管理、社区建设、招商引资等课题到区内各镇、各部门调研或到先进发达地区考察学习，起草综合性文字材料和领导讲话。</w:t>
            </w:r>
          </w:p>
        </w:tc>
        <w:tc>
          <w:tcPr>
            <w:tcW w:w="3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DD05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全面完成</w:t>
            </w:r>
          </w:p>
        </w:tc>
      </w:tr>
      <w:tr w14:paraId="122E2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531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绩效</w:t>
            </w:r>
          </w:p>
          <w:p w14:paraId="628226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55E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一级</w:t>
            </w:r>
          </w:p>
          <w:p w14:paraId="70AD33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F78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二级指标</w:t>
            </w:r>
          </w:p>
        </w:tc>
        <w:tc>
          <w:tcPr>
            <w:tcW w:w="31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3AF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三级指标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C4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年度指标值</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0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实际完成值</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01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偏差原因分析及改进措施</w:t>
            </w:r>
          </w:p>
        </w:tc>
      </w:tr>
      <w:tr w14:paraId="737C4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C5B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0CF2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产出</w:t>
            </w:r>
          </w:p>
          <w:p w14:paraId="01DF0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DD1B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73459B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1FF775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完成专刊数量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DC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w:t>
            </w:r>
            <w:r>
              <w:rPr>
                <w:rFonts w:hint="eastAsia" w:ascii="宋体" w:hAnsi="宋体" w:eastAsia="宋体" w:cs="宋体"/>
                <w:i w:val="0"/>
                <w:iCs w:val="0"/>
                <w:color w:val="000000"/>
                <w:kern w:val="0"/>
                <w:sz w:val="18"/>
                <w:szCs w:val="18"/>
                <w:u w:val="none"/>
                <w:lang w:val="en-US" w:eastAsia="zh-CN"/>
              </w:rPr>
              <w:t>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CAC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w:t>
            </w:r>
            <w:r>
              <w:rPr>
                <w:rFonts w:hint="eastAsia" w:ascii="宋体" w:hAnsi="宋体" w:eastAsia="宋体" w:cs="宋体"/>
                <w:i w:val="0"/>
                <w:iCs w:val="0"/>
                <w:color w:val="000000"/>
                <w:kern w:val="0"/>
                <w:sz w:val="18"/>
                <w:szCs w:val="18"/>
                <w:u w:val="none"/>
                <w:lang w:val="en-US" w:eastAsia="zh-CN"/>
              </w:rPr>
              <w:t>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980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无</w:t>
            </w:r>
          </w:p>
        </w:tc>
      </w:tr>
      <w:tr w14:paraId="6C109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296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1B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22D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44A5A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8356A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完成领导讲话次数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53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20</w:t>
            </w:r>
            <w:r>
              <w:rPr>
                <w:rFonts w:hint="eastAsia" w:ascii="宋体" w:hAnsi="宋体" w:eastAsia="宋体" w:cs="宋体"/>
                <w:i w:val="0"/>
                <w:iCs w:val="0"/>
                <w:color w:val="000000"/>
                <w:kern w:val="0"/>
                <w:sz w:val="18"/>
                <w:szCs w:val="18"/>
                <w:u w:val="none"/>
                <w:lang w:val="en-US" w:eastAsia="zh-CN"/>
              </w:rPr>
              <w:t>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6B5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20</w:t>
            </w:r>
            <w:r>
              <w:rPr>
                <w:rFonts w:hint="eastAsia" w:ascii="宋体" w:hAnsi="宋体" w:eastAsia="宋体" w:cs="宋体"/>
                <w:i w:val="0"/>
                <w:iCs w:val="0"/>
                <w:color w:val="000000"/>
                <w:kern w:val="0"/>
                <w:sz w:val="18"/>
                <w:szCs w:val="18"/>
                <w:u w:val="none"/>
                <w:lang w:val="en-US" w:eastAsia="zh-CN"/>
              </w:rPr>
              <w:t>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6B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54E7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0D1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45C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E43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417CF5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3</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7F26D3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完成调研文章</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567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6</w:t>
            </w:r>
            <w:r>
              <w:rPr>
                <w:rFonts w:hint="eastAsia" w:ascii="宋体" w:hAnsi="宋体" w:eastAsia="宋体" w:cs="宋体"/>
                <w:i w:val="0"/>
                <w:iCs w:val="0"/>
                <w:color w:val="000000"/>
                <w:kern w:val="0"/>
                <w:sz w:val="18"/>
                <w:szCs w:val="18"/>
                <w:u w:val="none"/>
                <w:lang w:val="en-US" w:eastAsia="zh-CN"/>
              </w:rPr>
              <w:t>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F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6</w:t>
            </w:r>
            <w:r>
              <w:rPr>
                <w:rFonts w:hint="eastAsia" w:ascii="宋体" w:hAnsi="宋体" w:eastAsia="宋体" w:cs="宋体"/>
                <w:i w:val="0"/>
                <w:iCs w:val="0"/>
                <w:color w:val="000000"/>
                <w:kern w:val="0"/>
                <w:sz w:val="18"/>
                <w:szCs w:val="18"/>
                <w:u w:val="none"/>
                <w:lang w:val="en-US" w:eastAsia="zh-CN"/>
              </w:rPr>
              <w:t>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6C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0DC46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014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83D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5E3E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质量指标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7B573C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CC005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调研文章被中央省市各级刊物累计采用数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FFB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w:t>
            </w:r>
            <w:r>
              <w:rPr>
                <w:rFonts w:hint="eastAsia" w:ascii="宋体" w:hAnsi="宋体" w:eastAsia="宋体" w:cs="宋体"/>
                <w:i w:val="0"/>
                <w:iCs w:val="0"/>
                <w:color w:val="000000"/>
                <w:kern w:val="0"/>
                <w:sz w:val="18"/>
                <w:szCs w:val="18"/>
                <w:u w:val="none"/>
                <w:lang w:val="en-US" w:eastAsia="zh-CN"/>
              </w:rPr>
              <w:t>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65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w:t>
            </w:r>
            <w:r>
              <w:rPr>
                <w:rFonts w:hint="eastAsia" w:ascii="宋体" w:hAnsi="宋体" w:eastAsia="宋体" w:cs="宋体"/>
                <w:i w:val="0"/>
                <w:iCs w:val="0"/>
                <w:color w:val="000000"/>
                <w:kern w:val="0"/>
                <w:sz w:val="18"/>
                <w:szCs w:val="18"/>
                <w:u w:val="none"/>
                <w:lang w:val="en-US" w:eastAsia="zh-CN"/>
              </w:rPr>
              <w:t>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C6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60543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539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21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AE9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617EF1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CC507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《昭化年鉴》、《执政实录》编写准确率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470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98</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F1F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98</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54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576CE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447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77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65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236BE9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3</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63344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讲话材料达标率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EE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99</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BCB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99</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FFA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40313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69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A6D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146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时效指标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0FAFFA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84F8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调研文章、课题按时完成率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6CF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D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64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39939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887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07F5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87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成本指标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7C79C7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093A26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预算资金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9E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r>
              <w:rPr>
                <w:rFonts w:hint="eastAsia" w:ascii="宋体" w:hAnsi="宋体" w:eastAsia="宋体" w:cs="宋体"/>
                <w:i w:val="0"/>
                <w:iCs w:val="0"/>
                <w:color w:val="000000"/>
                <w:kern w:val="0"/>
                <w:sz w:val="18"/>
                <w:szCs w:val="18"/>
                <w:u w:val="none"/>
                <w:lang w:val="en-US" w:eastAsia="zh-CN"/>
              </w:rPr>
              <w:t>万元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9F9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r>
              <w:rPr>
                <w:rFonts w:hint="eastAsia" w:ascii="宋体" w:hAnsi="宋体" w:eastAsia="宋体" w:cs="宋体"/>
                <w:i w:val="0"/>
                <w:iCs w:val="0"/>
                <w:color w:val="000000"/>
                <w:kern w:val="0"/>
                <w:sz w:val="18"/>
                <w:szCs w:val="18"/>
                <w:u w:val="none"/>
                <w:lang w:val="en-US" w:eastAsia="zh-CN"/>
              </w:rPr>
              <w:t>万元</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BC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28A27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90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D3A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效益指标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07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社会效益</w:t>
            </w:r>
          </w:p>
          <w:p w14:paraId="76F8AC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0723A2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3A17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利用编纂的调研文章进行宣传</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97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定性</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B21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成效显著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BD3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2BF6BB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67DF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A62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满意度</w:t>
            </w:r>
          </w:p>
          <w:p w14:paraId="4497B7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6F6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服务对象满意度指标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2ED9AB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79C486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社会公众满意度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22F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90</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1A9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90</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979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bl>
    <w:p w14:paraId="556124D5">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center"/>
        <w:rPr>
          <w:rFonts w:hint="eastAsia" w:ascii="宋体" w:hAnsi="宋体" w:eastAsia="宋体" w:cs="宋体"/>
          <w:i w:val="0"/>
          <w:iCs w:val="0"/>
          <w:color w:val="000000"/>
          <w:spacing w:val="-11"/>
          <w:sz w:val="32"/>
          <w:szCs w:val="32"/>
          <w:u w:val="none"/>
        </w:rPr>
      </w:pPr>
      <w:r>
        <w:rPr>
          <w:rFonts w:hint="eastAsia" w:ascii="宋体" w:hAnsi="宋体" w:eastAsia="宋体" w:cs="宋体"/>
          <w:i w:val="0"/>
          <w:iCs w:val="0"/>
          <w:color w:val="000000"/>
          <w:spacing w:val="-11"/>
          <w:kern w:val="0"/>
          <w:sz w:val="32"/>
          <w:szCs w:val="32"/>
          <w:u w:val="none"/>
          <w:lang w:val="en-US" w:eastAsia="zh-CN"/>
        </w:rPr>
        <w:t>广元市昭化区财政项目（政策）支出绩效自评表</w:t>
      </w:r>
    </w:p>
    <w:p w14:paraId="0D7619D8">
      <w:pPr>
        <w:keepNext w:val="0"/>
        <w:keepLines w:val="0"/>
        <w:pageBreakBefore w:val="0"/>
        <w:widowControl/>
        <w:suppressLineNumbers w:val="0"/>
        <w:kinsoku/>
        <w:wordWrap/>
        <w:overflowPunct/>
        <w:topLinePunct w:val="0"/>
        <w:autoSpaceDE/>
        <w:autoSpaceDN/>
        <w:bidi w:val="0"/>
        <w:adjustRightInd/>
        <w:snapToGrid/>
        <w:spacing w:line="576" w:lineRule="exact"/>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（2023年度）</w:t>
      </w:r>
    </w:p>
    <w:tbl>
      <w:tblPr>
        <w:tblStyle w:val="13"/>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71A2D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615" w:type="dxa"/>
            <w:gridSpan w:val="2"/>
            <w:tcBorders>
              <w:top w:val="single" w:color="000000" w:sz="4" w:space="0"/>
              <w:left w:val="single" w:color="000000" w:sz="4" w:space="0"/>
              <w:bottom w:val="single" w:color="000000" w:sz="4" w:space="0"/>
              <w:right w:val="single" w:color="000000" w:sz="4" w:space="0"/>
            </w:tcBorders>
            <w:noWrap w:val="0"/>
            <w:vAlign w:val="center"/>
          </w:tcPr>
          <w:p w14:paraId="75CF50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8240" w:type="dxa"/>
            <w:gridSpan w:val="6"/>
            <w:tcBorders>
              <w:top w:val="single" w:color="000000" w:sz="4" w:space="0"/>
              <w:left w:val="single" w:color="000000" w:sz="4" w:space="0"/>
              <w:bottom w:val="single" w:color="000000" w:sz="4" w:space="0"/>
              <w:right w:val="single" w:color="000000" w:sz="4" w:space="0"/>
            </w:tcBorders>
            <w:noWrap w:val="0"/>
            <w:vAlign w:val="center"/>
          </w:tcPr>
          <w:p w14:paraId="7F2F2E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落实区委区政府中心工作及重大决策部署工作经费</w:t>
            </w:r>
          </w:p>
        </w:tc>
      </w:tr>
      <w:tr w14:paraId="01BB0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5" w:type="dxa"/>
            <w:gridSpan w:val="2"/>
            <w:tcBorders>
              <w:top w:val="single" w:color="000000" w:sz="4" w:space="0"/>
              <w:left w:val="single" w:color="000000" w:sz="4" w:space="0"/>
              <w:bottom w:val="single" w:color="000000" w:sz="4" w:space="0"/>
              <w:right w:val="single" w:color="000000" w:sz="4" w:space="0"/>
            </w:tcBorders>
            <w:noWrap w:val="0"/>
            <w:vAlign w:val="center"/>
          </w:tcPr>
          <w:p w14:paraId="7AEC10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4307" w:type="dxa"/>
            <w:gridSpan w:val="3"/>
            <w:tcBorders>
              <w:top w:val="single" w:color="000000" w:sz="4" w:space="0"/>
              <w:left w:val="single" w:color="000000" w:sz="4" w:space="0"/>
              <w:bottom w:val="single" w:color="000000" w:sz="4" w:space="0"/>
              <w:right w:val="single" w:color="000000" w:sz="4" w:space="0"/>
            </w:tcBorders>
            <w:noWrap w:val="0"/>
            <w:vAlign w:val="center"/>
          </w:tcPr>
          <w:p w14:paraId="772B8ED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CDE6E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2553" w:type="dxa"/>
            <w:gridSpan w:val="2"/>
            <w:tcBorders>
              <w:top w:val="single" w:color="000000" w:sz="4" w:space="0"/>
              <w:left w:val="single" w:color="000000" w:sz="4" w:space="0"/>
              <w:bottom w:val="single" w:color="000000" w:sz="4" w:space="0"/>
              <w:right w:val="single" w:color="000000" w:sz="4" w:space="0"/>
            </w:tcBorders>
            <w:noWrap/>
            <w:vAlign w:val="center"/>
          </w:tcPr>
          <w:p w14:paraId="2790C9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r>
      <w:tr w14:paraId="46914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5" w:type="dxa"/>
            <w:gridSpan w:val="2"/>
            <w:vMerge w:val="restart"/>
            <w:tcBorders>
              <w:top w:val="single" w:color="000000" w:sz="4" w:space="0"/>
              <w:left w:val="single" w:color="000000" w:sz="4" w:space="0"/>
              <w:bottom w:val="nil"/>
              <w:right w:val="single" w:color="000000" w:sz="4" w:space="0"/>
            </w:tcBorders>
            <w:noWrap w:val="0"/>
            <w:vAlign w:val="center"/>
          </w:tcPr>
          <w:p w14:paraId="0C551C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269" w:type="dxa"/>
            <w:gridSpan w:val="2"/>
            <w:tcBorders>
              <w:top w:val="nil"/>
              <w:left w:val="single" w:color="000000" w:sz="4" w:space="0"/>
              <w:bottom w:val="single" w:color="000000" w:sz="4" w:space="0"/>
              <w:right w:val="single" w:color="000000" w:sz="4" w:space="0"/>
            </w:tcBorders>
            <w:noWrap w:val="0"/>
            <w:vAlign w:val="center"/>
          </w:tcPr>
          <w:p w14:paraId="00D60C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年度预算数（万元）</w:t>
            </w:r>
          </w:p>
        </w:tc>
        <w:tc>
          <w:tcPr>
            <w:tcW w:w="2038" w:type="dxa"/>
            <w:tcBorders>
              <w:top w:val="nil"/>
              <w:left w:val="single" w:color="000000" w:sz="4" w:space="0"/>
              <w:bottom w:val="single" w:color="000000" w:sz="4" w:space="0"/>
              <w:right w:val="single" w:color="000000" w:sz="4" w:space="0"/>
            </w:tcBorders>
            <w:noWrap w:val="0"/>
            <w:vAlign w:val="center"/>
          </w:tcPr>
          <w:p w14:paraId="7B945F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380" w:type="dxa"/>
            <w:tcBorders>
              <w:top w:val="nil"/>
              <w:left w:val="single" w:color="000000" w:sz="4" w:space="0"/>
              <w:bottom w:val="single" w:color="000000" w:sz="4" w:space="0"/>
              <w:right w:val="single" w:color="000000" w:sz="4" w:space="0"/>
            </w:tcBorders>
            <w:noWrap w:val="0"/>
            <w:vAlign w:val="center"/>
          </w:tcPr>
          <w:p w14:paraId="4DD39A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全年预算数</w:t>
            </w:r>
          </w:p>
        </w:tc>
        <w:tc>
          <w:tcPr>
            <w:tcW w:w="1320" w:type="dxa"/>
            <w:tcBorders>
              <w:top w:val="nil"/>
              <w:left w:val="single" w:color="000000" w:sz="4" w:space="0"/>
              <w:bottom w:val="single" w:color="000000" w:sz="4" w:space="0"/>
              <w:right w:val="single" w:color="000000" w:sz="4" w:space="0"/>
            </w:tcBorders>
            <w:noWrap w:val="0"/>
            <w:vAlign w:val="center"/>
          </w:tcPr>
          <w:p w14:paraId="777F7D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233" w:type="dxa"/>
            <w:tcBorders>
              <w:top w:val="nil"/>
              <w:left w:val="single" w:color="000000" w:sz="4" w:space="0"/>
              <w:bottom w:val="single" w:color="000000" w:sz="4" w:space="0"/>
              <w:right w:val="single" w:color="000000" w:sz="4" w:space="0"/>
            </w:tcBorders>
            <w:noWrap w:val="0"/>
            <w:vAlign w:val="center"/>
          </w:tcPr>
          <w:p w14:paraId="317DE8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1E74C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5" w:type="dxa"/>
            <w:gridSpan w:val="2"/>
            <w:vMerge w:val="continue"/>
            <w:tcBorders>
              <w:top w:val="single" w:color="000000" w:sz="4" w:space="0"/>
              <w:left w:val="single" w:color="000000" w:sz="4" w:space="0"/>
              <w:bottom w:val="nil"/>
              <w:right w:val="single" w:color="000000" w:sz="4" w:space="0"/>
            </w:tcBorders>
            <w:noWrap w:val="0"/>
            <w:vAlign w:val="center"/>
          </w:tcPr>
          <w:p w14:paraId="4698951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noWrap w:val="0"/>
            <w:vAlign w:val="center"/>
          </w:tcPr>
          <w:p w14:paraId="14A341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328F15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25DA5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C5B51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w:t>
            </w:r>
          </w:p>
        </w:tc>
        <w:tc>
          <w:tcPr>
            <w:tcW w:w="1233" w:type="dxa"/>
            <w:tcBorders>
              <w:top w:val="nil"/>
              <w:left w:val="single" w:color="000000" w:sz="4" w:space="0"/>
              <w:bottom w:val="single" w:color="000000" w:sz="4" w:space="0"/>
              <w:right w:val="single" w:color="000000" w:sz="4" w:space="0"/>
            </w:tcBorders>
            <w:noWrap w:val="0"/>
            <w:vAlign w:val="center"/>
          </w:tcPr>
          <w:p w14:paraId="4A01E5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rPr>
              <w:t>100%</w:t>
            </w:r>
          </w:p>
        </w:tc>
      </w:tr>
      <w:tr w14:paraId="17C77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5" w:type="dxa"/>
            <w:gridSpan w:val="2"/>
            <w:vMerge w:val="continue"/>
            <w:tcBorders>
              <w:top w:val="single" w:color="000000" w:sz="4" w:space="0"/>
              <w:left w:val="single" w:color="000000" w:sz="4" w:space="0"/>
              <w:bottom w:val="nil"/>
              <w:right w:val="single" w:color="000000" w:sz="4" w:space="0"/>
            </w:tcBorders>
            <w:noWrap w:val="0"/>
            <w:vAlign w:val="center"/>
          </w:tcPr>
          <w:p w14:paraId="17AE015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noWrap w:val="0"/>
            <w:vAlign w:val="center"/>
          </w:tcPr>
          <w:p w14:paraId="4E8073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0ECDF3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386A78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072AB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38AE0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rPr>
              <w:t>100%</w:t>
            </w:r>
          </w:p>
        </w:tc>
      </w:tr>
      <w:tr w14:paraId="42A22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5" w:type="dxa"/>
            <w:gridSpan w:val="2"/>
            <w:vMerge w:val="continue"/>
            <w:tcBorders>
              <w:top w:val="single" w:color="000000" w:sz="4" w:space="0"/>
              <w:left w:val="single" w:color="000000" w:sz="4" w:space="0"/>
              <w:bottom w:val="nil"/>
              <w:right w:val="single" w:color="000000" w:sz="4" w:space="0"/>
            </w:tcBorders>
            <w:noWrap w:val="0"/>
            <w:vAlign w:val="center"/>
          </w:tcPr>
          <w:p w14:paraId="4EBA754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noWrap w:val="0"/>
            <w:vAlign w:val="center"/>
          </w:tcPr>
          <w:p w14:paraId="5703D9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1.一般公共预算</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7AC48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87CAD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23EA6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04AF6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宋体" w:hAnsi="宋体" w:eastAsia="宋体" w:cs="宋体"/>
                <w:i w:val="0"/>
                <w:iCs w:val="0"/>
                <w:color w:val="000000"/>
                <w:kern w:val="0"/>
                <w:sz w:val="18"/>
                <w:szCs w:val="18"/>
                <w:u w:val="none"/>
                <w:lang w:val="en-US" w:eastAsia="zh-CN"/>
              </w:rPr>
              <w:t>100%</w:t>
            </w:r>
          </w:p>
        </w:tc>
      </w:tr>
      <w:tr w14:paraId="6161C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5" w:type="dxa"/>
            <w:gridSpan w:val="2"/>
            <w:vMerge w:val="continue"/>
            <w:tcBorders>
              <w:top w:val="single" w:color="000000" w:sz="4" w:space="0"/>
              <w:left w:val="single" w:color="000000" w:sz="4" w:space="0"/>
              <w:bottom w:val="nil"/>
              <w:right w:val="single" w:color="000000" w:sz="4" w:space="0"/>
            </w:tcBorders>
            <w:noWrap w:val="0"/>
            <w:vAlign w:val="center"/>
          </w:tcPr>
          <w:p w14:paraId="69E8C45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noWrap w:val="0"/>
            <w:vAlign w:val="center"/>
          </w:tcPr>
          <w:p w14:paraId="18ED9A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2.政府性基金</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7BEA3E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74BFEE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D4118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3035A2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rPr>
                <w:rFonts w:hint="eastAsia" w:ascii="宋体" w:hAnsi="宋体" w:eastAsia="宋体" w:cs="宋体"/>
                <w:i w:val="0"/>
                <w:iCs w:val="0"/>
                <w:color w:val="000000"/>
                <w:sz w:val="18"/>
                <w:szCs w:val="18"/>
                <w:u w:val="none"/>
              </w:rPr>
            </w:pPr>
          </w:p>
        </w:tc>
      </w:tr>
      <w:tr w14:paraId="349D4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1615" w:type="dxa"/>
            <w:gridSpan w:val="2"/>
            <w:vMerge w:val="continue"/>
            <w:tcBorders>
              <w:top w:val="single" w:color="000000" w:sz="4" w:space="0"/>
              <w:left w:val="single" w:color="000000" w:sz="4" w:space="0"/>
              <w:bottom w:val="nil"/>
              <w:right w:val="single" w:color="000000" w:sz="4" w:space="0"/>
            </w:tcBorders>
            <w:noWrap w:val="0"/>
            <w:vAlign w:val="center"/>
          </w:tcPr>
          <w:p w14:paraId="418D969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noWrap w:val="0"/>
            <w:vAlign w:val="center"/>
          </w:tcPr>
          <w:p w14:paraId="287433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3.国有资本经营预算</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485B0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0EB57B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D572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236B2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rPr>
                <w:rFonts w:hint="eastAsia" w:ascii="宋体" w:hAnsi="宋体" w:eastAsia="宋体" w:cs="宋体"/>
                <w:i w:val="0"/>
                <w:iCs w:val="0"/>
                <w:color w:val="000000"/>
                <w:sz w:val="18"/>
                <w:szCs w:val="18"/>
                <w:u w:val="none"/>
              </w:rPr>
            </w:pPr>
          </w:p>
        </w:tc>
      </w:tr>
      <w:tr w14:paraId="5D1E7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5" w:type="dxa"/>
            <w:gridSpan w:val="2"/>
            <w:vMerge w:val="continue"/>
            <w:tcBorders>
              <w:top w:val="single" w:color="000000" w:sz="4" w:space="0"/>
              <w:left w:val="single" w:color="000000" w:sz="4" w:space="0"/>
              <w:bottom w:val="nil"/>
              <w:right w:val="single" w:color="000000" w:sz="4" w:space="0"/>
            </w:tcBorders>
            <w:noWrap w:val="0"/>
            <w:vAlign w:val="center"/>
          </w:tcPr>
          <w:p w14:paraId="49E676C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noWrap w:val="0"/>
            <w:vAlign w:val="center"/>
          </w:tcPr>
          <w:p w14:paraId="367C0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50BB24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659FD4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852B2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577A48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rPr>
                <w:rFonts w:hint="eastAsia" w:ascii="宋体" w:hAnsi="宋体" w:eastAsia="宋体" w:cs="宋体"/>
                <w:i w:val="0"/>
                <w:iCs w:val="0"/>
                <w:color w:val="000000"/>
                <w:sz w:val="18"/>
                <w:szCs w:val="18"/>
                <w:u w:val="none"/>
              </w:rPr>
            </w:pPr>
          </w:p>
        </w:tc>
      </w:tr>
      <w:tr w14:paraId="1DFF3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63" w:type="dxa"/>
            <w:vMerge w:val="restart"/>
            <w:tcBorders>
              <w:top w:val="single" w:color="000000" w:sz="4" w:space="0"/>
              <w:left w:val="single" w:color="000000" w:sz="4" w:space="0"/>
              <w:bottom w:val="single" w:color="000000" w:sz="4" w:space="0"/>
              <w:right w:val="single" w:color="000000" w:sz="4" w:space="0"/>
            </w:tcBorders>
            <w:noWrap w:val="0"/>
            <w:vAlign w:val="center"/>
          </w:tcPr>
          <w:p w14:paraId="6F346A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5159" w:type="dxa"/>
            <w:gridSpan w:val="4"/>
            <w:tcBorders>
              <w:top w:val="single" w:color="000000" w:sz="4" w:space="0"/>
              <w:left w:val="single" w:color="000000" w:sz="4" w:space="0"/>
              <w:bottom w:val="single" w:color="000000" w:sz="4" w:space="0"/>
              <w:right w:val="single" w:color="000000" w:sz="4" w:space="0"/>
            </w:tcBorders>
            <w:noWrap w:val="0"/>
            <w:vAlign w:val="center"/>
          </w:tcPr>
          <w:p w14:paraId="5FE78E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933" w:type="dxa"/>
            <w:gridSpan w:val="3"/>
            <w:tcBorders>
              <w:top w:val="single" w:color="000000" w:sz="4" w:space="0"/>
              <w:left w:val="single" w:color="000000" w:sz="4" w:space="0"/>
              <w:bottom w:val="single" w:color="000000" w:sz="4" w:space="0"/>
              <w:right w:val="single" w:color="000000" w:sz="4" w:space="0"/>
            </w:tcBorders>
            <w:noWrap w:val="0"/>
            <w:vAlign w:val="center"/>
          </w:tcPr>
          <w:p w14:paraId="2E04D4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5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全年实际完成情况</w:t>
            </w:r>
          </w:p>
        </w:tc>
      </w:tr>
      <w:tr w14:paraId="50196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E118F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5159" w:type="dxa"/>
            <w:gridSpan w:val="4"/>
            <w:tcBorders>
              <w:top w:val="single" w:color="000000" w:sz="4" w:space="0"/>
              <w:left w:val="single" w:color="000000" w:sz="4" w:space="0"/>
              <w:bottom w:val="single" w:color="000000" w:sz="4" w:space="0"/>
              <w:right w:val="single" w:color="000000" w:sz="4" w:space="0"/>
            </w:tcBorders>
            <w:noWrap w:val="0"/>
            <w:vAlign w:val="center"/>
          </w:tcPr>
          <w:p w14:paraId="3F86E2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围绕服务赋能、整合促优、发展增效、治理提质四大任务多管齐下开展调研，</w:t>
            </w:r>
            <w:r>
              <w:t>推进</w:t>
            </w:r>
            <w:r>
              <w:rPr>
                <w:rFonts w:hint="eastAsia" w:ascii="宋体" w:hAnsi="宋体" w:eastAsia="宋体" w:cs="宋体"/>
                <w:i w:val="0"/>
                <w:iCs w:val="0"/>
                <w:color w:val="000000"/>
                <w:kern w:val="0"/>
                <w:sz w:val="18"/>
                <w:szCs w:val="18"/>
                <w:u w:val="none"/>
                <w:lang w:val="en-US" w:eastAsia="zh-CN"/>
              </w:rPr>
              <w:t>乡村全面振兴和经济高质量发展；围绕农业、工业、文旅、交通、建设、水利等方面到镇和部门有针对性、更为具体化</w:t>
            </w:r>
            <w:r>
              <w:t>地</w:t>
            </w:r>
            <w:r>
              <w:rPr>
                <w:rFonts w:hint="eastAsia" w:ascii="宋体" w:hAnsi="宋体" w:eastAsia="宋体" w:cs="宋体"/>
                <w:i w:val="0"/>
                <w:iCs w:val="0"/>
                <w:color w:val="000000"/>
                <w:kern w:val="0"/>
                <w:sz w:val="18"/>
                <w:szCs w:val="18"/>
                <w:u w:val="none"/>
                <w:lang w:val="en-US" w:eastAsia="zh-CN"/>
              </w:rPr>
              <w:t>开展调研督办活动；围绕区委常委会、区政府常务会议决定事项以及区委、区政府主要领导签批事项落实情况到涉及的镇和部门开展督查工作。</w:t>
            </w:r>
          </w:p>
        </w:tc>
        <w:tc>
          <w:tcPr>
            <w:tcW w:w="3933" w:type="dxa"/>
            <w:gridSpan w:val="3"/>
            <w:tcBorders>
              <w:top w:val="single" w:color="000000" w:sz="4" w:space="0"/>
              <w:left w:val="single" w:color="000000" w:sz="4" w:space="0"/>
              <w:bottom w:val="single" w:color="000000" w:sz="4" w:space="0"/>
              <w:right w:val="single" w:color="000000" w:sz="4" w:space="0"/>
            </w:tcBorders>
            <w:noWrap w:val="0"/>
            <w:vAlign w:val="center"/>
          </w:tcPr>
          <w:p w14:paraId="457674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全面完成</w:t>
            </w:r>
          </w:p>
        </w:tc>
      </w:tr>
      <w:tr w14:paraId="31593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63" w:type="dxa"/>
            <w:vMerge w:val="restart"/>
            <w:tcBorders>
              <w:top w:val="single" w:color="000000" w:sz="4" w:space="0"/>
              <w:left w:val="single" w:color="000000" w:sz="4" w:space="0"/>
              <w:bottom w:val="single" w:color="000000" w:sz="4" w:space="0"/>
              <w:right w:val="single" w:color="000000" w:sz="4" w:space="0"/>
            </w:tcBorders>
            <w:noWrap w:val="0"/>
            <w:vAlign w:val="center"/>
          </w:tcPr>
          <w:p w14:paraId="3A703C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绩效</w:t>
            </w:r>
          </w:p>
          <w:p w14:paraId="7BEBFE9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54B189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一级</w:t>
            </w:r>
          </w:p>
          <w:p w14:paraId="3C1CD6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54D373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二级指标</w:t>
            </w:r>
          </w:p>
        </w:tc>
        <w:tc>
          <w:tcPr>
            <w:tcW w:w="3178" w:type="dxa"/>
            <w:gridSpan w:val="2"/>
            <w:tcBorders>
              <w:top w:val="single" w:color="000000" w:sz="4" w:space="0"/>
              <w:left w:val="single" w:color="000000" w:sz="4" w:space="0"/>
              <w:bottom w:val="single" w:color="000000" w:sz="4" w:space="0"/>
              <w:right w:val="single" w:color="000000" w:sz="4" w:space="0"/>
            </w:tcBorders>
            <w:noWrap w:val="0"/>
            <w:vAlign w:val="center"/>
          </w:tcPr>
          <w:p w14:paraId="1A125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三级指标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03374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年度指标值</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D1AF3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实际完成值</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CD07E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偏差原因分析及改进</w:t>
            </w:r>
          </w:p>
          <w:p w14:paraId="338F45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措施</w:t>
            </w:r>
          </w:p>
        </w:tc>
      </w:tr>
      <w:tr w14:paraId="4FA25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A3009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noWrap w:val="0"/>
            <w:vAlign w:val="center"/>
          </w:tcPr>
          <w:p w14:paraId="5AC9D9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产出指标</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4F045C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140" w:type="dxa"/>
            <w:tcBorders>
              <w:top w:val="single" w:color="000000" w:sz="4" w:space="0"/>
              <w:left w:val="single" w:color="000000" w:sz="4" w:space="0"/>
              <w:bottom w:val="single" w:color="000000" w:sz="4" w:space="0"/>
              <w:right w:val="nil"/>
            </w:tcBorders>
            <w:noWrap w:val="0"/>
            <w:vAlign w:val="center"/>
          </w:tcPr>
          <w:p w14:paraId="3F2E9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220C80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sz w:val="18"/>
                <w:szCs w:val="18"/>
                <w:u w:val="none"/>
              </w:rPr>
            </w:pPr>
            <w:r>
              <w:rPr>
                <w:rStyle w:val="28"/>
                <w:lang w:val="en-US" w:eastAsia="zh-CN"/>
              </w:rPr>
              <w:t>重点项目、中心工作调研次数</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6C511E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12次</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75BFC9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12次</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BE0611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无</w:t>
            </w:r>
          </w:p>
        </w:tc>
      </w:tr>
      <w:tr w14:paraId="14AA7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072B0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DA58F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14:paraId="24C433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质量指标</w:t>
            </w:r>
          </w:p>
        </w:tc>
        <w:tc>
          <w:tcPr>
            <w:tcW w:w="1140" w:type="dxa"/>
            <w:tcBorders>
              <w:top w:val="single" w:color="000000" w:sz="4" w:space="0"/>
              <w:left w:val="single" w:color="000000" w:sz="4" w:space="0"/>
              <w:bottom w:val="single" w:color="000000" w:sz="4" w:space="0"/>
              <w:right w:val="nil"/>
            </w:tcBorders>
            <w:noWrap w:val="0"/>
            <w:vAlign w:val="center"/>
          </w:tcPr>
          <w:p w14:paraId="722F34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2CAE08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sz w:val="18"/>
                <w:szCs w:val="18"/>
                <w:u w:val="none"/>
              </w:rPr>
            </w:pPr>
            <w:r>
              <w:rPr>
                <w:rStyle w:val="28"/>
                <w:lang w:val="en-US" w:eastAsia="zh-CN"/>
              </w:rPr>
              <w:t>重点项目督查覆盖率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4E5022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5BA15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6D5617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74120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C6103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66E417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071CD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noWrap w:val="0"/>
            <w:vAlign w:val="center"/>
          </w:tcPr>
          <w:p w14:paraId="76932B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指标2：</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12E216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sz w:val="18"/>
                <w:szCs w:val="18"/>
                <w:u w:val="none"/>
              </w:rPr>
            </w:pPr>
            <w:r>
              <w:rPr>
                <w:rStyle w:val="28"/>
                <w:lang w:val="en-US" w:eastAsia="zh-CN"/>
              </w:rPr>
              <w:t>重点项目、重点工作问题整改情况</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3371FC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882B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21974D0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55E37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D0D9D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493E43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vMerge w:val="restart"/>
            <w:tcBorders>
              <w:top w:val="single" w:color="000000" w:sz="4" w:space="0"/>
              <w:left w:val="single" w:color="000000" w:sz="4" w:space="0"/>
              <w:bottom w:val="single" w:color="000000" w:sz="4" w:space="0"/>
              <w:right w:val="single" w:color="000000" w:sz="4" w:space="0"/>
            </w:tcBorders>
            <w:noWrap w:val="0"/>
            <w:vAlign w:val="center"/>
          </w:tcPr>
          <w:p w14:paraId="43B1DA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时效指标</w:t>
            </w:r>
          </w:p>
        </w:tc>
        <w:tc>
          <w:tcPr>
            <w:tcW w:w="1140" w:type="dxa"/>
            <w:tcBorders>
              <w:top w:val="single" w:color="000000" w:sz="4" w:space="0"/>
              <w:left w:val="single" w:color="000000" w:sz="4" w:space="0"/>
              <w:bottom w:val="single" w:color="000000" w:sz="4" w:space="0"/>
              <w:right w:val="nil"/>
            </w:tcBorders>
            <w:noWrap w:val="0"/>
            <w:vAlign w:val="center"/>
          </w:tcPr>
          <w:p w14:paraId="780108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48385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sz w:val="18"/>
                <w:szCs w:val="18"/>
                <w:u w:val="none"/>
              </w:rPr>
            </w:pPr>
            <w:r>
              <w:rPr>
                <w:rStyle w:val="28"/>
                <w:lang w:val="en-US" w:eastAsia="zh-CN"/>
              </w:rPr>
              <w:t>完成时限</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17D95E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1年</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54C51C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1年</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5CDDE9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3FAEE9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CE3F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E2621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noWrap w:val="0"/>
            <w:vAlign w:val="center"/>
          </w:tcPr>
          <w:p w14:paraId="6C728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noWrap w:val="0"/>
            <w:vAlign w:val="center"/>
          </w:tcPr>
          <w:p w14:paraId="0F3788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指标2：</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45BE02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sz w:val="18"/>
                <w:szCs w:val="18"/>
                <w:u w:val="none"/>
              </w:rPr>
            </w:pPr>
            <w:r>
              <w:rPr>
                <w:rStyle w:val="28"/>
                <w:lang w:val="en-US" w:eastAsia="zh-CN"/>
              </w:rPr>
              <w:t>事项完成及时率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0DA90C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138B72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7681A5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2A660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F8F7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A990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08D72C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成本指标</w:t>
            </w:r>
          </w:p>
        </w:tc>
        <w:tc>
          <w:tcPr>
            <w:tcW w:w="1140" w:type="dxa"/>
            <w:tcBorders>
              <w:top w:val="single" w:color="000000" w:sz="4" w:space="0"/>
              <w:left w:val="single" w:color="000000" w:sz="4" w:space="0"/>
              <w:bottom w:val="single" w:color="000000" w:sz="4" w:space="0"/>
              <w:right w:val="nil"/>
            </w:tcBorders>
            <w:noWrap w:val="0"/>
            <w:vAlign w:val="center"/>
          </w:tcPr>
          <w:p w14:paraId="0AB220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06AEF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预算资金</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4F825B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69万元</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B1296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69万元</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4180D9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4198C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B2DD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noWrap w:val="0"/>
            <w:vAlign w:val="center"/>
          </w:tcPr>
          <w:p w14:paraId="536747F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效益指标</w:t>
            </w:r>
          </w:p>
        </w:tc>
        <w:tc>
          <w:tcPr>
            <w:tcW w:w="1129" w:type="dxa"/>
            <w:vMerge w:val="restart"/>
            <w:tcBorders>
              <w:top w:val="single" w:color="000000" w:sz="4" w:space="0"/>
              <w:left w:val="single" w:color="000000" w:sz="4" w:space="0"/>
              <w:bottom w:val="nil"/>
              <w:right w:val="single" w:color="000000" w:sz="4" w:space="0"/>
            </w:tcBorders>
            <w:noWrap w:val="0"/>
            <w:vAlign w:val="center"/>
          </w:tcPr>
          <w:p w14:paraId="08CE7F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社会效益</w:t>
            </w:r>
          </w:p>
          <w:p w14:paraId="670EF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40" w:type="dxa"/>
            <w:tcBorders>
              <w:top w:val="single" w:color="000000" w:sz="4" w:space="0"/>
              <w:left w:val="single" w:color="000000" w:sz="4" w:space="0"/>
              <w:bottom w:val="single" w:color="000000" w:sz="4" w:space="0"/>
              <w:right w:val="nil"/>
            </w:tcBorders>
            <w:noWrap w:val="0"/>
            <w:vAlign w:val="center"/>
          </w:tcPr>
          <w:p w14:paraId="3C8D4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310FB1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center"/>
              <w:rPr>
                <w:rFonts w:hint="eastAsia" w:ascii="宋体" w:hAnsi="宋体" w:eastAsia="宋体" w:cs="宋体"/>
                <w:i w:val="0"/>
                <w:iCs w:val="0"/>
                <w:color w:val="000000"/>
                <w:sz w:val="18"/>
                <w:szCs w:val="18"/>
                <w:u w:val="none"/>
              </w:rPr>
            </w:pPr>
            <w:r>
              <w:rPr>
                <w:rStyle w:val="28"/>
                <w:lang w:val="en-US" w:eastAsia="zh-CN"/>
              </w:rPr>
              <w:t>对提高群众生活水平、促进和谐社会建设的改善或提升程度</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5438B4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定性</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A64D9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成效显著</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633D11E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09ED4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B5CE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E59BF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nil"/>
              <w:right w:val="single" w:color="000000" w:sz="4" w:space="0"/>
            </w:tcBorders>
            <w:noWrap w:val="0"/>
            <w:vAlign w:val="center"/>
          </w:tcPr>
          <w:p w14:paraId="404C0A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nil"/>
              <w:right w:val="nil"/>
            </w:tcBorders>
            <w:noWrap w:val="0"/>
            <w:vAlign w:val="center"/>
          </w:tcPr>
          <w:p w14:paraId="2F969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指标2：</w:t>
            </w:r>
          </w:p>
        </w:tc>
        <w:tc>
          <w:tcPr>
            <w:tcW w:w="2038" w:type="dxa"/>
            <w:tcBorders>
              <w:top w:val="single" w:color="000000" w:sz="4" w:space="0"/>
              <w:left w:val="single" w:color="000000" w:sz="4" w:space="0"/>
              <w:bottom w:val="nil"/>
              <w:right w:val="single" w:color="000000" w:sz="4" w:space="0"/>
            </w:tcBorders>
            <w:noWrap w:val="0"/>
            <w:vAlign w:val="center"/>
          </w:tcPr>
          <w:p w14:paraId="751E71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Style w:val="28"/>
                <w:lang w:val="en-US" w:eastAsia="zh-CN"/>
              </w:rPr>
              <w:t>维护社会运行秩序</w:t>
            </w:r>
          </w:p>
        </w:tc>
        <w:tc>
          <w:tcPr>
            <w:tcW w:w="1380" w:type="dxa"/>
            <w:tcBorders>
              <w:top w:val="single" w:color="000000" w:sz="4" w:space="0"/>
              <w:left w:val="single" w:color="000000" w:sz="4" w:space="0"/>
              <w:bottom w:val="nil"/>
              <w:right w:val="single" w:color="000000" w:sz="4" w:space="0"/>
            </w:tcBorders>
            <w:noWrap w:val="0"/>
            <w:vAlign w:val="center"/>
          </w:tcPr>
          <w:p w14:paraId="1C89C9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定性</w:t>
            </w:r>
          </w:p>
        </w:tc>
        <w:tc>
          <w:tcPr>
            <w:tcW w:w="1320" w:type="dxa"/>
            <w:tcBorders>
              <w:top w:val="single" w:color="000000" w:sz="4" w:space="0"/>
              <w:left w:val="single" w:color="000000" w:sz="4" w:space="0"/>
              <w:bottom w:val="nil"/>
              <w:right w:val="single" w:color="000000" w:sz="4" w:space="0"/>
            </w:tcBorders>
            <w:noWrap w:val="0"/>
            <w:vAlign w:val="center"/>
          </w:tcPr>
          <w:p w14:paraId="7D1792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和谐发展</w:t>
            </w:r>
          </w:p>
        </w:tc>
        <w:tc>
          <w:tcPr>
            <w:tcW w:w="1233" w:type="dxa"/>
            <w:tcBorders>
              <w:top w:val="single" w:color="000000" w:sz="4" w:space="0"/>
              <w:left w:val="single" w:color="000000" w:sz="4" w:space="0"/>
              <w:bottom w:val="nil"/>
              <w:right w:val="single" w:color="000000" w:sz="4" w:space="0"/>
            </w:tcBorders>
            <w:noWrap w:val="0"/>
            <w:vAlign w:val="center"/>
          </w:tcPr>
          <w:p w14:paraId="2A4226D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1161F0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7"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02294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7C804F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满意度</w:t>
            </w:r>
          </w:p>
          <w:p w14:paraId="201B5D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noWrap w:val="0"/>
            <w:vAlign w:val="center"/>
          </w:tcPr>
          <w:p w14:paraId="3C01F6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服务对象满意度指标</w:t>
            </w:r>
          </w:p>
        </w:tc>
        <w:tc>
          <w:tcPr>
            <w:tcW w:w="1140" w:type="dxa"/>
            <w:tcBorders>
              <w:top w:val="single" w:color="000000" w:sz="4" w:space="0"/>
              <w:left w:val="single" w:color="000000" w:sz="4" w:space="0"/>
              <w:bottom w:val="single" w:color="000000" w:sz="4" w:space="0"/>
              <w:right w:val="single" w:color="000000" w:sz="4" w:space="0"/>
            </w:tcBorders>
            <w:noWrap w:val="0"/>
            <w:vAlign w:val="center"/>
          </w:tcPr>
          <w:p w14:paraId="593045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noWrap w:val="0"/>
            <w:vAlign w:val="center"/>
          </w:tcPr>
          <w:p w14:paraId="794C2B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人民群众满意率</w:t>
            </w:r>
          </w:p>
        </w:tc>
        <w:tc>
          <w:tcPr>
            <w:tcW w:w="1380" w:type="dxa"/>
            <w:tcBorders>
              <w:top w:val="single" w:color="000000" w:sz="4" w:space="0"/>
              <w:left w:val="single" w:color="000000" w:sz="4" w:space="0"/>
              <w:bottom w:val="single" w:color="000000" w:sz="4" w:space="0"/>
              <w:right w:val="single" w:color="000000" w:sz="4" w:space="0"/>
            </w:tcBorders>
            <w:noWrap w:val="0"/>
            <w:vAlign w:val="center"/>
          </w:tcPr>
          <w:p w14:paraId="6CE58B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DF81C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233" w:type="dxa"/>
            <w:tcBorders>
              <w:top w:val="single" w:color="000000" w:sz="4" w:space="0"/>
              <w:left w:val="single" w:color="000000" w:sz="4" w:space="0"/>
              <w:bottom w:val="single" w:color="000000" w:sz="4" w:space="0"/>
              <w:right w:val="single" w:color="000000" w:sz="4" w:space="0"/>
            </w:tcBorders>
            <w:noWrap w:val="0"/>
            <w:vAlign w:val="center"/>
          </w:tcPr>
          <w:p w14:paraId="010C911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bl>
    <w:p w14:paraId="1C349948">
      <w:pPr>
        <w:keepNext w:val="0"/>
        <w:keepLines w:val="0"/>
        <w:pageBreakBefore w:val="0"/>
        <w:widowControl w:val="0"/>
        <w:numPr>
          <w:ilvl w:val="0"/>
          <w:numId w:val="0"/>
        </w:numPr>
        <w:kinsoku/>
        <w:wordWrap/>
        <w:overflowPunct w:val="0"/>
        <w:topLinePunct/>
        <w:autoSpaceDE w:val="0"/>
        <w:autoSpaceDN w:val="0"/>
        <w:bidi w:val="0"/>
        <w:adjustRightInd w:val="0"/>
        <w:snapToGrid/>
        <w:spacing w:beforeLines="0" w:afterLines="0" w:line="576" w:lineRule="exact"/>
        <w:jc w:val="both"/>
        <w:textAlignment w:val="auto"/>
        <w:outlineLvl w:val="9"/>
        <w:rPr>
          <w:rFonts w:hint="eastAsia" w:ascii="黑体" w:hAnsi="黑体" w:eastAsia="黑体"/>
          <w:color w:val="000000"/>
          <w:kern w:val="2"/>
          <w:sz w:val="44"/>
          <w:szCs w:val="24"/>
        </w:rPr>
      </w:pPr>
    </w:p>
    <w:tbl>
      <w:tblPr>
        <w:tblStyle w:val="13"/>
        <w:tblW w:w="961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4"/>
        <w:gridCol w:w="852"/>
        <w:gridCol w:w="1129"/>
        <w:gridCol w:w="1050"/>
        <w:gridCol w:w="90"/>
        <w:gridCol w:w="1770"/>
        <w:gridCol w:w="30"/>
        <w:gridCol w:w="1350"/>
        <w:gridCol w:w="30"/>
        <w:gridCol w:w="1290"/>
        <w:gridCol w:w="30"/>
        <w:gridCol w:w="1203"/>
        <w:gridCol w:w="30"/>
      </w:tblGrid>
      <w:tr w14:paraId="1FEA0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600" w:hRule="atLeast"/>
          <w:jc w:val="center"/>
        </w:trPr>
        <w:tc>
          <w:tcPr>
            <w:tcW w:w="9588" w:type="dxa"/>
            <w:gridSpan w:val="12"/>
            <w:tcBorders>
              <w:top w:val="nil"/>
              <w:left w:val="nil"/>
              <w:bottom w:val="nil"/>
              <w:right w:val="nil"/>
            </w:tcBorders>
            <w:shd w:val="clear" w:color="auto" w:fill="auto"/>
            <w:vAlign w:val="center"/>
          </w:tcPr>
          <w:p w14:paraId="05FEA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32"/>
                <w:szCs w:val="32"/>
                <w:u w:val="none"/>
              </w:rPr>
            </w:pPr>
            <w:r>
              <w:rPr>
                <w:rFonts w:hint="eastAsia" w:ascii="宋体" w:hAnsi="宋体" w:eastAsia="宋体" w:cs="宋体"/>
                <w:i w:val="0"/>
                <w:iCs w:val="0"/>
                <w:color w:val="000000"/>
                <w:kern w:val="0"/>
                <w:sz w:val="32"/>
                <w:szCs w:val="32"/>
                <w:u w:val="none"/>
                <w:lang w:val="en-US" w:eastAsia="zh-CN"/>
              </w:rPr>
              <w:t>广元市昭化区财政项目（政策）支出绩效自评表</w:t>
            </w:r>
          </w:p>
        </w:tc>
      </w:tr>
      <w:tr w14:paraId="51C59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280" w:hRule="atLeast"/>
          <w:jc w:val="center"/>
        </w:trPr>
        <w:tc>
          <w:tcPr>
            <w:tcW w:w="9588" w:type="dxa"/>
            <w:gridSpan w:val="12"/>
            <w:tcBorders>
              <w:top w:val="nil"/>
              <w:left w:val="nil"/>
              <w:bottom w:val="nil"/>
              <w:right w:val="nil"/>
            </w:tcBorders>
            <w:shd w:val="clear" w:color="auto" w:fill="auto"/>
            <w:vAlign w:val="top"/>
          </w:tcPr>
          <w:p w14:paraId="1DBB53DB">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 2023年度）</w:t>
            </w:r>
          </w:p>
        </w:tc>
      </w:tr>
      <w:tr w14:paraId="75D32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664A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79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29C2B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东西部协作资金（专项课题研究费）</w:t>
            </w:r>
          </w:p>
        </w:tc>
      </w:tr>
      <w:tr w14:paraId="32289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43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7150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4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4B97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139B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255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44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r>
      <w:tr w14:paraId="04D32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395" w:hRule="atLeast"/>
          <w:jc w:val="center"/>
        </w:trPr>
        <w:tc>
          <w:tcPr>
            <w:tcW w:w="1616"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347F2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269" w:type="dxa"/>
            <w:gridSpan w:val="3"/>
            <w:tcBorders>
              <w:top w:val="nil"/>
              <w:left w:val="single" w:color="000000" w:sz="4" w:space="0"/>
              <w:bottom w:val="single" w:color="000000" w:sz="4" w:space="0"/>
              <w:right w:val="single" w:color="000000" w:sz="4" w:space="0"/>
            </w:tcBorders>
            <w:shd w:val="clear" w:color="auto" w:fill="auto"/>
            <w:vAlign w:val="center"/>
          </w:tcPr>
          <w:p w14:paraId="0F1A6F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年度预算数（万元）</w:t>
            </w:r>
          </w:p>
        </w:tc>
        <w:tc>
          <w:tcPr>
            <w:tcW w:w="1770" w:type="dxa"/>
            <w:tcBorders>
              <w:top w:val="nil"/>
              <w:left w:val="single" w:color="000000" w:sz="4" w:space="0"/>
              <w:bottom w:val="single" w:color="000000" w:sz="4" w:space="0"/>
              <w:right w:val="single" w:color="000000" w:sz="4" w:space="0"/>
            </w:tcBorders>
            <w:shd w:val="clear" w:color="auto" w:fill="auto"/>
            <w:vAlign w:val="center"/>
          </w:tcPr>
          <w:p w14:paraId="1EA855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380" w:type="dxa"/>
            <w:gridSpan w:val="2"/>
            <w:tcBorders>
              <w:top w:val="nil"/>
              <w:left w:val="single" w:color="000000" w:sz="4" w:space="0"/>
              <w:bottom w:val="single" w:color="000000" w:sz="4" w:space="0"/>
              <w:right w:val="single" w:color="000000" w:sz="4" w:space="0"/>
            </w:tcBorders>
            <w:shd w:val="clear" w:color="auto" w:fill="auto"/>
            <w:vAlign w:val="center"/>
          </w:tcPr>
          <w:p w14:paraId="3A6C96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全年预算数</w:t>
            </w:r>
          </w:p>
        </w:tc>
        <w:tc>
          <w:tcPr>
            <w:tcW w:w="1320" w:type="dxa"/>
            <w:gridSpan w:val="2"/>
            <w:tcBorders>
              <w:top w:val="nil"/>
              <w:left w:val="single" w:color="000000" w:sz="4" w:space="0"/>
              <w:bottom w:val="single" w:color="000000" w:sz="4" w:space="0"/>
              <w:right w:val="single" w:color="000000" w:sz="4" w:space="0"/>
            </w:tcBorders>
            <w:shd w:val="clear" w:color="auto" w:fill="auto"/>
            <w:vAlign w:val="center"/>
          </w:tcPr>
          <w:p w14:paraId="61738D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233" w:type="dxa"/>
            <w:gridSpan w:val="2"/>
            <w:tcBorders>
              <w:top w:val="nil"/>
              <w:left w:val="single" w:color="000000" w:sz="4" w:space="0"/>
              <w:bottom w:val="single" w:color="000000" w:sz="4" w:space="0"/>
              <w:right w:val="single" w:color="000000" w:sz="4" w:space="0"/>
            </w:tcBorders>
            <w:shd w:val="clear" w:color="auto" w:fill="auto"/>
            <w:vAlign w:val="center"/>
          </w:tcPr>
          <w:p w14:paraId="59D3D9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3C228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41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B20F2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A67B1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73C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1B20B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20</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F290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14</w:t>
            </w:r>
          </w:p>
        </w:tc>
        <w:tc>
          <w:tcPr>
            <w:tcW w:w="1233" w:type="dxa"/>
            <w:gridSpan w:val="2"/>
            <w:tcBorders>
              <w:top w:val="nil"/>
              <w:left w:val="single" w:color="000000" w:sz="4" w:space="0"/>
              <w:bottom w:val="single" w:color="000000" w:sz="4" w:space="0"/>
              <w:right w:val="single" w:color="000000" w:sz="4" w:space="0"/>
            </w:tcBorders>
            <w:shd w:val="clear" w:color="auto" w:fill="auto"/>
            <w:vAlign w:val="center"/>
          </w:tcPr>
          <w:p w14:paraId="253F9C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70%</w:t>
            </w:r>
          </w:p>
        </w:tc>
      </w:tr>
      <w:tr w14:paraId="05CFA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CF6846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B12CB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7E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545CD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20</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1DAB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14</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F4F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70%</w:t>
            </w:r>
          </w:p>
        </w:tc>
      </w:tr>
      <w:tr w14:paraId="0CACF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36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7C9F49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CE010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1.一般公共预算</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BEE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7FAC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20</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9A3D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14</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7E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70%</w:t>
            </w:r>
          </w:p>
        </w:tc>
      </w:tr>
      <w:tr w14:paraId="094D7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36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A8B072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7208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2.政府性基金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CD97D">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DCFE8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66CF9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8112D6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6EC2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41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26311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92266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3.国有资本经营预算</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BCF9">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C346B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86F6C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41700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45BF2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38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FD62CC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2E5B2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83718">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13FD5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AFC00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93ABC2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E6E9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28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DF1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48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7FCDA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93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9577B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全年实际完成情况</w:t>
            </w:r>
          </w:p>
        </w:tc>
      </w:tr>
      <w:tr w14:paraId="688EA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14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739E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8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05481F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充分发挥东西部地区高技能人才技术优势开展多维度共建联建，在广泛调研基础上，深入研究谋划，建立调研成果转化运用清单，树立精品意识，加强探索创新，着力对新思想的对策性研究和合理化、大众化研究，推出一批高质量调研成果和典型案例，并积极宣传推介成果运用。</w:t>
            </w:r>
          </w:p>
        </w:tc>
        <w:tc>
          <w:tcPr>
            <w:tcW w:w="393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AE965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按合同规定，协议签订后支付经费的70%。</w:t>
            </w:r>
          </w:p>
        </w:tc>
      </w:tr>
      <w:tr w14:paraId="1FC6D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66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0DC3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绩效</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478F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一级指标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AAE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二级指标</w:t>
            </w:r>
          </w:p>
        </w:tc>
        <w:tc>
          <w:tcPr>
            <w:tcW w:w="29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9B77D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三级指标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0F0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年度指标值</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2A62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实际完成值</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4D65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偏差原因分析及改进措施</w:t>
            </w:r>
          </w:p>
        </w:tc>
      </w:tr>
      <w:tr w14:paraId="14CD5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F747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5F66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产出指标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68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5C86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7F8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课题研究次数</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BD1E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≥5次</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312F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5次</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835F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53A08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B396C">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8966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CDF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F13D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F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完成专刊数量</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F9F92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≥6期</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9F29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6期</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C099D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0215D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3A54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0AC2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C9C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质量指标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2049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EA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研究成果评审合格率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6356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≥95%</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1E40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95%</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7E3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5AF27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AE84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C7EE3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E07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时效指标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9C33D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73C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研究成果按时结题率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C98CD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7F94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100%</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19E1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64F2B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4107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63B1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9CD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成本指标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8D50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642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预算资金</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0814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≤20万元</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5FD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14万元</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62B1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14561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CD0A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58C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效益指标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671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社会效益</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CCD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20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成果被引用次数</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9979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≥3次</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2969E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3次</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B0ED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11510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CEA5E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A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满意度</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34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服务对象满意度指标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7FA9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27D1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A729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F976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669C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4397F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860" w:hRule="atLeast"/>
          <w:jc w:val="center"/>
        </w:trPr>
        <w:tc>
          <w:tcPr>
            <w:tcW w:w="9588" w:type="dxa"/>
            <w:gridSpan w:val="12"/>
            <w:tcBorders>
              <w:top w:val="nil"/>
              <w:left w:val="nil"/>
              <w:bottom w:val="nil"/>
              <w:right w:val="nil"/>
            </w:tcBorders>
            <w:shd w:val="clear" w:color="auto" w:fill="auto"/>
            <w:vAlign w:val="center"/>
          </w:tcPr>
          <w:p w14:paraId="2EDC328F">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宋体" w:hAnsi="宋体" w:eastAsia="宋体" w:cs="宋体"/>
                <w:i w:val="0"/>
                <w:iCs w:val="0"/>
                <w:color w:val="000000"/>
                <w:kern w:val="0"/>
                <w:sz w:val="32"/>
                <w:szCs w:val="32"/>
                <w:u w:val="none"/>
                <w:lang w:val="en-US" w:eastAsia="zh-CN"/>
              </w:rPr>
              <w:t>广元市昭化区财政项目（政策）支出绩效自评表</w:t>
            </w:r>
          </w:p>
        </w:tc>
      </w:tr>
      <w:tr w14:paraId="0CFE1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290" w:hRule="atLeast"/>
          <w:jc w:val="center"/>
        </w:trPr>
        <w:tc>
          <w:tcPr>
            <w:tcW w:w="9588" w:type="dxa"/>
            <w:gridSpan w:val="12"/>
            <w:tcBorders>
              <w:top w:val="nil"/>
              <w:left w:val="nil"/>
              <w:bottom w:val="nil"/>
              <w:right w:val="nil"/>
            </w:tcBorders>
            <w:shd w:val="clear" w:color="auto" w:fill="auto"/>
            <w:vAlign w:val="top"/>
          </w:tcPr>
          <w:p w14:paraId="366B9CB5">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（2023年度）</w:t>
            </w:r>
          </w:p>
        </w:tc>
      </w:tr>
      <w:tr w14:paraId="6BC31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E925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7972"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E3CFF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会议系统专用设备采购工作经费</w:t>
            </w:r>
          </w:p>
        </w:tc>
      </w:tr>
      <w:tr w14:paraId="0F2FE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56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1A30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40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3BA42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DF8E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255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403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r>
      <w:tr w14:paraId="4078D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560" w:hRule="atLeast"/>
          <w:jc w:val="center"/>
        </w:trPr>
        <w:tc>
          <w:tcPr>
            <w:tcW w:w="1616"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2B281A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269" w:type="dxa"/>
            <w:gridSpan w:val="3"/>
            <w:tcBorders>
              <w:top w:val="nil"/>
              <w:left w:val="single" w:color="000000" w:sz="4" w:space="0"/>
              <w:bottom w:val="single" w:color="000000" w:sz="4" w:space="0"/>
              <w:right w:val="single" w:color="000000" w:sz="4" w:space="0"/>
            </w:tcBorders>
            <w:shd w:val="clear" w:color="auto" w:fill="auto"/>
            <w:vAlign w:val="center"/>
          </w:tcPr>
          <w:p w14:paraId="188F61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年度预算数（万元）</w:t>
            </w:r>
          </w:p>
        </w:tc>
        <w:tc>
          <w:tcPr>
            <w:tcW w:w="1770" w:type="dxa"/>
            <w:tcBorders>
              <w:top w:val="nil"/>
              <w:left w:val="single" w:color="000000" w:sz="4" w:space="0"/>
              <w:bottom w:val="single" w:color="000000" w:sz="4" w:space="0"/>
              <w:right w:val="single" w:color="000000" w:sz="4" w:space="0"/>
            </w:tcBorders>
            <w:shd w:val="clear" w:color="auto" w:fill="auto"/>
            <w:vAlign w:val="center"/>
          </w:tcPr>
          <w:p w14:paraId="6BA505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380" w:type="dxa"/>
            <w:gridSpan w:val="2"/>
            <w:tcBorders>
              <w:top w:val="nil"/>
              <w:left w:val="single" w:color="000000" w:sz="4" w:space="0"/>
              <w:bottom w:val="single" w:color="000000" w:sz="4" w:space="0"/>
              <w:right w:val="single" w:color="000000" w:sz="4" w:space="0"/>
            </w:tcBorders>
            <w:shd w:val="clear" w:color="auto" w:fill="auto"/>
            <w:vAlign w:val="center"/>
          </w:tcPr>
          <w:p w14:paraId="359E1D6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全年预算数</w:t>
            </w:r>
          </w:p>
        </w:tc>
        <w:tc>
          <w:tcPr>
            <w:tcW w:w="1320" w:type="dxa"/>
            <w:gridSpan w:val="2"/>
            <w:tcBorders>
              <w:top w:val="nil"/>
              <w:left w:val="single" w:color="000000" w:sz="4" w:space="0"/>
              <w:bottom w:val="single" w:color="000000" w:sz="4" w:space="0"/>
              <w:right w:val="single" w:color="000000" w:sz="4" w:space="0"/>
            </w:tcBorders>
            <w:shd w:val="clear" w:color="auto" w:fill="auto"/>
            <w:vAlign w:val="center"/>
          </w:tcPr>
          <w:p w14:paraId="38E0DE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233" w:type="dxa"/>
            <w:gridSpan w:val="2"/>
            <w:tcBorders>
              <w:top w:val="nil"/>
              <w:left w:val="single" w:color="000000" w:sz="4" w:space="0"/>
              <w:bottom w:val="single" w:color="000000" w:sz="4" w:space="0"/>
              <w:right w:val="single" w:color="000000" w:sz="4" w:space="0"/>
            </w:tcBorders>
            <w:shd w:val="clear" w:color="auto" w:fill="auto"/>
            <w:vAlign w:val="center"/>
          </w:tcPr>
          <w:p w14:paraId="27F18D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0A31F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41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D544AF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CE69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0D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AC67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18</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AF3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17.09075</w:t>
            </w:r>
          </w:p>
        </w:tc>
        <w:tc>
          <w:tcPr>
            <w:tcW w:w="1233" w:type="dxa"/>
            <w:gridSpan w:val="2"/>
            <w:tcBorders>
              <w:top w:val="nil"/>
              <w:left w:val="single" w:color="000000" w:sz="4" w:space="0"/>
              <w:bottom w:val="single" w:color="000000" w:sz="4" w:space="0"/>
              <w:right w:val="single" w:color="000000" w:sz="4" w:space="0"/>
            </w:tcBorders>
            <w:shd w:val="clear" w:color="auto" w:fill="auto"/>
            <w:vAlign w:val="center"/>
          </w:tcPr>
          <w:p w14:paraId="2272C4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95%</w:t>
            </w:r>
          </w:p>
        </w:tc>
      </w:tr>
      <w:tr w14:paraId="549A4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42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75F50A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E188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F7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82E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18</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638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17.09075</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F347E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95%</w:t>
            </w:r>
          </w:p>
        </w:tc>
      </w:tr>
      <w:tr w14:paraId="30558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38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8375CF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7028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1.一般公共预算</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460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34C3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18</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17B6B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17.09075</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B55F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95%</w:t>
            </w:r>
          </w:p>
        </w:tc>
      </w:tr>
      <w:tr w14:paraId="6CB98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39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81A7D4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AFB70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2.政府性基金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1BC7">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0D921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90649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CC9B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768E0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38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33C577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35EC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3.国有资本经营预算</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2A002">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4F5116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633F91">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23F98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FB17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39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3FEDD3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26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894A8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674DF">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C8DE7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4C2F9B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6BB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60382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34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4E2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48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35CD6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93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BF38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全年实际完成情况</w:t>
            </w:r>
          </w:p>
        </w:tc>
      </w:tr>
      <w:tr w14:paraId="3E27B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0" w:type="dxa"/>
          <w:trHeight w:val="1355"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6660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891"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B64A38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会议系统专用设备采购工作经费主要用于会议系统专用设备和配套设备的采购。该设备是会议系统的关键设备，是确保电视电话会议系统正常稳定运行的关键所在，保障市委市政府政令畅通。</w:t>
            </w:r>
          </w:p>
        </w:tc>
        <w:tc>
          <w:tcPr>
            <w:tcW w:w="393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146B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按合同规定，最终采购经费支付170907.50元。</w:t>
            </w:r>
          </w:p>
        </w:tc>
      </w:tr>
      <w:tr w14:paraId="2744E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109C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绩效</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D63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一级指标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18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二级指标</w:t>
            </w:r>
          </w:p>
        </w:tc>
        <w:tc>
          <w:tcPr>
            <w:tcW w:w="291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1F7D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三级指标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6C83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年度指标值</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D1E80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实际完成值</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55C6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偏差原因分析及改进措施</w:t>
            </w:r>
          </w:p>
        </w:tc>
      </w:tr>
      <w:tr w14:paraId="2ADFF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984C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983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产出指标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2FB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139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C54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设备采购数量</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8A0D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1台</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77F6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1台</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5DE3E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45D46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7223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481F5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A0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质量指标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AE56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858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设备故障率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D2B8F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≤5%</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3A80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5%</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B3AD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0707D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CF7E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20A5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0B76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时效指标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DC24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9BE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设备安装完成时间</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8162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≤6个月</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EDC9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6个月</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2DB04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6CCD6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CED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322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2BA4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成本指标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96D9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C3D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预算控制数</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CBCA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≤180000元</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F410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170907.50元</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D48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7AF5D2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762C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DE0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效益指标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ECD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社会效益</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B696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2AB4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设备利用率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2E678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A264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FC02A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0DA67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After w:val="1"/>
          <w:wAfter w:w="30" w:type="dxa"/>
          <w:trHeight w:val="72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69C3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5A4E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满意度</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84D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服务对象满意度指标</w:t>
            </w:r>
          </w:p>
        </w:tc>
        <w:tc>
          <w:tcPr>
            <w:tcW w:w="11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3ADDE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7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7E0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使用单位满意度</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B2AC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424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9128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587A7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9618" w:type="dxa"/>
            <w:gridSpan w:val="13"/>
            <w:tcBorders>
              <w:top w:val="nil"/>
              <w:left w:val="nil"/>
              <w:bottom w:val="nil"/>
              <w:right w:val="nil"/>
            </w:tcBorders>
            <w:shd w:val="clear" w:color="auto" w:fill="auto"/>
            <w:vAlign w:val="center"/>
          </w:tcPr>
          <w:p w14:paraId="7F77230A">
            <w:pPr>
              <w:keepNext w:val="0"/>
              <w:keepLines w:val="0"/>
              <w:widowControl/>
              <w:suppressLineNumbers w:val="0"/>
              <w:spacing w:before="0" w:beforeAutospacing="0" w:after="0" w:afterAutospacing="0"/>
              <w:ind w:left="0" w:right="0"/>
              <w:jc w:val="center"/>
              <w:textAlignment w:val="center"/>
              <w:rPr>
                <w:rFonts w:ascii="方正小标宋简体" w:hAnsi="方正小标宋简体" w:eastAsia="方正小标宋简体" w:cs="方正小标宋简体"/>
                <w:i w:val="0"/>
                <w:iCs w:val="0"/>
                <w:color w:val="000000"/>
                <w:sz w:val="36"/>
                <w:szCs w:val="36"/>
                <w:u w:val="none"/>
              </w:rPr>
            </w:pPr>
            <w:r>
              <w:rPr>
                <w:rFonts w:hint="eastAsia" w:ascii="宋体" w:hAnsi="宋体" w:eastAsia="宋体" w:cs="宋体"/>
                <w:i w:val="0"/>
                <w:iCs w:val="0"/>
                <w:color w:val="000000"/>
                <w:kern w:val="0"/>
                <w:sz w:val="32"/>
                <w:szCs w:val="32"/>
                <w:u w:val="none"/>
                <w:lang w:val="en-US" w:eastAsia="zh-CN"/>
              </w:rPr>
              <w:t>广元市昭化区财政项目（政策）支出绩效自评表</w:t>
            </w:r>
          </w:p>
        </w:tc>
      </w:tr>
      <w:tr w14:paraId="40A5B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jc w:val="center"/>
        </w:trPr>
        <w:tc>
          <w:tcPr>
            <w:tcW w:w="9618" w:type="dxa"/>
            <w:gridSpan w:val="13"/>
            <w:tcBorders>
              <w:top w:val="nil"/>
              <w:left w:val="nil"/>
              <w:bottom w:val="nil"/>
              <w:right w:val="nil"/>
            </w:tcBorders>
            <w:shd w:val="clear" w:color="auto" w:fill="auto"/>
            <w:vAlign w:val="top"/>
          </w:tcPr>
          <w:p w14:paraId="7AAB6A51">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 2023年度）</w:t>
            </w:r>
          </w:p>
        </w:tc>
      </w:tr>
      <w:tr w14:paraId="74E65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34643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800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419428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网络设备采购工作经费</w:t>
            </w:r>
          </w:p>
        </w:tc>
      </w:tr>
      <w:tr w14:paraId="2FCB8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24F9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4069"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27D5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1B4CC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2553"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4C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r>
      <w:tr w14:paraId="1AF75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616"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502995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179" w:type="dxa"/>
            <w:gridSpan w:val="2"/>
            <w:tcBorders>
              <w:top w:val="nil"/>
              <w:left w:val="single" w:color="000000" w:sz="4" w:space="0"/>
              <w:bottom w:val="single" w:color="000000" w:sz="4" w:space="0"/>
              <w:right w:val="single" w:color="000000" w:sz="4" w:space="0"/>
            </w:tcBorders>
            <w:shd w:val="clear" w:color="auto" w:fill="auto"/>
            <w:vAlign w:val="center"/>
          </w:tcPr>
          <w:p w14:paraId="456445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年度预算数（万元）</w:t>
            </w:r>
          </w:p>
        </w:tc>
        <w:tc>
          <w:tcPr>
            <w:tcW w:w="1890" w:type="dxa"/>
            <w:gridSpan w:val="3"/>
            <w:tcBorders>
              <w:top w:val="nil"/>
              <w:left w:val="single" w:color="000000" w:sz="4" w:space="0"/>
              <w:bottom w:val="single" w:color="000000" w:sz="4" w:space="0"/>
              <w:right w:val="single" w:color="000000" w:sz="4" w:space="0"/>
            </w:tcBorders>
            <w:shd w:val="clear" w:color="auto" w:fill="auto"/>
            <w:vAlign w:val="center"/>
          </w:tcPr>
          <w:p w14:paraId="00638DF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380" w:type="dxa"/>
            <w:gridSpan w:val="2"/>
            <w:tcBorders>
              <w:top w:val="nil"/>
              <w:left w:val="single" w:color="000000" w:sz="4" w:space="0"/>
              <w:bottom w:val="single" w:color="000000" w:sz="4" w:space="0"/>
              <w:right w:val="single" w:color="000000" w:sz="4" w:space="0"/>
            </w:tcBorders>
            <w:shd w:val="clear" w:color="auto" w:fill="auto"/>
            <w:vAlign w:val="center"/>
          </w:tcPr>
          <w:p w14:paraId="4E547AD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全年预算数</w:t>
            </w:r>
          </w:p>
        </w:tc>
        <w:tc>
          <w:tcPr>
            <w:tcW w:w="1320" w:type="dxa"/>
            <w:gridSpan w:val="2"/>
            <w:tcBorders>
              <w:top w:val="nil"/>
              <w:left w:val="single" w:color="000000" w:sz="4" w:space="0"/>
              <w:bottom w:val="single" w:color="000000" w:sz="4" w:space="0"/>
              <w:right w:val="single" w:color="000000" w:sz="4" w:space="0"/>
            </w:tcBorders>
            <w:shd w:val="clear" w:color="auto" w:fill="auto"/>
            <w:vAlign w:val="center"/>
          </w:tcPr>
          <w:p w14:paraId="531144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233" w:type="dxa"/>
            <w:gridSpan w:val="2"/>
            <w:tcBorders>
              <w:top w:val="nil"/>
              <w:left w:val="single" w:color="000000" w:sz="4" w:space="0"/>
              <w:bottom w:val="single" w:color="000000" w:sz="4" w:space="0"/>
              <w:right w:val="single" w:color="000000" w:sz="4" w:space="0"/>
            </w:tcBorders>
            <w:shd w:val="clear" w:color="auto" w:fill="auto"/>
            <w:vAlign w:val="center"/>
          </w:tcPr>
          <w:p w14:paraId="0EDE91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075BC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5701DF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1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3665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2BD9E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1F57F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19.60 </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D7D5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8.74</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A217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44.59%</w:t>
            </w:r>
          </w:p>
        </w:tc>
      </w:tr>
      <w:tr w14:paraId="67787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8120A8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1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F89A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2DCE9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A825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19.60 </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5952A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8.74</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627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44.59%</w:t>
            </w:r>
          </w:p>
        </w:tc>
      </w:tr>
      <w:tr w14:paraId="7A9DE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7E66BF7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1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31D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1.一般公共预算</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4143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0</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2EE7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19.60 </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A92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8.74</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2925A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44.59%</w:t>
            </w:r>
          </w:p>
        </w:tc>
      </w:tr>
      <w:tr w14:paraId="3B234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2AA5F7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1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7B700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2.政府性基金</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897892">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29B21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8A70B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C4B8C8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328178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6BA0DB9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1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C50B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3.国有资本经营预算</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3F5BE4C">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9CDB3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F3D8EA">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A9154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9BDA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986EC5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217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9079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D3AF0E">
            <w:pPr>
              <w:keepNext w:val="0"/>
              <w:keepLines w:val="0"/>
              <w:suppressLineNumbers w:val="0"/>
              <w:spacing w:before="0" w:beforeAutospacing="0" w:after="0" w:afterAutospacing="0"/>
              <w:ind w:left="0" w:right="0"/>
              <w:jc w:val="left"/>
              <w:rPr>
                <w:rFonts w:hint="eastAsia" w:ascii="宋体" w:hAnsi="宋体" w:eastAsia="宋体" w:cs="宋体"/>
                <w:i w:val="0"/>
                <w:iCs w:val="0"/>
                <w:color w:val="000000"/>
                <w:sz w:val="18"/>
                <w:szCs w:val="18"/>
                <w:u w:val="none"/>
              </w:rPr>
            </w:pP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22C88">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D729D3">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BB061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r>
      <w:tr w14:paraId="122ED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784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49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39A56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93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C1884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全年实际完成情况</w:t>
            </w:r>
          </w:p>
        </w:tc>
      </w:tr>
      <w:tr w14:paraId="1F313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57EA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4921"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BC03D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根据上级安排，开展专用网络设备采购工作。用于专用网络设备采购及配套设备购置，确保相关设备、网络的安全运行，保障市委市政府政令畅通。</w:t>
            </w:r>
          </w:p>
        </w:tc>
        <w:tc>
          <w:tcPr>
            <w:tcW w:w="393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41CA6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2023年支付87400元，2024年继续安排23600元，85000元的会商系统停止使用。</w:t>
            </w:r>
          </w:p>
        </w:tc>
      </w:tr>
      <w:tr w14:paraId="07056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C66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绩效</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6D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一级指标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D30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二级指标</w:t>
            </w:r>
          </w:p>
        </w:tc>
        <w:tc>
          <w:tcPr>
            <w:tcW w:w="294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581E8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三级指标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82186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年度指标值</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22606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实际完成值</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7835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偏差原因分析及改进措施</w:t>
            </w:r>
          </w:p>
        </w:tc>
      </w:tr>
      <w:tr w14:paraId="57BFB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CB38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5665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产出指标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DD9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65F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380CF5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购置网络设备数量</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2321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1套</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4C27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1套</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51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15CD1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7D7F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805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6F4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质量指标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22A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699C5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网络设备系统故障率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D1E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≤5%</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1454D5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5%</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F71D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160FA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94DD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E23E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99E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时效指标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A2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17A1D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系统故障修复处理时间</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0A34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≤6小时</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5AF8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6小时</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9D18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7CB85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DDB3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025C7">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6D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成本指标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A7B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8226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预算控制数</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6FA72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≤196000元</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C82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87400元</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82FB1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0A3B9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47FB5">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A8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效益</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FBF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社会效益</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CC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6DE08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网络设备利用率</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B53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D13A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4999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17EE1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629FDF">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16D9">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BD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可持续发展指标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203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AB7613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网络设备使用年限</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4858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定性</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F5A2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优</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FC09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4581E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F9F4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78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满意度</w:t>
            </w:r>
            <w:r>
              <w:rPr>
                <w:rFonts w:hint="eastAsia" w:ascii="宋体" w:hAnsi="宋体" w:eastAsia="宋体" w:cs="宋体"/>
                <w:i w:val="0"/>
                <w:iCs w:val="0"/>
                <w:color w:val="000000"/>
                <w:kern w:val="0"/>
                <w:sz w:val="18"/>
                <w:szCs w:val="18"/>
                <w:u w:val="none"/>
                <w:lang w:val="en-US" w:eastAsia="zh-CN"/>
              </w:rPr>
              <w:br w:type="textWrapping"/>
            </w: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090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服务对象满意度指标</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491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指标1：</w:t>
            </w:r>
          </w:p>
        </w:tc>
        <w:tc>
          <w:tcPr>
            <w:tcW w:w="189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DC75D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使用单位满意度</w:t>
            </w:r>
          </w:p>
        </w:tc>
        <w:tc>
          <w:tcPr>
            <w:tcW w:w="138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C6A5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3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261B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99%</w:t>
            </w:r>
          </w:p>
        </w:tc>
        <w:tc>
          <w:tcPr>
            <w:tcW w:w="123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13F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bl>
    <w:p w14:paraId="5D95DA97">
      <w:pPr>
        <w:pStyle w:val="2"/>
        <w:kinsoku/>
        <w:wordWrap/>
        <w:autoSpaceDE w:val="0"/>
        <w:autoSpaceDN w:val="0"/>
        <w:bidi w:val="0"/>
        <w:adjustRightInd w:val="0"/>
        <w:spacing w:before="72" w:afterLines="0" w:line="576" w:lineRule="exact"/>
        <w:textAlignment w:val="auto"/>
        <w:rPr>
          <w:rFonts w:hint="eastAsia"/>
          <w:sz w:val="30"/>
          <w:szCs w:val="24"/>
        </w:rPr>
      </w:pPr>
    </w:p>
    <w:p w14:paraId="34DB6786">
      <w:pPr>
        <w:pStyle w:val="2"/>
        <w:kinsoku/>
        <w:wordWrap/>
        <w:autoSpaceDE w:val="0"/>
        <w:autoSpaceDN w:val="0"/>
        <w:bidi w:val="0"/>
        <w:adjustRightInd w:val="0"/>
        <w:spacing w:before="72" w:afterLines="0" w:line="576" w:lineRule="exact"/>
        <w:textAlignment w:val="auto"/>
        <w:rPr>
          <w:rFonts w:hint="eastAsia"/>
          <w:sz w:val="30"/>
          <w:szCs w:val="24"/>
        </w:rPr>
        <w:sectPr>
          <w:pgSz w:w="12240" w:h="15840"/>
          <w:pgMar w:top="2098" w:right="1474" w:bottom="1984" w:left="1587" w:header="720" w:footer="720" w:gutter="0"/>
          <w:lnNumType w:countBy="0" w:distance="360"/>
          <w:pgNumType w:fmt="decimal"/>
          <w:cols w:space="0" w:num="1"/>
          <w:rtlGutter w:val="0"/>
          <w:docGrid w:linePitch="0" w:charSpace="0"/>
        </w:sectPr>
      </w:pPr>
    </w:p>
    <w:p w14:paraId="77EE0089">
      <w:pPr>
        <w:keepNext/>
        <w:keepLines/>
        <w:pageBreakBefore/>
        <w:widowControl w:val="0"/>
        <w:kinsoku/>
        <w:wordWrap/>
        <w:overflowPunct/>
        <w:topLinePunct w:val="0"/>
        <w:autoSpaceDE w:val="0"/>
        <w:autoSpaceDN w:val="0"/>
        <w:bidi w:val="0"/>
        <w:adjustRightInd w:val="0"/>
        <w:snapToGrid/>
        <w:spacing w:beforeLines="0" w:afterLines="0" w:line="576" w:lineRule="exact"/>
        <w:jc w:val="both"/>
        <w:textAlignment w:val="auto"/>
        <w:outlineLvl w:val="2"/>
        <w:rPr>
          <w:rFonts w:hint="eastAsia" w:ascii="仿宋_GB2312" w:hAnsi="仿宋_GB2312" w:eastAsia="仿宋_GB2312"/>
          <w:kern w:val="2"/>
          <w:sz w:val="32"/>
          <w:szCs w:val="24"/>
        </w:rPr>
      </w:pPr>
      <w:bookmarkStart w:id="26" w:name="_Toc8399"/>
      <w:r>
        <w:rPr>
          <w:rFonts w:hint="eastAsia" w:ascii="黑体" w:hAnsi="黑体" w:eastAsia="黑体"/>
          <w:kern w:val="2"/>
          <w:sz w:val="32"/>
          <w:szCs w:val="24"/>
        </w:rPr>
        <w:t>附件2</w:t>
      </w:r>
      <w:bookmarkEnd w:id="26"/>
    </w:p>
    <w:p w14:paraId="5C8C563E">
      <w:pPr>
        <w:keepNext/>
        <w:keepLines/>
        <w:kinsoku/>
        <w:wordWrap/>
        <w:autoSpaceDE w:val="0"/>
        <w:autoSpaceDN w:val="0"/>
        <w:bidi w:val="0"/>
        <w:adjustRightInd w:val="0"/>
        <w:spacing w:beforeLines="0" w:after="313" w:afterLines="0" w:line="576" w:lineRule="exact"/>
        <w:jc w:val="center"/>
        <w:textAlignment w:val="auto"/>
        <w:rPr>
          <w:rFonts w:hint="eastAsia" w:ascii="方正小标宋简体" w:hAnsi="方正小标宋简体" w:eastAsia="方正小标宋简体" w:cs="方正小标宋简体"/>
          <w:kern w:val="2"/>
          <w:sz w:val="44"/>
          <w:szCs w:val="44"/>
          <w:lang w:val="zh-CN"/>
        </w:rPr>
      </w:pPr>
      <w:r>
        <w:rPr>
          <w:rFonts w:hint="eastAsia" w:ascii="方正小标宋简体" w:hAnsi="方正小标宋简体" w:eastAsia="方正小标宋简体" w:cs="方正小标宋简体"/>
          <w:kern w:val="2"/>
          <w:sz w:val="44"/>
          <w:szCs w:val="44"/>
        </w:rPr>
        <w:t>2023年办公室运行工作经费</w:t>
      </w:r>
      <w:r>
        <w:rPr>
          <w:rFonts w:hint="eastAsia" w:ascii="方正小标宋简体" w:hAnsi="方正小标宋简体" w:eastAsia="方正小标宋简体" w:cs="方正小标宋简体"/>
          <w:kern w:val="2"/>
          <w:sz w:val="44"/>
          <w:szCs w:val="44"/>
          <w:lang w:val="zh-CN"/>
        </w:rPr>
        <w:t>专项预算项目</w:t>
      </w:r>
    </w:p>
    <w:p w14:paraId="51F11828">
      <w:pPr>
        <w:keepNext/>
        <w:keepLines/>
        <w:kinsoku/>
        <w:wordWrap/>
        <w:autoSpaceDE w:val="0"/>
        <w:autoSpaceDN w:val="0"/>
        <w:bidi w:val="0"/>
        <w:adjustRightInd w:val="0"/>
        <w:spacing w:beforeLines="0" w:after="313" w:afterLines="0" w:line="576" w:lineRule="exact"/>
        <w:jc w:val="center"/>
        <w:textAlignment w:val="auto"/>
        <w:rPr>
          <w:rFonts w:hint="eastAsia" w:ascii="方正小标宋简体" w:hAnsi="方正小标宋简体" w:eastAsia="方正小标宋简体"/>
          <w:kern w:val="2"/>
          <w:sz w:val="40"/>
          <w:szCs w:val="24"/>
          <w:lang w:val="zh-CN"/>
        </w:rPr>
      </w:pPr>
      <w:r>
        <w:rPr>
          <w:rFonts w:hint="eastAsia" w:ascii="方正小标宋简体" w:hAnsi="方正小标宋简体" w:eastAsia="方正小标宋简体" w:cs="方正小标宋简体"/>
          <w:kern w:val="2"/>
          <w:sz w:val="44"/>
          <w:szCs w:val="44"/>
          <w:lang w:val="zh-CN"/>
        </w:rPr>
        <w:t>绩效评价报告</w:t>
      </w:r>
    </w:p>
    <w:p w14:paraId="5563F7A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一、项目概况</w:t>
      </w:r>
    </w:p>
    <w:p w14:paraId="55A5114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一是用于档案室基础设施设备建设、档案法治和文化建设</w:t>
      </w:r>
      <w:r>
        <w:rPr>
          <w:rFonts w:hint="default" w:ascii="Times New Roman" w:hAnsi="Times New Roman" w:eastAsia="仿宋_GB2312" w:cs="Times New Roman"/>
          <w:kern w:val="2"/>
          <w:sz w:val="32"/>
          <w:szCs w:val="32"/>
          <w:lang w:val="en-US" w:eastAsia="zh-CN"/>
        </w:rPr>
        <w:t xml:space="preserve"> </w:t>
      </w:r>
      <w:r>
        <w:rPr>
          <w:rFonts w:hint="default" w:ascii="仿宋_GB2312" w:hAnsi="Times New Roman" w:eastAsia="仿宋_GB2312" w:cs="仿宋_GB2312"/>
          <w:kern w:val="2"/>
          <w:sz w:val="32"/>
          <w:szCs w:val="32"/>
          <w:lang w:val="en-US" w:eastAsia="zh-CN"/>
        </w:rPr>
        <w:t>、档案信息化建设、数字档案室建设、监督指导、宣传培训等。二是用于订购《中办通讯》、《秘书工作》、政研专刊等刊物，为领导调研、各类会议材料撰写、领导讲话等提供更加科学的依据。三是用于机关干部素质提升，切实提高干部职工综合素质和服务能力更好的适应新形势、新任务的要求。四是用于持续加强党内法规制度建设，着力抓好宣传教育、机制完善，抓实文件审核、备案、清理等重点工作，以及办公室人员党内法规工作业务培训和业务能力测试，全面促进各镇各部门提高党内法规文件制定、备案和清理工作能力，增强党的执政能力、巩固党的执政基础提供有力的制度保障。五是邀请省市区老笔杆子通过线上或线下途径对全区办公室进行党委信息工作培训，提升昭化区党委信息工作整体成绩，以及加大紧急信息工作指导力度，实地对各镇各部门紧急信息工作专人、台账、处置流程等内容进行检查，明确整改时限，切实守住紧急信息底线、红线。</w:t>
      </w:r>
    </w:p>
    <w:p w14:paraId="3F5E53C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楷体_GB2312" w:hAnsi="Times New Roman" w:eastAsia="楷体_GB2312" w:cs="楷体_GB2312"/>
          <w:kern w:val="2"/>
          <w:sz w:val="32"/>
          <w:szCs w:val="32"/>
          <w:lang w:val="en-US" w:eastAsia="zh-CN"/>
        </w:rPr>
        <w:t>（一）项目资金申报及批复情况。</w:t>
      </w:r>
      <w:r>
        <w:rPr>
          <w:rFonts w:hint="default" w:ascii="仿宋_GB2312" w:hAnsi="Times New Roman" w:eastAsia="仿宋_GB2312" w:cs="仿宋_GB2312"/>
          <w:kern w:val="2"/>
          <w:sz w:val="32"/>
          <w:szCs w:val="32"/>
          <w:lang w:val="en-US" w:eastAsia="zh-CN"/>
        </w:rPr>
        <w:t>办公室运行工作经费项目的申报严格按区财政资金管理的要求进行，该项目是</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年预算的项目，于</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月立项，项目下达资金以</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年预算批复为准。</w:t>
      </w:r>
    </w:p>
    <w:p w14:paraId="06B52E94">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楷体_GB2312" w:hAnsi="Times New Roman" w:eastAsia="楷体_GB2312" w:cs="楷体_GB2312"/>
          <w:kern w:val="2"/>
          <w:sz w:val="32"/>
          <w:szCs w:val="32"/>
          <w:lang w:val="en-US" w:eastAsia="zh-CN"/>
        </w:rPr>
        <w:t>（二）项目绩效目标。</w:t>
      </w:r>
      <w:r>
        <w:rPr>
          <w:rFonts w:hint="default" w:ascii="仿宋_GB2312" w:hAnsi="Times New Roman" w:eastAsia="仿宋_GB2312" w:cs="仿宋_GB2312"/>
          <w:kern w:val="2"/>
          <w:sz w:val="32"/>
          <w:szCs w:val="32"/>
          <w:lang w:val="en-US" w:eastAsia="zh-CN"/>
        </w:rPr>
        <w:t>该项目的实施，保证了档案工作的正常开展，完成了巩固拓展脱贫攻坚成果同乡村振兴有效衔接档案整理工作，深化了档案法治和文化建设，优化了档案查询服务，发挥了档案资政育人作用，方便人民群众查阅档案</w:t>
      </w:r>
      <w:r>
        <w:rPr>
          <w:rFonts w:hint="default" w:ascii="Times New Roman" w:hAnsi="Times New Roman" w:eastAsia="仿宋_GB2312" w:cs="Times New Roman"/>
          <w:kern w:val="2"/>
          <w:sz w:val="32"/>
          <w:szCs w:val="32"/>
          <w:lang w:val="en-US" w:eastAsia="zh-CN"/>
        </w:rPr>
        <w:t xml:space="preserve"> </w:t>
      </w:r>
      <w:r>
        <w:rPr>
          <w:rFonts w:hint="default" w:ascii="仿宋_GB2312" w:hAnsi="Times New Roman" w:eastAsia="仿宋_GB2312" w:cs="仿宋_GB2312"/>
          <w:kern w:val="2"/>
          <w:sz w:val="32"/>
          <w:szCs w:val="32"/>
          <w:lang w:val="en-US" w:eastAsia="zh-CN"/>
        </w:rPr>
        <w:t>，确保档案业务各项工作正常运转。为领导调研、各类会议材料的撰写、领导讲话等提供更加科学的依据。通过培训提能，机关干部素质、能力跃升，更好</w:t>
      </w:r>
      <w:r>
        <w:t>地</w:t>
      </w:r>
      <w:r>
        <w:rPr>
          <w:rFonts w:hint="default" w:ascii="仿宋_GB2312" w:hAnsi="Times New Roman" w:eastAsia="仿宋_GB2312" w:cs="仿宋_GB2312"/>
          <w:kern w:val="2"/>
          <w:sz w:val="32"/>
          <w:szCs w:val="32"/>
          <w:lang w:val="en-US" w:eastAsia="zh-CN"/>
        </w:rPr>
        <w:t>适应新形势、新任务的要求。全面促进了各镇各部门提高党内法规文件制定、备案和清理工作能力，为进一步推动党的建设科学化水平、增强党的执政能力、巩固党的执政基础提供有力的制度保障。对全区经济、政治、文化、社会、生态文明和党的建设等方面取得的亮眼成绩和探索性举措进行全面总结提炼，对经济社会、民生热点中的问题短板进行及时热议并提出对策建议，为中央、省委、市委、区委决策提供参考意见。</w:t>
      </w:r>
    </w:p>
    <w:p w14:paraId="1D04227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楷体_GB2312" w:hAnsi="Times New Roman" w:eastAsia="楷体_GB2312" w:cs="楷体_GB2312"/>
          <w:kern w:val="2"/>
          <w:sz w:val="32"/>
          <w:szCs w:val="32"/>
          <w:lang w:val="en-US" w:eastAsia="zh-CN"/>
        </w:rPr>
        <w:t>（三）项目资金申报相符性。</w:t>
      </w:r>
      <w:r>
        <w:rPr>
          <w:rFonts w:hint="default" w:ascii="仿宋_GB2312" w:hAnsi="Times New Roman" w:eastAsia="仿宋_GB2312" w:cs="仿宋_GB2312"/>
          <w:kern w:val="2"/>
          <w:sz w:val="32"/>
          <w:szCs w:val="32"/>
          <w:lang w:val="en-US" w:eastAsia="zh-CN"/>
        </w:rPr>
        <w:t>涉密类工作经费，该项目申报内容与具体实施内容相符，申报目标是合理可行的。</w:t>
      </w:r>
    </w:p>
    <w:p w14:paraId="68182FD9">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（四）自评步骤及方法</w:t>
      </w:r>
    </w:p>
    <w:p w14:paraId="36E6B927">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项目支出经费依据《广元市昭化区人民政府办公室关于印发</w:t>
      </w:r>
      <w:r>
        <w:rPr>
          <w:rFonts w:hint="default" w:ascii="Times New Roman" w:hAnsi="Times New Roman" w:eastAsia="仿宋_GB2312" w:cs="Times New Roman"/>
          <w:kern w:val="2"/>
          <w:sz w:val="32"/>
          <w:szCs w:val="32"/>
          <w:lang w:val="en-US" w:eastAsia="zh-CN"/>
        </w:rPr>
        <w:t>&lt;</w:t>
      </w:r>
      <w:r>
        <w:rPr>
          <w:rFonts w:hint="default" w:ascii="仿宋_GB2312" w:hAnsi="Times New Roman" w:eastAsia="仿宋_GB2312" w:cs="仿宋_GB2312"/>
          <w:kern w:val="2"/>
          <w:sz w:val="32"/>
          <w:szCs w:val="32"/>
          <w:lang w:val="en-US" w:eastAsia="zh-CN"/>
        </w:rPr>
        <w:t>广元市昭化区财政支出事后绩效评价管理办法</w:t>
      </w:r>
      <w:r>
        <w:rPr>
          <w:rFonts w:hint="default" w:ascii="Times New Roman" w:hAnsi="Times New Roman" w:eastAsia="仿宋_GB2312" w:cs="Times New Roman"/>
          <w:kern w:val="2"/>
          <w:sz w:val="32"/>
          <w:szCs w:val="32"/>
          <w:lang w:val="en-US" w:eastAsia="zh-CN"/>
        </w:rPr>
        <w:t>&gt;</w:t>
      </w:r>
      <w:r>
        <w:rPr>
          <w:rFonts w:hint="default" w:ascii="仿宋_GB2312" w:hAnsi="Times New Roman" w:eastAsia="仿宋_GB2312" w:cs="仿宋_GB2312"/>
          <w:kern w:val="2"/>
          <w:sz w:val="32"/>
          <w:szCs w:val="32"/>
          <w:lang w:val="en-US" w:eastAsia="zh-CN"/>
        </w:rPr>
        <w:t>的通知》（昭府办函〔</w:t>
      </w:r>
      <w:r>
        <w:rPr>
          <w:rFonts w:hint="default" w:ascii="Times New Roman" w:hAnsi="Times New Roman" w:eastAsia="仿宋_GB2312" w:cs="Times New Roman"/>
          <w:kern w:val="2"/>
          <w:sz w:val="32"/>
          <w:szCs w:val="32"/>
          <w:lang w:val="en-US" w:eastAsia="zh-CN"/>
        </w:rPr>
        <w:t>2022</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37</w:t>
      </w:r>
      <w:r>
        <w:rPr>
          <w:rFonts w:hint="default" w:ascii="仿宋_GB2312" w:hAnsi="Times New Roman" w:eastAsia="仿宋_GB2312" w:cs="仿宋_GB2312"/>
          <w:kern w:val="2"/>
          <w:sz w:val="32"/>
          <w:szCs w:val="32"/>
          <w:lang w:val="en-US" w:eastAsia="zh-CN"/>
        </w:rPr>
        <w:t>号）文件自评且逐项量分。</w:t>
      </w:r>
    </w:p>
    <w:p w14:paraId="7269E409">
      <w:pPr>
        <w:rPr>
          <w:rFonts w:hint="eastAsia" w:ascii="黑体" w:hAnsi="宋体" w:eastAsia="黑体" w:cs="黑体"/>
          <w:kern w:val="2"/>
          <w:sz w:val="32"/>
          <w:szCs w:val="32"/>
          <w:lang w:val="en-US" w:eastAsia="zh-CN"/>
        </w:rPr>
      </w:pPr>
      <w:r>
        <w:br w:type="page"/>
      </w:r>
    </w:p>
    <w:p w14:paraId="764446B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二、项目实施及管理情况</w:t>
      </w:r>
    </w:p>
    <w:p w14:paraId="49BB931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（一）资金计划、到位及使用情况</w:t>
      </w:r>
    </w:p>
    <w:p w14:paraId="7A5C4DC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、资金计划及到位。截止</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3</w:t>
      </w:r>
      <w:r>
        <w:rPr>
          <w:rFonts w:hint="default" w:ascii="仿宋_GB2312" w:hAnsi="Times New Roman" w:eastAsia="仿宋_GB2312" w:cs="仿宋_GB2312"/>
          <w:kern w:val="2"/>
          <w:sz w:val="32"/>
          <w:szCs w:val="32"/>
          <w:lang w:val="en-US" w:eastAsia="zh-CN"/>
        </w:rPr>
        <w:t>月，预算的办公室运行工作经费</w:t>
      </w:r>
      <w:r>
        <w:rPr>
          <w:rFonts w:hint="default" w:ascii="Times New Roman" w:hAnsi="Times New Roman" w:eastAsia="仿宋_GB2312" w:cs="Times New Roman"/>
          <w:kern w:val="2"/>
          <w:sz w:val="32"/>
          <w:szCs w:val="32"/>
          <w:lang w:val="en-US" w:eastAsia="zh-CN"/>
        </w:rPr>
        <w:t>61.21</w:t>
      </w:r>
      <w:r>
        <w:rPr>
          <w:rFonts w:hint="default" w:ascii="仿宋_GB2312" w:hAnsi="Times New Roman" w:eastAsia="仿宋_GB2312" w:cs="仿宋_GB2312"/>
          <w:kern w:val="2"/>
          <w:sz w:val="32"/>
          <w:szCs w:val="32"/>
          <w:lang w:val="en-US" w:eastAsia="zh-CN"/>
        </w:rPr>
        <w:t>万元，通过预算一体化平台全部到位，资金到位率</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、资金到位及时。</w:t>
      </w:r>
    </w:p>
    <w:p w14:paraId="234E098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2</w:t>
      </w:r>
      <w:r>
        <w:rPr>
          <w:rFonts w:hint="default" w:ascii="仿宋_GB2312" w:hAnsi="Times New Roman" w:eastAsia="仿宋_GB2312" w:cs="仿宋_GB2312"/>
          <w:kern w:val="2"/>
          <w:sz w:val="32"/>
          <w:szCs w:val="32"/>
          <w:lang w:val="en-US" w:eastAsia="zh-CN"/>
        </w:rPr>
        <w:t>、资金使用。截止</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12</w:t>
      </w:r>
      <w:r>
        <w:rPr>
          <w:rFonts w:hint="default" w:ascii="仿宋_GB2312" w:hAnsi="Times New Roman" w:eastAsia="仿宋_GB2312" w:cs="仿宋_GB2312"/>
          <w:kern w:val="2"/>
          <w:sz w:val="32"/>
          <w:szCs w:val="32"/>
          <w:lang w:val="en-US" w:eastAsia="zh-CN"/>
        </w:rPr>
        <w:t>月</w:t>
      </w:r>
      <w:r>
        <w:rPr>
          <w:rFonts w:hint="default" w:ascii="Times New Roman" w:hAnsi="Times New Roman" w:eastAsia="仿宋_GB2312" w:cs="Times New Roman"/>
          <w:kern w:val="2"/>
          <w:sz w:val="32"/>
          <w:szCs w:val="32"/>
          <w:lang w:val="en-US" w:eastAsia="zh-CN"/>
        </w:rPr>
        <w:t>31</w:t>
      </w:r>
      <w:r>
        <w:rPr>
          <w:rFonts w:hint="default" w:ascii="仿宋_GB2312" w:hAnsi="Times New Roman" w:eastAsia="仿宋_GB2312" w:cs="仿宋_GB2312"/>
          <w:kern w:val="2"/>
          <w:sz w:val="32"/>
          <w:szCs w:val="32"/>
          <w:lang w:val="en-US" w:eastAsia="zh-CN"/>
        </w:rPr>
        <w:t>日，支付该项目所有经费</w:t>
      </w:r>
      <w:r>
        <w:rPr>
          <w:rFonts w:hint="default" w:ascii="Times New Roman" w:hAnsi="Times New Roman" w:eastAsia="仿宋_GB2312" w:cs="Times New Roman"/>
          <w:kern w:val="2"/>
          <w:sz w:val="32"/>
          <w:szCs w:val="32"/>
          <w:lang w:val="en-US" w:eastAsia="zh-CN"/>
        </w:rPr>
        <w:t>61.21</w:t>
      </w:r>
      <w:r>
        <w:rPr>
          <w:rFonts w:hint="default" w:ascii="仿宋_GB2312" w:hAnsi="Times New Roman" w:eastAsia="仿宋_GB2312" w:cs="仿宋_GB2312"/>
          <w:kern w:val="2"/>
          <w:sz w:val="32"/>
          <w:szCs w:val="32"/>
          <w:lang w:val="en-US" w:eastAsia="zh-CN"/>
        </w:rPr>
        <w:t>万元，</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年无结余。资金用于的范围、支付标准、支付进度、支付依据等合规合法，并与预算相符。</w:t>
      </w:r>
    </w:p>
    <w:p w14:paraId="73263D6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（二）项目财务管理情况</w:t>
      </w:r>
    </w:p>
    <w:p w14:paraId="2AAADF7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该项经费严格按照项目财务管理制度执行、机构设置健全，会计核算及账务处理到位。严格执行财务管理制度、财务处理及时、会计核算规范。</w:t>
      </w:r>
    </w:p>
    <w:p w14:paraId="26D65C1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（三）项目组织实施及管理情况</w:t>
      </w:r>
    </w:p>
    <w:p w14:paraId="12CC5E17">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办公室运行工作经费项目是基本运转类项目，该项目严格按照相关制度管理和实施，项目绩效与预决算一同在互联网上公开，严格项目监管，项目进展都严格按照相关要求执行，并做好资金支付的审核审批手续。全年无追加预算经费。</w:t>
      </w:r>
    </w:p>
    <w:p w14:paraId="05CBB70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三、项目绩效情况</w:t>
      </w:r>
      <w:r>
        <w:rPr>
          <w:rFonts w:hint="eastAsia" w:ascii="黑体" w:hAnsi="宋体" w:eastAsia="黑体" w:cs="黑体"/>
          <w:kern w:val="2"/>
          <w:sz w:val="32"/>
          <w:szCs w:val="32"/>
          <w:lang w:val="en-US" w:eastAsia="zh-CN"/>
        </w:rPr>
        <w:tab/>
      </w:r>
    </w:p>
    <w:p w14:paraId="6166FAC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（一）项目完成情况</w:t>
      </w:r>
    </w:p>
    <w:p w14:paraId="665AFBB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年，办公室运行工作共计支出</w:t>
      </w:r>
      <w:r>
        <w:rPr>
          <w:rFonts w:hint="default" w:ascii="Times New Roman" w:hAnsi="Times New Roman" w:eastAsia="仿宋_GB2312" w:cs="Times New Roman"/>
          <w:kern w:val="2"/>
          <w:sz w:val="32"/>
          <w:szCs w:val="32"/>
          <w:lang w:val="en-US" w:eastAsia="zh-CN"/>
        </w:rPr>
        <w:t>61.21</w:t>
      </w:r>
      <w:r>
        <w:rPr>
          <w:rFonts w:hint="default" w:ascii="仿宋_GB2312" w:hAnsi="Times New Roman" w:eastAsia="仿宋_GB2312" w:cs="仿宋_GB2312"/>
          <w:kern w:val="2"/>
          <w:sz w:val="32"/>
          <w:szCs w:val="32"/>
          <w:lang w:val="en-US" w:eastAsia="zh-CN"/>
        </w:rPr>
        <w:t>万元，全年开展培训达</w:t>
      </w:r>
      <w:r>
        <w:rPr>
          <w:rFonts w:hint="default" w:ascii="Times New Roman" w:hAnsi="Times New Roman" w:eastAsia="仿宋_GB2312" w:cs="Times New Roman"/>
          <w:kern w:val="2"/>
          <w:sz w:val="32"/>
          <w:szCs w:val="32"/>
          <w:lang w:val="en-US" w:eastAsia="zh-CN"/>
        </w:rPr>
        <w:t>10</w:t>
      </w:r>
      <w:r>
        <w:rPr>
          <w:rFonts w:hint="default" w:ascii="仿宋_GB2312" w:hAnsi="Times New Roman" w:eastAsia="仿宋_GB2312" w:cs="仿宋_GB2312"/>
          <w:kern w:val="2"/>
          <w:sz w:val="32"/>
          <w:szCs w:val="32"/>
          <w:lang w:val="en-US" w:eastAsia="zh-CN"/>
        </w:rPr>
        <w:t>余次，参训人员考试达标率达</w:t>
      </w:r>
      <w:r>
        <w:rPr>
          <w:rFonts w:hint="default" w:ascii="Times New Roman" w:hAnsi="Times New Roman" w:eastAsia="仿宋_GB2312" w:cs="Times New Roman"/>
          <w:kern w:val="2"/>
          <w:sz w:val="32"/>
          <w:szCs w:val="32"/>
          <w:lang w:val="en-US" w:eastAsia="zh-CN"/>
        </w:rPr>
        <w:t>99%</w:t>
      </w:r>
      <w:r>
        <w:rPr>
          <w:rFonts w:hint="default" w:ascii="仿宋_GB2312" w:hAnsi="Times New Roman" w:eastAsia="仿宋_GB2312" w:cs="仿宋_GB2312"/>
          <w:kern w:val="2"/>
          <w:sz w:val="32"/>
          <w:szCs w:val="32"/>
          <w:lang w:val="en-US" w:eastAsia="zh-CN"/>
        </w:rPr>
        <w:t>以上，办文办会失误率小于等于</w:t>
      </w:r>
      <w:r>
        <w:rPr>
          <w:rFonts w:hint="default" w:ascii="Times New Roman" w:hAnsi="Times New Roman" w:eastAsia="仿宋_GB2312" w:cs="Times New Roman"/>
          <w:kern w:val="2"/>
          <w:sz w:val="32"/>
          <w:szCs w:val="32"/>
          <w:lang w:val="en-US" w:eastAsia="zh-CN"/>
        </w:rPr>
        <w:t>5%</w:t>
      </w:r>
      <w:r>
        <w:rPr>
          <w:rFonts w:hint="default" w:ascii="仿宋_GB2312" w:hAnsi="Times New Roman" w:eastAsia="仿宋_GB2312" w:cs="仿宋_GB2312"/>
          <w:kern w:val="2"/>
          <w:sz w:val="32"/>
          <w:szCs w:val="32"/>
          <w:lang w:val="en-US" w:eastAsia="zh-CN"/>
        </w:rPr>
        <w:t>，各项工作高效定性为优，运转保障率达</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，干部群众对办公室工作的满意度达</w:t>
      </w:r>
      <w:r>
        <w:rPr>
          <w:rFonts w:hint="default" w:ascii="Times New Roman" w:hAnsi="Times New Roman" w:eastAsia="仿宋_GB2312" w:cs="Times New Roman"/>
          <w:kern w:val="2"/>
          <w:sz w:val="32"/>
          <w:szCs w:val="32"/>
          <w:lang w:val="en-US" w:eastAsia="zh-CN"/>
        </w:rPr>
        <w:t>99%</w:t>
      </w:r>
      <w:r>
        <w:rPr>
          <w:rFonts w:hint="default" w:ascii="仿宋_GB2312" w:hAnsi="Times New Roman" w:eastAsia="仿宋_GB2312" w:cs="仿宋_GB2312"/>
          <w:kern w:val="2"/>
          <w:sz w:val="32"/>
          <w:szCs w:val="32"/>
          <w:lang w:val="en-US" w:eastAsia="zh-CN"/>
        </w:rPr>
        <w:t>以上。该项目完成的数量、质量、时效、成本等都实现了预期绩效目标，总体执行情况良好。</w:t>
      </w:r>
    </w:p>
    <w:p w14:paraId="0BC6B016">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楷体_GB2312" w:hAnsi="Times New Roman" w:eastAsia="楷体_GB2312" w:cs="楷体_GB2312"/>
          <w:kern w:val="2"/>
          <w:sz w:val="32"/>
          <w:szCs w:val="32"/>
          <w:lang w:val="en-US" w:eastAsia="zh-CN"/>
        </w:rPr>
        <w:t>（二）项目效益情况。</w:t>
      </w:r>
      <w:r>
        <w:rPr>
          <w:rFonts w:hint="default" w:ascii="Times New Roman" w:hAnsi="Times New Roman" w:eastAsia="仿宋_GB2312" w:cs="Times New Roman"/>
          <w:kern w:val="2"/>
          <w:sz w:val="32"/>
          <w:szCs w:val="32"/>
          <w:lang w:val="en-US" w:eastAsia="zh-CN"/>
        </w:rPr>
        <w:t xml:space="preserve"> </w:t>
      </w:r>
    </w:p>
    <w:p w14:paraId="36F8C2DE">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办公室运行工作经费项目的实施，确保了各项工作有序推进；有效推动了我区基本建设的全面发展，较好</w:t>
      </w:r>
      <w:r>
        <w:t>地</w:t>
      </w:r>
      <w:r>
        <w:rPr>
          <w:rFonts w:hint="default" w:ascii="仿宋_GB2312" w:hAnsi="Times New Roman" w:eastAsia="仿宋_GB2312" w:cs="仿宋_GB2312"/>
          <w:kern w:val="2"/>
          <w:sz w:val="32"/>
          <w:szCs w:val="32"/>
          <w:lang w:val="en-US" w:eastAsia="zh-CN"/>
        </w:rPr>
        <w:t>改善了人民的生活水平。群众满意度达到</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w:t>
      </w:r>
    </w:p>
    <w:p w14:paraId="36D6872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（三）违规记录</w:t>
      </w:r>
    </w:p>
    <w:p w14:paraId="5B483DF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根据自评年度审计监督、财会监督和决算审查结果反映专项预算管理合规。</w:t>
      </w:r>
    </w:p>
    <w:p w14:paraId="0DE295DC">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四、自评结论及问题建议</w:t>
      </w:r>
    </w:p>
    <w:p w14:paraId="4FBC510A">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楷体_GB2312" w:hAnsi="Times New Roman" w:eastAsia="楷体_GB2312" w:cs="楷体_GB2312"/>
          <w:kern w:val="2"/>
          <w:sz w:val="32"/>
          <w:szCs w:val="32"/>
          <w:lang w:val="en-US" w:eastAsia="zh-CN"/>
        </w:rPr>
        <w:t>（一）自评结论。</w:t>
      </w:r>
      <w:r>
        <w:rPr>
          <w:rFonts w:hint="default" w:ascii="仿宋_GB2312" w:hAnsi="Times New Roman" w:eastAsia="仿宋_GB2312" w:cs="仿宋_GB2312"/>
          <w:kern w:val="2"/>
          <w:sz w:val="32"/>
          <w:szCs w:val="32"/>
          <w:lang w:val="en-US" w:eastAsia="zh-CN"/>
        </w:rPr>
        <w:t>围绕财政资金测算和使用过程，并根据该项目的基本情况、预算明细、支出明细、绩效目标申报、部门履职完成情况、履职效果等信息对该项目资金进行绩效评价。该项目建设质量要求高，全面完成该项目的各类支付工作，运转正常，基本实现了预期绩效目标，总体执行情况良好，该项目评价得分</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分。</w:t>
      </w:r>
    </w:p>
    <w:p w14:paraId="30CAAA2C">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楷体_GB2312" w:hAnsi="Times New Roman" w:eastAsia="楷体_GB2312" w:cs="楷体_GB2312"/>
          <w:kern w:val="2"/>
          <w:sz w:val="32"/>
          <w:szCs w:val="32"/>
          <w:lang w:val="en-US" w:eastAsia="zh-CN"/>
        </w:rPr>
        <w:t>（二）存在的问题。</w:t>
      </w:r>
      <w:r>
        <w:rPr>
          <w:rFonts w:hint="default" w:ascii="仿宋_GB2312" w:hAnsi="Times New Roman" w:eastAsia="仿宋_GB2312" w:cs="仿宋_GB2312"/>
          <w:kern w:val="2"/>
          <w:sz w:val="32"/>
          <w:szCs w:val="32"/>
          <w:lang w:val="en-US" w:eastAsia="zh-CN"/>
        </w:rPr>
        <w:t>管理制度有待进一步完善。</w:t>
      </w:r>
    </w:p>
    <w:p w14:paraId="7F317989">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Times New Roman" w:hAnsi="Times New Roman" w:eastAsia="黑体" w:cs="Times New Roman"/>
          <w:kern w:val="2"/>
          <w:sz w:val="32"/>
          <w:szCs w:val="32"/>
        </w:rPr>
      </w:pPr>
      <w:r>
        <w:rPr>
          <w:rFonts w:hint="default" w:ascii="楷体_GB2312" w:hAnsi="Times New Roman" w:eastAsia="楷体_GB2312" w:cs="楷体_GB2312"/>
          <w:kern w:val="2"/>
          <w:sz w:val="32"/>
          <w:szCs w:val="32"/>
          <w:lang w:val="en-US" w:eastAsia="zh-CN"/>
        </w:rPr>
        <w:t>（三）相关措施或建议。</w:t>
      </w:r>
      <w:r>
        <w:rPr>
          <w:rFonts w:hint="default" w:ascii="仿宋_GB2312" w:hAnsi="Times New Roman" w:eastAsia="仿宋_GB2312" w:cs="仿宋_GB2312"/>
          <w:kern w:val="2"/>
          <w:sz w:val="32"/>
          <w:szCs w:val="32"/>
          <w:lang w:val="en-US" w:eastAsia="zh-CN"/>
        </w:rPr>
        <w:t>明确项目绩效目标，细化项目管理，建立健全项目绩效制度。</w:t>
      </w:r>
      <w:r>
        <w:rPr>
          <w:rFonts w:hint="eastAsia" w:ascii="Times New Roman" w:hAnsi="Times New Roman" w:eastAsia="黑体" w:cs="Times New Roman"/>
          <w:kern w:val="2"/>
          <w:sz w:val="32"/>
          <w:szCs w:val="32"/>
        </w:rPr>
        <w:t xml:space="preserve"> </w:t>
      </w:r>
    </w:p>
    <w:p w14:paraId="5F4375EB">
      <w:pPr>
        <w:keepNext w:val="0"/>
        <w:keepLines w:val="0"/>
        <w:widowControl w:val="0"/>
        <w:suppressLineNumbers w:val="0"/>
        <w:autoSpaceDE w:val="0"/>
        <w:autoSpaceDN/>
        <w:spacing w:before="0" w:beforeAutospacing="0" w:after="0" w:afterAutospacing="0" w:line="576" w:lineRule="exact"/>
        <w:ind w:right="0"/>
        <w:jc w:val="both"/>
        <w:rPr>
          <w:rFonts w:hint="eastAsia" w:ascii="Times New Roman" w:hAnsi="Times New Roman" w:eastAsia="黑体" w:cs="Times New Roman"/>
          <w:kern w:val="2"/>
          <w:sz w:val="32"/>
          <w:szCs w:val="32"/>
        </w:rPr>
      </w:pPr>
    </w:p>
    <w:p w14:paraId="5B3309FC">
      <w:pPr>
        <w:keepNext w:val="0"/>
        <w:keepLines w:val="0"/>
        <w:widowControl w:val="0"/>
        <w:suppressLineNumbers w:val="0"/>
        <w:autoSpaceDE w:val="0"/>
        <w:autoSpaceDN/>
        <w:spacing w:before="0" w:beforeAutospacing="0" w:after="0" w:afterAutospacing="0" w:line="576" w:lineRule="exact"/>
        <w:ind w:right="0"/>
        <w:jc w:val="both"/>
        <w:rPr>
          <w:rFonts w:hint="eastAsia" w:ascii="Times New Roman" w:hAnsi="Times New Roman" w:eastAsia="黑体" w:cs="Times New Roman"/>
          <w:kern w:val="2"/>
          <w:sz w:val="32"/>
          <w:szCs w:val="32"/>
        </w:rPr>
      </w:pPr>
    </w:p>
    <w:p w14:paraId="4446698B">
      <w:pPr>
        <w:keepNext w:val="0"/>
        <w:keepLines w:val="0"/>
        <w:widowControl w:val="0"/>
        <w:suppressLineNumbers w:val="0"/>
        <w:autoSpaceDE w:val="0"/>
        <w:autoSpaceDN/>
        <w:spacing w:before="0" w:beforeAutospacing="0" w:after="0" w:afterAutospacing="0" w:line="576" w:lineRule="exact"/>
        <w:ind w:right="0"/>
        <w:jc w:val="both"/>
        <w:rPr>
          <w:rFonts w:hint="eastAsia" w:ascii="Times New Roman" w:hAnsi="Times New Roman" w:eastAsia="黑体" w:cs="Times New Roman"/>
          <w:kern w:val="2"/>
          <w:sz w:val="32"/>
          <w:szCs w:val="32"/>
        </w:rPr>
      </w:pPr>
    </w:p>
    <w:p w14:paraId="79FD350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附件：</w:t>
      </w:r>
      <w:r>
        <w:rPr>
          <w:rFonts w:hint="default" w:ascii="Times New Roman" w:hAnsi="Times New Roman" w:eastAsia="仿宋_GB2312" w:cs="Times New Roman"/>
          <w:kern w:val="2"/>
          <w:sz w:val="32"/>
          <w:szCs w:val="32"/>
          <w:lang w:val="en-US" w:eastAsia="zh-CN"/>
        </w:rPr>
        <w:t>1.2023</w:t>
      </w:r>
      <w:r>
        <w:rPr>
          <w:rFonts w:hint="default" w:ascii="仿宋_GB2312" w:hAnsi="Times New Roman" w:eastAsia="仿宋_GB2312" w:cs="仿宋_GB2312"/>
          <w:kern w:val="2"/>
          <w:sz w:val="32"/>
          <w:szCs w:val="32"/>
          <w:lang w:val="en-US" w:eastAsia="zh-CN"/>
        </w:rPr>
        <w:t>年办公室运行工作经费项目支出绩效自评表</w:t>
      </w:r>
    </w:p>
    <w:p w14:paraId="10933AE4">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 xml:space="preserve">      2.2023</w:t>
      </w:r>
      <w:r>
        <w:rPr>
          <w:rFonts w:hint="default" w:ascii="仿宋_GB2312" w:hAnsi="Times New Roman" w:eastAsia="仿宋_GB2312" w:cs="仿宋_GB2312"/>
          <w:kern w:val="2"/>
          <w:sz w:val="32"/>
          <w:szCs w:val="32"/>
          <w:lang w:val="en-US" w:eastAsia="zh-CN"/>
        </w:rPr>
        <w:t>年办公室运行工作经费项目支出绩效自评评</w:t>
      </w:r>
    </w:p>
    <w:p w14:paraId="09C099ED">
      <w:pPr>
        <w:keepNext w:val="0"/>
        <w:keepLines w:val="0"/>
        <w:widowControl w:val="0"/>
        <w:suppressLineNumbers w:val="0"/>
        <w:autoSpaceDE w:val="0"/>
        <w:autoSpaceDN/>
        <w:spacing w:before="0" w:beforeAutospacing="0" w:after="0" w:afterAutospacing="0" w:line="576" w:lineRule="exact"/>
        <w:ind w:left="0" w:leftChars="0" w:right="0" w:firstLine="1817" w:firstLineChars="568"/>
        <w:jc w:val="both"/>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分表</w:t>
      </w:r>
    </w:p>
    <w:p w14:paraId="6A425E78">
      <w:pPr>
        <w:pStyle w:val="12"/>
        <w:widowControl/>
        <w:spacing w:before="0" w:beforeAutospacing="1"/>
        <w:ind w:leftChars="200" w:right="0"/>
        <w:rPr>
          <w:rFonts w:hint="eastAsia" w:ascii="Times New Roman" w:hAnsi="Times New Roman" w:eastAsia="黑体" w:cs="Times New Roman"/>
          <w:kern w:val="2"/>
          <w:sz w:val="32"/>
          <w:szCs w:val="32"/>
        </w:rPr>
      </w:pPr>
      <w:r>
        <w:rPr>
          <w:rFonts w:hint="eastAsia" w:ascii="Times New Roman" w:hAnsi="Times New Roman" w:eastAsia="黑体" w:cs="Times New Roman"/>
          <w:kern w:val="2"/>
          <w:sz w:val="32"/>
          <w:szCs w:val="32"/>
        </w:rPr>
        <w:t xml:space="preserve"> </w:t>
      </w:r>
    </w:p>
    <w:p w14:paraId="267B3496">
      <w:pPr>
        <w:pStyle w:val="12"/>
        <w:widowControl/>
        <w:spacing w:before="0" w:beforeAutospacing="1"/>
        <w:ind w:leftChars="200" w:right="0"/>
        <w:rPr>
          <w:rFonts w:hint="eastAsia" w:ascii="Times New Roman" w:hAnsi="Times New Roman" w:eastAsia="黑体" w:cs="Times New Roman"/>
          <w:kern w:val="2"/>
          <w:sz w:val="32"/>
          <w:szCs w:val="32"/>
        </w:rPr>
      </w:pPr>
      <w:r>
        <w:rPr>
          <w:rFonts w:hint="eastAsia" w:ascii="Times New Roman" w:hAnsi="Times New Roman" w:eastAsia="黑体" w:cs="Times New Roman"/>
          <w:kern w:val="2"/>
          <w:sz w:val="32"/>
          <w:szCs w:val="32"/>
        </w:rPr>
        <w:t xml:space="preserve"> </w:t>
      </w:r>
    </w:p>
    <w:p w14:paraId="4BB6D493">
      <w:pPr>
        <w:keepNext w:val="0"/>
        <w:keepLines w:val="0"/>
        <w:widowControl w:val="0"/>
        <w:suppressLineNumbers w:val="0"/>
        <w:wordWrap w:val="0"/>
        <w:autoSpaceDE w:val="0"/>
        <w:autoSpaceDN/>
        <w:spacing w:before="0" w:beforeAutospacing="0" w:after="0" w:afterAutospacing="0" w:line="576" w:lineRule="exact"/>
        <w:ind w:left="0" w:right="0" w:firstLine="640" w:firstLineChars="200"/>
        <w:jc w:val="right"/>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 xml:space="preserve">中共广元市昭化区委办公室 </w:t>
      </w:r>
    </w:p>
    <w:p w14:paraId="7CA6FF97">
      <w:pPr>
        <w:keepNext w:val="0"/>
        <w:keepLines w:val="0"/>
        <w:widowControl w:val="0"/>
        <w:suppressLineNumbers w:val="0"/>
        <w:wordWrap w:val="0"/>
        <w:autoSpaceDE w:val="0"/>
        <w:autoSpaceDN/>
        <w:spacing w:before="0" w:beforeAutospacing="0" w:after="0" w:afterAutospacing="0" w:line="576" w:lineRule="exact"/>
        <w:ind w:left="0" w:right="0" w:firstLine="640" w:firstLineChars="200"/>
        <w:jc w:val="right"/>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2024</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5</w:t>
      </w:r>
      <w:r>
        <w:rPr>
          <w:rFonts w:hint="default" w:ascii="仿宋_GB2312" w:hAnsi="Times New Roman" w:eastAsia="仿宋_GB2312" w:cs="仿宋_GB2312"/>
          <w:kern w:val="2"/>
          <w:sz w:val="32"/>
          <w:szCs w:val="32"/>
          <w:lang w:val="en-US" w:eastAsia="zh-CN"/>
        </w:rPr>
        <w:t>月</w:t>
      </w:r>
      <w:r>
        <w:rPr>
          <w:rFonts w:hint="default" w:ascii="Times New Roman" w:hAnsi="Times New Roman" w:eastAsia="仿宋_GB2312" w:cs="Times New Roman"/>
          <w:kern w:val="2"/>
          <w:sz w:val="32"/>
          <w:szCs w:val="32"/>
          <w:lang w:val="en-US" w:eastAsia="zh-CN"/>
        </w:rPr>
        <w:t>8</w:t>
      </w:r>
      <w:r>
        <w:rPr>
          <w:rFonts w:hint="default" w:ascii="仿宋_GB2312" w:hAnsi="Times New Roman" w:eastAsia="仿宋_GB2312" w:cs="仿宋_GB2312"/>
          <w:kern w:val="2"/>
          <w:sz w:val="32"/>
          <w:szCs w:val="32"/>
          <w:lang w:val="en-US" w:eastAsia="zh-CN"/>
        </w:rPr>
        <w:t xml:space="preserve">日 </w:t>
      </w:r>
    </w:p>
    <w:p w14:paraId="75C1BB4B">
      <w:pPr>
        <w:keepNext w:val="0"/>
        <w:keepLines w:val="0"/>
        <w:widowControl w:val="0"/>
        <w:suppressLineNumbers w:val="0"/>
        <w:spacing w:before="0" w:beforeAutospacing="0" w:after="0" w:afterAutospacing="0"/>
        <w:ind w:left="0" w:right="0"/>
        <w:jc w:val="both"/>
        <w:rPr>
          <w:rFonts w:hint="eastAsia" w:ascii="仿宋" w:hAnsi="仿宋" w:eastAsia="仿宋" w:cs="仿宋"/>
          <w:b w:val="0"/>
          <w:bCs w:val="0"/>
          <w:kern w:val="2"/>
          <w:sz w:val="32"/>
          <w:szCs w:val="32"/>
        </w:rPr>
      </w:pPr>
      <w:r>
        <w:br w:type="page"/>
      </w:r>
    </w:p>
    <w:p w14:paraId="29FEC596">
      <w:pPr>
        <w:pStyle w:val="12"/>
        <w:keepNext w:val="0"/>
        <w:keepLines w:val="0"/>
        <w:widowControl w:val="0"/>
        <w:suppressLineNumbers w:val="0"/>
        <w:autoSpaceDE w:val="0"/>
        <w:autoSpaceDN/>
        <w:spacing w:before="0" w:beforeAutospacing="1" w:after="0" w:afterAutospacing="0" w:line="576" w:lineRule="exact"/>
        <w:ind w:left="0" w:leftChars="0" w:right="0" w:firstLine="0" w:firstLineChars="0"/>
        <w:rPr>
          <w:rFonts w:hint="eastAsia" w:ascii="黑体" w:hAnsi="宋体" w:eastAsia="黑体" w:cs="黑体"/>
          <w:i w:val="0"/>
          <w:iCs w:val="0"/>
          <w:color w:val="000000"/>
          <w:kern w:val="0"/>
          <w:sz w:val="32"/>
          <w:szCs w:val="32"/>
        </w:rPr>
      </w:pPr>
      <w:r>
        <w:rPr>
          <w:rFonts w:hint="eastAsia" w:ascii="黑体" w:hAnsi="宋体" w:eastAsia="黑体" w:cs="黑体"/>
          <w:i w:val="0"/>
          <w:iCs w:val="0"/>
          <w:color w:val="000000"/>
          <w:kern w:val="0"/>
          <w:sz w:val="32"/>
          <w:szCs w:val="32"/>
        </w:rPr>
        <w:t>附件1</w:t>
      </w:r>
    </w:p>
    <w:p w14:paraId="2BE7E3AE">
      <w:pPr>
        <w:keepNext w:val="0"/>
        <w:keepLines w:val="0"/>
        <w:widowControl/>
        <w:suppressLineNumbers w:val="0"/>
        <w:autoSpaceDE w:val="0"/>
        <w:autoSpaceDN/>
        <w:spacing w:before="0" w:beforeAutospacing="0" w:after="0" w:afterAutospacing="0" w:line="576" w:lineRule="exact"/>
        <w:ind w:left="0" w:right="0"/>
        <w:jc w:val="center"/>
        <w:textAlignment w:val="center"/>
        <w:rPr>
          <w:rFonts w:hint="eastAsia" w:ascii="方正小标宋简体" w:hAnsi="方正小标宋简体" w:eastAsia="方正小标宋简体" w:cs="方正小标宋简体"/>
          <w:i w:val="0"/>
          <w:iCs w:val="0"/>
          <w:color w:val="000000"/>
          <w:kern w:val="2"/>
          <w:sz w:val="36"/>
          <w:szCs w:val="36"/>
        </w:rPr>
      </w:pPr>
      <w:r>
        <w:rPr>
          <w:rFonts w:hint="eastAsia" w:ascii="方正小标宋简体" w:hAnsi="方正小标宋简体" w:eastAsia="方正小标宋简体" w:cs="方正小标宋简体"/>
          <w:i w:val="0"/>
          <w:iCs w:val="0"/>
          <w:color w:val="000000"/>
          <w:kern w:val="0"/>
          <w:sz w:val="36"/>
          <w:szCs w:val="36"/>
          <w:lang w:val="en-US" w:eastAsia="zh-CN"/>
        </w:rPr>
        <w:t>广元市昭化区财政项目（政策）支出绩效自评表</w:t>
      </w:r>
    </w:p>
    <w:tbl>
      <w:tblPr>
        <w:tblStyle w:val="13"/>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4"/>
        <w:gridCol w:w="852"/>
        <w:gridCol w:w="1129"/>
        <w:gridCol w:w="1140"/>
        <w:gridCol w:w="1770"/>
        <w:gridCol w:w="1380"/>
        <w:gridCol w:w="1320"/>
        <w:gridCol w:w="1233"/>
      </w:tblGrid>
      <w:tr w14:paraId="04EFEA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9588" w:type="dxa"/>
            <w:gridSpan w:val="8"/>
            <w:tcBorders>
              <w:top w:val="nil"/>
              <w:left w:val="nil"/>
              <w:bottom w:val="nil"/>
              <w:right w:val="nil"/>
            </w:tcBorders>
            <w:shd w:val="clear" w:color="auto" w:fill="auto"/>
            <w:vAlign w:val="top"/>
          </w:tcPr>
          <w:p w14:paraId="3051F897">
            <w:pPr>
              <w:keepNext w:val="0"/>
              <w:keepLines w:val="0"/>
              <w:widowControl/>
              <w:suppressLineNumbers w:val="0"/>
              <w:autoSpaceDE w:val="0"/>
              <w:autoSpaceDN/>
              <w:spacing w:before="0" w:beforeAutospacing="0" w:after="0" w:afterAutospacing="0" w:line="400" w:lineRule="exact"/>
              <w:ind w:left="0" w:right="0"/>
              <w:jc w:val="center"/>
              <w:textAlignment w:val="top"/>
              <w:rPr>
                <w:rFonts w:hint="eastAsia" w:ascii="宋体" w:hAnsi="宋体" w:eastAsia="宋体" w:cs="宋体"/>
                <w:b/>
                <w:bCs/>
                <w:i w:val="0"/>
                <w:iCs w:val="0"/>
                <w:color w:val="000000"/>
                <w:kern w:val="2"/>
                <w:sz w:val="24"/>
                <w:szCs w:val="24"/>
              </w:rPr>
            </w:pPr>
            <w:r>
              <w:rPr>
                <w:rFonts w:hint="eastAsia" w:ascii="宋体" w:hAnsi="宋体" w:eastAsia="宋体" w:cs="宋体"/>
                <w:b w:val="0"/>
                <w:bCs w:val="0"/>
                <w:i w:val="0"/>
                <w:iCs w:val="0"/>
                <w:color w:val="000000"/>
                <w:kern w:val="0"/>
                <w:sz w:val="24"/>
                <w:szCs w:val="24"/>
                <w:lang w:val="en-US" w:eastAsia="zh-CN"/>
              </w:rPr>
              <w:t>（2023年度）</w:t>
            </w:r>
          </w:p>
        </w:tc>
      </w:tr>
      <w:tr w14:paraId="3113A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2"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8B9BA2">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项目（政策）名称</w:t>
            </w:r>
          </w:p>
        </w:tc>
        <w:tc>
          <w:tcPr>
            <w:tcW w:w="7972" w:type="dxa"/>
            <w:gridSpan w:val="6"/>
            <w:tcBorders>
              <w:top w:val="single" w:color="000000" w:sz="4" w:space="0"/>
              <w:left w:val="nil"/>
              <w:bottom w:val="single" w:color="000000" w:sz="4" w:space="0"/>
              <w:right w:val="single" w:color="000000" w:sz="4" w:space="0"/>
            </w:tcBorders>
            <w:shd w:val="clear" w:color="auto" w:fill="auto"/>
            <w:vAlign w:val="center"/>
          </w:tcPr>
          <w:p w14:paraId="002DAE01">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办公室运行工作经费</w:t>
            </w:r>
          </w:p>
        </w:tc>
      </w:tr>
      <w:tr w14:paraId="3DADA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4869F8">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主管部门</w:t>
            </w:r>
          </w:p>
        </w:tc>
        <w:tc>
          <w:tcPr>
            <w:tcW w:w="4039" w:type="dxa"/>
            <w:gridSpan w:val="3"/>
            <w:tcBorders>
              <w:top w:val="single" w:color="000000" w:sz="4" w:space="0"/>
              <w:left w:val="nil"/>
              <w:bottom w:val="single" w:color="000000" w:sz="4" w:space="0"/>
              <w:right w:val="single" w:color="000000" w:sz="4" w:space="0"/>
            </w:tcBorders>
            <w:shd w:val="clear" w:color="auto" w:fill="auto"/>
            <w:vAlign w:val="center"/>
          </w:tcPr>
          <w:p w14:paraId="16C0F228">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中共广元市昭化区委办公室</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7F9EB4E9">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实施单位</w:t>
            </w:r>
          </w:p>
        </w:tc>
        <w:tc>
          <w:tcPr>
            <w:tcW w:w="0" w:type="auto"/>
            <w:gridSpan w:val="2"/>
            <w:tcBorders>
              <w:top w:val="single" w:color="000000" w:sz="4" w:space="0"/>
              <w:left w:val="nil"/>
              <w:bottom w:val="single" w:color="000000" w:sz="4" w:space="0"/>
              <w:right w:val="single" w:color="000000" w:sz="4" w:space="0"/>
            </w:tcBorders>
            <w:shd w:val="clear" w:color="auto" w:fill="auto"/>
            <w:noWrap/>
            <w:vAlign w:val="center"/>
          </w:tcPr>
          <w:p w14:paraId="5F80A399">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中共广元市昭化区委办公室</w:t>
            </w:r>
          </w:p>
        </w:tc>
      </w:tr>
      <w:tr w14:paraId="38E70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jc w:val="center"/>
        </w:trPr>
        <w:tc>
          <w:tcPr>
            <w:tcW w:w="1616" w:type="dxa"/>
            <w:gridSpan w:val="2"/>
            <w:vMerge w:val="restart"/>
            <w:tcBorders>
              <w:top w:val="nil"/>
              <w:left w:val="single" w:color="000000" w:sz="4" w:space="0"/>
              <w:bottom w:val="nil"/>
              <w:right w:val="single" w:color="000000" w:sz="4" w:space="0"/>
            </w:tcBorders>
            <w:shd w:val="clear" w:color="auto" w:fill="auto"/>
            <w:vAlign w:val="center"/>
          </w:tcPr>
          <w:p w14:paraId="10192C08">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项目（政策）资金（万元）</w:t>
            </w:r>
          </w:p>
        </w:tc>
        <w:tc>
          <w:tcPr>
            <w:tcW w:w="2269" w:type="dxa"/>
            <w:gridSpan w:val="2"/>
            <w:tcBorders>
              <w:top w:val="nil"/>
              <w:left w:val="nil"/>
              <w:bottom w:val="single" w:color="000000" w:sz="4" w:space="0"/>
              <w:right w:val="single" w:color="000000" w:sz="4" w:space="0"/>
            </w:tcBorders>
            <w:shd w:val="clear" w:color="auto" w:fill="auto"/>
            <w:vAlign w:val="center"/>
          </w:tcPr>
          <w:p w14:paraId="0AD85C9A">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年度预算数（万元）</w:t>
            </w:r>
          </w:p>
        </w:tc>
        <w:tc>
          <w:tcPr>
            <w:tcW w:w="1770" w:type="dxa"/>
            <w:tcBorders>
              <w:top w:val="nil"/>
              <w:left w:val="nil"/>
              <w:bottom w:val="single" w:color="000000" w:sz="4" w:space="0"/>
              <w:right w:val="single" w:color="000000" w:sz="4" w:space="0"/>
            </w:tcBorders>
            <w:shd w:val="clear" w:color="auto" w:fill="auto"/>
            <w:vAlign w:val="center"/>
          </w:tcPr>
          <w:p w14:paraId="739BF6D5">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年初预算数</w:t>
            </w:r>
          </w:p>
        </w:tc>
        <w:tc>
          <w:tcPr>
            <w:tcW w:w="1380" w:type="dxa"/>
            <w:tcBorders>
              <w:top w:val="nil"/>
              <w:left w:val="nil"/>
              <w:bottom w:val="single" w:color="000000" w:sz="4" w:space="0"/>
              <w:right w:val="single" w:color="000000" w:sz="4" w:space="0"/>
            </w:tcBorders>
            <w:shd w:val="clear" w:color="auto" w:fill="auto"/>
            <w:vAlign w:val="center"/>
          </w:tcPr>
          <w:p w14:paraId="382D8E00">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全年预算数</w:t>
            </w:r>
          </w:p>
        </w:tc>
        <w:tc>
          <w:tcPr>
            <w:tcW w:w="1320" w:type="dxa"/>
            <w:tcBorders>
              <w:top w:val="nil"/>
              <w:left w:val="nil"/>
              <w:bottom w:val="single" w:color="000000" w:sz="4" w:space="0"/>
              <w:right w:val="single" w:color="000000" w:sz="4" w:space="0"/>
            </w:tcBorders>
            <w:shd w:val="clear" w:color="auto" w:fill="auto"/>
            <w:vAlign w:val="center"/>
          </w:tcPr>
          <w:p w14:paraId="6F71AAB0">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全年执行数</w:t>
            </w:r>
          </w:p>
        </w:tc>
        <w:tc>
          <w:tcPr>
            <w:tcW w:w="1233" w:type="dxa"/>
            <w:tcBorders>
              <w:top w:val="nil"/>
              <w:left w:val="nil"/>
              <w:bottom w:val="single" w:color="000000" w:sz="4" w:space="0"/>
              <w:right w:val="single" w:color="000000" w:sz="4" w:space="0"/>
            </w:tcBorders>
            <w:shd w:val="clear" w:color="auto" w:fill="auto"/>
            <w:vAlign w:val="center"/>
          </w:tcPr>
          <w:p w14:paraId="74B8A757">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执行率</w:t>
            </w:r>
          </w:p>
        </w:tc>
      </w:tr>
      <w:tr w14:paraId="343CD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1CB8ED7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15FD37B1">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年度资金总额</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519FC658">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15426BFD">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622E4DDB">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w:t>
            </w:r>
          </w:p>
        </w:tc>
        <w:tc>
          <w:tcPr>
            <w:tcW w:w="1233" w:type="dxa"/>
            <w:tcBorders>
              <w:top w:val="nil"/>
              <w:left w:val="nil"/>
              <w:bottom w:val="single" w:color="000000" w:sz="4" w:space="0"/>
              <w:right w:val="single" w:color="000000" w:sz="4" w:space="0"/>
            </w:tcBorders>
            <w:shd w:val="clear" w:color="auto" w:fill="auto"/>
            <w:vAlign w:val="center"/>
          </w:tcPr>
          <w:p w14:paraId="22F7D6AA">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r>
      <w:tr w14:paraId="1F612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577B2B6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49D2E112">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（一）财政拨款小计</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0E2B9C9C">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338F4CEC">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30BB67F5">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6A5B45EA">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r>
      <w:tr w14:paraId="7CF04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3C22F47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26069159">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1.一般公共预算</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5982B538">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326E7483">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748EEAFB">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5771AC86">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r>
      <w:tr w14:paraId="0656E9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23D606E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444A98A2">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2.政府性基金</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104C401A">
            <w:pPr>
              <w:keepNext w:val="0"/>
              <w:keepLines w:val="0"/>
              <w:widowControl/>
              <w:suppressLineNumbers w:val="0"/>
              <w:autoSpaceDE w:val="0"/>
              <w:autoSpaceDN/>
              <w:spacing w:before="0" w:beforeAutospacing="0" w:after="0" w:afterAutospacing="0" w:line="280" w:lineRule="exact"/>
              <w:ind w:left="0" w:right="0"/>
              <w:jc w:val="left"/>
              <w:rPr>
                <w:rFonts w:hint="eastAsia" w:ascii="宋体" w:hAnsi="宋体" w:eastAsia="宋体" w:cs="宋体"/>
                <w:i w:val="0"/>
                <w:iCs w:val="0"/>
                <w:color w:val="000000"/>
                <w:kern w:val="2"/>
                <w:sz w:val="18"/>
                <w:szCs w:val="18"/>
              </w:rPr>
            </w:pP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59914040">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7E9DD8CE">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5A0240FC">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p>
        </w:tc>
      </w:tr>
      <w:tr w14:paraId="0B707B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7D14961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1DC62C6E">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3.国有资本经营预算</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09771915">
            <w:pPr>
              <w:keepNext w:val="0"/>
              <w:keepLines w:val="0"/>
              <w:widowControl/>
              <w:suppressLineNumbers w:val="0"/>
              <w:autoSpaceDE w:val="0"/>
              <w:autoSpaceDN/>
              <w:spacing w:before="0" w:beforeAutospacing="0" w:after="0" w:afterAutospacing="0" w:line="280" w:lineRule="exact"/>
              <w:ind w:left="0" w:right="0"/>
              <w:jc w:val="left"/>
              <w:rPr>
                <w:rFonts w:hint="eastAsia" w:ascii="宋体" w:hAnsi="宋体" w:eastAsia="宋体" w:cs="宋体"/>
                <w:i w:val="0"/>
                <w:iCs w:val="0"/>
                <w:color w:val="000000"/>
                <w:kern w:val="2"/>
                <w:sz w:val="18"/>
                <w:szCs w:val="18"/>
              </w:rPr>
            </w:pP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2C74D21D">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4EA8B84F">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613D81D8">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p>
        </w:tc>
      </w:tr>
      <w:tr w14:paraId="384BF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1194DD9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6CD89251">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（二）其他资金</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049C102C">
            <w:pPr>
              <w:keepNext w:val="0"/>
              <w:keepLines w:val="0"/>
              <w:widowControl/>
              <w:suppressLineNumbers w:val="0"/>
              <w:autoSpaceDE w:val="0"/>
              <w:autoSpaceDN/>
              <w:spacing w:before="0" w:beforeAutospacing="0" w:after="0" w:afterAutospacing="0" w:line="280" w:lineRule="exact"/>
              <w:ind w:left="0" w:right="0"/>
              <w:jc w:val="left"/>
              <w:rPr>
                <w:rFonts w:hint="eastAsia" w:ascii="宋体" w:hAnsi="宋体" w:eastAsia="宋体" w:cs="宋体"/>
                <w:i w:val="0"/>
                <w:iCs w:val="0"/>
                <w:color w:val="000000"/>
                <w:kern w:val="2"/>
                <w:sz w:val="18"/>
                <w:szCs w:val="18"/>
              </w:rPr>
            </w:pP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2A822031">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7053174C">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13438BFA">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p>
        </w:tc>
      </w:tr>
      <w:tr w14:paraId="1A9F5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E8749">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年度总体目标</w:t>
            </w:r>
          </w:p>
        </w:tc>
        <w:tc>
          <w:tcPr>
            <w:tcW w:w="4891" w:type="dxa"/>
            <w:gridSpan w:val="4"/>
            <w:tcBorders>
              <w:top w:val="single" w:color="000000" w:sz="4" w:space="0"/>
              <w:left w:val="nil"/>
              <w:bottom w:val="single" w:color="000000" w:sz="4" w:space="0"/>
              <w:right w:val="single" w:color="000000" w:sz="4" w:space="0"/>
            </w:tcBorders>
            <w:shd w:val="clear" w:color="auto" w:fill="auto"/>
            <w:vAlign w:val="center"/>
          </w:tcPr>
          <w:p w14:paraId="720D2B33">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预期目标</w:t>
            </w:r>
          </w:p>
        </w:tc>
        <w:tc>
          <w:tcPr>
            <w:tcW w:w="3933" w:type="dxa"/>
            <w:gridSpan w:val="3"/>
            <w:tcBorders>
              <w:top w:val="single" w:color="000000" w:sz="4" w:space="0"/>
              <w:left w:val="nil"/>
              <w:bottom w:val="single" w:color="000000" w:sz="4" w:space="0"/>
              <w:right w:val="single" w:color="000000" w:sz="4" w:space="0"/>
            </w:tcBorders>
            <w:shd w:val="clear" w:color="auto" w:fill="auto"/>
            <w:vAlign w:val="center"/>
          </w:tcPr>
          <w:p w14:paraId="10C1E052">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全年实际完成情况</w:t>
            </w:r>
          </w:p>
        </w:tc>
      </w:tr>
      <w:tr w14:paraId="37DE4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E3D9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891" w:type="dxa"/>
            <w:gridSpan w:val="4"/>
            <w:tcBorders>
              <w:top w:val="single" w:color="000000" w:sz="4" w:space="0"/>
              <w:left w:val="nil"/>
              <w:bottom w:val="single" w:color="000000" w:sz="4" w:space="0"/>
              <w:right w:val="single" w:color="000000" w:sz="4" w:space="0"/>
            </w:tcBorders>
            <w:shd w:val="clear" w:color="auto" w:fill="auto"/>
            <w:vAlign w:val="center"/>
          </w:tcPr>
          <w:p w14:paraId="4368329C">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紧紧围绕区委中心工作，做好机关公文处理、督查督办、党内法规、党委信息、文秘调研、档案管理、网络管理、培训宣传、能力提升等，保证机关工作正常有序开展，努力提升工作质量和效率。</w:t>
            </w:r>
          </w:p>
        </w:tc>
        <w:tc>
          <w:tcPr>
            <w:tcW w:w="3933" w:type="dxa"/>
            <w:gridSpan w:val="3"/>
            <w:tcBorders>
              <w:top w:val="single" w:color="000000" w:sz="4" w:space="0"/>
              <w:left w:val="nil"/>
              <w:bottom w:val="single" w:color="000000" w:sz="4" w:space="0"/>
              <w:right w:val="single" w:color="000000" w:sz="4" w:space="0"/>
            </w:tcBorders>
            <w:shd w:val="clear" w:color="auto" w:fill="auto"/>
            <w:vAlign w:val="center"/>
          </w:tcPr>
          <w:p w14:paraId="29168481">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全面完成</w:t>
            </w:r>
          </w:p>
        </w:tc>
      </w:tr>
      <w:tr w14:paraId="769B3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764" w:type="dxa"/>
            <w:vMerge w:val="restart"/>
            <w:tcBorders>
              <w:top w:val="nil"/>
              <w:left w:val="single" w:color="000000" w:sz="4" w:space="0"/>
              <w:bottom w:val="single" w:color="000000" w:sz="4" w:space="0"/>
              <w:right w:val="single" w:color="000000" w:sz="4" w:space="0"/>
            </w:tcBorders>
            <w:shd w:val="clear" w:color="auto" w:fill="auto"/>
            <w:vAlign w:val="center"/>
          </w:tcPr>
          <w:p w14:paraId="34D6881C">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绩效</w:t>
            </w:r>
          </w:p>
          <w:p w14:paraId="56CF42B9">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852" w:type="dxa"/>
            <w:tcBorders>
              <w:top w:val="single" w:color="000000" w:sz="4" w:space="0"/>
              <w:left w:val="nil"/>
              <w:bottom w:val="single" w:color="000000" w:sz="4" w:space="0"/>
              <w:right w:val="single" w:color="000000" w:sz="4" w:space="0"/>
            </w:tcBorders>
            <w:shd w:val="clear" w:color="auto" w:fill="auto"/>
            <w:vAlign w:val="center"/>
          </w:tcPr>
          <w:p w14:paraId="7D463E30">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一级指标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08247482">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二级指标</w:t>
            </w:r>
          </w:p>
        </w:tc>
        <w:tc>
          <w:tcPr>
            <w:tcW w:w="2910" w:type="dxa"/>
            <w:gridSpan w:val="2"/>
            <w:tcBorders>
              <w:top w:val="single" w:color="000000" w:sz="4" w:space="0"/>
              <w:left w:val="nil"/>
              <w:bottom w:val="single" w:color="000000" w:sz="4" w:space="0"/>
              <w:right w:val="single" w:color="000000" w:sz="4" w:space="0"/>
            </w:tcBorders>
            <w:shd w:val="clear" w:color="auto" w:fill="auto"/>
            <w:vAlign w:val="center"/>
          </w:tcPr>
          <w:p w14:paraId="190C077C">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三级指标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4A7C807C">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年度指标值</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0EA55F67">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实际完成值</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2E10BF27">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偏差原因分析及改进措施</w:t>
            </w:r>
          </w:p>
        </w:tc>
      </w:tr>
      <w:tr w14:paraId="303820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19EFC83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restart"/>
            <w:tcBorders>
              <w:top w:val="nil"/>
              <w:left w:val="nil"/>
              <w:bottom w:val="single" w:color="000000" w:sz="4" w:space="0"/>
              <w:right w:val="single" w:color="000000" w:sz="4" w:space="0"/>
            </w:tcBorders>
            <w:shd w:val="clear" w:color="auto" w:fill="auto"/>
            <w:vAlign w:val="center"/>
          </w:tcPr>
          <w:p w14:paraId="3570D090">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产出指标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4DCA43BF">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数量指标</w:t>
            </w:r>
          </w:p>
        </w:tc>
        <w:tc>
          <w:tcPr>
            <w:tcW w:w="1140" w:type="dxa"/>
            <w:tcBorders>
              <w:top w:val="single" w:color="000000" w:sz="4" w:space="0"/>
              <w:left w:val="nil"/>
              <w:bottom w:val="single" w:color="000000" w:sz="4" w:space="0"/>
              <w:right w:val="nil"/>
            </w:tcBorders>
            <w:shd w:val="clear" w:color="auto" w:fill="auto"/>
            <w:vAlign w:val="center"/>
          </w:tcPr>
          <w:p w14:paraId="0520B096">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1A188149">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开展培训次数</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10EF8437">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≥10次</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3C285646">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10次</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7E65DFF8">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7C9D1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1232025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57C00E5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4B061A2B">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质量指标</w:t>
            </w:r>
          </w:p>
        </w:tc>
        <w:tc>
          <w:tcPr>
            <w:tcW w:w="1140" w:type="dxa"/>
            <w:tcBorders>
              <w:top w:val="single" w:color="000000" w:sz="4" w:space="0"/>
              <w:left w:val="nil"/>
              <w:bottom w:val="single" w:color="000000" w:sz="4" w:space="0"/>
              <w:right w:val="nil"/>
            </w:tcBorders>
            <w:shd w:val="clear" w:color="auto" w:fill="auto"/>
            <w:vAlign w:val="center"/>
          </w:tcPr>
          <w:p w14:paraId="06021BC7">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17816649">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spacing w:val="-6"/>
                <w:kern w:val="0"/>
                <w:sz w:val="18"/>
                <w:szCs w:val="18"/>
                <w:lang w:val="en-US" w:eastAsia="zh-CN"/>
              </w:rPr>
              <w:t>参训人员考试达标率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51F4F91C">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≥99%</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37448CA6">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99%</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5D1345B6">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6D184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33D54C8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34BBABA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4C1AA6DD">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时效指标</w:t>
            </w:r>
          </w:p>
        </w:tc>
        <w:tc>
          <w:tcPr>
            <w:tcW w:w="1140" w:type="dxa"/>
            <w:tcBorders>
              <w:top w:val="single" w:color="000000" w:sz="4" w:space="0"/>
              <w:left w:val="nil"/>
              <w:bottom w:val="single" w:color="000000" w:sz="4" w:space="0"/>
              <w:right w:val="nil"/>
            </w:tcBorders>
            <w:shd w:val="clear" w:color="auto" w:fill="auto"/>
            <w:vAlign w:val="center"/>
          </w:tcPr>
          <w:p w14:paraId="793F90AC">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0A527648">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完成时间</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59288A9F">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1年</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6743F815">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1年</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08A51061">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4E041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197503A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13D9F51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7151ACFD">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成本指标</w:t>
            </w:r>
          </w:p>
        </w:tc>
        <w:tc>
          <w:tcPr>
            <w:tcW w:w="1140" w:type="dxa"/>
            <w:tcBorders>
              <w:top w:val="single" w:color="000000" w:sz="4" w:space="0"/>
              <w:left w:val="nil"/>
              <w:bottom w:val="single" w:color="000000" w:sz="4" w:space="0"/>
              <w:right w:val="nil"/>
            </w:tcBorders>
            <w:shd w:val="clear" w:color="auto" w:fill="auto"/>
            <w:vAlign w:val="center"/>
          </w:tcPr>
          <w:p w14:paraId="2644BEAE">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28BCA4C6">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预算资金</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1BC0EDF4">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≤61.21万元</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7945A481">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61.21万元</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730C70B7">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3AA3E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21A86F5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restart"/>
            <w:tcBorders>
              <w:top w:val="nil"/>
              <w:left w:val="nil"/>
              <w:bottom w:val="single" w:color="000000" w:sz="4" w:space="0"/>
              <w:right w:val="single" w:color="000000" w:sz="4" w:space="0"/>
            </w:tcBorders>
            <w:shd w:val="clear" w:color="auto" w:fill="auto"/>
            <w:vAlign w:val="center"/>
          </w:tcPr>
          <w:p w14:paraId="65DE14FC">
            <w:pPr>
              <w:keepNext w:val="0"/>
              <w:keepLines w:val="0"/>
              <w:widowControl/>
              <w:suppressLineNumbers w:val="0"/>
              <w:autoSpaceDE w:val="0"/>
              <w:autoSpaceDN/>
              <w:spacing w:before="0" w:beforeAutospacing="0" w:after="0" w:afterAutospacing="0" w:line="280" w:lineRule="exact"/>
              <w:ind w:left="0" w:right="0"/>
              <w:jc w:val="left"/>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效益指标</w:t>
            </w:r>
          </w:p>
        </w:tc>
        <w:tc>
          <w:tcPr>
            <w:tcW w:w="1129" w:type="dxa"/>
            <w:vMerge w:val="restart"/>
            <w:tcBorders>
              <w:top w:val="nil"/>
              <w:left w:val="nil"/>
              <w:bottom w:val="single" w:color="000000" w:sz="4" w:space="0"/>
              <w:right w:val="single" w:color="000000" w:sz="4" w:space="0"/>
            </w:tcBorders>
            <w:shd w:val="clear" w:color="auto" w:fill="auto"/>
            <w:vAlign w:val="center"/>
          </w:tcPr>
          <w:p w14:paraId="1AE4157A">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社会效益</w:t>
            </w:r>
          </w:p>
          <w:p w14:paraId="5109D364">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40" w:type="dxa"/>
            <w:tcBorders>
              <w:top w:val="single" w:color="000000" w:sz="4" w:space="0"/>
              <w:left w:val="nil"/>
              <w:bottom w:val="single" w:color="000000" w:sz="4" w:space="0"/>
              <w:right w:val="nil"/>
            </w:tcBorders>
            <w:shd w:val="clear" w:color="auto" w:fill="auto"/>
            <w:vAlign w:val="center"/>
          </w:tcPr>
          <w:p w14:paraId="58FF48C0">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12BD9337">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确保各项工作高效</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03C16205">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定性</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538FFEA5">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优</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584365D8">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7D63C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41AB318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29E9BD8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continue"/>
            <w:tcBorders>
              <w:top w:val="nil"/>
              <w:left w:val="nil"/>
              <w:bottom w:val="single" w:color="000000" w:sz="4" w:space="0"/>
              <w:right w:val="single" w:color="000000" w:sz="4" w:space="0"/>
            </w:tcBorders>
            <w:shd w:val="clear" w:color="auto" w:fill="auto"/>
            <w:vAlign w:val="center"/>
          </w:tcPr>
          <w:p w14:paraId="614EC9B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40" w:type="dxa"/>
            <w:tcBorders>
              <w:top w:val="single" w:color="000000" w:sz="4" w:space="0"/>
              <w:left w:val="nil"/>
              <w:bottom w:val="single" w:color="000000" w:sz="4" w:space="0"/>
              <w:right w:val="nil"/>
            </w:tcBorders>
            <w:shd w:val="clear" w:color="auto" w:fill="auto"/>
            <w:vAlign w:val="center"/>
          </w:tcPr>
          <w:p w14:paraId="3ADE3D5A">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指标2：</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5189E923">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办文办会失误率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7A5F3253">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≤5%</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11B1E27F">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5%</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2884F997">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45CFB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65B92B6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tcBorders>
              <w:top w:val="single" w:color="000000" w:sz="4" w:space="0"/>
              <w:left w:val="nil"/>
              <w:bottom w:val="single" w:color="000000" w:sz="4" w:space="0"/>
              <w:right w:val="single" w:color="000000" w:sz="4" w:space="0"/>
            </w:tcBorders>
            <w:shd w:val="clear" w:color="auto" w:fill="auto"/>
            <w:vAlign w:val="center"/>
          </w:tcPr>
          <w:p w14:paraId="3D32E6E5">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满意度</w:t>
            </w:r>
          </w:p>
          <w:p w14:paraId="0A19FC26">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0C9A5544">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服务对象满意度指标</w:t>
            </w:r>
          </w:p>
        </w:tc>
        <w:tc>
          <w:tcPr>
            <w:tcW w:w="1140" w:type="dxa"/>
            <w:tcBorders>
              <w:top w:val="single" w:color="000000" w:sz="4" w:space="0"/>
              <w:left w:val="nil"/>
              <w:bottom w:val="single" w:color="000000" w:sz="4" w:space="0"/>
              <w:right w:val="nil"/>
            </w:tcBorders>
            <w:shd w:val="clear" w:color="auto" w:fill="auto"/>
            <w:vAlign w:val="center"/>
          </w:tcPr>
          <w:p w14:paraId="0C994A38">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1770" w:type="dxa"/>
            <w:tcBorders>
              <w:top w:val="single" w:color="000000" w:sz="4" w:space="0"/>
              <w:left w:val="nil"/>
              <w:bottom w:val="single" w:color="000000" w:sz="4" w:space="0"/>
              <w:right w:val="single" w:color="000000" w:sz="4" w:space="0"/>
            </w:tcBorders>
            <w:shd w:val="clear" w:color="auto" w:fill="auto"/>
            <w:vAlign w:val="center"/>
          </w:tcPr>
          <w:p w14:paraId="098D6A7A">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干部群众对办公室工作的满意度</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6261A259">
            <w:pPr>
              <w:keepNext w:val="0"/>
              <w:keepLines w:val="0"/>
              <w:widowControl/>
              <w:suppressLineNumbers w:val="0"/>
              <w:autoSpaceDE w:val="0"/>
              <w:autoSpaceDN/>
              <w:spacing w:before="0" w:beforeAutospacing="0" w:after="0" w:afterAutospacing="0" w:line="28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≥99%</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0EAB1065">
            <w:pPr>
              <w:keepNext w:val="0"/>
              <w:keepLines w:val="0"/>
              <w:widowControl/>
              <w:suppressLineNumbers w:val="0"/>
              <w:autoSpaceDE w:val="0"/>
              <w:autoSpaceDN/>
              <w:spacing w:before="0" w:beforeAutospacing="0" w:after="0" w:afterAutospacing="0" w:line="28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99%</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67C2EF25">
            <w:pPr>
              <w:keepNext w:val="0"/>
              <w:keepLines w:val="0"/>
              <w:widowControl/>
              <w:suppressLineNumbers w:val="0"/>
              <w:autoSpaceDE w:val="0"/>
              <w:autoSpaceDN/>
              <w:spacing w:before="0" w:beforeAutospacing="0" w:after="0" w:afterAutospacing="0" w:line="280" w:lineRule="exact"/>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bl>
    <w:p w14:paraId="290E2DA6">
      <w:pPr>
        <w:rPr>
          <w:rFonts w:hint="eastAsia"/>
          <w:lang w:val="en-US" w:eastAsia="zh-CN"/>
        </w:rPr>
      </w:pPr>
      <w:r>
        <w:br w:type="page"/>
      </w:r>
    </w:p>
    <w:p w14:paraId="319053B8">
      <w:pPr>
        <w:pStyle w:val="12"/>
        <w:ind w:left="0" w:leftChars="0" w:firstLine="198" w:firstLineChars="62"/>
        <w:rPr>
          <w:rFonts w:hint="eastAsia"/>
          <w:lang w:val="en-US" w:eastAsia="zh-CN"/>
        </w:rPr>
      </w:pPr>
      <w:r>
        <w:rPr>
          <w:rFonts w:hint="eastAsia"/>
          <w:lang w:val="en-US" w:eastAsia="zh-CN"/>
        </w:rPr>
        <w:t>附件2</w:t>
      </w:r>
    </w:p>
    <w:p w14:paraId="27B3B322">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方正小标宋简体" w:hAnsi="方正小标宋简体" w:eastAsia="方正小标宋简体" w:cs="方正小标宋简体"/>
          <w:i w:val="0"/>
          <w:iCs w:val="0"/>
          <w:color w:val="000000"/>
          <w:kern w:val="0"/>
          <w:sz w:val="44"/>
          <w:szCs w:val="44"/>
          <w:u w:val="none"/>
          <w:lang w:val="en-US" w:eastAsia="zh-CN"/>
        </w:rPr>
        <w:t>中共广元市昭化区委办公室2023年办公室运行工作经费项目支出绩效自评评分表</w:t>
      </w:r>
    </w:p>
    <w:p w14:paraId="6F8C95DA">
      <w:pPr>
        <w:tabs>
          <w:tab w:val="left" w:pos="3687"/>
          <w:tab w:val="left" w:pos="4407"/>
          <w:tab w:val="left" w:pos="7429"/>
          <w:tab w:val="left" w:pos="16992"/>
        </w:tabs>
        <w:ind w:firstLine="630" w:firstLineChars="300"/>
        <w:jc w:val="both"/>
        <w:rPr>
          <w:rFonts w:hint="eastAsia" w:ascii="方正小标宋简体" w:hAnsi="方正小标宋简体" w:eastAsia="方正小标宋简体" w:cs="方正小标宋简体"/>
          <w:i w:val="0"/>
          <w:iCs w:val="0"/>
          <w:color w:val="000000"/>
          <w:sz w:val="44"/>
          <w:szCs w:val="44"/>
          <w:u w:val="none"/>
        </w:rPr>
      </w:pPr>
      <w:r>
        <w:rPr>
          <w:rFonts w:hint="eastAsia" w:asciiTheme="minorEastAsia" w:hAnsiTheme="minorEastAsia" w:eastAsiaTheme="minorEastAsia" w:cstheme="minorEastAsia"/>
          <w:i w:val="0"/>
          <w:iCs w:val="0"/>
          <w:color w:val="000000"/>
          <w:kern w:val="0"/>
          <w:sz w:val="21"/>
          <w:szCs w:val="21"/>
          <w:u w:val="none"/>
          <w:lang w:val="en-US" w:eastAsia="zh-CN"/>
        </w:rPr>
        <w:t>预算单位：</w:t>
      </w:r>
      <w:r>
        <w:rPr>
          <w:rFonts w:hint="eastAsia" w:ascii="方正小标宋简体" w:hAnsi="方正小标宋简体" w:eastAsia="方正小标宋简体" w:cs="方正小标宋简体"/>
          <w:i w:val="0"/>
          <w:iCs w:val="0"/>
          <w:color w:val="000000"/>
          <w:sz w:val="24"/>
          <w:szCs w:val="24"/>
          <w:u w:val="none"/>
        </w:rPr>
        <w:tab/>
      </w:r>
      <w:r>
        <w:rPr>
          <w:rFonts w:hint="eastAsia" w:ascii="方正小标宋简体" w:hAnsi="方正小标宋简体" w:eastAsia="方正小标宋简体" w:cs="方正小标宋简体"/>
          <w:i w:val="0"/>
          <w:iCs w:val="0"/>
          <w:color w:val="000000"/>
          <w:sz w:val="44"/>
          <w:szCs w:val="44"/>
          <w:u w:val="none"/>
        </w:rPr>
        <w:tab/>
      </w:r>
      <w:r>
        <w:rPr>
          <w:rFonts w:hint="eastAsia" w:ascii="方正小标宋简体" w:hAnsi="方正小标宋简体" w:eastAsia="方正小标宋简体" w:cs="方正小标宋简体"/>
          <w:i w:val="0"/>
          <w:iCs w:val="0"/>
          <w:color w:val="000000"/>
          <w:sz w:val="44"/>
          <w:szCs w:val="44"/>
          <w:u w:val="none"/>
        </w:rPr>
        <w:tab/>
      </w:r>
      <w:r>
        <w:rPr>
          <w:rFonts w:hint="eastAsia" w:ascii="方正小标宋简体" w:hAnsi="方正小标宋简体" w:eastAsia="方正小标宋简体" w:cs="方正小标宋简体"/>
          <w:i w:val="0"/>
          <w:iCs w:val="0"/>
          <w:color w:val="000000"/>
          <w:sz w:val="44"/>
          <w:szCs w:val="44"/>
          <w:u w:val="none"/>
        </w:rPr>
        <w:tab/>
      </w:r>
    </w:p>
    <w:tbl>
      <w:tblPr>
        <w:tblStyle w:val="13"/>
        <w:tblW w:w="486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426"/>
        <w:gridCol w:w="426"/>
        <w:gridCol w:w="426"/>
        <w:gridCol w:w="3366"/>
        <w:gridCol w:w="2998"/>
        <w:gridCol w:w="531"/>
      </w:tblGrid>
      <w:tr w14:paraId="7B531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jc w:val="center"/>
        </w:trPr>
        <w:tc>
          <w:tcPr>
            <w:tcW w:w="97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5ACDA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绩效指标</w:t>
            </w:r>
          </w:p>
        </w:tc>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091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黑体" w:hAnsi="黑体" w:eastAsia="黑体" w:cs="黑体"/>
                <w:i w:val="0"/>
                <w:iCs w:val="0"/>
                <w:color w:val="000000"/>
                <w:kern w:val="0"/>
                <w:sz w:val="21"/>
                <w:szCs w:val="21"/>
                <w:u w:val="none"/>
                <w:lang w:val="en-US" w:eastAsia="zh-CN"/>
              </w:rPr>
            </w:pPr>
            <w:r>
              <w:rPr>
                <w:rFonts w:hint="eastAsia" w:ascii="黑体" w:hAnsi="黑体" w:eastAsia="黑体" w:cs="黑体"/>
                <w:i w:val="0"/>
                <w:iCs w:val="0"/>
                <w:color w:val="000000"/>
                <w:kern w:val="0"/>
                <w:sz w:val="21"/>
                <w:szCs w:val="21"/>
                <w:u w:val="none"/>
                <w:lang w:val="en-US" w:eastAsia="zh-CN"/>
              </w:rPr>
              <w:t>指标</w:t>
            </w:r>
          </w:p>
          <w:p w14:paraId="29054D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分值</w:t>
            </w:r>
          </w:p>
        </w:tc>
        <w:tc>
          <w:tcPr>
            <w:tcW w:w="84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E38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指标解释</w:t>
            </w:r>
          </w:p>
        </w:tc>
        <w:tc>
          <w:tcPr>
            <w:tcW w:w="26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C12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评价要点及说明</w:t>
            </w:r>
          </w:p>
        </w:tc>
        <w:tc>
          <w:tcPr>
            <w:tcW w:w="28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6397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黑体" w:hAnsi="黑体" w:eastAsia="黑体" w:cs="黑体"/>
                <w:b w:val="0"/>
                <w:bCs w:val="0"/>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rPr>
              <w:t>自评得分</w:t>
            </w:r>
          </w:p>
        </w:tc>
      </w:tr>
      <w:tr w14:paraId="5057D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jc w:val="center"/>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0FF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一级指标</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DC0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二级指标</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B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三级指标</w:t>
            </w: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068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rPr>
                <w:rFonts w:hint="eastAsia" w:ascii="宋体" w:hAnsi="宋体" w:eastAsia="宋体" w:cs="宋体"/>
                <w:i w:val="0"/>
                <w:iCs w:val="0"/>
                <w:color w:val="000000"/>
                <w:sz w:val="21"/>
                <w:szCs w:val="21"/>
                <w:u w:val="none"/>
              </w:rPr>
            </w:pPr>
          </w:p>
        </w:tc>
        <w:tc>
          <w:tcPr>
            <w:tcW w:w="84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00D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rPr>
                <w:rFonts w:hint="eastAsia" w:ascii="宋体" w:hAnsi="宋体" w:eastAsia="宋体" w:cs="宋体"/>
                <w:i w:val="0"/>
                <w:iCs w:val="0"/>
                <w:color w:val="000000"/>
                <w:sz w:val="21"/>
                <w:szCs w:val="21"/>
                <w:u w:val="none"/>
              </w:rPr>
            </w:pPr>
          </w:p>
        </w:tc>
        <w:tc>
          <w:tcPr>
            <w:tcW w:w="26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0E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rPr>
                <w:rFonts w:hint="eastAsia" w:ascii="宋体" w:hAnsi="宋体" w:eastAsia="宋体" w:cs="宋体"/>
                <w:i w:val="0"/>
                <w:iCs w:val="0"/>
                <w:color w:val="000000"/>
                <w:sz w:val="21"/>
                <w:szCs w:val="21"/>
                <w:u w:val="none"/>
              </w:rPr>
            </w:pPr>
          </w:p>
        </w:tc>
        <w:tc>
          <w:tcPr>
            <w:tcW w:w="28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6FEC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rPr>
                <w:rFonts w:hint="eastAsia" w:ascii="宋体" w:hAnsi="宋体" w:eastAsia="宋体" w:cs="宋体"/>
                <w:b/>
                <w:bCs/>
                <w:i w:val="0"/>
                <w:iCs w:val="0"/>
                <w:color w:val="000000"/>
                <w:sz w:val="21"/>
                <w:szCs w:val="21"/>
                <w:u w:val="none"/>
              </w:rPr>
            </w:pPr>
          </w:p>
        </w:tc>
      </w:tr>
      <w:tr w14:paraId="1047E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1814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项目决策</w:t>
            </w:r>
          </w:p>
          <w:p w14:paraId="6CFDD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（30分）</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3B1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决策程序</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F66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程序规范</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62B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20</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508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部门预算项目设立是否与部门职能职责相符、是否充分履行项目申报论证程序。</w:t>
            </w:r>
          </w:p>
        </w:tc>
        <w:tc>
          <w:tcPr>
            <w:tcW w:w="2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BE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1.项目申报未经过部门集体决策的扣5分；</w:t>
            </w:r>
          </w:p>
          <w:p w14:paraId="3ECCF8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2.未纳入部门（单位）项目库或未履行部门（单位）入库审批程序的扣5分；</w:t>
            </w:r>
          </w:p>
          <w:p w14:paraId="1916A2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3.纳入项目库的项目未按规定完成可行性研究论证、制定具体实施计划等各项前期工作或预算测算不够清晰的，酌情扣分，最多扣5分；</w:t>
            </w:r>
          </w:p>
          <w:p w14:paraId="793AB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4.50万元以上的新增项目或增幅达到20%或50万元以上的延续项目，未开展事前绩效评估的扣5分；</w:t>
            </w:r>
          </w:p>
          <w:p w14:paraId="1C7941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5.如项目为新建信息化项目，项目申报论证未履行相关程序的，缺1项程序扣2分，扣完为止。</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E3B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20</w:t>
            </w:r>
          </w:p>
        </w:tc>
      </w:tr>
      <w:tr w14:paraId="797E0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5C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rPr>
                <w:rFonts w:hint="eastAsia" w:ascii="宋体" w:hAnsi="宋体" w:eastAsia="宋体" w:cs="宋体"/>
                <w:i w:val="0"/>
                <w:iCs w:val="0"/>
                <w:color w:val="000000"/>
                <w:sz w:val="21"/>
                <w:szCs w:val="21"/>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6ED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目标制定</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C72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编制质量</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8CA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10</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F4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项目绩效目标制定是否符合科学合理、规范完整、量化细化、预算匹配的要求。</w:t>
            </w:r>
          </w:p>
        </w:tc>
        <w:tc>
          <w:tcPr>
            <w:tcW w:w="2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38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1.绩效目标是否符合有关中长期工作规划、部门“三定”方案确定的职责；</w:t>
            </w:r>
          </w:p>
          <w:p w14:paraId="641CB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2.绩效目标是否细化分解为具体的绩效指标，指标设置是否高度关联、重点突出、量化易评；</w:t>
            </w:r>
          </w:p>
          <w:p w14:paraId="4C8E9F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3.绩效目标是否与年度任务数或计划数相对应；</w:t>
            </w:r>
          </w:p>
          <w:p w14:paraId="0A1E5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4.绩效目标是否与预算确定的项目投资额或资金量相匹配。</w:t>
            </w:r>
          </w:p>
          <w:p w14:paraId="3CEA0D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绩效目标制定不符合科学合理、规范完整、量化细化、预算匹配要求的，发现一处扣1分，扣完为止。</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972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10</w:t>
            </w:r>
          </w:p>
        </w:tc>
      </w:tr>
      <w:tr w14:paraId="34E08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85" w:type="pct"/>
            <w:vMerge w:val="restart"/>
            <w:tcBorders>
              <w:top w:val="single" w:color="000000" w:sz="4" w:space="0"/>
              <w:left w:val="single" w:color="000000" w:sz="4" w:space="0"/>
              <w:bottom w:val="nil"/>
              <w:right w:val="single" w:color="000000" w:sz="4" w:space="0"/>
            </w:tcBorders>
            <w:shd w:val="clear" w:color="auto" w:fill="auto"/>
            <w:vAlign w:val="center"/>
          </w:tcPr>
          <w:p w14:paraId="7EB3E1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项目执行（30分）</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B77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执行同向</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A98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目标匹配</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E6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10</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B98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项目实际列支内容是否与项目绩效目标设置方向相符。</w:t>
            </w:r>
          </w:p>
        </w:tc>
        <w:tc>
          <w:tcPr>
            <w:tcW w:w="2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C3F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项目实际列支内容与绩效目标设置方向不相符的，发现一处扣2.5分，扣完为止。</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01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10</w:t>
            </w:r>
          </w:p>
        </w:tc>
      </w:tr>
      <w:tr w14:paraId="26263D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85" w:type="pct"/>
            <w:vMerge w:val="continue"/>
            <w:tcBorders>
              <w:top w:val="single" w:color="000000" w:sz="4" w:space="0"/>
              <w:left w:val="single" w:color="000000" w:sz="4" w:space="0"/>
              <w:bottom w:val="nil"/>
              <w:right w:val="single" w:color="000000" w:sz="4" w:space="0"/>
            </w:tcBorders>
            <w:shd w:val="clear" w:color="auto" w:fill="auto"/>
            <w:vAlign w:val="center"/>
          </w:tcPr>
          <w:p w14:paraId="2C0CC4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rPr>
                <w:rFonts w:hint="eastAsia" w:ascii="宋体" w:hAnsi="宋体" w:eastAsia="宋体" w:cs="宋体"/>
                <w:i w:val="0"/>
                <w:iCs w:val="0"/>
                <w:color w:val="000000"/>
                <w:sz w:val="21"/>
                <w:szCs w:val="21"/>
                <w:u w:val="none"/>
              </w:rPr>
            </w:pPr>
          </w:p>
        </w:tc>
        <w:tc>
          <w:tcPr>
            <w:tcW w:w="302" w:type="pct"/>
            <w:tcBorders>
              <w:top w:val="single" w:color="000000" w:sz="4" w:space="0"/>
              <w:left w:val="single" w:color="000000" w:sz="4" w:space="0"/>
              <w:bottom w:val="nil"/>
              <w:right w:val="single" w:color="000000" w:sz="4" w:space="0"/>
            </w:tcBorders>
            <w:shd w:val="clear" w:color="auto" w:fill="auto"/>
            <w:vAlign w:val="center"/>
          </w:tcPr>
          <w:p w14:paraId="10637F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项目调整</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A7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预算调整</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C92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10</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CCB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申请项目预算调整是否程序规范，依据充分。</w:t>
            </w:r>
          </w:p>
        </w:tc>
        <w:tc>
          <w:tcPr>
            <w:tcW w:w="2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1CC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未按照规定程序申请项目预算调整的，不得分；申请预算调整依据不充分的，酌情扣分，扣完为止。</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B0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10</w:t>
            </w:r>
          </w:p>
        </w:tc>
      </w:tr>
      <w:tr w14:paraId="5538D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85" w:type="pct"/>
            <w:vMerge w:val="continue"/>
            <w:tcBorders>
              <w:top w:val="single" w:color="000000" w:sz="4" w:space="0"/>
              <w:left w:val="single" w:color="000000" w:sz="4" w:space="0"/>
              <w:bottom w:val="nil"/>
              <w:right w:val="single" w:color="000000" w:sz="4" w:space="0"/>
            </w:tcBorders>
            <w:shd w:val="clear" w:color="auto" w:fill="auto"/>
            <w:vAlign w:val="center"/>
          </w:tcPr>
          <w:p w14:paraId="32C59C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rPr>
                <w:rFonts w:hint="eastAsia" w:ascii="宋体" w:hAnsi="宋体" w:eastAsia="宋体" w:cs="宋体"/>
                <w:i w:val="0"/>
                <w:iCs w:val="0"/>
                <w:color w:val="000000"/>
                <w:sz w:val="21"/>
                <w:szCs w:val="21"/>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30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预算执行</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766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执行进度</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75D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4</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23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部门预算项目在6、9、11月的预算执行情况。</w:t>
            </w:r>
          </w:p>
        </w:tc>
        <w:tc>
          <w:tcPr>
            <w:tcW w:w="2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C1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预算执行进度在6、9、11月应达到序时进度的80%、90%、90%，即实际支出进度分别达到40%、67.5%、82.5%。6、9、11月部门预算执行进度达到目标进度的分别得1分、1分、2分，未达到目标进度的按其实际进度占目标进度的比重计算得分。</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1F7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44</w:t>
            </w:r>
          </w:p>
        </w:tc>
      </w:tr>
      <w:tr w14:paraId="683CF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285" w:type="pct"/>
            <w:vMerge w:val="continue"/>
            <w:tcBorders>
              <w:top w:val="single" w:color="000000" w:sz="4" w:space="0"/>
              <w:left w:val="single" w:color="000000" w:sz="4" w:space="0"/>
              <w:bottom w:val="nil"/>
              <w:right w:val="single" w:color="000000" w:sz="4" w:space="0"/>
            </w:tcBorders>
            <w:shd w:val="clear" w:color="auto" w:fill="auto"/>
            <w:vAlign w:val="center"/>
          </w:tcPr>
          <w:p w14:paraId="0D82A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rPr>
                <w:rFonts w:hint="eastAsia" w:ascii="宋体" w:hAnsi="宋体" w:eastAsia="宋体" w:cs="宋体"/>
                <w:i w:val="0"/>
                <w:iCs w:val="0"/>
                <w:color w:val="000000"/>
                <w:sz w:val="21"/>
                <w:szCs w:val="21"/>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EC3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预算结余</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2FA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预算结余率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9F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6</w:t>
            </w:r>
          </w:p>
        </w:tc>
        <w:tc>
          <w:tcPr>
            <w:tcW w:w="8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3D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部门预算项目年终预算结余情况。</w:t>
            </w:r>
          </w:p>
        </w:tc>
        <w:tc>
          <w:tcPr>
            <w:tcW w:w="2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B6F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指标得分=（1-预算结余率/0.1）×6分预算结余率大于等于0.1，指标得0分。预算结余率=结余金额/财政资金预算数×100%</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2EC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6</w:t>
            </w:r>
          </w:p>
        </w:tc>
      </w:tr>
      <w:tr w14:paraId="3C0DC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8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DE64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目标实现</w:t>
            </w:r>
          </w:p>
          <w:p w14:paraId="176F5A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（15分）</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0A9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目标完成</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CB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目标完成率</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09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8</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BAD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部门预算项目绩效目标中数量指标完成情况。</w:t>
            </w:r>
          </w:p>
        </w:tc>
        <w:tc>
          <w:tcPr>
            <w:tcW w:w="2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1AB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对照部门预算项目支出绩效目标编制情况，计算指标得分=绩效目标数量指标完成的指标个数/全部数量指标个数*8分。</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74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8</w:t>
            </w:r>
          </w:p>
        </w:tc>
      </w:tr>
      <w:tr w14:paraId="1F857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28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CA3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rPr>
                <w:rFonts w:hint="eastAsia" w:ascii="宋体" w:hAnsi="宋体" w:eastAsia="宋体" w:cs="宋体"/>
                <w:i w:val="0"/>
                <w:iCs w:val="0"/>
                <w:color w:val="000000"/>
                <w:sz w:val="21"/>
                <w:szCs w:val="21"/>
                <w:u w:val="none"/>
              </w:rPr>
            </w:pP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2C5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目标偏离</w:t>
            </w:r>
          </w:p>
        </w:tc>
        <w:tc>
          <w:tcPr>
            <w:tcW w:w="3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81A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偏离程度</w:t>
            </w: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6DF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7</w:t>
            </w:r>
          </w:p>
        </w:tc>
        <w:tc>
          <w:tcPr>
            <w:tcW w:w="8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78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部门预算项目绩效目标实现程度与预期目标的偏离情况。</w:t>
            </w:r>
          </w:p>
        </w:tc>
        <w:tc>
          <w:tcPr>
            <w:tcW w:w="26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945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部门年初整体支出绩效目标实际完成值偏离预期指标30%以上（含30%）的，均不计分。该项指标得分=已完成预期指标值的数量指标中偏离度在30%内的指标个数/已完成预期指标值的数量指标个数×7。</w:t>
            </w:r>
          </w:p>
          <w:p w14:paraId="1E142A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偏离度=（绩效指标实际完成值-设定预期指标值）/设定预期指标值|。</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05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7</w:t>
            </w:r>
          </w:p>
        </w:tc>
      </w:tr>
      <w:tr w14:paraId="108B2A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8" w:hRule="atLeast"/>
          <w:jc w:val="center"/>
        </w:trPr>
        <w:tc>
          <w:tcPr>
            <w:tcW w:w="28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CC7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项目效果</w:t>
            </w:r>
          </w:p>
          <w:p w14:paraId="0423EA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（25分）</w:t>
            </w:r>
          </w:p>
        </w:tc>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0FE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目标实现</w:t>
            </w:r>
          </w:p>
        </w:tc>
        <w:tc>
          <w:tcPr>
            <w:tcW w:w="4122"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1103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评价组根据部门预算项目绩效目标设定的效益指标、成本指标、满意度指标细化设置三级指标，主要评价效益指标、成本指标的实际完成情况，以及部门是否针对满意度指标开展满意度调查。</w:t>
            </w:r>
          </w:p>
        </w:tc>
        <w:tc>
          <w:tcPr>
            <w:tcW w:w="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DA0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25</w:t>
            </w:r>
          </w:p>
        </w:tc>
      </w:tr>
      <w:tr w14:paraId="2246F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471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9E8E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rPr>
              <w:t>合计</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02A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3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100</w:t>
            </w:r>
          </w:p>
        </w:tc>
      </w:tr>
    </w:tbl>
    <w:p w14:paraId="50CBDC15">
      <w:pPr>
        <w:kinsoku/>
        <w:wordWrap/>
        <w:autoSpaceDE w:val="0"/>
        <w:autoSpaceDN w:val="0"/>
        <w:bidi w:val="0"/>
        <w:adjustRightInd w:val="0"/>
        <w:spacing w:beforeLines="0" w:afterLines="0" w:line="576" w:lineRule="exact"/>
        <w:jc w:val="both"/>
        <w:textAlignment w:val="auto"/>
        <w:rPr>
          <w:rFonts w:hint="eastAsia" w:ascii="仿宋_GB2312" w:hAnsi="仿宋_GB2312" w:eastAsia="仿宋_GB2312"/>
          <w:i/>
          <w:kern w:val="2"/>
          <w:sz w:val="32"/>
          <w:szCs w:val="32"/>
        </w:rPr>
      </w:pPr>
    </w:p>
    <w:p w14:paraId="75557D37">
      <w:pPr>
        <w:rPr>
          <w:rFonts w:hint="eastAsia" w:ascii="黑体" w:hAnsi="黑体" w:eastAsia="黑体"/>
          <w:kern w:val="44"/>
          <w:sz w:val="32"/>
          <w:szCs w:val="32"/>
        </w:rPr>
      </w:pPr>
      <w:r>
        <w:br w:type="page"/>
      </w:r>
    </w:p>
    <w:p w14:paraId="6A7582E4">
      <w:pPr>
        <w:keepNext/>
        <w:keepLines/>
        <w:kinsoku/>
        <w:wordWrap/>
        <w:autoSpaceDE w:val="0"/>
        <w:autoSpaceDN w:val="0"/>
        <w:bidi w:val="0"/>
        <w:adjustRightInd w:val="0"/>
        <w:spacing w:beforeLines="0" w:after="313" w:afterLines="0" w:line="576" w:lineRule="exact"/>
        <w:jc w:val="center"/>
        <w:textAlignment w:val="auto"/>
        <w:rPr>
          <w:rFonts w:hint="eastAsia" w:ascii="方正小标宋简体" w:hAnsi="方正小标宋简体" w:eastAsia="方正小标宋简体" w:cs="方正小标宋简体"/>
          <w:kern w:val="2"/>
          <w:sz w:val="44"/>
          <w:szCs w:val="44"/>
          <w:lang w:val="zh-CN"/>
        </w:rPr>
      </w:pPr>
      <w:r>
        <w:rPr>
          <w:rFonts w:hint="eastAsia" w:ascii="方正小标宋简体" w:hAnsi="方正小标宋简体" w:eastAsia="方正小标宋简体" w:cs="方正小标宋简体"/>
          <w:kern w:val="2"/>
          <w:sz w:val="44"/>
          <w:szCs w:val="44"/>
        </w:rPr>
        <w:t>2023年全委会等会议费</w:t>
      </w:r>
      <w:r>
        <w:rPr>
          <w:rFonts w:hint="eastAsia" w:ascii="方正小标宋简体" w:hAnsi="方正小标宋简体" w:eastAsia="方正小标宋简体" w:cs="方正小标宋简体"/>
          <w:kern w:val="2"/>
          <w:sz w:val="44"/>
          <w:szCs w:val="44"/>
          <w:lang w:val="zh-CN"/>
        </w:rPr>
        <w:t>专项预算项目</w:t>
      </w:r>
    </w:p>
    <w:p w14:paraId="7F1A695F">
      <w:pPr>
        <w:pStyle w:val="12"/>
        <w:ind w:left="0" w:leftChars="0" w:firstLine="0" w:firstLineChars="0"/>
        <w:jc w:val="center"/>
        <w:rPr>
          <w:rFonts w:hint="eastAsia" w:ascii="黑体" w:hAnsi="黑体" w:eastAsia="黑体"/>
          <w:kern w:val="44"/>
          <w:sz w:val="32"/>
          <w:szCs w:val="32"/>
        </w:rPr>
      </w:pPr>
      <w:r>
        <w:rPr>
          <w:rFonts w:hint="eastAsia" w:ascii="方正小标宋简体" w:hAnsi="方正小标宋简体" w:eastAsia="方正小标宋简体" w:cs="方正小标宋简体"/>
          <w:kern w:val="2"/>
          <w:sz w:val="44"/>
          <w:szCs w:val="44"/>
          <w:lang w:val="zh-CN"/>
        </w:rPr>
        <w:t>绩效评价报告</w:t>
      </w:r>
    </w:p>
    <w:p w14:paraId="783F7EB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一、项目概况</w:t>
      </w:r>
    </w:p>
    <w:p w14:paraId="1DCB7676">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区委办</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的全委会、全委扩大会、区委常委会、全区办公室主任会、全面深化改革会、国安工作会、各类培训等会议经费属于基本运转类项目。用于各种重要会议的会务组织工作。负责将区委常委会和区委常委会扩大会议的重要事项，转有关股室列入督办事项。负责区委或区委、区政府联合召开的各种会议的会务组织工作。协助做好区四大班子领导出席各项公务活动和会议的协调安排工作。负责区委办公室日常事务。指导基层部门的会务工作。</w:t>
      </w:r>
    </w:p>
    <w:p w14:paraId="420891B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（一）项目资金申报及批复情况。</w:t>
      </w:r>
      <w:r>
        <w:rPr>
          <w:rFonts w:hint="default" w:ascii="仿宋_GB2312" w:hAnsi="Times New Roman" w:eastAsia="仿宋_GB2312" w:cs="仿宋_GB2312"/>
          <w:kern w:val="2"/>
          <w:sz w:val="32"/>
          <w:szCs w:val="32"/>
          <w:lang w:val="en-US" w:eastAsia="zh-CN"/>
        </w:rPr>
        <w:t>会议费项目的申报严格按区财政资金管理的要求进行，该项目是</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年预算的项目，于</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月立项，项目下达资金以</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年预算批复为准。</w:t>
      </w:r>
    </w:p>
    <w:p w14:paraId="5E9B1FE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（二）项目绩效目标。</w:t>
      </w:r>
      <w:r>
        <w:rPr>
          <w:rFonts w:hint="default" w:ascii="仿宋_GB2312" w:hAnsi="Times New Roman" w:eastAsia="仿宋_GB2312" w:cs="仿宋_GB2312"/>
          <w:kern w:val="2"/>
          <w:sz w:val="32"/>
          <w:szCs w:val="32"/>
          <w:lang w:val="en-US" w:eastAsia="zh-CN"/>
        </w:rPr>
        <w:t>保障各类会议正常召开，各项政策落</w:t>
      </w:r>
    </w:p>
    <w:p w14:paraId="3C80EB27">
      <w:pPr>
        <w:keepNext w:val="0"/>
        <w:keepLines w:val="0"/>
        <w:widowControl w:val="0"/>
        <w:suppressLineNumbers w:val="0"/>
        <w:autoSpaceDE w:val="0"/>
        <w:autoSpaceDN/>
        <w:spacing w:before="0" w:beforeAutospacing="0" w:after="0" w:afterAutospacing="0" w:line="576" w:lineRule="exact"/>
        <w:ind w:left="0" w:right="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实落地；:贯彻落实党中央和省委、市委各项决策部署，并对全区工作安排部署。办会是机关履行职能、部署落实工作最基本的重要方式和手段。高质量的会务工作能够帮助会议顺利进行、提高会议的整体质量和水平、彰显会议主办方单位的工作能力。</w:t>
      </w:r>
    </w:p>
    <w:p w14:paraId="62BFE0D9">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（三）项目资金申报相符性。</w:t>
      </w:r>
      <w:r>
        <w:rPr>
          <w:rFonts w:hint="default" w:ascii="仿宋_GB2312" w:hAnsi="Times New Roman" w:eastAsia="仿宋_GB2312" w:cs="仿宋_GB2312"/>
          <w:kern w:val="2"/>
          <w:sz w:val="32"/>
          <w:szCs w:val="32"/>
          <w:lang w:val="en-US" w:eastAsia="zh-CN"/>
        </w:rPr>
        <w:t>全委会、全委扩大会、区委常委会、全区办公室主任会、全面深化改革会、国安工作会、各类培训等会议经费，该项目申报内容与具体实施内容相符，申报目标是合理可行的。</w:t>
      </w:r>
    </w:p>
    <w:p w14:paraId="1952F83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（四）自评步骤及方法。</w:t>
      </w:r>
    </w:p>
    <w:p w14:paraId="266922BF">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项目支出经费依据《广元市昭化区人民政府办公室关于印发&lt;广元市昭化区财政支出事后绩效评价管理办法&gt;的通知》(昭府办函〔</w:t>
      </w:r>
      <w:r>
        <w:rPr>
          <w:rFonts w:hint="default" w:ascii="Times New Roman" w:hAnsi="Times New Roman" w:eastAsia="仿宋_GB2312" w:cs="Times New Roman"/>
          <w:kern w:val="2"/>
          <w:sz w:val="32"/>
          <w:szCs w:val="32"/>
          <w:lang w:val="en-US" w:eastAsia="zh-CN"/>
        </w:rPr>
        <w:t>2022</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37</w:t>
      </w:r>
      <w:r>
        <w:rPr>
          <w:rFonts w:hint="default" w:ascii="仿宋_GB2312" w:hAnsi="Times New Roman" w:eastAsia="仿宋_GB2312" w:cs="仿宋_GB2312"/>
          <w:kern w:val="2"/>
          <w:sz w:val="32"/>
          <w:szCs w:val="32"/>
          <w:lang w:val="en-US" w:eastAsia="zh-CN"/>
        </w:rPr>
        <w:t>号)文件自评且逐项量分。</w:t>
      </w:r>
    </w:p>
    <w:p w14:paraId="1B536A74">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二、项目实施及管理情况</w:t>
      </w:r>
    </w:p>
    <w:p w14:paraId="0B03F75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（一）资金计划、到位及使用情况</w:t>
      </w:r>
    </w:p>
    <w:p w14:paraId="5C5653B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、资金计划及到位。截止</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3</w:t>
      </w:r>
      <w:r>
        <w:rPr>
          <w:rFonts w:hint="default" w:ascii="仿宋_GB2312" w:hAnsi="Times New Roman" w:eastAsia="仿宋_GB2312" w:cs="仿宋_GB2312"/>
          <w:kern w:val="2"/>
          <w:sz w:val="32"/>
          <w:szCs w:val="32"/>
          <w:lang w:val="en-US" w:eastAsia="zh-CN"/>
        </w:rPr>
        <w:t>月，预算的各类会议费</w:t>
      </w:r>
      <w:r>
        <w:rPr>
          <w:rFonts w:hint="default" w:ascii="Times New Roman" w:hAnsi="Times New Roman" w:eastAsia="仿宋_GB2312" w:cs="Times New Roman"/>
          <w:kern w:val="2"/>
          <w:sz w:val="32"/>
          <w:szCs w:val="32"/>
          <w:lang w:val="en-US" w:eastAsia="zh-CN"/>
        </w:rPr>
        <w:t>44</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00</w:t>
      </w:r>
      <w:r>
        <w:rPr>
          <w:rFonts w:hint="default" w:ascii="仿宋_GB2312" w:hAnsi="Times New Roman" w:eastAsia="仿宋_GB2312" w:cs="仿宋_GB2312"/>
          <w:kern w:val="2"/>
          <w:sz w:val="32"/>
          <w:szCs w:val="32"/>
          <w:lang w:val="en-US" w:eastAsia="zh-CN"/>
        </w:rPr>
        <w:t>万元通过预算一体化平台全部到位，资金到位率</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%、资金到位及时。</w:t>
      </w:r>
    </w:p>
    <w:p w14:paraId="24FCD20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Times New Roman" w:hAnsi="Times New Roman" w:eastAsia="仿宋_GB2312" w:cs="Times New Roman"/>
          <w:kern w:val="2"/>
          <w:sz w:val="32"/>
          <w:szCs w:val="32"/>
          <w:lang w:val="en-US" w:eastAsia="zh-CN"/>
        </w:rPr>
        <w:t>2</w:t>
      </w:r>
      <w:r>
        <w:rPr>
          <w:rFonts w:hint="default" w:ascii="仿宋_GB2312" w:hAnsi="Times New Roman" w:eastAsia="仿宋_GB2312" w:cs="仿宋_GB2312"/>
          <w:kern w:val="2"/>
          <w:sz w:val="32"/>
          <w:szCs w:val="32"/>
          <w:lang w:val="en-US" w:eastAsia="zh-CN"/>
        </w:rPr>
        <w:t>、资金使用。截止</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12</w:t>
      </w:r>
      <w:r>
        <w:rPr>
          <w:rFonts w:hint="default" w:ascii="仿宋_GB2312" w:hAnsi="Times New Roman" w:eastAsia="仿宋_GB2312" w:cs="仿宋_GB2312"/>
          <w:kern w:val="2"/>
          <w:sz w:val="32"/>
          <w:szCs w:val="32"/>
          <w:lang w:val="en-US" w:eastAsia="zh-CN"/>
        </w:rPr>
        <w:t>月</w:t>
      </w:r>
      <w:r>
        <w:rPr>
          <w:rFonts w:hint="default" w:ascii="Times New Roman" w:hAnsi="Times New Roman" w:eastAsia="仿宋_GB2312" w:cs="Times New Roman"/>
          <w:kern w:val="2"/>
          <w:sz w:val="32"/>
          <w:szCs w:val="32"/>
          <w:lang w:val="en-US" w:eastAsia="zh-CN"/>
        </w:rPr>
        <w:t>31</w:t>
      </w:r>
      <w:r>
        <w:rPr>
          <w:rFonts w:hint="default" w:ascii="仿宋_GB2312" w:hAnsi="Times New Roman" w:eastAsia="仿宋_GB2312" w:cs="仿宋_GB2312"/>
          <w:kern w:val="2"/>
          <w:sz w:val="32"/>
          <w:szCs w:val="32"/>
          <w:lang w:val="en-US" w:eastAsia="zh-CN"/>
        </w:rPr>
        <w:t>日，支付全委会等各类会议</w:t>
      </w:r>
      <w:r>
        <w:rPr>
          <w:rFonts w:hint="default" w:ascii="Times New Roman" w:hAnsi="Times New Roman" w:eastAsia="仿宋_GB2312" w:cs="Times New Roman"/>
          <w:kern w:val="2"/>
          <w:sz w:val="32"/>
          <w:szCs w:val="32"/>
          <w:lang w:val="en-US" w:eastAsia="zh-CN"/>
        </w:rPr>
        <w:t>44</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00</w:t>
      </w:r>
      <w:r>
        <w:rPr>
          <w:rFonts w:hint="default" w:ascii="仿宋_GB2312" w:hAnsi="Times New Roman" w:eastAsia="仿宋_GB2312" w:cs="仿宋_GB2312"/>
          <w:kern w:val="2"/>
          <w:sz w:val="32"/>
          <w:szCs w:val="32"/>
          <w:lang w:val="en-US" w:eastAsia="zh-CN"/>
        </w:rPr>
        <w:t>万元，</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年会议费无结余。资金用于支付的范围、支付标准、支付进度、支付依据等合规合法，并与预算相符。</w:t>
      </w:r>
    </w:p>
    <w:p w14:paraId="2D8962F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（二）项目财务管理情况</w:t>
      </w:r>
    </w:p>
    <w:p w14:paraId="6EDC2DE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该项经费严格按照项目财务管理制度执行、机构设置健全，会计核算及账务处理到位。严格执行财务管理制度、财务处理及时、会计核算规范。</w:t>
      </w:r>
    </w:p>
    <w:p w14:paraId="73E101E6">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（三）项目组织实施及管理情况</w:t>
      </w:r>
    </w:p>
    <w:p w14:paraId="7B3DA21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全委会、全委扩大会、区委常委会、全区办公室主任会、全面深化改革会、国安工作会、各类培训等会议经费项目是基本运转类项目，该项目严格按照相关制度管理和实施，项目绩效与预决算一同在互联网上公开，严格项目监管，项目进展都严格按照相关要求执行，并做好资金支付的审核审批手续；严格遵守中央、省委关于改进工作作风的中央八项规定要求，加强会议管理，控制会议时间，会议规模，能够简化会议形式的全部简化。全年无追加预算经费。</w:t>
      </w:r>
    </w:p>
    <w:p w14:paraId="1C9546B6">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三、项目绩效情况</w:t>
      </w:r>
      <w:r>
        <w:rPr>
          <w:rFonts w:hint="eastAsia" w:ascii="黑体" w:hAnsi="宋体" w:eastAsia="黑体" w:cs="黑体"/>
          <w:kern w:val="2"/>
          <w:sz w:val="32"/>
          <w:szCs w:val="32"/>
          <w:lang w:val="en-US" w:eastAsia="zh-CN"/>
        </w:rPr>
        <w:tab/>
      </w:r>
    </w:p>
    <w:p w14:paraId="649DE41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（一）项目完成情况</w:t>
      </w:r>
    </w:p>
    <w:p w14:paraId="483A0D6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全年召开会议次数达</w:t>
      </w:r>
      <w:r>
        <w:rPr>
          <w:rFonts w:hint="default" w:ascii="Times New Roman" w:hAnsi="Times New Roman" w:eastAsia="仿宋_GB2312" w:cs="Times New Roman"/>
          <w:kern w:val="2"/>
          <w:sz w:val="32"/>
          <w:szCs w:val="32"/>
          <w:lang w:val="en-US" w:eastAsia="zh-CN"/>
        </w:rPr>
        <w:t>80</w:t>
      </w:r>
      <w:r>
        <w:rPr>
          <w:rFonts w:hint="default" w:ascii="仿宋_GB2312" w:hAnsi="Times New Roman" w:eastAsia="仿宋_GB2312" w:cs="仿宋_GB2312"/>
          <w:kern w:val="2"/>
          <w:sz w:val="32"/>
          <w:szCs w:val="32"/>
          <w:lang w:val="en-US" w:eastAsia="zh-CN"/>
        </w:rPr>
        <w:t>场次，任务完成率</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%，会务失误情况小于等于</w:t>
      </w:r>
      <w:r>
        <w:rPr>
          <w:rFonts w:hint="default" w:ascii="Times New Roman" w:hAnsi="Times New Roman" w:eastAsia="仿宋_GB2312" w:cs="Times New Roman"/>
          <w:kern w:val="2"/>
          <w:sz w:val="32"/>
          <w:szCs w:val="32"/>
          <w:lang w:val="en-US" w:eastAsia="zh-CN"/>
        </w:rPr>
        <w:t>5</w:t>
      </w:r>
      <w:r>
        <w:rPr>
          <w:rFonts w:hint="default" w:ascii="仿宋_GB2312" w:hAnsi="Times New Roman" w:eastAsia="仿宋_GB2312" w:cs="仿宋_GB2312"/>
          <w:kern w:val="2"/>
          <w:sz w:val="32"/>
          <w:szCs w:val="32"/>
          <w:lang w:val="en-US" w:eastAsia="zh-CN"/>
        </w:rPr>
        <w:t>%，全年会议费支出</w:t>
      </w:r>
      <w:r>
        <w:rPr>
          <w:rFonts w:hint="default" w:ascii="Times New Roman" w:hAnsi="Times New Roman" w:eastAsia="仿宋_GB2312" w:cs="Times New Roman"/>
          <w:kern w:val="2"/>
          <w:sz w:val="32"/>
          <w:szCs w:val="32"/>
          <w:lang w:val="en-US" w:eastAsia="zh-CN"/>
        </w:rPr>
        <w:t>44</w:t>
      </w:r>
      <w:r>
        <w:rPr>
          <w:rFonts w:hint="default" w:ascii="仿宋_GB2312" w:hAnsi="Times New Roman" w:eastAsia="仿宋_GB2312" w:cs="仿宋_GB2312"/>
          <w:kern w:val="2"/>
          <w:sz w:val="32"/>
          <w:szCs w:val="32"/>
          <w:lang w:val="en-US" w:eastAsia="zh-CN"/>
        </w:rPr>
        <w:t>万元，行政运转率达</w:t>
      </w:r>
      <w:r>
        <w:rPr>
          <w:rFonts w:hint="default" w:ascii="Times New Roman" w:hAnsi="Times New Roman" w:eastAsia="仿宋_GB2312" w:cs="Times New Roman"/>
          <w:kern w:val="2"/>
          <w:sz w:val="32"/>
          <w:szCs w:val="32"/>
          <w:lang w:val="en-US" w:eastAsia="zh-CN"/>
        </w:rPr>
        <w:t>95</w:t>
      </w:r>
      <w:r>
        <w:rPr>
          <w:rFonts w:hint="default" w:ascii="仿宋_GB2312" w:hAnsi="Times New Roman" w:eastAsia="仿宋_GB2312" w:cs="仿宋_GB2312"/>
          <w:kern w:val="2"/>
          <w:sz w:val="32"/>
          <w:szCs w:val="32"/>
          <w:lang w:val="en-US" w:eastAsia="zh-CN"/>
        </w:rPr>
        <w:t>%，参会人员满意率达</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%。该项目完成的数量、质量、时效、成本等都实现了预期绩效目标，总体执行情况良好。</w:t>
      </w:r>
    </w:p>
    <w:p w14:paraId="123E19FA">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（二）项目效益情况。</w:t>
      </w:r>
    </w:p>
    <w:p w14:paraId="63F36C5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会议费项目的绩效目标为维持区委办各项会议工作良好地推进，确保各项会议正常召开，改善工作人员的工作环境。群众满意度达到</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w:t>
      </w:r>
    </w:p>
    <w:p w14:paraId="634EF82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（三）违规记录</w:t>
      </w:r>
    </w:p>
    <w:p w14:paraId="52CFB5C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根据自评年度审计监督、财会监督和决算审查结果反映专项预算管理合规。</w:t>
      </w:r>
    </w:p>
    <w:p w14:paraId="70B33C86">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四、自评结论及建议</w:t>
      </w:r>
    </w:p>
    <w:p w14:paraId="543FD5B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（一）自评结论。</w:t>
      </w:r>
      <w:r>
        <w:rPr>
          <w:rFonts w:hint="default" w:ascii="仿宋_GB2312" w:hAnsi="Times New Roman" w:eastAsia="仿宋_GB2312" w:cs="仿宋_GB2312"/>
          <w:kern w:val="2"/>
          <w:sz w:val="32"/>
          <w:szCs w:val="32"/>
          <w:lang w:val="en-US" w:eastAsia="zh-CN"/>
        </w:rPr>
        <w:t>全委会、全委扩大会、区委常委会、全区办公室主任会、全面深化改革会、国安工作会、各类培训等会议经费，该项目建设质量要求高，全面完成全年各类会议的支付工作，运转正常，基本实现了预期绩效目标，总体执行情况良好，该项目评价得分</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分。</w:t>
      </w:r>
    </w:p>
    <w:p w14:paraId="7124639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（二）存在的问题。</w:t>
      </w:r>
      <w:r>
        <w:rPr>
          <w:rFonts w:hint="default" w:ascii="仿宋_GB2312" w:hAnsi="Times New Roman" w:eastAsia="仿宋_GB2312" w:cs="仿宋_GB2312"/>
          <w:kern w:val="2"/>
          <w:sz w:val="32"/>
          <w:szCs w:val="32"/>
          <w:lang w:val="en-US" w:eastAsia="zh-CN"/>
        </w:rPr>
        <w:t>管理制度有待进一步完善。</w:t>
      </w:r>
    </w:p>
    <w:p w14:paraId="08F05A7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（三）相关措施或建议。</w:t>
      </w:r>
      <w:r>
        <w:rPr>
          <w:rFonts w:hint="default" w:ascii="仿宋_GB2312" w:hAnsi="Times New Roman" w:eastAsia="仿宋_GB2312" w:cs="仿宋_GB2312"/>
          <w:kern w:val="2"/>
          <w:sz w:val="32"/>
          <w:szCs w:val="32"/>
          <w:lang w:val="en-US" w:eastAsia="zh-CN"/>
        </w:rPr>
        <w:t>明确项目绩效目标，细化项目管理，建立健全项目绩效制度。</w:t>
      </w:r>
    </w:p>
    <w:p w14:paraId="67E7B6F4">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4EA94B8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附件：</w:t>
      </w: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年全委会等会议费项目支出绩效自评表</w:t>
      </w:r>
    </w:p>
    <w:p w14:paraId="5658C8AF">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r>
        <w:rPr>
          <w:rFonts w:hint="default" w:ascii="Times New Roman" w:hAnsi="Times New Roman" w:eastAsia="仿宋_GB2312" w:cs="Times New Roman"/>
          <w:kern w:val="2"/>
          <w:sz w:val="32"/>
          <w:szCs w:val="32"/>
          <w:lang w:val="en-US" w:eastAsia="zh-CN"/>
        </w:rPr>
        <w:t>2</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年全委会等会议费项目支出绩效自评评分表</w:t>
      </w:r>
    </w:p>
    <w:p w14:paraId="3B2AEBE5">
      <w:pPr>
        <w:pStyle w:val="11"/>
        <w:keepNext w:val="0"/>
        <w:keepLines w:val="0"/>
        <w:widowControl w:val="0"/>
        <w:suppressLineNumbers w:val="0"/>
        <w:spacing w:before="0" w:beforeAutospacing="1" w:after="120" w:afterAutospacing="0"/>
        <w:ind w:left="480" w:leftChars="200" w:right="0" w:firstLine="420"/>
        <w:jc w:val="left"/>
        <w:rPr>
          <w:rFonts w:hint="eastAsia" w:ascii="Times New Roman" w:hAnsi="Times New Roman" w:eastAsia="黑体" w:cs="Times New Roman"/>
          <w:kern w:val="2"/>
          <w:sz w:val="32"/>
          <w:szCs w:val="32"/>
        </w:rPr>
      </w:pPr>
      <w:r>
        <w:rPr>
          <w:rFonts w:hint="eastAsia" w:ascii="Times New Roman" w:hAnsi="Times New Roman" w:eastAsia="黑体" w:cs="Times New Roman"/>
          <w:kern w:val="2"/>
          <w:sz w:val="32"/>
          <w:szCs w:val="32"/>
          <w:lang w:val="en-US" w:eastAsia="zh-CN"/>
        </w:rPr>
        <w:t xml:space="preserve"> </w:t>
      </w:r>
    </w:p>
    <w:p w14:paraId="10267E2E">
      <w:pPr>
        <w:pStyle w:val="11"/>
        <w:keepNext w:val="0"/>
        <w:keepLines w:val="0"/>
        <w:widowControl w:val="0"/>
        <w:suppressLineNumbers w:val="0"/>
        <w:spacing w:before="0" w:beforeAutospacing="1" w:after="120" w:afterAutospacing="0"/>
        <w:ind w:left="480" w:leftChars="200" w:right="0" w:firstLine="420"/>
        <w:jc w:val="left"/>
        <w:rPr>
          <w:rFonts w:hint="eastAsia" w:ascii="Times New Roman" w:hAnsi="Times New Roman" w:eastAsia="黑体" w:cs="Times New Roman"/>
          <w:kern w:val="2"/>
          <w:sz w:val="32"/>
          <w:szCs w:val="32"/>
        </w:rPr>
      </w:pPr>
      <w:r>
        <w:rPr>
          <w:rFonts w:hint="eastAsia" w:ascii="Times New Roman" w:hAnsi="Times New Roman" w:eastAsia="黑体" w:cs="Times New Roman"/>
          <w:kern w:val="2"/>
          <w:sz w:val="32"/>
          <w:szCs w:val="32"/>
          <w:lang w:val="en-US" w:eastAsia="zh-CN"/>
        </w:rPr>
        <w:t xml:space="preserve"> </w:t>
      </w:r>
    </w:p>
    <w:p w14:paraId="0C3633AB">
      <w:pPr>
        <w:keepNext w:val="0"/>
        <w:keepLines w:val="0"/>
        <w:widowControl w:val="0"/>
        <w:suppressLineNumbers w:val="0"/>
        <w:wordWrap w:val="0"/>
        <w:autoSpaceDE w:val="0"/>
        <w:autoSpaceDN/>
        <w:spacing w:before="0" w:beforeAutospacing="0" w:after="0" w:afterAutospacing="0" w:line="576" w:lineRule="exact"/>
        <w:ind w:left="0" w:right="0" w:firstLine="640" w:firstLineChars="200"/>
        <w:jc w:val="right"/>
        <w:rPr>
          <w:rFonts w:hint="default" w:ascii="Times New Roman" w:hAnsi="Times New Roman" w:eastAsia="仿宋_GB2312" w:cs="Times New Roman"/>
          <w:kern w:val="2"/>
          <w:sz w:val="32"/>
          <w:szCs w:val="32"/>
        </w:rPr>
      </w:pPr>
      <w:r>
        <w:rPr>
          <w:rFonts w:hint="default" w:ascii="仿宋_GB2312" w:hAnsi="Times New Roman" w:eastAsia="仿宋_GB2312" w:cs="仿宋_GB2312"/>
          <w:kern w:val="2"/>
          <w:sz w:val="32"/>
          <w:szCs w:val="32"/>
          <w:lang w:val="en-US" w:eastAsia="zh-CN"/>
        </w:rPr>
        <w:t xml:space="preserve">中共广元市昭化区委办公室  </w:t>
      </w:r>
      <w:r>
        <w:rPr>
          <w:rFonts w:hint="default" w:ascii="Times New Roman" w:hAnsi="Times New Roman" w:eastAsia="仿宋_GB2312" w:cs="Times New Roman"/>
          <w:kern w:val="2"/>
          <w:sz w:val="32"/>
          <w:szCs w:val="32"/>
          <w:lang w:val="en-US" w:eastAsia="zh-CN"/>
        </w:rPr>
        <w:t xml:space="preserve"> </w:t>
      </w:r>
    </w:p>
    <w:p w14:paraId="63DD7126">
      <w:pPr>
        <w:keepNext w:val="0"/>
        <w:keepLines w:val="0"/>
        <w:widowControl w:val="0"/>
        <w:suppressLineNumbers w:val="0"/>
        <w:wordWrap w:val="0"/>
        <w:autoSpaceDE w:val="0"/>
        <w:autoSpaceDN/>
        <w:spacing w:before="0" w:beforeAutospacing="0" w:after="0" w:afterAutospacing="0" w:line="576" w:lineRule="exact"/>
        <w:ind w:left="0" w:right="0" w:firstLine="640" w:firstLineChars="200"/>
        <w:jc w:val="right"/>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rPr>
        <w:t>2024</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5</w:t>
      </w:r>
      <w:r>
        <w:rPr>
          <w:rFonts w:hint="default" w:ascii="仿宋_GB2312" w:hAnsi="Times New Roman" w:eastAsia="仿宋_GB2312" w:cs="仿宋_GB2312"/>
          <w:kern w:val="2"/>
          <w:sz w:val="32"/>
          <w:szCs w:val="32"/>
          <w:lang w:val="en-US" w:eastAsia="zh-CN"/>
        </w:rPr>
        <w:t>月</w:t>
      </w:r>
      <w:r>
        <w:rPr>
          <w:rFonts w:hint="default" w:ascii="Times New Roman" w:hAnsi="Times New Roman" w:eastAsia="仿宋_GB2312" w:cs="Times New Roman"/>
          <w:kern w:val="2"/>
          <w:sz w:val="32"/>
          <w:szCs w:val="32"/>
          <w:lang w:val="en-US" w:eastAsia="zh-CN"/>
        </w:rPr>
        <w:t>8</w:t>
      </w:r>
      <w:r>
        <w:rPr>
          <w:rFonts w:hint="default" w:ascii="仿宋_GB2312" w:hAnsi="Times New Roman" w:eastAsia="仿宋_GB2312" w:cs="仿宋_GB2312"/>
          <w:kern w:val="2"/>
          <w:sz w:val="32"/>
          <w:szCs w:val="32"/>
          <w:lang w:val="en-US" w:eastAsia="zh-CN"/>
        </w:rPr>
        <w:t xml:space="preserve">日    </w:t>
      </w:r>
    </w:p>
    <w:p w14:paraId="608FE73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70108A6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3721575F">
      <w:pPr>
        <w:rPr>
          <w:rFonts w:hint="eastAsia" w:ascii="黑体" w:hAnsi="宋体" w:eastAsia="黑体" w:cs="黑体"/>
          <w:i w:val="0"/>
          <w:iCs w:val="0"/>
          <w:color w:val="000000"/>
          <w:kern w:val="0"/>
          <w:sz w:val="32"/>
          <w:szCs w:val="32"/>
          <w:lang w:val="en-US" w:eastAsia="zh-CN"/>
        </w:rPr>
      </w:pPr>
      <w:r>
        <w:br w:type="page"/>
      </w:r>
    </w:p>
    <w:p w14:paraId="0C747757">
      <w:pPr>
        <w:keepNext w:val="0"/>
        <w:keepLines w:val="0"/>
        <w:widowControl w:val="0"/>
        <w:suppressLineNumbers w:val="0"/>
        <w:autoSpaceDE w:val="0"/>
        <w:autoSpaceDN/>
        <w:spacing w:before="0" w:beforeAutospacing="0" w:after="0" w:afterAutospacing="0" w:line="576" w:lineRule="exact"/>
        <w:ind w:left="0" w:right="0"/>
        <w:jc w:val="both"/>
        <w:rPr>
          <w:rFonts w:hint="eastAsia" w:ascii="宋体" w:hAnsi="宋体" w:eastAsia="宋体" w:cs="宋体"/>
          <w:i w:val="0"/>
          <w:iCs w:val="0"/>
          <w:color w:val="000000"/>
          <w:kern w:val="2"/>
          <w:sz w:val="24"/>
          <w:szCs w:val="24"/>
        </w:rPr>
      </w:pPr>
      <w:r>
        <w:rPr>
          <w:rFonts w:hint="eastAsia" w:ascii="黑体" w:hAnsi="宋体" w:eastAsia="黑体" w:cs="黑体"/>
          <w:i w:val="0"/>
          <w:iCs w:val="0"/>
          <w:color w:val="000000"/>
          <w:kern w:val="0"/>
          <w:sz w:val="32"/>
          <w:szCs w:val="32"/>
          <w:lang w:val="en-US" w:eastAsia="zh-CN"/>
        </w:rPr>
        <w:t>附件</w:t>
      </w:r>
      <w:r>
        <w:rPr>
          <w:rFonts w:hint="default" w:ascii="Times New Roman" w:hAnsi="Times New Roman" w:eastAsia="黑体" w:cs="Times New Roman"/>
          <w:i w:val="0"/>
          <w:iCs w:val="0"/>
          <w:color w:val="000000"/>
          <w:kern w:val="0"/>
          <w:sz w:val="32"/>
          <w:szCs w:val="32"/>
          <w:lang w:val="en-US" w:eastAsia="zh-CN"/>
        </w:rPr>
        <w:t>1</w:t>
      </w:r>
      <w:r>
        <w:rPr>
          <w:rFonts w:hint="eastAsia" w:ascii="黑体" w:hAnsi="宋体" w:eastAsia="黑体" w:cs="黑体"/>
          <w:i w:val="0"/>
          <w:iCs w:val="0"/>
          <w:color w:val="000000"/>
          <w:kern w:val="2"/>
          <w:sz w:val="28"/>
          <w:szCs w:val="28"/>
          <w:lang w:val="en-US" w:eastAsia="zh-CN"/>
        </w:rPr>
        <w:tab/>
      </w:r>
      <w:r>
        <w:rPr>
          <w:rFonts w:hint="eastAsia" w:ascii="宋体" w:hAnsi="宋体" w:eastAsia="宋体" w:cs="宋体"/>
          <w:i w:val="0"/>
          <w:iCs w:val="0"/>
          <w:color w:val="000000"/>
          <w:kern w:val="2"/>
          <w:sz w:val="24"/>
          <w:szCs w:val="24"/>
          <w:lang w:val="en-US" w:eastAsia="zh-CN"/>
        </w:rPr>
        <w:tab/>
      </w:r>
      <w:r>
        <w:rPr>
          <w:rFonts w:hint="eastAsia" w:ascii="宋体" w:hAnsi="宋体" w:eastAsia="宋体" w:cs="宋体"/>
          <w:i w:val="0"/>
          <w:iCs w:val="0"/>
          <w:color w:val="000000"/>
          <w:kern w:val="2"/>
          <w:sz w:val="24"/>
          <w:szCs w:val="24"/>
          <w:lang w:val="en-US" w:eastAsia="zh-CN"/>
        </w:rPr>
        <w:tab/>
      </w:r>
      <w:r>
        <w:rPr>
          <w:rFonts w:hint="eastAsia" w:ascii="宋体" w:hAnsi="宋体" w:eastAsia="宋体" w:cs="宋体"/>
          <w:i w:val="0"/>
          <w:iCs w:val="0"/>
          <w:color w:val="000000"/>
          <w:kern w:val="2"/>
          <w:sz w:val="24"/>
          <w:szCs w:val="24"/>
          <w:lang w:val="en-US" w:eastAsia="zh-CN"/>
        </w:rPr>
        <w:tab/>
      </w:r>
      <w:r>
        <w:rPr>
          <w:rFonts w:hint="eastAsia" w:ascii="宋体" w:hAnsi="宋体" w:eastAsia="宋体" w:cs="宋体"/>
          <w:i w:val="0"/>
          <w:iCs w:val="0"/>
          <w:color w:val="000000"/>
          <w:kern w:val="2"/>
          <w:sz w:val="24"/>
          <w:szCs w:val="24"/>
          <w:lang w:val="en-US" w:eastAsia="zh-CN"/>
        </w:rPr>
        <w:tab/>
      </w:r>
      <w:r>
        <w:rPr>
          <w:rFonts w:hint="eastAsia" w:ascii="宋体" w:hAnsi="宋体" w:eastAsia="宋体" w:cs="宋体"/>
          <w:i w:val="0"/>
          <w:iCs w:val="0"/>
          <w:color w:val="000000"/>
          <w:kern w:val="2"/>
          <w:sz w:val="24"/>
          <w:szCs w:val="24"/>
          <w:lang w:val="en-US" w:eastAsia="zh-CN"/>
        </w:rPr>
        <w:tab/>
      </w:r>
    </w:p>
    <w:p w14:paraId="2D1AF887">
      <w:pPr>
        <w:keepNext w:val="0"/>
        <w:keepLines w:val="0"/>
        <w:widowControl/>
        <w:suppressLineNumbers w:val="0"/>
        <w:autoSpaceDE w:val="0"/>
        <w:autoSpaceDN/>
        <w:spacing w:before="0" w:beforeAutospacing="0" w:after="0" w:afterAutospacing="0" w:line="576" w:lineRule="exact"/>
        <w:ind w:left="0" w:right="0"/>
        <w:jc w:val="center"/>
        <w:textAlignment w:val="center"/>
        <w:rPr>
          <w:rFonts w:hint="eastAsia" w:ascii="方正小标宋简体" w:hAnsi="方正小标宋简体" w:eastAsia="方正小标宋简体" w:cs="方正小标宋简体"/>
          <w:i w:val="0"/>
          <w:iCs w:val="0"/>
          <w:color w:val="000000"/>
          <w:spacing w:val="-11"/>
          <w:kern w:val="2"/>
          <w:sz w:val="44"/>
          <w:szCs w:val="44"/>
        </w:rPr>
      </w:pPr>
      <w:r>
        <w:rPr>
          <w:rFonts w:hint="eastAsia" w:ascii="方正小标宋简体" w:hAnsi="方正小标宋简体" w:eastAsia="方正小标宋简体" w:cs="方正小标宋简体"/>
          <w:i w:val="0"/>
          <w:iCs w:val="0"/>
          <w:color w:val="000000"/>
          <w:spacing w:val="-11"/>
          <w:kern w:val="0"/>
          <w:sz w:val="44"/>
          <w:szCs w:val="44"/>
          <w:lang w:val="en-US" w:eastAsia="zh-CN"/>
        </w:rPr>
        <w:t>广元市昭化区财政项目（政策）支出绩效自评表</w:t>
      </w:r>
    </w:p>
    <w:p w14:paraId="1E0D1914">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val="0"/>
          <w:bCs w:val="0"/>
          <w:i w:val="0"/>
          <w:iCs w:val="0"/>
          <w:color w:val="000000"/>
          <w:kern w:val="2"/>
          <w:sz w:val="21"/>
          <w:szCs w:val="21"/>
        </w:rPr>
      </w:pPr>
      <w:r>
        <w:rPr>
          <w:rFonts w:hint="eastAsia" w:ascii="宋体" w:hAnsi="宋体" w:eastAsia="宋体" w:cs="宋体"/>
          <w:b w:val="0"/>
          <w:bCs w:val="0"/>
          <w:i w:val="0"/>
          <w:iCs w:val="0"/>
          <w:color w:val="000000"/>
          <w:kern w:val="0"/>
          <w:sz w:val="21"/>
          <w:szCs w:val="21"/>
          <w:lang w:val="en-US" w:eastAsia="zh-CN"/>
        </w:rPr>
        <w:t>（2023年度）</w:t>
      </w:r>
    </w:p>
    <w:tbl>
      <w:tblPr>
        <w:tblStyle w:val="13"/>
        <w:tblW w:w="972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3"/>
        <w:gridCol w:w="852"/>
        <w:gridCol w:w="1129"/>
        <w:gridCol w:w="1140"/>
        <w:gridCol w:w="2038"/>
        <w:gridCol w:w="1208"/>
        <w:gridCol w:w="1281"/>
        <w:gridCol w:w="1313"/>
      </w:tblGrid>
      <w:tr w14:paraId="62D1E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E8727E">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项目（政策）名称</w:t>
            </w:r>
          </w:p>
        </w:tc>
        <w:tc>
          <w:tcPr>
            <w:tcW w:w="8109" w:type="dxa"/>
            <w:gridSpan w:val="6"/>
            <w:tcBorders>
              <w:top w:val="single" w:color="000000" w:sz="4" w:space="0"/>
              <w:left w:val="nil"/>
              <w:bottom w:val="single" w:color="000000" w:sz="4" w:space="0"/>
              <w:right w:val="single" w:color="000000" w:sz="4" w:space="0"/>
            </w:tcBorders>
            <w:shd w:val="clear" w:color="auto" w:fill="auto"/>
            <w:vAlign w:val="center"/>
          </w:tcPr>
          <w:p w14:paraId="32E26605">
            <w:pPr>
              <w:keepNext w:val="0"/>
              <w:keepLines w:val="0"/>
              <w:widowControl/>
              <w:suppressLineNumbers w:val="0"/>
              <w:autoSpaceDE w:val="0"/>
              <w:autoSpaceDN/>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全委会、全委扩大会、区委常委会、全区办公室主任会、全面深化改革会、国安工作会、各类业务培训等会议经费</w:t>
            </w:r>
          </w:p>
        </w:tc>
      </w:tr>
      <w:tr w14:paraId="47BD8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3AF898">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主管部门</w:t>
            </w:r>
          </w:p>
        </w:tc>
        <w:tc>
          <w:tcPr>
            <w:tcW w:w="4307" w:type="dxa"/>
            <w:gridSpan w:val="3"/>
            <w:tcBorders>
              <w:top w:val="single" w:color="000000" w:sz="4" w:space="0"/>
              <w:left w:val="nil"/>
              <w:bottom w:val="single" w:color="000000" w:sz="4" w:space="0"/>
              <w:right w:val="single" w:color="000000" w:sz="4" w:space="0"/>
            </w:tcBorders>
            <w:shd w:val="clear" w:color="auto" w:fill="auto"/>
            <w:vAlign w:val="center"/>
          </w:tcPr>
          <w:p w14:paraId="4E88F128">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16F74AE9">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实施单位</w:t>
            </w:r>
          </w:p>
        </w:tc>
        <w:tc>
          <w:tcPr>
            <w:tcW w:w="2594" w:type="dxa"/>
            <w:gridSpan w:val="2"/>
            <w:tcBorders>
              <w:top w:val="single" w:color="000000" w:sz="4" w:space="0"/>
              <w:left w:val="nil"/>
              <w:bottom w:val="single" w:color="000000" w:sz="4" w:space="0"/>
              <w:right w:val="single" w:color="000000" w:sz="4" w:space="0"/>
            </w:tcBorders>
            <w:shd w:val="clear" w:color="auto" w:fill="auto"/>
            <w:noWrap/>
            <w:vAlign w:val="center"/>
          </w:tcPr>
          <w:p w14:paraId="7F21297A">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24"/>
                <w:szCs w:val="24"/>
              </w:rPr>
            </w:pPr>
          </w:p>
        </w:tc>
      </w:tr>
      <w:tr w14:paraId="3AF0A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restart"/>
            <w:tcBorders>
              <w:top w:val="nil"/>
              <w:left w:val="single" w:color="000000" w:sz="4" w:space="0"/>
              <w:bottom w:val="nil"/>
              <w:right w:val="single" w:color="000000" w:sz="4" w:space="0"/>
            </w:tcBorders>
            <w:shd w:val="clear" w:color="auto" w:fill="auto"/>
            <w:vAlign w:val="center"/>
          </w:tcPr>
          <w:p w14:paraId="12260BE2">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项目（政策）资金（万元）</w:t>
            </w:r>
          </w:p>
        </w:tc>
        <w:tc>
          <w:tcPr>
            <w:tcW w:w="2269" w:type="dxa"/>
            <w:gridSpan w:val="2"/>
            <w:tcBorders>
              <w:top w:val="nil"/>
              <w:left w:val="nil"/>
              <w:bottom w:val="single" w:color="000000" w:sz="4" w:space="0"/>
              <w:right w:val="single" w:color="000000" w:sz="4" w:space="0"/>
            </w:tcBorders>
            <w:shd w:val="clear" w:color="auto" w:fill="auto"/>
            <w:vAlign w:val="center"/>
          </w:tcPr>
          <w:p w14:paraId="6948509D">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年度预算数（万元）</w:t>
            </w:r>
          </w:p>
        </w:tc>
        <w:tc>
          <w:tcPr>
            <w:tcW w:w="2038" w:type="dxa"/>
            <w:tcBorders>
              <w:top w:val="nil"/>
              <w:left w:val="nil"/>
              <w:bottom w:val="single" w:color="000000" w:sz="4" w:space="0"/>
              <w:right w:val="single" w:color="000000" w:sz="4" w:space="0"/>
            </w:tcBorders>
            <w:shd w:val="clear" w:color="auto" w:fill="auto"/>
            <w:vAlign w:val="center"/>
          </w:tcPr>
          <w:p w14:paraId="1E92A4EE">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年初预算数</w:t>
            </w:r>
          </w:p>
        </w:tc>
        <w:tc>
          <w:tcPr>
            <w:tcW w:w="1208" w:type="dxa"/>
            <w:tcBorders>
              <w:top w:val="nil"/>
              <w:left w:val="nil"/>
              <w:bottom w:val="single" w:color="000000" w:sz="4" w:space="0"/>
              <w:right w:val="single" w:color="000000" w:sz="4" w:space="0"/>
            </w:tcBorders>
            <w:shd w:val="clear" w:color="auto" w:fill="auto"/>
            <w:vAlign w:val="center"/>
          </w:tcPr>
          <w:p w14:paraId="1CBB1630">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全年预算数</w:t>
            </w:r>
          </w:p>
        </w:tc>
        <w:tc>
          <w:tcPr>
            <w:tcW w:w="1281" w:type="dxa"/>
            <w:tcBorders>
              <w:top w:val="nil"/>
              <w:left w:val="nil"/>
              <w:bottom w:val="single" w:color="000000" w:sz="4" w:space="0"/>
              <w:right w:val="single" w:color="000000" w:sz="4" w:space="0"/>
            </w:tcBorders>
            <w:shd w:val="clear" w:color="auto" w:fill="auto"/>
            <w:vAlign w:val="center"/>
          </w:tcPr>
          <w:p w14:paraId="78588ACC">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全年执行数</w:t>
            </w:r>
          </w:p>
        </w:tc>
        <w:tc>
          <w:tcPr>
            <w:tcW w:w="1313" w:type="dxa"/>
            <w:tcBorders>
              <w:top w:val="nil"/>
              <w:left w:val="nil"/>
              <w:bottom w:val="single" w:color="000000" w:sz="4" w:space="0"/>
              <w:right w:val="single" w:color="000000" w:sz="4" w:space="0"/>
            </w:tcBorders>
            <w:shd w:val="clear" w:color="auto" w:fill="auto"/>
            <w:vAlign w:val="center"/>
          </w:tcPr>
          <w:p w14:paraId="4452E677">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执行率</w:t>
            </w:r>
          </w:p>
        </w:tc>
      </w:tr>
      <w:tr w14:paraId="09F5B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0798687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21008B86">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年度资金总额</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4AFB395">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608DA491">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5B271207">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p>
        </w:tc>
        <w:tc>
          <w:tcPr>
            <w:tcW w:w="1313" w:type="dxa"/>
            <w:tcBorders>
              <w:top w:val="nil"/>
              <w:left w:val="nil"/>
              <w:bottom w:val="single" w:color="000000" w:sz="4" w:space="0"/>
              <w:right w:val="single" w:color="000000" w:sz="4" w:space="0"/>
            </w:tcBorders>
            <w:shd w:val="clear" w:color="auto" w:fill="auto"/>
            <w:vAlign w:val="center"/>
          </w:tcPr>
          <w:p w14:paraId="3FBE88D7">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p>
        </w:tc>
      </w:tr>
      <w:tr w14:paraId="1A8BC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6E8E54A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00969688">
            <w:pPr>
              <w:keepNext w:val="0"/>
              <w:keepLines w:val="0"/>
              <w:widowControl/>
              <w:suppressLineNumbers w:val="0"/>
              <w:autoSpaceDE w:val="0"/>
              <w:autoSpaceDN/>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（一）财政拨款小计</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40DBB970">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1E3CBCB9">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0958DBDB">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5AD8F1FE">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p>
        </w:tc>
      </w:tr>
      <w:tr w14:paraId="58E1F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38DF272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3CCA670B">
            <w:pPr>
              <w:keepNext w:val="0"/>
              <w:keepLines w:val="0"/>
              <w:widowControl/>
              <w:suppressLineNumbers w:val="0"/>
              <w:autoSpaceDE w:val="0"/>
              <w:autoSpaceDN/>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.一般公共预算</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62851A4F">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0EF81A42">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12DC4227">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723BD621">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p>
        </w:tc>
      </w:tr>
      <w:tr w14:paraId="19EEB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4E3D573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3DE173A6">
            <w:pPr>
              <w:keepNext w:val="0"/>
              <w:keepLines w:val="0"/>
              <w:widowControl/>
              <w:suppressLineNumbers w:val="0"/>
              <w:autoSpaceDE w:val="0"/>
              <w:autoSpaceDN/>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w:t>
            </w:r>
            <w:r>
              <w:rPr>
                <w:rFonts w:hint="default" w:ascii="Times New Roman" w:hAnsi="Times New Roman" w:eastAsia="宋体" w:cs="Times New Roman"/>
                <w:i w:val="0"/>
                <w:iCs w:val="0"/>
                <w:color w:val="000000"/>
                <w:kern w:val="0"/>
                <w:sz w:val="18"/>
                <w:szCs w:val="18"/>
                <w:lang w:val="en-US" w:eastAsia="zh-CN"/>
              </w:rPr>
              <w:t>2</w:t>
            </w:r>
            <w:r>
              <w:rPr>
                <w:rFonts w:hint="eastAsia" w:ascii="宋体" w:hAnsi="宋体" w:eastAsia="宋体" w:cs="宋体"/>
                <w:i w:val="0"/>
                <w:iCs w:val="0"/>
                <w:color w:val="000000"/>
                <w:kern w:val="0"/>
                <w:sz w:val="18"/>
                <w:szCs w:val="18"/>
                <w:lang w:val="en-US" w:eastAsia="zh-CN"/>
              </w:rPr>
              <w:t>.政府性基金</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44822AAC">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5E3EAF63">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53828066">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255A1AB5">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r>
      <w:tr w14:paraId="5BDE7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4D6EA8D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0A6FB71D">
            <w:pPr>
              <w:keepNext w:val="0"/>
              <w:keepLines w:val="0"/>
              <w:widowControl/>
              <w:suppressLineNumbers w:val="0"/>
              <w:autoSpaceDE w:val="0"/>
              <w:autoSpaceDN/>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w:t>
            </w:r>
            <w:r>
              <w:rPr>
                <w:rFonts w:hint="default" w:ascii="Times New Roman" w:hAnsi="Times New Roman" w:eastAsia="宋体" w:cs="Times New Roman"/>
                <w:i w:val="0"/>
                <w:iCs w:val="0"/>
                <w:color w:val="000000"/>
                <w:kern w:val="0"/>
                <w:sz w:val="18"/>
                <w:szCs w:val="18"/>
                <w:lang w:val="en-US" w:eastAsia="zh-CN"/>
              </w:rPr>
              <w:t>3</w:t>
            </w:r>
            <w:r>
              <w:rPr>
                <w:rFonts w:hint="eastAsia" w:ascii="宋体" w:hAnsi="宋体" w:eastAsia="宋体" w:cs="宋体"/>
                <w:i w:val="0"/>
                <w:iCs w:val="0"/>
                <w:color w:val="000000"/>
                <w:kern w:val="0"/>
                <w:sz w:val="18"/>
                <w:szCs w:val="18"/>
                <w:lang w:val="en-US" w:eastAsia="zh-CN"/>
              </w:rPr>
              <w:t>.国有资本经营预算</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D972C28">
            <w:pPr>
              <w:keepNext w:val="0"/>
              <w:keepLines w:val="0"/>
              <w:widowControl w:val="0"/>
              <w:suppressLineNumbers w:val="0"/>
              <w:autoSpaceDE w:val="0"/>
              <w:autoSpaceDN/>
              <w:spacing w:before="0" w:beforeAutospacing="0" w:after="0" w:afterAutospacing="0" w:line="280" w:lineRule="exact"/>
              <w:ind w:left="-60" w:leftChars="-25" w:right="-60" w:rightChars="-25"/>
              <w:jc w:val="left"/>
              <w:rPr>
                <w:rFonts w:hint="eastAsia" w:ascii="宋体" w:hAnsi="宋体" w:eastAsia="宋体" w:cs="宋体"/>
                <w:i w:val="0"/>
                <w:iCs w:val="0"/>
                <w:color w:val="000000"/>
                <w:kern w:val="2"/>
                <w:sz w:val="18"/>
                <w:szCs w:val="18"/>
              </w:rPr>
            </w:pP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3BB31864">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3E080798">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2EA19D7B">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r>
      <w:tr w14:paraId="5E1C4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0C3A204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24344848">
            <w:pPr>
              <w:keepNext w:val="0"/>
              <w:keepLines w:val="0"/>
              <w:widowControl/>
              <w:suppressLineNumbers w:val="0"/>
              <w:autoSpaceDE w:val="0"/>
              <w:autoSpaceDN/>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（二）其他资金</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583281E3">
            <w:pPr>
              <w:keepNext w:val="0"/>
              <w:keepLines w:val="0"/>
              <w:widowControl w:val="0"/>
              <w:suppressLineNumbers w:val="0"/>
              <w:autoSpaceDE w:val="0"/>
              <w:autoSpaceDN/>
              <w:spacing w:before="0" w:beforeAutospacing="0" w:after="0" w:afterAutospacing="0" w:line="280" w:lineRule="exact"/>
              <w:ind w:left="-60" w:leftChars="-25" w:right="-60" w:rightChars="-25"/>
              <w:jc w:val="left"/>
              <w:rPr>
                <w:rFonts w:hint="eastAsia" w:ascii="宋体" w:hAnsi="宋体" w:eastAsia="宋体" w:cs="宋体"/>
                <w:i w:val="0"/>
                <w:iCs w:val="0"/>
                <w:color w:val="000000"/>
                <w:kern w:val="2"/>
                <w:sz w:val="18"/>
                <w:szCs w:val="18"/>
              </w:rPr>
            </w:pP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33B5568E">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4AF51F1D">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3FED7221">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p>
        </w:tc>
      </w:tr>
      <w:tr w14:paraId="56AD05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331AEA">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年度总体目标</w:t>
            </w:r>
          </w:p>
        </w:tc>
        <w:tc>
          <w:tcPr>
            <w:tcW w:w="5159" w:type="dxa"/>
            <w:gridSpan w:val="4"/>
            <w:tcBorders>
              <w:top w:val="single" w:color="000000" w:sz="4" w:space="0"/>
              <w:left w:val="nil"/>
              <w:bottom w:val="single" w:color="000000" w:sz="4" w:space="0"/>
              <w:right w:val="single" w:color="000000" w:sz="4" w:space="0"/>
            </w:tcBorders>
            <w:shd w:val="clear" w:color="auto" w:fill="auto"/>
            <w:vAlign w:val="center"/>
          </w:tcPr>
          <w:p w14:paraId="057126C3">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预期目标</w:t>
            </w:r>
          </w:p>
        </w:tc>
        <w:tc>
          <w:tcPr>
            <w:tcW w:w="3802" w:type="dxa"/>
            <w:gridSpan w:val="3"/>
            <w:tcBorders>
              <w:top w:val="single" w:color="000000" w:sz="4" w:space="0"/>
              <w:left w:val="nil"/>
              <w:bottom w:val="single" w:color="000000" w:sz="4" w:space="0"/>
              <w:right w:val="single" w:color="000000" w:sz="4" w:space="0"/>
            </w:tcBorders>
            <w:shd w:val="clear" w:color="auto" w:fill="auto"/>
            <w:vAlign w:val="center"/>
          </w:tcPr>
          <w:p w14:paraId="23DFEEE6">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全年实际完成情况</w:t>
            </w:r>
          </w:p>
        </w:tc>
      </w:tr>
      <w:tr w14:paraId="25FDC7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8216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159" w:type="dxa"/>
            <w:gridSpan w:val="4"/>
            <w:tcBorders>
              <w:top w:val="single" w:color="000000" w:sz="4" w:space="0"/>
              <w:left w:val="nil"/>
              <w:bottom w:val="single" w:color="000000" w:sz="4" w:space="0"/>
              <w:right w:val="single" w:color="000000" w:sz="4" w:space="0"/>
            </w:tcBorders>
            <w:shd w:val="clear" w:color="auto" w:fill="auto"/>
            <w:vAlign w:val="center"/>
          </w:tcPr>
          <w:p w14:paraId="289E58F8">
            <w:pPr>
              <w:keepNext w:val="0"/>
              <w:keepLines w:val="0"/>
              <w:widowControl/>
              <w:suppressLineNumbers w:val="0"/>
              <w:autoSpaceDE w:val="0"/>
              <w:autoSpaceDN/>
              <w:spacing w:before="0" w:beforeAutospacing="0" w:after="0" w:afterAutospacing="0" w:line="280" w:lineRule="exact"/>
              <w:ind w:left="-60" w:leftChars="-25" w:right="-60" w:rightChars="-25"/>
              <w:jc w:val="both"/>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保障各类会议正常召开，各项政策落实落地，推动全区工作正常开展。该资金用于区委常委会、区委常委会（扩大）会议、全委会、全委扩大会、全区办公室工作会、全面深化改革会、国安工作会以及各种业务培训会等各种重要会议的会务组织工作，指导基层部门的会务工作。保证会议召开的质量。</w:t>
            </w:r>
          </w:p>
        </w:tc>
        <w:tc>
          <w:tcPr>
            <w:tcW w:w="3802" w:type="dxa"/>
            <w:gridSpan w:val="3"/>
            <w:tcBorders>
              <w:top w:val="single" w:color="000000" w:sz="4" w:space="0"/>
              <w:left w:val="nil"/>
              <w:bottom w:val="single" w:color="000000" w:sz="4" w:space="0"/>
              <w:right w:val="single" w:color="000000" w:sz="4" w:space="0"/>
            </w:tcBorders>
            <w:shd w:val="clear" w:color="auto" w:fill="auto"/>
            <w:vAlign w:val="center"/>
          </w:tcPr>
          <w:p w14:paraId="046E81F0">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全面完成</w:t>
            </w:r>
          </w:p>
        </w:tc>
      </w:tr>
      <w:tr w14:paraId="1E22D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3" w:type="dxa"/>
            <w:vMerge w:val="restart"/>
            <w:tcBorders>
              <w:top w:val="nil"/>
              <w:left w:val="single" w:color="000000" w:sz="4" w:space="0"/>
              <w:bottom w:val="single" w:color="000000" w:sz="4" w:space="0"/>
              <w:right w:val="single" w:color="000000" w:sz="4" w:space="0"/>
            </w:tcBorders>
            <w:shd w:val="clear" w:color="auto" w:fill="auto"/>
            <w:vAlign w:val="center"/>
          </w:tcPr>
          <w:p w14:paraId="128B7214">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绩效</w:t>
            </w:r>
          </w:p>
          <w:p w14:paraId="11722737">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852" w:type="dxa"/>
            <w:tcBorders>
              <w:top w:val="single" w:color="000000" w:sz="4" w:space="0"/>
              <w:left w:val="nil"/>
              <w:bottom w:val="single" w:color="000000" w:sz="4" w:space="0"/>
              <w:right w:val="single" w:color="000000" w:sz="4" w:space="0"/>
            </w:tcBorders>
            <w:shd w:val="clear" w:color="auto" w:fill="auto"/>
            <w:vAlign w:val="center"/>
          </w:tcPr>
          <w:p w14:paraId="4BF39A15">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一级指标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1EDA8980">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二级指标</w:t>
            </w:r>
          </w:p>
        </w:tc>
        <w:tc>
          <w:tcPr>
            <w:tcW w:w="3178" w:type="dxa"/>
            <w:gridSpan w:val="2"/>
            <w:tcBorders>
              <w:top w:val="single" w:color="000000" w:sz="4" w:space="0"/>
              <w:left w:val="nil"/>
              <w:bottom w:val="single" w:color="000000" w:sz="4" w:space="0"/>
              <w:right w:val="single" w:color="000000" w:sz="4" w:space="0"/>
            </w:tcBorders>
            <w:shd w:val="clear" w:color="auto" w:fill="auto"/>
            <w:vAlign w:val="center"/>
          </w:tcPr>
          <w:p w14:paraId="21E4920E">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三级指标</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0A407F53">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年度指标值</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60C5D278">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实际完成值</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4247E0DF">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偏差原因分析及改进措施</w:t>
            </w:r>
          </w:p>
        </w:tc>
      </w:tr>
      <w:tr w14:paraId="0EBF5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7CE612B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restart"/>
            <w:tcBorders>
              <w:top w:val="nil"/>
              <w:left w:val="nil"/>
              <w:bottom w:val="single" w:color="000000" w:sz="4" w:space="0"/>
              <w:right w:val="single" w:color="000000" w:sz="4" w:space="0"/>
            </w:tcBorders>
            <w:shd w:val="clear" w:color="auto" w:fill="auto"/>
            <w:vAlign w:val="center"/>
          </w:tcPr>
          <w:p w14:paraId="67473049">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产出指标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31A581CE">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数量指标</w:t>
            </w:r>
          </w:p>
        </w:tc>
        <w:tc>
          <w:tcPr>
            <w:tcW w:w="1140" w:type="dxa"/>
            <w:tcBorders>
              <w:top w:val="single" w:color="000000" w:sz="4" w:space="0"/>
              <w:left w:val="nil"/>
              <w:bottom w:val="single" w:color="000000" w:sz="4" w:space="0"/>
              <w:right w:val="nil"/>
            </w:tcBorders>
            <w:shd w:val="clear" w:color="auto" w:fill="auto"/>
            <w:vAlign w:val="center"/>
          </w:tcPr>
          <w:p w14:paraId="399B83AD">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A7EA9">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Style w:val="22"/>
                <w:rFonts w:hint="default" w:ascii="Dialog . plain" w:hAnsi="Dialog . plain" w:eastAsia="Dialog . plain" w:cs="Dialog . plain"/>
                <w:color w:val="000000"/>
                <w:kern w:val="2"/>
                <w:sz w:val="18"/>
                <w:szCs w:val="18"/>
                <w:lang w:val="en-US" w:eastAsia="zh-CN"/>
              </w:rPr>
              <w:t>全年召开会议次数</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5497C092">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80</w:t>
            </w:r>
            <w:r>
              <w:rPr>
                <w:rFonts w:hint="eastAsia" w:ascii="宋体" w:hAnsi="宋体" w:eastAsia="宋体" w:cs="宋体"/>
                <w:i w:val="0"/>
                <w:iCs w:val="0"/>
                <w:color w:val="000000"/>
                <w:kern w:val="0"/>
                <w:sz w:val="18"/>
                <w:szCs w:val="18"/>
                <w:lang w:val="en-US" w:eastAsia="zh-CN"/>
              </w:rPr>
              <w:t>场次</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00CF50D2">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80</w:t>
            </w:r>
            <w:r>
              <w:rPr>
                <w:rFonts w:hint="eastAsia" w:ascii="宋体" w:hAnsi="宋体" w:eastAsia="宋体" w:cs="宋体"/>
                <w:i w:val="0"/>
                <w:iCs w:val="0"/>
                <w:color w:val="000000"/>
                <w:kern w:val="0"/>
                <w:sz w:val="18"/>
                <w:szCs w:val="18"/>
                <w:lang w:val="en-US" w:eastAsia="zh-CN"/>
              </w:rPr>
              <w:t>场次</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0AEA8C17">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63DFA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54FC9FD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1284E94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7A1BB0DB">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质量指标</w:t>
            </w:r>
          </w:p>
        </w:tc>
        <w:tc>
          <w:tcPr>
            <w:tcW w:w="1140" w:type="dxa"/>
            <w:tcBorders>
              <w:top w:val="single" w:color="000000" w:sz="4" w:space="0"/>
              <w:left w:val="nil"/>
              <w:bottom w:val="single" w:color="000000" w:sz="4" w:space="0"/>
              <w:right w:val="nil"/>
            </w:tcBorders>
            <w:shd w:val="clear" w:color="auto" w:fill="auto"/>
            <w:vAlign w:val="center"/>
          </w:tcPr>
          <w:p w14:paraId="2071F7FD">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4A890">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Style w:val="22"/>
                <w:rFonts w:hint="default" w:ascii="Dialog . plain" w:hAnsi="Dialog . plain" w:eastAsia="Dialog . plain" w:cs="Dialog . plain"/>
                <w:color w:val="000000"/>
                <w:kern w:val="2"/>
                <w:sz w:val="18"/>
                <w:szCs w:val="18"/>
                <w:lang w:val="en-US" w:eastAsia="zh-CN"/>
              </w:rPr>
              <w:t>任务完成率</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4710C8B1">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r>
              <w:rPr>
                <w:rFonts w:hint="eastAsia" w:ascii="宋体" w:hAnsi="宋体" w:eastAsia="宋体" w:cs="宋体"/>
                <w:i w:val="0"/>
                <w:iCs w:val="0"/>
                <w:color w:val="000000"/>
                <w:kern w:val="0"/>
                <w:sz w:val="18"/>
                <w:szCs w:val="18"/>
                <w:lang w:val="en-US" w:eastAsia="zh-CN"/>
              </w:rPr>
              <w:t>%</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017AAE73">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r>
              <w:rPr>
                <w:rFonts w:hint="eastAsia" w:ascii="宋体" w:hAnsi="宋体" w:eastAsia="宋体" w:cs="宋体"/>
                <w:i w:val="0"/>
                <w:iCs w:val="0"/>
                <w:color w:val="000000"/>
                <w:kern w:val="0"/>
                <w:sz w:val="18"/>
                <w:szCs w:val="18"/>
                <w:lang w:val="en-US" w:eastAsia="zh-CN"/>
              </w:rPr>
              <w:t>%</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780C2DE3">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51D77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79444FB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782AC65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45E834C7">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时效指标</w:t>
            </w:r>
          </w:p>
        </w:tc>
        <w:tc>
          <w:tcPr>
            <w:tcW w:w="1140" w:type="dxa"/>
            <w:tcBorders>
              <w:top w:val="single" w:color="000000" w:sz="4" w:space="0"/>
              <w:left w:val="nil"/>
              <w:bottom w:val="single" w:color="000000" w:sz="4" w:space="0"/>
              <w:right w:val="nil"/>
            </w:tcBorders>
            <w:shd w:val="clear" w:color="auto" w:fill="auto"/>
            <w:vAlign w:val="center"/>
          </w:tcPr>
          <w:p w14:paraId="5BF3D7BF">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D669">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Style w:val="22"/>
                <w:rFonts w:hint="default" w:ascii="Dialog . plain" w:hAnsi="Dialog . plain" w:eastAsia="Dialog . plain" w:cs="Dialog . plain"/>
                <w:color w:val="000000"/>
                <w:kern w:val="2"/>
                <w:sz w:val="18"/>
                <w:szCs w:val="18"/>
                <w:lang w:val="en-US" w:eastAsia="zh-CN"/>
              </w:rPr>
              <w:t>完成时限</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3DC77242">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年</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4A632DF6">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年</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5510F64A">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572DD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4D95149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38A3F9D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restart"/>
            <w:tcBorders>
              <w:top w:val="nil"/>
              <w:left w:val="nil"/>
              <w:bottom w:val="single" w:color="000000" w:sz="4" w:space="0"/>
              <w:right w:val="single" w:color="000000" w:sz="4" w:space="0"/>
            </w:tcBorders>
            <w:shd w:val="clear" w:color="auto" w:fill="auto"/>
            <w:vAlign w:val="center"/>
          </w:tcPr>
          <w:p w14:paraId="124E7B40">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成本指标</w:t>
            </w:r>
          </w:p>
        </w:tc>
        <w:tc>
          <w:tcPr>
            <w:tcW w:w="1140" w:type="dxa"/>
            <w:tcBorders>
              <w:top w:val="single" w:color="000000" w:sz="4" w:space="0"/>
              <w:left w:val="nil"/>
              <w:bottom w:val="single" w:color="000000" w:sz="4" w:space="0"/>
              <w:right w:val="nil"/>
            </w:tcBorders>
            <w:shd w:val="clear" w:color="auto" w:fill="auto"/>
            <w:vAlign w:val="center"/>
          </w:tcPr>
          <w:p w14:paraId="602313D6">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E6EE6">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Style w:val="22"/>
                <w:rFonts w:hint="default" w:ascii="Dialog . plain" w:hAnsi="Dialog . plain" w:eastAsia="Dialog . plain" w:cs="Dialog . plain"/>
                <w:color w:val="000000"/>
                <w:kern w:val="2"/>
                <w:sz w:val="18"/>
                <w:szCs w:val="18"/>
                <w:lang w:val="en-US" w:eastAsia="zh-CN"/>
              </w:rPr>
              <w:t>预算资金</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1D4A8A2A">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r>
              <w:rPr>
                <w:rFonts w:hint="eastAsia" w:ascii="宋体" w:hAnsi="宋体" w:eastAsia="宋体" w:cs="宋体"/>
                <w:i w:val="0"/>
                <w:iCs w:val="0"/>
                <w:color w:val="000000"/>
                <w:kern w:val="0"/>
                <w:sz w:val="18"/>
                <w:szCs w:val="18"/>
                <w:lang w:val="en-US" w:eastAsia="zh-CN"/>
              </w:rPr>
              <w:t>万元</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20A709F6">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44</w:t>
            </w:r>
            <w:r>
              <w:rPr>
                <w:rFonts w:hint="eastAsia" w:ascii="宋体" w:hAnsi="宋体" w:eastAsia="宋体" w:cs="宋体"/>
                <w:i w:val="0"/>
                <w:iCs w:val="0"/>
                <w:color w:val="000000"/>
                <w:kern w:val="0"/>
                <w:sz w:val="18"/>
                <w:szCs w:val="18"/>
                <w:lang w:val="en-US" w:eastAsia="zh-CN"/>
              </w:rPr>
              <w:t>万元</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56FB15E6">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45332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5D83F93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17CD531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continue"/>
            <w:tcBorders>
              <w:top w:val="nil"/>
              <w:left w:val="nil"/>
              <w:bottom w:val="single" w:color="000000" w:sz="4" w:space="0"/>
              <w:right w:val="single" w:color="000000" w:sz="4" w:space="0"/>
            </w:tcBorders>
            <w:shd w:val="clear" w:color="auto" w:fill="auto"/>
            <w:vAlign w:val="center"/>
          </w:tcPr>
          <w:p w14:paraId="3759951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40" w:type="dxa"/>
            <w:tcBorders>
              <w:top w:val="single" w:color="000000" w:sz="4" w:space="0"/>
              <w:left w:val="nil"/>
              <w:bottom w:val="single" w:color="000000" w:sz="4" w:space="0"/>
              <w:right w:val="nil"/>
            </w:tcBorders>
            <w:shd w:val="clear" w:color="auto" w:fill="auto"/>
            <w:vAlign w:val="center"/>
          </w:tcPr>
          <w:p w14:paraId="4BD9EA36">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2</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EC4E">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Style w:val="22"/>
                <w:rFonts w:hint="default" w:ascii="Dialog . plain" w:hAnsi="Dialog . plain" w:eastAsia="Dialog . plain" w:cs="Dialog . plain"/>
                <w:color w:val="000000"/>
                <w:kern w:val="2"/>
                <w:sz w:val="18"/>
                <w:szCs w:val="18"/>
                <w:lang w:val="en-US" w:eastAsia="zh-CN"/>
              </w:rPr>
              <w:t>会务失误情况</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3DECF304">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w:t>
            </w:r>
            <w:r>
              <w:rPr>
                <w:rFonts w:hint="eastAsia" w:ascii="宋体" w:hAnsi="宋体" w:eastAsia="宋体" w:cs="宋体"/>
                <w:i w:val="0"/>
                <w:iCs w:val="0"/>
                <w:color w:val="000000"/>
                <w:kern w:val="0"/>
                <w:sz w:val="18"/>
                <w:szCs w:val="18"/>
                <w:lang w:val="en-US" w:eastAsia="zh-CN"/>
              </w:rPr>
              <w:t>%</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1FABE762">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w:t>
            </w:r>
            <w:r>
              <w:rPr>
                <w:rFonts w:hint="eastAsia" w:ascii="宋体" w:hAnsi="宋体" w:eastAsia="宋体" w:cs="宋体"/>
                <w:i w:val="0"/>
                <w:iCs w:val="0"/>
                <w:color w:val="000000"/>
                <w:kern w:val="0"/>
                <w:sz w:val="18"/>
                <w:szCs w:val="18"/>
                <w:lang w:val="en-US" w:eastAsia="zh-CN"/>
              </w:rPr>
              <w:t>%</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1B7A0F8D">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441B1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36A7798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tcBorders>
              <w:top w:val="single" w:color="000000" w:sz="4" w:space="0"/>
              <w:left w:val="nil"/>
              <w:bottom w:val="single" w:color="000000" w:sz="4" w:space="0"/>
              <w:right w:val="single" w:color="000000" w:sz="4" w:space="0"/>
            </w:tcBorders>
            <w:shd w:val="clear" w:color="auto" w:fill="auto"/>
            <w:vAlign w:val="center"/>
          </w:tcPr>
          <w:p w14:paraId="73BF8977">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效益指标</w:t>
            </w:r>
          </w:p>
        </w:tc>
        <w:tc>
          <w:tcPr>
            <w:tcW w:w="1129" w:type="dxa"/>
            <w:tcBorders>
              <w:top w:val="single" w:color="000000" w:sz="4" w:space="0"/>
              <w:left w:val="nil"/>
              <w:bottom w:val="nil"/>
              <w:right w:val="single" w:color="000000" w:sz="4" w:space="0"/>
            </w:tcBorders>
            <w:shd w:val="clear" w:color="auto" w:fill="auto"/>
            <w:vAlign w:val="center"/>
          </w:tcPr>
          <w:p w14:paraId="41E71DF1">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社会效益</w:t>
            </w:r>
          </w:p>
          <w:p w14:paraId="303738DB">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40" w:type="dxa"/>
            <w:tcBorders>
              <w:top w:val="single" w:color="000000" w:sz="4" w:space="0"/>
              <w:left w:val="nil"/>
              <w:bottom w:val="single" w:color="000000" w:sz="4" w:space="0"/>
              <w:right w:val="nil"/>
            </w:tcBorders>
            <w:shd w:val="clear" w:color="auto" w:fill="auto"/>
            <w:vAlign w:val="center"/>
          </w:tcPr>
          <w:p w14:paraId="4CCA914E">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A5BB">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Style w:val="22"/>
                <w:rFonts w:hint="default" w:ascii="Dialog . plain" w:hAnsi="Dialog . plain" w:eastAsia="Dialog . plain" w:cs="Dialog . plain"/>
                <w:color w:val="000000"/>
                <w:kern w:val="2"/>
                <w:sz w:val="18"/>
                <w:szCs w:val="18"/>
                <w:lang w:val="en-US" w:eastAsia="zh-CN"/>
              </w:rPr>
              <w:t>提高行政运转率</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7AE7B310">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95</w:t>
            </w:r>
            <w:r>
              <w:rPr>
                <w:rFonts w:hint="eastAsia" w:ascii="宋体" w:hAnsi="宋体" w:eastAsia="宋体" w:cs="宋体"/>
                <w:i w:val="0"/>
                <w:iCs w:val="0"/>
                <w:color w:val="000000"/>
                <w:kern w:val="0"/>
                <w:sz w:val="18"/>
                <w:szCs w:val="18"/>
                <w:lang w:val="en-US" w:eastAsia="zh-CN"/>
              </w:rPr>
              <w:t>%</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638CFB7F">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95</w:t>
            </w:r>
            <w:r>
              <w:rPr>
                <w:rFonts w:hint="eastAsia" w:ascii="宋体" w:hAnsi="宋体" w:eastAsia="宋体" w:cs="宋体"/>
                <w:i w:val="0"/>
                <w:iCs w:val="0"/>
                <w:color w:val="000000"/>
                <w:kern w:val="0"/>
                <w:sz w:val="18"/>
                <w:szCs w:val="18"/>
                <w:lang w:val="en-US" w:eastAsia="zh-CN"/>
              </w:rPr>
              <w:t>%</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267FC397">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1F00F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3697776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tcBorders>
              <w:top w:val="single" w:color="000000" w:sz="4" w:space="0"/>
              <w:left w:val="nil"/>
              <w:bottom w:val="single" w:color="000000" w:sz="4" w:space="0"/>
              <w:right w:val="single" w:color="000000" w:sz="4" w:space="0"/>
            </w:tcBorders>
            <w:shd w:val="clear" w:color="auto" w:fill="auto"/>
            <w:vAlign w:val="center"/>
          </w:tcPr>
          <w:p w14:paraId="6D8BE707">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满意度</w:t>
            </w:r>
          </w:p>
          <w:p w14:paraId="78FFAE43">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4C2D6521">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服务对象满意度指标</w:t>
            </w:r>
          </w:p>
        </w:tc>
        <w:tc>
          <w:tcPr>
            <w:tcW w:w="1140" w:type="dxa"/>
            <w:tcBorders>
              <w:top w:val="single" w:color="000000" w:sz="4" w:space="0"/>
              <w:left w:val="nil"/>
              <w:bottom w:val="single" w:color="000000" w:sz="4" w:space="0"/>
              <w:right w:val="nil"/>
            </w:tcBorders>
            <w:shd w:val="clear" w:color="auto" w:fill="auto"/>
            <w:vAlign w:val="center"/>
          </w:tcPr>
          <w:p w14:paraId="3E0501CB">
            <w:pPr>
              <w:keepNext w:val="0"/>
              <w:keepLines w:val="0"/>
              <w:widowControl/>
              <w:suppressLineNumbers w:val="0"/>
              <w:autoSpaceDE w:val="0"/>
              <w:autoSpaceDN/>
              <w:spacing w:before="0" w:beforeAutospacing="0" w:after="0" w:afterAutospacing="0" w:line="280" w:lineRule="exact"/>
              <w:ind w:left="-60" w:leftChars="-25" w:right="-60" w:rightChars="-25"/>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C0C3">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Style w:val="22"/>
                <w:rFonts w:hint="default" w:ascii="Dialog . plain" w:hAnsi="Dialog . plain" w:eastAsia="Dialog . plain" w:cs="Dialog . plain"/>
                <w:color w:val="000000"/>
                <w:kern w:val="2"/>
                <w:sz w:val="18"/>
                <w:szCs w:val="18"/>
                <w:lang w:val="en-US" w:eastAsia="zh-CN"/>
              </w:rPr>
              <w:t>参会人员满意度</w:t>
            </w:r>
          </w:p>
        </w:tc>
        <w:tc>
          <w:tcPr>
            <w:tcW w:w="1208" w:type="dxa"/>
            <w:tcBorders>
              <w:top w:val="single" w:color="000000" w:sz="4" w:space="0"/>
              <w:left w:val="nil"/>
              <w:bottom w:val="single" w:color="000000" w:sz="4" w:space="0"/>
              <w:right w:val="single" w:color="000000" w:sz="4" w:space="0"/>
            </w:tcBorders>
            <w:shd w:val="clear" w:color="auto" w:fill="auto"/>
            <w:vAlign w:val="center"/>
          </w:tcPr>
          <w:p w14:paraId="046E7419">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r>
              <w:rPr>
                <w:rFonts w:hint="eastAsia" w:ascii="宋体" w:hAnsi="宋体" w:eastAsia="宋体" w:cs="宋体"/>
                <w:i w:val="0"/>
                <w:iCs w:val="0"/>
                <w:color w:val="000000"/>
                <w:kern w:val="0"/>
                <w:sz w:val="18"/>
                <w:szCs w:val="18"/>
                <w:lang w:val="en-US" w:eastAsia="zh-CN"/>
              </w:rPr>
              <w:t>%</w:t>
            </w:r>
          </w:p>
        </w:tc>
        <w:tc>
          <w:tcPr>
            <w:tcW w:w="1281" w:type="dxa"/>
            <w:tcBorders>
              <w:top w:val="single" w:color="000000" w:sz="4" w:space="0"/>
              <w:left w:val="nil"/>
              <w:bottom w:val="single" w:color="000000" w:sz="4" w:space="0"/>
              <w:right w:val="single" w:color="000000" w:sz="4" w:space="0"/>
            </w:tcBorders>
            <w:shd w:val="clear" w:color="auto" w:fill="auto"/>
            <w:vAlign w:val="center"/>
          </w:tcPr>
          <w:p w14:paraId="139861FA">
            <w:pPr>
              <w:keepNext w:val="0"/>
              <w:keepLines w:val="0"/>
              <w:widowControl/>
              <w:suppressLineNumbers w:val="0"/>
              <w:autoSpaceDE w:val="0"/>
              <w:autoSpaceDN/>
              <w:spacing w:before="0" w:beforeAutospacing="0" w:after="0" w:afterAutospacing="0" w:line="280" w:lineRule="exact"/>
              <w:ind w:left="-60" w:leftChars="-25" w:right="-60" w:rightChars="-25"/>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r>
              <w:rPr>
                <w:rFonts w:hint="eastAsia" w:ascii="宋体" w:hAnsi="宋体" w:eastAsia="宋体" w:cs="宋体"/>
                <w:i w:val="0"/>
                <w:iCs w:val="0"/>
                <w:color w:val="000000"/>
                <w:kern w:val="0"/>
                <w:sz w:val="18"/>
                <w:szCs w:val="18"/>
                <w:lang w:val="en-US" w:eastAsia="zh-CN"/>
              </w:rPr>
              <w:t>%</w:t>
            </w:r>
          </w:p>
        </w:tc>
        <w:tc>
          <w:tcPr>
            <w:tcW w:w="1313" w:type="dxa"/>
            <w:tcBorders>
              <w:top w:val="single" w:color="000000" w:sz="4" w:space="0"/>
              <w:left w:val="nil"/>
              <w:bottom w:val="single" w:color="000000" w:sz="4" w:space="0"/>
              <w:right w:val="single" w:color="000000" w:sz="4" w:space="0"/>
            </w:tcBorders>
            <w:shd w:val="clear" w:color="auto" w:fill="auto"/>
            <w:vAlign w:val="center"/>
          </w:tcPr>
          <w:p w14:paraId="4227FD05">
            <w:pPr>
              <w:keepNext w:val="0"/>
              <w:keepLines w:val="0"/>
              <w:widowControl w:val="0"/>
              <w:suppressLineNumbers w:val="0"/>
              <w:autoSpaceDE w:val="0"/>
              <w:autoSpaceDN/>
              <w:spacing w:before="0" w:beforeAutospacing="0" w:after="0" w:afterAutospacing="0" w:line="280" w:lineRule="exact"/>
              <w:ind w:left="-60" w:leftChars="-25" w:right="-60" w:rightChars="-25"/>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bl>
    <w:p w14:paraId="36708CA3">
      <w:pPr>
        <w:rPr>
          <w:rFonts w:hint="default" w:ascii="仿宋_GB2312" w:eastAsia="仿宋_GB2312" w:cs="仿宋_GB2312"/>
          <w:kern w:val="2"/>
          <w:sz w:val="32"/>
          <w:szCs w:val="32"/>
        </w:rPr>
        <w:sectPr>
          <w:pgSz w:w="11906" w:h="16838"/>
          <w:pgMar w:top="2098" w:right="1474" w:bottom="1984" w:left="1587" w:header="850" w:footer="1587" w:gutter="0"/>
          <w:lnNumType w:countBy="0" w:distance="360"/>
          <w:pgNumType w:fmt="decimal"/>
          <w:cols w:space="0" w:num="1"/>
          <w:rtlGutter w:val="0"/>
          <w:docGrid w:type="lines" w:linePitch="439" w:charSpace="0"/>
        </w:sectPr>
      </w:pPr>
    </w:p>
    <w:p w14:paraId="4EA27D45">
      <w:pPr>
        <w:keepNext w:val="0"/>
        <w:keepLines w:val="0"/>
        <w:widowControl w:val="0"/>
        <w:suppressLineNumbers w:val="0"/>
        <w:autoSpaceDE w:val="0"/>
        <w:autoSpaceDN/>
        <w:spacing w:before="0" w:beforeAutospacing="0" w:after="0" w:afterAutospacing="0" w:line="576" w:lineRule="exact"/>
        <w:ind w:left="0" w:leftChars="0" w:right="0" w:firstLine="118" w:firstLineChars="37"/>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附件</w:t>
      </w:r>
      <w:r>
        <w:rPr>
          <w:rFonts w:hint="default" w:ascii="Times New Roman" w:hAnsi="Times New Roman" w:eastAsia="黑体" w:cs="Times New Roman"/>
          <w:kern w:val="2"/>
          <w:sz w:val="32"/>
          <w:szCs w:val="32"/>
          <w:lang w:val="en-US" w:eastAsia="zh-CN"/>
        </w:rPr>
        <w:t>2</w:t>
      </w:r>
    </w:p>
    <w:p w14:paraId="7E091ECC">
      <w:pPr>
        <w:keepNext w:val="0"/>
        <w:keepLines w:val="0"/>
        <w:widowControl/>
        <w:suppressLineNumbers w:val="0"/>
        <w:spacing w:before="0" w:beforeAutospacing="0" w:after="0" w:afterAutospacing="0"/>
        <w:ind w:left="0" w:right="0"/>
        <w:jc w:val="center"/>
        <w:textAlignment w:val="center"/>
        <w:rPr>
          <w:rFonts w:hint="eastAsia" w:ascii="方正小标宋简体" w:hAnsi="方正小标宋简体" w:eastAsia="方正小标宋简体" w:cs="方正小标宋简体"/>
          <w:i w:val="0"/>
          <w:iCs w:val="0"/>
          <w:color w:val="000000"/>
          <w:kern w:val="2"/>
          <w:sz w:val="44"/>
          <w:szCs w:val="44"/>
        </w:rPr>
      </w:pPr>
      <w:r>
        <w:rPr>
          <w:rFonts w:hint="eastAsia" w:ascii="方正小标宋简体" w:hAnsi="方正小标宋简体" w:eastAsia="方正小标宋简体" w:cs="方正小标宋简体"/>
          <w:i w:val="0"/>
          <w:iCs w:val="0"/>
          <w:color w:val="000000"/>
          <w:kern w:val="0"/>
          <w:sz w:val="44"/>
          <w:szCs w:val="44"/>
          <w:lang w:val="en-US" w:eastAsia="zh-CN"/>
        </w:rPr>
        <w:t>中共广元市昭化区委办公室</w:t>
      </w:r>
      <w:r>
        <w:rPr>
          <w:rFonts w:hint="default" w:ascii="Times New Roman" w:hAnsi="Times New Roman" w:eastAsia="方正小标宋简体" w:cs="Times New Roman"/>
          <w:i w:val="0"/>
          <w:iCs w:val="0"/>
          <w:color w:val="000000"/>
          <w:kern w:val="0"/>
          <w:sz w:val="44"/>
          <w:szCs w:val="44"/>
          <w:lang w:val="en-US" w:eastAsia="zh-CN"/>
        </w:rPr>
        <w:t>2023</w:t>
      </w:r>
      <w:r>
        <w:rPr>
          <w:rFonts w:hint="eastAsia" w:ascii="方正小标宋简体" w:hAnsi="方正小标宋简体" w:eastAsia="方正小标宋简体" w:cs="方正小标宋简体"/>
          <w:i w:val="0"/>
          <w:iCs w:val="0"/>
          <w:color w:val="000000"/>
          <w:kern w:val="0"/>
          <w:sz w:val="44"/>
          <w:szCs w:val="44"/>
          <w:lang w:val="en-US" w:eastAsia="zh-CN"/>
        </w:rPr>
        <w:t>年全委会等会议费项目支出绩效自评分表</w:t>
      </w:r>
    </w:p>
    <w:tbl>
      <w:tblPr>
        <w:tblStyle w:val="13"/>
        <w:tblW w:w="487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416"/>
        <w:gridCol w:w="416"/>
        <w:gridCol w:w="416"/>
        <w:gridCol w:w="3216"/>
        <w:gridCol w:w="3240"/>
        <w:gridCol w:w="516"/>
      </w:tblGrid>
      <w:tr w14:paraId="14DA8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jc w:val="center"/>
        </w:trPr>
        <w:tc>
          <w:tcPr>
            <w:tcW w:w="90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8F3D69D">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kern w:val="2"/>
                <w:sz w:val="20"/>
                <w:szCs w:val="20"/>
              </w:rPr>
            </w:pPr>
            <w:r>
              <w:rPr>
                <w:rFonts w:hint="eastAsia" w:ascii="黑体" w:hAnsi="宋体" w:eastAsia="黑体" w:cs="黑体"/>
                <w:i w:val="0"/>
                <w:iCs w:val="0"/>
                <w:color w:val="000000"/>
                <w:kern w:val="0"/>
                <w:sz w:val="20"/>
                <w:szCs w:val="20"/>
                <w:lang w:val="en-US" w:eastAsia="zh-CN"/>
              </w:rPr>
              <w:t>绩效指标</w:t>
            </w:r>
          </w:p>
        </w:tc>
        <w:tc>
          <w:tcPr>
            <w:tcW w:w="184" w:type="pct"/>
            <w:vMerge w:val="restart"/>
            <w:tcBorders>
              <w:top w:val="single" w:color="000000" w:sz="4" w:space="0"/>
              <w:left w:val="nil"/>
              <w:bottom w:val="single" w:color="000000" w:sz="4" w:space="0"/>
              <w:right w:val="single" w:color="000000" w:sz="4" w:space="0"/>
            </w:tcBorders>
            <w:shd w:val="clear" w:color="auto" w:fill="auto"/>
            <w:vAlign w:val="center"/>
          </w:tcPr>
          <w:p w14:paraId="3518B054">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kern w:val="2"/>
                <w:sz w:val="20"/>
                <w:szCs w:val="20"/>
              </w:rPr>
            </w:pPr>
            <w:r>
              <w:rPr>
                <w:rFonts w:hint="eastAsia" w:ascii="黑体" w:hAnsi="宋体" w:eastAsia="黑体" w:cs="黑体"/>
                <w:i w:val="0"/>
                <w:iCs w:val="0"/>
                <w:color w:val="000000"/>
                <w:kern w:val="0"/>
                <w:sz w:val="20"/>
                <w:szCs w:val="20"/>
                <w:lang w:val="en-US" w:eastAsia="zh-CN"/>
              </w:rPr>
              <w:t>指标分值</w:t>
            </w:r>
          </w:p>
        </w:tc>
        <w:tc>
          <w:tcPr>
            <w:tcW w:w="1071" w:type="pct"/>
            <w:vMerge w:val="restart"/>
            <w:tcBorders>
              <w:top w:val="single" w:color="000000" w:sz="4" w:space="0"/>
              <w:left w:val="nil"/>
              <w:bottom w:val="single" w:color="000000" w:sz="4" w:space="0"/>
              <w:right w:val="single" w:color="000000" w:sz="4" w:space="0"/>
            </w:tcBorders>
            <w:shd w:val="clear" w:color="auto" w:fill="auto"/>
            <w:vAlign w:val="center"/>
          </w:tcPr>
          <w:p w14:paraId="70ADD45C">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kern w:val="2"/>
                <w:sz w:val="20"/>
                <w:szCs w:val="20"/>
              </w:rPr>
            </w:pPr>
            <w:r>
              <w:rPr>
                <w:rFonts w:hint="eastAsia" w:ascii="黑体" w:hAnsi="宋体" w:eastAsia="黑体" w:cs="黑体"/>
                <w:i w:val="0"/>
                <w:iCs w:val="0"/>
                <w:color w:val="000000"/>
                <w:kern w:val="0"/>
                <w:sz w:val="20"/>
                <w:szCs w:val="20"/>
                <w:lang w:val="en-US" w:eastAsia="zh-CN"/>
              </w:rPr>
              <w:t>指标解释</w:t>
            </w:r>
          </w:p>
        </w:tc>
        <w:tc>
          <w:tcPr>
            <w:tcW w:w="2581" w:type="pct"/>
            <w:vMerge w:val="restart"/>
            <w:tcBorders>
              <w:top w:val="single" w:color="000000" w:sz="4" w:space="0"/>
              <w:left w:val="nil"/>
              <w:bottom w:val="single" w:color="000000" w:sz="4" w:space="0"/>
              <w:right w:val="single" w:color="000000" w:sz="4" w:space="0"/>
            </w:tcBorders>
            <w:shd w:val="clear" w:color="auto" w:fill="auto"/>
            <w:vAlign w:val="center"/>
          </w:tcPr>
          <w:p w14:paraId="16E29166">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kern w:val="2"/>
                <w:sz w:val="20"/>
                <w:szCs w:val="20"/>
              </w:rPr>
            </w:pPr>
            <w:r>
              <w:rPr>
                <w:rFonts w:hint="eastAsia" w:ascii="黑体" w:hAnsi="宋体" w:eastAsia="黑体" w:cs="黑体"/>
                <w:i w:val="0"/>
                <w:iCs w:val="0"/>
                <w:color w:val="000000"/>
                <w:kern w:val="0"/>
                <w:sz w:val="20"/>
                <w:szCs w:val="20"/>
                <w:lang w:val="en-US" w:eastAsia="zh-CN"/>
              </w:rPr>
              <w:t>评价要点及说明</w:t>
            </w:r>
          </w:p>
        </w:tc>
        <w:tc>
          <w:tcPr>
            <w:tcW w:w="256" w:type="pct"/>
            <w:vMerge w:val="restart"/>
            <w:tcBorders>
              <w:top w:val="single" w:color="000000" w:sz="4" w:space="0"/>
              <w:left w:val="nil"/>
              <w:bottom w:val="single" w:color="000000" w:sz="4" w:space="0"/>
              <w:right w:val="single" w:color="000000" w:sz="4" w:space="0"/>
            </w:tcBorders>
            <w:shd w:val="clear" w:color="auto" w:fill="auto"/>
            <w:vAlign w:val="center"/>
          </w:tcPr>
          <w:p w14:paraId="57A98406">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b/>
                <w:bCs/>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自评得分</w:t>
            </w:r>
          </w:p>
        </w:tc>
      </w:tr>
      <w:tr w14:paraId="1832C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5174A">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kern w:val="2"/>
                <w:sz w:val="20"/>
                <w:szCs w:val="20"/>
              </w:rPr>
            </w:pPr>
            <w:r>
              <w:rPr>
                <w:rFonts w:hint="eastAsia" w:ascii="黑体" w:hAnsi="宋体" w:eastAsia="黑体" w:cs="黑体"/>
                <w:i w:val="0"/>
                <w:iCs w:val="0"/>
                <w:color w:val="000000"/>
                <w:kern w:val="0"/>
                <w:sz w:val="20"/>
                <w:szCs w:val="20"/>
                <w:lang w:val="en-US" w:eastAsia="zh-CN"/>
              </w:rPr>
              <w:t>一级指标</w:t>
            </w:r>
          </w:p>
        </w:tc>
        <w:tc>
          <w:tcPr>
            <w:tcW w:w="276" w:type="pct"/>
            <w:tcBorders>
              <w:top w:val="single" w:color="000000" w:sz="4" w:space="0"/>
              <w:left w:val="nil"/>
              <w:bottom w:val="single" w:color="000000" w:sz="4" w:space="0"/>
              <w:right w:val="single" w:color="000000" w:sz="4" w:space="0"/>
            </w:tcBorders>
            <w:shd w:val="clear" w:color="auto" w:fill="auto"/>
            <w:vAlign w:val="center"/>
          </w:tcPr>
          <w:p w14:paraId="23BE9A80">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kern w:val="2"/>
                <w:sz w:val="20"/>
                <w:szCs w:val="20"/>
              </w:rPr>
            </w:pPr>
            <w:r>
              <w:rPr>
                <w:rFonts w:hint="eastAsia" w:ascii="黑体" w:hAnsi="宋体" w:eastAsia="黑体" w:cs="黑体"/>
                <w:i w:val="0"/>
                <w:iCs w:val="0"/>
                <w:color w:val="000000"/>
                <w:kern w:val="0"/>
                <w:sz w:val="20"/>
                <w:szCs w:val="20"/>
                <w:lang w:val="en-US" w:eastAsia="zh-CN"/>
              </w:rPr>
              <w:t>二级指标</w:t>
            </w:r>
          </w:p>
        </w:tc>
        <w:tc>
          <w:tcPr>
            <w:tcW w:w="356" w:type="pct"/>
            <w:tcBorders>
              <w:top w:val="single" w:color="000000" w:sz="4" w:space="0"/>
              <w:left w:val="nil"/>
              <w:bottom w:val="single" w:color="000000" w:sz="4" w:space="0"/>
              <w:right w:val="single" w:color="000000" w:sz="4" w:space="0"/>
            </w:tcBorders>
            <w:shd w:val="clear" w:color="auto" w:fill="auto"/>
            <w:vAlign w:val="center"/>
          </w:tcPr>
          <w:p w14:paraId="6334D37C">
            <w:pPr>
              <w:keepNext w:val="0"/>
              <w:keepLines w:val="0"/>
              <w:widowControl/>
              <w:suppressLineNumbers w:val="0"/>
              <w:spacing w:before="0" w:beforeAutospacing="0" w:after="0" w:afterAutospacing="0"/>
              <w:ind w:left="0" w:right="0"/>
              <w:jc w:val="center"/>
              <w:textAlignment w:val="center"/>
              <w:rPr>
                <w:rFonts w:hint="eastAsia" w:ascii="黑体" w:hAnsi="宋体" w:eastAsia="黑体" w:cs="黑体"/>
                <w:i w:val="0"/>
                <w:iCs w:val="0"/>
                <w:color w:val="000000"/>
                <w:kern w:val="2"/>
                <w:sz w:val="20"/>
                <w:szCs w:val="20"/>
              </w:rPr>
            </w:pPr>
            <w:r>
              <w:rPr>
                <w:rFonts w:hint="eastAsia" w:ascii="黑体" w:hAnsi="宋体" w:eastAsia="黑体" w:cs="黑体"/>
                <w:i w:val="0"/>
                <w:iCs w:val="0"/>
                <w:color w:val="000000"/>
                <w:kern w:val="0"/>
                <w:sz w:val="20"/>
                <w:szCs w:val="20"/>
                <w:lang w:val="en-US" w:eastAsia="zh-CN"/>
              </w:rPr>
              <w:t>三级指标</w:t>
            </w:r>
          </w:p>
        </w:tc>
        <w:tc>
          <w:tcPr>
            <w:tcW w:w="184" w:type="pct"/>
            <w:vMerge w:val="continue"/>
            <w:tcBorders>
              <w:top w:val="single" w:color="000000" w:sz="4" w:space="0"/>
              <w:left w:val="nil"/>
              <w:bottom w:val="single" w:color="000000" w:sz="4" w:space="0"/>
              <w:right w:val="single" w:color="000000" w:sz="4" w:space="0"/>
            </w:tcBorders>
            <w:shd w:val="clear" w:color="auto" w:fill="auto"/>
            <w:vAlign w:val="center"/>
          </w:tcPr>
          <w:p w14:paraId="359B3BF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71" w:type="pct"/>
            <w:vMerge w:val="continue"/>
            <w:tcBorders>
              <w:top w:val="single" w:color="000000" w:sz="4" w:space="0"/>
              <w:left w:val="nil"/>
              <w:bottom w:val="single" w:color="000000" w:sz="4" w:space="0"/>
              <w:right w:val="single" w:color="000000" w:sz="4" w:space="0"/>
            </w:tcBorders>
            <w:shd w:val="clear" w:color="auto" w:fill="auto"/>
            <w:vAlign w:val="center"/>
          </w:tcPr>
          <w:p w14:paraId="0D6ECC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581" w:type="pct"/>
            <w:vMerge w:val="continue"/>
            <w:tcBorders>
              <w:top w:val="single" w:color="000000" w:sz="4" w:space="0"/>
              <w:left w:val="nil"/>
              <w:bottom w:val="single" w:color="000000" w:sz="4" w:space="0"/>
              <w:right w:val="single" w:color="000000" w:sz="4" w:space="0"/>
            </w:tcBorders>
            <w:shd w:val="clear" w:color="auto" w:fill="auto"/>
            <w:vAlign w:val="center"/>
          </w:tcPr>
          <w:p w14:paraId="1C134DB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56" w:type="pct"/>
            <w:vMerge w:val="continue"/>
            <w:tcBorders>
              <w:top w:val="single" w:color="000000" w:sz="4" w:space="0"/>
              <w:left w:val="nil"/>
              <w:bottom w:val="single" w:color="000000" w:sz="4" w:space="0"/>
              <w:right w:val="single" w:color="000000" w:sz="4" w:space="0"/>
            </w:tcBorders>
            <w:shd w:val="clear" w:color="auto" w:fill="auto"/>
            <w:vAlign w:val="center"/>
          </w:tcPr>
          <w:p w14:paraId="326F762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72895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20" w:hRule="atLeast"/>
          <w:jc w:val="center"/>
        </w:trPr>
        <w:tc>
          <w:tcPr>
            <w:tcW w:w="272" w:type="pct"/>
            <w:vMerge w:val="restart"/>
            <w:tcBorders>
              <w:top w:val="nil"/>
              <w:left w:val="single" w:color="000000" w:sz="4" w:space="0"/>
              <w:bottom w:val="single" w:color="000000" w:sz="4" w:space="0"/>
              <w:right w:val="single" w:color="000000" w:sz="4" w:space="0"/>
            </w:tcBorders>
            <w:shd w:val="clear" w:color="auto" w:fill="auto"/>
            <w:vAlign w:val="center"/>
          </w:tcPr>
          <w:p w14:paraId="219B3C76">
            <w:pPr>
              <w:keepNext w:val="0"/>
              <w:keepLines w:val="0"/>
              <w:widowControl/>
              <w:suppressLineNumbers w:val="0"/>
              <w:autoSpaceDE w:val="0"/>
              <w:autoSpaceDN/>
              <w:spacing w:before="0" w:beforeAutospacing="0" w:after="0" w:afterAutospacing="0" w:line="320" w:lineRule="exact"/>
              <w:ind w:left="0" w:right="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项目决策</w:t>
            </w:r>
          </w:p>
          <w:p w14:paraId="7B63D5E7">
            <w:pPr>
              <w:keepNext w:val="0"/>
              <w:keepLines w:val="0"/>
              <w:widowControl/>
              <w:suppressLineNumbers w:val="0"/>
              <w:autoSpaceDE w:val="0"/>
              <w:autoSpaceDN/>
              <w:spacing w:before="0" w:beforeAutospacing="0" w:after="0" w:afterAutospacing="0" w:line="32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分）</w:t>
            </w:r>
          </w:p>
        </w:tc>
        <w:tc>
          <w:tcPr>
            <w:tcW w:w="276" w:type="pct"/>
            <w:tcBorders>
              <w:top w:val="single" w:color="000000" w:sz="4" w:space="0"/>
              <w:left w:val="nil"/>
              <w:bottom w:val="single" w:color="000000" w:sz="4" w:space="0"/>
              <w:right w:val="single" w:color="000000" w:sz="4" w:space="0"/>
            </w:tcBorders>
            <w:shd w:val="clear" w:color="auto" w:fill="auto"/>
            <w:vAlign w:val="center"/>
          </w:tcPr>
          <w:p w14:paraId="1EBC1F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决策程序</w:t>
            </w:r>
          </w:p>
        </w:tc>
        <w:tc>
          <w:tcPr>
            <w:tcW w:w="356" w:type="pct"/>
            <w:tcBorders>
              <w:top w:val="single" w:color="000000" w:sz="4" w:space="0"/>
              <w:left w:val="nil"/>
              <w:bottom w:val="single" w:color="000000" w:sz="4" w:space="0"/>
              <w:right w:val="single" w:color="000000" w:sz="4" w:space="0"/>
            </w:tcBorders>
            <w:shd w:val="clear" w:color="auto" w:fill="auto"/>
            <w:vAlign w:val="center"/>
          </w:tcPr>
          <w:p w14:paraId="423FD71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程序规范</w:t>
            </w:r>
          </w:p>
        </w:tc>
        <w:tc>
          <w:tcPr>
            <w:tcW w:w="184" w:type="pct"/>
            <w:tcBorders>
              <w:top w:val="single" w:color="000000" w:sz="4" w:space="0"/>
              <w:left w:val="nil"/>
              <w:bottom w:val="single" w:color="000000" w:sz="4" w:space="0"/>
              <w:right w:val="single" w:color="000000" w:sz="4" w:space="0"/>
            </w:tcBorders>
            <w:shd w:val="clear" w:color="auto" w:fill="auto"/>
            <w:vAlign w:val="center"/>
          </w:tcPr>
          <w:p w14:paraId="07D2DA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20</w:t>
            </w:r>
          </w:p>
        </w:tc>
        <w:tc>
          <w:tcPr>
            <w:tcW w:w="1071" w:type="pct"/>
            <w:tcBorders>
              <w:top w:val="single" w:color="000000" w:sz="4" w:space="0"/>
              <w:left w:val="nil"/>
              <w:bottom w:val="single" w:color="000000" w:sz="4" w:space="0"/>
              <w:right w:val="single" w:color="000000" w:sz="4" w:space="0"/>
            </w:tcBorders>
            <w:shd w:val="clear" w:color="auto" w:fill="auto"/>
            <w:vAlign w:val="center"/>
          </w:tcPr>
          <w:p w14:paraId="7031EB09">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部门预算项目设立是否与部门职能职责相符、是否充分履行项目申报论证程序。</w:t>
            </w:r>
          </w:p>
        </w:tc>
        <w:tc>
          <w:tcPr>
            <w:tcW w:w="2581" w:type="pct"/>
            <w:tcBorders>
              <w:top w:val="single" w:color="000000" w:sz="4" w:space="0"/>
              <w:left w:val="nil"/>
              <w:bottom w:val="single" w:color="000000" w:sz="4" w:space="0"/>
              <w:right w:val="single" w:color="000000" w:sz="4" w:space="0"/>
            </w:tcBorders>
            <w:shd w:val="clear" w:color="auto" w:fill="auto"/>
            <w:vAlign w:val="center"/>
          </w:tcPr>
          <w:p w14:paraId="7086CBFF">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.项目申报未经过部门集体决策的扣</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w:t>
            </w:r>
          </w:p>
          <w:p w14:paraId="59F14256">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.未纳入部门（单位）项目库或未履行部门（单位）入库审批程序的扣</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w:t>
            </w:r>
          </w:p>
          <w:p w14:paraId="47797EAB">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3</w:t>
            </w:r>
            <w:r>
              <w:rPr>
                <w:rFonts w:hint="eastAsia" w:ascii="宋体" w:hAnsi="宋体" w:eastAsia="宋体" w:cs="宋体"/>
                <w:i w:val="0"/>
                <w:iCs w:val="0"/>
                <w:color w:val="000000"/>
                <w:kern w:val="0"/>
                <w:sz w:val="20"/>
                <w:szCs w:val="20"/>
                <w:lang w:val="en-US" w:eastAsia="zh-CN"/>
              </w:rPr>
              <w:t>.纳入项目库的项目未按规定完成可行性研究论证、制定具体实施计划等各项前期工作或预算测算不够清晰的，酌情扣分，最多扣</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w:t>
            </w:r>
          </w:p>
          <w:p w14:paraId="27F1EFB7">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4</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50</w:t>
            </w:r>
            <w:r>
              <w:rPr>
                <w:rFonts w:hint="eastAsia" w:ascii="宋体" w:hAnsi="宋体" w:eastAsia="宋体" w:cs="宋体"/>
                <w:i w:val="0"/>
                <w:iCs w:val="0"/>
                <w:color w:val="000000"/>
                <w:kern w:val="0"/>
                <w:sz w:val="20"/>
                <w:szCs w:val="20"/>
                <w:lang w:val="en-US" w:eastAsia="zh-CN"/>
              </w:rPr>
              <w:t>万元以上的新增项目或增幅达到</w:t>
            </w:r>
            <w:r>
              <w:rPr>
                <w:rFonts w:hint="default" w:ascii="Times New Roman" w:hAnsi="Times New Roman" w:eastAsia="宋体" w:cs="Times New Roman"/>
                <w:i w:val="0"/>
                <w:iCs w:val="0"/>
                <w:color w:val="000000"/>
                <w:kern w:val="0"/>
                <w:sz w:val="20"/>
                <w:szCs w:val="20"/>
                <w:lang w:val="en-US" w:eastAsia="zh-CN"/>
              </w:rPr>
              <w:t>20</w:t>
            </w:r>
            <w:r>
              <w:rPr>
                <w:rFonts w:hint="eastAsia" w:ascii="宋体" w:hAnsi="宋体" w:eastAsia="宋体" w:cs="宋体"/>
                <w:i w:val="0"/>
                <w:iCs w:val="0"/>
                <w:color w:val="000000"/>
                <w:kern w:val="0"/>
                <w:sz w:val="20"/>
                <w:szCs w:val="20"/>
                <w:lang w:val="en-US" w:eastAsia="zh-CN"/>
              </w:rPr>
              <w:t>%或</w:t>
            </w:r>
            <w:r>
              <w:rPr>
                <w:rFonts w:hint="default" w:ascii="Times New Roman" w:hAnsi="Times New Roman" w:eastAsia="宋体" w:cs="Times New Roman"/>
                <w:i w:val="0"/>
                <w:iCs w:val="0"/>
                <w:color w:val="000000"/>
                <w:kern w:val="0"/>
                <w:sz w:val="20"/>
                <w:szCs w:val="20"/>
                <w:lang w:val="en-US" w:eastAsia="zh-CN"/>
              </w:rPr>
              <w:t>50</w:t>
            </w:r>
            <w:r>
              <w:rPr>
                <w:rFonts w:hint="eastAsia" w:ascii="宋体" w:hAnsi="宋体" w:eastAsia="宋体" w:cs="宋体"/>
                <w:i w:val="0"/>
                <w:iCs w:val="0"/>
                <w:color w:val="000000"/>
                <w:kern w:val="0"/>
                <w:sz w:val="20"/>
                <w:szCs w:val="20"/>
                <w:lang w:val="en-US" w:eastAsia="zh-CN"/>
              </w:rPr>
              <w:t>万元以上的延续项目，未开展事前绩效评估的扣</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w:t>
            </w:r>
          </w:p>
          <w:p w14:paraId="2D04E8C9">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.如项目为新建信息化项目，项目申报论证未履行相关程序的，缺</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项程序扣</w:t>
            </w: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分，扣完为止。</w:t>
            </w:r>
          </w:p>
        </w:tc>
        <w:tc>
          <w:tcPr>
            <w:tcW w:w="256" w:type="pct"/>
            <w:tcBorders>
              <w:top w:val="single" w:color="000000" w:sz="4" w:space="0"/>
              <w:left w:val="nil"/>
              <w:bottom w:val="single" w:color="000000" w:sz="4" w:space="0"/>
              <w:right w:val="single" w:color="000000" w:sz="4" w:space="0"/>
            </w:tcBorders>
            <w:shd w:val="clear" w:color="auto" w:fill="auto"/>
            <w:noWrap/>
            <w:vAlign w:val="center"/>
          </w:tcPr>
          <w:p w14:paraId="7A1560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20</w:t>
            </w:r>
          </w:p>
        </w:tc>
      </w:tr>
      <w:tr w14:paraId="3FD5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0" w:hRule="atLeast"/>
          <w:jc w:val="center"/>
        </w:trPr>
        <w:tc>
          <w:tcPr>
            <w:tcW w:w="272" w:type="pct"/>
            <w:vMerge w:val="continue"/>
            <w:tcBorders>
              <w:top w:val="nil"/>
              <w:left w:val="single" w:color="000000" w:sz="4" w:space="0"/>
              <w:bottom w:val="single" w:color="000000" w:sz="4" w:space="0"/>
              <w:right w:val="single" w:color="000000" w:sz="4" w:space="0"/>
            </w:tcBorders>
            <w:shd w:val="clear" w:color="auto" w:fill="auto"/>
            <w:vAlign w:val="center"/>
          </w:tcPr>
          <w:p w14:paraId="38FA979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 w:type="pct"/>
            <w:tcBorders>
              <w:top w:val="single" w:color="000000" w:sz="4" w:space="0"/>
              <w:left w:val="nil"/>
              <w:bottom w:val="single" w:color="000000" w:sz="4" w:space="0"/>
              <w:right w:val="single" w:color="000000" w:sz="4" w:space="0"/>
            </w:tcBorders>
            <w:shd w:val="clear" w:color="auto" w:fill="auto"/>
            <w:vAlign w:val="center"/>
          </w:tcPr>
          <w:p w14:paraId="2D7DB4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目标制定</w:t>
            </w:r>
          </w:p>
        </w:tc>
        <w:tc>
          <w:tcPr>
            <w:tcW w:w="356" w:type="pct"/>
            <w:tcBorders>
              <w:top w:val="single" w:color="000000" w:sz="4" w:space="0"/>
              <w:left w:val="nil"/>
              <w:bottom w:val="single" w:color="000000" w:sz="4" w:space="0"/>
              <w:right w:val="single" w:color="000000" w:sz="4" w:space="0"/>
            </w:tcBorders>
            <w:shd w:val="clear" w:color="auto" w:fill="auto"/>
            <w:vAlign w:val="center"/>
          </w:tcPr>
          <w:p w14:paraId="09CC6F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编制质量</w:t>
            </w:r>
          </w:p>
        </w:tc>
        <w:tc>
          <w:tcPr>
            <w:tcW w:w="184" w:type="pct"/>
            <w:tcBorders>
              <w:top w:val="single" w:color="000000" w:sz="4" w:space="0"/>
              <w:left w:val="nil"/>
              <w:bottom w:val="single" w:color="000000" w:sz="4" w:space="0"/>
              <w:right w:val="single" w:color="000000" w:sz="4" w:space="0"/>
            </w:tcBorders>
            <w:shd w:val="clear" w:color="auto" w:fill="auto"/>
            <w:vAlign w:val="center"/>
          </w:tcPr>
          <w:p w14:paraId="44888B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c>
          <w:tcPr>
            <w:tcW w:w="1071" w:type="pct"/>
            <w:tcBorders>
              <w:top w:val="single" w:color="000000" w:sz="4" w:space="0"/>
              <w:left w:val="nil"/>
              <w:bottom w:val="single" w:color="000000" w:sz="4" w:space="0"/>
              <w:right w:val="single" w:color="000000" w:sz="4" w:space="0"/>
            </w:tcBorders>
            <w:shd w:val="clear" w:color="auto" w:fill="auto"/>
            <w:vAlign w:val="center"/>
          </w:tcPr>
          <w:p w14:paraId="63BBF51C">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项目绩效目标制定是否符合科学合理、规范完整、量化细化、预算匹配的要求。</w:t>
            </w:r>
          </w:p>
        </w:tc>
        <w:tc>
          <w:tcPr>
            <w:tcW w:w="2581" w:type="pct"/>
            <w:tcBorders>
              <w:top w:val="single" w:color="000000" w:sz="4" w:space="0"/>
              <w:left w:val="nil"/>
              <w:bottom w:val="single" w:color="000000" w:sz="4" w:space="0"/>
              <w:right w:val="single" w:color="000000" w:sz="4" w:space="0"/>
            </w:tcBorders>
            <w:shd w:val="clear" w:color="auto" w:fill="auto"/>
            <w:vAlign w:val="center"/>
          </w:tcPr>
          <w:p w14:paraId="588DDFF4">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.绩效目标是否符合有关中长期工作规划、部门“三定”方案确定的职责；</w:t>
            </w:r>
          </w:p>
          <w:p w14:paraId="378CA77D">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.绩效目标是否细化分解为具体的绩效指标，指标设置是否高度关联、重点突出、量化易评；</w:t>
            </w:r>
          </w:p>
          <w:p w14:paraId="66C26AAA">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3</w:t>
            </w:r>
            <w:r>
              <w:rPr>
                <w:rFonts w:hint="eastAsia" w:ascii="宋体" w:hAnsi="宋体" w:eastAsia="宋体" w:cs="宋体"/>
                <w:i w:val="0"/>
                <w:iCs w:val="0"/>
                <w:color w:val="000000"/>
                <w:kern w:val="0"/>
                <w:sz w:val="20"/>
                <w:szCs w:val="20"/>
                <w:lang w:val="en-US" w:eastAsia="zh-CN"/>
              </w:rPr>
              <w:t>.绩效目标是否与年度任务数或计划数相对应；</w:t>
            </w:r>
          </w:p>
          <w:p w14:paraId="68BF5FB6">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4</w:t>
            </w:r>
            <w:r>
              <w:rPr>
                <w:rFonts w:hint="eastAsia" w:ascii="宋体" w:hAnsi="宋体" w:eastAsia="宋体" w:cs="宋体"/>
                <w:i w:val="0"/>
                <w:iCs w:val="0"/>
                <w:color w:val="000000"/>
                <w:kern w:val="0"/>
                <w:sz w:val="20"/>
                <w:szCs w:val="20"/>
                <w:lang w:val="en-US" w:eastAsia="zh-CN"/>
              </w:rPr>
              <w:t>.绩效目标是否与预算确定的项目投资额或资金量相匹配。</w:t>
            </w:r>
          </w:p>
          <w:p w14:paraId="376F6C5B">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绩效目标制定不符合科学合理、规范完整、量化细化、预算匹配要求的，发现一处扣</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分，扣完为止。</w:t>
            </w:r>
          </w:p>
        </w:tc>
        <w:tc>
          <w:tcPr>
            <w:tcW w:w="256" w:type="pct"/>
            <w:tcBorders>
              <w:top w:val="single" w:color="000000" w:sz="4" w:space="0"/>
              <w:left w:val="nil"/>
              <w:bottom w:val="single" w:color="000000" w:sz="4" w:space="0"/>
              <w:right w:val="single" w:color="000000" w:sz="4" w:space="0"/>
            </w:tcBorders>
            <w:shd w:val="clear" w:color="auto" w:fill="auto"/>
            <w:noWrap/>
            <w:vAlign w:val="center"/>
          </w:tcPr>
          <w:p w14:paraId="74AD63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r>
      <w:tr w14:paraId="51143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272" w:type="pct"/>
            <w:vMerge w:val="restart"/>
            <w:tcBorders>
              <w:top w:val="nil"/>
              <w:left w:val="single" w:color="000000" w:sz="4" w:space="0"/>
              <w:bottom w:val="nil"/>
              <w:right w:val="single" w:color="000000" w:sz="4" w:space="0"/>
            </w:tcBorders>
            <w:shd w:val="clear" w:color="auto" w:fill="auto"/>
            <w:vAlign w:val="center"/>
          </w:tcPr>
          <w:p w14:paraId="5D7CFFD6">
            <w:pPr>
              <w:keepNext w:val="0"/>
              <w:keepLines w:val="0"/>
              <w:widowControl/>
              <w:suppressLineNumbers w:val="0"/>
              <w:autoSpaceDE w:val="0"/>
              <w:autoSpaceDN/>
              <w:spacing w:before="0" w:beforeAutospacing="0" w:after="0" w:afterAutospacing="0" w:line="32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项目执行（</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分）</w:t>
            </w:r>
          </w:p>
        </w:tc>
        <w:tc>
          <w:tcPr>
            <w:tcW w:w="276" w:type="pct"/>
            <w:tcBorders>
              <w:top w:val="single" w:color="000000" w:sz="4" w:space="0"/>
              <w:left w:val="nil"/>
              <w:bottom w:val="single" w:color="000000" w:sz="4" w:space="0"/>
              <w:right w:val="single" w:color="000000" w:sz="4" w:space="0"/>
            </w:tcBorders>
            <w:shd w:val="clear" w:color="auto" w:fill="auto"/>
            <w:vAlign w:val="center"/>
          </w:tcPr>
          <w:p w14:paraId="234F41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执行同向</w:t>
            </w:r>
          </w:p>
        </w:tc>
        <w:tc>
          <w:tcPr>
            <w:tcW w:w="356" w:type="pct"/>
            <w:tcBorders>
              <w:top w:val="single" w:color="000000" w:sz="4" w:space="0"/>
              <w:left w:val="nil"/>
              <w:bottom w:val="single" w:color="000000" w:sz="4" w:space="0"/>
              <w:right w:val="single" w:color="000000" w:sz="4" w:space="0"/>
            </w:tcBorders>
            <w:shd w:val="clear" w:color="auto" w:fill="auto"/>
            <w:vAlign w:val="center"/>
          </w:tcPr>
          <w:p w14:paraId="7F12A3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目标匹配</w:t>
            </w:r>
          </w:p>
        </w:tc>
        <w:tc>
          <w:tcPr>
            <w:tcW w:w="184" w:type="pct"/>
            <w:tcBorders>
              <w:top w:val="single" w:color="000000" w:sz="4" w:space="0"/>
              <w:left w:val="nil"/>
              <w:bottom w:val="single" w:color="000000" w:sz="4" w:space="0"/>
              <w:right w:val="single" w:color="000000" w:sz="4" w:space="0"/>
            </w:tcBorders>
            <w:shd w:val="clear" w:color="auto" w:fill="auto"/>
            <w:vAlign w:val="center"/>
          </w:tcPr>
          <w:p w14:paraId="10F16A9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c>
          <w:tcPr>
            <w:tcW w:w="1071" w:type="pct"/>
            <w:tcBorders>
              <w:top w:val="single" w:color="000000" w:sz="4" w:space="0"/>
              <w:left w:val="nil"/>
              <w:bottom w:val="single" w:color="000000" w:sz="4" w:space="0"/>
              <w:right w:val="single" w:color="000000" w:sz="4" w:space="0"/>
            </w:tcBorders>
            <w:shd w:val="clear" w:color="auto" w:fill="auto"/>
            <w:vAlign w:val="center"/>
          </w:tcPr>
          <w:p w14:paraId="3898F138">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项目实际列支内容是否与项目绩效目标设置方向相符。</w:t>
            </w:r>
          </w:p>
        </w:tc>
        <w:tc>
          <w:tcPr>
            <w:tcW w:w="2581" w:type="pct"/>
            <w:tcBorders>
              <w:top w:val="single" w:color="000000" w:sz="4" w:space="0"/>
              <w:left w:val="nil"/>
              <w:bottom w:val="single" w:color="000000" w:sz="4" w:space="0"/>
              <w:right w:val="single" w:color="000000" w:sz="4" w:space="0"/>
            </w:tcBorders>
            <w:shd w:val="clear" w:color="auto" w:fill="auto"/>
            <w:vAlign w:val="center"/>
          </w:tcPr>
          <w:p w14:paraId="49C1A01B">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项目实际列支内容与绩效目标设置方向不相符的，发现一处扣</w:t>
            </w: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分，扣完为止。</w:t>
            </w:r>
          </w:p>
        </w:tc>
        <w:tc>
          <w:tcPr>
            <w:tcW w:w="256" w:type="pct"/>
            <w:tcBorders>
              <w:top w:val="single" w:color="000000" w:sz="4" w:space="0"/>
              <w:left w:val="nil"/>
              <w:bottom w:val="single" w:color="000000" w:sz="4" w:space="0"/>
              <w:right w:val="single" w:color="000000" w:sz="4" w:space="0"/>
            </w:tcBorders>
            <w:shd w:val="clear" w:color="auto" w:fill="auto"/>
            <w:noWrap/>
            <w:vAlign w:val="center"/>
          </w:tcPr>
          <w:p w14:paraId="08F2AA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r>
      <w:tr w14:paraId="60D8C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272" w:type="pct"/>
            <w:vMerge w:val="continue"/>
            <w:tcBorders>
              <w:top w:val="nil"/>
              <w:left w:val="single" w:color="000000" w:sz="4" w:space="0"/>
              <w:bottom w:val="nil"/>
              <w:right w:val="single" w:color="000000" w:sz="4" w:space="0"/>
            </w:tcBorders>
            <w:shd w:val="clear" w:color="auto" w:fill="auto"/>
            <w:vAlign w:val="center"/>
          </w:tcPr>
          <w:p w14:paraId="79730C8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 w:type="pct"/>
            <w:tcBorders>
              <w:top w:val="single" w:color="000000" w:sz="4" w:space="0"/>
              <w:left w:val="nil"/>
              <w:bottom w:val="nil"/>
              <w:right w:val="single" w:color="000000" w:sz="4" w:space="0"/>
            </w:tcBorders>
            <w:shd w:val="clear" w:color="auto" w:fill="auto"/>
            <w:vAlign w:val="center"/>
          </w:tcPr>
          <w:p w14:paraId="0D2700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项目调整</w:t>
            </w:r>
          </w:p>
        </w:tc>
        <w:tc>
          <w:tcPr>
            <w:tcW w:w="356" w:type="pct"/>
            <w:tcBorders>
              <w:top w:val="single" w:color="000000" w:sz="4" w:space="0"/>
              <w:left w:val="nil"/>
              <w:bottom w:val="single" w:color="000000" w:sz="4" w:space="0"/>
              <w:right w:val="single" w:color="000000" w:sz="4" w:space="0"/>
            </w:tcBorders>
            <w:shd w:val="clear" w:color="auto" w:fill="auto"/>
            <w:vAlign w:val="center"/>
          </w:tcPr>
          <w:p w14:paraId="50D128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预算调整</w:t>
            </w:r>
          </w:p>
        </w:tc>
        <w:tc>
          <w:tcPr>
            <w:tcW w:w="184" w:type="pct"/>
            <w:tcBorders>
              <w:top w:val="single" w:color="000000" w:sz="4" w:space="0"/>
              <w:left w:val="nil"/>
              <w:bottom w:val="single" w:color="000000" w:sz="4" w:space="0"/>
              <w:right w:val="single" w:color="000000" w:sz="4" w:space="0"/>
            </w:tcBorders>
            <w:shd w:val="clear" w:color="auto" w:fill="auto"/>
            <w:vAlign w:val="center"/>
          </w:tcPr>
          <w:p w14:paraId="13F1F7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c>
          <w:tcPr>
            <w:tcW w:w="1071" w:type="pct"/>
            <w:tcBorders>
              <w:top w:val="single" w:color="000000" w:sz="4" w:space="0"/>
              <w:left w:val="nil"/>
              <w:bottom w:val="single" w:color="000000" w:sz="4" w:space="0"/>
              <w:right w:val="single" w:color="000000" w:sz="4" w:space="0"/>
            </w:tcBorders>
            <w:shd w:val="clear" w:color="auto" w:fill="auto"/>
            <w:vAlign w:val="center"/>
          </w:tcPr>
          <w:p w14:paraId="679B3CF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申请项目预算调整是否程序规范，依据充分。</w:t>
            </w:r>
          </w:p>
        </w:tc>
        <w:tc>
          <w:tcPr>
            <w:tcW w:w="2581" w:type="pct"/>
            <w:tcBorders>
              <w:top w:val="single" w:color="000000" w:sz="4" w:space="0"/>
              <w:left w:val="nil"/>
              <w:bottom w:val="single" w:color="000000" w:sz="4" w:space="0"/>
              <w:right w:val="single" w:color="000000" w:sz="4" w:space="0"/>
            </w:tcBorders>
            <w:shd w:val="clear" w:color="auto" w:fill="auto"/>
            <w:vAlign w:val="center"/>
          </w:tcPr>
          <w:p w14:paraId="3BC35E5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未按照规定程序申请项目预算调整的，不得分；申请预算调整依据不充分的，酌情扣分，扣完为止。</w:t>
            </w:r>
          </w:p>
        </w:tc>
        <w:tc>
          <w:tcPr>
            <w:tcW w:w="256" w:type="pct"/>
            <w:tcBorders>
              <w:top w:val="single" w:color="000000" w:sz="4" w:space="0"/>
              <w:left w:val="nil"/>
              <w:bottom w:val="single" w:color="000000" w:sz="4" w:space="0"/>
              <w:right w:val="single" w:color="000000" w:sz="4" w:space="0"/>
            </w:tcBorders>
            <w:shd w:val="clear" w:color="auto" w:fill="auto"/>
            <w:noWrap/>
            <w:vAlign w:val="center"/>
          </w:tcPr>
          <w:p w14:paraId="07FF93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r>
      <w:tr w14:paraId="69984F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272" w:type="pct"/>
            <w:vMerge w:val="continue"/>
            <w:tcBorders>
              <w:top w:val="nil"/>
              <w:left w:val="single" w:color="000000" w:sz="4" w:space="0"/>
              <w:bottom w:val="nil"/>
              <w:right w:val="single" w:color="000000" w:sz="4" w:space="0"/>
            </w:tcBorders>
            <w:shd w:val="clear" w:color="auto" w:fill="auto"/>
            <w:vAlign w:val="center"/>
          </w:tcPr>
          <w:p w14:paraId="1FC17E0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 w:type="pct"/>
            <w:tcBorders>
              <w:top w:val="single" w:color="000000" w:sz="4" w:space="0"/>
              <w:left w:val="nil"/>
              <w:bottom w:val="single" w:color="000000" w:sz="4" w:space="0"/>
              <w:right w:val="single" w:color="000000" w:sz="4" w:space="0"/>
            </w:tcBorders>
            <w:shd w:val="clear" w:color="auto" w:fill="auto"/>
            <w:vAlign w:val="center"/>
          </w:tcPr>
          <w:p w14:paraId="4BBC1D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预算执行</w:t>
            </w:r>
          </w:p>
        </w:tc>
        <w:tc>
          <w:tcPr>
            <w:tcW w:w="356" w:type="pct"/>
            <w:tcBorders>
              <w:top w:val="single" w:color="000000" w:sz="4" w:space="0"/>
              <w:left w:val="nil"/>
              <w:bottom w:val="single" w:color="000000" w:sz="4" w:space="0"/>
              <w:right w:val="single" w:color="000000" w:sz="4" w:space="0"/>
            </w:tcBorders>
            <w:shd w:val="clear" w:color="auto" w:fill="auto"/>
            <w:vAlign w:val="center"/>
          </w:tcPr>
          <w:p w14:paraId="22C4C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执行进度</w:t>
            </w:r>
          </w:p>
        </w:tc>
        <w:tc>
          <w:tcPr>
            <w:tcW w:w="184" w:type="pct"/>
            <w:tcBorders>
              <w:top w:val="single" w:color="000000" w:sz="4" w:space="0"/>
              <w:left w:val="nil"/>
              <w:bottom w:val="single" w:color="000000" w:sz="4" w:space="0"/>
              <w:right w:val="single" w:color="000000" w:sz="4" w:space="0"/>
            </w:tcBorders>
            <w:shd w:val="clear" w:color="auto" w:fill="auto"/>
            <w:vAlign w:val="center"/>
          </w:tcPr>
          <w:p w14:paraId="4CE183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4</w:t>
            </w:r>
          </w:p>
        </w:tc>
        <w:tc>
          <w:tcPr>
            <w:tcW w:w="1071" w:type="pct"/>
            <w:tcBorders>
              <w:top w:val="single" w:color="000000" w:sz="4" w:space="0"/>
              <w:left w:val="nil"/>
              <w:bottom w:val="single" w:color="000000" w:sz="4" w:space="0"/>
              <w:right w:val="single" w:color="000000" w:sz="4" w:space="0"/>
            </w:tcBorders>
            <w:shd w:val="clear" w:color="auto" w:fill="auto"/>
            <w:vAlign w:val="center"/>
          </w:tcPr>
          <w:p w14:paraId="3B2EFD76">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部门预算项目在</w:t>
            </w:r>
            <w:r>
              <w:rPr>
                <w:rFonts w:hint="default" w:ascii="Times New Roman" w:hAnsi="Times New Roman" w:eastAsia="宋体" w:cs="Times New Roman"/>
                <w:i w:val="0"/>
                <w:iCs w:val="0"/>
                <w:color w:val="000000"/>
                <w:kern w:val="0"/>
                <w:sz w:val="20"/>
                <w:szCs w:val="20"/>
                <w:lang w:val="en-US" w:eastAsia="zh-CN"/>
              </w:rPr>
              <w:t>6</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11</w:t>
            </w:r>
            <w:r>
              <w:rPr>
                <w:rFonts w:hint="eastAsia" w:ascii="宋体" w:hAnsi="宋体" w:eastAsia="宋体" w:cs="宋体"/>
                <w:i w:val="0"/>
                <w:iCs w:val="0"/>
                <w:color w:val="000000"/>
                <w:kern w:val="0"/>
                <w:sz w:val="20"/>
                <w:szCs w:val="20"/>
                <w:lang w:val="en-US" w:eastAsia="zh-CN"/>
              </w:rPr>
              <w:t>月的预算执行情况。</w:t>
            </w:r>
          </w:p>
        </w:tc>
        <w:tc>
          <w:tcPr>
            <w:tcW w:w="2581" w:type="pct"/>
            <w:tcBorders>
              <w:top w:val="single" w:color="000000" w:sz="4" w:space="0"/>
              <w:left w:val="nil"/>
              <w:bottom w:val="single" w:color="000000" w:sz="4" w:space="0"/>
              <w:right w:val="single" w:color="000000" w:sz="4" w:space="0"/>
            </w:tcBorders>
            <w:shd w:val="clear" w:color="auto" w:fill="auto"/>
            <w:vAlign w:val="center"/>
          </w:tcPr>
          <w:p w14:paraId="33A8E3C8">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部门预算项目预算执行进度在</w:t>
            </w:r>
            <w:r>
              <w:rPr>
                <w:rFonts w:hint="default" w:ascii="Times New Roman" w:hAnsi="Times New Roman" w:eastAsia="宋体" w:cs="Times New Roman"/>
                <w:i w:val="0"/>
                <w:iCs w:val="0"/>
                <w:color w:val="000000"/>
                <w:kern w:val="0"/>
                <w:sz w:val="20"/>
                <w:szCs w:val="20"/>
                <w:lang w:val="en-US" w:eastAsia="zh-CN"/>
              </w:rPr>
              <w:t>6</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11</w:t>
            </w:r>
            <w:r>
              <w:rPr>
                <w:rFonts w:hint="eastAsia" w:ascii="宋体" w:hAnsi="宋体" w:eastAsia="宋体" w:cs="宋体"/>
                <w:i w:val="0"/>
                <w:iCs w:val="0"/>
                <w:color w:val="000000"/>
                <w:kern w:val="0"/>
                <w:sz w:val="20"/>
                <w:szCs w:val="20"/>
                <w:lang w:val="en-US" w:eastAsia="zh-CN"/>
              </w:rPr>
              <w:t>月应达到序时进度的</w:t>
            </w:r>
            <w:r>
              <w:rPr>
                <w:rFonts w:hint="default" w:ascii="Times New Roman" w:hAnsi="Times New Roman" w:eastAsia="宋体" w:cs="Times New Roman"/>
                <w:i w:val="0"/>
                <w:iCs w:val="0"/>
                <w:color w:val="000000"/>
                <w:kern w:val="0"/>
                <w:sz w:val="20"/>
                <w:szCs w:val="20"/>
                <w:lang w:val="en-US" w:eastAsia="zh-CN"/>
              </w:rPr>
              <w:t>80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90</w:t>
            </w:r>
            <w:r>
              <w:rPr>
                <w:rFonts w:hint="eastAsia" w:ascii="宋体" w:hAnsi="宋体" w:eastAsia="宋体" w:cs="宋体"/>
                <w:i w:val="0"/>
                <w:iCs w:val="0"/>
                <w:color w:val="000000"/>
                <w:kern w:val="0"/>
                <w:sz w:val="20"/>
                <w:szCs w:val="20"/>
                <w:lang w:val="en-US" w:eastAsia="zh-CN"/>
              </w:rPr>
              <w:t>%，即实际支出进度分别达到</w:t>
            </w:r>
            <w:r>
              <w:rPr>
                <w:rFonts w:hint="default" w:ascii="Times New Roman" w:hAnsi="Times New Roman" w:eastAsia="宋体" w:cs="Times New Roman"/>
                <w:i w:val="0"/>
                <w:iCs w:val="0"/>
                <w:color w:val="000000"/>
                <w:kern w:val="0"/>
                <w:sz w:val="20"/>
                <w:szCs w:val="20"/>
                <w:lang w:val="en-US" w:eastAsia="zh-CN"/>
              </w:rPr>
              <w:t>40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67</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82</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6</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11</w:t>
            </w:r>
            <w:r>
              <w:rPr>
                <w:rFonts w:hint="eastAsia" w:ascii="宋体" w:hAnsi="宋体" w:eastAsia="宋体" w:cs="宋体"/>
                <w:i w:val="0"/>
                <w:iCs w:val="0"/>
                <w:color w:val="000000"/>
                <w:kern w:val="0"/>
                <w:sz w:val="20"/>
                <w:szCs w:val="20"/>
                <w:lang w:val="en-US" w:eastAsia="zh-CN"/>
              </w:rPr>
              <w:t>月部门预算执行进度达到目标进度的分别得</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分、</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分、</w:t>
            </w: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分，未达到目标进度的按其实际进度占目标进度的比重计算得分。</w:t>
            </w:r>
          </w:p>
        </w:tc>
        <w:tc>
          <w:tcPr>
            <w:tcW w:w="256" w:type="pct"/>
            <w:tcBorders>
              <w:top w:val="single" w:color="000000" w:sz="4" w:space="0"/>
              <w:left w:val="nil"/>
              <w:bottom w:val="single" w:color="000000" w:sz="4" w:space="0"/>
              <w:right w:val="single" w:color="000000" w:sz="4" w:space="0"/>
            </w:tcBorders>
            <w:shd w:val="clear" w:color="auto" w:fill="auto"/>
            <w:noWrap/>
            <w:vAlign w:val="center"/>
          </w:tcPr>
          <w:p w14:paraId="5C78130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44</w:t>
            </w:r>
          </w:p>
        </w:tc>
      </w:tr>
      <w:tr w14:paraId="0F9A4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jc w:val="center"/>
        </w:trPr>
        <w:tc>
          <w:tcPr>
            <w:tcW w:w="272" w:type="pct"/>
            <w:vMerge w:val="continue"/>
            <w:tcBorders>
              <w:top w:val="nil"/>
              <w:left w:val="single" w:color="000000" w:sz="4" w:space="0"/>
              <w:bottom w:val="nil"/>
              <w:right w:val="single" w:color="000000" w:sz="4" w:space="0"/>
            </w:tcBorders>
            <w:shd w:val="clear" w:color="auto" w:fill="auto"/>
            <w:vAlign w:val="center"/>
          </w:tcPr>
          <w:p w14:paraId="5A47DD1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 w:type="pct"/>
            <w:tcBorders>
              <w:top w:val="single" w:color="000000" w:sz="4" w:space="0"/>
              <w:left w:val="nil"/>
              <w:bottom w:val="single" w:color="000000" w:sz="4" w:space="0"/>
              <w:right w:val="single" w:color="000000" w:sz="4" w:space="0"/>
            </w:tcBorders>
            <w:shd w:val="clear" w:color="auto" w:fill="auto"/>
            <w:vAlign w:val="center"/>
          </w:tcPr>
          <w:p w14:paraId="27087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预算结余</w:t>
            </w:r>
          </w:p>
        </w:tc>
        <w:tc>
          <w:tcPr>
            <w:tcW w:w="356" w:type="pct"/>
            <w:tcBorders>
              <w:top w:val="single" w:color="000000" w:sz="4" w:space="0"/>
              <w:left w:val="nil"/>
              <w:bottom w:val="single" w:color="000000" w:sz="4" w:space="0"/>
              <w:right w:val="single" w:color="000000" w:sz="4" w:space="0"/>
            </w:tcBorders>
            <w:shd w:val="clear" w:color="auto" w:fill="auto"/>
            <w:vAlign w:val="center"/>
          </w:tcPr>
          <w:p w14:paraId="43F4C88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预算结余率</w:t>
            </w:r>
          </w:p>
        </w:tc>
        <w:tc>
          <w:tcPr>
            <w:tcW w:w="184" w:type="pct"/>
            <w:tcBorders>
              <w:top w:val="single" w:color="000000" w:sz="4" w:space="0"/>
              <w:left w:val="nil"/>
              <w:bottom w:val="single" w:color="000000" w:sz="4" w:space="0"/>
              <w:right w:val="single" w:color="000000" w:sz="4" w:space="0"/>
            </w:tcBorders>
            <w:shd w:val="clear" w:color="auto" w:fill="auto"/>
            <w:vAlign w:val="center"/>
          </w:tcPr>
          <w:p w14:paraId="1E24CD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6</w:t>
            </w:r>
          </w:p>
        </w:tc>
        <w:tc>
          <w:tcPr>
            <w:tcW w:w="1071" w:type="pct"/>
            <w:tcBorders>
              <w:top w:val="single" w:color="000000" w:sz="4" w:space="0"/>
              <w:left w:val="nil"/>
              <w:bottom w:val="single" w:color="000000" w:sz="4" w:space="0"/>
              <w:right w:val="single" w:color="000000" w:sz="4" w:space="0"/>
            </w:tcBorders>
            <w:shd w:val="clear" w:color="auto" w:fill="auto"/>
            <w:noWrap/>
            <w:vAlign w:val="center"/>
          </w:tcPr>
          <w:p w14:paraId="152A9A7F">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部门预算项目年终预算结余情况。</w:t>
            </w:r>
          </w:p>
        </w:tc>
        <w:tc>
          <w:tcPr>
            <w:tcW w:w="2581" w:type="pct"/>
            <w:tcBorders>
              <w:top w:val="single" w:color="000000" w:sz="4" w:space="0"/>
              <w:left w:val="nil"/>
              <w:bottom w:val="single" w:color="000000" w:sz="4" w:space="0"/>
              <w:right w:val="single" w:color="000000" w:sz="4" w:space="0"/>
            </w:tcBorders>
            <w:shd w:val="clear" w:color="auto" w:fill="auto"/>
            <w:vAlign w:val="center"/>
          </w:tcPr>
          <w:p w14:paraId="7041F7C3">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指标得分=（</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-预算结余率/</w:t>
            </w:r>
            <w:r>
              <w:rPr>
                <w:rFonts w:hint="default" w:ascii="Times New Roman" w:hAnsi="Times New Roman" w:eastAsia="宋体" w:cs="Times New Roman"/>
                <w:i w:val="0"/>
                <w:iCs w:val="0"/>
                <w:color w:val="000000"/>
                <w:kern w:val="0"/>
                <w:sz w:val="20"/>
                <w:szCs w:val="20"/>
                <w:lang w:val="en-US" w:eastAsia="zh-CN"/>
              </w:rPr>
              <w:t>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6</w:t>
            </w:r>
            <w:r>
              <w:rPr>
                <w:rFonts w:hint="eastAsia" w:ascii="宋体" w:hAnsi="宋体" w:eastAsia="宋体" w:cs="宋体"/>
                <w:i w:val="0"/>
                <w:iCs w:val="0"/>
                <w:color w:val="000000"/>
                <w:kern w:val="0"/>
                <w:sz w:val="20"/>
                <w:szCs w:val="20"/>
                <w:lang w:val="en-US" w:eastAsia="zh-CN"/>
              </w:rPr>
              <w:t>分预算结余率大于等于</w:t>
            </w:r>
            <w:r>
              <w:rPr>
                <w:rFonts w:hint="default" w:ascii="Times New Roman" w:hAnsi="Times New Roman" w:eastAsia="宋体" w:cs="Times New Roman"/>
                <w:i w:val="0"/>
                <w:iCs w:val="0"/>
                <w:color w:val="000000"/>
                <w:kern w:val="0"/>
                <w:sz w:val="20"/>
                <w:szCs w:val="20"/>
                <w:lang w:val="en-US" w:eastAsia="zh-CN"/>
              </w:rPr>
              <w:t>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，指标得</w:t>
            </w:r>
            <w:r>
              <w:rPr>
                <w:rFonts w:hint="default" w:ascii="Times New Roman" w:hAnsi="Times New Roman" w:eastAsia="宋体" w:cs="Times New Roman"/>
                <w:i w:val="0"/>
                <w:iCs w:val="0"/>
                <w:color w:val="000000"/>
                <w:kern w:val="0"/>
                <w:sz w:val="20"/>
                <w:szCs w:val="20"/>
                <w:lang w:val="en-US" w:eastAsia="zh-CN"/>
              </w:rPr>
              <w:t>0</w:t>
            </w:r>
            <w:r>
              <w:rPr>
                <w:rFonts w:hint="eastAsia" w:ascii="宋体" w:hAnsi="宋体" w:eastAsia="宋体" w:cs="宋体"/>
                <w:i w:val="0"/>
                <w:iCs w:val="0"/>
                <w:color w:val="000000"/>
                <w:kern w:val="0"/>
                <w:sz w:val="20"/>
                <w:szCs w:val="20"/>
                <w:lang w:val="en-US" w:eastAsia="zh-CN"/>
              </w:rPr>
              <w:t>分。预算结余率=结余金额/财政资金预算数×</w:t>
            </w:r>
            <w:r>
              <w:rPr>
                <w:rFonts w:hint="default" w:ascii="Times New Roman" w:hAnsi="Times New Roman" w:eastAsia="宋体" w:cs="Times New Roman"/>
                <w:i w:val="0"/>
                <w:iCs w:val="0"/>
                <w:color w:val="000000"/>
                <w:kern w:val="0"/>
                <w:sz w:val="20"/>
                <w:szCs w:val="20"/>
                <w:lang w:val="en-US" w:eastAsia="zh-CN"/>
              </w:rPr>
              <w:t>100</w:t>
            </w:r>
            <w:r>
              <w:rPr>
                <w:rFonts w:hint="eastAsia" w:ascii="宋体" w:hAnsi="宋体" w:eastAsia="宋体" w:cs="宋体"/>
                <w:i w:val="0"/>
                <w:iCs w:val="0"/>
                <w:color w:val="000000"/>
                <w:kern w:val="0"/>
                <w:sz w:val="20"/>
                <w:szCs w:val="20"/>
                <w:lang w:val="en-US" w:eastAsia="zh-CN"/>
              </w:rPr>
              <w:t>%</w:t>
            </w:r>
          </w:p>
        </w:tc>
        <w:tc>
          <w:tcPr>
            <w:tcW w:w="256" w:type="pct"/>
            <w:tcBorders>
              <w:top w:val="single" w:color="000000" w:sz="4" w:space="0"/>
              <w:left w:val="nil"/>
              <w:bottom w:val="single" w:color="000000" w:sz="4" w:space="0"/>
              <w:right w:val="single" w:color="000000" w:sz="4" w:space="0"/>
            </w:tcBorders>
            <w:shd w:val="clear" w:color="auto" w:fill="auto"/>
            <w:noWrap/>
            <w:vAlign w:val="center"/>
          </w:tcPr>
          <w:p w14:paraId="0F4748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6</w:t>
            </w:r>
          </w:p>
        </w:tc>
      </w:tr>
      <w:tr w14:paraId="5002B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27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4597C0">
            <w:pPr>
              <w:keepNext w:val="0"/>
              <w:keepLines w:val="0"/>
              <w:widowControl/>
              <w:suppressLineNumbers w:val="0"/>
              <w:autoSpaceDE w:val="0"/>
              <w:autoSpaceDN/>
              <w:spacing w:before="0" w:beforeAutospacing="0" w:after="0" w:afterAutospacing="0" w:line="32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目标实现（</w:t>
            </w:r>
            <w:r>
              <w:rPr>
                <w:rFonts w:hint="default" w:ascii="Times New Roman" w:hAnsi="Times New Roman" w:eastAsia="宋体" w:cs="Times New Roman"/>
                <w:i w:val="0"/>
                <w:iCs w:val="0"/>
                <w:color w:val="000000"/>
                <w:kern w:val="0"/>
                <w:sz w:val="20"/>
                <w:szCs w:val="20"/>
                <w:lang w:val="en-US" w:eastAsia="zh-CN"/>
              </w:rPr>
              <w:t>15</w:t>
            </w:r>
            <w:r>
              <w:rPr>
                <w:rFonts w:hint="eastAsia" w:ascii="宋体" w:hAnsi="宋体" w:eastAsia="宋体" w:cs="宋体"/>
                <w:i w:val="0"/>
                <w:iCs w:val="0"/>
                <w:color w:val="000000"/>
                <w:kern w:val="0"/>
                <w:sz w:val="20"/>
                <w:szCs w:val="20"/>
                <w:lang w:val="en-US" w:eastAsia="zh-CN"/>
              </w:rPr>
              <w:t>分）</w:t>
            </w:r>
          </w:p>
        </w:tc>
        <w:tc>
          <w:tcPr>
            <w:tcW w:w="276" w:type="pct"/>
            <w:tcBorders>
              <w:top w:val="single" w:color="000000" w:sz="4" w:space="0"/>
              <w:left w:val="nil"/>
              <w:bottom w:val="single" w:color="000000" w:sz="4" w:space="0"/>
              <w:right w:val="single" w:color="000000" w:sz="4" w:space="0"/>
            </w:tcBorders>
            <w:shd w:val="clear" w:color="auto" w:fill="auto"/>
            <w:vAlign w:val="center"/>
          </w:tcPr>
          <w:p w14:paraId="69A105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目标完成</w:t>
            </w:r>
          </w:p>
        </w:tc>
        <w:tc>
          <w:tcPr>
            <w:tcW w:w="356" w:type="pct"/>
            <w:tcBorders>
              <w:top w:val="single" w:color="000000" w:sz="4" w:space="0"/>
              <w:left w:val="nil"/>
              <w:bottom w:val="single" w:color="000000" w:sz="4" w:space="0"/>
              <w:right w:val="single" w:color="000000" w:sz="4" w:space="0"/>
            </w:tcBorders>
            <w:shd w:val="clear" w:color="auto" w:fill="auto"/>
            <w:vAlign w:val="center"/>
          </w:tcPr>
          <w:p w14:paraId="0E7B85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目标完成率</w:t>
            </w:r>
          </w:p>
        </w:tc>
        <w:tc>
          <w:tcPr>
            <w:tcW w:w="184" w:type="pct"/>
            <w:tcBorders>
              <w:top w:val="single" w:color="000000" w:sz="4" w:space="0"/>
              <w:left w:val="nil"/>
              <w:bottom w:val="single" w:color="000000" w:sz="4" w:space="0"/>
              <w:right w:val="single" w:color="000000" w:sz="4" w:space="0"/>
            </w:tcBorders>
            <w:shd w:val="clear" w:color="auto" w:fill="auto"/>
            <w:vAlign w:val="center"/>
          </w:tcPr>
          <w:p w14:paraId="46CAFD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8</w:t>
            </w:r>
          </w:p>
        </w:tc>
        <w:tc>
          <w:tcPr>
            <w:tcW w:w="1071" w:type="pct"/>
            <w:tcBorders>
              <w:top w:val="single" w:color="000000" w:sz="4" w:space="0"/>
              <w:left w:val="nil"/>
              <w:bottom w:val="single" w:color="000000" w:sz="4" w:space="0"/>
              <w:right w:val="single" w:color="000000" w:sz="4" w:space="0"/>
            </w:tcBorders>
            <w:shd w:val="clear" w:color="auto" w:fill="auto"/>
            <w:vAlign w:val="center"/>
          </w:tcPr>
          <w:p w14:paraId="04C2319A">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部门预算项目绩效目标中数量指标完成情况。</w:t>
            </w:r>
          </w:p>
        </w:tc>
        <w:tc>
          <w:tcPr>
            <w:tcW w:w="2581" w:type="pct"/>
            <w:tcBorders>
              <w:top w:val="single" w:color="000000" w:sz="4" w:space="0"/>
              <w:left w:val="nil"/>
              <w:bottom w:val="single" w:color="000000" w:sz="4" w:space="0"/>
              <w:right w:val="single" w:color="000000" w:sz="4" w:space="0"/>
            </w:tcBorders>
            <w:shd w:val="clear" w:color="auto" w:fill="auto"/>
            <w:vAlign w:val="center"/>
          </w:tcPr>
          <w:p w14:paraId="0054B4D4">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对照部门预算项目支出绩效目标编制情况，计算指标得分=绩效目标数量指标完成的指标个数/全部数量指标个数*</w:t>
            </w:r>
            <w:r>
              <w:rPr>
                <w:rFonts w:hint="default" w:ascii="Times New Roman" w:hAnsi="Times New Roman" w:eastAsia="宋体" w:cs="Times New Roman"/>
                <w:i w:val="0"/>
                <w:iCs w:val="0"/>
                <w:color w:val="000000"/>
                <w:kern w:val="0"/>
                <w:sz w:val="20"/>
                <w:szCs w:val="20"/>
                <w:lang w:val="en-US" w:eastAsia="zh-CN"/>
              </w:rPr>
              <w:t>8</w:t>
            </w:r>
            <w:r>
              <w:rPr>
                <w:rFonts w:hint="eastAsia" w:ascii="宋体" w:hAnsi="宋体" w:eastAsia="宋体" w:cs="宋体"/>
                <w:i w:val="0"/>
                <w:iCs w:val="0"/>
                <w:color w:val="000000"/>
                <w:kern w:val="0"/>
                <w:sz w:val="20"/>
                <w:szCs w:val="20"/>
                <w:lang w:val="en-US" w:eastAsia="zh-CN"/>
              </w:rPr>
              <w:t>分。</w:t>
            </w:r>
          </w:p>
        </w:tc>
        <w:tc>
          <w:tcPr>
            <w:tcW w:w="256" w:type="pct"/>
            <w:tcBorders>
              <w:top w:val="single" w:color="000000" w:sz="4" w:space="0"/>
              <w:left w:val="nil"/>
              <w:bottom w:val="single" w:color="000000" w:sz="4" w:space="0"/>
              <w:right w:val="single" w:color="000000" w:sz="4" w:space="0"/>
            </w:tcBorders>
            <w:shd w:val="clear" w:color="auto" w:fill="auto"/>
            <w:noWrap/>
            <w:vAlign w:val="center"/>
          </w:tcPr>
          <w:p w14:paraId="02281B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8</w:t>
            </w:r>
          </w:p>
        </w:tc>
      </w:tr>
      <w:tr w14:paraId="0FECD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27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8D06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6" w:type="pct"/>
            <w:tcBorders>
              <w:top w:val="single" w:color="000000" w:sz="4" w:space="0"/>
              <w:left w:val="nil"/>
              <w:bottom w:val="single" w:color="000000" w:sz="4" w:space="0"/>
              <w:right w:val="single" w:color="000000" w:sz="4" w:space="0"/>
            </w:tcBorders>
            <w:shd w:val="clear" w:color="auto" w:fill="auto"/>
            <w:vAlign w:val="center"/>
          </w:tcPr>
          <w:p w14:paraId="5C47EB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目标偏离</w:t>
            </w:r>
          </w:p>
        </w:tc>
        <w:tc>
          <w:tcPr>
            <w:tcW w:w="356" w:type="pct"/>
            <w:tcBorders>
              <w:top w:val="single" w:color="000000" w:sz="4" w:space="0"/>
              <w:left w:val="nil"/>
              <w:bottom w:val="single" w:color="000000" w:sz="4" w:space="0"/>
              <w:right w:val="single" w:color="000000" w:sz="4" w:space="0"/>
            </w:tcBorders>
            <w:shd w:val="clear" w:color="auto" w:fill="auto"/>
            <w:vAlign w:val="center"/>
          </w:tcPr>
          <w:p w14:paraId="1D0F4D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偏离程度</w:t>
            </w:r>
          </w:p>
        </w:tc>
        <w:tc>
          <w:tcPr>
            <w:tcW w:w="184" w:type="pct"/>
            <w:tcBorders>
              <w:top w:val="single" w:color="000000" w:sz="4" w:space="0"/>
              <w:left w:val="nil"/>
              <w:bottom w:val="single" w:color="000000" w:sz="4" w:space="0"/>
              <w:right w:val="single" w:color="000000" w:sz="4" w:space="0"/>
            </w:tcBorders>
            <w:shd w:val="clear" w:color="auto" w:fill="auto"/>
            <w:vAlign w:val="center"/>
          </w:tcPr>
          <w:p w14:paraId="2DBF61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7</w:t>
            </w:r>
          </w:p>
        </w:tc>
        <w:tc>
          <w:tcPr>
            <w:tcW w:w="1071" w:type="pct"/>
            <w:tcBorders>
              <w:top w:val="single" w:color="000000" w:sz="4" w:space="0"/>
              <w:left w:val="nil"/>
              <w:bottom w:val="single" w:color="000000" w:sz="4" w:space="0"/>
              <w:right w:val="single" w:color="000000" w:sz="4" w:space="0"/>
            </w:tcBorders>
            <w:shd w:val="clear" w:color="auto" w:fill="auto"/>
            <w:vAlign w:val="center"/>
          </w:tcPr>
          <w:p w14:paraId="14292C92">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部门预算项目绩效目标实现程度与预期目标的偏离情况。</w:t>
            </w:r>
          </w:p>
        </w:tc>
        <w:tc>
          <w:tcPr>
            <w:tcW w:w="2581" w:type="pct"/>
            <w:tcBorders>
              <w:top w:val="single" w:color="000000" w:sz="4" w:space="0"/>
              <w:left w:val="nil"/>
              <w:bottom w:val="single" w:color="000000" w:sz="4" w:space="0"/>
              <w:right w:val="single" w:color="000000" w:sz="4" w:space="0"/>
            </w:tcBorders>
            <w:shd w:val="clear" w:color="auto" w:fill="auto"/>
            <w:vAlign w:val="center"/>
          </w:tcPr>
          <w:p w14:paraId="433F1B52">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部门年初整体支出绩效目标实际完成值偏离预期指标</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%以上（含</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%）的，均不计分。该项指标得分=已完成预期指标值的数量指标中偏离度在</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%内的指标个数/已完成预期指标值的数量指标个数×</w:t>
            </w:r>
            <w:r>
              <w:rPr>
                <w:rFonts w:hint="default" w:ascii="Times New Roman" w:hAnsi="Times New Roman" w:eastAsia="宋体" w:cs="Times New Roman"/>
                <w:i w:val="0"/>
                <w:iCs w:val="0"/>
                <w:color w:val="000000"/>
                <w:kern w:val="0"/>
                <w:sz w:val="20"/>
                <w:szCs w:val="20"/>
                <w:lang w:val="en-US" w:eastAsia="zh-CN"/>
              </w:rPr>
              <w:t>7</w:t>
            </w:r>
            <w:r>
              <w:rPr>
                <w:rFonts w:hint="eastAsia" w:ascii="宋体" w:hAnsi="宋体" w:eastAsia="宋体" w:cs="宋体"/>
                <w:i w:val="0"/>
                <w:iCs w:val="0"/>
                <w:color w:val="000000"/>
                <w:kern w:val="0"/>
                <w:sz w:val="20"/>
                <w:szCs w:val="20"/>
                <w:lang w:val="en-US" w:eastAsia="zh-CN"/>
              </w:rPr>
              <w:t>。</w:t>
            </w:r>
          </w:p>
          <w:p w14:paraId="4C79FDBA">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偏离度=（绩效指标实际完成值-设定预期指标值）/设定预期指标值|。</w:t>
            </w:r>
          </w:p>
        </w:tc>
        <w:tc>
          <w:tcPr>
            <w:tcW w:w="256" w:type="pct"/>
            <w:tcBorders>
              <w:top w:val="single" w:color="000000" w:sz="4" w:space="0"/>
              <w:left w:val="nil"/>
              <w:bottom w:val="single" w:color="000000" w:sz="4" w:space="0"/>
              <w:right w:val="single" w:color="000000" w:sz="4" w:space="0"/>
            </w:tcBorders>
            <w:shd w:val="clear" w:color="auto" w:fill="auto"/>
            <w:noWrap/>
            <w:vAlign w:val="center"/>
          </w:tcPr>
          <w:p w14:paraId="41ED3E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7</w:t>
            </w:r>
          </w:p>
        </w:tc>
      </w:tr>
      <w:tr w14:paraId="228B3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jc w:val="center"/>
        </w:trPr>
        <w:tc>
          <w:tcPr>
            <w:tcW w:w="27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47E34">
            <w:pPr>
              <w:keepNext w:val="0"/>
              <w:keepLines w:val="0"/>
              <w:widowControl/>
              <w:suppressLineNumbers w:val="0"/>
              <w:autoSpaceDE w:val="0"/>
              <w:autoSpaceDN/>
              <w:spacing w:before="0" w:beforeAutospacing="0" w:after="0" w:afterAutospacing="0" w:line="320" w:lineRule="exact"/>
              <w:ind w:left="0" w:right="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项目效果</w:t>
            </w:r>
          </w:p>
          <w:p w14:paraId="6E6C238E">
            <w:pPr>
              <w:keepNext w:val="0"/>
              <w:keepLines w:val="0"/>
              <w:widowControl/>
              <w:suppressLineNumbers w:val="0"/>
              <w:autoSpaceDE w:val="0"/>
              <w:autoSpaceDN/>
              <w:spacing w:before="0" w:beforeAutospacing="0" w:after="0" w:afterAutospacing="0" w:line="32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25</w:t>
            </w:r>
            <w:r>
              <w:rPr>
                <w:rFonts w:hint="eastAsia" w:ascii="宋体" w:hAnsi="宋体" w:eastAsia="宋体" w:cs="宋体"/>
                <w:i w:val="0"/>
                <w:iCs w:val="0"/>
                <w:color w:val="000000"/>
                <w:kern w:val="0"/>
                <w:sz w:val="20"/>
                <w:szCs w:val="20"/>
                <w:lang w:val="en-US" w:eastAsia="zh-CN"/>
              </w:rPr>
              <w:t>分）</w:t>
            </w:r>
          </w:p>
        </w:tc>
        <w:tc>
          <w:tcPr>
            <w:tcW w:w="276" w:type="pct"/>
            <w:tcBorders>
              <w:top w:val="single" w:color="000000" w:sz="4" w:space="0"/>
              <w:left w:val="nil"/>
              <w:bottom w:val="single" w:color="000000" w:sz="4" w:space="0"/>
              <w:right w:val="single" w:color="000000" w:sz="4" w:space="0"/>
            </w:tcBorders>
            <w:shd w:val="clear" w:color="auto" w:fill="auto"/>
            <w:vAlign w:val="center"/>
          </w:tcPr>
          <w:p w14:paraId="2B345A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目标实现</w:t>
            </w:r>
          </w:p>
        </w:tc>
        <w:tc>
          <w:tcPr>
            <w:tcW w:w="4193" w:type="pct"/>
            <w:gridSpan w:val="4"/>
            <w:tcBorders>
              <w:top w:val="single" w:color="000000" w:sz="4" w:space="0"/>
              <w:left w:val="nil"/>
              <w:bottom w:val="single" w:color="000000" w:sz="4" w:space="0"/>
              <w:right w:val="single" w:color="000000" w:sz="4" w:space="0"/>
            </w:tcBorders>
            <w:shd w:val="clear" w:color="auto" w:fill="auto"/>
            <w:vAlign w:val="center"/>
          </w:tcPr>
          <w:p w14:paraId="00CCD60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评价组根据部门预算项目绩效目标设定的效益指标、成本指标、满意度指标细化设置三级指标，主要评价效益指标、成本指标的实际完成情况，以及部门是否针对满意度指标开展满意度调查。</w:t>
            </w:r>
          </w:p>
        </w:tc>
        <w:tc>
          <w:tcPr>
            <w:tcW w:w="256" w:type="pct"/>
            <w:tcBorders>
              <w:top w:val="single" w:color="000000" w:sz="4" w:space="0"/>
              <w:left w:val="nil"/>
              <w:bottom w:val="single" w:color="000000" w:sz="4" w:space="0"/>
              <w:right w:val="single" w:color="000000" w:sz="4" w:space="0"/>
            </w:tcBorders>
            <w:shd w:val="clear" w:color="auto" w:fill="auto"/>
            <w:noWrap/>
            <w:vAlign w:val="center"/>
          </w:tcPr>
          <w:p w14:paraId="57F813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25</w:t>
            </w:r>
          </w:p>
        </w:tc>
      </w:tr>
      <w:tr w14:paraId="6A50C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jc w:val="center"/>
        </w:trPr>
        <w:tc>
          <w:tcPr>
            <w:tcW w:w="474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73E1E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kern w:val="2"/>
                <w:sz w:val="20"/>
                <w:szCs w:val="20"/>
              </w:rPr>
            </w:pPr>
            <w:r>
              <w:rPr>
                <w:rFonts w:hint="eastAsia" w:ascii="宋体" w:hAnsi="宋体" w:eastAsia="宋体" w:cs="宋体"/>
                <w:b w:val="0"/>
                <w:bCs w:val="0"/>
                <w:i w:val="0"/>
                <w:iCs w:val="0"/>
                <w:color w:val="000000"/>
                <w:kern w:val="0"/>
                <w:sz w:val="20"/>
                <w:szCs w:val="20"/>
                <w:lang w:val="en-US" w:eastAsia="zh-CN"/>
              </w:rPr>
              <w:t>合计</w:t>
            </w:r>
          </w:p>
        </w:tc>
        <w:tc>
          <w:tcPr>
            <w:tcW w:w="256" w:type="pct"/>
            <w:tcBorders>
              <w:top w:val="single" w:color="000000" w:sz="4" w:space="0"/>
              <w:left w:val="nil"/>
              <w:bottom w:val="single" w:color="000000" w:sz="4" w:space="0"/>
              <w:right w:val="single" w:color="000000" w:sz="4" w:space="0"/>
            </w:tcBorders>
            <w:shd w:val="clear" w:color="auto" w:fill="auto"/>
            <w:vAlign w:val="center"/>
          </w:tcPr>
          <w:p w14:paraId="666DD5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100</w:t>
            </w:r>
          </w:p>
        </w:tc>
      </w:tr>
    </w:tbl>
    <w:p w14:paraId="60E34E23">
      <w:pPr>
        <w:pStyle w:val="12"/>
        <w:ind w:left="0" w:leftChars="0" w:firstLine="0" w:firstLineChars="0"/>
        <w:rPr>
          <w:rFonts w:hint="eastAsia" w:ascii="黑体" w:hAnsi="黑体" w:eastAsia="黑体"/>
          <w:kern w:val="44"/>
          <w:sz w:val="32"/>
          <w:szCs w:val="32"/>
        </w:rPr>
      </w:pPr>
    </w:p>
    <w:p w14:paraId="43ED01B8">
      <w:pPr>
        <w:pStyle w:val="12"/>
        <w:ind w:left="0" w:leftChars="0" w:firstLine="0" w:firstLineChars="0"/>
        <w:rPr>
          <w:rFonts w:hint="eastAsia" w:ascii="黑体" w:hAnsi="黑体" w:eastAsia="黑体"/>
          <w:kern w:val="44"/>
          <w:sz w:val="32"/>
          <w:szCs w:val="32"/>
        </w:rPr>
      </w:pPr>
    </w:p>
    <w:p w14:paraId="71A1F9BD">
      <w:pPr>
        <w:rPr>
          <w:rFonts w:hint="eastAsia" w:ascii="方正小标宋简体" w:hAnsi="方正小标宋简体" w:eastAsia="方正小标宋简体" w:cs="方正小标宋简体"/>
          <w:kern w:val="2"/>
          <w:sz w:val="44"/>
          <w:szCs w:val="44"/>
        </w:rPr>
      </w:pPr>
      <w:r>
        <w:br w:type="page"/>
      </w:r>
    </w:p>
    <w:p w14:paraId="08870539">
      <w:pPr>
        <w:keepNext/>
        <w:keepLines/>
        <w:kinsoku/>
        <w:wordWrap/>
        <w:autoSpaceDE w:val="0"/>
        <w:autoSpaceDN w:val="0"/>
        <w:bidi w:val="0"/>
        <w:adjustRightInd w:val="0"/>
        <w:spacing w:beforeLines="0" w:after="313" w:afterLines="0" w:line="576" w:lineRule="exact"/>
        <w:jc w:val="center"/>
        <w:textAlignment w:val="auto"/>
        <w:rPr>
          <w:rFonts w:hint="eastAsia" w:ascii="方正小标宋简体" w:hAnsi="方正小标宋简体" w:eastAsia="方正小标宋简体" w:cs="方正小标宋简体"/>
          <w:kern w:val="2"/>
          <w:sz w:val="44"/>
          <w:szCs w:val="44"/>
          <w:lang w:val="zh-CN"/>
        </w:rPr>
      </w:pPr>
      <w:r>
        <w:rPr>
          <w:rFonts w:hint="eastAsia" w:ascii="方正小标宋简体" w:hAnsi="方正小标宋简体" w:eastAsia="方正小标宋简体" w:cs="方正小标宋简体"/>
          <w:kern w:val="2"/>
          <w:sz w:val="44"/>
          <w:szCs w:val="44"/>
        </w:rPr>
        <w:t>2023年涉密类工作经费</w:t>
      </w:r>
      <w:r>
        <w:rPr>
          <w:rFonts w:hint="eastAsia" w:ascii="方正小标宋简体" w:hAnsi="方正小标宋简体" w:eastAsia="方正小标宋简体" w:cs="方正小标宋简体"/>
          <w:kern w:val="2"/>
          <w:sz w:val="44"/>
          <w:szCs w:val="44"/>
          <w:lang w:val="zh-CN"/>
        </w:rPr>
        <w:t>专项预算项目</w:t>
      </w:r>
    </w:p>
    <w:p w14:paraId="59C89060">
      <w:pPr>
        <w:pStyle w:val="12"/>
        <w:ind w:left="0" w:leftChars="0" w:firstLine="0" w:firstLineChars="0"/>
        <w:jc w:val="center"/>
        <w:rPr>
          <w:rFonts w:hint="eastAsia" w:ascii="黑体" w:hAnsi="黑体" w:eastAsia="黑体"/>
          <w:kern w:val="44"/>
          <w:sz w:val="32"/>
          <w:szCs w:val="32"/>
        </w:rPr>
      </w:pPr>
      <w:r>
        <w:rPr>
          <w:rFonts w:hint="eastAsia" w:ascii="方正小标宋简体" w:hAnsi="方正小标宋简体" w:eastAsia="方正小标宋简体" w:cs="方正小标宋简体"/>
          <w:kern w:val="2"/>
          <w:sz w:val="44"/>
          <w:szCs w:val="44"/>
          <w:lang w:val="zh-CN"/>
        </w:rPr>
        <w:t>绩效评价报告</w:t>
      </w:r>
    </w:p>
    <w:p w14:paraId="0867ADF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一、项目概况</w:t>
      </w:r>
    </w:p>
    <w:p w14:paraId="7C4D914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一是根据三定方案开展保密机要工作，要做好保密机要设备、机房维护，研究制定保密机要措施、规划、工作方案，指导、检查全区保密机要工作，以及对全区相关人员开展保密机要相关法律法规、典型案例、文件政策等培训，同时要保证保密车辆在特殊情况下能拉得出，用得上，保证领导、办公室职工正常开展工作。二是国家安全方面，该资金用于贯彻落实中央、省委、市委、区委关于国家安全方面的法规和政策;拟制定国安工作重大活动的方案;指导、检查国安业务工作;负责区委国家安全等法律法规的宣传活动;组织并指导全区国家安全工作。区委办</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的落实区委区政府中心工作及重大决策部署工作经费项目属于基本运转类项目。用于围绕区委常委会、区政府常务会议决定事项以及区委、区政府主要领导签批事项落实情况到涉及的乡镇或部门开展督查工作。用于社会主义现代化“四城新区”建设开展调研工作。用于巩固拓展脱贫攻坚成果同乡村振兴有效衔接落实，特别是持续帮扶工作。用于围绕村级建制调整改革、基层治理、乡村振兴、科技创新等重点项目推进开展调研工作，研究分析推进重点项目中存在的困难和问题,找准关键症结,提出服务加快重点项目推进的对策和措施。</w:t>
      </w:r>
    </w:p>
    <w:p w14:paraId="231AC15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（一）项目资金申报及批复情况。</w:t>
      </w:r>
      <w:r>
        <w:rPr>
          <w:rFonts w:hint="default" w:ascii="仿宋_GB2312" w:hAnsi="Times New Roman" w:eastAsia="仿宋_GB2312" w:cs="仿宋_GB2312"/>
          <w:kern w:val="2"/>
          <w:sz w:val="32"/>
          <w:szCs w:val="32"/>
          <w:lang w:val="en-US" w:eastAsia="zh-CN"/>
        </w:rPr>
        <w:t>涉密类工作经费项目的申报严格按区财政资金管理的要求进行，该项目是</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年预算的项目，于</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月立项，项目下达资金以</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年预算批复为准。</w:t>
      </w:r>
    </w:p>
    <w:p w14:paraId="40AC0436">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（二）项目绩效目标。</w:t>
      </w:r>
      <w:r>
        <w:rPr>
          <w:rFonts w:hint="default" w:ascii="仿宋_GB2312" w:hAnsi="Times New Roman" w:eastAsia="仿宋_GB2312" w:cs="仿宋_GB2312"/>
          <w:kern w:val="2"/>
          <w:sz w:val="32"/>
          <w:szCs w:val="32"/>
          <w:lang w:val="en-US" w:eastAsia="zh-CN"/>
        </w:rPr>
        <w:t>全面贯彻中央、省、市、区委关于保密机要工作的方针政策，制定全区保密机要工作措施、规划、方案并组织实施；高质量完成中央、省、市、区委下达的保密机要工作任务；充分保障了区委领导和公务人员因公出行工作任务、提高工作效率，保证工作任务完成的时效性，为领导和公务人员因公出行任务提供一个良好的、高效的工作条件；制定全区保密机要工作措施、规划、方案并组织实施。高质量完成中央、省、市、区委下达的保密机要工作任务。认真贯彻中央、省委、市委、区委关于国家安全工作的方针政策，制定全区国家安全工作要点、方案并组织实施。高质量完成中央、省委、市委、区委下达的国家安全工作任务。每年在中央、省委、市委国家安全情报信息上报并采纳不少于</w:t>
      </w:r>
      <w:r>
        <w:rPr>
          <w:rFonts w:hint="default" w:ascii="Times New Roman" w:hAnsi="Times New Roman" w:eastAsia="仿宋_GB2312" w:cs="Times New Roman"/>
          <w:kern w:val="2"/>
          <w:sz w:val="32"/>
          <w:szCs w:val="32"/>
          <w:lang w:val="en-US" w:eastAsia="zh-CN"/>
        </w:rPr>
        <w:t>5</w:t>
      </w:r>
      <w:r>
        <w:rPr>
          <w:rFonts w:hint="default" w:ascii="仿宋_GB2312" w:hAnsi="Times New Roman" w:eastAsia="仿宋_GB2312" w:cs="仿宋_GB2312"/>
          <w:kern w:val="2"/>
          <w:sz w:val="32"/>
          <w:szCs w:val="32"/>
          <w:lang w:val="en-US" w:eastAsia="zh-CN"/>
        </w:rPr>
        <w:t>篇经验信息。组织开展国安宣传教育，推进国家安全教育宣传活动，帮助广大党员干部及全区人民群众学好国安“必修课”。组织或参与国家安全有关法律法规的宣传教育活动，举办学习交流活动。指导镇国安业务工作，负责国安干部培训和人才队伍建设，推动全区国安工作全面协调发展。</w:t>
      </w:r>
    </w:p>
    <w:p w14:paraId="34118F6E">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（三）项目资金申报相符性。</w:t>
      </w:r>
      <w:r>
        <w:rPr>
          <w:rFonts w:hint="default" w:ascii="仿宋_GB2312" w:hAnsi="Times New Roman" w:eastAsia="仿宋_GB2312" w:cs="仿宋_GB2312"/>
          <w:kern w:val="2"/>
          <w:sz w:val="32"/>
          <w:szCs w:val="32"/>
          <w:lang w:val="en-US" w:eastAsia="zh-CN"/>
        </w:rPr>
        <w:t>涉密类工作经费，该项目申报内容与具体实施内容相符，申报目标是合理可行的。</w:t>
      </w:r>
    </w:p>
    <w:p w14:paraId="767206C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（四）自评步骤及方法</w:t>
      </w:r>
    </w:p>
    <w:p w14:paraId="09377187">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项目支出经费依据《广元市昭化区人民政府办公室关于印发&lt;广元市昭化区财政支出事后绩效评价管理办法&gt;的通知》(昭府办函〔</w:t>
      </w:r>
      <w:r>
        <w:rPr>
          <w:rFonts w:hint="default" w:ascii="Times New Roman" w:hAnsi="Times New Roman" w:eastAsia="仿宋_GB2312" w:cs="Times New Roman"/>
          <w:kern w:val="2"/>
          <w:sz w:val="32"/>
          <w:szCs w:val="32"/>
          <w:lang w:val="en-US" w:eastAsia="zh-CN"/>
        </w:rPr>
        <w:t>2022</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37</w:t>
      </w:r>
      <w:r>
        <w:rPr>
          <w:rFonts w:hint="default" w:ascii="仿宋_GB2312" w:hAnsi="Times New Roman" w:eastAsia="仿宋_GB2312" w:cs="仿宋_GB2312"/>
          <w:kern w:val="2"/>
          <w:sz w:val="32"/>
          <w:szCs w:val="32"/>
          <w:lang w:val="en-US" w:eastAsia="zh-CN"/>
        </w:rPr>
        <w:t>号)文件自评且逐项量分。</w:t>
      </w:r>
    </w:p>
    <w:p w14:paraId="696D390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二、项目实施及管理情况</w:t>
      </w:r>
    </w:p>
    <w:p w14:paraId="664E77E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（一）资金计划、到位及使用情况</w:t>
      </w:r>
    </w:p>
    <w:p w14:paraId="7B2E0F37">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、资金计划及到位。截止</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3</w:t>
      </w:r>
      <w:r>
        <w:rPr>
          <w:rFonts w:hint="default" w:ascii="仿宋_GB2312" w:hAnsi="Times New Roman" w:eastAsia="仿宋_GB2312" w:cs="仿宋_GB2312"/>
          <w:kern w:val="2"/>
          <w:sz w:val="32"/>
          <w:szCs w:val="32"/>
          <w:lang w:val="en-US" w:eastAsia="zh-CN"/>
        </w:rPr>
        <w:t>月，预算的涉密类工作经费</w:t>
      </w:r>
      <w:r>
        <w:rPr>
          <w:rFonts w:hint="default" w:ascii="Times New Roman" w:hAnsi="Times New Roman" w:eastAsia="仿宋_GB2312" w:cs="Times New Roman"/>
          <w:kern w:val="2"/>
          <w:sz w:val="32"/>
          <w:szCs w:val="32"/>
          <w:lang w:val="en-US" w:eastAsia="zh-CN"/>
        </w:rPr>
        <w:t>57</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79</w:t>
      </w:r>
      <w:r>
        <w:rPr>
          <w:rFonts w:hint="default" w:ascii="仿宋_GB2312" w:hAnsi="Times New Roman" w:eastAsia="仿宋_GB2312" w:cs="仿宋_GB2312"/>
          <w:kern w:val="2"/>
          <w:sz w:val="32"/>
          <w:szCs w:val="32"/>
          <w:lang w:val="en-US" w:eastAsia="zh-CN"/>
        </w:rPr>
        <w:t>万元，通过预算一体化平台全部到位，资金到位率</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%、资金到位及时。</w:t>
      </w:r>
    </w:p>
    <w:p w14:paraId="63F79A1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Times New Roman" w:hAnsi="Times New Roman" w:eastAsia="仿宋_GB2312" w:cs="Times New Roman"/>
          <w:kern w:val="2"/>
          <w:sz w:val="32"/>
          <w:szCs w:val="32"/>
          <w:lang w:val="en-US" w:eastAsia="zh-CN"/>
        </w:rPr>
        <w:t>2</w:t>
      </w:r>
      <w:r>
        <w:rPr>
          <w:rFonts w:hint="default" w:ascii="仿宋_GB2312" w:hAnsi="Times New Roman" w:eastAsia="仿宋_GB2312" w:cs="仿宋_GB2312"/>
          <w:kern w:val="2"/>
          <w:sz w:val="32"/>
          <w:szCs w:val="32"/>
          <w:lang w:val="en-US" w:eastAsia="zh-CN"/>
        </w:rPr>
        <w:t>、资金使用。截止</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12</w:t>
      </w:r>
      <w:r>
        <w:rPr>
          <w:rFonts w:hint="default" w:ascii="仿宋_GB2312" w:hAnsi="Times New Roman" w:eastAsia="仿宋_GB2312" w:cs="仿宋_GB2312"/>
          <w:kern w:val="2"/>
          <w:sz w:val="32"/>
          <w:szCs w:val="32"/>
          <w:lang w:val="en-US" w:eastAsia="zh-CN"/>
        </w:rPr>
        <w:t>月</w:t>
      </w:r>
      <w:r>
        <w:rPr>
          <w:rFonts w:hint="default" w:ascii="Times New Roman" w:hAnsi="Times New Roman" w:eastAsia="仿宋_GB2312" w:cs="Times New Roman"/>
          <w:kern w:val="2"/>
          <w:sz w:val="32"/>
          <w:szCs w:val="32"/>
          <w:lang w:val="en-US" w:eastAsia="zh-CN"/>
        </w:rPr>
        <w:t>31</w:t>
      </w:r>
      <w:r>
        <w:rPr>
          <w:rFonts w:hint="default" w:ascii="仿宋_GB2312" w:hAnsi="Times New Roman" w:eastAsia="仿宋_GB2312" w:cs="仿宋_GB2312"/>
          <w:kern w:val="2"/>
          <w:sz w:val="32"/>
          <w:szCs w:val="32"/>
          <w:lang w:val="en-US" w:eastAsia="zh-CN"/>
        </w:rPr>
        <w:t>日，支付该项目所有经费</w:t>
      </w:r>
      <w:r>
        <w:rPr>
          <w:rFonts w:hint="default" w:ascii="Times New Roman" w:hAnsi="Times New Roman" w:eastAsia="仿宋_GB2312" w:cs="Times New Roman"/>
          <w:kern w:val="2"/>
          <w:sz w:val="32"/>
          <w:szCs w:val="32"/>
          <w:lang w:val="en-US" w:eastAsia="zh-CN"/>
        </w:rPr>
        <w:t>57</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79</w:t>
      </w:r>
      <w:r>
        <w:rPr>
          <w:rFonts w:hint="default" w:ascii="仿宋_GB2312" w:hAnsi="Times New Roman" w:eastAsia="仿宋_GB2312" w:cs="仿宋_GB2312"/>
          <w:kern w:val="2"/>
          <w:sz w:val="32"/>
          <w:szCs w:val="32"/>
          <w:lang w:val="en-US" w:eastAsia="zh-CN"/>
        </w:rPr>
        <w:t>万元，</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年无结余。资金:用于支付的范围、支付标准、支付进度、支付依据等合规合法，并与预算相符。</w:t>
      </w:r>
    </w:p>
    <w:p w14:paraId="7861BB3C">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（二）项目财务管理情况</w:t>
      </w:r>
    </w:p>
    <w:p w14:paraId="4121D05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该项经费严格按照项目财务管理制度执行、机构设置健全，会计核算及账务处理到位。严格执行财务管理制度、财务处理及时、会计核算规范。</w:t>
      </w:r>
    </w:p>
    <w:p w14:paraId="3E4EF299">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（三）项目组织实施及管理情况</w:t>
      </w:r>
    </w:p>
    <w:p w14:paraId="236741F6">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涉密类工作经费项目是基本运转类项目，该项目严格按照相关制度管理和实施，项目绩效与预决算一同在互联网上公开，严格项目监管，项目进展都严格按照相关要求执行，并做好资金支付的审核审批手续。全年无追加预算经费。</w:t>
      </w:r>
    </w:p>
    <w:p w14:paraId="7588449E">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三、项目绩效情况</w:t>
      </w:r>
      <w:r>
        <w:rPr>
          <w:rFonts w:hint="eastAsia" w:ascii="黑体" w:hAnsi="宋体" w:eastAsia="黑体" w:cs="黑体"/>
          <w:kern w:val="2"/>
          <w:sz w:val="32"/>
          <w:szCs w:val="32"/>
          <w:lang w:val="en-US" w:eastAsia="zh-CN"/>
        </w:rPr>
        <w:tab/>
      </w:r>
    </w:p>
    <w:p w14:paraId="4DDB7B5A">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（一）项目完成情况</w:t>
      </w:r>
    </w:p>
    <w:p w14:paraId="0A35A3F7">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年，印发保密宣传资料</w:t>
      </w:r>
      <w:r>
        <w:rPr>
          <w:rFonts w:hint="default" w:ascii="Times New Roman" w:hAnsi="Times New Roman" w:eastAsia="仿宋_GB2312" w:cs="Times New Roman"/>
          <w:kern w:val="2"/>
          <w:sz w:val="32"/>
          <w:szCs w:val="32"/>
          <w:lang w:val="en-US" w:eastAsia="zh-CN"/>
        </w:rPr>
        <w:t>10000</w:t>
      </w:r>
      <w:r>
        <w:rPr>
          <w:rFonts w:hint="default" w:ascii="仿宋_GB2312" w:hAnsi="Times New Roman" w:eastAsia="仿宋_GB2312" w:cs="仿宋_GB2312"/>
          <w:kern w:val="2"/>
          <w:sz w:val="32"/>
          <w:szCs w:val="32"/>
          <w:lang w:val="en-US" w:eastAsia="zh-CN"/>
        </w:rPr>
        <w:t>余份，对全区干部职工进行保密培训达</w:t>
      </w:r>
      <w:r>
        <w:rPr>
          <w:rFonts w:hint="default" w:ascii="Times New Roman" w:hAnsi="Times New Roman" w:eastAsia="仿宋_GB2312" w:cs="Times New Roman"/>
          <w:kern w:val="2"/>
          <w:sz w:val="32"/>
          <w:szCs w:val="32"/>
          <w:lang w:val="en-US" w:eastAsia="zh-CN"/>
        </w:rPr>
        <w:t>5000</w:t>
      </w:r>
      <w:r>
        <w:rPr>
          <w:rFonts w:hint="default" w:ascii="仿宋_GB2312" w:hAnsi="Times New Roman" w:eastAsia="仿宋_GB2312" w:cs="仿宋_GB2312"/>
          <w:kern w:val="2"/>
          <w:sz w:val="32"/>
          <w:szCs w:val="32"/>
          <w:lang w:val="en-US" w:eastAsia="zh-CN"/>
        </w:rPr>
        <w:t>人次，开展培训次数</w:t>
      </w:r>
      <w:r>
        <w:rPr>
          <w:rFonts w:hint="default" w:ascii="Times New Roman" w:hAnsi="Times New Roman" w:eastAsia="仿宋_GB2312" w:cs="Times New Roman"/>
          <w:kern w:val="2"/>
          <w:sz w:val="32"/>
          <w:szCs w:val="32"/>
          <w:lang w:val="en-US" w:eastAsia="zh-CN"/>
        </w:rPr>
        <w:t>10</w:t>
      </w:r>
      <w:r>
        <w:rPr>
          <w:rFonts w:hint="default" w:ascii="仿宋_GB2312" w:hAnsi="Times New Roman" w:eastAsia="仿宋_GB2312" w:cs="仿宋_GB2312"/>
          <w:kern w:val="2"/>
          <w:sz w:val="32"/>
          <w:szCs w:val="32"/>
          <w:lang w:val="en-US" w:eastAsia="zh-CN"/>
        </w:rPr>
        <w:t>余次，各项保密工作完成及时率达</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%，保密知识普及率达</w:t>
      </w:r>
      <w:r>
        <w:rPr>
          <w:rFonts w:hint="default" w:ascii="Times New Roman" w:hAnsi="Times New Roman" w:eastAsia="仿宋_GB2312" w:cs="Times New Roman"/>
          <w:kern w:val="2"/>
          <w:sz w:val="32"/>
          <w:szCs w:val="32"/>
          <w:lang w:val="en-US" w:eastAsia="zh-CN"/>
        </w:rPr>
        <w:t>90</w:t>
      </w:r>
      <w:r>
        <w:rPr>
          <w:rFonts w:hint="default" w:ascii="仿宋_GB2312" w:hAnsi="Times New Roman" w:eastAsia="仿宋_GB2312" w:cs="仿宋_GB2312"/>
          <w:kern w:val="2"/>
          <w:sz w:val="32"/>
          <w:szCs w:val="32"/>
          <w:lang w:val="en-US" w:eastAsia="zh-CN"/>
        </w:rPr>
        <w:t>%以上，干部职工满意率达</w:t>
      </w:r>
      <w:r>
        <w:rPr>
          <w:rFonts w:hint="default" w:ascii="Times New Roman" w:hAnsi="Times New Roman" w:eastAsia="仿宋_GB2312" w:cs="Times New Roman"/>
          <w:kern w:val="2"/>
          <w:sz w:val="32"/>
          <w:szCs w:val="32"/>
          <w:lang w:val="en-US" w:eastAsia="zh-CN"/>
        </w:rPr>
        <w:t>98</w:t>
      </w:r>
      <w:r>
        <w:rPr>
          <w:rFonts w:hint="default" w:ascii="仿宋_GB2312" w:hAnsi="Times New Roman" w:eastAsia="仿宋_GB2312" w:cs="仿宋_GB2312"/>
          <w:kern w:val="2"/>
          <w:sz w:val="32"/>
          <w:szCs w:val="32"/>
          <w:lang w:val="en-US" w:eastAsia="zh-CN"/>
        </w:rPr>
        <w:t>%。该项目完成的数量、质量、时效、成本等都实现了预期绩效目标，总体执行情况良好。</w:t>
      </w:r>
    </w:p>
    <w:p w14:paraId="4E379305">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 xml:space="preserve">（二）项目效益情况。 </w:t>
      </w:r>
    </w:p>
    <w:p w14:paraId="1885428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涉密类工作经费项目的实施，确保了各项工作有序推进；有效推动了我区基本建设的全面发展，较好</w:t>
      </w:r>
      <w:r>
        <w:t>地</w:t>
      </w:r>
      <w:r>
        <w:rPr>
          <w:rFonts w:hint="default" w:ascii="仿宋_GB2312" w:hAnsi="Times New Roman" w:eastAsia="仿宋_GB2312" w:cs="仿宋_GB2312"/>
          <w:kern w:val="2"/>
          <w:sz w:val="32"/>
          <w:szCs w:val="32"/>
          <w:lang w:val="en-US" w:eastAsia="zh-CN"/>
        </w:rPr>
        <w:t>改善了人民的生活水平。群众满意度达到</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w:t>
      </w:r>
    </w:p>
    <w:p w14:paraId="6565851F">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（三）违规记录</w:t>
      </w:r>
    </w:p>
    <w:p w14:paraId="764085D6">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根据自评年度审计监督、财会监督和决算审查结果反映专项预算管理合规。</w:t>
      </w:r>
    </w:p>
    <w:p w14:paraId="701563D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四、自评结论及问题建议</w:t>
      </w:r>
    </w:p>
    <w:p w14:paraId="2F1D0CCC">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（一）自评结论。</w:t>
      </w:r>
      <w:r>
        <w:rPr>
          <w:rFonts w:hint="default" w:ascii="仿宋_GB2312" w:hAnsi="Times New Roman" w:eastAsia="仿宋_GB2312" w:cs="仿宋_GB2312"/>
          <w:kern w:val="2"/>
          <w:sz w:val="32"/>
          <w:szCs w:val="32"/>
          <w:lang w:val="en-US" w:eastAsia="zh-CN"/>
        </w:rPr>
        <w:t>围绕财政资金测算和使用过程，并根据该项目的基本情况、预算明细、支出明细、绩效目标申报、部门履职完成情况、履职效果等信息对该项目资金进行绩效评价。该项目建设质量要求高，全面完成该项目的各类支付工作，运转正常，基本实现了预期绩效目标，总体执行情况良好，该项目评价得分</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分。</w:t>
      </w:r>
    </w:p>
    <w:p w14:paraId="22D53BF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（二）存在的问题。</w:t>
      </w:r>
      <w:r>
        <w:rPr>
          <w:rFonts w:hint="default" w:ascii="仿宋_GB2312" w:hAnsi="Times New Roman" w:eastAsia="仿宋_GB2312" w:cs="仿宋_GB2312"/>
          <w:kern w:val="2"/>
          <w:sz w:val="32"/>
          <w:szCs w:val="32"/>
          <w:lang w:val="en-US" w:eastAsia="zh-CN"/>
        </w:rPr>
        <w:t>管理制度有待进一步完善。</w:t>
      </w:r>
    </w:p>
    <w:p w14:paraId="0C270429">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（三）相关措施或建议。</w:t>
      </w:r>
      <w:r>
        <w:rPr>
          <w:rFonts w:hint="default" w:ascii="仿宋_GB2312" w:hAnsi="Times New Roman" w:eastAsia="仿宋_GB2312" w:cs="仿宋_GB2312"/>
          <w:kern w:val="2"/>
          <w:sz w:val="32"/>
          <w:szCs w:val="32"/>
          <w:lang w:val="en-US" w:eastAsia="zh-CN"/>
        </w:rPr>
        <w:t>明确项目绩效目标，细化项目管理，建立健全项目绩效制度。</w:t>
      </w:r>
    </w:p>
    <w:p w14:paraId="3EE61828">
      <w:pPr>
        <w:pStyle w:val="11"/>
        <w:keepNext w:val="0"/>
        <w:keepLines w:val="0"/>
        <w:widowControl w:val="0"/>
        <w:suppressLineNumbers w:val="0"/>
        <w:spacing w:before="0" w:beforeAutospacing="1" w:after="120" w:afterAutospacing="0"/>
        <w:ind w:left="480" w:leftChars="200" w:right="0" w:firstLine="420"/>
        <w:jc w:val="left"/>
        <w:rPr>
          <w:rFonts w:hint="eastAsia" w:ascii="Times New Roman" w:hAnsi="Times New Roman" w:eastAsia="黑体" w:cs="Times New Roman"/>
          <w:kern w:val="2"/>
          <w:sz w:val="32"/>
          <w:szCs w:val="32"/>
        </w:rPr>
      </w:pPr>
      <w:r>
        <w:rPr>
          <w:rFonts w:hint="eastAsia" w:ascii="Times New Roman" w:hAnsi="Times New Roman" w:eastAsia="黑体" w:cs="Times New Roman"/>
          <w:kern w:val="2"/>
          <w:sz w:val="32"/>
          <w:szCs w:val="32"/>
          <w:lang w:val="en-US" w:eastAsia="zh-CN"/>
        </w:rPr>
        <w:t xml:space="preserve"> </w:t>
      </w:r>
    </w:p>
    <w:p w14:paraId="1113429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附件：</w:t>
      </w: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年涉密类工作经费项目支出绩效自评表</w:t>
      </w:r>
    </w:p>
    <w:p w14:paraId="4FA2A76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r>
        <w:rPr>
          <w:rFonts w:hint="default" w:ascii="Times New Roman" w:hAnsi="Times New Roman" w:eastAsia="仿宋_GB2312" w:cs="Times New Roman"/>
          <w:kern w:val="2"/>
          <w:sz w:val="32"/>
          <w:szCs w:val="32"/>
          <w:lang w:val="en-US" w:eastAsia="zh-CN"/>
        </w:rPr>
        <w:t>2</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年涉密类工作经费项目支出绩效自评评分表</w:t>
      </w:r>
    </w:p>
    <w:p w14:paraId="68812DFD">
      <w:pPr>
        <w:pStyle w:val="11"/>
        <w:keepNext w:val="0"/>
        <w:keepLines w:val="0"/>
        <w:widowControl w:val="0"/>
        <w:suppressLineNumbers w:val="0"/>
        <w:autoSpaceDE w:val="0"/>
        <w:autoSpaceDN/>
        <w:spacing w:before="0" w:beforeAutospacing="1" w:after="0" w:afterAutospacing="0" w:line="600" w:lineRule="exact"/>
        <w:ind w:left="480" w:leftChars="200" w:right="0" w:firstLine="420"/>
        <w:jc w:val="left"/>
        <w:rPr>
          <w:rFonts w:hint="eastAsia" w:ascii="Times New Roman" w:hAnsi="Times New Roman" w:eastAsia="黑体" w:cs="Times New Roman"/>
          <w:spacing w:val="0"/>
          <w:kern w:val="2"/>
          <w:sz w:val="32"/>
          <w:szCs w:val="32"/>
        </w:rPr>
      </w:pPr>
      <w:r>
        <w:rPr>
          <w:rFonts w:hint="eastAsia" w:ascii="Times New Roman" w:hAnsi="Times New Roman" w:eastAsia="黑体" w:cs="Times New Roman"/>
          <w:spacing w:val="0"/>
          <w:kern w:val="2"/>
          <w:sz w:val="32"/>
          <w:szCs w:val="32"/>
          <w:lang w:val="en-US" w:eastAsia="zh-CN"/>
        </w:rPr>
        <w:t xml:space="preserve"> </w:t>
      </w:r>
    </w:p>
    <w:p w14:paraId="1FAF4B42">
      <w:pPr>
        <w:pStyle w:val="11"/>
        <w:keepNext w:val="0"/>
        <w:keepLines w:val="0"/>
        <w:widowControl w:val="0"/>
        <w:suppressLineNumbers w:val="0"/>
        <w:autoSpaceDE w:val="0"/>
        <w:autoSpaceDN/>
        <w:spacing w:before="0" w:beforeAutospacing="1" w:after="0" w:afterAutospacing="0" w:line="600" w:lineRule="exact"/>
        <w:ind w:left="480" w:leftChars="200" w:right="0" w:firstLine="420"/>
        <w:jc w:val="left"/>
        <w:rPr>
          <w:rFonts w:hint="eastAsia" w:ascii="Times New Roman" w:hAnsi="Times New Roman" w:eastAsia="黑体" w:cs="Times New Roman"/>
          <w:spacing w:val="0"/>
          <w:kern w:val="2"/>
          <w:sz w:val="32"/>
          <w:szCs w:val="32"/>
        </w:rPr>
      </w:pPr>
      <w:r>
        <w:rPr>
          <w:rFonts w:hint="eastAsia" w:ascii="Times New Roman" w:hAnsi="Times New Roman" w:eastAsia="黑体" w:cs="Times New Roman"/>
          <w:spacing w:val="0"/>
          <w:kern w:val="2"/>
          <w:sz w:val="32"/>
          <w:szCs w:val="32"/>
          <w:lang w:val="en-US" w:eastAsia="zh-CN"/>
        </w:rPr>
        <w:t xml:space="preserve"> </w:t>
      </w:r>
    </w:p>
    <w:p w14:paraId="27991859">
      <w:pPr>
        <w:keepNext w:val="0"/>
        <w:keepLines w:val="0"/>
        <w:widowControl w:val="0"/>
        <w:suppressLineNumbers w:val="0"/>
        <w:wordWrap w:val="0"/>
        <w:autoSpaceDE w:val="0"/>
        <w:autoSpaceDN/>
        <w:spacing w:before="0" w:beforeAutospacing="0" w:after="0" w:afterAutospacing="0" w:line="600" w:lineRule="exact"/>
        <w:ind w:left="0" w:right="0" w:firstLine="640" w:firstLineChars="200"/>
        <w:jc w:val="right"/>
        <w:rPr>
          <w:rFonts w:hint="default" w:ascii="Times New Roman" w:hAnsi="Times New Roman" w:eastAsia="仿宋_GB2312" w:cs="Times New Roman"/>
          <w:spacing w:val="0"/>
          <w:kern w:val="2"/>
          <w:sz w:val="32"/>
          <w:szCs w:val="32"/>
        </w:rPr>
      </w:pPr>
      <w:r>
        <w:rPr>
          <w:rFonts w:hint="default" w:ascii="仿宋_GB2312" w:hAnsi="Times New Roman" w:eastAsia="仿宋_GB2312" w:cs="仿宋_GB2312"/>
          <w:spacing w:val="0"/>
          <w:kern w:val="2"/>
          <w:sz w:val="32"/>
          <w:szCs w:val="32"/>
          <w:lang w:val="en-US" w:eastAsia="zh-CN"/>
        </w:rPr>
        <w:t>中共广元市昭化区委办公室</w:t>
      </w:r>
    </w:p>
    <w:p w14:paraId="71DFBA0B">
      <w:pPr>
        <w:keepNext w:val="0"/>
        <w:keepLines w:val="0"/>
        <w:widowControl w:val="0"/>
        <w:suppressLineNumbers w:val="0"/>
        <w:wordWrap w:val="0"/>
        <w:autoSpaceDE w:val="0"/>
        <w:autoSpaceDN/>
        <w:spacing w:before="0" w:beforeAutospacing="0" w:after="0" w:afterAutospacing="0" w:line="600" w:lineRule="exact"/>
        <w:ind w:left="0" w:right="0" w:firstLine="640" w:firstLineChars="200"/>
        <w:jc w:val="right"/>
        <w:rPr>
          <w:rFonts w:hint="default" w:ascii="Times New Roman" w:hAnsi="Times New Roman" w:eastAsia="仿宋_GB2312" w:cs="Times New Roman"/>
          <w:spacing w:val="0"/>
          <w:kern w:val="2"/>
          <w:sz w:val="32"/>
          <w:szCs w:val="32"/>
        </w:rPr>
      </w:pPr>
      <w:r>
        <w:rPr>
          <w:rFonts w:hint="default" w:ascii="Times New Roman" w:hAnsi="Times New Roman" w:eastAsia="仿宋_GB2312" w:cs="Times New Roman"/>
          <w:spacing w:val="0"/>
          <w:kern w:val="2"/>
          <w:sz w:val="32"/>
          <w:szCs w:val="32"/>
          <w:lang w:val="en-US" w:eastAsia="zh-CN"/>
        </w:rPr>
        <w:t>2024</w:t>
      </w:r>
      <w:r>
        <w:rPr>
          <w:rFonts w:hint="default" w:ascii="仿宋_GB2312" w:hAnsi="Times New Roman" w:eastAsia="仿宋_GB2312" w:cs="仿宋_GB2312"/>
          <w:spacing w:val="0"/>
          <w:kern w:val="2"/>
          <w:sz w:val="32"/>
          <w:szCs w:val="32"/>
          <w:lang w:val="en-US" w:eastAsia="zh-CN"/>
        </w:rPr>
        <w:t>年</w:t>
      </w:r>
      <w:r>
        <w:rPr>
          <w:rFonts w:hint="default" w:ascii="Times New Roman" w:hAnsi="Times New Roman" w:eastAsia="仿宋_GB2312" w:cs="Times New Roman"/>
          <w:spacing w:val="0"/>
          <w:kern w:val="2"/>
          <w:sz w:val="32"/>
          <w:szCs w:val="32"/>
          <w:lang w:val="en-US" w:eastAsia="zh-CN"/>
        </w:rPr>
        <w:t>5</w:t>
      </w:r>
      <w:r>
        <w:rPr>
          <w:rFonts w:hint="default" w:ascii="仿宋_GB2312" w:hAnsi="Times New Roman" w:eastAsia="仿宋_GB2312" w:cs="仿宋_GB2312"/>
          <w:spacing w:val="0"/>
          <w:kern w:val="2"/>
          <w:sz w:val="32"/>
          <w:szCs w:val="32"/>
          <w:lang w:val="en-US" w:eastAsia="zh-CN"/>
        </w:rPr>
        <w:t>月</w:t>
      </w:r>
      <w:r>
        <w:rPr>
          <w:rFonts w:hint="default" w:ascii="Times New Roman" w:hAnsi="Times New Roman" w:eastAsia="仿宋_GB2312" w:cs="Times New Roman"/>
          <w:spacing w:val="0"/>
          <w:kern w:val="2"/>
          <w:sz w:val="32"/>
          <w:szCs w:val="32"/>
          <w:lang w:val="en-US" w:eastAsia="zh-CN"/>
        </w:rPr>
        <w:t>8</w:t>
      </w:r>
      <w:r>
        <w:rPr>
          <w:rFonts w:hint="default" w:ascii="仿宋_GB2312" w:hAnsi="Times New Roman" w:eastAsia="仿宋_GB2312" w:cs="仿宋_GB2312"/>
          <w:spacing w:val="0"/>
          <w:kern w:val="2"/>
          <w:sz w:val="32"/>
          <w:szCs w:val="32"/>
          <w:lang w:val="en-US" w:eastAsia="zh-CN"/>
        </w:rPr>
        <w:t>日</w:t>
      </w:r>
    </w:p>
    <w:p w14:paraId="59106B7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115F2023">
      <w:pPr>
        <w:pStyle w:val="11"/>
        <w:keepNext w:val="0"/>
        <w:keepLines w:val="0"/>
        <w:widowControl w:val="0"/>
        <w:suppressLineNumbers w:val="0"/>
        <w:spacing w:before="0" w:beforeAutospacing="1" w:after="120" w:afterAutospacing="0"/>
        <w:ind w:left="480" w:leftChars="200" w:right="0" w:firstLine="420"/>
        <w:jc w:val="left"/>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33F499A7">
      <w:pPr>
        <w:pStyle w:val="11"/>
        <w:keepNext w:val="0"/>
        <w:keepLines w:val="0"/>
        <w:widowControl w:val="0"/>
        <w:suppressLineNumbers w:val="0"/>
        <w:spacing w:before="0" w:beforeAutospacing="1" w:after="120" w:afterAutospacing="0"/>
        <w:ind w:left="480" w:leftChars="200" w:right="0" w:firstLine="420"/>
        <w:jc w:val="left"/>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121F8321">
      <w:pPr>
        <w:pStyle w:val="11"/>
        <w:keepNext w:val="0"/>
        <w:keepLines w:val="0"/>
        <w:widowControl w:val="0"/>
        <w:suppressLineNumbers w:val="0"/>
        <w:spacing w:before="0" w:beforeAutospacing="1" w:after="120" w:afterAutospacing="0"/>
        <w:ind w:left="480" w:leftChars="200" w:right="0" w:firstLine="420"/>
        <w:jc w:val="left"/>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25D2F9B3">
      <w:pPr>
        <w:pStyle w:val="11"/>
        <w:keepNext w:val="0"/>
        <w:keepLines w:val="0"/>
        <w:widowControl w:val="0"/>
        <w:suppressLineNumbers w:val="0"/>
        <w:spacing w:before="0" w:beforeAutospacing="1" w:after="120" w:afterAutospacing="0"/>
        <w:ind w:left="480" w:leftChars="200" w:right="0" w:firstLine="420"/>
        <w:jc w:val="left"/>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45458F30">
      <w:pPr>
        <w:pStyle w:val="11"/>
        <w:keepNext w:val="0"/>
        <w:keepLines w:val="0"/>
        <w:widowControl w:val="0"/>
        <w:suppressLineNumbers w:val="0"/>
        <w:spacing w:before="0" w:beforeAutospacing="1" w:after="120" w:afterAutospacing="0"/>
        <w:ind w:left="480" w:leftChars="200" w:right="0" w:firstLine="420"/>
        <w:jc w:val="left"/>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4856A38A">
      <w:pPr>
        <w:rPr>
          <w:rFonts w:hint="eastAsia" w:ascii="黑体" w:hAnsi="宋体" w:eastAsia="黑体" w:cs="黑体"/>
          <w:kern w:val="2"/>
          <w:sz w:val="32"/>
          <w:szCs w:val="32"/>
          <w:lang w:val="en-US" w:eastAsia="zh-CN"/>
        </w:rPr>
      </w:pPr>
      <w:r>
        <w:br w:type="page"/>
      </w:r>
    </w:p>
    <w:p w14:paraId="5439EF0B">
      <w:pPr>
        <w:pStyle w:val="11"/>
        <w:keepNext w:val="0"/>
        <w:keepLines w:val="0"/>
        <w:widowControl w:val="0"/>
        <w:suppressLineNumbers w:val="0"/>
        <w:spacing w:before="0" w:beforeAutospacing="1" w:after="120" w:afterAutospacing="0"/>
        <w:ind w:left="0" w:leftChars="0" w:right="0" w:firstLine="0" w:firstLineChars="0"/>
        <w:jc w:val="left"/>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附件</w:t>
      </w:r>
      <w:r>
        <w:rPr>
          <w:rFonts w:hint="default" w:ascii="Times New Roman" w:hAnsi="Times New Roman" w:eastAsia="黑体" w:cs="Times New Roman"/>
          <w:kern w:val="2"/>
          <w:sz w:val="32"/>
          <w:szCs w:val="32"/>
          <w:lang w:val="en-US" w:eastAsia="zh-CN"/>
        </w:rPr>
        <w:t>1</w:t>
      </w:r>
    </w:p>
    <w:p w14:paraId="119068E8">
      <w:pPr>
        <w:keepNext w:val="0"/>
        <w:keepLines w:val="0"/>
        <w:widowControl/>
        <w:suppressLineNumbers w:val="0"/>
        <w:autoSpaceDE w:val="0"/>
        <w:autoSpaceDN/>
        <w:spacing w:before="0" w:beforeAutospacing="0" w:after="0" w:afterAutospacing="0" w:line="500" w:lineRule="exact"/>
        <w:ind w:left="0" w:right="0"/>
        <w:jc w:val="center"/>
        <w:textAlignment w:val="center"/>
        <w:rPr>
          <w:rFonts w:hint="eastAsia" w:ascii="方正小标宋简体" w:hAnsi="方正小标宋简体" w:eastAsia="方正小标宋简体" w:cs="方正小标宋简体"/>
          <w:i w:val="0"/>
          <w:iCs w:val="0"/>
          <w:color w:val="000000"/>
          <w:kern w:val="2"/>
          <w:sz w:val="36"/>
          <w:szCs w:val="36"/>
        </w:rPr>
      </w:pPr>
      <w:r>
        <w:rPr>
          <w:rFonts w:hint="eastAsia" w:ascii="方正小标宋简体" w:hAnsi="方正小标宋简体" w:eastAsia="方正小标宋简体" w:cs="方正小标宋简体"/>
          <w:i w:val="0"/>
          <w:iCs w:val="0"/>
          <w:color w:val="000000"/>
          <w:kern w:val="0"/>
          <w:sz w:val="36"/>
          <w:szCs w:val="36"/>
          <w:lang w:val="en-US" w:eastAsia="zh-CN"/>
        </w:rPr>
        <w:t>广元市昭化区财政项目（政策）支出绩效自评表</w:t>
      </w:r>
    </w:p>
    <w:p w14:paraId="11796239">
      <w:pPr>
        <w:keepNext w:val="0"/>
        <w:keepLines w:val="0"/>
        <w:widowControl/>
        <w:suppressLineNumbers w:val="0"/>
        <w:autoSpaceDE w:val="0"/>
        <w:autoSpaceDN/>
        <w:spacing w:before="0" w:beforeAutospacing="0" w:after="0" w:afterAutospacing="0" w:line="500" w:lineRule="exact"/>
        <w:ind w:left="0" w:right="0"/>
        <w:jc w:val="center"/>
        <w:textAlignment w:val="top"/>
        <w:rPr>
          <w:rFonts w:hint="eastAsia" w:ascii="宋体" w:hAnsi="宋体" w:eastAsia="宋体" w:cs="宋体"/>
          <w:b/>
          <w:bCs/>
          <w:i w:val="0"/>
          <w:iCs w:val="0"/>
          <w:color w:val="000000"/>
          <w:kern w:val="2"/>
          <w:sz w:val="24"/>
          <w:szCs w:val="24"/>
        </w:rPr>
      </w:pPr>
      <w:r>
        <w:rPr>
          <w:rFonts w:hint="eastAsia" w:ascii="宋体" w:hAnsi="宋体" w:eastAsia="宋体" w:cs="宋体"/>
          <w:b/>
          <w:bCs/>
          <w:i w:val="0"/>
          <w:iCs w:val="0"/>
          <w:color w:val="000000"/>
          <w:kern w:val="0"/>
          <w:sz w:val="24"/>
          <w:szCs w:val="24"/>
          <w:lang w:val="en-US" w:eastAsia="zh-CN"/>
        </w:rPr>
        <w:t xml:space="preserve">（ </w:t>
      </w:r>
      <w:r>
        <w:rPr>
          <w:rFonts w:hint="default" w:ascii="Times New Roman" w:hAnsi="Times New Roman" w:eastAsia="宋体" w:cs="Times New Roman"/>
          <w:b/>
          <w:bCs/>
          <w:i w:val="0"/>
          <w:iCs w:val="0"/>
          <w:color w:val="000000"/>
          <w:kern w:val="0"/>
          <w:sz w:val="24"/>
          <w:szCs w:val="24"/>
          <w:lang w:val="en-US" w:eastAsia="zh-CN"/>
        </w:rPr>
        <w:t>2023</w:t>
      </w:r>
      <w:r>
        <w:rPr>
          <w:rFonts w:hint="eastAsia" w:ascii="宋体" w:hAnsi="宋体" w:eastAsia="宋体" w:cs="宋体"/>
          <w:b/>
          <w:bCs/>
          <w:i w:val="0"/>
          <w:iCs w:val="0"/>
          <w:color w:val="000000"/>
          <w:kern w:val="0"/>
          <w:sz w:val="24"/>
          <w:szCs w:val="24"/>
          <w:lang w:val="en-US" w:eastAsia="zh-CN"/>
        </w:rPr>
        <w:t>年度）</w:t>
      </w:r>
    </w:p>
    <w:tbl>
      <w:tblPr>
        <w:tblStyle w:val="13"/>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151CC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7458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项目（政策）名称</w:t>
            </w:r>
          </w:p>
        </w:tc>
        <w:tc>
          <w:tcPr>
            <w:tcW w:w="8240" w:type="dxa"/>
            <w:gridSpan w:val="6"/>
            <w:tcBorders>
              <w:top w:val="single" w:color="000000" w:sz="4" w:space="0"/>
              <w:left w:val="nil"/>
              <w:bottom w:val="single" w:color="000000" w:sz="4" w:space="0"/>
              <w:right w:val="single" w:color="000000" w:sz="4" w:space="0"/>
            </w:tcBorders>
            <w:shd w:val="clear" w:color="auto" w:fill="auto"/>
            <w:vAlign w:val="center"/>
          </w:tcPr>
          <w:p w14:paraId="6AE9A8D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涉密类工作经费</w:t>
            </w:r>
          </w:p>
        </w:tc>
      </w:tr>
      <w:tr w14:paraId="089F5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736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主管部门</w:t>
            </w:r>
          </w:p>
        </w:tc>
        <w:tc>
          <w:tcPr>
            <w:tcW w:w="4307" w:type="dxa"/>
            <w:gridSpan w:val="3"/>
            <w:tcBorders>
              <w:top w:val="single" w:color="000000" w:sz="4" w:space="0"/>
              <w:left w:val="nil"/>
              <w:bottom w:val="single" w:color="000000" w:sz="4" w:space="0"/>
              <w:right w:val="single" w:color="000000" w:sz="4" w:space="0"/>
            </w:tcBorders>
            <w:shd w:val="clear" w:color="auto" w:fill="auto"/>
            <w:vAlign w:val="center"/>
          </w:tcPr>
          <w:p w14:paraId="38392D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中共广元市昭化区委办公室</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3686FE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实施单位</w:t>
            </w:r>
          </w:p>
        </w:tc>
        <w:tc>
          <w:tcPr>
            <w:tcW w:w="0" w:type="auto"/>
            <w:gridSpan w:val="2"/>
            <w:tcBorders>
              <w:top w:val="single" w:color="000000" w:sz="4" w:space="0"/>
              <w:left w:val="nil"/>
              <w:bottom w:val="single" w:color="000000" w:sz="4" w:space="0"/>
              <w:right w:val="single" w:color="000000" w:sz="4" w:space="0"/>
            </w:tcBorders>
            <w:shd w:val="clear" w:color="auto" w:fill="auto"/>
            <w:noWrap/>
            <w:vAlign w:val="center"/>
          </w:tcPr>
          <w:p w14:paraId="370FE0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中共广元市昭化区委办公室</w:t>
            </w:r>
          </w:p>
        </w:tc>
      </w:tr>
      <w:tr w14:paraId="3759C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6" w:type="dxa"/>
            <w:gridSpan w:val="2"/>
            <w:vMerge w:val="restart"/>
            <w:tcBorders>
              <w:top w:val="nil"/>
              <w:left w:val="single" w:color="000000" w:sz="4" w:space="0"/>
              <w:bottom w:val="nil"/>
              <w:right w:val="single" w:color="000000" w:sz="4" w:space="0"/>
            </w:tcBorders>
            <w:shd w:val="clear" w:color="auto" w:fill="auto"/>
            <w:vAlign w:val="center"/>
          </w:tcPr>
          <w:p w14:paraId="12B883B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项目（政策）资金（万元）</w:t>
            </w:r>
          </w:p>
        </w:tc>
        <w:tc>
          <w:tcPr>
            <w:tcW w:w="2269" w:type="dxa"/>
            <w:gridSpan w:val="2"/>
            <w:tcBorders>
              <w:top w:val="nil"/>
              <w:left w:val="nil"/>
              <w:bottom w:val="single" w:color="000000" w:sz="4" w:space="0"/>
              <w:right w:val="single" w:color="000000" w:sz="4" w:space="0"/>
            </w:tcBorders>
            <w:shd w:val="clear" w:color="auto" w:fill="auto"/>
            <w:vAlign w:val="center"/>
          </w:tcPr>
          <w:p w14:paraId="7D6D4D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年度预算数（万元）</w:t>
            </w:r>
          </w:p>
        </w:tc>
        <w:tc>
          <w:tcPr>
            <w:tcW w:w="2038" w:type="dxa"/>
            <w:tcBorders>
              <w:top w:val="nil"/>
              <w:left w:val="nil"/>
              <w:bottom w:val="single" w:color="000000" w:sz="4" w:space="0"/>
              <w:right w:val="single" w:color="000000" w:sz="4" w:space="0"/>
            </w:tcBorders>
            <w:shd w:val="clear" w:color="auto" w:fill="auto"/>
            <w:vAlign w:val="center"/>
          </w:tcPr>
          <w:p w14:paraId="198B6D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年初预算数</w:t>
            </w:r>
          </w:p>
        </w:tc>
        <w:tc>
          <w:tcPr>
            <w:tcW w:w="1380" w:type="dxa"/>
            <w:tcBorders>
              <w:top w:val="nil"/>
              <w:left w:val="nil"/>
              <w:bottom w:val="single" w:color="000000" w:sz="4" w:space="0"/>
              <w:right w:val="single" w:color="000000" w:sz="4" w:space="0"/>
            </w:tcBorders>
            <w:shd w:val="clear" w:color="auto" w:fill="auto"/>
            <w:vAlign w:val="center"/>
          </w:tcPr>
          <w:p w14:paraId="1534AD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全年预算数</w:t>
            </w:r>
          </w:p>
        </w:tc>
        <w:tc>
          <w:tcPr>
            <w:tcW w:w="1320" w:type="dxa"/>
            <w:tcBorders>
              <w:top w:val="nil"/>
              <w:left w:val="nil"/>
              <w:bottom w:val="single" w:color="000000" w:sz="4" w:space="0"/>
              <w:right w:val="single" w:color="000000" w:sz="4" w:space="0"/>
            </w:tcBorders>
            <w:shd w:val="clear" w:color="auto" w:fill="auto"/>
            <w:vAlign w:val="center"/>
          </w:tcPr>
          <w:p w14:paraId="3F453A4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全年执行数</w:t>
            </w:r>
          </w:p>
        </w:tc>
        <w:tc>
          <w:tcPr>
            <w:tcW w:w="1233" w:type="dxa"/>
            <w:tcBorders>
              <w:top w:val="nil"/>
              <w:left w:val="nil"/>
              <w:bottom w:val="single" w:color="000000" w:sz="4" w:space="0"/>
              <w:right w:val="single" w:color="000000" w:sz="4" w:space="0"/>
            </w:tcBorders>
            <w:shd w:val="clear" w:color="auto" w:fill="auto"/>
            <w:vAlign w:val="center"/>
          </w:tcPr>
          <w:p w14:paraId="1CD030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执行率</w:t>
            </w:r>
          </w:p>
        </w:tc>
      </w:tr>
      <w:tr w14:paraId="6871F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3C514E3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66CB62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年度资金总额</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EDB45A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23EE0D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7F32DC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p>
        </w:tc>
        <w:tc>
          <w:tcPr>
            <w:tcW w:w="1233" w:type="dxa"/>
            <w:tcBorders>
              <w:top w:val="nil"/>
              <w:left w:val="nil"/>
              <w:bottom w:val="single" w:color="000000" w:sz="4" w:space="0"/>
              <w:right w:val="single" w:color="000000" w:sz="4" w:space="0"/>
            </w:tcBorders>
            <w:shd w:val="clear" w:color="auto" w:fill="auto"/>
            <w:vAlign w:val="center"/>
          </w:tcPr>
          <w:p w14:paraId="7E77B5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p>
        </w:tc>
      </w:tr>
      <w:tr w14:paraId="1ABEC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343DE61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45D63F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（一）财政拨款小计</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FB9A1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4CACCC3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2453A3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4DFB7B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p>
        </w:tc>
      </w:tr>
      <w:tr w14:paraId="42351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55F61A5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79DF53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.一般公共预算</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47D5334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7202DA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12B9B17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703125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w:t>
            </w:r>
          </w:p>
        </w:tc>
      </w:tr>
      <w:tr w14:paraId="79A2D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00580F3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7B93F3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w:t>
            </w:r>
            <w:r>
              <w:rPr>
                <w:rFonts w:hint="default" w:ascii="Times New Roman" w:hAnsi="Times New Roman" w:eastAsia="宋体" w:cs="Times New Roman"/>
                <w:i w:val="0"/>
                <w:iCs w:val="0"/>
                <w:color w:val="000000"/>
                <w:kern w:val="0"/>
                <w:sz w:val="18"/>
                <w:szCs w:val="18"/>
                <w:lang w:val="en-US" w:eastAsia="zh-CN"/>
              </w:rPr>
              <w:t>2</w:t>
            </w:r>
            <w:r>
              <w:rPr>
                <w:rFonts w:hint="eastAsia" w:ascii="宋体" w:hAnsi="宋体" w:eastAsia="宋体" w:cs="宋体"/>
                <w:i w:val="0"/>
                <w:iCs w:val="0"/>
                <w:color w:val="000000"/>
                <w:kern w:val="0"/>
                <w:sz w:val="18"/>
                <w:szCs w:val="18"/>
                <w:lang w:val="en-US" w:eastAsia="zh-CN"/>
              </w:rPr>
              <w:t>.政府性基金</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5E43C26A">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000000"/>
                <w:kern w:val="2"/>
                <w:sz w:val="18"/>
                <w:szCs w:val="18"/>
              </w:rPr>
            </w:pP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3B40B5E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46F0E2B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69EBAFA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p>
        </w:tc>
      </w:tr>
      <w:tr w14:paraId="412CD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0B1FF1F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0B0CFC6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w:t>
            </w:r>
            <w:r>
              <w:rPr>
                <w:rFonts w:hint="default" w:ascii="Times New Roman" w:hAnsi="Times New Roman" w:eastAsia="宋体" w:cs="Times New Roman"/>
                <w:i w:val="0"/>
                <w:iCs w:val="0"/>
                <w:color w:val="000000"/>
                <w:kern w:val="0"/>
                <w:sz w:val="18"/>
                <w:szCs w:val="18"/>
                <w:lang w:val="en-US" w:eastAsia="zh-CN"/>
              </w:rPr>
              <w:t>3</w:t>
            </w:r>
            <w:r>
              <w:rPr>
                <w:rFonts w:hint="eastAsia" w:ascii="宋体" w:hAnsi="宋体" w:eastAsia="宋体" w:cs="宋体"/>
                <w:i w:val="0"/>
                <w:iCs w:val="0"/>
                <w:color w:val="000000"/>
                <w:kern w:val="0"/>
                <w:sz w:val="18"/>
                <w:szCs w:val="18"/>
                <w:lang w:val="en-US" w:eastAsia="zh-CN"/>
              </w:rPr>
              <w:t>.国有资本经营预算</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708FC7D4">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000000"/>
                <w:kern w:val="2"/>
                <w:sz w:val="18"/>
                <w:szCs w:val="18"/>
              </w:rPr>
            </w:pP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40C9193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2669DDB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2280E8F1">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p>
        </w:tc>
      </w:tr>
      <w:tr w14:paraId="1AACE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6" w:type="dxa"/>
            <w:gridSpan w:val="2"/>
            <w:vMerge w:val="continue"/>
            <w:tcBorders>
              <w:top w:val="nil"/>
              <w:left w:val="single" w:color="000000" w:sz="4" w:space="0"/>
              <w:bottom w:val="nil"/>
              <w:right w:val="single" w:color="000000" w:sz="4" w:space="0"/>
            </w:tcBorders>
            <w:shd w:val="clear" w:color="auto" w:fill="auto"/>
            <w:vAlign w:val="center"/>
          </w:tcPr>
          <w:p w14:paraId="5EE02FB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19319E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（二）其他资金</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30CF13F">
            <w:pPr>
              <w:keepNext w:val="0"/>
              <w:keepLines w:val="0"/>
              <w:widowControl w:val="0"/>
              <w:suppressLineNumbers w:val="0"/>
              <w:spacing w:before="0" w:beforeAutospacing="0" w:after="0" w:afterAutospacing="0"/>
              <w:ind w:left="0" w:right="0"/>
              <w:jc w:val="left"/>
              <w:rPr>
                <w:rFonts w:hint="eastAsia" w:ascii="宋体" w:hAnsi="宋体" w:eastAsia="宋体" w:cs="宋体"/>
                <w:i w:val="0"/>
                <w:iCs w:val="0"/>
                <w:color w:val="000000"/>
                <w:kern w:val="2"/>
                <w:sz w:val="18"/>
                <w:szCs w:val="18"/>
              </w:rPr>
            </w:pP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38C2C2CD">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13621D04">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65D8DC8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p>
        </w:tc>
      </w:tr>
      <w:tr w14:paraId="36B3B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246E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年度总体目标</w:t>
            </w:r>
          </w:p>
        </w:tc>
        <w:tc>
          <w:tcPr>
            <w:tcW w:w="5159" w:type="dxa"/>
            <w:gridSpan w:val="4"/>
            <w:tcBorders>
              <w:top w:val="single" w:color="000000" w:sz="4" w:space="0"/>
              <w:left w:val="nil"/>
              <w:bottom w:val="single" w:color="000000" w:sz="4" w:space="0"/>
              <w:right w:val="single" w:color="000000" w:sz="4" w:space="0"/>
            </w:tcBorders>
            <w:shd w:val="clear" w:color="auto" w:fill="auto"/>
            <w:vAlign w:val="center"/>
          </w:tcPr>
          <w:p w14:paraId="7E45E6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预期目标</w:t>
            </w:r>
          </w:p>
        </w:tc>
        <w:tc>
          <w:tcPr>
            <w:tcW w:w="3933" w:type="dxa"/>
            <w:gridSpan w:val="3"/>
            <w:tcBorders>
              <w:top w:val="single" w:color="000000" w:sz="4" w:space="0"/>
              <w:left w:val="nil"/>
              <w:bottom w:val="single" w:color="000000" w:sz="4" w:space="0"/>
              <w:right w:val="single" w:color="000000" w:sz="4" w:space="0"/>
            </w:tcBorders>
            <w:shd w:val="clear" w:color="auto" w:fill="auto"/>
            <w:vAlign w:val="center"/>
          </w:tcPr>
          <w:p w14:paraId="09A74D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全年实际完成情况</w:t>
            </w:r>
          </w:p>
        </w:tc>
      </w:tr>
      <w:tr w14:paraId="494A3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394C6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159" w:type="dxa"/>
            <w:gridSpan w:val="4"/>
            <w:tcBorders>
              <w:top w:val="single" w:color="000000" w:sz="4" w:space="0"/>
              <w:left w:val="nil"/>
              <w:bottom w:val="single" w:color="000000" w:sz="4" w:space="0"/>
              <w:right w:val="single" w:color="000000" w:sz="4" w:space="0"/>
            </w:tcBorders>
            <w:shd w:val="clear" w:color="auto" w:fill="auto"/>
            <w:vAlign w:val="center"/>
          </w:tcPr>
          <w:p w14:paraId="56B78701">
            <w:pPr>
              <w:keepNext w:val="0"/>
              <w:keepLines w:val="0"/>
              <w:widowControl/>
              <w:suppressLineNumbers w:val="0"/>
              <w:autoSpaceDE w:val="0"/>
              <w:autoSpaceDN/>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承办国安委国安办各类会议，搞好国家安全日、反间谍法、</w:t>
            </w:r>
            <w:r>
              <w:rPr>
                <w:rFonts w:hint="eastAsia" w:ascii="宋体" w:hAnsi="宋体" w:cs="宋体"/>
                <w:i w:val="0"/>
                <w:iCs w:val="0"/>
                <w:color w:val="000000"/>
                <w:kern w:val="0"/>
                <w:sz w:val="18"/>
                <w:szCs w:val="18"/>
                <w:lang w:val="en-US" w:eastAsia="zh-CN"/>
              </w:rPr>
              <w:t>法治宣传</w:t>
            </w:r>
            <w:r>
              <w:rPr>
                <w:rFonts w:hint="eastAsia" w:ascii="宋体" w:hAnsi="宋体" w:eastAsia="宋体" w:cs="宋体"/>
                <w:i w:val="0"/>
                <w:iCs w:val="0"/>
                <w:color w:val="000000"/>
                <w:kern w:val="0"/>
                <w:sz w:val="18"/>
                <w:szCs w:val="18"/>
                <w:lang w:val="en-US" w:eastAsia="zh-CN"/>
              </w:rPr>
              <w:t>日等活动的氛围营造和宣传；做好保密工作的日常管理、保密文件的销毁、监督检查、宣传教育培训等，确保工作秘密万无一失。</w:t>
            </w:r>
          </w:p>
        </w:tc>
        <w:tc>
          <w:tcPr>
            <w:tcW w:w="3933" w:type="dxa"/>
            <w:gridSpan w:val="3"/>
            <w:tcBorders>
              <w:top w:val="single" w:color="000000" w:sz="4" w:space="0"/>
              <w:left w:val="nil"/>
              <w:bottom w:val="single" w:color="000000" w:sz="4" w:space="0"/>
              <w:right w:val="single" w:color="000000" w:sz="4" w:space="0"/>
            </w:tcBorders>
            <w:shd w:val="clear" w:color="auto" w:fill="auto"/>
            <w:vAlign w:val="center"/>
          </w:tcPr>
          <w:p w14:paraId="42713C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全面完成</w:t>
            </w:r>
          </w:p>
        </w:tc>
      </w:tr>
      <w:tr w14:paraId="5B7E8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0" w:hRule="atLeast"/>
          <w:jc w:val="center"/>
        </w:trPr>
        <w:tc>
          <w:tcPr>
            <w:tcW w:w="764" w:type="dxa"/>
            <w:vMerge w:val="restart"/>
            <w:tcBorders>
              <w:top w:val="nil"/>
              <w:left w:val="single" w:color="000000" w:sz="4" w:space="0"/>
              <w:bottom w:val="single" w:color="000000" w:sz="4" w:space="0"/>
              <w:right w:val="single" w:color="000000" w:sz="4" w:space="0"/>
            </w:tcBorders>
            <w:shd w:val="clear" w:color="auto" w:fill="auto"/>
            <w:vAlign w:val="center"/>
          </w:tcPr>
          <w:p w14:paraId="2B97CA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绩效</w:t>
            </w:r>
          </w:p>
          <w:p w14:paraId="5CC30D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852" w:type="dxa"/>
            <w:tcBorders>
              <w:top w:val="single" w:color="000000" w:sz="4" w:space="0"/>
              <w:left w:val="nil"/>
              <w:bottom w:val="single" w:color="000000" w:sz="4" w:space="0"/>
              <w:right w:val="single" w:color="000000" w:sz="4" w:space="0"/>
            </w:tcBorders>
            <w:shd w:val="clear" w:color="auto" w:fill="auto"/>
            <w:vAlign w:val="center"/>
          </w:tcPr>
          <w:p w14:paraId="1A1112E4">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一级</w:t>
            </w:r>
          </w:p>
          <w:p w14:paraId="63A8ED17">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2518E767">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二级指标</w:t>
            </w:r>
          </w:p>
        </w:tc>
        <w:tc>
          <w:tcPr>
            <w:tcW w:w="3178" w:type="dxa"/>
            <w:gridSpan w:val="2"/>
            <w:tcBorders>
              <w:top w:val="single" w:color="000000" w:sz="4" w:space="0"/>
              <w:left w:val="nil"/>
              <w:bottom w:val="single" w:color="000000" w:sz="4" w:space="0"/>
              <w:right w:val="single" w:color="000000" w:sz="4" w:space="0"/>
            </w:tcBorders>
            <w:shd w:val="clear" w:color="auto" w:fill="auto"/>
            <w:vAlign w:val="center"/>
          </w:tcPr>
          <w:p w14:paraId="5D2F001F">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三级指标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1E57BE26">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年度指标值</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55AC6B51">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实际完成值</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4F6E906A">
            <w:pPr>
              <w:keepNext w:val="0"/>
              <w:keepLines w:val="0"/>
              <w:widowControl w:val="0"/>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偏差原因分析及改进</w:t>
            </w:r>
          </w:p>
          <w:p w14:paraId="6F62ED12">
            <w:pPr>
              <w:keepNext w:val="0"/>
              <w:keepLines w:val="0"/>
              <w:widowControl w:val="0"/>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措施</w:t>
            </w:r>
          </w:p>
        </w:tc>
      </w:tr>
      <w:tr w14:paraId="10527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08E80D6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restart"/>
            <w:tcBorders>
              <w:top w:val="nil"/>
              <w:left w:val="nil"/>
              <w:bottom w:val="single" w:color="000000" w:sz="4" w:space="0"/>
              <w:right w:val="single" w:color="000000" w:sz="4" w:space="0"/>
            </w:tcBorders>
            <w:shd w:val="clear" w:color="auto" w:fill="auto"/>
            <w:vAlign w:val="center"/>
          </w:tcPr>
          <w:p w14:paraId="1AC774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产出指标</w:t>
            </w:r>
          </w:p>
        </w:tc>
        <w:tc>
          <w:tcPr>
            <w:tcW w:w="1129" w:type="dxa"/>
            <w:vMerge w:val="restart"/>
            <w:tcBorders>
              <w:top w:val="nil"/>
              <w:left w:val="nil"/>
              <w:bottom w:val="single" w:color="000000" w:sz="4" w:space="0"/>
              <w:right w:val="single" w:color="000000" w:sz="4" w:space="0"/>
            </w:tcBorders>
            <w:shd w:val="clear" w:color="auto" w:fill="auto"/>
            <w:vAlign w:val="center"/>
          </w:tcPr>
          <w:p w14:paraId="030FBBC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数量指标</w:t>
            </w:r>
          </w:p>
        </w:tc>
        <w:tc>
          <w:tcPr>
            <w:tcW w:w="1140" w:type="dxa"/>
            <w:tcBorders>
              <w:top w:val="single" w:color="000000" w:sz="4" w:space="0"/>
              <w:left w:val="nil"/>
              <w:bottom w:val="single" w:color="000000" w:sz="4" w:space="0"/>
              <w:right w:val="nil"/>
            </w:tcBorders>
            <w:shd w:val="clear" w:color="auto" w:fill="auto"/>
            <w:vAlign w:val="center"/>
          </w:tcPr>
          <w:p w14:paraId="4A9ACF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4DE4CD59">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对全区干部职工进行保密培训</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342E93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5000</w:t>
            </w:r>
            <w:r>
              <w:rPr>
                <w:rFonts w:hint="eastAsia" w:ascii="宋体" w:hAnsi="宋体" w:eastAsia="宋体" w:cs="宋体"/>
                <w:i w:val="0"/>
                <w:iCs w:val="0"/>
                <w:color w:val="000000"/>
                <w:kern w:val="0"/>
                <w:sz w:val="18"/>
                <w:szCs w:val="18"/>
                <w:lang w:val="en-US" w:eastAsia="zh-CN"/>
              </w:rPr>
              <w:t>次</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1FBC56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5000</w:t>
            </w:r>
            <w:r>
              <w:rPr>
                <w:rFonts w:hint="eastAsia" w:ascii="宋体" w:hAnsi="宋体" w:eastAsia="宋体" w:cs="宋体"/>
                <w:i w:val="0"/>
                <w:iCs w:val="0"/>
                <w:color w:val="000000"/>
                <w:kern w:val="0"/>
                <w:sz w:val="18"/>
                <w:szCs w:val="18"/>
                <w:lang w:val="en-US" w:eastAsia="zh-CN"/>
              </w:rPr>
              <w:t>次</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132CA9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无</w:t>
            </w:r>
          </w:p>
        </w:tc>
      </w:tr>
      <w:tr w14:paraId="2E460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2F373F5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3101CDB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continue"/>
            <w:tcBorders>
              <w:top w:val="nil"/>
              <w:left w:val="nil"/>
              <w:bottom w:val="single" w:color="000000" w:sz="4" w:space="0"/>
              <w:right w:val="single" w:color="000000" w:sz="4" w:space="0"/>
            </w:tcBorders>
            <w:shd w:val="clear" w:color="auto" w:fill="auto"/>
            <w:vAlign w:val="center"/>
          </w:tcPr>
          <w:p w14:paraId="3CB45FB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40" w:type="dxa"/>
            <w:tcBorders>
              <w:top w:val="single" w:color="000000" w:sz="4" w:space="0"/>
              <w:left w:val="nil"/>
              <w:bottom w:val="single" w:color="000000" w:sz="4" w:space="0"/>
              <w:right w:val="nil"/>
            </w:tcBorders>
            <w:shd w:val="clear" w:color="auto" w:fill="auto"/>
            <w:vAlign w:val="center"/>
          </w:tcPr>
          <w:p w14:paraId="543B6F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2</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78EB7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印发保密宣传资料</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00E8F6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10000</w:t>
            </w:r>
            <w:r>
              <w:rPr>
                <w:rFonts w:hint="eastAsia" w:ascii="宋体" w:hAnsi="宋体" w:eastAsia="宋体" w:cs="宋体"/>
                <w:i w:val="0"/>
                <w:iCs w:val="0"/>
                <w:color w:val="000000"/>
                <w:kern w:val="0"/>
                <w:sz w:val="18"/>
                <w:szCs w:val="18"/>
                <w:lang w:val="en-US" w:eastAsia="zh-CN"/>
              </w:rPr>
              <w:t>份</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3369D5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10000</w:t>
            </w:r>
            <w:r>
              <w:rPr>
                <w:rFonts w:hint="eastAsia" w:ascii="宋体" w:hAnsi="宋体" w:eastAsia="宋体" w:cs="宋体"/>
                <w:i w:val="0"/>
                <w:iCs w:val="0"/>
                <w:color w:val="000000"/>
                <w:kern w:val="0"/>
                <w:sz w:val="18"/>
                <w:szCs w:val="18"/>
                <w:lang w:val="en-US" w:eastAsia="zh-CN"/>
              </w:rPr>
              <w:t>份</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3C536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无</w:t>
            </w:r>
          </w:p>
        </w:tc>
      </w:tr>
      <w:tr w14:paraId="15873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1619DF2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0E4694F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2BC40B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质量指标</w:t>
            </w:r>
          </w:p>
        </w:tc>
        <w:tc>
          <w:tcPr>
            <w:tcW w:w="1140" w:type="dxa"/>
            <w:tcBorders>
              <w:top w:val="single" w:color="000000" w:sz="4" w:space="0"/>
              <w:left w:val="nil"/>
              <w:bottom w:val="single" w:color="000000" w:sz="4" w:space="0"/>
              <w:right w:val="nil"/>
            </w:tcBorders>
            <w:shd w:val="clear" w:color="auto" w:fill="auto"/>
            <w:vAlign w:val="center"/>
          </w:tcPr>
          <w:p w14:paraId="7D4669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80C34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开展涉密文件销毁工作</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455D2C7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定性</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3BAE0B7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合格</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06ADAE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无</w:t>
            </w:r>
          </w:p>
        </w:tc>
      </w:tr>
      <w:tr w14:paraId="2AD30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3503A1A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352473C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restart"/>
            <w:tcBorders>
              <w:top w:val="nil"/>
              <w:left w:val="nil"/>
              <w:bottom w:val="single" w:color="000000" w:sz="4" w:space="0"/>
              <w:right w:val="single" w:color="000000" w:sz="4" w:space="0"/>
            </w:tcBorders>
            <w:shd w:val="clear" w:color="auto" w:fill="auto"/>
            <w:vAlign w:val="center"/>
          </w:tcPr>
          <w:p w14:paraId="58FACE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时效指标</w:t>
            </w:r>
          </w:p>
        </w:tc>
        <w:tc>
          <w:tcPr>
            <w:tcW w:w="1140" w:type="dxa"/>
            <w:tcBorders>
              <w:top w:val="single" w:color="000000" w:sz="4" w:space="0"/>
              <w:left w:val="nil"/>
              <w:bottom w:val="single" w:color="000000" w:sz="4" w:space="0"/>
              <w:right w:val="nil"/>
            </w:tcBorders>
            <w:shd w:val="clear" w:color="auto" w:fill="auto"/>
            <w:vAlign w:val="center"/>
          </w:tcPr>
          <w:p w14:paraId="243809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05D316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完成时间</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7723CE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年</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3F3E85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年</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64A5C15C">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6BED9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70BE62F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34143C2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continue"/>
            <w:tcBorders>
              <w:top w:val="nil"/>
              <w:left w:val="nil"/>
              <w:bottom w:val="single" w:color="000000" w:sz="4" w:space="0"/>
              <w:right w:val="single" w:color="000000" w:sz="4" w:space="0"/>
            </w:tcBorders>
            <w:shd w:val="clear" w:color="auto" w:fill="auto"/>
            <w:vAlign w:val="center"/>
          </w:tcPr>
          <w:p w14:paraId="46C0B1F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40" w:type="dxa"/>
            <w:tcBorders>
              <w:top w:val="single" w:color="000000" w:sz="4" w:space="0"/>
              <w:left w:val="nil"/>
              <w:bottom w:val="single" w:color="000000" w:sz="4" w:space="0"/>
              <w:right w:val="nil"/>
            </w:tcBorders>
            <w:shd w:val="clear" w:color="auto" w:fill="auto"/>
            <w:vAlign w:val="center"/>
          </w:tcPr>
          <w:p w14:paraId="171A87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2</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73825B2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spacing w:val="-11"/>
                <w:kern w:val="0"/>
                <w:sz w:val="18"/>
                <w:szCs w:val="18"/>
                <w:lang w:val="en-US" w:eastAsia="zh-CN"/>
              </w:rPr>
              <w:t>各项保密工作完成及时率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7972A7A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98</w:t>
            </w:r>
            <w:r>
              <w:rPr>
                <w:rFonts w:hint="eastAsia" w:ascii="宋体" w:hAnsi="宋体" w:eastAsia="宋体" w:cs="宋体"/>
                <w:i w:val="0"/>
                <w:iCs w:val="0"/>
                <w:color w:val="000000"/>
                <w:kern w:val="0"/>
                <w:sz w:val="18"/>
                <w:szCs w:val="18"/>
                <w:lang w:val="en-US" w:eastAsia="zh-CN"/>
              </w:rPr>
              <w:t>%</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0B19274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98</w:t>
            </w:r>
            <w:r>
              <w:rPr>
                <w:rFonts w:hint="eastAsia" w:ascii="宋体" w:hAnsi="宋体" w:eastAsia="宋体" w:cs="宋体"/>
                <w:i w:val="0"/>
                <w:iCs w:val="0"/>
                <w:color w:val="000000"/>
                <w:kern w:val="0"/>
                <w:sz w:val="18"/>
                <w:szCs w:val="18"/>
                <w:lang w:val="en-US" w:eastAsia="zh-CN"/>
              </w:rPr>
              <w:t>%</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0F636B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无</w:t>
            </w:r>
          </w:p>
        </w:tc>
      </w:tr>
      <w:tr w14:paraId="665DE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3276673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6365DCE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0390C51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成本指标</w:t>
            </w:r>
          </w:p>
        </w:tc>
        <w:tc>
          <w:tcPr>
            <w:tcW w:w="1140" w:type="dxa"/>
            <w:tcBorders>
              <w:top w:val="single" w:color="000000" w:sz="4" w:space="0"/>
              <w:left w:val="nil"/>
              <w:bottom w:val="single" w:color="000000" w:sz="4" w:space="0"/>
              <w:right w:val="nil"/>
            </w:tcBorders>
            <w:shd w:val="clear" w:color="auto" w:fill="auto"/>
            <w:vAlign w:val="center"/>
          </w:tcPr>
          <w:p w14:paraId="2EBCF1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51B18C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预算资金</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0243301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r>
              <w:rPr>
                <w:rFonts w:hint="eastAsia" w:ascii="宋体" w:hAnsi="宋体" w:eastAsia="宋体" w:cs="宋体"/>
                <w:i w:val="0"/>
                <w:iCs w:val="0"/>
                <w:color w:val="000000"/>
                <w:kern w:val="0"/>
                <w:sz w:val="18"/>
                <w:szCs w:val="18"/>
                <w:lang w:val="en-US" w:eastAsia="zh-CN"/>
              </w:rPr>
              <w:t>万元</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06EE4EA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57</w:t>
            </w: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79</w:t>
            </w:r>
            <w:r>
              <w:rPr>
                <w:rFonts w:hint="eastAsia" w:ascii="宋体" w:hAnsi="宋体" w:eastAsia="宋体" w:cs="宋体"/>
                <w:i w:val="0"/>
                <w:iCs w:val="0"/>
                <w:color w:val="000000"/>
                <w:kern w:val="0"/>
                <w:sz w:val="18"/>
                <w:szCs w:val="18"/>
                <w:lang w:val="en-US" w:eastAsia="zh-CN"/>
              </w:rPr>
              <w:t>万元</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7CAF13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无</w:t>
            </w:r>
          </w:p>
        </w:tc>
      </w:tr>
      <w:tr w14:paraId="0248D8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2CB027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restart"/>
            <w:tcBorders>
              <w:top w:val="nil"/>
              <w:left w:val="nil"/>
              <w:bottom w:val="single" w:color="000000" w:sz="4" w:space="0"/>
              <w:right w:val="single" w:color="000000" w:sz="4" w:space="0"/>
            </w:tcBorders>
            <w:shd w:val="clear" w:color="auto" w:fill="auto"/>
            <w:vAlign w:val="center"/>
          </w:tcPr>
          <w:p w14:paraId="3B054CF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效益指标</w:t>
            </w:r>
          </w:p>
        </w:tc>
        <w:tc>
          <w:tcPr>
            <w:tcW w:w="1129" w:type="dxa"/>
            <w:vMerge w:val="restart"/>
            <w:tcBorders>
              <w:top w:val="nil"/>
              <w:left w:val="nil"/>
              <w:bottom w:val="single" w:color="000000" w:sz="4" w:space="0"/>
              <w:right w:val="single" w:color="000000" w:sz="4" w:space="0"/>
            </w:tcBorders>
            <w:shd w:val="clear" w:color="auto" w:fill="auto"/>
            <w:vAlign w:val="center"/>
          </w:tcPr>
          <w:p w14:paraId="2A435E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社会效益</w:t>
            </w:r>
          </w:p>
          <w:p w14:paraId="6585FA5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40" w:type="dxa"/>
            <w:tcBorders>
              <w:top w:val="single" w:color="000000" w:sz="4" w:space="0"/>
              <w:left w:val="nil"/>
              <w:bottom w:val="single" w:color="000000" w:sz="4" w:space="0"/>
              <w:right w:val="nil"/>
            </w:tcBorders>
            <w:shd w:val="clear" w:color="auto" w:fill="auto"/>
            <w:vAlign w:val="center"/>
          </w:tcPr>
          <w:p w14:paraId="48A261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5D3089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涉密文件限时办结情况</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040FDE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定性</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25917F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优</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0B0DB21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无</w:t>
            </w:r>
          </w:p>
        </w:tc>
      </w:tr>
      <w:tr w14:paraId="2635E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3A2BAC9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03AEC2D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continue"/>
            <w:tcBorders>
              <w:top w:val="nil"/>
              <w:left w:val="nil"/>
              <w:bottom w:val="single" w:color="000000" w:sz="4" w:space="0"/>
              <w:right w:val="single" w:color="000000" w:sz="4" w:space="0"/>
            </w:tcBorders>
            <w:shd w:val="clear" w:color="auto" w:fill="auto"/>
            <w:vAlign w:val="center"/>
          </w:tcPr>
          <w:p w14:paraId="58B7638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40" w:type="dxa"/>
            <w:tcBorders>
              <w:top w:val="single" w:color="000000" w:sz="4" w:space="0"/>
              <w:left w:val="nil"/>
              <w:bottom w:val="single" w:color="000000" w:sz="4" w:space="0"/>
              <w:right w:val="nil"/>
            </w:tcBorders>
            <w:shd w:val="clear" w:color="auto" w:fill="auto"/>
            <w:vAlign w:val="center"/>
          </w:tcPr>
          <w:p w14:paraId="51EB6E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2</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1E08AB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保密知识普及率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221E0C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90</w:t>
            </w:r>
            <w:r>
              <w:rPr>
                <w:rFonts w:hint="eastAsia" w:ascii="宋体" w:hAnsi="宋体" w:eastAsia="宋体" w:cs="宋体"/>
                <w:i w:val="0"/>
                <w:iCs w:val="0"/>
                <w:color w:val="000000"/>
                <w:kern w:val="0"/>
                <w:sz w:val="18"/>
                <w:szCs w:val="18"/>
                <w:lang w:val="en-US" w:eastAsia="zh-CN"/>
              </w:rPr>
              <w:t>%</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17132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90</w:t>
            </w:r>
            <w:r>
              <w:rPr>
                <w:rFonts w:hint="eastAsia" w:ascii="宋体" w:hAnsi="宋体" w:eastAsia="宋体" w:cs="宋体"/>
                <w:i w:val="0"/>
                <w:iCs w:val="0"/>
                <w:color w:val="000000"/>
                <w:kern w:val="0"/>
                <w:sz w:val="18"/>
                <w:szCs w:val="18"/>
                <w:lang w:val="en-US" w:eastAsia="zh-CN"/>
              </w:rPr>
              <w:t>%</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55E5A5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无</w:t>
            </w:r>
          </w:p>
        </w:tc>
      </w:tr>
      <w:tr w14:paraId="3C919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64" w:type="dxa"/>
            <w:vMerge w:val="continue"/>
            <w:tcBorders>
              <w:top w:val="nil"/>
              <w:left w:val="single" w:color="000000" w:sz="4" w:space="0"/>
              <w:bottom w:val="single" w:color="000000" w:sz="4" w:space="0"/>
              <w:right w:val="single" w:color="000000" w:sz="4" w:space="0"/>
            </w:tcBorders>
            <w:shd w:val="clear" w:color="auto" w:fill="auto"/>
            <w:vAlign w:val="center"/>
          </w:tcPr>
          <w:p w14:paraId="6618866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tcBorders>
              <w:top w:val="single" w:color="000000" w:sz="4" w:space="0"/>
              <w:left w:val="nil"/>
              <w:bottom w:val="single" w:color="000000" w:sz="4" w:space="0"/>
              <w:right w:val="single" w:color="000000" w:sz="4" w:space="0"/>
            </w:tcBorders>
            <w:shd w:val="clear" w:color="auto" w:fill="auto"/>
            <w:vAlign w:val="center"/>
          </w:tcPr>
          <w:p w14:paraId="7649B8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满意度</w:t>
            </w:r>
          </w:p>
          <w:p w14:paraId="0811B2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2F7CD6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服务对象满意度指标</w:t>
            </w: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2DF9BD6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r>
              <w:rPr>
                <w:rFonts w:hint="default" w:ascii="Times New Roman" w:hAnsi="Times New Roman" w:eastAsia="宋体" w:cs="Times New Roman"/>
                <w:i w:val="0"/>
                <w:iCs w:val="0"/>
                <w:color w:val="000000"/>
                <w:kern w:val="0"/>
                <w:sz w:val="18"/>
                <w:szCs w:val="18"/>
                <w:lang w:val="en-US" w:eastAsia="zh-CN"/>
              </w:rPr>
              <w:t>1</w:t>
            </w:r>
            <w:r>
              <w:rPr>
                <w:rFonts w:hint="eastAsia" w:ascii="宋体" w:hAnsi="宋体" w:eastAsia="宋体" w:cs="宋体"/>
                <w:i w:val="0"/>
                <w:iCs w:val="0"/>
                <w:color w:val="000000"/>
                <w:kern w:val="0"/>
                <w:sz w:val="18"/>
                <w:szCs w:val="18"/>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121068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干部职工满意度</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331A73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w:t>
            </w:r>
            <w:r>
              <w:rPr>
                <w:rFonts w:hint="default" w:ascii="Times New Roman" w:hAnsi="Times New Roman" w:eastAsia="宋体" w:cs="Times New Roman"/>
                <w:i w:val="0"/>
                <w:iCs w:val="0"/>
                <w:color w:val="000000"/>
                <w:kern w:val="0"/>
                <w:sz w:val="18"/>
                <w:szCs w:val="18"/>
                <w:lang w:val="en-US" w:eastAsia="zh-CN"/>
              </w:rPr>
              <w:t>98</w:t>
            </w:r>
            <w:r>
              <w:rPr>
                <w:rFonts w:hint="eastAsia" w:ascii="宋体" w:hAnsi="宋体" w:eastAsia="宋体" w:cs="宋体"/>
                <w:i w:val="0"/>
                <w:iCs w:val="0"/>
                <w:color w:val="000000"/>
                <w:kern w:val="0"/>
                <w:sz w:val="18"/>
                <w:szCs w:val="18"/>
                <w:lang w:val="en-US" w:eastAsia="zh-CN"/>
              </w:rPr>
              <w:t>%</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2054B79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default" w:ascii="Times New Roman" w:hAnsi="Times New Roman" w:eastAsia="宋体" w:cs="Times New Roman"/>
                <w:i w:val="0"/>
                <w:iCs w:val="0"/>
                <w:color w:val="000000"/>
                <w:kern w:val="0"/>
                <w:sz w:val="18"/>
                <w:szCs w:val="18"/>
                <w:lang w:val="en-US" w:eastAsia="zh-CN"/>
              </w:rPr>
              <w:t>98</w:t>
            </w:r>
            <w:r>
              <w:rPr>
                <w:rFonts w:hint="eastAsia" w:ascii="宋体" w:hAnsi="宋体" w:eastAsia="宋体" w:cs="宋体"/>
                <w:i w:val="0"/>
                <w:iCs w:val="0"/>
                <w:color w:val="000000"/>
                <w:kern w:val="0"/>
                <w:sz w:val="18"/>
                <w:szCs w:val="18"/>
                <w:lang w:val="en-US" w:eastAsia="zh-CN"/>
              </w:rPr>
              <w:t>%</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327303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无</w:t>
            </w:r>
          </w:p>
        </w:tc>
      </w:tr>
    </w:tbl>
    <w:p w14:paraId="39D85480">
      <w:pPr>
        <w:rPr>
          <w:rFonts w:hint="default" w:ascii="仿宋_GB2312" w:eastAsia="仿宋_GB2312" w:cs="仿宋_GB2312"/>
          <w:kern w:val="2"/>
          <w:sz w:val="32"/>
          <w:szCs w:val="32"/>
        </w:rPr>
        <w:sectPr>
          <w:pgSz w:w="11906" w:h="16838"/>
          <w:pgMar w:top="2098" w:right="1474" w:bottom="1984" w:left="1587" w:header="850" w:footer="1587" w:gutter="0"/>
          <w:lnNumType w:countBy="0" w:distance="360"/>
          <w:pgNumType w:fmt="decimal"/>
          <w:cols w:space="0" w:num="1"/>
          <w:rtlGutter w:val="0"/>
          <w:docGrid w:type="lines" w:linePitch="439" w:charSpace="0"/>
        </w:sectPr>
      </w:pPr>
    </w:p>
    <w:p w14:paraId="3938D1A5">
      <w:pPr>
        <w:pStyle w:val="11"/>
        <w:keepNext w:val="0"/>
        <w:keepLines w:val="0"/>
        <w:widowControl w:val="0"/>
        <w:suppressLineNumbers w:val="0"/>
        <w:spacing w:before="0" w:beforeAutospacing="1" w:after="120" w:afterAutospacing="0"/>
        <w:ind w:left="0" w:leftChars="0" w:right="0" w:firstLine="0" w:firstLineChars="0"/>
        <w:jc w:val="left"/>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附件</w:t>
      </w:r>
      <w:r>
        <w:rPr>
          <w:rFonts w:hint="default" w:ascii="Times New Roman" w:hAnsi="Times New Roman" w:eastAsia="黑体" w:cs="Times New Roman"/>
          <w:kern w:val="2"/>
          <w:sz w:val="32"/>
          <w:szCs w:val="32"/>
          <w:lang w:val="en-US" w:eastAsia="zh-CN"/>
        </w:rPr>
        <w:t>2</w:t>
      </w:r>
    </w:p>
    <w:p w14:paraId="37A793B6">
      <w:pPr>
        <w:keepNext w:val="0"/>
        <w:keepLines w:val="0"/>
        <w:widowControl/>
        <w:suppressLineNumbers w:val="0"/>
        <w:spacing w:before="0" w:beforeAutospacing="0" w:after="0" w:afterAutospacing="0"/>
        <w:ind w:left="0" w:right="0"/>
        <w:jc w:val="center"/>
        <w:textAlignment w:val="center"/>
        <w:rPr>
          <w:rFonts w:hint="eastAsia" w:ascii="方正小标宋简体" w:hAnsi="方正小标宋简体" w:eastAsia="方正小标宋简体" w:cs="方正小标宋简体"/>
          <w:i w:val="0"/>
          <w:iCs w:val="0"/>
          <w:color w:val="000000"/>
          <w:kern w:val="2"/>
          <w:sz w:val="44"/>
          <w:szCs w:val="44"/>
        </w:rPr>
      </w:pPr>
      <w:r>
        <w:rPr>
          <w:rFonts w:hint="eastAsia" w:ascii="方正小标宋简体" w:hAnsi="方正小标宋简体" w:eastAsia="方正小标宋简体" w:cs="方正小标宋简体"/>
          <w:i w:val="0"/>
          <w:iCs w:val="0"/>
          <w:color w:val="000000"/>
          <w:kern w:val="0"/>
          <w:sz w:val="44"/>
          <w:szCs w:val="44"/>
          <w:lang w:val="en-US" w:eastAsia="zh-CN"/>
        </w:rPr>
        <w:t>中共广元市昭化区委办公室</w:t>
      </w:r>
      <w:r>
        <w:rPr>
          <w:rFonts w:hint="default" w:ascii="Times New Roman" w:hAnsi="Times New Roman" w:eastAsia="方正小标宋简体" w:cs="Times New Roman"/>
          <w:i w:val="0"/>
          <w:iCs w:val="0"/>
          <w:color w:val="000000"/>
          <w:kern w:val="0"/>
          <w:sz w:val="44"/>
          <w:szCs w:val="44"/>
          <w:lang w:val="en-US" w:eastAsia="zh-CN"/>
        </w:rPr>
        <w:t>2023</w:t>
      </w:r>
      <w:r>
        <w:rPr>
          <w:rFonts w:hint="eastAsia" w:ascii="方正小标宋简体" w:hAnsi="方正小标宋简体" w:eastAsia="方正小标宋简体" w:cs="方正小标宋简体"/>
          <w:i w:val="0"/>
          <w:iCs w:val="0"/>
          <w:color w:val="000000"/>
          <w:kern w:val="0"/>
          <w:sz w:val="44"/>
          <w:szCs w:val="44"/>
          <w:lang w:val="en-US" w:eastAsia="zh-CN"/>
        </w:rPr>
        <w:t>年涉密类工作经费项目支出绩效自评评分表</w:t>
      </w:r>
    </w:p>
    <w:tbl>
      <w:tblPr>
        <w:tblStyle w:val="13"/>
        <w:tblW w:w="4833" w:type="pct"/>
        <w:tblInd w:w="33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416"/>
        <w:gridCol w:w="416"/>
        <w:gridCol w:w="416"/>
        <w:gridCol w:w="3216"/>
        <w:gridCol w:w="3162"/>
        <w:gridCol w:w="516"/>
      </w:tblGrid>
      <w:tr w14:paraId="3DB429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 w:hRule="atLeast"/>
        </w:trPr>
        <w:tc>
          <w:tcPr>
            <w:tcW w:w="87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4E068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绩效指标</w:t>
            </w:r>
          </w:p>
        </w:tc>
        <w:tc>
          <w:tcPr>
            <w:tcW w:w="185" w:type="pct"/>
            <w:vMerge w:val="restart"/>
            <w:tcBorders>
              <w:top w:val="single" w:color="000000" w:sz="4" w:space="0"/>
              <w:left w:val="nil"/>
              <w:bottom w:val="single" w:color="000000" w:sz="4" w:space="0"/>
              <w:right w:val="single" w:color="000000" w:sz="4" w:space="0"/>
            </w:tcBorders>
            <w:shd w:val="clear" w:color="auto" w:fill="auto"/>
            <w:vAlign w:val="center"/>
          </w:tcPr>
          <w:p w14:paraId="023EE386">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指标分值</w:t>
            </w:r>
          </w:p>
        </w:tc>
        <w:tc>
          <w:tcPr>
            <w:tcW w:w="1081" w:type="pct"/>
            <w:vMerge w:val="restart"/>
            <w:tcBorders>
              <w:top w:val="single" w:color="000000" w:sz="4" w:space="0"/>
              <w:left w:val="nil"/>
              <w:bottom w:val="single" w:color="000000" w:sz="4" w:space="0"/>
              <w:right w:val="single" w:color="000000" w:sz="4" w:space="0"/>
            </w:tcBorders>
            <w:shd w:val="clear" w:color="auto" w:fill="auto"/>
            <w:vAlign w:val="center"/>
          </w:tcPr>
          <w:p w14:paraId="3B6A60D7">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指标解释</w:t>
            </w:r>
          </w:p>
        </w:tc>
        <w:tc>
          <w:tcPr>
            <w:tcW w:w="2605" w:type="pct"/>
            <w:vMerge w:val="restart"/>
            <w:tcBorders>
              <w:top w:val="single" w:color="000000" w:sz="4" w:space="0"/>
              <w:left w:val="nil"/>
              <w:bottom w:val="single" w:color="000000" w:sz="4" w:space="0"/>
              <w:right w:val="single" w:color="000000" w:sz="4" w:space="0"/>
            </w:tcBorders>
            <w:shd w:val="clear" w:color="auto" w:fill="auto"/>
            <w:vAlign w:val="center"/>
          </w:tcPr>
          <w:p w14:paraId="5ABECCF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评价要点及说明</w:t>
            </w:r>
          </w:p>
        </w:tc>
        <w:tc>
          <w:tcPr>
            <w:tcW w:w="254" w:type="pct"/>
            <w:vMerge w:val="restart"/>
            <w:tcBorders>
              <w:top w:val="single" w:color="000000" w:sz="4" w:space="0"/>
              <w:left w:val="nil"/>
              <w:bottom w:val="single" w:color="000000" w:sz="4" w:space="0"/>
              <w:right w:val="single" w:color="000000" w:sz="4" w:space="0"/>
            </w:tcBorders>
            <w:shd w:val="clear" w:color="auto" w:fill="auto"/>
            <w:vAlign w:val="center"/>
          </w:tcPr>
          <w:p w14:paraId="77FD454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自评得分</w:t>
            </w:r>
          </w:p>
        </w:tc>
      </w:tr>
      <w:tr w14:paraId="6A68F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0BE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一级指标</w:t>
            </w:r>
          </w:p>
        </w:tc>
        <w:tc>
          <w:tcPr>
            <w:tcW w:w="282" w:type="pct"/>
            <w:tcBorders>
              <w:top w:val="single" w:color="000000" w:sz="4" w:space="0"/>
              <w:left w:val="nil"/>
              <w:bottom w:val="single" w:color="000000" w:sz="4" w:space="0"/>
              <w:right w:val="single" w:color="000000" w:sz="4" w:space="0"/>
            </w:tcBorders>
            <w:shd w:val="clear" w:color="auto" w:fill="auto"/>
            <w:vAlign w:val="center"/>
          </w:tcPr>
          <w:p w14:paraId="78F1A347">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二级指标</w:t>
            </w:r>
          </w:p>
        </w:tc>
        <w:tc>
          <w:tcPr>
            <w:tcW w:w="305" w:type="pct"/>
            <w:tcBorders>
              <w:top w:val="single" w:color="000000" w:sz="4" w:space="0"/>
              <w:left w:val="nil"/>
              <w:bottom w:val="single" w:color="000000" w:sz="4" w:space="0"/>
              <w:right w:val="single" w:color="000000" w:sz="4" w:space="0"/>
            </w:tcBorders>
            <w:shd w:val="clear" w:color="auto" w:fill="auto"/>
            <w:vAlign w:val="center"/>
          </w:tcPr>
          <w:p w14:paraId="3664A6B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三级指标</w:t>
            </w:r>
          </w:p>
        </w:tc>
        <w:tc>
          <w:tcPr>
            <w:tcW w:w="185" w:type="pct"/>
            <w:vMerge w:val="continue"/>
            <w:tcBorders>
              <w:top w:val="single" w:color="000000" w:sz="4" w:space="0"/>
              <w:left w:val="nil"/>
              <w:bottom w:val="single" w:color="000000" w:sz="4" w:space="0"/>
              <w:right w:val="single" w:color="000000" w:sz="4" w:space="0"/>
            </w:tcBorders>
            <w:shd w:val="clear" w:color="auto" w:fill="auto"/>
            <w:vAlign w:val="center"/>
          </w:tcPr>
          <w:p w14:paraId="4020229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81" w:type="pct"/>
            <w:vMerge w:val="continue"/>
            <w:tcBorders>
              <w:top w:val="single" w:color="000000" w:sz="4" w:space="0"/>
              <w:left w:val="nil"/>
              <w:bottom w:val="single" w:color="000000" w:sz="4" w:space="0"/>
              <w:right w:val="single" w:color="000000" w:sz="4" w:space="0"/>
            </w:tcBorders>
            <w:shd w:val="clear" w:color="auto" w:fill="auto"/>
            <w:vAlign w:val="center"/>
          </w:tcPr>
          <w:p w14:paraId="3DBFA32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605" w:type="pct"/>
            <w:vMerge w:val="continue"/>
            <w:tcBorders>
              <w:top w:val="single" w:color="000000" w:sz="4" w:space="0"/>
              <w:left w:val="nil"/>
              <w:bottom w:val="single" w:color="000000" w:sz="4" w:space="0"/>
              <w:right w:val="single" w:color="000000" w:sz="4" w:space="0"/>
            </w:tcBorders>
            <w:shd w:val="clear" w:color="auto" w:fill="auto"/>
            <w:vAlign w:val="center"/>
          </w:tcPr>
          <w:p w14:paraId="3E6C8C9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54" w:type="pct"/>
            <w:vMerge w:val="continue"/>
            <w:tcBorders>
              <w:top w:val="single" w:color="000000" w:sz="4" w:space="0"/>
              <w:left w:val="nil"/>
              <w:bottom w:val="single" w:color="000000" w:sz="4" w:space="0"/>
              <w:right w:val="single" w:color="000000" w:sz="4" w:space="0"/>
            </w:tcBorders>
            <w:shd w:val="clear" w:color="auto" w:fill="auto"/>
            <w:vAlign w:val="center"/>
          </w:tcPr>
          <w:p w14:paraId="415FA60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13395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1" w:hRule="atLeast"/>
        </w:trPr>
        <w:tc>
          <w:tcPr>
            <w:tcW w:w="284" w:type="pct"/>
            <w:vMerge w:val="restart"/>
            <w:tcBorders>
              <w:top w:val="nil"/>
              <w:left w:val="single" w:color="000000" w:sz="4" w:space="0"/>
              <w:bottom w:val="single" w:color="000000" w:sz="4" w:space="0"/>
              <w:right w:val="single" w:color="000000" w:sz="4" w:space="0"/>
            </w:tcBorders>
            <w:shd w:val="clear" w:color="auto" w:fill="auto"/>
            <w:vAlign w:val="center"/>
          </w:tcPr>
          <w:p w14:paraId="760BA8D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项目决策</w:t>
            </w:r>
          </w:p>
          <w:p w14:paraId="2C0243D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分）</w:t>
            </w:r>
          </w:p>
        </w:tc>
        <w:tc>
          <w:tcPr>
            <w:tcW w:w="282" w:type="pct"/>
            <w:tcBorders>
              <w:top w:val="single" w:color="000000" w:sz="4" w:space="0"/>
              <w:left w:val="nil"/>
              <w:bottom w:val="single" w:color="000000" w:sz="4" w:space="0"/>
              <w:right w:val="single" w:color="000000" w:sz="4" w:space="0"/>
            </w:tcBorders>
            <w:shd w:val="clear" w:color="auto" w:fill="auto"/>
            <w:vAlign w:val="center"/>
          </w:tcPr>
          <w:p w14:paraId="7F3217D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决策程序</w:t>
            </w:r>
          </w:p>
        </w:tc>
        <w:tc>
          <w:tcPr>
            <w:tcW w:w="305" w:type="pct"/>
            <w:tcBorders>
              <w:top w:val="single" w:color="000000" w:sz="4" w:space="0"/>
              <w:left w:val="nil"/>
              <w:bottom w:val="single" w:color="000000" w:sz="4" w:space="0"/>
              <w:right w:val="single" w:color="000000" w:sz="4" w:space="0"/>
            </w:tcBorders>
            <w:shd w:val="clear" w:color="auto" w:fill="auto"/>
            <w:vAlign w:val="center"/>
          </w:tcPr>
          <w:p w14:paraId="6A43CE64">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程序规范</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52260A3D">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20</w:t>
            </w:r>
          </w:p>
        </w:tc>
        <w:tc>
          <w:tcPr>
            <w:tcW w:w="1081" w:type="pct"/>
            <w:tcBorders>
              <w:top w:val="single" w:color="000000" w:sz="4" w:space="0"/>
              <w:left w:val="nil"/>
              <w:bottom w:val="single" w:color="000000" w:sz="4" w:space="0"/>
              <w:right w:val="single" w:color="000000" w:sz="4" w:space="0"/>
            </w:tcBorders>
            <w:shd w:val="clear" w:color="auto" w:fill="auto"/>
            <w:vAlign w:val="center"/>
          </w:tcPr>
          <w:p w14:paraId="6FEDA4AE">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部门预算项目设立是否与部门职能职责相符、是否充分履行项目申报论证程序。</w:t>
            </w:r>
          </w:p>
        </w:tc>
        <w:tc>
          <w:tcPr>
            <w:tcW w:w="2605" w:type="pct"/>
            <w:tcBorders>
              <w:top w:val="single" w:color="000000" w:sz="4" w:space="0"/>
              <w:left w:val="nil"/>
              <w:bottom w:val="single" w:color="000000" w:sz="4" w:space="0"/>
              <w:right w:val="single" w:color="000000" w:sz="4" w:space="0"/>
            </w:tcBorders>
            <w:shd w:val="clear" w:color="auto" w:fill="auto"/>
            <w:vAlign w:val="center"/>
          </w:tcPr>
          <w:p w14:paraId="4108FB95">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.项目申报未经过部门集体决策的扣</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w:t>
            </w:r>
          </w:p>
          <w:p w14:paraId="665C51D4">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.未纳入部门（单位）项目库或未履行部门（单位）入库审批程序的扣</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w:t>
            </w:r>
          </w:p>
          <w:p w14:paraId="041713C8">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3</w:t>
            </w:r>
            <w:r>
              <w:rPr>
                <w:rFonts w:hint="eastAsia" w:ascii="宋体" w:hAnsi="宋体" w:eastAsia="宋体" w:cs="宋体"/>
                <w:i w:val="0"/>
                <w:iCs w:val="0"/>
                <w:color w:val="000000"/>
                <w:kern w:val="0"/>
                <w:sz w:val="20"/>
                <w:szCs w:val="20"/>
                <w:lang w:val="en-US" w:eastAsia="zh-CN"/>
              </w:rPr>
              <w:t>.纳入项目库的项目未按规定完成可行性研究论证、制定具体实施计划等各项前期工作或预算测算不够清晰的，酌情扣分，最多扣</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w:t>
            </w:r>
          </w:p>
          <w:p w14:paraId="46DAEC97">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4</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50</w:t>
            </w:r>
            <w:r>
              <w:rPr>
                <w:rFonts w:hint="eastAsia" w:ascii="宋体" w:hAnsi="宋体" w:eastAsia="宋体" w:cs="宋体"/>
                <w:i w:val="0"/>
                <w:iCs w:val="0"/>
                <w:color w:val="000000"/>
                <w:kern w:val="0"/>
                <w:sz w:val="20"/>
                <w:szCs w:val="20"/>
                <w:lang w:val="en-US" w:eastAsia="zh-CN"/>
              </w:rPr>
              <w:t>万元以上的新增项目或增幅达到</w:t>
            </w:r>
            <w:r>
              <w:rPr>
                <w:rFonts w:hint="default" w:ascii="Times New Roman" w:hAnsi="Times New Roman" w:eastAsia="宋体" w:cs="Times New Roman"/>
                <w:i w:val="0"/>
                <w:iCs w:val="0"/>
                <w:color w:val="000000"/>
                <w:kern w:val="0"/>
                <w:sz w:val="20"/>
                <w:szCs w:val="20"/>
                <w:lang w:val="en-US" w:eastAsia="zh-CN"/>
              </w:rPr>
              <w:t>20</w:t>
            </w:r>
            <w:r>
              <w:rPr>
                <w:rFonts w:hint="eastAsia" w:ascii="宋体" w:hAnsi="宋体" w:eastAsia="宋体" w:cs="宋体"/>
                <w:i w:val="0"/>
                <w:iCs w:val="0"/>
                <w:color w:val="000000"/>
                <w:kern w:val="0"/>
                <w:sz w:val="20"/>
                <w:szCs w:val="20"/>
                <w:lang w:val="en-US" w:eastAsia="zh-CN"/>
              </w:rPr>
              <w:t>%或</w:t>
            </w:r>
            <w:r>
              <w:rPr>
                <w:rFonts w:hint="default" w:ascii="Times New Roman" w:hAnsi="Times New Roman" w:eastAsia="宋体" w:cs="Times New Roman"/>
                <w:i w:val="0"/>
                <w:iCs w:val="0"/>
                <w:color w:val="000000"/>
                <w:kern w:val="0"/>
                <w:sz w:val="20"/>
                <w:szCs w:val="20"/>
                <w:lang w:val="en-US" w:eastAsia="zh-CN"/>
              </w:rPr>
              <w:t>50</w:t>
            </w:r>
            <w:r>
              <w:rPr>
                <w:rFonts w:hint="eastAsia" w:ascii="宋体" w:hAnsi="宋体" w:eastAsia="宋体" w:cs="宋体"/>
                <w:i w:val="0"/>
                <w:iCs w:val="0"/>
                <w:color w:val="000000"/>
                <w:kern w:val="0"/>
                <w:sz w:val="20"/>
                <w:szCs w:val="20"/>
                <w:lang w:val="en-US" w:eastAsia="zh-CN"/>
              </w:rPr>
              <w:t>万元以上的延续项目，未开展事前绩效评估的扣</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w:t>
            </w:r>
          </w:p>
          <w:p w14:paraId="429DB10C">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.如项目为新建信息化项目，项目申报论证未履行相关程序的，缺</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项程序扣</w:t>
            </w: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分，扣完为止。</w:t>
            </w:r>
          </w:p>
        </w:tc>
        <w:tc>
          <w:tcPr>
            <w:tcW w:w="254" w:type="pct"/>
            <w:tcBorders>
              <w:top w:val="single" w:color="000000" w:sz="4" w:space="0"/>
              <w:left w:val="nil"/>
              <w:bottom w:val="single" w:color="000000" w:sz="4" w:space="0"/>
              <w:right w:val="single" w:color="000000" w:sz="4" w:space="0"/>
            </w:tcBorders>
            <w:shd w:val="clear" w:color="auto" w:fill="auto"/>
            <w:noWrap/>
            <w:vAlign w:val="center"/>
          </w:tcPr>
          <w:p w14:paraId="0104520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20</w:t>
            </w:r>
          </w:p>
        </w:tc>
      </w:tr>
      <w:tr w14:paraId="1AD45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3" w:hRule="atLeast"/>
        </w:trPr>
        <w:tc>
          <w:tcPr>
            <w:tcW w:w="284" w:type="pct"/>
            <w:vMerge w:val="continue"/>
            <w:tcBorders>
              <w:top w:val="nil"/>
              <w:left w:val="single" w:color="000000" w:sz="4" w:space="0"/>
              <w:bottom w:val="single" w:color="000000" w:sz="4" w:space="0"/>
              <w:right w:val="single" w:color="000000" w:sz="4" w:space="0"/>
            </w:tcBorders>
            <w:shd w:val="clear" w:color="auto" w:fill="auto"/>
            <w:vAlign w:val="center"/>
          </w:tcPr>
          <w:p w14:paraId="6EF7890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 w:type="pct"/>
            <w:tcBorders>
              <w:top w:val="single" w:color="000000" w:sz="4" w:space="0"/>
              <w:left w:val="nil"/>
              <w:bottom w:val="single" w:color="000000" w:sz="4" w:space="0"/>
              <w:right w:val="single" w:color="000000" w:sz="4" w:space="0"/>
            </w:tcBorders>
            <w:shd w:val="clear" w:color="auto" w:fill="auto"/>
            <w:vAlign w:val="center"/>
          </w:tcPr>
          <w:p w14:paraId="71E823AF">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目标制定</w:t>
            </w:r>
          </w:p>
        </w:tc>
        <w:tc>
          <w:tcPr>
            <w:tcW w:w="305" w:type="pct"/>
            <w:tcBorders>
              <w:top w:val="single" w:color="000000" w:sz="4" w:space="0"/>
              <w:left w:val="nil"/>
              <w:bottom w:val="single" w:color="000000" w:sz="4" w:space="0"/>
              <w:right w:val="single" w:color="000000" w:sz="4" w:space="0"/>
            </w:tcBorders>
            <w:shd w:val="clear" w:color="auto" w:fill="auto"/>
            <w:vAlign w:val="center"/>
          </w:tcPr>
          <w:p w14:paraId="1B09D78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编制质量</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022B0F4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c>
          <w:tcPr>
            <w:tcW w:w="1081" w:type="pct"/>
            <w:tcBorders>
              <w:top w:val="single" w:color="000000" w:sz="4" w:space="0"/>
              <w:left w:val="nil"/>
              <w:bottom w:val="single" w:color="000000" w:sz="4" w:space="0"/>
              <w:right w:val="single" w:color="000000" w:sz="4" w:space="0"/>
            </w:tcBorders>
            <w:shd w:val="clear" w:color="auto" w:fill="auto"/>
            <w:vAlign w:val="center"/>
          </w:tcPr>
          <w:p w14:paraId="67A8A128">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项目绩效目标制定是否符合科学合理、规范完整、量化细化、预算匹配的要求。</w:t>
            </w:r>
          </w:p>
        </w:tc>
        <w:tc>
          <w:tcPr>
            <w:tcW w:w="2605" w:type="pct"/>
            <w:tcBorders>
              <w:top w:val="single" w:color="000000" w:sz="4" w:space="0"/>
              <w:left w:val="nil"/>
              <w:bottom w:val="single" w:color="000000" w:sz="4" w:space="0"/>
              <w:right w:val="single" w:color="000000" w:sz="4" w:space="0"/>
            </w:tcBorders>
            <w:shd w:val="clear" w:color="auto" w:fill="auto"/>
            <w:vAlign w:val="center"/>
          </w:tcPr>
          <w:p w14:paraId="5C6E6980">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.绩效目标是否符合有关中长期工作规划、部门“三定”方案确定的职责；</w:t>
            </w:r>
          </w:p>
          <w:p w14:paraId="794486C4">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.绩效目标是否细化分解为具体的绩效指标，指标设置是否高度关联、重点突出、量化易评；</w:t>
            </w:r>
          </w:p>
          <w:p w14:paraId="375422C4">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3</w:t>
            </w:r>
            <w:r>
              <w:rPr>
                <w:rFonts w:hint="eastAsia" w:ascii="宋体" w:hAnsi="宋体" w:eastAsia="宋体" w:cs="宋体"/>
                <w:i w:val="0"/>
                <w:iCs w:val="0"/>
                <w:color w:val="000000"/>
                <w:kern w:val="0"/>
                <w:sz w:val="20"/>
                <w:szCs w:val="20"/>
                <w:lang w:val="en-US" w:eastAsia="zh-CN"/>
              </w:rPr>
              <w:t>.绩效目标是否与年度任务数或计划数相对应；</w:t>
            </w:r>
          </w:p>
          <w:p w14:paraId="75614807">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default" w:ascii="Times New Roman" w:hAnsi="Times New Roman" w:eastAsia="宋体" w:cs="Times New Roman"/>
                <w:i w:val="0"/>
                <w:iCs w:val="0"/>
                <w:color w:val="000000"/>
                <w:kern w:val="0"/>
                <w:sz w:val="20"/>
                <w:szCs w:val="20"/>
                <w:lang w:val="en-US" w:eastAsia="zh-CN"/>
              </w:rPr>
              <w:t>4</w:t>
            </w:r>
            <w:r>
              <w:rPr>
                <w:rFonts w:hint="eastAsia" w:ascii="宋体" w:hAnsi="宋体" w:eastAsia="宋体" w:cs="宋体"/>
                <w:i w:val="0"/>
                <w:iCs w:val="0"/>
                <w:color w:val="000000"/>
                <w:kern w:val="0"/>
                <w:sz w:val="20"/>
                <w:szCs w:val="20"/>
                <w:lang w:val="en-US" w:eastAsia="zh-CN"/>
              </w:rPr>
              <w:t>.绩效目标是否与预算确定的项目投资额或资金量相匹配。</w:t>
            </w:r>
          </w:p>
          <w:p w14:paraId="776388D5">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绩效目标制定不符合科学合理、规范完整、量化细化、预算匹配要求的，发现一处扣</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分，扣完为止。</w:t>
            </w:r>
          </w:p>
        </w:tc>
        <w:tc>
          <w:tcPr>
            <w:tcW w:w="254" w:type="pct"/>
            <w:tcBorders>
              <w:top w:val="single" w:color="000000" w:sz="4" w:space="0"/>
              <w:left w:val="nil"/>
              <w:bottom w:val="single" w:color="000000" w:sz="4" w:space="0"/>
              <w:right w:val="single" w:color="000000" w:sz="4" w:space="0"/>
            </w:tcBorders>
            <w:shd w:val="clear" w:color="auto" w:fill="auto"/>
            <w:noWrap/>
            <w:vAlign w:val="center"/>
          </w:tcPr>
          <w:p w14:paraId="40D93C92">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r>
      <w:tr w14:paraId="44100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284" w:type="pct"/>
            <w:vMerge w:val="restart"/>
            <w:tcBorders>
              <w:top w:val="nil"/>
              <w:left w:val="single" w:color="000000" w:sz="4" w:space="0"/>
              <w:bottom w:val="nil"/>
              <w:right w:val="single" w:color="000000" w:sz="4" w:space="0"/>
            </w:tcBorders>
            <w:shd w:val="clear" w:color="auto" w:fill="auto"/>
            <w:vAlign w:val="center"/>
          </w:tcPr>
          <w:p w14:paraId="0ADC0FF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项目执行（</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分）</w:t>
            </w:r>
          </w:p>
        </w:tc>
        <w:tc>
          <w:tcPr>
            <w:tcW w:w="282" w:type="pct"/>
            <w:tcBorders>
              <w:top w:val="single" w:color="000000" w:sz="4" w:space="0"/>
              <w:left w:val="nil"/>
              <w:bottom w:val="single" w:color="000000" w:sz="4" w:space="0"/>
              <w:right w:val="single" w:color="000000" w:sz="4" w:space="0"/>
            </w:tcBorders>
            <w:shd w:val="clear" w:color="auto" w:fill="auto"/>
            <w:vAlign w:val="center"/>
          </w:tcPr>
          <w:p w14:paraId="505F7237">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执行同向</w:t>
            </w:r>
          </w:p>
        </w:tc>
        <w:tc>
          <w:tcPr>
            <w:tcW w:w="305" w:type="pct"/>
            <w:tcBorders>
              <w:top w:val="single" w:color="000000" w:sz="4" w:space="0"/>
              <w:left w:val="nil"/>
              <w:bottom w:val="single" w:color="000000" w:sz="4" w:space="0"/>
              <w:right w:val="single" w:color="000000" w:sz="4" w:space="0"/>
            </w:tcBorders>
            <w:shd w:val="clear" w:color="auto" w:fill="auto"/>
            <w:vAlign w:val="center"/>
          </w:tcPr>
          <w:p w14:paraId="4A84279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目标匹配</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785048A0">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c>
          <w:tcPr>
            <w:tcW w:w="1081" w:type="pct"/>
            <w:tcBorders>
              <w:top w:val="single" w:color="000000" w:sz="4" w:space="0"/>
              <w:left w:val="nil"/>
              <w:bottom w:val="single" w:color="000000" w:sz="4" w:space="0"/>
              <w:right w:val="single" w:color="000000" w:sz="4" w:space="0"/>
            </w:tcBorders>
            <w:shd w:val="clear" w:color="auto" w:fill="auto"/>
            <w:vAlign w:val="center"/>
          </w:tcPr>
          <w:p w14:paraId="68F1696B">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项目实际列支内容是否与项目绩效目标设置方向相符。</w:t>
            </w:r>
          </w:p>
        </w:tc>
        <w:tc>
          <w:tcPr>
            <w:tcW w:w="2605" w:type="pct"/>
            <w:tcBorders>
              <w:top w:val="single" w:color="000000" w:sz="4" w:space="0"/>
              <w:left w:val="nil"/>
              <w:bottom w:val="single" w:color="000000" w:sz="4" w:space="0"/>
              <w:right w:val="single" w:color="000000" w:sz="4" w:space="0"/>
            </w:tcBorders>
            <w:shd w:val="clear" w:color="auto" w:fill="auto"/>
            <w:vAlign w:val="center"/>
          </w:tcPr>
          <w:p w14:paraId="0FD6B672">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项目实际列支内容与绩效目标设置方向不相符的，发现一处扣</w:t>
            </w: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分，扣完为止。</w:t>
            </w:r>
          </w:p>
        </w:tc>
        <w:tc>
          <w:tcPr>
            <w:tcW w:w="254" w:type="pct"/>
            <w:tcBorders>
              <w:top w:val="single" w:color="000000" w:sz="4" w:space="0"/>
              <w:left w:val="nil"/>
              <w:bottom w:val="single" w:color="000000" w:sz="4" w:space="0"/>
              <w:right w:val="single" w:color="000000" w:sz="4" w:space="0"/>
            </w:tcBorders>
            <w:shd w:val="clear" w:color="auto" w:fill="auto"/>
            <w:noWrap/>
            <w:vAlign w:val="center"/>
          </w:tcPr>
          <w:p w14:paraId="4853625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r>
      <w:tr w14:paraId="6C320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84" w:type="pct"/>
            <w:vMerge w:val="continue"/>
            <w:tcBorders>
              <w:top w:val="nil"/>
              <w:left w:val="single" w:color="000000" w:sz="4" w:space="0"/>
              <w:bottom w:val="nil"/>
              <w:right w:val="single" w:color="000000" w:sz="4" w:space="0"/>
            </w:tcBorders>
            <w:shd w:val="clear" w:color="auto" w:fill="auto"/>
            <w:vAlign w:val="center"/>
          </w:tcPr>
          <w:p w14:paraId="004478C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 w:type="pct"/>
            <w:tcBorders>
              <w:top w:val="single" w:color="000000" w:sz="4" w:space="0"/>
              <w:left w:val="nil"/>
              <w:bottom w:val="nil"/>
              <w:right w:val="single" w:color="000000" w:sz="4" w:space="0"/>
            </w:tcBorders>
            <w:shd w:val="clear" w:color="auto" w:fill="auto"/>
            <w:vAlign w:val="center"/>
          </w:tcPr>
          <w:p w14:paraId="7AC92696">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项目调整</w:t>
            </w:r>
          </w:p>
        </w:tc>
        <w:tc>
          <w:tcPr>
            <w:tcW w:w="305" w:type="pct"/>
            <w:tcBorders>
              <w:top w:val="single" w:color="000000" w:sz="4" w:space="0"/>
              <w:left w:val="nil"/>
              <w:bottom w:val="single" w:color="000000" w:sz="4" w:space="0"/>
              <w:right w:val="single" w:color="000000" w:sz="4" w:space="0"/>
            </w:tcBorders>
            <w:shd w:val="clear" w:color="auto" w:fill="auto"/>
            <w:vAlign w:val="center"/>
          </w:tcPr>
          <w:p w14:paraId="2C974B5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预算调整</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0865D62D">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c>
          <w:tcPr>
            <w:tcW w:w="1081" w:type="pct"/>
            <w:tcBorders>
              <w:top w:val="single" w:color="000000" w:sz="4" w:space="0"/>
              <w:left w:val="nil"/>
              <w:bottom w:val="single" w:color="000000" w:sz="4" w:space="0"/>
              <w:right w:val="single" w:color="000000" w:sz="4" w:space="0"/>
            </w:tcBorders>
            <w:shd w:val="clear" w:color="auto" w:fill="auto"/>
            <w:vAlign w:val="center"/>
          </w:tcPr>
          <w:p w14:paraId="298E42EF">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申请项目预算调整是否程序规范，依据充分。</w:t>
            </w:r>
          </w:p>
        </w:tc>
        <w:tc>
          <w:tcPr>
            <w:tcW w:w="2605" w:type="pct"/>
            <w:tcBorders>
              <w:top w:val="single" w:color="000000" w:sz="4" w:space="0"/>
              <w:left w:val="nil"/>
              <w:bottom w:val="single" w:color="000000" w:sz="4" w:space="0"/>
              <w:right w:val="single" w:color="000000" w:sz="4" w:space="0"/>
            </w:tcBorders>
            <w:shd w:val="clear" w:color="auto" w:fill="auto"/>
            <w:vAlign w:val="center"/>
          </w:tcPr>
          <w:p w14:paraId="34296E1D">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未按照规定程序申请项目预算调整的，不得分；申请预算调整依据不充分的，酌情扣分，扣完为止。</w:t>
            </w:r>
          </w:p>
        </w:tc>
        <w:tc>
          <w:tcPr>
            <w:tcW w:w="254" w:type="pct"/>
            <w:tcBorders>
              <w:top w:val="single" w:color="000000" w:sz="4" w:space="0"/>
              <w:left w:val="nil"/>
              <w:bottom w:val="single" w:color="000000" w:sz="4" w:space="0"/>
              <w:right w:val="single" w:color="000000" w:sz="4" w:space="0"/>
            </w:tcBorders>
            <w:shd w:val="clear" w:color="auto" w:fill="auto"/>
            <w:noWrap/>
            <w:vAlign w:val="center"/>
          </w:tcPr>
          <w:p w14:paraId="51A1A8E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w:t>
            </w:r>
          </w:p>
        </w:tc>
      </w:tr>
      <w:tr w14:paraId="5DFEC7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284" w:type="pct"/>
            <w:vMerge w:val="continue"/>
            <w:tcBorders>
              <w:top w:val="nil"/>
              <w:left w:val="single" w:color="000000" w:sz="4" w:space="0"/>
              <w:bottom w:val="nil"/>
              <w:right w:val="single" w:color="000000" w:sz="4" w:space="0"/>
            </w:tcBorders>
            <w:shd w:val="clear" w:color="auto" w:fill="auto"/>
            <w:vAlign w:val="center"/>
          </w:tcPr>
          <w:p w14:paraId="60AF2DE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 w:type="pct"/>
            <w:tcBorders>
              <w:top w:val="single" w:color="000000" w:sz="4" w:space="0"/>
              <w:left w:val="nil"/>
              <w:bottom w:val="single" w:color="000000" w:sz="4" w:space="0"/>
              <w:right w:val="single" w:color="000000" w:sz="4" w:space="0"/>
            </w:tcBorders>
            <w:shd w:val="clear" w:color="auto" w:fill="auto"/>
            <w:vAlign w:val="center"/>
          </w:tcPr>
          <w:p w14:paraId="49D786E8">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预算执行</w:t>
            </w:r>
          </w:p>
        </w:tc>
        <w:tc>
          <w:tcPr>
            <w:tcW w:w="305" w:type="pct"/>
            <w:tcBorders>
              <w:top w:val="single" w:color="000000" w:sz="4" w:space="0"/>
              <w:left w:val="nil"/>
              <w:bottom w:val="single" w:color="000000" w:sz="4" w:space="0"/>
              <w:right w:val="single" w:color="000000" w:sz="4" w:space="0"/>
            </w:tcBorders>
            <w:shd w:val="clear" w:color="auto" w:fill="auto"/>
            <w:vAlign w:val="center"/>
          </w:tcPr>
          <w:p w14:paraId="4162476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执行进度</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4D753564">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4</w:t>
            </w:r>
          </w:p>
        </w:tc>
        <w:tc>
          <w:tcPr>
            <w:tcW w:w="1081" w:type="pct"/>
            <w:tcBorders>
              <w:top w:val="single" w:color="000000" w:sz="4" w:space="0"/>
              <w:left w:val="nil"/>
              <w:bottom w:val="single" w:color="000000" w:sz="4" w:space="0"/>
              <w:right w:val="single" w:color="000000" w:sz="4" w:space="0"/>
            </w:tcBorders>
            <w:shd w:val="clear" w:color="auto" w:fill="auto"/>
            <w:vAlign w:val="center"/>
          </w:tcPr>
          <w:p w14:paraId="56A4F95F">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部门预算项目在</w:t>
            </w:r>
            <w:r>
              <w:rPr>
                <w:rFonts w:hint="default" w:ascii="Times New Roman" w:hAnsi="Times New Roman" w:eastAsia="宋体" w:cs="Times New Roman"/>
                <w:i w:val="0"/>
                <w:iCs w:val="0"/>
                <w:color w:val="000000"/>
                <w:kern w:val="0"/>
                <w:sz w:val="20"/>
                <w:szCs w:val="20"/>
                <w:lang w:val="en-US" w:eastAsia="zh-CN"/>
              </w:rPr>
              <w:t>6</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11</w:t>
            </w:r>
            <w:r>
              <w:rPr>
                <w:rFonts w:hint="eastAsia" w:ascii="宋体" w:hAnsi="宋体" w:eastAsia="宋体" w:cs="宋体"/>
                <w:i w:val="0"/>
                <w:iCs w:val="0"/>
                <w:color w:val="000000"/>
                <w:kern w:val="0"/>
                <w:sz w:val="20"/>
                <w:szCs w:val="20"/>
                <w:lang w:val="en-US" w:eastAsia="zh-CN"/>
              </w:rPr>
              <w:t>月的预算执行情况。</w:t>
            </w:r>
          </w:p>
        </w:tc>
        <w:tc>
          <w:tcPr>
            <w:tcW w:w="2605" w:type="pct"/>
            <w:tcBorders>
              <w:top w:val="single" w:color="000000" w:sz="4" w:space="0"/>
              <w:left w:val="nil"/>
              <w:bottom w:val="single" w:color="000000" w:sz="4" w:space="0"/>
              <w:right w:val="single" w:color="000000" w:sz="4" w:space="0"/>
            </w:tcBorders>
            <w:shd w:val="clear" w:color="auto" w:fill="auto"/>
            <w:vAlign w:val="center"/>
          </w:tcPr>
          <w:p w14:paraId="34EA7903">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部门预算项目预算执行进度在</w:t>
            </w:r>
            <w:r>
              <w:rPr>
                <w:rFonts w:hint="default" w:ascii="Times New Roman" w:hAnsi="Times New Roman" w:eastAsia="宋体" w:cs="Times New Roman"/>
                <w:i w:val="0"/>
                <w:iCs w:val="0"/>
                <w:color w:val="000000"/>
                <w:kern w:val="0"/>
                <w:sz w:val="20"/>
                <w:szCs w:val="20"/>
                <w:lang w:val="en-US" w:eastAsia="zh-CN"/>
              </w:rPr>
              <w:t>6</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11</w:t>
            </w:r>
            <w:r>
              <w:rPr>
                <w:rFonts w:hint="eastAsia" w:ascii="宋体" w:hAnsi="宋体" w:eastAsia="宋体" w:cs="宋体"/>
                <w:i w:val="0"/>
                <w:iCs w:val="0"/>
                <w:color w:val="000000"/>
                <w:kern w:val="0"/>
                <w:sz w:val="20"/>
                <w:szCs w:val="20"/>
                <w:lang w:val="en-US" w:eastAsia="zh-CN"/>
              </w:rPr>
              <w:t>月应达到序时进度的</w:t>
            </w:r>
            <w:r>
              <w:rPr>
                <w:rFonts w:hint="default" w:ascii="Times New Roman" w:hAnsi="Times New Roman" w:eastAsia="宋体" w:cs="Times New Roman"/>
                <w:i w:val="0"/>
                <w:iCs w:val="0"/>
                <w:color w:val="000000"/>
                <w:kern w:val="0"/>
                <w:sz w:val="20"/>
                <w:szCs w:val="20"/>
                <w:lang w:val="en-US" w:eastAsia="zh-CN"/>
              </w:rPr>
              <w:t>80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90</w:t>
            </w:r>
            <w:r>
              <w:rPr>
                <w:rFonts w:hint="eastAsia" w:ascii="宋体" w:hAnsi="宋体" w:eastAsia="宋体" w:cs="宋体"/>
                <w:i w:val="0"/>
                <w:iCs w:val="0"/>
                <w:color w:val="000000"/>
                <w:kern w:val="0"/>
                <w:sz w:val="20"/>
                <w:szCs w:val="20"/>
                <w:lang w:val="en-US" w:eastAsia="zh-CN"/>
              </w:rPr>
              <w:t>%，即实际支出进度分别达到</w:t>
            </w:r>
            <w:r>
              <w:rPr>
                <w:rFonts w:hint="default" w:ascii="Times New Roman" w:hAnsi="Times New Roman" w:eastAsia="宋体" w:cs="Times New Roman"/>
                <w:i w:val="0"/>
                <w:iCs w:val="0"/>
                <w:color w:val="000000"/>
                <w:kern w:val="0"/>
                <w:sz w:val="20"/>
                <w:szCs w:val="20"/>
                <w:lang w:val="en-US" w:eastAsia="zh-CN"/>
              </w:rPr>
              <w:t>40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67</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82</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5</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6</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9</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11</w:t>
            </w:r>
            <w:r>
              <w:rPr>
                <w:rFonts w:hint="eastAsia" w:ascii="宋体" w:hAnsi="宋体" w:eastAsia="宋体" w:cs="宋体"/>
                <w:i w:val="0"/>
                <w:iCs w:val="0"/>
                <w:color w:val="000000"/>
                <w:kern w:val="0"/>
                <w:sz w:val="20"/>
                <w:szCs w:val="20"/>
                <w:lang w:val="en-US" w:eastAsia="zh-CN"/>
              </w:rPr>
              <w:t>月部门预算执行进度达到目标进度的分别得</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分、</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分、</w:t>
            </w:r>
            <w:r>
              <w:rPr>
                <w:rFonts w:hint="default" w:ascii="Times New Roman" w:hAnsi="Times New Roman" w:eastAsia="宋体" w:cs="Times New Roman"/>
                <w:i w:val="0"/>
                <w:iCs w:val="0"/>
                <w:color w:val="000000"/>
                <w:kern w:val="0"/>
                <w:sz w:val="20"/>
                <w:szCs w:val="20"/>
                <w:lang w:val="en-US" w:eastAsia="zh-CN"/>
              </w:rPr>
              <w:t>2</w:t>
            </w:r>
            <w:r>
              <w:rPr>
                <w:rFonts w:hint="eastAsia" w:ascii="宋体" w:hAnsi="宋体" w:eastAsia="宋体" w:cs="宋体"/>
                <w:i w:val="0"/>
                <w:iCs w:val="0"/>
                <w:color w:val="000000"/>
                <w:kern w:val="0"/>
                <w:sz w:val="20"/>
                <w:szCs w:val="20"/>
                <w:lang w:val="en-US" w:eastAsia="zh-CN"/>
              </w:rPr>
              <w:t>分，未达到目标进度的按其实际进度占目标进度的比重计算得分。</w:t>
            </w:r>
          </w:p>
        </w:tc>
        <w:tc>
          <w:tcPr>
            <w:tcW w:w="254" w:type="pct"/>
            <w:tcBorders>
              <w:top w:val="single" w:color="000000" w:sz="4" w:space="0"/>
              <w:left w:val="nil"/>
              <w:bottom w:val="single" w:color="000000" w:sz="4" w:space="0"/>
              <w:right w:val="single" w:color="000000" w:sz="4" w:space="0"/>
            </w:tcBorders>
            <w:shd w:val="clear" w:color="auto" w:fill="auto"/>
            <w:noWrap/>
            <w:vAlign w:val="center"/>
          </w:tcPr>
          <w:p w14:paraId="551A931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44</w:t>
            </w:r>
          </w:p>
        </w:tc>
      </w:tr>
      <w:tr w14:paraId="0B1D5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284" w:type="pct"/>
            <w:vMerge w:val="continue"/>
            <w:tcBorders>
              <w:top w:val="nil"/>
              <w:left w:val="single" w:color="000000" w:sz="4" w:space="0"/>
              <w:bottom w:val="nil"/>
              <w:right w:val="single" w:color="000000" w:sz="4" w:space="0"/>
            </w:tcBorders>
            <w:shd w:val="clear" w:color="auto" w:fill="auto"/>
            <w:vAlign w:val="center"/>
          </w:tcPr>
          <w:p w14:paraId="71A7B9B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 w:type="pct"/>
            <w:tcBorders>
              <w:top w:val="single" w:color="000000" w:sz="4" w:space="0"/>
              <w:left w:val="nil"/>
              <w:bottom w:val="single" w:color="000000" w:sz="4" w:space="0"/>
              <w:right w:val="single" w:color="000000" w:sz="4" w:space="0"/>
            </w:tcBorders>
            <w:shd w:val="clear" w:color="auto" w:fill="auto"/>
            <w:vAlign w:val="center"/>
          </w:tcPr>
          <w:p w14:paraId="456F34D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预算结余</w:t>
            </w:r>
          </w:p>
        </w:tc>
        <w:tc>
          <w:tcPr>
            <w:tcW w:w="305" w:type="pct"/>
            <w:tcBorders>
              <w:top w:val="single" w:color="000000" w:sz="4" w:space="0"/>
              <w:left w:val="nil"/>
              <w:bottom w:val="single" w:color="000000" w:sz="4" w:space="0"/>
              <w:right w:val="single" w:color="000000" w:sz="4" w:space="0"/>
            </w:tcBorders>
            <w:shd w:val="clear" w:color="auto" w:fill="auto"/>
            <w:vAlign w:val="center"/>
          </w:tcPr>
          <w:p w14:paraId="2E8A799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预算结余率</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67328F1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6</w:t>
            </w:r>
          </w:p>
        </w:tc>
        <w:tc>
          <w:tcPr>
            <w:tcW w:w="1081" w:type="pct"/>
            <w:tcBorders>
              <w:top w:val="single" w:color="000000" w:sz="4" w:space="0"/>
              <w:left w:val="nil"/>
              <w:bottom w:val="single" w:color="000000" w:sz="4" w:space="0"/>
              <w:right w:val="single" w:color="000000" w:sz="4" w:space="0"/>
            </w:tcBorders>
            <w:shd w:val="clear" w:color="auto" w:fill="auto"/>
            <w:noWrap/>
            <w:vAlign w:val="center"/>
          </w:tcPr>
          <w:p w14:paraId="0F95E6D5">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部门预算项目年终预算结余情况。</w:t>
            </w:r>
          </w:p>
        </w:tc>
        <w:tc>
          <w:tcPr>
            <w:tcW w:w="2605" w:type="pct"/>
            <w:tcBorders>
              <w:top w:val="single" w:color="000000" w:sz="4" w:space="0"/>
              <w:left w:val="nil"/>
              <w:bottom w:val="single" w:color="000000" w:sz="4" w:space="0"/>
              <w:right w:val="single" w:color="000000" w:sz="4" w:space="0"/>
            </w:tcBorders>
            <w:shd w:val="clear" w:color="auto" w:fill="auto"/>
            <w:vAlign w:val="center"/>
          </w:tcPr>
          <w:p w14:paraId="4DE0BA75">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指标得分=（</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-预算结余率/</w:t>
            </w:r>
            <w:r>
              <w:rPr>
                <w:rFonts w:hint="default" w:ascii="Times New Roman" w:hAnsi="Times New Roman" w:eastAsia="宋体" w:cs="Times New Roman"/>
                <w:i w:val="0"/>
                <w:iCs w:val="0"/>
                <w:color w:val="000000"/>
                <w:kern w:val="0"/>
                <w:sz w:val="20"/>
                <w:szCs w:val="20"/>
                <w:lang w:val="en-US" w:eastAsia="zh-CN"/>
              </w:rPr>
              <w:t>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6</w:t>
            </w:r>
            <w:r>
              <w:rPr>
                <w:rFonts w:hint="eastAsia" w:ascii="宋体" w:hAnsi="宋体" w:eastAsia="宋体" w:cs="宋体"/>
                <w:i w:val="0"/>
                <w:iCs w:val="0"/>
                <w:color w:val="000000"/>
                <w:kern w:val="0"/>
                <w:sz w:val="20"/>
                <w:szCs w:val="20"/>
                <w:lang w:val="en-US" w:eastAsia="zh-CN"/>
              </w:rPr>
              <w:t>分预算结余率大于等于</w:t>
            </w:r>
            <w:r>
              <w:rPr>
                <w:rFonts w:hint="default" w:ascii="Times New Roman" w:hAnsi="Times New Roman" w:eastAsia="宋体" w:cs="Times New Roman"/>
                <w:i w:val="0"/>
                <w:iCs w:val="0"/>
                <w:color w:val="000000"/>
                <w:kern w:val="0"/>
                <w:sz w:val="20"/>
                <w:szCs w:val="20"/>
                <w:lang w:val="en-US" w:eastAsia="zh-CN"/>
              </w:rPr>
              <w:t>0</w:t>
            </w: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1</w:t>
            </w:r>
            <w:r>
              <w:rPr>
                <w:rFonts w:hint="eastAsia" w:ascii="宋体" w:hAnsi="宋体" w:eastAsia="宋体" w:cs="宋体"/>
                <w:i w:val="0"/>
                <w:iCs w:val="0"/>
                <w:color w:val="000000"/>
                <w:kern w:val="0"/>
                <w:sz w:val="20"/>
                <w:szCs w:val="20"/>
                <w:lang w:val="en-US" w:eastAsia="zh-CN"/>
              </w:rPr>
              <w:t>，指标得</w:t>
            </w:r>
            <w:r>
              <w:rPr>
                <w:rFonts w:hint="default" w:ascii="Times New Roman" w:hAnsi="Times New Roman" w:eastAsia="宋体" w:cs="Times New Roman"/>
                <w:i w:val="0"/>
                <w:iCs w:val="0"/>
                <w:color w:val="000000"/>
                <w:kern w:val="0"/>
                <w:sz w:val="20"/>
                <w:szCs w:val="20"/>
                <w:lang w:val="en-US" w:eastAsia="zh-CN"/>
              </w:rPr>
              <w:t>0</w:t>
            </w:r>
            <w:r>
              <w:rPr>
                <w:rFonts w:hint="eastAsia" w:ascii="宋体" w:hAnsi="宋体" w:eastAsia="宋体" w:cs="宋体"/>
                <w:i w:val="0"/>
                <w:iCs w:val="0"/>
                <w:color w:val="000000"/>
                <w:kern w:val="0"/>
                <w:sz w:val="20"/>
                <w:szCs w:val="20"/>
                <w:lang w:val="en-US" w:eastAsia="zh-CN"/>
              </w:rPr>
              <w:t>分。预算结余率=结余金额/财政资金预算数×</w:t>
            </w:r>
            <w:r>
              <w:rPr>
                <w:rFonts w:hint="default" w:ascii="Times New Roman" w:hAnsi="Times New Roman" w:eastAsia="宋体" w:cs="Times New Roman"/>
                <w:i w:val="0"/>
                <w:iCs w:val="0"/>
                <w:color w:val="000000"/>
                <w:kern w:val="0"/>
                <w:sz w:val="20"/>
                <w:szCs w:val="20"/>
                <w:lang w:val="en-US" w:eastAsia="zh-CN"/>
              </w:rPr>
              <w:t>100</w:t>
            </w:r>
            <w:r>
              <w:rPr>
                <w:rFonts w:hint="eastAsia" w:ascii="宋体" w:hAnsi="宋体" w:eastAsia="宋体" w:cs="宋体"/>
                <w:i w:val="0"/>
                <w:iCs w:val="0"/>
                <w:color w:val="000000"/>
                <w:kern w:val="0"/>
                <w:sz w:val="20"/>
                <w:szCs w:val="20"/>
                <w:lang w:val="en-US" w:eastAsia="zh-CN"/>
              </w:rPr>
              <w:t>%</w:t>
            </w:r>
          </w:p>
        </w:tc>
        <w:tc>
          <w:tcPr>
            <w:tcW w:w="254" w:type="pct"/>
            <w:tcBorders>
              <w:top w:val="single" w:color="000000" w:sz="4" w:space="0"/>
              <w:left w:val="nil"/>
              <w:bottom w:val="single" w:color="000000" w:sz="4" w:space="0"/>
              <w:right w:val="single" w:color="000000" w:sz="4" w:space="0"/>
            </w:tcBorders>
            <w:shd w:val="clear" w:color="auto" w:fill="auto"/>
            <w:noWrap/>
            <w:vAlign w:val="center"/>
          </w:tcPr>
          <w:p w14:paraId="75C0348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6</w:t>
            </w:r>
          </w:p>
        </w:tc>
      </w:tr>
      <w:tr w14:paraId="44579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F265F">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目标实现（</w:t>
            </w:r>
            <w:r>
              <w:rPr>
                <w:rFonts w:hint="default" w:ascii="Times New Roman" w:hAnsi="Times New Roman" w:eastAsia="宋体" w:cs="Times New Roman"/>
                <w:i w:val="0"/>
                <w:iCs w:val="0"/>
                <w:color w:val="000000"/>
                <w:kern w:val="0"/>
                <w:sz w:val="20"/>
                <w:szCs w:val="20"/>
                <w:lang w:val="en-US" w:eastAsia="zh-CN"/>
              </w:rPr>
              <w:t>15</w:t>
            </w:r>
            <w:r>
              <w:rPr>
                <w:rFonts w:hint="eastAsia" w:ascii="宋体" w:hAnsi="宋体" w:eastAsia="宋体" w:cs="宋体"/>
                <w:i w:val="0"/>
                <w:iCs w:val="0"/>
                <w:color w:val="000000"/>
                <w:kern w:val="0"/>
                <w:sz w:val="20"/>
                <w:szCs w:val="20"/>
                <w:lang w:val="en-US" w:eastAsia="zh-CN"/>
              </w:rPr>
              <w:t>分）</w:t>
            </w:r>
          </w:p>
        </w:tc>
        <w:tc>
          <w:tcPr>
            <w:tcW w:w="282" w:type="pct"/>
            <w:tcBorders>
              <w:top w:val="single" w:color="000000" w:sz="4" w:space="0"/>
              <w:left w:val="nil"/>
              <w:bottom w:val="single" w:color="000000" w:sz="4" w:space="0"/>
              <w:right w:val="single" w:color="000000" w:sz="4" w:space="0"/>
            </w:tcBorders>
            <w:shd w:val="clear" w:color="auto" w:fill="auto"/>
            <w:vAlign w:val="center"/>
          </w:tcPr>
          <w:p w14:paraId="2D7C52D9">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目标完成</w:t>
            </w:r>
          </w:p>
        </w:tc>
        <w:tc>
          <w:tcPr>
            <w:tcW w:w="305" w:type="pct"/>
            <w:tcBorders>
              <w:top w:val="single" w:color="000000" w:sz="4" w:space="0"/>
              <w:left w:val="nil"/>
              <w:bottom w:val="single" w:color="000000" w:sz="4" w:space="0"/>
              <w:right w:val="single" w:color="000000" w:sz="4" w:space="0"/>
            </w:tcBorders>
            <w:shd w:val="clear" w:color="auto" w:fill="auto"/>
            <w:vAlign w:val="center"/>
          </w:tcPr>
          <w:p w14:paraId="5D55D6F2">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目标完成率</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1C2983A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8</w:t>
            </w:r>
          </w:p>
        </w:tc>
        <w:tc>
          <w:tcPr>
            <w:tcW w:w="1081" w:type="pct"/>
            <w:tcBorders>
              <w:top w:val="single" w:color="000000" w:sz="4" w:space="0"/>
              <w:left w:val="nil"/>
              <w:bottom w:val="single" w:color="000000" w:sz="4" w:space="0"/>
              <w:right w:val="single" w:color="000000" w:sz="4" w:space="0"/>
            </w:tcBorders>
            <w:shd w:val="clear" w:color="auto" w:fill="auto"/>
            <w:vAlign w:val="center"/>
          </w:tcPr>
          <w:p w14:paraId="4239B7E1">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部门预算项目绩效目标中数量指标完成情况。</w:t>
            </w:r>
          </w:p>
        </w:tc>
        <w:tc>
          <w:tcPr>
            <w:tcW w:w="2605" w:type="pct"/>
            <w:tcBorders>
              <w:top w:val="single" w:color="000000" w:sz="4" w:space="0"/>
              <w:left w:val="nil"/>
              <w:bottom w:val="single" w:color="000000" w:sz="4" w:space="0"/>
              <w:right w:val="single" w:color="000000" w:sz="4" w:space="0"/>
            </w:tcBorders>
            <w:shd w:val="clear" w:color="auto" w:fill="auto"/>
            <w:vAlign w:val="center"/>
          </w:tcPr>
          <w:p w14:paraId="5BE4891A">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对照部门预算项目支出绩效目标编制情况，计算指标得分=绩效目标数量指标完成的指标个数/全部数量指标个数*</w:t>
            </w:r>
            <w:r>
              <w:rPr>
                <w:rFonts w:hint="default" w:ascii="Times New Roman" w:hAnsi="Times New Roman" w:eastAsia="宋体" w:cs="Times New Roman"/>
                <w:i w:val="0"/>
                <w:iCs w:val="0"/>
                <w:color w:val="000000"/>
                <w:kern w:val="0"/>
                <w:sz w:val="20"/>
                <w:szCs w:val="20"/>
                <w:lang w:val="en-US" w:eastAsia="zh-CN"/>
              </w:rPr>
              <w:t>8</w:t>
            </w:r>
            <w:r>
              <w:rPr>
                <w:rFonts w:hint="eastAsia" w:ascii="宋体" w:hAnsi="宋体" w:eastAsia="宋体" w:cs="宋体"/>
                <w:i w:val="0"/>
                <w:iCs w:val="0"/>
                <w:color w:val="000000"/>
                <w:kern w:val="0"/>
                <w:sz w:val="20"/>
                <w:szCs w:val="20"/>
                <w:lang w:val="en-US" w:eastAsia="zh-CN"/>
              </w:rPr>
              <w:t>分。</w:t>
            </w:r>
          </w:p>
        </w:tc>
        <w:tc>
          <w:tcPr>
            <w:tcW w:w="254" w:type="pct"/>
            <w:tcBorders>
              <w:top w:val="single" w:color="000000" w:sz="4" w:space="0"/>
              <w:left w:val="nil"/>
              <w:bottom w:val="single" w:color="000000" w:sz="4" w:space="0"/>
              <w:right w:val="single" w:color="000000" w:sz="4" w:space="0"/>
            </w:tcBorders>
            <w:shd w:val="clear" w:color="auto" w:fill="auto"/>
            <w:noWrap/>
            <w:vAlign w:val="center"/>
          </w:tcPr>
          <w:p w14:paraId="6385494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8</w:t>
            </w:r>
          </w:p>
        </w:tc>
      </w:tr>
      <w:tr w14:paraId="76BDC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5568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82" w:type="pct"/>
            <w:tcBorders>
              <w:top w:val="single" w:color="000000" w:sz="4" w:space="0"/>
              <w:left w:val="nil"/>
              <w:bottom w:val="single" w:color="000000" w:sz="4" w:space="0"/>
              <w:right w:val="single" w:color="000000" w:sz="4" w:space="0"/>
            </w:tcBorders>
            <w:shd w:val="clear" w:color="auto" w:fill="auto"/>
            <w:vAlign w:val="center"/>
          </w:tcPr>
          <w:p w14:paraId="0B1E0A5E">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目标偏离</w:t>
            </w:r>
          </w:p>
        </w:tc>
        <w:tc>
          <w:tcPr>
            <w:tcW w:w="305" w:type="pct"/>
            <w:tcBorders>
              <w:top w:val="single" w:color="000000" w:sz="4" w:space="0"/>
              <w:left w:val="nil"/>
              <w:bottom w:val="single" w:color="000000" w:sz="4" w:space="0"/>
              <w:right w:val="single" w:color="000000" w:sz="4" w:space="0"/>
            </w:tcBorders>
            <w:shd w:val="clear" w:color="auto" w:fill="auto"/>
            <w:vAlign w:val="center"/>
          </w:tcPr>
          <w:p w14:paraId="22E7EA3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偏离程度</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63523FC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7</w:t>
            </w:r>
          </w:p>
        </w:tc>
        <w:tc>
          <w:tcPr>
            <w:tcW w:w="1081" w:type="pct"/>
            <w:tcBorders>
              <w:top w:val="single" w:color="000000" w:sz="4" w:space="0"/>
              <w:left w:val="nil"/>
              <w:bottom w:val="single" w:color="000000" w:sz="4" w:space="0"/>
              <w:right w:val="single" w:color="000000" w:sz="4" w:space="0"/>
            </w:tcBorders>
            <w:shd w:val="clear" w:color="auto" w:fill="auto"/>
            <w:vAlign w:val="center"/>
          </w:tcPr>
          <w:p w14:paraId="5656FCA3">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部门预算项目绩效目标实现程度与预期目标的偏离情况。</w:t>
            </w:r>
          </w:p>
        </w:tc>
        <w:tc>
          <w:tcPr>
            <w:tcW w:w="2605" w:type="pct"/>
            <w:tcBorders>
              <w:top w:val="single" w:color="000000" w:sz="4" w:space="0"/>
              <w:left w:val="nil"/>
              <w:bottom w:val="single" w:color="000000" w:sz="4" w:space="0"/>
              <w:right w:val="single" w:color="000000" w:sz="4" w:space="0"/>
            </w:tcBorders>
            <w:shd w:val="clear" w:color="auto" w:fill="auto"/>
            <w:vAlign w:val="center"/>
          </w:tcPr>
          <w:p w14:paraId="752A7E58">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部门年初整体支出绩效目标实际完成值偏离预期指标</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%以上（含</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%）的，均不计分。该项指标得分=已完成预期指标值的数量指标中偏离度在</w:t>
            </w:r>
            <w:r>
              <w:rPr>
                <w:rFonts w:hint="default" w:ascii="Times New Roman" w:hAnsi="Times New Roman" w:eastAsia="宋体" w:cs="Times New Roman"/>
                <w:i w:val="0"/>
                <w:iCs w:val="0"/>
                <w:color w:val="000000"/>
                <w:kern w:val="0"/>
                <w:sz w:val="20"/>
                <w:szCs w:val="20"/>
                <w:lang w:val="en-US" w:eastAsia="zh-CN"/>
              </w:rPr>
              <w:t>30</w:t>
            </w:r>
            <w:r>
              <w:rPr>
                <w:rFonts w:hint="eastAsia" w:ascii="宋体" w:hAnsi="宋体" w:eastAsia="宋体" w:cs="宋体"/>
                <w:i w:val="0"/>
                <w:iCs w:val="0"/>
                <w:color w:val="000000"/>
                <w:kern w:val="0"/>
                <w:sz w:val="20"/>
                <w:szCs w:val="20"/>
                <w:lang w:val="en-US" w:eastAsia="zh-CN"/>
              </w:rPr>
              <w:t>%内的指标个数/已完成预期指标值的数量指标个数×</w:t>
            </w:r>
            <w:r>
              <w:rPr>
                <w:rFonts w:hint="default" w:ascii="Times New Roman" w:hAnsi="Times New Roman" w:eastAsia="宋体" w:cs="Times New Roman"/>
                <w:i w:val="0"/>
                <w:iCs w:val="0"/>
                <w:color w:val="000000"/>
                <w:kern w:val="0"/>
                <w:sz w:val="20"/>
                <w:szCs w:val="20"/>
                <w:lang w:val="en-US" w:eastAsia="zh-CN"/>
              </w:rPr>
              <w:t>7</w:t>
            </w:r>
            <w:r>
              <w:rPr>
                <w:rFonts w:hint="eastAsia" w:ascii="宋体" w:hAnsi="宋体" w:eastAsia="宋体" w:cs="宋体"/>
                <w:i w:val="0"/>
                <w:iCs w:val="0"/>
                <w:color w:val="000000"/>
                <w:kern w:val="0"/>
                <w:sz w:val="20"/>
                <w:szCs w:val="20"/>
                <w:lang w:val="en-US" w:eastAsia="zh-CN"/>
              </w:rPr>
              <w:t>。</w:t>
            </w:r>
          </w:p>
          <w:p w14:paraId="220EFD14">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偏离度=（绩效指标实际完成值-设定预期指标值）/设定预期指标值|。</w:t>
            </w:r>
          </w:p>
        </w:tc>
        <w:tc>
          <w:tcPr>
            <w:tcW w:w="254" w:type="pct"/>
            <w:tcBorders>
              <w:top w:val="single" w:color="000000" w:sz="4" w:space="0"/>
              <w:left w:val="nil"/>
              <w:bottom w:val="single" w:color="000000" w:sz="4" w:space="0"/>
              <w:right w:val="single" w:color="000000" w:sz="4" w:space="0"/>
            </w:tcBorders>
            <w:shd w:val="clear" w:color="auto" w:fill="auto"/>
            <w:noWrap/>
            <w:vAlign w:val="center"/>
          </w:tcPr>
          <w:p w14:paraId="793D3F2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7</w:t>
            </w:r>
          </w:p>
        </w:tc>
      </w:tr>
      <w:tr w14:paraId="54C85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E79C0">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项目效果</w:t>
            </w:r>
          </w:p>
          <w:p w14:paraId="62DB528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w:t>
            </w:r>
            <w:r>
              <w:rPr>
                <w:rFonts w:hint="default" w:ascii="Times New Roman" w:hAnsi="Times New Roman" w:eastAsia="宋体" w:cs="Times New Roman"/>
                <w:i w:val="0"/>
                <w:iCs w:val="0"/>
                <w:color w:val="000000"/>
                <w:kern w:val="0"/>
                <w:sz w:val="20"/>
                <w:szCs w:val="20"/>
                <w:lang w:val="en-US" w:eastAsia="zh-CN"/>
              </w:rPr>
              <w:t>25</w:t>
            </w:r>
            <w:r>
              <w:rPr>
                <w:rFonts w:hint="eastAsia" w:ascii="宋体" w:hAnsi="宋体" w:eastAsia="宋体" w:cs="宋体"/>
                <w:i w:val="0"/>
                <w:iCs w:val="0"/>
                <w:color w:val="000000"/>
                <w:kern w:val="0"/>
                <w:sz w:val="20"/>
                <w:szCs w:val="20"/>
                <w:lang w:val="en-US" w:eastAsia="zh-CN"/>
              </w:rPr>
              <w:t>分）</w:t>
            </w:r>
          </w:p>
        </w:tc>
        <w:tc>
          <w:tcPr>
            <w:tcW w:w="282" w:type="pct"/>
            <w:tcBorders>
              <w:top w:val="single" w:color="000000" w:sz="4" w:space="0"/>
              <w:left w:val="nil"/>
              <w:bottom w:val="single" w:color="000000" w:sz="4" w:space="0"/>
              <w:right w:val="single" w:color="000000" w:sz="4" w:space="0"/>
            </w:tcBorders>
            <w:shd w:val="clear" w:color="auto" w:fill="auto"/>
            <w:vAlign w:val="center"/>
          </w:tcPr>
          <w:p w14:paraId="2209950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目标实现</w:t>
            </w:r>
          </w:p>
        </w:tc>
        <w:tc>
          <w:tcPr>
            <w:tcW w:w="4177" w:type="pct"/>
            <w:gridSpan w:val="4"/>
            <w:tcBorders>
              <w:top w:val="single" w:color="000000" w:sz="4" w:space="0"/>
              <w:left w:val="nil"/>
              <w:bottom w:val="single" w:color="000000" w:sz="4" w:space="0"/>
              <w:right w:val="single" w:color="000000" w:sz="4" w:space="0"/>
            </w:tcBorders>
            <w:shd w:val="clear" w:color="auto" w:fill="auto"/>
            <w:vAlign w:val="center"/>
          </w:tcPr>
          <w:p w14:paraId="58656208">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评价组根据部门预算项目绩效目标设定的效益指标、成本指标、满意度指标细化设置三级指标，主要评价效益指标、成本指标的实际完成情况，以及部门是否针对满意度指标开展满意度调查。</w:t>
            </w:r>
          </w:p>
        </w:tc>
        <w:tc>
          <w:tcPr>
            <w:tcW w:w="254" w:type="pct"/>
            <w:tcBorders>
              <w:top w:val="single" w:color="000000" w:sz="4" w:space="0"/>
              <w:left w:val="nil"/>
              <w:bottom w:val="single" w:color="000000" w:sz="4" w:space="0"/>
              <w:right w:val="single" w:color="000000" w:sz="4" w:space="0"/>
            </w:tcBorders>
            <w:shd w:val="clear" w:color="auto" w:fill="auto"/>
            <w:noWrap/>
            <w:vAlign w:val="center"/>
          </w:tcPr>
          <w:p w14:paraId="37330C96">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25</w:t>
            </w:r>
          </w:p>
        </w:tc>
      </w:tr>
      <w:tr w14:paraId="2C1B4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744"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116D166">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b/>
                <w:bCs/>
                <w:i w:val="0"/>
                <w:iCs w:val="0"/>
                <w:color w:val="000000"/>
                <w:kern w:val="2"/>
                <w:sz w:val="20"/>
                <w:szCs w:val="20"/>
              </w:rPr>
            </w:pPr>
            <w:r>
              <w:rPr>
                <w:rFonts w:hint="eastAsia" w:ascii="宋体" w:hAnsi="宋体" w:eastAsia="宋体" w:cs="宋体"/>
                <w:b/>
                <w:bCs/>
                <w:i w:val="0"/>
                <w:iCs w:val="0"/>
                <w:color w:val="000000"/>
                <w:kern w:val="0"/>
                <w:sz w:val="20"/>
                <w:szCs w:val="20"/>
                <w:lang w:val="en-US" w:eastAsia="zh-CN"/>
              </w:rPr>
              <w:t>合计</w:t>
            </w:r>
          </w:p>
        </w:tc>
        <w:tc>
          <w:tcPr>
            <w:tcW w:w="254" w:type="pct"/>
            <w:tcBorders>
              <w:top w:val="single" w:color="000000" w:sz="4" w:space="0"/>
              <w:left w:val="nil"/>
              <w:bottom w:val="single" w:color="000000" w:sz="4" w:space="0"/>
              <w:right w:val="single" w:color="000000" w:sz="4" w:space="0"/>
            </w:tcBorders>
            <w:shd w:val="clear" w:color="auto" w:fill="auto"/>
            <w:vAlign w:val="center"/>
          </w:tcPr>
          <w:p w14:paraId="4FEA834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default" w:ascii="Times New Roman" w:hAnsi="Times New Roman" w:eastAsia="宋体" w:cs="Times New Roman"/>
                <w:i w:val="0"/>
                <w:iCs w:val="0"/>
                <w:color w:val="000000"/>
                <w:kern w:val="0"/>
                <w:sz w:val="20"/>
                <w:szCs w:val="20"/>
                <w:lang w:val="en-US" w:eastAsia="zh-CN"/>
              </w:rPr>
              <w:t>100</w:t>
            </w:r>
          </w:p>
        </w:tc>
      </w:tr>
    </w:tbl>
    <w:p w14:paraId="2027327F">
      <w:pPr>
        <w:pStyle w:val="12"/>
        <w:ind w:left="0" w:leftChars="0" w:firstLine="0" w:firstLineChars="0"/>
        <w:rPr>
          <w:rFonts w:hint="eastAsia" w:ascii="黑体" w:hAnsi="黑体" w:eastAsia="黑体"/>
          <w:kern w:val="44"/>
          <w:sz w:val="32"/>
          <w:szCs w:val="32"/>
        </w:rPr>
      </w:pPr>
    </w:p>
    <w:p w14:paraId="62888CC3">
      <w:pPr>
        <w:rPr>
          <w:rFonts w:hint="eastAsia" w:ascii="方正小标宋简体" w:hAnsi="方正小标宋简体" w:eastAsia="方正小标宋简体" w:cs="方正小标宋简体"/>
          <w:kern w:val="2"/>
          <w:sz w:val="44"/>
          <w:szCs w:val="44"/>
          <w:lang w:eastAsia="zh-CN"/>
        </w:rPr>
      </w:pPr>
      <w:r>
        <w:br w:type="page"/>
      </w:r>
    </w:p>
    <w:p w14:paraId="436C37E8">
      <w:pPr>
        <w:keepNext/>
        <w:keepLines/>
        <w:kinsoku/>
        <w:wordWrap/>
        <w:autoSpaceDE w:val="0"/>
        <w:autoSpaceDN w:val="0"/>
        <w:bidi w:val="0"/>
        <w:adjustRightInd w:val="0"/>
        <w:spacing w:beforeLines="0" w:after="313" w:afterLines="0" w:line="576" w:lineRule="exact"/>
        <w:jc w:val="center"/>
        <w:textAlignment w:val="auto"/>
        <w:rPr>
          <w:rFonts w:hint="eastAsia" w:ascii="黑体" w:hAnsi="黑体" w:eastAsia="黑体"/>
          <w:kern w:val="44"/>
          <w:sz w:val="32"/>
          <w:szCs w:val="32"/>
        </w:rPr>
      </w:pPr>
      <w:r>
        <w:rPr>
          <w:rFonts w:hint="eastAsia" w:ascii="方正小标宋简体" w:hAnsi="方正小标宋简体" w:eastAsia="方正小标宋简体" w:cs="方正小标宋简体"/>
          <w:kern w:val="2"/>
          <w:sz w:val="44"/>
          <w:szCs w:val="44"/>
          <w:lang w:eastAsia="zh-CN"/>
        </w:rPr>
        <w:t>2023年政策研究、深化改革、党史地志工作经费</w:t>
      </w:r>
      <w:r>
        <w:rPr>
          <w:rFonts w:hint="eastAsia" w:ascii="方正小标宋简体" w:hAnsi="方正小标宋简体" w:eastAsia="方正小标宋简体" w:cs="方正小标宋简体"/>
          <w:kern w:val="2"/>
          <w:sz w:val="44"/>
          <w:szCs w:val="44"/>
          <w:lang w:val="zh-CN" w:eastAsia="zh-CN"/>
        </w:rPr>
        <w:t>专项预算项目绩效评价报告</w:t>
      </w:r>
    </w:p>
    <w:p w14:paraId="37A80142">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sz w:val="32"/>
          <w:szCs w:val="32"/>
          <w:lang w:val="zh-CN"/>
        </w:rPr>
      </w:pPr>
      <w:r>
        <w:rPr>
          <w:rFonts w:hint="eastAsia" w:ascii="黑体" w:hAnsi="黑体" w:eastAsia="黑体" w:cs="黑体"/>
          <w:sz w:val="32"/>
          <w:szCs w:val="32"/>
        </w:rPr>
        <w:t>一、</w:t>
      </w:r>
      <w:r>
        <w:rPr>
          <w:rFonts w:hint="eastAsia" w:ascii="黑体" w:hAnsi="黑体" w:eastAsia="黑体" w:cs="黑体"/>
          <w:sz w:val="32"/>
          <w:szCs w:val="32"/>
          <w:lang w:val="zh-CN"/>
        </w:rPr>
        <w:t>项目概况</w:t>
      </w:r>
    </w:p>
    <w:p w14:paraId="6B2A1AE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区委办</w:t>
      </w:r>
      <w:r>
        <w:rPr>
          <w:rFonts w:hint="eastAsia" w:ascii="Times New Roman" w:hAnsi="Times New Roman"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年预算的政策研究、深化改革、党史地志工作经费项目属于基本运转类项目。用于贯彻落实党史、地方志工作方面的法律、法规和政策</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管理区级中共党史教育基地</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审读涉及地方党史事件人物的著作和音像作品等</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拟制党史、地方志工作规划和编纂方案</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指导、检查党史、地方志业务工作</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负责区委大事记、年鉴的有关编撰工作</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组织并指导全区政策研究工作。用于全面深化改革重大问题的政策研究，统筹协调有关方面提出改革方案和措施建议，协调有关方面谋划研究符合昭化实际并具有昭化特点的重大改革举措并提出意见建议，联系重大改革试点，协调督促有关方面落实委员会议定事项、工作部署和相关要求。组织开展重要改革举措落实情况督察，督促有关部门和乡镇整改落实督察发现的突出问题，总结宣传改革经验。用于组织或参与调查研究全区经济社会发展和改革开放中具有全局性、综合性、战略性的问题</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及时向区委提出分析报告、决策建议和咨询意见。收集、整理、分析国内外城市在改革开放和经济社会发展方面的重大动态信息、典型经验和先进做法，为区委、区政府科学决策提供信息服务。组织起草《全会报告》、区委主要领导的综合性文稿，组织或参与起草区委综合性重要文件和有关大型会议文件等。完成区委重大决策和重要课题研究任务</w:t>
      </w:r>
      <w:r>
        <w:rPr>
          <w:rFonts w:hint="eastAsia" w:ascii="仿宋_GB2312" w:hAnsi="仿宋_GB2312" w:cs="仿宋_GB2312"/>
          <w:sz w:val="32"/>
          <w:szCs w:val="32"/>
          <w:lang w:val="en-US" w:eastAsia="zh-CN"/>
        </w:rPr>
        <w:t>；</w:t>
      </w:r>
      <w:r>
        <w:rPr>
          <w:rFonts w:hint="eastAsia" w:ascii="仿宋_GB2312" w:hAnsi="仿宋_GB2312" w:eastAsia="仿宋_GB2312" w:cs="仿宋_GB2312"/>
          <w:sz w:val="32"/>
          <w:szCs w:val="32"/>
          <w:lang w:val="en-US" w:eastAsia="zh-CN"/>
        </w:rPr>
        <w:t>承担区委重大决策研究课题管理工作。</w:t>
      </w:r>
    </w:p>
    <w:p w14:paraId="52C4F71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zh-CN"/>
        </w:rPr>
        <w:t>（一）项目资金申报及批复情况。</w:t>
      </w:r>
      <w:r>
        <w:rPr>
          <w:rFonts w:hint="eastAsia" w:ascii="仿宋_GB2312" w:hAnsi="仿宋_GB2312" w:eastAsia="仿宋_GB2312" w:cs="仿宋_GB2312"/>
          <w:sz w:val="32"/>
          <w:szCs w:val="32"/>
          <w:lang w:val="en-US" w:eastAsia="zh-CN"/>
        </w:rPr>
        <w:t>政策研究、深化改革、党史地志工作经费</w:t>
      </w:r>
      <w:r>
        <w:rPr>
          <w:rFonts w:hint="eastAsia" w:ascii="仿宋_GB2312" w:hAnsi="仿宋_GB2312" w:eastAsia="仿宋_GB2312" w:cs="仿宋_GB2312"/>
          <w:sz w:val="32"/>
          <w:szCs w:val="32"/>
          <w:lang w:val="zh-CN"/>
        </w:rPr>
        <w:t>项目的申报严格按区财政资金管理的要</w:t>
      </w:r>
      <w:r>
        <w:rPr>
          <w:rFonts w:hint="eastAsia" w:ascii="仿宋_GB2312" w:hAnsi="仿宋_GB2312" w:eastAsia="仿宋_GB2312" w:cs="仿宋_GB2312"/>
          <w:sz w:val="32"/>
          <w:szCs w:val="32"/>
          <w:lang w:val="zh-CN" w:eastAsia="zh-CN"/>
        </w:rPr>
        <w:t>求进行，</w:t>
      </w:r>
      <w:r>
        <w:rPr>
          <w:rFonts w:hint="eastAsia" w:ascii="仿宋_GB2312" w:hAnsi="仿宋_GB2312" w:eastAsia="仿宋_GB2312" w:cs="仿宋_GB2312"/>
          <w:sz w:val="32"/>
          <w:szCs w:val="32"/>
          <w:lang w:val="en-US" w:eastAsia="zh-CN"/>
        </w:rPr>
        <w:t>该项目是</w:t>
      </w:r>
      <w:r>
        <w:rPr>
          <w:rFonts w:hint="eastAsia" w:ascii="Times New Roman" w:hAnsi="Times New Roman"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年预算的项目，于</w:t>
      </w:r>
      <w:r>
        <w:rPr>
          <w:rFonts w:hint="eastAsia" w:ascii="Times New Roman" w:hAnsi="Times New Roman"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w:t>
      </w:r>
      <w:r>
        <w:rPr>
          <w:rFonts w:hint="eastAsia" w:ascii="Times New Roman" w:hAnsi="Times New Roman" w:eastAsia="仿宋_GB2312" w:cs="仿宋_GB2312"/>
          <w:sz w:val="32"/>
          <w:szCs w:val="32"/>
          <w:lang w:val="en-US" w:eastAsia="zh-CN"/>
        </w:rPr>
        <w:t>1</w:t>
      </w:r>
      <w:r>
        <w:rPr>
          <w:rFonts w:hint="eastAsia" w:ascii="仿宋_GB2312" w:hAnsi="仿宋_GB2312" w:eastAsia="仿宋_GB2312" w:cs="仿宋_GB2312"/>
          <w:sz w:val="32"/>
          <w:szCs w:val="32"/>
          <w:lang w:val="en-US" w:eastAsia="zh-CN"/>
        </w:rPr>
        <w:t>月立项，项目下达资金</w:t>
      </w:r>
      <w:r>
        <w:rPr>
          <w:rFonts w:hint="eastAsia" w:ascii="仿宋_GB2312" w:hAnsi="仿宋_GB2312" w:eastAsia="仿宋_GB2312" w:cs="仿宋_GB2312"/>
          <w:sz w:val="32"/>
          <w:szCs w:val="32"/>
          <w:lang w:eastAsia="zh-CN"/>
        </w:rPr>
        <w:t>以</w:t>
      </w:r>
      <w:r>
        <w:rPr>
          <w:rFonts w:hint="eastAsia" w:ascii="Times New Roman" w:hAnsi="Times New Roman"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年预算批复为准。</w:t>
      </w:r>
    </w:p>
    <w:p w14:paraId="34DC740D">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zh-CN"/>
        </w:rPr>
      </w:pPr>
      <w:r>
        <w:rPr>
          <w:rFonts w:hint="eastAsia" w:ascii="楷体_GB2312" w:hAnsi="楷体_GB2312" w:eastAsia="楷体_GB2312" w:cs="楷体_GB2312"/>
          <w:sz w:val="32"/>
          <w:szCs w:val="32"/>
          <w:lang w:val="zh-CN"/>
        </w:rPr>
        <w:t>（二）项目绩效目标。</w:t>
      </w:r>
      <w:r>
        <w:rPr>
          <w:rFonts w:hint="eastAsia" w:ascii="仿宋_GB2312" w:hAnsi="仿宋_GB2312" w:eastAsia="仿宋_GB2312" w:cs="仿宋_GB2312"/>
          <w:sz w:val="32"/>
          <w:szCs w:val="32"/>
          <w:lang w:val="zh-CN"/>
        </w:rPr>
        <w:t>负责编纂昭化区志、指导各部门志、镇 志的编纂；高质量完成</w:t>
      </w:r>
      <w:r>
        <w:rPr>
          <w:rFonts w:hint="eastAsia" w:ascii="Times New Roman" w:hAnsi="Times New Roman" w:eastAsia="仿宋_GB2312" w:cs="仿宋_GB2312"/>
          <w:sz w:val="32"/>
          <w:szCs w:val="32"/>
          <w:lang w:val="zh-CN"/>
        </w:rPr>
        <w:t>2024</w:t>
      </w:r>
      <w:r>
        <w:rPr>
          <w:rFonts w:hint="eastAsia" w:ascii="仿宋_GB2312" w:hAnsi="仿宋_GB2312" w:eastAsia="仿宋_GB2312" w:cs="仿宋_GB2312"/>
          <w:sz w:val="32"/>
          <w:szCs w:val="32"/>
          <w:lang w:val="zh-CN"/>
        </w:rPr>
        <w:t>年《昭化年鉴》、《执政实录》的编纂工作；负责征集昭化党史专题资料和口述史资料，并建立、充实党史资料库；到镇和部门开展改革调研、研究区委改革办日常工作，保证区深化改革工作的日常运转，促进改革深化，提高会议质量，保证工作有序推进；就城市建设与管理、社区建设、招商引资等课题到区内各镇、各部门调研或到先进发达地区考察学习，起草综合性文字材料和领导讲话。</w:t>
      </w:r>
    </w:p>
    <w:p w14:paraId="15C1A8F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zh-CN"/>
        </w:rPr>
        <w:t>（三）项目资金申报相符性。</w:t>
      </w:r>
      <w:r>
        <w:rPr>
          <w:rFonts w:hint="eastAsia" w:ascii="仿宋_GB2312" w:hAnsi="仿宋_GB2312" w:eastAsia="仿宋_GB2312" w:cs="仿宋_GB2312"/>
          <w:sz w:val="32"/>
          <w:szCs w:val="32"/>
          <w:lang w:val="en-US" w:eastAsia="zh-CN"/>
        </w:rPr>
        <w:t>政策研究、深化改革、党史地志工作经费</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该</w:t>
      </w:r>
      <w:r>
        <w:rPr>
          <w:rFonts w:hint="eastAsia" w:ascii="仿宋_GB2312" w:hAnsi="仿宋_GB2312" w:eastAsia="仿宋_GB2312" w:cs="仿宋_GB2312"/>
          <w:sz w:val="32"/>
          <w:szCs w:val="32"/>
          <w:lang w:val="zh-CN"/>
        </w:rPr>
        <w:t>项目申报内容与具体实施内容相符，申报目标是合理可行</w:t>
      </w:r>
      <w:r>
        <w:rPr>
          <w:rFonts w:hint="eastAsia" w:ascii="仿宋_GB2312" w:hAnsi="仿宋_GB2312" w:eastAsia="仿宋_GB2312" w:cs="仿宋_GB2312"/>
          <w:sz w:val="32"/>
          <w:szCs w:val="32"/>
          <w:lang w:val="en-US" w:eastAsia="zh-CN"/>
        </w:rPr>
        <w:t>的。</w:t>
      </w:r>
    </w:p>
    <w:p w14:paraId="68DD03B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w:t>
      </w:r>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val="zh-CN"/>
        </w:rPr>
        <w:t>）</w:t>
      </w:r>
      <w:r>
        <w:rPr>
          <w:rFonts w:hint="eastAsia" w:ascii="楷体_GB2312" w:hAnsi="楷体_GB2312" w:eastAsia="楷体_GB2312" w:cs="楷体_GB2312"/>
          <w:sz w:val="32"/>
          <w:szCs w:val="32"/>
          <w:lang w:val="en-US" w:eastAsia="zh-CN"/>
        </w:rPr>
        <w:t>自评步骤及方法。</w:t>
      </w:r>
    </w:p>
    <w:p w14:paraId="0C66CD6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项目支出经费依据</w:t>
      </w:r>
      <w:r>
        <w:rPr>
          <w:rFonts w:hint="eastAsia" w:ascii="仿宋_GB2312" w:hAnsi="仿宋_GB2312" w:eastAsia="仿宋_GB2312" w:cs="仿宋_GB2312"/>
          <w:sz w:val="32"/>
          <w:szCs w:val="32"/>
        </w:rPr>
        <w:t>《广元市昭化区人民政府办公室关于印发&lt;广元市昭化区财政支出事后绩效评价管理办法&gt;的通知》</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昭府办函〔</w:t>
      </w:r>
      <w:r>
        <w:rPr>
          <w:rFonts w:hint="eastAsia" w:ascii="Times New Roman" w:hAnsi="Times New Roman" w:eastAsia="仿宋_GB2312" w:cs="仿宋_GB2312"/>
          <w:sz w:val="32"/>
          <w:szCs w:val="32"/>
        </w:rPr>
        <w:t>2022</w:t>
      </w:r>
      <w:r>
        <w:rPr>
          <w:rFonts w:hint="eastAsia" w:ascii="仿宋_GB2312" w:hAnsi="仿宋_GB2312" w:eastAsia="仿宋_GB2312" w:cs="仿宋_GB2312"/>
          <w:sz w:val="32"/>
          <w:szCs w:val="32"/>
        </w:rPr>
        <w:t>〕</w:t>
      </w:r>
      <w:r>
        <w:rPr>
          <w:rFonts w:hint="eastAsia" w:ascii="Times New Roman" w:hAnsi="Times New Roman" w:eastAsia="仿宋_GB2312" w:cs="仿宋_GB2312"/>
          <w:sz w:val="32"/>
          <w:szCs w:val="32"/>
        </w:rPr>
        <w:t>37</w:t>
      </w:r>
      <w:r>
        <w:rPr>
          <w:rFonts w:hint="eastAsia" w:ascii="仿宋_GB2312" w:hAnsi="仿宋_GB2312" w:eastAsia="仿宋_GB2312" w:cs="仿宋_GB2312"/>
          <w:sz w:val="32"/>
          <w:szCs w:val="32"/>
        </w:rPr>
        <w:t>号)</w:t>
      </w:r>
      <w:r>
        <w:rPr>
          <w:rFonts w:hint="eastAsia" w:ascii="仿宋_GB2312" w:hAnsi="仿宋_GB2312" w:eastAsia="仿宋_GB2312" w:cs="仿宋_GB2312"/>
          <w:sz w:val="32"/>
          <w:szCs w:val="32"/>
          <w:lang w:val="en-US" w:eastAsia="zh-CN"/>
        </w:rPr>
        <w:t>文件自评且逐项量分。</w:t>
      </w:r>
    </w:p>
    <w:p w14:paraId="6A9B2D51">
      <w:pPr>
        <w:rPr>
          <w:rFonts w:hint="eastAsia" w:ascii="黑体" w:hAnsi="黑体" w:eastAsia="黑体" w:cs="黑体"/>
          <w:sz w:val="32"/>
          <w:szCs w:val="32"/>
        </w:rPr>
      </w:pPr>
      <w:r>
        <w:br w:type="page"/>
      </w:r>
    </w:p>
    <w:p w14:paraId="01ED3DEF">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二、项目实施及管理情况</w:t>
      </w:r>
    </w:p>
    <w:p w14:paraId="1393B807">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（一）资金计划、到位及使用情况</w:t>
      </w:r>
    </w:p>
    <w:p w14:paraId="48FB21F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zh-CN"/>
        </w:rPr>
      </w:pPr>
      <w:r>
        <w:rPr>
          <w:rFonts w:hint="eastAsia" w:ascii="Times New Roman" w:hAnsi="Times New Roman" w:eastAsia="仿宋_GB2312" w:cs="仿宋_GB2312"/>
          <w:sz w:val="32"/>
          <w:szCs w:val="32"/>
          <w:lang w:val="en-US" w:eastAsia="zh-CN"/>
        </w:rPr>
        <w:t>1</w:t>
      </w:r>
      <w:r>
        <w:rPr>
          <w:rFonts w:hint="eastAsia" w:ascii="仿宋_GB2312" w:hAnsi="仿宋_GB2312" w:eastAsia="仿宋_GB2312" w:cs="仿宋_GB2312"/>
          <w:sz w:val="32"/>
          <w:szCs w:val="32"/>
          <w:lang w:val="en-US" w:eastAsia="zh-CN"/>
        </w:rPr>
        <w:t>、资金计划及到位。</w:t>
      </w:r>
      <w:r>
        <w:rPr>
          <w:rFonts w:hint="eastAsia" w:ascii="仿宋_GB2312" w:hAnsi="仿宋_GB2312" w:eastAsia="仿宋_GB2312" w:cs="仿宋_GB2312"/>
          <w:sz w:val="32"/>
          <w:szCs w:val="32"/>
          <w:lang w:val="zh-CN"/>
        </w:rPr>
        <w:t>截止</w:t>
      </w:r>
      <w:r>
        <w:rPr>
          <w:rFonts w:hint="eastAsia" w:ascii="Times New Roman" w:hAnsi="Times New Roman"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w:t>
      </w:r>
      <w:r>
        <w:rPr>
          <w:rFonts w:hint="eastAsia" w:ascii="Times New Roman" w:hAnsi="Times New Roman" w:eastAsia="仿宋_GB2312" w:cs="仿宋_GB2312"/>
          <w:sz w:val="32"/>
          <w:szCs w:val="32"/>
          <w:lang w:val="en-US" w:eastAsia="zh-CN"/>
        </w:rPr>
        <w:t>3</w:t>
      </w:r>
      <w:r>
        <w:rPr>
          <w:rFonts w:hint="eastAsia" w:ascii="仿宋_GB2312" w:hAnsi="仿宋_GB2312" w:eastAsia="仿宋_GB2312" w:cs="仿宋_GB2312"/>
          <w:sz w:val="32"/>
          <w:szCs w:val="32"/>
          <w:lang w:val="en-US" w:eastAsia="zh-CN"/>
        </w:rPr>
        <w:t>月，预算的政策研究、深化改革、党史地志工作经费</w:t>
      </w:r>
      <w:r>
        <w:rPr>
          <w:rFonts w:hint="eastAsia" w:ascii="Times New Roman" w:hAnsi="Times New Roman" w:eastAsia="仿宋_GB2312" w:cs="仿宋_GB2312"/>
          <w:sz w:val="32"/>
          <w:szCs w:val="32"/>
          <w:lang w:val="en-US" w:eastAsia="zh-CN"/>
        </w:rPr>
        <w:t>120</w:t>
      </w:r>
      <w:r>
        <w:rPr>
          <w:rFonts w:hint="eastAsia" w:ascii="仿宋_GB2312" w:hAnsi="仿宋_GB2312" w:eastAsia="仿宋_GB2312" w:cs="仿宋_GB2312"/>
          <w:sz w:val="32"/>
          <w:szCs w:val="32"/>
          <w:lang w:val="en-US" w:eastAsia="zh-CN"/>
        </w:rPr>
        <w:t>.</w:t>
      </w:r>
      <w:r>
        <w:rPr>
          <w:rFonts w:hint="eastAsia" w:ascii="Times New Roman" w:hAnsi="Times New Roman" w:eastAsia="仿宋_GB2312" w:cs="仿宋_GB2312"/>
          <w:sz w:val="32"/>
          <w:szCs w:val="32"/>
          <w:lang w:val="en-US" w:eastAsia="zh-CN"/>
        </w:rPr>
        <w:t>00</w:t>
      </w:r>
      <w:r>
        <w:rPr>
          <w:rFonts w:hint="eastAsia" w:ascii="仿宋_GB2312" w:hAnsi="仿宋_GB2312" w:eastAsia="仿宋_GB2312" w:cs="仿宋_GB2312"/>
          <w:sz w:val="32"/>
          <w:szCs w:val="32"/>
          <w:lang w:val="en-US" w:eastAsia="zh-CN"/>
        </w:rPr>
        <w:t>万元，通过预算一体化平台全部到位</w:t>
      </w:r>
      <w:r>
        <w:rPr>
          <w:rFonts w:hint="eastAsia" w:ascii="仿宋_GB2312" w:hAnsi="仿宋_GB2312" w:eastAsia="仿宋_GB2312" w:cs="仿宋_GB2312"/>
          <w:sz w:val="32"/>
          <w:szCs w:val="32"/>
          <w:lang w:val="zh-CN"/>
        </w:rPr>
        <w:t>，资金到位率</w:t>
      </w:r>
      <w:r>
        <w:rPr>
          <w:rFonts w:hint="eastAsia" w:ascii="Times New Roman" w:hAnsi="Times New Roman" w:eastAsia="仿宋_GB2312" w:cs="仿宋_GB2312"/>
          <w:sz w:val="32"/>
          <w:szCs w:val="32"/>
          <w:lang w:val="en-US" w:eastAsia="zh-CN"/>
        </w:rPr>
        <w:t>100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w:t>
      </w:r>
      <w:r>
        <w:rPr>
          <w:rFonts w:hint="eastAsia" w:ascii="仿宋_GB2312" w:hAnsi="仿宋_GB2312" w:eastAsia="仿宋_GB2312" w:cs="仿宋_GB2312"/>
          <w:sz w:val="32"/>
          <w:szCs w:val="32"/>
          <w:lang w:val="en-US" w:eastAsia="zh-CN"/>
        </w:rPr>
        <w:t>资金</w:t>
      </w:r>
      <w:r>
        <w:rPr>
          <w:rFonts w:hint="eastAsia" w:ascii="仿宋_GB2312" w:hAnsi="仿宋_GB2312" w:eastAsia="仿宋_GB2312" w:cs="仿宋_GB2312"/>
          <w:sz w:val="32"/>
          <w:szCs w:val="32"/>
          <w:lang w:val="zh-CN"/>
        </w:rPr>
        <w:t>到位及时。</w:t>
      </w:r>
    </w:p>
    <w:p w14:paraId="1925CCE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Times New Roman" w:hAnsi="Times New Roman" w:eastAsia="仿宋_GB2312" w:cs="仿宋_GB2312"/>
          <w:sz w:val="32"/>
          <w:szCs w:val="32"/>
          <w:lang w:val="en-US" w:eastAsia="zh-CN"/>
        </w:rPr>
        <w:t>2</w:t>
      </w:r>
      <w:r>
        <w:rPr>
          <w:rFonts w:hint="eastAsia" w:ascii="仿宋_GB2312" w:hAnsi="仿宋_GB2312" w:eastAsia="仿宋_GB2312" w:cs="仿宋_GB2312"/>
          <w:sz w:val="32"/>
          <w:szCs w:val="32"/>
          <w:lang w:val="en-US" w:eastAsia="zh-CN"/>
        </w:rPr>
        <w:t>、资金使用。</w:t>
      </w:r>
      <w:r>
        <w:rPr>
          <w:rFonts w:hint="eastAsia" w:ascii="仿宋_GB2312" w:hAnsi="仿宋_GB2312" w:eastAsia="仿宋_GB2312" w:cs="仿宋_GB2312"/>
          <w:sz w:val="32"/>
          <w:szCs w:val="32"/>
          <w:lang w:val="zh-CN"/>
        </w:rPr>
        <w:t>截止</w:t>
      </w:r>
      <w:r>
        <w:rPr>
          <w:rFonts w:hint="eastAsia" w:ascii="Times New Roman" w:hAnsi="Times New Roman"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w:t>
      </w:r>
      <w:r>
        <w:rPr>
          <w:rFonts w:hint="eastAsia" w:ascii="Times New Roman" w:hAnsi="Times New Roman" w:eastAsia="仿宋_GB2312" w:cs="仿宋_GB2312"/>
          <w:sz w:val="32"/>
          <w:szCs w:val="32"/>
          <w:lang w:val="en-US" w:eastAsia="zh-CN"/>
        </w:rPr>
        <w:t>12</w:t>
      </w:r>
      <w:r>
        <w:rPr>
          <w:rFonts w:hint="eastAsia" w:ascii="仿宋_GB2312" w:hAnsi="仿宋_GB2312" w:eastAsia="仿宋_GB2312" w:cs="仿宋_GB2312"/>
          <w:sz w:val="32"/>
          <w:szCs w:val="32"/>
          <w:lang w:val="en-US" w:eastAsia="zh-CN"/>
        </w:rPr>
        <w:t>月</w:t>
      </w:r>
      <w:r>
        <w:rPr>
          <w:rFonts w:hint="eastAsia" w:ascii="Times New Roman" w:hAnsi="Times New Roman" w:eastAsia="仿宋_GB2312" w:cs="仿宋_GB2312"/>
          <w:sz w:val="32"/>
          <w:szCs w:val="32"/>
          <w:lang w:val="en-US" w:eastAsia="zh-CN"/>
        </w:rPr>
        <w:t>31</w:t>
      </w:r>
      <w:r>
        <w:rPr>
          <w:rFonts w:hint="eastAsia" w:ascii="仿宋_GB2312" w:hAnsi="仿宋_GB2312" w:eastAsia="仿宋_GB2312" w:cs="仿宋_GB2312"/>
          <w:sz w:val="32"/>
          <w:szCs w:val="32"/>
          <w:lang w:val="en-US" w:eastAsia="zh-CN"/>
        </w:rPr>
        <w:t>日，支付政策研究、深化改革、党史地志工作经费</w:t>
      </w:r>
      <w:r>
        <w:rPr>
          <w:rFonts w:hint="eastAsia" w:ascii="Times New Roman" w:hAnsi="Times New Roman" w:eastAsia="仿宋_GB2312" w:cs="仿宋_GB2312"/>
          <w:sz w:val="32"/>
          <w:szCs w:val="32"/>
          <w:lang w:val="en-US" w:eastAsia="zh-CN"/>
        </w:rPr>
        <w:t>120</w:t>
      </w:r>
      <w:r>
        <w:rPr>
          <w:rFonts w:hint="eastAsia" w:ascii="仿宋_GB2312" w:hAnsi="仿宋_GB2312" w:eastAsia="仿宋_GB2312" w:cs="仿宋_GB2312"/>
          <w:sz w:val="32"/>
          <w:szCs w:val="32"/>
          <w:lang w:val="en-US" w:eastAsia="zh-CN"/>
        </w:rPr>
        <w:t>.</w:t>
      </w:r>
      <w:r>
        <w:rPr>
          <w:rFonts w:hint="eastAsia" w:ascii="Times New Roman" w:hAnsi="Times New Roman" w:eastAsia="仿宋_GB2312" w:cs="仿宋_GB2312"/>
          <w:sz w:val="32"/>
          <w:szCs w:val="32"/>
          <w:lang w:val="en-US" w:eastAsia="zh-CN"/>
        </w:rPr>
        <w:t>00</w:t>
      </w:r>
      <w:r>
        <w:rPr>
          <w:rFonts w:hint="eastAsia" w:ascii="仿宋_GB2312" w:hAnsi="仿宋_GB2312" w:eastAsia="仿宋_GB2312" w:cs="仿宋_GB2312"/>
          <w:sz w:val="32"/>
          <w:szCs w:val="32"/>
          <w:lang w:val="en-US" w:eastAsia="zh-CN"/>
        </w:rPr>
        <w:t>万元，</w:t>
      </w:r>
      <w:r>
        <w:rPr>
          <w:rFonts w:hint="eastAsia" w:ascii="Times New Roman" w:hAnsi="Times New Roman"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年无结余。资金用于支付的范围、支付标准、支付进度、支付依据等合规合法，并与预算相符。</w:t>
      </w:r>
    </w:p>
    <w:p w14:paraId="2952983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（二）项目财务管理情况</w:t>
      </w:r>
    </w:p>
    <w:p w14:paraId="41206B9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lang w:val="en-US" w:eastAsia="zh-CN"/>
        </w:rPr>
        <w:t>该项经费严格按照</w:t>
      </w:r>
      <w:r>
        <w:rPr>
          <w:rFonts w:hint="eastAsia" w:ascii="仿宋_GB2312" w:hAnsi="仿宋_GB2312" w:eastAsia="仿宋_GB2312" w:cs="仿宋_GB2312"/>
          <w:sz w:val="32"/>
          <w:szCs w:val="32"/>
          <w:lang w:val="zh-CN"/>
        </w:rPr>
        <w:t>项目财务管理制度</w:t>
      </w:r>
      <w:r>
        <w:rPr>
          <w:rFonts w:hint="eastAsia" w:ascii="仿宋_GB2312" w:hAnsi="仿宋_GB2312" w:eastAsia="仿宋_GB2312" w:cs="仿宋_GB2312"/>
          <w:sz w:val="32"/>
          <w:szCs w:val="32"/>
          <w:lang w:val="en-US" w:eastAsia="zh-CN"/>
        </w:rPr>
        <w:t>执行</w:t>
      </w:r>
      <w:r>
        <w:rPr>
          <w:rFonts w:hint="eastAsia" w:ascii="仿宋_GB2312" w:hAnsi="仿宋_GB2312" w:eastAsia="仿宋_GB2312" w:cs="仿宋_GB2312"/>
          <w:sz w:val="32"/>
          <w:szCs w:val="32"/>
          <w:lang w:val="zh-CN"/>
        </w:rPr>
        <w:t>、机构设置</w:t>
      </w:r>
      <w:r>
        <w:rPr>
          <w:rFonts w:hint="eastAsia" w:ascii="仿宋_GB2312" w:hAnsi="仿宋_GB2312" w:eastAsia="仿宋_GB2312" w:cs="仿宋_GB2312"/>
          <w:sz w:val="32"/>
          <w:szCs w:val="32"/>
          <w:lang w:val="en-US" w:eastAsia="zh-CN"/>
        </w:rPr>
        <w:t>健全，</w:t>
      </w:r>
      <w:r>
        <w:rPr>
          <w:rFonts w:hint="eastAsia" w:ascii="仿宋_GB2312" w:hAnsi="仿宋_GB2312" w:eastAsia="仿宋_GB2312" w:cs="仿宋_GB2312"/>
          <w:sz w:val="32"/>
          <w:szCs w:val="32"/>
          <w:lang w:val="zh-CN"/>
        </w:rPr>
        <w:t>会计核算及账务处理</w:t>
      </w:r>
      <w:r>
        <w:rPr>
          <w:rFonts w:hint="eastAsia" w:ascii="仿宋_GB2312" w:hAnsi="仿宋_GB2312" w:eastAsia="仿宋_GB2312" w:cs="仿宋_GB2312"/>
          <w:sz w:val="32"/>
          <w:szCs w:val="32"/>
          <w:lang w:val="en-US" w:eastAsia="zh-CN"/>
        </w:rPr>
        <w:t>到位</w:t>
      </w:r>
      <w:r>
        <w:rPr>
          <w:rFonts w:hint="eastAsia" w:ascii="仿宋_GB2312" w:hAnsi="仿宋_GB2312" w:eastAsia="仿宋_GB2312" w:cs="仿宋_GB2312"/>
          <w:sz w:val="32"/>
          <w:szCs w:val="32"/>
          <w:lang w:val="zh-CN"/>
        </w:rPr>
        <w:t>。严格执行财务管理制度、财务处理及时、会计核算规范。</w:t>
      </w:r>
    </w:p>
    <w:p w14:paraId="2AD8E1F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w:t>
      </w:r>
      <w:r>
        <w:rPr>
          <w:rFonts w:hint="eastAsia" w:ascii="楷体_GB2312" w:hAnsi="楷体_GB2312" w:eastAsia="楷体_GB2312" w:cs="楷体_GB2312"/>
          <w:sz w:val="32"/>
          <w:szCs w:val="32"/>
          <w:lang w:val="en-US" w:eastAsia="zh-CN"/>
        </w:rPr>
        <w:t>三</w:t>
      </w:r>
      <w:r>
        <w:rPr>
          <w:rFonts w:hint="eastAsia" w:ascii="楷体_GB2312" w:hAnsi="楷体_GB2312" w:eastAsia="楷体_GB2312" w:cs="楷体_GB2312"/>
          <w:sz w:val="32"/>
          <w:szCs w:val="32"/>
          <w:lang w:val="zh-CN"/>
        </w:rPr>
        <w:t>）项目组织实施及管理情况</w:t>
      </w:r>
    </w:p>
    <w:p w14:paraId="434E9409">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政策研究、深化改革、党史地志工作</w:t>
      </w:r>
      <w:r>
        <w:rPr>
          <w:rFonts w:hint="eastAsia" w:ascii="仿宋_GB2312" w:hAnsi="仿宋_GB2312" w:eastAsia="仿宋_GB2312" w:cs="仿宋_GB2312"/>
          <w:sz w:val="32"/>
          <w:szCs w:val="32"/>
          <w:lang w:val="zh-CN"/>
        </w:rPr>
        <w:t>经费</w:t>
      </w:r>
      <w:r>
        <w:rPr>
          <w:rFonts w:hint="eastAsia" w:ascii="仿宋_GB2312" w:hAnsi="仿宋_GB2312" w:eastAsia="仿宋_GB2312" w:cs="仿宋_GB2312"/>
          <w:sz w:val="32"/>
          <w:szCs w:val="32"/>
          <w:lang w:val="en-US" w:eastAsia="zh-CN"/>
        </w:rPr>
        <w:t>项目是基本运转类项目，该项目严格按照相关制度管理和实施，项目绩效与预决算一同在互联网上公开，严格项目监管，项目进展都严格按照相关要求执行，并做好资金支付的审核审批手续。全年无追加预算经费。</w:t>
      </w:r>
    </w:p>
    <w:p w14:paraId="02BC8EC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sz w:val="32"/>
          <w:szCs w:val="32"/>
          <w:lang w:val="zh-CN"/>
        </w:rPr>
      </w:pPr>
      <w:r>
        <w:rPr>
          <w:rFonts w:hint="eastAsia" w:ascii="黑体" w:hAnsi="黑体" w:eastAsia="黑体" w:cs="黑体"/>
          <w:sz w:val="32"/>
          <w:szCs w:val="32"/>
        </w:rPr>
        <w:t>三、项目绩效情况</w:t>
      </w:r>
      <w:r>
        <w:rPr>
          <w:rFonts w:hint="eastAsia" w:ascii="黑体" w:hAnsi="黑体" w:eastAsia="黑体" w:cs="黑体"/>
          <w:sz w:val="32"/>
          <w:szCs w:val="32"/>
          <w:lang w:val="zh-CN"/>
        </w:rPr>
        <w:tab/>
      </w:r>
    </w:p>
    <w:p w14:paraId="6A407440">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（一）项目完成情况</w:t>
      </w:r>
    </w:p>
    <w:p w14:paraId="4932C44C">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调研文章被中央省市各级刊物累计采用</w:t>
      </w:r>
      <w:r>
        <w:rPr>
          <w:rFonts w:hint="eastAsia" w:ascii="Times New Roman" w:hAnsi="Times New Roman" w:eastAsia="仿宋_GB2312" w:cs="仿宋_GB2312"/>
          <w:sz w:val="32"/>
          <w:szCs w:val="32"/>
          <w:lang w:val="en-US" w:eastAsia="zh-CN"/>
        </w:rPr>
        <w:t>10</w:t>
      </w:r>
      <w:r>
        <w:rPr>
          <w:rFonts w:hint="eastAsia" w:ascii="仿宋_GB2312" w:hAnsi="仿宋_GB2312" w:eastAsia="仿宋_GB2312" w:cs="仿宋_GB2312"/>
          <w:sz w:val="32"/>
          <w:szCs w:val="32"/>
          <w:lang w:val="en-US" w:eastAsia="zh-CN"/>
        </w:rPr>
        <w:t>篇，完成专刊</w:t>
      </w:r>
      <w:r>
        <w:rPr>
          <w:rFonts w:hint="eastAsia" w:ascii="Times New Roman" w:hAnsi="Times New Roman" w:eastAsia="仿宋_GB2312" w:cs="仿宋_GB2312"/>
          <w:sz w:val="32"/>
          <w:szCs w:val="32"/>
          <w:lang w:val="en-US" w:eastAsia="zh-CN"/>
        </w:rPr>
        <w:t>5</w:t>
      </w:r>
      <w:r>
        <w:rPr>
          <w:rFonts w:hint="eastAsia" w:ascii="仿宋_GB2312" w:hAnsi="仿宋_GB2312" w:eastAsia="仿宋_GB2312" w:cs="仿宋_GB2312"/>
          <w:sz w:val="32"/>
          <w:szCs w:val="32"/>
          <w:lang w:val="en-US" w:eastAsia="zh-CN"/>
        </w:rPr>
        <w:t>篇，完成领导讲话</w:t>
      </w:r>
      <w:r>
        <w:rPr>
          <w:rFonts w:hint="eastAsia" w:ascii="Times New Roman" w:hAnsi="Times New Roman" w:eastAsia="仿宋_GB2312" w:cs="仿宋_GB2312"/>
          <w:sz w:val="32"/>
          <w:szCs w:val="32"/>
          <w:lang w:val="en-US" w:eastAsia="zh-CN"/>
        </w:rPr>
        <w:t>20</w:t>
      </w:r>
      <w:r>
        <w:rPr>
          <w:rFonts w:hint="eastAsia" w:ascii="仿宋_GB2312" w:hAnsi="仿宋_GB2312" w:eastAsia="仿宋_GB2312" w:cs="仿宋_GB2312"/>
          <w:sz w:val="32"/>
          <w:szCs w:val="32"/>
          <w:lang w:val="en-US" w:eastAsia="zh-CN"/>
        </w:rPr>
        <w:t>篇，利用编纂的调研文章进行宣传成效显著，讲话材料达标率</w:t>
      </w:r>
      <w:r>
        <w:rPr>
          <w:rFonts w:hint="eastAsia" w:ascii="Times New Roman" w:hAnsi="Times New Roman" w:eastAsia="仿宋_GB2312" w:cs="仿宋_GB2312"/>
          <w:sz w:val="32"/>
          <w:szCs w:val="32"/>
          <w:lang w:val="en-US" w:eastAsia="zh-CN"/>
        </w:rPr>
        <w:t>99</w:t>
      </w:r>
      <w:r>
        <w:rPr>
          <w:rFonts w:hint="eastAsia" w:ascii="仿宋_GB2312" w:hAnsi="仿宋_GB2312" w:eastAsia="仿宋_GB2312" w:cs="仿宋_GB2312"/>
          <w:sz w:val="32"/>
          <w:szCs w:val="32"/>
          <w:lang w:val="en-US" w:eastAsia="zh-CN"/>
        </w:rPr>
        <w:t>%，《昭化年鉴》、《执政实录》编写准确率</w:t>
      </w:r>
      <w:r>
        <w:rPr>
          <w:rFonts w:hint="eastAsia" w:ascii="Times New Roman" w:hAnsi="Times New Roman" w:eastAsia="仿宋_GB2312" w:cs="仿宋_GB2312"/>
          <w:sz w:val="32"/>
          <w:szCs w:val="32"/>
          <w:lang w:val="en-US" w:eastAsia="zh-CN"/>
        </w:rPr>
        <w:t>99</w:t>
      </w:r>
      <w:r>
        <w:rPr>
          <w:rFonts w:hint="eastAsia" w:ascii="仿宋_GB2312" w:hAnsi="仿宋_GB2312" w:eastAsia="仿宋_GB2312" w:cs="仿宋_GB2312"/>
          <w:sz w:val="32"/>
          <w:szCs w:val="32"/>
          <w:lang w:val="en-US" w:eastAsia="zh-CN"/>
        </w:rPr>
        <w:t>%，社会公众满意度达</w:t>
      </w:r>
      <w:r>
        <w:rPr>
          <w:rFonts w:hint="eastAsia" w:ascii="Times New Roman" w:hAnsi="Times New Roman" w:eastAsia="仿宋_GB2312" w:cs="仿宋_GB2312"/>
          <w:sz w:val="32"/>
          <w:szCs w:val="32"/>
          <w:lang w:val="en-US" w:eastAsia="zh-CN"/>
        </w:rPr>
        <w:t>90</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lang w:val="zh-CN"/>
        </w:rPr>
        <w:t>该项目完成的数量、</w:t>
      </w:r>
      <w:r>
        <w:rPr>
          <w:rFonts w:hint="eastAsia" w:ascii="仿宋_GB2312" w:hAnsi="仿宋_GB2312" w:eastAsia="仿宋_GB2312" w:cs="仿宋_GB2312"/>
          <w:sz w:val="32"/>
          <w:szCs w:val="32"/>
          <w:lang w:val="zh-CN" w:eastAsia="zh-CN"/>
        </w:rPr>
        <w:t>质量、时效、成本等都实现了预期绩效目标，总体执行情况良好。</w:t>
      </w:r>
    </w:p>
    <w:p w14:paraId="49E3F9E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val="zh-CN"/>
        </w:rPr>
        <w:t>）项目效益情况。</w:t>
      </w:r>
    </w:p>
    <w:p w14:paraId="4DDADCE3">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政策研究、深化改革、党史地志工作经费项目的实施，确保了各项工作有序推进；以文辅政水平实现新提升；高质量完成各类会议文稿起草、主要领导讲话、活动致辞及重要汇报材料等。群众满意度达到</w:t>
      </w:r>
      <w:r>
        <w:rPr>
          <w:rFonts w:hint="eastAsia" w:ascii="Times New Roman" w:hAnsi="Times New Roman" w:eastAsia="仿宋_GB2312" w:cs="仿宋_GB2312"/>
          <w:sz w:val="32"/>
          <w:szCs w:val="32"/>
          <w:lang w:val="en-US" w:eastAsia="zh-CN"/>
        </w:rPr>
        <w:t>100</w:t>
      </w:r>
      <w:r>
        <w:rPr>
          <w:rFonts w:hint="eastAsia" w:ascii="仿宋_GB2312" w:hAnsi="仿宋_GB2312" w:eastAsia="仿宋_GB2312" w:cs="仿宋_GB2312"/>
          <w:sz w:val="32"/>
          <w:szCs w:val="32"/>
          <w:lang w:val="en-US" w:eastAsia="zh-CN"/>
        </w:rPr>
        <w:t>%。</w:t>
      </w:r>
    </w:p>
    <w:p w14:paraId="29FFA1B6">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（三）违规记录</w:t>
      </w:r>
    </w:p>
    <w:p w14:paraId="2D380FA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根据自评年度审计监督、财会监督和决算审查结果反映专项预算管理合规。</w:t>
      </w:r>
    </w:p>
    <w:p w14:paraId="514B7F24">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w:t>
      </w:r>
      <w:r>
        <w:rPr>
          <w:rFonts w:hint="eastAsia" w:ascii="黑体" w:hAnsi="黑体" w:eastAsia="黑体" w:cs="黑体"/>
          <w:sz w:val="32"/>
          <w:szCs w:val="32"/>
          <w:lang w:eastAsia="zh-CN"/>
        </w:rPr>
        <w:t>、自评</w:t>
      </w:r>
      <w:r>
        <w:rPr>
          <w:rFonts w:hint="eastAsia" w:ascii="黑体" w:hAnsi="黑体" w:eastAsia="黑体" w:cs="黑体"/>
          <w:sz w:val="32"/>
          <w:szCs w:val="32"/>
        </w:rPr>
        <w:t>结论及建议</w:t>
      </w:r>
    </w:p>
    <w:p w14:paraId="37137025">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zh-CN"/>
        </w:rPr>
        <w:t>（一）评价结论。</w:t>
      </w:r>
      <w:r>
        <w:rPr>
          <w:rFonts w:hint="eastAsia" w:ascii="仿宋_GB2312" w:hAnsi="仿宋_GB2312" w:eastAsia="仿宋_GB2312" w:cs="仿宋_GB2312"/>
          <w:sz w:val="32"/>
          <w:szCs w:val="32"/>
          <w:lang w:val="en-US" w:eastAsia="zh-CN"/>
        </w:rPr>
        <w:t>政策研究、深化改革、党史地志工作经费，该项目建设质量要求高，全面完成全年各类支付工作，运转正常，基本实现了预期绩效目标，总体执行情况良好，该项目评价得分</w:t>
      </w:r>
      <w:r>
        <w:rPr>
          <w:rFonts w:hint="eastAsia" w:ascii="Times New Roman" w:hAnsi="Times New Roman" w:eastAsia="仿宋_GB2312" w:cs="仿宋_GB2312"/>
          <w:sz w:val="32"/>
          <w:szCs w:val="32"/>
          <w:lang w:val="en-US" w:eastAsia="zh-CN"/>
        </w:rPr>
        <w:t>100</w:t>
      </w:r>
      <w:r>
        <w:rPr>
          <w:rFonts w:hint="eastAsia" w:ascii="仿宋_GB2312" w:hAnsi="仿宋_GB2312" w:eastAsia="仿宋_GB2312" w:cs="仿宋_GB2312"/>
          <w:sz w:val="32"/>
          <w:szCs w:val="32"/>
          <w:lang w:val="en-US" w:eastAsia="zh-CN"/>
        </w:rPr>
        <w:t>分。</w:t>
      </w:r>
    </w:p>
    <w:p w14:paraId="3AB4AED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zh-CN"/>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lang w:val="zh-CN"/>
        </w:rPr>
        <w:t>）存在的问题。</w:t>
      </w:r>
      <w:r>
        <w:rPr>
          <w:rFonts w:hint="eastAsia" w:ascii="仿宋_GB2312" w:hAnsi="仿宋_GB2312" w:eastAsia="仿宋_GB2312" w:cs="仿宋_GB2312"/>
          <w:sz w:val="32"/>
          <w:szCs w:val="32"/>
          <w:lang w:val="en-US" w:eastAsia="zh-CN"/>
        </w:rPr>
        <w:t>管理制度有待进一步完善。</w:t>
      </w:r>
    </w:p>
    <w:p w14:paraId="2D6008CE">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zh-CN"/>
        </w:rPr>
        <w:t>（三）相关措施或建议。</w:t>
      </w:r>
      <w:r>
        <w:rPr>
          <w:rFonts w:hint="eastAsia" w:ascii="仿宋_GB2312" w:hAnsi="仿宋_GB2312" w:eastAsia="仿宋_GB2312" w:cs="仿宋_GB2312"/>
          <w:sz w:val="32"/>
          <w:szCs w:val="32"/>
          <w:lang w:val="en-US" w:eastAsia="zh-CN"/>
        </w:rPr>
        <w:t>明确项目绩效目标，细化项目管理，建立健全项目绩效制度。</w:t>
      </w:r>
    </w:p>
    <w:p w14:paraId="03CB5ACD">
      <w:pPr>
        <w:pStyle w:val="12"/>
        <w:rPr>
          <w:rFonts w:hint="eastAsia"/>
          <w:lang w:val="en-US" w:eastAsia="zh-CN"/>
        </w:rPr>
      </w:pPr>
    </w:p>
    <w:p w14:paraId="7FBC2BF0">
      <w:pPr>
        <w:keepNext w:val="0"/>
        <w:keepLines w:val="0"/>
        <w:pageBreakBefore w:val="0"/>
        <w:widowControl w:val="0"/>
        <w:kinsoku/>
        <w:wordWrap/>
        <w:overflowPunct/>
        <w:topLinePunct w:val="0"/>
        <w:autoSpaceDE/>
        <w:autoSpaceDN/>
        <w:bidi w:val="0"/>
        <w:adjustRightInd/>
        <w:snapToGrid/>
        <w:spacing w:line="576" w:lineRule="exact"/>
        <w:ind w:left="1760" w:leftChars="200" w:hanging="1280" w:hangingChars="4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附件：</w:t>
      </w:r>
      <w:r>
        <w:rPr>
          <w:rFonts w:hint="eastAsia" w:ascii="Times New Roman" w:hAnsi="Times New Roman" w:eastAsia="仿宋_GB2312" w:cs="仿宋_GB2312"/>
          <w:sz w:val="32"/>
          <w:szCs w:val="32"/>
          <w:lang w:val="en-US" w:eastAsia="zh-CN"/>
        </w:rPr>
        <w:t>1</w:t>
      </w:r>
      <w:r>
        <w:rPr>
          <w:rFonts w:hint="eastAsia" w:ascii="仿宋_GB2312" w:hAnsi="仿宋_GB2312" w:eastAsia="仿宋_GB2312" w:cs="仿宋_GB2312"/>
          <w:sz w:val="32"/>
          <w:szCs w:val="32"/>
          <w:lang w:val="en-US" w:eastAsia="zh-CN"/>
        </w:rPr>
        <w:t>.</w:t>
      </w:r>
      <w:r>
        <w:rPr>
          <w:rFonts w:hint="eastAsia" w:ascii="Times New Roman" w:hAnsi="Times New Roman"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年政策研究、深化改革、党史地志工作经费项目支出绩效自评表</w:t>
      </w:r>
    </w:p>
    <w:p w14:paraId="34F84F38">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r>
        <w:rPr>
          <w:rFonts w:hint="eastAsia" w:ascii="Times New Roman" w:hAnsi="Times New Roman" w:eastAsia="仿宋_GB2312" w:cs="仿宋_GB2312"/>
          <w:sz w:val="32"/>
          <w:szCs w:val="32"/>
          <w:lang w:val="en-US" w:eastAsia="zh-CN"/>
        </w:rPr>
        <w:t>2</w:t>
      </w:r>
      <w:r>
        <w:rPr>
          <w:rFonts w:hint="eastAsia" w:ascii="仿宋_GB2312" w:hAnsi="仿宋_GB2312" w:eastAsia="仿宋_GB2312" w:cs="仿宋_GB2312"/>
          <w:sz w:val="32"/>
          <w:szCs w:val="32"/>
          <w:lang w:val="en-US" w:eastAsia="zh-CN"/>
        </w:rPr>
        <w:t>.</w:t>
      </w:r>
      <w:r>
        <w:rPr>
          <w:rFonts w:hint="eastAsia" w:ascii="Times New Roman" w:hAnsi="Times New Roman" w:eastAsia="仿宋_GB2312" w:cs="仿宋_GB2312"/>
          <w:sz w:val="32"/>
          <w:szCs w:val="32"/>
          <w:lang w:val="en-US" w:eastAsia="zh-CN"/>
        </w:rPr>
        <w:t>2023</w:t>
      </w:r>
      <w:r>
        <w:rPr>
          <w:rFonts w:hint="eastAsia" w:ascii="仿宋_GB2312" w:hAnsi="仿宋_GB2312" w:eastAsia="仿宋_GB2312" w:cs="仿宋_GB2312"/>
          <w:sz w:val="32"/>
          <w:szCs w:val="32"/>
          <w:lang w:val="en-US" w:eastAsia="zh-CN"/>
        </w:rPr>
        <w:t>年政策研究、深化改革、党史地志工作经费</w:t>
      </w:r>
    </w:p>
    <w:p w14:paraId="12FA0547">
      <w:pPr>
        <w:keepNext w:val="0"/>
        <w:keepLines w:val="0"/>
        <w:pageBreakBefore w:val="0"/>
        <w:widowControl w:val="0"/>
        <w:kinsoku/>
        <w:wordWrap/>
        <w:overflowPunct/>
        <w:topLinePunct w:val="0"/>
        <w:autoSpaceDE/>
        <w:autoSpaceDN/>
        <w:bidi w:val="0"/>
        <w:adjustRightInd/>
        <w:snapToGrid/>
        <w:spacing w:line="576" w:lineRule="exact"/>
        <w:ind w:firstLine="1920" w:firstLineChars="6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项目支出绩效自评评分表</w:t>
      </w:r>
    </w:p>
    <w:p w14:paraId="6850FDC6">
      <w:pPr>
        <w:pStyle w:val="12"/>
        <w:keepNext w:val="0"/>
        <w:keepLines w:val="0"/>
        <w:pageBreakBefore w:val="0"/>
        <w:widowControl w:val="0"/>
        <w:kinsoku/>
        <w:overflowPunct/>
        <w:topLinePunct w:val="0"/>
        <w:autoSpaceDE/>
        <w:autoSpaceDN/>
        <w:bidi w:val="0"/>
        <w:adjustRightInd/>
        <w:snapToGrid/>
        <w:spacing w:after="0" w:line="600" w:lineRule="exact"/>
        <w:textAlignment w:val="auto"/>
        <w:rPr>
          <w:rFonts w:hint="eastAsia"/>
          <w:spacing w:val="0"/>
          <w:sz w:val="32"/>
          <w:lang w:val="en-US" w:eastAsia="zh-CN"/>
        </w:rPr>
      </w:pPr>
    </w:p>
    <w:p w14:paraId="590348D5">
      <w:pPr>
        <w:pStyle w:val="12"/>
        <w:keepNext w:val="0"/>
        <w:keepLines w:val="0"/>
        <w:pageBreakBefore w:val="0"/>
        <w:widowControl w:val="0"/>
        <w:kinsoku/>
        <w:overflowPunct/>
        <w:topLinePunct w:val="0"/>
        <w:autoSpaceDE/>
        <w:autoSpaceDN/>
        <w:bidi w:val="0"/>
        <w:adjustRightInd/>
        <w:snapToGrid/>
        <w:spacing w:after="0" w:line="600" w:lineRule="exact"/>
        <w:textAlignment w:val="auto"/>
        <w:rPr>
          <w:rFonts w:hint="eastAsia"/>
          <w:spacing w:val="0"/>
          <w:sz w:val="32"/>
          <w:lang w:val="en-US" w:eastAsia="zh-CN"/>
        </w:rPr>
      </w:pPr>
    </w:p>
    <w:p w14:paraId="5E293FA4">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right"/>
        <w:textAlignment w:val="auto"/>
        <w:rPr>
          <w:rFonts w:hint="default" w:eastAsia="仿宋_GB2312"/>
          <w:spacing w:val="0"/>
          <w:sz w:val="32"/>
          <w:lang w:val="en-US" w:eastAsia="zh-CN"/>
        </w:rPr>
      </w:pPr>
      <w:r>
        <w:rPr>
          <w:rFonts w:hint="eastAsia"/>
          <w:spacing w:val="0"/>
          <w:sz w:val="32"/>
          <w:lang w:val="en-US" w:eastAsia="zh-CN"/>
        </w:rPr>
        <w:t>中共广元市昭化区委办公室</w:t>
      </w:r>
    </w:p>
    <w:p w14:paraId="357BA40F">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jc w:val="right"/>
        <w:textAlignment w:val="auto"/>
        <w:rPr>
          <w:rFonts w:hint="default"/>
          <w:spacing w:val="0"/>
          <w:sz w:val="32"/>
          <w:lang w:val="en-US" w:eastAsia="zh-CN"/>
        </w:rPr>
      </w:pPr>
      <w:r>
        <w:rPr>
          <w:rFonts w:hint="eastAsia" w:ascii="Times New Roman" w:hAnsi="Times New Roman"/>
          <w:spacing w:val="0"/>
          <w:sz w:val="32"/>
          <w:lang w:val="en-US" w:eastAsia="zh-CN"/>
        </w:rPr>
        <w:t>2024</w:t>
      </w:r>
      <w:r>
        <w:rPr>
          <w:rFonts w:hint="eastAsia"/>
          <w:spacing w:val="0"/>
          <w:sz w:val="32"/>
          <w:lang w:val="en-US" w:eastAsia="zh-CN"/>
        </w:rPr>
        <w:t>年</w:t>
      </w:r>
      <w:r>
        <w:rPr>
          <w:rFonts w:hint="eastAsia" w:ascii="Times New Roman" w:hAnsi="Times New Roman"/>
          <w:spacing w:val="0"/>
          <w:sz w:val="32"/>
          <w:lang w:val="en-US" w:eastAsia="zh-CN"/>
        </w:rPr>
        <w:t>5</w:t>
      </w:r>
      <w:r>
        <w:rPr>
          <w:rFonts w:hint="eastAsia"/>
          <w:spacing w:val="0"/>
          <w:sz w:val="32"/>
          <w:lang w:val="en-US" w:eastAsia="zh-CN"/>
        </w:rPr>
        <w:t>月</w:t>
      </w:r>
      <w:r>
        <w:rPr>
          <w:rFonts w:hint="eastAsia" w:ascii="Times New Roman" w:hAnsi="Times New Roman"/>
          <w:spacing w:val="0"/>
          <w:sz w:val="32"/>
          <w:lang w:val="en-US" w:eastAsia="zh-CN"/>
        </w:rPr>
        <w:t>8</w:t>
      </w:r>
      <w:r>
        <w:rPr>
          <w:rFonts w:hint="eastAsia"/>
          <w:spacing w:val="0"/>
          <w:sz w:val="32"/>
          <w:lang w:val="en-US" w:eastAsia="zh-CN"/>
        </w:rPr>
        <w:t>日</w:t>
      </w:r>
    </w:p>
    <w:p w14:paraId="46FE4491">
      <w:pPr>
        <w:pStyle w:val="12"/>
        <w:rPr>
          <w:rFonts w:hint="eastAsia" w:ascii="仿宋_GB2312" w:hAnsi="仿宋_GB2312" w:eastAsia="仿宋_GB2312" w:cs="仿宋_GB2312"/>
          <w:sz w:val="32"/>
          <w:szCs w:val="32"/>
          <w:lang w:val="en-US" w:eastAsia="zh-CN"/>
        </w:rPr>
      </w:pPr>
    </w:p>
    <w:p w14:paraId="56154366">
      <w:pPr>
        <w:pStyle w:val="12"/>
        <w:rPr>
          <w:rFonts w:hint="eastAsia" w:ascii="仿宋_GB2312" w:hAnsi="仿宋_GB2312" w:eastAsia="仿宋_GB2312" w:cs="仿宋_GB2312"/>
          <w:sz w:val="32"/>
          <w:szCs w:val="32"/>
          <w:lang w:val="en-US" w:eastAsia="zh-CN"/>
        </w:rPr>
      </w:pPr>
    </w:p>
    <w:p w14:paraId="3A630033">
      <w:pPr>
        <w:pStyle w:val="12"/>
        <w:rPr>
          <w:rFonts w:hint="eastAsia" w:ascii="仿宋_GB2312" w:hAnsi="仿宋_GB2312" w:eastAsia="仿宋_GB2312" w:cs="仿宋_GB2312"/>
          <w:sz w:val="32"/>
          <w:szCs w:val="32"/>
          <w:lang w:val="en-US" w:eastAsia="zh-CN"/>
        </w:rPr>
      </w:pPr>
    </w:p>
    <w:p w14:paraId="04DE894E">
      <w:pPr>
        <w:pStyle w:val="12"/>
        <w:rPr>
          <w:rFonts w:hint="eastAsia" w:ascii="仿宋_GB2312" w:hAnsi="仿宋_GB2312" w:eastAsia="仿宋_GB2312" w:cs="仿宋_GB2312"/>
          <w:sz w:val="32"/>
          <w:szCs w:val="32"/>
          <w:lang w:val="en-US" w:eastAsia="zh-CN"/>
        </w:rPr>
      </w:pPr>
    </w:p>
    <w:p w14:paraId="0BFA0D52">
      <w:pPr>
        <w:pStyle w:val="12"/>
        <w:rPr>
          <w:rFonts w:hint="eastAsia" w:ascii="仿宋_GB2312" w:hAnsi="仿宋_GB2312" w:eastAsia="仿宋_GB2312" w:cs="仿宋_GB2312"/>
          <w:sz w:val="32"/>
          <w:szCs w:val="32"/>
          <w:lang w:val="en-US" w:eastAsia="zh-CN"/>
        </w:rPr>
      </w:pPr>
    </w:p>
    <w:p w14:paraId="18DAA3E7">
      <w:pPr>
        <w:pStyle w:val="12"/>
        <w:rPr>
          <w:rFonts w:hint="eastAsia" w:ascii="仿宋_GB2312" w:hAnsi="仿宋_GB2312" w:eastAsia="仿宋_GB2312" w:cs="仿宋_GB2312"/>
          <w:sz w:val="32"/>
          <w:szCs w:val="32"/>
          <w:lang w:val="en-US" w:eastAsia="zh-CN"/>
        </w:rPr>
      </w:pPr>
    </w:p>
    <w:p w14:paraId="3E0C61F5">
      <w:pPr>
        <w:rPr>
          <w:rFonts w:hint="eastAsia" w:ascii="黑体" w:hAnsi="黑体" w:eastAsia="黑体" w:cs="黑体"/>
          <w:sz w:val="32"/>
          <w:szCs w:val="32"/>
          <w:lang w:val="en-US" w:eastAsia="zh-CN"/>
        </w:rPr>
      </w:pPr>
      <w:r>
        <w:br w:type="page"/>
      </w:r>
    </w:p>
    <w:p w14:paraId="2662BFC5">
      <w:pPr>
        <w:pStyle w:val="12"/>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r>
        <w:rPr>
          <w:rFonts w:hint="eastAsia" w:ascii="Times New Roman" w:hAnsi="Times New Roman" w:eastAsia="黑体" w:cs="黑体"/>
          <w:sz w:val="32"/>
          <w:szCs w:val="32"/>
          <w:lang w:val="en-US" w:eastAsia="zh-CN"/>
        </w:rPr>
        <w:t>1</w:t>
      </w:r>
    </w:p>
    <w:p w14:paraId="5DD8E7D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center"/>
        <w:rPr>
          <w:rFonts w:ascii="方正小标宋简体" w:hAnsi="方正小标宋简体" w:eastAsia="方正小标宋简体" w:cs="方正小标宋简体"/>
          <w:i w:val="0"/>
          <w:iCs w:val="0"/>
          <w:color w:val="000000"/>
          <w:spacing w:val="-6"/>
          <w:sz w:val="44"/>
          <w:szCs w:val="44"/>
          <w:u w:val="none"/>
        </w:rPr>
      </w:pPr>
      <w:r>
        <w:rPr>
          <w:rFonts w:hint="eastAsia" w:ascii="方正小标宋简体" w:hAnsi="方正小标宋简体" w:eastAsia="方正小标宋简体" w:cs="方正小标宋简体"/>
          <w:i w:val="0"/>
          <w:iCs w:val="0"/>
          <w:color w:val="000000"/>
          <w:spacing w:val="-6"/>
          <w:kern w:val="0"/>
          <w:sz w:val="44"/>
          <w:szCs w:val="44"/>
          <w:u w:val="none"/>
          <w:lang w:val="en-US" w:eastAsia="zh-CN"/>
        </w:rPr>
        <w:t>广元市昭化区财政项目（政策）支出绩效自评表</w:t>
      </w:r>
    </w:p>
    <w:tbl>
      <w:tblPr>
        <w:tblStyle w:val="13"/>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37B4B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9856" w:type="dxa"/>
            <w:gridSpan w:val="8"/>
            <w:tcBorders>
              <w:top w:val="nil"/>
              <w:left w:val="nil"/>
              <w:bottom w:val="nil"/>
              <w:right w:val="nil"/>
            </w:tcBorders>
            <w:shd w:val="clear" w:color="auto" w:fill="auto"/>
            <w:vAlign w:val="top"/>
          </w:tcPr>
          <w:p w14:paraId="0B1B9F5A">
            <w:pPr>
              <w:keepNext w:val="0"/>
              <w:keepLines w:val="0"/>
              <w:widowControl/>
              <w:suppressLineNumbers w:val="0"/>
              <w:spacing w:before="0" w:beforeAutospacing="0" w:after="0" w:afterAutospacing="0"/>
              <w:ind w:left="0" w:right="0"/>
              <w:jc w:val="center"/>
              <w:textAlignment w:val="top"/>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rPr>
              <w:t>（</w:t>
            </w:r>
            <w:r>
              <w:rPr>
                <w:rFonts w:hint="eastAsia" w:ascii="Times New Roman" w:hAnsi="Times New Roman" w:eastAsia="宋体" w:cs="宋体"/>
                <w:b/>
                <w:bCs/>
                <w:i w:val="0"/>
                <w:iCs w:val="0"/>
                <w:color w:val="000000"/>
                <w:kern w:val="0"/>
                <w:sz w:val="24"/>
                <w:szCs w:val="24"/>
                <w:u w:val="none"/>
                <w:lang w:val="en-US" w:eastAsia="zh-CN"/>
              </w:rPr>
              <w:t>2023</w:t>
            </w:r>
            <w:r>
              <w:rPr>
                <w:rFonts w:hint="eastAsia" w:ascii="宋体" w:hAnsi="宋体" w:eastAsia="宋体" w:cs="宋体"/>
                <w:b/>
                <w:bCs/>
                <w:i w:val="0"/>
                <w:iCs w:val="0"/>
                <w:color w:val="000000"/>
                <w:kern w:val="0"/>
                <w:sz w:val="24"/>
                <w:szCs w:val="24"/>
                <w:u w:val="none"/>
                <w:lang w:val="en-US" w:eastAsia="zh-CN"/>
              </w:rPr>
              <w:t>年度）</w:t>
            </w:r>
          </w:p>
        </w:tc>
      </w:tr>
      <w:tr w14:paraId="06EA5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30FF4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项目（政策）名称</w:t>
            </w:r>
          </w:p>
        </w:tc>
        <w:tc>
          <w:tcPr>
            <w:tcW w:w="824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3F15EE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政策研究、深化改革、党史地志工作经费</w:t>
            </w:r>
          </w:p>
        </w:tc>
      </w:tr>
      <w:tr w14:paraId="663060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161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FAB9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主管部门</w:t>
            </w:r>
          </w:p>
        </w:tc>
        <w:tc>
          <w:tcPr>
            <w:tcW w:w="430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E64C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C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实施单位</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249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中共广元市昭化区委办公室</w:t>
            </w:r>
          </w:p>
        </w:tc>
      </w:tr>
      <w:tr w14:paraId="737130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restart"/>
            <w:tcBorders>
              <w:top w:val="single" w:color="000000" w:sz="4" w:space="0"/>
              <w:left w:val="single" w:color="000000" w:sz="4" w:space="0"/>
              <w:bottom w:val="nil"/>
              <w:right w:val="single" w:color="000000" w:sz="4" w:space="0"/>
            </w:tcBorders>
            <w:shd w:val="clear" w:color="auto" w:fill="auto"/>
            <w:vAlign w:val="center"/>
          </w:tcPr>
          <w:p w14:paraId="2A3F98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项目（政策）资金（万元）</w:t>
            </w:r>
          </w:p>
        </w:tc>
        <w:tc>
          <w:tcPr>
            <w:tcW w:w="2269" w:type="dxa"/>
            <w:gridSpan w:val="2"/>
            <w:tcBorders>
              <w:top w:val="nil"/>
              <w:left w:val="single" w:color="000000" w:sz="4" w:space="0"/>
              <w:bottom w:val="single" w:color="000000" w:sz="4" w:space="0"/>
              <w:right w:val="single" w:color="000000" w:sz="4" w:space="0"/>
            </w:tcBorders>
            <w:shd w:val="clear" w:color="auto" w:fill="auto"/>
            <w:vAlign w:val="center"/>
          </w:tcPr>
          <w:p w14:paraId="777BEA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年度预算数（万元）</w:t>
            </w:r>
          </w:p>
        </w:tc>
        <w:tc>
          <w:tcPr>
            <w:tcW w:w="2038" w:type="dxa"/>
            <w:tcBorders>
              <w:top w:val="nil"/>
              <w:left w:val="single" w:color="000000" w:sz="4" w:space="0"/>
              <w:bottom w:val="single" w:color="000000" w:sz="4" w:space="0"/>
              <w:right w:val="single" w:color="000000" w:sz="4" w:space="0"/>
            </w:tcBorders>
            <w:shd w:val="clear" w:color="auto" w:fill="auto"/>
            <w:vAlign w:val="center"/>
          </w:tcPr>
          <w:p w14:paraId="56EB4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年初预算数</w:t>
            </w:r>
          </w:p>
        </w:tc>
        <w:tc>
          <w:tcPr>
            <w:tcW w:w="1380" w:type="dxa"/>
            <w:tcBorders>
              <w:top w:val="nil"/>
              <w:left w:val="single" w:color="000000" w:sz="4" w:space="0"/>
              <w:bottom w:val="single" w:color="000000" w:sz="4" w:space="0"/>
              <w:right w:val="single" w:color="000000" w:sz="4" w:space="0"/>
            </w:tcBorders>
            <w:shd w:val="clear" w:color="auto" w:fill="auto"/>
            <w:vAlign w:val="center"/>
          </w:tcPr>
          <w:p w14:paraId="35265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全年预算数</w:t>
            </w:r>
          </w:p>
        </w:tc>
        <w:tc>
          <w:tcPr>
            <w:tcW w:w="1320" w:type="dxa"/>
            <w:tcBorders>
              <w:top w:val="nil"/>
              <w:left w:val="single" w:color="000000" w:sz="4" w:space="0"/>
              <w:bottom w:val="single" w:color="000000" w:sz="4" w:space="0"/>
              <w:right w:val="single" w:color="000000" w:sz="4" w:space="0"/>
            </w:tcBorders>
            <w:shd w:val="clear" w:color="auto" w:fill="auto"/>
            <w:vAlign w:val="center"/>
          </w:tcPr>
          <w:p w14:paraId="2E9BB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全年执行数</w:t>
            </w:r>
          </w:p>
        </w:tc>
        <w:tc>
          <w:tcPr>
            <w:tcW w:w="1233" w:type="dxa"/>
            <w:tcBorders>
              <w:top w:val="nil"/>
              <w:left w:val="single" w:color="000000" w:sz="4" w:space="0"/>
              <w:bottom w:val="single" w:color="000000" w:sz="4" w:space="0"/>
              <w:right w:val="single" w:color="000000" w:sz="4" w:space="0"/>
            </w:tcBorders>
            <w:shd w:val="clear" w:color="auto" w:fill="auto"/>
            <w:vAlign w:val="center"/>
          </w:tcPr>
          <w:p w14:paraId="238E3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执行率</w:t>
            </w:r>
          </w:p>
        </w:tc>
      </w:tr>
      <w:tr w14:paraId="2853F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46D641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F68A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年度资金总额</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11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A01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1A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233" w:type="dxa"/>
            <w:tcBorders>
              <w:top w:val="nil"/>
              <w:left w:val="single" w:color="000000" w:sz="4" w:space="0"/>
              <w:bottom w:val="single" w:color="000000" w:sz="4" w:space="0"/>
              <w:right w:val="single" w:color="000000" w:sz="4" w:space="0"/>
            </w:tcBorders>
            <w:shd w:val="clear" w:color="auto" w:fill="auto"/>
            <w:vAlign w:val="center"/>
          </w:tcPr>
          <w:p w14:paraId="640117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2CFFF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1DE5F9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243C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（一）财政拨款小计</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10F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1B4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D2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5D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5263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099BDA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BBCB5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.一般公共预算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D47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C1F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107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146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default" w:ascii="宋体" w:hAnsi="宋体" w:eastAsia="宋体" w:cs="宋体"/>
                <w:i w:val="0"/>
                <w:iCs w:val="0"/>
                <w:color w:val="000000"/>
                <w:sz w:val="18"/>
                <w:szCs w:val="18"/>
                <w:u w:val="none"/>
                <w:lang w:val="en-US"/>
              </w:rPr>
            </w:pPr>
            <w:r>
              <w:rPr>
                <w:rFonts w:hint="eastAsia" w:ascii="Times New Roman" w:hAnsi="Times New Roman" w:eastAsia="宋体" w:cs="宋体"/>
                <w:i w:val="0"/>
                <w:iCs w:val="0"/>
                <w:color w:val="000000"/>
                <w:kern w:val="0"/>
                <w:sz w:val="18"/>
                <w:szCs w:val="18"/>
                <w:u w:val="none"/>
                <w:lang w:val="en-US" w:eastAsia="zh-CN"/>
              </w:rPr>
              <w:t>100</w:t>
            </w:r>
            <w:r>
              <w:rPr>
                <w:rFonts w:hint="eastAsia" w:eastAsia="宋体" w:cs="宋体"/>
                <w:i w:val="0"/>
                <w:iCs w:val="0"/>
                <w:color w:val="000000"/>
                <w:kern w:val="0"/>
                <w:sz w:val="18"/>
                <w:szCs w:val="18"/>
                <w:u w:val="none"/>
                <w:lang w:val="en-US" w:eastAsia="zh-CN"/>
              </w:rPr>
              <w:t>%</w:t>
            </w:r>
          </w:p>
        </w:tc>
      </w:tr>
      <w:tr w14:paraId="386355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5D800C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A4782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.政府性基金</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444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6D0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280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ACF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r>
      <w:tr w14:paraId="45217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218A2E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74F9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 xml:space="preserve">   </w:t>
            </w:r>
            <w:r>
              <w:rPr>
                <w:rFonts w:hint="eastAsia" w:ascii="Times New Roman" w:hAnsi="Times New Roman" w:eastAsia="宋体" w:cs="宋体"/>
                <w:i w:val="0"/>
                <w:iCs w:val="0"/>
                <w:color w:val="000000"/>
                <w:kern w:val="0"/>
                <w:sz w:val="18"/>
                <w:szCs w:val="18"/>
                <w:u w:val="none"/>
                <w:lang w:val="en-US" w:eastAsia="zh-CN"/>
              </w:rPr>
              <w:t>3</w:t>
            </w:r>
            <w:r>
              <w:rPr>
                <w:rFonts w:hint="eastAsia" w:ascii="宋体" w:hAnsi="宋体" w:eastAsia="宋体" w:cs="宋体"/>
                <w:i w:val="0"/>
                <w:iCs w:val="0"/>
                <w:color w:val="000000"/>
                <w:kern w:val="0"/>
                <w:sz w:val="18"/>
                <w:szCs w:val="18"/>
                <w:u w:val="none"/>
                <w:lang w:val="en-US" w:eastAsia="zh-CN"/>
              </w:rPr>
              <w:t>.国有资本经营预算</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8F3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5F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83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577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r>
      <w:tr w14:paraId="28FDA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1616" w:type="dxa"/>
            <w:gridSpan w:val="2"/>
            <w:vMerge w:val="continue"/>
            <w:tcBorders>
              <w:top w:val="single" w:color="000000" w:sz="4" w:space="0"/>
              <w:left w:val="single" w:color="000000" w:sz="4" w:space="0"/>
              <w:bottom w:val="nil"/>
              <w:right w:val="single" w:color="000000" w:sz="4" w:space="0"/>
            </w:tcBorders>
            <w:shd w:val="clear" w:color="auto" w:fill="auto"/>
            <w:vAlign w:val="center"/>
          </w:tcPr>
          <w:p w14:paraId="318399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226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7F2C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（二）其他资金</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1C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left"/>
              <w:rPr>
                <w:rFonts w:hint="eastAsia" w:ascii="宋体" w:hAnsi="宋体" w:eastAsia="宋体" w:cs="宋体"/>
                <w:i w:val="0"/>
                <w:iCs w:val="0"/>
                <w:color w:val="000000"/>
                <w:sz w:val="18"/>
                <w:szCs w:val="18"/>
                <w:u w:val="none"/>
              </w:rPr>
            </w:pP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389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B22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AB3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r>
      <w:tr w14:paraId="4E904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F27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年度总体目标</w:t>
            </w:r>
          </w:p>
        </w:tc>
        <w:tc>
          <w:tcPr>
            <w:tcW w:w="51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7E908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预期目标</w:t>
            </w:r>
          </w:p>
        </w:tc>
        <w:tc>
          <w:tcPr>
            <w:tcW w:w="3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C0CC2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全年实际完成情况</w:t>
            </w:r>
          </w:p>
        </w:tc>
      </w:tr>
      <w:tr w14:paraId="4E461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C5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515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B27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负责编纂昭化区志、指导各部门志、镇志的编纂；高质量完成</w:t>
            </w:r>
            <w:r>
              <w:rPr>
                <w:rFonts w:hint="eastAsia" w:ascii="Times New Roman" w:hAnsi="Times New Roman" w:eastAsia="宋体" w:cs="宋体"/>
                <w:i w:val="0"/>
                <w:iCs w:val="0"/>
                <w:color w:val="000000"/>
                <w:kern w:val="0"/>
                <w:sz w:val="18"/>
                <w:szCs w:val="18"/>
                <w:u w:val="none"/>
                <w:lang w:val="en-US" w:eastAsia="zh-CN"/>
              </w:rPr>
              <w:t>2024</w:t>
            </w:r>
            <w:r>
              <w:rPr>
                <w:rFonts w:hint="eastAsia" w:ascii="宋体" w:hAnsi="宋体" w:eastAsia="宋体" w:cs="宋体"/>
                <w:i w:val="0"/>
                <w:iCs w:val="0"/>
                <w:color w:val="000000"/>
                <w:kern w:val="0"/>
                <w:sz w:val="18"/>
                <w:szCs w:val="18"/>
                <w:u w:val="none"/>
                <w:lang w:val="en-US" w:eastAsia="zh-CN"/>
              </w:rPr>
              <w:t>年《昭化年鉴》、《执政实录》的编纂工作；负责征集昭化党史专题资料和口述</w:t>
            </w:r>
            <w:r>
              <w:t>党</w:t>
            </w:r>
            <w:r>
              <w:rPr>
                <w:rFonts w:hint="eastAsia" w:ascii="宋体" w:hAnsi="宋体" w:eastAsia="宋体" w:cs="宋体"/>
                <w:i w:val="0"/>
                <w:iCs w:val="0"/>
                <w:color w:val="000000"/>
                <w:kern w:val="0"/>
                <w:sz w:val="18"/>
                <w:szCs w:val="18"/>
                <w:u w:val="none"/>
                <w:lang w:val="en-US" w:eastAsia="zh-CN"/>
              </w:rPr>
              <w:t>史资料，并建立、充实党史资料库；到镇和部门开展改革调研、研究区委改革办日常工作，保证区深化改革工作的日常运转，促进改革深化，提高会议质量，保证工作有序推进；就城市建设与管理、社区建设、招商引资等课题到区内各镇、各部门调研或到先进发达地区考察学习，起草综合性文字材料和领导讲话。</w:t>
            </w:r>
          </w:p>
        </w:tc>
        <w:tc>
          <w:tcPr>
            <w:tcW w:w="393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56A1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全面完成</w:t>
            </w:r>
          </w:p>
        </w:tc>
      </w:tr>
      <w:tr w14:paraId="5EE63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A27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绩效</w:t>
            </w:r>
          </w:p>
          <w:p w14:paraId="6830C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96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一级</w:t>
            </w:r>
          </w:p>
          <w:p w14:paraId="51B327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2E5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二级指标</w:t>
            </w:r>
          </w:p>
        </w:tc>
        <w:tc>
          <w:tcPr>
            <w:tcW w:w="317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C89F2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三级指标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195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年度指标值</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4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实际完成值</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32A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60" w:leftChars="-25" w:right="-60" w:rightChars="-25"/>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偏差原因分析及改进措施</w:t>
            </w:r>
          </w:p>
        </w:tc>
      </w:tr>
      <w:tr w14:paraId="6D60B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5DF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93BA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产出</w:t>
            </w:r>
          </w:p>
          <w:p w14:paraId="479375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7A93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数量指标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2AF591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5F76CF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完成专刊数量</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04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w:t>
            </w:r>
            <w:r>
              <w:rPr>
                <w:rFonts w:hint="eastAsia" w:ascii="宋体" w:hAnsi="宋体" w:eastAsia="宋体" w:cs="宋体"/>
                <w:i w:val="0"/>
                <w:iCs w:val="0"/>
                <w:color w:val="000000"/>
                <w:kern w:val="0"/>
                <w:sz w:val="18"/>
                <w:szCs w:val="18"/>
                <w:u w:val="none"/>
                <w:lang w:val="en-US" w:eastAsia="zh-CN"/>
              </w:rPr>
              <w:t>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334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5</w:t>
            </w:r>
            <w:r>
              <w:rPr>
                <w:rFonts w:hint="eastAsia" w:ascii="宋体" w:hAnsi="宋体" w:eastAsia="宋体" w:cs="宋体"/>
                <w:i w:val="0"/>
                <w:iCs w:val="0"/>
                <w:color w:val="000000"/>
                <w:kern w:val="0"/>
                <w:sz w:val="18"/>
                <w:szCs w:val="18"/>
                <w:u w:val="none"/>
                <w:lang w:val="en-US" w:eastAsia="zh-CN"/>
              </w:rPr>
              <w:t>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A6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lang w:val="en-US" w:eastAsia="zh-CN"/>
              </w:rPr>
              <w:t>无</w:t>
            </w:r>
          </w:p>
        </w:tc>
      </w:tr>
      <w:tr w14:paraId="23835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05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489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7A2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701889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B9CA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完成领导讲话次数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F8D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20</w:t>
            </w:r>
            <w:r>
              <w:rPr>
                <w:rFonts w:hint="eastAsia" w:ascii="宋体" w:hAnsi="宋体" w:eastAsia="宋体" w:cs="宋体"/>
                <w:i w:val="0"/>
                <w:iCs w:val="0"/>
                <w:color w:val="000000"/>
                <w:kern w:val="0"/>
                <w:sz w:val="18"/>
                <w:szCs w:val="18"/>
                <w:u w:val="none"/>
                <w:lang w:val="en-US" w:eastAsia="zh-CN"/>
              </w:rPr>
              <w:t>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57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20</w:t>
            </w:r>
            <w:r>
              <w:rPr>
                <w:rFonts w:hint="eastAsia" w:ascii="宋体" w:hAnsi="宋体" w:eastAsia="宋体" w:cs="宋体"/>
                <w:i w:val="0"/>
                <w:iCs w:val="0"/>
                <w:color w:val="000000"/>
                <w:kern w:val="0"/>
                <w:sz w:val="18"/>
                <w:szCs w:val="18"/>
                <w:u w:val="none"/>
                <w:lang w:val="en-US" w:eastAsia="zh-CN"/>
              </w:rPr>
              <w:t>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79A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61B2F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690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FC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F0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5AD1A55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3</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634CA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完成调研文章</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8EF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6</w:t>
            </w:r>
            <w:r>
              <w:rPr>
                <w:rFonts w:hint="eastAsia" w:ascii="宋体" w:hAnsi="宋体" w:eastAsia="宋体" w:cs="宋体"/>
                <w:i w:val="0"/>
                <w:iCs w:val="0"/>
                <w:color w:val="000000"/>
                <w:kern w:val="0"/>
                <w:sz w:val="18"/>
                <w:szCs w:val="18"/>
                <w:u w:val="none"/>
                <w:lang w:val="en-US" w:eastAsia="zh-CN"/>
              </w:rPr>
              <w:t>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A85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6</w:t>
            </w:r>
            <w:r>
              <w:rPr>
                <w:rFonts w:hint="eastAsia" w:ascii="宋体" w:hAnsi="宋体" w:eastAsia="宋体" w:cs="宋体"/>
                <w:i w:val="0"/>
                <w:iCs w:val="0"/>
                <w:color w:val="000000"/>
                <w:kern w:val="0"/>
                <w:sz w:val="18"/>
                <w:szCs w:val="18"/>
                <w:u w:val="none"/>
                <w:lang w:val="en-US" w:eastAsia="zh-CN"/>
              </w:rPr>
              <w:t>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55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r w14:paraId="738CD9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D3D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351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A4A9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质量指标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448BB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18A1B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调研文章被中央省市各级刊物累计采用数</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0B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w:t>
            </w:r>
            <w:r>
              <w:rPr>
                <w:rFonts w:hint="eastAsia" w:ascii="宋体" w:hAnsi="宋体" w:eastAsia="宋体" w:cs="宋体"/>
                <w:i w:val="0"/>
                <w:iCs w:val="0"/>
                <w:color w:val="000000"/>
                <w:kern w:val="0"/>
                <w:sz w:val="18"/>
                <w:szCs w:val="18"/>
                <w:u w:val="none"/>
                <w:lang w:val="en-US" w:eastAsia="zh-CN"/>
              </w:rPr>
              <w:t>篇</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1D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w:t>
            </w:r>
            <w:r>
              <w:rPr>
                <w:rFonts w:hint="eastAsia" w:ascii="宋体" w:hAnsi="宋体" w:eastAsia="宋体" w:cs="宋体"/>
                <w:i w:val="0"/>
                <w:iCs w:val="0"/>
                <w:color w:val="000000"/>
                <w:kern w:val="0"/>
                <w:sz w:val="18"/>
                <w:szCs w:val="18"/>
                <w:u w:val="none"/>
                <w:lang w:val="en-US" w:eastAsia="zh-CN"/>
              </w:rPr>
              <w:t>篇</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A24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11384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607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CA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F07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707EF4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2</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6C92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《昭化年鉴》、《执政实录》编写准确率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A72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98</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3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98</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687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238A8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FCF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6031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971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3EDC9A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3</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A879E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讲话材料达标率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309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99</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F5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99</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D3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4B51D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D1A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872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7A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时效指标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14EECE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26DEA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调研文章、课题按时完成率</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8CD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E3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100</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9FE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0D739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F15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F8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B5B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成本指标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68D891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61EF23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预算资金</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DCC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r>
              <w:rPr>
                <w:rFonts w:hint="eastAsia" w:ascii="宋体" w:hAnsi="宋体" w:eastAsia="宋体" w:cs="宋体"/>
                <w:i w:val="0"/>
                <w:iCs w:val="0"/>
                <w:color w:val="000000"/>
                <w:kern w:val="0"/>
                <w:sz w:val="18"/>
                <w:szCs w:val="18"/>
                <w:u w:val="none"/>
                <w:lang w:val="en-US" w:eastAsia="zh-CN"/>
              </w:rPr>
              <w:t>万元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F04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120</w:t>
            </w:r>
            <w:r>
              <w:rPr>
                <w:rFonts w:hint="eastAsia" w:ascii="宋体" w:hAnsi="宋体" w:eastAsia="宋体" w:cs="宋体"/>
                <w:i w:val="0"/>
                <w:iCs w:val="0"/>
                <w:color w:val="000000"/>
                <w:kern w:val="0"/>
                <w:sz w:val="18"/>
                <w:szCs w:val="18"/>
                <w:u w:val="none"/>
                <w:lang w:val="en-US" w:eastAsia="zh-CN"/>
              </w:rPr>
              <w:t>万元</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A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16275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0257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058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效益指标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B5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社会效益</w:t>
            </w:r>
          </w:p>
          <w:p w14:paraId="3084E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48722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D37DB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利用编纂的调研文章进行宣传</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14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定性</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64C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成效显著</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1BF4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无</w:t>
            </w:r>
          </w:p>
        </w:tc>
      </w:tr>
      <w:tr w14:paraId="477FB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jc w:val="center"/>
        </w:trPr>
        <w:tc>
          <w:tcPr>
            <w:tcW w:w="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957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C03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kern w:val="0"/>
                <w:sz w:val="18"/>
                <w:szCs w:val="18"/>
                <w:u w:val="none"/>
                <w:lang w:val="en-US" w:eastAsia="zh-CN"/>
              </w:rPr>
            </w:pPr>
            <w:r>
              <w:rPr>
                <w:rFonts w:hint="eastAsia" w:ascii="宋体" w:hAnsi="宋体" w:eastAsia="宋体" w:cs="宋体"/>
                <w:i w:val="0"/>
                <w:iCs w:val="0"/>
                <w:color w:val="000000"/>
                <w:kern w:val="0"/>
                <w:sz w:val="18"/>
                <w:szCs w:val="18"/>
                <w:u w:val="none"/>
                <w:lang w:val="en-US" w:eastAsia="zh-CN"/>
              </w:rPr>
              <w:t>满意度</w:t>
            </w:r>
          </w:p>
          <w:p w14:paraId="332E6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p>
        </w:tc>
        <w:tc>
          <w:tcPr>
            <w:tcW w:w="11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E4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服务对象满意度指标</w:t>
            </w:r>
          </w:p>
        </w:tc>
        <w:tc>
          <w:tcPr>
            <w:tcW w:w="1140" w:type="dxa"/>
            <w:tcBorders>
              <w:top w:val="single" w:color="000000" w:sz="4" w:space="0"/>
              <w:left w:val="single" w:color="000000" w:sz="4" w:space="0"/>
              <w:bottom w:val="single" w:color="000000" w:sz="4" w:space="0"/>
              <w:right w:val="nil"/>
            </w:tcBorders>
            <w:shd w:val="clear" w:color="auto" w:fill="auto"/>
            <w:vAlign w:val="center"/>
          </w:tcPr>
          <w:p w14:paraId="162CF2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指标</w:t>
            </w:r>
            <w:r>
              <w:rPr>
                <w:rFonts w:hint="eastAsia" w:ascii="Times New Roman" w:hAnsi="Times New Roman" w:eastAsia="宋体" w:cs="宋体"/>
                <w:i w:val="0"/>
                <w:iCs w:val="0"/>
                <w:color w:val="000000"/>
                <w:kern w:val="0"/>
                <w:sz w:val="18"/>
                <w:szCs w:val="18"/>
                <w:u w:val="none"/>
                <w:lang w:val="en-US" w:eastAsia="zh-CN"/>
              </w:rPr>
              <w:t>1</w:t>
            </w:r>
            <w:r>
              <w:rPr>
                <w:rFonts w:hint="eastAsia" w:ascii="宋体" w:hAnsi="宋体" w:eastAsia="宋体" w:cs="宋体"/>
                <w:i w:val="0"/>
                <w:iCs w:val="0"/>
                <w:color w:val="000000"/>
                <w:kern w:val="0"/>
                <w:sz w:val="18"/>
                <w:szCs w:val="18"/>
                <w:u w:val="none"/>
                <w:lang w:val="en-US" w:eastAsia="zh-CN"/>
              </w:rPr>
              <w:t>：</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6A63D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rPr>
              <w:t>社会公众满意度</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F91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90</w:t>
            </w:r>
            <w:r>
              <w:rPr>
                <w:rFonts w:hint="eastAsia" w:ascii="宋体" w:hAnsi="宋体" w:eastAsia="宋体" w:cs="宋体"/>
                <w:i w:val="0"/>
                <w:iCs w:val="0"/>
                <w:color w:val="000000"/>
                <w:kern w:val="0"/>
                <w:sz w:val="18"/>
                <w:szCs w:val="18"/>
                <w:u w:val="none"/>
                <w:lang w:val="en-US" w:eastAsia="zh-CN"/>
              </w:rPr>
              <w:t>%</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833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textAlignment w:val="center"/>
              <w:rPr>
                <w:rFonts w:hint="eastAsia" w:ascii="宋体" w:hAnsi="宋体" w:eastAsia="宋体" w:cs="宋体"/>
                <w:i w:val="0"/>
                <w:iCs w:val="0"/>
                <w:color w:val="000000"/>
                <w:sz w:val="18"/>
                <w:szCs w:val="18"/>
                <w:u w:val="none"/>
              </w:rPr>
            </w:pPr>
            <w:r>
              <w:rPr>
                <w:rFonts w:hint="eastAsia" w:ascii="Times New Roman" w:hAnsi="Times New Roman" w:eastAsia="宋体" w:cs="宋体"/>
                <w:i w:val="0"/>
                <w:iCs w:val="0"/>
                <w:color w:val="000000"/>
                <w:kern w:val="0"/>
                <w:sz w:val="18"/>
                <w:szCs w:val="18"/>
                <w:u w:val="none"/>
                <w:lang w:val="en-US" w:eastAsia="zh-CN"/>
              </w:rPr>
              <w:t>90</w:t>
            </w:r>
            <w:r>
              <w:rPr>
                <w:rFonts w:hint="eastAsia" w:ascii="宋体" w:hAnsi="宋体" w:eastAsia="宋体" w:cs="宋体"/>
                <w:i w:val="0"/>
                <w:iCs w:val="0"/>
                <w:color w:val="000000"/>
                <w:kern w:val="0"/>
                <w:sz w:val="18"/>
                <w:szCs w:val="18"/>
                <w:u w:val="none"/>
                <w:lang w:val="en-US" w:eastAsia="zh-CN"/>
              </w:rPr>
              <w:t>%</w:t>
            </w:r>
          </w:p>
        </w:tc>
        <w:tc>
          <w:tcPr>
            <w:tcW w:w="12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AD6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30" w:lineRule="exact"/>
              <w:ind w:left="0" w:right="0"/>
              <w:jc w:val="center"/>
              <w:rPr>
                <w:rFonts w:hint="eastAsia" w:ascii="宋体" w:hAnsi="宋体" w:eastAsia="宋体" w:cs="宋体"/>
                <w:i w:val="0"/>
                <w:iCs w:val="0"/>
                <w:color w:val="000000"/>
                <w:sz w:val="18"/>
                <w:szCs w:val="18"/>
                <w:u w:val="none"/>
                <w:lang w:eastAsia="zh-CN"/>
              </w:rPr>
            </w:pPr>
            <w:r>
              <w:rPr>
                <w:rFonts w:hint="eastAsia" w:ascii="宋体" w:hAnsi="宋体" w:eastAsia="宋体" w:cs="宋体"/>
                <w:i w:val="0"/>
                <w:iCs w:val="0"/>
                <w:color w:val="000000"/>
                <w:sz w:val="18"/>
                <w:szCs w:val="18"/>
                <w:u w:val="none"/>
                <w:lang w:eastAsia="zh-CN"/>
              </w:rPr>
              <w:t>无</w:t>
            </w:r>
          </w:p>
        </w:tc>
      </w:tr>
    </w:tbl>
    <w:p w14:paraId="4B8A1F18">
      <w:pPr>
        <w:pStyle w:val="12"/>
        <w:rPr>
          <w:rFonts w:hint="eastAsia" w:ascii="仿宋_GB2312" w:hAnsi="仿宋_GB2312" w:eastAsia="仿宋_GB2312" w:cs="仿宋_GB2312"/>
          <w:sz w:val="32"/>
          <w:szCs w:val="32"/>
          <w:lang w:val="en-US" w:eastAsia="zh-CN"/>
        </w:rPr>
        <w:sectPr>
          <w:headerReference r:id="rId5" w:type="default"/>
          <w:footerReference r:id="rId6" w:type="default"/>
          <w:pgSz w:w="11906" w:h="16838"/>
          <w:pgMar w:top="2098" w:right="1474" w:bottom="1984" w:left="1587" w:header="850" w:footer="1587" w:gutter="0"/>
          <w:pgBorders>
            <w:top w:val="none" w:sz="0" w:space="0"/>
            <w:left w:val="none" w:sz="0" w:space="0"/>
            <w:bottom w:val="none" w:sz="0" w:space="0"/>
            <w:right w:val="none" w:sz="0" w:space="0"/>
          </w:pgBorders>
          <w:pgNumType w:fmt="decimal"/>
          <w:cols w:space="0" w:num="1"/>
          <w:rtlGutter w:val="0"/>
          <w:docGrid w:type="lines" w:linePitch="439" w:charSpace="0"/>
        </w:sectPr>
      </w:pPr>
    </w:p>
    <w:p w14:paraId="2ED748AF">
      <w:pPr>
        <w:pStyle w:val="12"/>
        <w:ind w:left="0" w:leftChars="0" w:firstLine="179" w:firstLineChars="56"/>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r>
        <w:rPr>
          <w:rFonts w:hint="eastAsia" w:ascii="Times New Roman" w:hAnsi="Times New Roman" w:eastAsia="黑体" w:cs="黑体"/>
          <w:sz w:val="32"/>
          <w:szCs w:val="32"/>
          <w:lang w:val="en-US" w:eastAsia="zh-CN"/>
        </w:rPr>
        <w:t>2</w:t>
      </w:r>
    </w:p>
    <w:p w14:paraId="34025E08">
      <w:pPr>
        <w:keepNext w:val="0"/>
        <w:keepLines w:val="0"/>
        <w:widowControl/>
        <w:suppressLineNumbers w:val="0"/>
        <w:jc w:val="center"/>
        <w:textAlignment w:val="center"/>
        <w:rPr>
          <w:rFonts w:hint="eastAsia" w:ascii="方正小标宋简体" w:hAnsi="方正小标宋简体" w:eastAsia="方正小标宋简体" w:cs="方正小标宋简体"/>
          <w:i w:val="0"/>
          <w:iCs w:val="0"/>
          <w:color w:val="000000"/>
          <w:kern w:val="0"/>
          <w:sz w:val="44"/>
          <w:szCs w:val="44"/>
          <w:u w:val="none"/>
          <w:lang w:val="en-US" w:eastAsia="zh-CN"/>
        </w:rPr>
      </w:pPr>
      <w:r>
        <w:rPr>
          <w:rFonts w:hint="eastAsia" w:ascii="方正小标宋简体" w:hAnsi="方正小标宋简体" w:eastAsia="方正小标宋简体" w:cs="方正小标宋简体"/>
          <w:i w:val="0"/>
          <w:iCs w:val="0"/>
          <w:color w:val="000000"/>
          <w:kern w:val="0"/>
          <w:sz w:val="44"/>
          <w:szCs w:val="44"/>
          <w:u w:val="none"/>
          <w:lang w:val="en-US" w:eastAsia="zh-CN"/>
        </w:rPr>
        <w:t>中共广元市昭化区委办公室</w:t>
      </w:r>
    </w:p>
    <w:p w14:paraId="2B04BB60">
      <w:pPr>
        <w:keepNext w:val="0"/>
        <w:keepLines w:val="0"/>
        <w:widowControl/>
        <w:suppressLineNumbers w:val="0"/>
        <w:jc w:val="center"/>
        <w:textAlignment w:val="center"/>
        <w:rPr>
          <w:rFonts w:ascii="方正小标宋简体" w:hAnsi="方正小标宋简体" w:eastAsia="方正小标宋简体" w:cs="方正小标宋简体"/>
          <w:i w:val="0"/>
          <w:iCs w:val="0"/>
          <w:color w:val="000000"/>
          <w:sz w:val="44"/>
          <w:szCs w:val="44"/>
          <w:u w:val="none"/>
        </w:rPr>
      </w:pPr>
      <w:r>
        <w:rPr>
          <w:rFonts w:hint="eastAsia" w:ascii="Times New Roman" w:hAnsi="Times New Roman" w:eastAsia="方正小标宋简体" w:cs="方正小标宋简体"/>
          <w:i w:val="0"/>
          <w:iCs w:val="0"/>
          <w:color w:val="000000"/>
          <w:kern w:val="0"/>
          <w:sz w:val="44"/>
          <w:szCs w:val="44"/>
          <w:u w:val="none"/>
          <w:lang w:val="en-US" w:eastAsia="zh-CN"/>
        </w:rPr>
        <w:t>2023</w:t>
      </w:r>
      <w:r>
        <w:rPr>
          <w:rFonts w:hint="eastAsia" w:ascii="方正小标宋简体" w:hAnsi="方正小标宋简体" w:eastAsia="方正小标宋简体" w:cs="方正小标宋简体"/>
          <w:i w:val="0"/>
          <w:iCs w:val="0"/>
          <w:color w:val="000000"/>
          <w:kern w:val="0"/>
          <w:sz w:val="44"/>
          <w:szCs w:val="44"/>
          <w:u w:val="none"/>
          <w:lang w:val="en-US" w:eastAsia="zh-CN"/>
        </w:rPr>
        <w:t>年政策研究、深化改革、党史地志工作经费项目支出绩效自评评分表</w:t>
      </w:r>
    </w:p>
    <w:p w14:paraId="060ACF13">
      <w:pPr>
        <w:tabs>
          <w:tab w:val="left" w:pos="3962"/>
          <w:tab w:val="left" w:pos="4733"/>
          <w:tab w:val="left" w:pos="9210"/>
          <w:tab w:val="left" w:pos="19984"/>
        </w:tabs>
        <w:jc w:val="center"/>
        <w:rPr>
          <w:rFonts w:hint="eastAsia" w:ascii="方正小标宋简体" w:hAnsi="方正小标宋简体" w:eastAsia="方正小标宋简体" w:cs="方正小标宋简体"/>
          <w:i w:val="0"/>
          <w:iCs w:val="0"/>
          <w:color w:val="000000"/>
          <w:sz w:val="44"/>
          <w:szCs w:val="44"/>
          <w:u w:val="none"/>
        </w:rPr>
      </w:pPr>
      <w:r>
        <w:rPr>
          <w:rFonts w:hint="eastAsia" w:asciiTheme="minorEastAsia" w:hAnsiTheme="minorEastAsia" w:eastAsiaTheme="minorEastAsia" w:cstheme="minorEastAsia"/>
          <w:i w:val="0"/>
          <w:iCs w:val="0"/>
          <w:color w:val="000000"/>
          <w:kern w:val="0"/>
          <w:sz w:val="21"/>
          <w:szCs w:val="21"/>
          <w:u w:val="none"/>
          <w:lang w:val="en-US" w:eastAsia="zh-CN"/>
        </w:rPr>
        <w:t>预算单位：</w:t>
      </w:r>
      <w:r>
        <w:rPr>
          <w:rFonts w:hint="eastAsia" w:ascii="方正小标宋简体" w:hAnsi="方正小标宋简体" w:eastAsia="方正小标宋简体" w:cs="方正小标宋简体"/>
          <w:i w:val="0"/>
          <w:iCs w:val="0"/>
          <w:color w:val="000000"/>
          <w:sz w:val="24"/>
          <w:szCs w:val="24"/>
          <w:u w:val="none"/>
        </w:rPr>
        <w:tab/>
      </w:r>
      <w:r>
        <w:rPr>
          <w:rFonts w:hint="eastAsia" w:ascii="方正小标宋简体" w:hAnsi="方正小标宋简体" w:eastAsia="方正小标宋简体" w:cs="方正小标宋简体"/>
          <w:i w:val="0"/>
          <w:iCs w:val="0"/>
          <w:color w:val="000000"/>
          <w:sz w:val="44"/>
          <w:szCs w:val="44"/>
          <w:u w:val="none"/>
        </w:rPr>
        <w:tab/>
      </w:r>
      <w:r>
        <w:rPr>
          <w:rFonts w:hint="eastAsia" w:ascii="方正小标宋简体" w:hAnsi="方正小标宋简体" w:eastAsia="方正小标宋简体" w:cs="方正小标宋简体"/>
          <w:i w:val="0"/>
          <w:iCs w:val="0"/>
          <w:color w:val="000000"/>
          <w:sz w:val="44"/>
          <w:szCs w:val="44"/>
          <w:u w:val="none"/>
        </w:rPr>
        <w:tab/>
      </w:r>
      <w:r>
        <w:rPr>
          <w:rFonts w:hint="eastAsia" w:ascii="方正小标宋简体" w:hAnsi="方正小标宋简体" w:eastAsia="方正小标宋简体" w:cs="方正小标宋简体"/>
          <w:i w:val="0"/>
          <w:iCs w:val="0"/>
          <w:color w:val="000000"/>
          <w:sz w:val="44"/>
          <w:szCs w:val="44"/>
          <w:u w:val="none"/>
        </w:rPr>
        <w:tab/>
      </w:r>
    </w:p>
    <w:tbl>
      <w:tblPr>
        <w:tblStyle w:val="13"/>
        <w:tblW w:w="482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36"/>
        <w:gridCol w:w="426"/>
        <w:gridCol w:w="426"/>
        <w:gridCol w:w="426"/>
        <w:gridCol w:w="3366"/>
        <w:gridCol w:w="2935"/>
        <w:gridCol w:w="532"/>
      </w:tblGrid>
      <w:tr w14:paraId="5A112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7"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B9F9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绩效指标</w:t>
            </w:r>
          </w:p>
        </w:tc>
        <w:tc>
          <w:tcPr>
            <w:tcW w:w="1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F13A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指标分值</w:t>
            </w:r>
          </w:p>
        </w:tc>
        <w:tc>
          <w:tcPr>
            <w:tcW w:w="10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18E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指标解释</w:t>
            </w:r>
          </w:p>
        </w:tc>
        <w:tc>
          <w:tcPr>
            <w:tcW w:w="260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2031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评价要点及说明</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A38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val="0"/>
                <w:bCs w:val="0"/>
                <w:i w:val="0"/>
                <w:iCs w:val="0"/>
                <w:color w:val="000000"/>
                <w:kern w:val="0"/>
                <w:sz w:val="21"/>
                <w:szCs w:val="21"/>
                <w:u w:val="none"/>
                <w:lang w:val="en-US" w:eastAsia="zh-CN"/>
              </w:rPr>
              <w:t>自评得分</w:t>
            </w:r>
          </w:p>
        </w:tc>
      </w:tr>
      <w:tr w14:paraId="3AA18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2C3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一级指标</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E7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二级指标</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5C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黑体" w:hAnsi="黑体" w:eastAsia="黑体" w:cs="黑体"/>
                <w:i w:val="0"/>
                <w:iCs w:val="0"/>
                <w:color w:val="000000"/>
                <w:sz w:val="21"/>
                <w:szCs w:val="21"/>
                <w:u w:val="none"/>
              </w:rPr>
            </w:pPr>
            <w:r>
              <w:rPr>
                <w:rFonts w:hint="eastAsia" w:ascii="黑体" w:hAnsi="黑体" w:eastAsia="黑体" w:cs="黑体"/>
                <w:i w:val="0"/>
                <w:iCs w:val="0"/>
                <w:color w:val="000000"/>
                <w:kern w:val="0"/>
                <w:sz w:val="21"/>
                <w:szCs w:val="21"/>
                <w:u w:val="none"/>
                <w:lang w:val="en-US" w:eastAsia="zh-CN"/>
              </w:rPr>
              <w:t>三级指标</w:t>
            </w:r>
          </w:p>
        </w:tc>
        <w:tc>
          <w:tcPr>
            <w:tcW w:w="1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7F2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rPr>
                <w:rFonts w:hint="eastAsia" w:ascii="宋体" w:hAnsi="宋体" w:eastAsia="宋体" w:cs="宋体"/>
                <w:i w:val="0"/>
                <w:iCs w:val="0"/>
                <w:color w:val="000000"/>
                <w:sz w:val="21"/>
                <w:szCs w:val="21"/>
                <w:u w:val="none"/>
              </w:rPr>
            </w:pPr>
          </w:p>
        </w:tc>
        <w:tc>
          <w:tcPr>
            <w:tcW w:w="10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ED1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rPr>
                <w:rFonts w:hint="eastAsia" w:ascii="宋体" w:hAnsi="宋体" w:eastAsia="宋体" w:cs="宋体"/>
                <w:i w:val="0"/>
                <w:iCs w:val="0"/>
                <w:color w:val="000000"/>
                <w:sz w:val="21"/>
                <w:szCs w:val="21"/>
                <w:u w:val="none"/>
              </w:rPr>
            </w:pPr>
          </w:p>
        </w:tc>
        <w:tc>
          <w:tcPr>
            <w:tcW w:w="260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F05E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8EE7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rPr>
                <w:rFonts w:hint="eastAsia" w:ascii="宋体" w:hAnsi="宋体" w:eastAsia="宋体" w:cs="宋体"/>
                <w:b/>
                <w:bCs/>
                <w:i w:val="0"/>
                <w:iCs w:val="0"/>
                <w:color w:val="000000"/>
                <w:sz w:val="21"/>
                <w:szCs w:val="21"/>
                <w:u w:val="none"/>
              </w:rPr>
            </w:pPr>
          </w:p>
        </w:tc>
      </w:tr>
      <w:tr w14:paraId="78F4E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CAB3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项目决策</w:t>
            </w:r>
          </w:p>
          <w:p w14:paraId="31252F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30</w:t>
            </w:r>
            <w:r>
              <w:rPr>
                <w:rFonts w:hint="eastAsia" w:ascii="宋体" w:hAnsi="宋体" w:eastAsia="宋体" w:cs="宋体"/>
                <w:i w:val="0"/>
                <w:iCs w:val="0"/>
                <w:color w:val="000000"/>
                <w:kern w:val="0"/>
                <w:sz w:val="21"/>
                <w:szCs w:val="21"/>
                <w:u w:val="none"/>
                <w:lang w:val="en-US" w:eastAsia="zh-CN"/>
              </w:rPr>
              <w:t>分）</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1A2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决策程序</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EBF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程序规范</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6F5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20</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105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部门预算项目设立是否与部门职能职责相符、是否充分履行项目申报论证程序。</w:t>
            </w:r>
          </w:p>
        </w:tc>
        <w:tc>
          <w:tcPr>
            <w:tcW w:w="2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02B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Times New Roman" w:hAnsi="Times New Roman" w:eastAsia="宋体" w:cs="宋体"/>
                <w:i w:val="0"/>
                <w:iCs w:val="0"/>
                <w:color w:val="000000"/>
                <w:kern w:val="0"/>
                <w:sz w:val="21"/>
                <w:szCs w:val="21"/>
                <w:u w:val="none"/>
                <w:lang w:val="en-US" w:eastAsia="zh-CN"/>
              </w:rPr>
              <w:t>1</w:t>
            </w:r>
            <w:r>
              <w:rPr>
                <w:rFonts w:hint="eastAsia" w:ascii="宋体" w:hAnsi="宋体" w:eastAsia="宋体" w:cs="宋体"/>
                <w:i w:val="0"/>
                <w:iCs w:val="0"/>
                <w:color w:val="000000"/>
                <w:kern w:val="0"/>
                <w:sz w:val="21"/>
                <w:szCs w:val="21"/>
                <w:u w:val="none"/>
                <w:lang w:val="en-US" w:eastAsia="zh-CN"/>
              </w:rPr>
              <w:t>.项目申报未经过部门集体决策的扣</w:t>
            </w:r>
            <w:r>
              <w:rPr>
                <w:rFonts w:hint="eastAsia" w:ascii="Times New Roman" w:hAnsi="Times New Roman" w:eastAsia="宋体" w:cs="宋体"/>
                <w:i w:val="0"/>
                <w:iCs w:val="0"/>
                <w:color w:val="000000"/>
                <w:kern w:val="0"/>
                <w:sz w:val="21"/>
                <w:szCs w:val="21"/>
                <w:u w:val="none"/>
                <w:lang w:val="en-US" w:eastAsia="zh-CN"/>
              </w:rPr>
              <w:t>5</w:t>
            </w:r>
            <w:r>
              <w:rPr>
                <w:rFonts w:hint="eastAsia" w:ascii="宋体" w:hAnsi="宋体" w:eastAsia="宋体" w:cs="宋体"/>
                <w:i w:val="0"/>
                <w:iCs w:val="0"/>
                <w:color w:val="000000"/>
                <w:kern w:val="0"/>
                <w:sz w:val="21"/>
                <w:szCs w:val="21"/>
                <w:u w:val="none"/>
                <w:lang w:val="en-US" w:eastAsia="zh-CN"/>
              </w:rPr>
              <w:t>分；</w:t>
            </w:r>
          </w:p>
          <w:p w14:paraId="0FB1F7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Times New Roman" w:hAnsi="Times New Roman" w:eastAsia="宋体" w:cs="宋体"/>
                <w:i w:val="0"/>
                <w:iCs w:val="0"/>
                <w:color w:val="000000"/>
                <w:kern w:val="0"/>
                <w:sz w:val="21"/>
                <w:szCs w:val="21"/>
                <w:u w:val="none"/>
                <w:lang w:val="en-US" w:eastAsia="zh-CN"/>
              </w:rPr>
              <w:t>2</w:t>
            </w:r>
            <w:r>
              <w:rPr>
                <w:rFonts w:hint="eastAsia" w:ascii="宋体" w:hAnsi="宋体" w:eastAsia="宋体" w:cs="宋体"/>
                <w:i w:val="0"/>
                <w:iCs w:val="0"/>
                <w:color w:val="000000"/>
                <w:kern w:val="0"/>
                <w:sz w:val="21"/>
                <w:szCs w:val="21"/>
                <w:u w:val="none"/>
                <w:lang w:val="en-US" w:eastAsia="zh-CN"/>
              </w:rPr>
              <w:t>.未纳入部门（单位）项目库或未履行部门（单位）入库审批程序的扣</w:t>
            </w:r>
            <w:r>
              <w:rPr>
                <w:rFonts w:hint="eastAsia" w:ascii="Times New Roman" w:hAnsi="Times New Roman" w:eastAsia="宋体" w:cs="宋体"/>
                <w:i w:val="0"/>
                <w:iCs w:val="0"/>
                <w:color w:val="000000"/>
                <w:kern w:val="0"/>
                <w:sz w:val="21"/>
                <w:szCs w:val="21"/>
                <w:u w:val="none"/>
                <w:lang w:val="en-US" w:eastAsia="zh-CN"/>
              </w:rPr>
              <w:t>5</w:t>
            </w:r>
            <w:r>
              <w:rPr>
                <w:rFonts w:hint="eastAsia" w:ascii="宋体" w:hAnsi="宋体" w:eastAsia="宋体" w:cs="宋体"/>
                <w:i w:val="0"/>
                <w:iCs w:val="0"/>
                <w:color w:val="000000"/>
                <w:kern w:val="0"/>
                <w:sz w:val="21"/>
                <w:szCs w:val="21"/>
                <w:u w:val="none"/>
                <w:lang w:val="en-US" w:eastAsia="zh-CN"/>
              </w:rPr>
              <w:t>分；</w:t>
            </w:r>
          </w:p>
          <w:p w14:paraId="28EF83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Times New Roman" w:hAnsi="Times New Roman" w:eastAsia="宋体" w:cs="宋体"/>
                <w:i w:val="0"/>
                <w:iCs w:val="0"/>
                <w:color w:val="000000"/>
                <w:kern w:val="0"/>
                <w:sz w:val="21"/>
                <w:szCs w:val="21"/>
                <w:u w:val="none"/>
                <w:lang w:val="en-US" w:eastAsia="zh-CN"/>
              </w:rPr>
              <w:t>3</w:t>
            </w:r>
            <w:r>
              <w:rPr>
                <w:rFonts w:hint="eastAsia" w:ascii="宋体" w:hAnsi="宋体" w:eastAsia="宋体" w:cs="宋体"/>
                <w:i w:val="0"/>
                <w:iCs w:val="0"/>
                <w:color w:val="000000"/>
                <w:kern w:val="0"/>
                <w:sz w:val="21"/>
                <w:szCs w:val="21"/>
                <w:u w:val="none"/>
                <w:lang w:val="en-US" w:eastAsia="zh-CN"/>
              </w:rPr>
              <w:t>.纳入项目库的项目未按规定完成可行性研究论证、制定具体实施计划等各项前期工作或预算测算不够清晰的，酌情扣分，最多扣</w:t>
            </w:r>
            <w:r>
              <w:rPr>
                <w:rFonts w:hint="eastAsia" w:ascii="Times New Roman" w:hAnsi="Times New Roman" w:eastAsia="宋体" w:cs="宋体"/>
                <w:i w:val="0"/>
                <w:iCs w:val="0"/>
                <w:color w:val="000000"/>
                <w:kern w:val="0"/>
                <w:sz w:val="21"/>
                <w:szCs w:val="21"/>
                <w:u w:val="none"/>
                <w:lang w:val="en-US" w:eastAsia="zh-CN"/>
              </w:rPr>
              <w:t>5</w:t>
            </w:r>
            <w:r>
              <w:rPr>
                <w:rFonts w:hint="eastAsia" w:ascii="宋体" w:hAnsi="宋体" w:eastAsia="宋体" w:cs="宋体"/>
                <w:i w:val="0"/>
                <w:iCs w:val="0"/>
                <w:color w:val="000000"/>
                <w:kern w:val="0"/>
                <w:sz w:val="21"/>
                <w:szCs w:val="21"/>
                <w:u w:val="none"/>
                <w:lang w:val="en-US" w:eastAsia="zh-CN"/>
              </w:rPr>
              <w:t>分；</w:t>
            </w:r>
          </w:p>
          <w:p w14:paraId="239DF4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Times New Roman" w:hAnsi="Times New Roman" w:eastAsia="宋体" w:cs="宋体"/>
                <w:i w:val="0"/>
                <w:iCs w:val="0"/>
                <w:color w:val="000000"/>
                <w:kern w:val="0"/>
                <w:sz w:val="21"/>
                <w:szCs w:val="21"/>
                <w:u w:val="none"/>
                <w:lang w:val="en-US" w:eastAsia="zh-CN"/>
              </w:rPr>
              <w:t>4</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50</w:t>
            </w:r>
            <w:r>
              <w:rPr>
                <w:rFonts w:hint="eastAsia" w:ascii="宋体" w:hAnsi="宋体" w:eastAsia="宋体" w:cs="宋体"/>
                <w:i w:val="0"/>
                <w:iCs w:val="0"/>
                <w:color w:val="000000"/>
                <w:kern w:val="0"/>
                <w:sz w:val="21"/>
                <w:szCs w:val="21"/>
                <w:u w:val="none"/>
                <w:lang w:val="en-US" w:eastAsia="zh-CN"/>
              </w:rPr>
              <w:t>万元以上的新增项目或增幅达到</w:t>
            </w:r>
            <w:r>
              <w:rPr>
                <w:rFonts w:hint="eastAsia" w:ascii="Times New Roman" w:hAnsi="Times New Roman" w:eastAsia="宋体" w:cs="宋体"/>
                <w:i w:val="0"/>
                <w:iCs w:val="0"/>
                <w:color w:val="000000"/>
                <w:kern w:val="0"/>
                <w:sz w:val="21"/>
                <w:szCs w:val="21"/>
                <w:u w:val="none"/>
                <w:lang w:val="en-US" w:eastAsia="zh-CN"/>
              </w:rPr>
              <w:t>20</w:t>
            </w:r>
            <w:r>
              <w:rPr>
                <w:rFonts w:hint="eastAsia" w:ascii="宋体" w:hAnsi="宋体" w:eastAsia="宋体" w:cs="宋体"/>
                <w:i w:val="0"/>
                <w:iCs w:val="0"/>
                <w:color w:val="000000"/>
                <w:kern w:val="0"/>
                <w:sz w:val="21"/>
                <w:szCs w:val="21"/>
                <w:u w:val="none"/>
                <w:lang w:val="en-US" w:eastAsia="zh-CN"/>
              </w:rPr>
              <w:t>%或</w:t>
            </w:r>
            <w:r>
              <w:rPr>
                <w:rFonts w:hint="eastAsia" w:ascii="Times New Roman" w:hAnsi="Times New Roman" w:eastAsia="宋体" w:cs="宋体"/>
                <w:i w:val="0"/>
                <w:iCs w:val="0"/>
                <w:color w:val="000000"/>
                <w:kern w:val="0"/>
                <w:sz w:val="21"/>
                <w:szCs w:val="21"/>
                <w:u w:val="none"/>
                <w:lang w:val="en-US" w:eastAsia="zh-CN"/>
              </w:rPr>
              <w:t>50</w:t>
            </w:r>
            <w:r>
              <w:rPr>
                <w:rFonts w:hint="eastAsia" w:ascii="宋体" w:hAnsi="宋体" w:eastAsia="宋体" w:cs="宋体"/>
                <w:i w:val="0"/>
                <w:iCs w:val="0"/>
                <w:color w:val="000000"/>
                <w:kern w:val="0"/>
                <w:sz w:val="21"/>
                <w:szCs w:val="21"/>
                <w:u w:val="none"/>
                <w:lang w:val="en-US" w:eastAsia="zh-CN"/>
              </w:rPr>
              <w:t>万元以上的延续项目，未开展事前绩效评估的扣</w:t>
            </w:r>
            <w:r>
              <w:rPr>
                <w:rFonts w:hint="eastAsia" w:ascii="Times New Roman" w:hAnsi="Times New Roman" w:eastAsia="宋体" w:cs="宋体"/>
                <w:i w:val="0"/>
                <w:iCs w:val="0"/>
                <w:color w:val="000000"/>
                <w:kern w:val="0"/>
                <w:sz w:val="21"/>
                <w:szCs w:val="21"/>
                <w:u w:val="none"/>
                <w:lang w:val="en-US" w:eastAsia="zh-CN"/>
              </w:rPr>
              <w:t>5</w:t>
            </w:r>
            <w:r>
              <w:rPr>
                <w:rFonts w:hint="eastAsia" w:ascii="宋体" w:hAnsi="宋体" w:eastAsia="宋体" w:cs="宋体"/>
                <w:i w:val="0"/>
                <w:iCs w:val="0"/>
                <w:color w:val="000000"/>
                <w:kern w:val="0"/>
                <w:sz w:val="21"/>
                <w:szCs w:val="21"/>
                <w:u w:val="none"/>
                <w:lang w:val="en-US" w:eastAsia="zh-CN"/>
              </w:rPr>
              <w:t>分；</w:t>
            </w:r>
          </w:p>
          <w:p w14:paraId="1FEA08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5</w:t>
            </w:r>
            <w:r>
              <w:rPr>
                <w:rFonts w:hint="eastAsia" w:ascii="宋体" w:hAnsi="宋体" w:eastAsia="宋体" w:cs="宋体"/>
                <w:i w:val="0"/>
                <w:iCs w:val="0"/>
                <w:color w:val="000000"/>
                <w:kern w:val="0"/>
                <w:sz w:val="21"/>
                <w:szCs w:val="21"/>
                <w:u w:val="none"/>
                <w:lang w:val="en-US" w:eastAsia="zh-CN"/>
              </w:rPr>
              <w:t>.如项目为新建信息化项目，项目申报论证未履行相关程序的，缺</w:t>
            </w:r>
            <w:r>
              <w:rPr>
                <w:rFonts w:hint="eastAsia" w:ascii="Times New Roman" w:hAnsi="Times New Roman" w:eastAsia="宋体" w:cs="宋体"/>
                <w:i w:val="0"/>
                <w:iCs w:val="0"/>
                <w:color w:val="000000"/>
                <w:kern w:val="0"/>
                <w:sz w:val="21"/>
                <w:szCs w:val="21"/>
                <w:u w:val="none"/>
                <w:lang w:val="en-US" w:eastAsia="zh-CN"/>
              </w:rPr>
              <w:t>1</w:t>
            </w:r>
            <w:r>
              <w:rPr>
                <w:rFonts w:hint="eastAsia" w:ascii="宋体" w:hAnsi="宋体" w:eastAsia="宋体" w:cs="宋体"/>
                <w:i w:val="0"/>
                <w:iCs w:val="0"/>
                <w:color w:val="000000"/>
                <w:kern w:val="0"/>
                <w:sz w:val="21"/>
                <w:szCs w:val="21"/>
                <w:u w:val="none"/>
                <w:lang w:val="en-US" w:eastAsia="zh-CN"/>
              </w:rPr>
              <w:t>项程序扣</w:t>
            </w:r>
            <w:r>
              <w:rPr>
                <w:rFonts w:hint="eastAsia" w:ascii="Times New Roman" w:hAnsi="Times New Roman" w:eastAsia="宋体" w:cs="宋体"/>
                <w:i w:val="0"/>
                <w:iCs w:val="0"/>
                <w:color w:val="000000"/>
                <w:kern w:val="0"/>
                <w:sz w:val="21"/>
                <w:szCs w:val="21"/>
                <w:u w:val="none"/>
                <w:lang w:val="en-US" w:eastAsia="zh-CN"/>
              </w:rPr>
              <w:t>2</w:t>
            </w:r>
            <w:r>
              <w:rPr>
                <w:rFonts w:hint="eastAsia" w:ascii="宋体" w:hAnsi="宋体" w:eastAsia="宋体" w:cs="宋体"/>
                <w:i w:val="0"/>
                <w:iCs w:val="0"/>
                <w:color w:val="000000"/>
                <w:kern w:val="0"/>
                <w:sz w:val="21"/>
                <w:szCs w:val="21"/>
                <w:u w:val="none"/>
                <w:lang w:val="en-US" w:eastAsia="zh-CN"/>
              </w:rPr>
              <w:t>分，扣完为止。</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EF6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20</w:t>
            </w:r>
          </w:p>
        </w:tc>
      </w:tr>
      <w:tr w14:paraId="6A4D4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1B3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BE9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目标制定</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384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编制质量</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87E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10</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E2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项目绩效目标制定是否符合科学合理、规范完整、量化细化、预算匹配的要求。</w:t>
            </w:r>
          </w:p>
        </w:tc>
        <w:tc>
          <w:tcPr>
            <w:tcW w:w="2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FD4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left"/>
              <w:textAlignment w:val="center"/>
              <w:rPr>
                <w:rFonts w:hint="eastAsia" w:ascii="宋体" w:hAnsi="宋体" w:eastAsia="宋体" w:cs="宋体"/>
                <w:i w:val="0"/>
                <w:iCs w:val="0"/>
                <w:color w:val="000000"/>
                <w:kern w:val="0"/>
                <w:sz w:val="21"/>
                <w:szCs w:val="21"/>
                <w:u w:val="none"/>
                <w:lang w:val="en-US" w:eastAsia="zh-CN"/>
              </w:rPr>
            </w:pPr>
            <w:r>
              <w:rPr>
                <w:rFonts w:hint="eastAsia" w:ascii="Times New Roman" w:hAnsi="Times New Roman" w:eastAsia="宋体" w:cs="宋体"/>
                <w:i w:val="0"/>
                <w:iCs w:val="0"/>
                <w:color w:val="000000"/>
                <w:kern w:val="0"/>
                <w:sz w:val="21"/>
                <w:szCs w:val="21"/>
                <w:u w:val="none"/>
                <w:lang w:val="en-US" w:eastAsia="zh-CN"/>
              </w:rPr>
              <w:t>1</w:t>
            </w:r>
            <w:r>
              <w:rPr>
                <w:rFonts w:hint="eastAsia" w:ascii="宋体" w:hAnsi="宋体" w:eastAsia="宋体" w:cs="宋体"/>
                <w:i w:val="0"/>
                <w:iCs w:val="0"/>
                <w:color w:val="000000"/>
                <w:kern w:val="0"/>
                <w:sz w:val="21"/>
                <w:szCs w:val="21"/>
                <w:u w:val="none"/>
                <w:lang w:val="en-US" w:eastAsia="zh-CN"/>
              </w:rPr>
              <w:t>.绩效目标是否符合有关中长期工作规划、部门“三定”方案确定的职责；</w:t>
            </w:r>
          </w:p>
          <w:p w14:paraId="6A2993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left"/>
              <w:textAlignment w:val="center"/>
              <w:rPr>
                <w:rFonts w:hint="eastAsia" w:ascii="宋体" w:hAnsi="宋体" w:eastAsia="宋体" w:cs="宋体"/>
                <w:i w:val="0"/>
                <w:iCs w:val="0"/>
                <w:color w:val="000000"/>
                <w:kern w:val="0"/>
                <w:sz w:val="21"/>
                <w:szCs w:val="21"/>
                <w:u w:val="none"/>
                <w:lang w:val="en-US" w:eastAsia="zh-CN"/>
              </w:rPr>
            </w:pPr>
            <w:r>
              <w:rPr>
                <w:rFonts w:hint="eastAsia" w:ascii="Times New Roman" w:hAnsi="Times New Roman" w:eastAsia="宋体" w:cs="宋体"/>
                <w:i w:val="0"/>
                <w:iCs w:val="0"/>
                <w:color w:val="000000"/>
                <w:kern w:val="0"/>
                <w:sz w:val="21"/>
                <w:szCs w:val="21"/>
                <w:u w:val="none"/>
                <w:lang w:val="en-US" w:eastAsia="zh-CN"/>
              </w:rPr>
              <w:t>2</w:t>
            </w:r>
            <w:r>
              <w:rPr>
                <w:rFonts w:hint="eastAsia" w:ascii="宋体" w:hAnsi="宋体" w:eastAsia="宋体" w:cs="宋体"/>
                <w:i w:val="0"/>
                <w:iCs w:val="0"/>
                <w:color w:val="000000"/>
                <w:kern w:val="0"/>
                <w:sz w:val="21"/>
                <w:szCs w:val="21"/>
                <w:u w:val="none"/>
                <w:lang w:val="en-US" w:eastAsia="zh-CN"/>
              </w:rPr>
              <w:t>.绩效目标是否细化分解为具体的绩效指标，指标设置是否高度关联、重点突出、量化易评；</w:t>
            </w:r>
          </w:p>
          <w:p w14:paraId="09B057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left"/>
              <w:textAlignment w:val="center"/>
              <w:rPr>
                <w:rFonts w:hint="eastAsia" w:ascii="宋体" w:hAnsi="宋体" w:eastAsia="宋体" w:cs="宋体"/>
                <w:i w:val="0"/>
                <w:iCs w:val="0"/>
                <w:color w:val="000000"/>
                <w:kern w:val="0"/>
                <w:sz w:val="21"/>
                <w:szCs w:val="21"/>
                <w:u w:val="none"/>
                <w:lang w:val="en-US" w:eastAsia="zh-CN"/>
              </w:rPr>
            </w:pPr>
            <w:r>
              <w:rPr>
                <w:rFonts w:hint="eastAsia" w:ascii="Times New Roman" w:hAnsi="Times New Roman" w:eastAsia="宋体" w:cs="宋体"/>
                <w:i w:val="0"/>
                <w:iCs w:val="0"/>
                <w:color w:val="000000"/>
                <w:kern w:val="0"/>
                <w:sz w:val="21"/>
                <w:szCs w:val="21"/>
                <w:u w:val="none"/>
                <w:lang w:val="en-US" w:eastAsia="zh-CN"/>
              </w:rPr>
              <w:t>3</w:t>
            </w:r>
            <w:r>
              <w:rPr>
                <w:rFonts w:hint="eastAsia" w:ascii="宋体" w:hAnsi="宋体" w:eastAsia="宋体" w:cs="宋体"/>
                <w:i w:val="0"/>
                <w:iCs w:val="0"/>
                <w:color w:val="000000"/>
                <w:kern w:val="0"/>
                <w:sz w:val="21"/>
                <w:szCs w:val="21"/>
                <w:u w:val="none"/>
                <w:lang w:val="en-US" w:eastAsia="zh-CN"/>
              </w:rPr>
              <w:t>.绩效目标是否与年度任务数或计划数相对应；</w:t>
            </w:r>
          </w:p>
          <w:p w14:paraId="518252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left"/>
              <w:textAlignment w:val="center"/>
              <w:rPr>
                <w:rFonts w:hint="eastAsia" w:ascii="宋体" w:hAnsi="宋体" w:eastAsia="宋体" w:cs="宋体"/>
                <w:i w:val="0"/>
                <w:iCs w:val="0"/>
                <w:color w:val="000000"/>
                <w:kern w:val="0"/>
                <w:sz w:val="21"/>
                <w:szCs w:val="21"/>
                <w:u w:val="none"/>
                <w:lang w:val="en-US" w:eastAsia="zh-CN"/>
              </w:rPr>
            </w:pPr>
            <w:r>
              <w:rPr>
                <w:rFonts w:hint="eastAsia" w:ascii="Times New Roman" w:hAnsi="Times New Roman" w:eastAsia="宋体" w:cs="宋体"/>
                <w:i w:val="0"/>
                <w:iCs w:val="0"/>
                <w:color w:val="000000"/>
                <w:kern w:val="0"/>
                <w:sz w:val="21"/>
                <w:szCs w:val="21"/>
                <w:u w:val="none"/>
                <w:lang w:val="en-US" w:eastAsia="zh-CN"/>
              </w:rPr>
              <w:t>4</w:t>
            </w:r>
            <w:r>
              <w:rPr>
                <w:rFonts w:hint="eastAsia" w:ascii="宋体" w:hAnsi="宋体" w:eastAsia="宋体" w:cs="宋体"/>
                <w:i w:val="0"/>
                <w:iCs w:val="0"/>
                <w:color w:val="000000"/>
                <w:kern w:val="0"/>
                <w:sz w:val="21"/>
                <w:szCs w:val="21"/>
                <w:u w:val="none"/>
                <w:lang w:val="en-US" w:eastAsia="zh-CN"/>
              </w:rPr>
              <w:t>.绩效目标是否与预算确定的项目投资额或资金量相匹配。</w:t>
            </w:r>
          </w:p>
          <w:p w14:paraId="24BE74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绩效目标制定不符合科学合理、规范完整、量化细化、预算匹配要求的，发现一处扣</w:t>
            </w:r>
            <w:r>
              <w:rPr>
                <w:rFonts w:hint="eastAsia" w:ascii="Times New Roman" w:hAnsi="Times New Roman" w:eastAsia="宋体" w:cs="宋体"/>
                <w:i w:val="0"/>
                <w:iCs w:val="0"/>
                <w:color w:val="000000"/>
                <w:kern w:val="0"/>
                <w:sz w:val="21"/>
                <w:szCs w:val="21"/>
                <w:u w:val="none"/>
                <w:lang w:val="en-US" w:eastAsia="zh-CN"/>
              </w:rPr>
              <w:t>1</w:t>
            </w:r>
            <w:r>
              <w:rPr>
                <w:rFonts w:hint="eastAsia" w:ascii="宋体" w:hAnsi="宋体" w:eastAsia="宋体" w:cs="宋体"/>
                <w:i w:val="0"/>
                <w:iCs w:val="0"/>
                <w:color w:val="000000"/>
                <w:kern w:val="0"/>
                <w:sz w:val="21"/>
                <w:szCs w:val="21"/>
                <w:u w:val="none"/>
                <w:lang w:val="en-US" w:eastAsia="zh-CN"/>
              </w:rPr>
              <w:t>分，扣完为止。</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F19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10</w:t>
            </w:r>
          </w:p>
        </w:tc>
      </w:tr>
      <w:tr w14:paraId="6792E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vMerge w:val="restart"/>
            <w:tcBorders>
              <w:top w:val="single" w:color="000000" w:sz="4" w:space="0"/>
              <w:left w:val="single" w:color="000000" w:sz="4" w:space="0"/>
              <w:bottom w:val="nil"/>
              <w:right w:val="single" w:color="000000" w:sz="4" w:space="0"/>
            </w:tcBorders>
            <w:shd w:val="clear" w:color="auto" w:fill="auto"/>
            <w:vAlign w:val="center"/>
          </w:tcPr>
          <w:p w14:paraId="77A2F3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项目执行（</w:t>
            </w:r>
            <w:r>
              <w:rPr>
                <w:rFonts w:hint="eastAsia" w:ascii="Times New Roman" w:hAnsi="Times New Roman" w:eastAsia="宋体" w:cs="宋体"/>
                <w:i w:val="0"/>
                <w:iCs w:val="0"/>
                <w:color w:val="000000"/>
                <w:kern w:val="0"/>
                <w:sz w:val="21"/>
                <w:szCs w:val="21"/>
                <w:u w:val="none"/>
                <w:lang w:val="en-US" w:eastAsia="zh-CN"/>
              </w:rPr>
              <w:t>30</w:t>
            </w:r>
            <w:r>
              <w:rPr>
                <w:rFonts w:hint="eastAsia" w:ascii="宋体" w:hAnsi="宋体" w:eastAsia="宋体" w:cs="宋体"/>
                <w:i w:val="0"/>
                <w:iCs w:val="0"/>
                <w:color w:val="000000"/>
                <w:kern w:val="0"/>
                <w:sz w:val="21"/>
                <w:szCs w:val="21"/>
                <w:u w:val="none"/>
                <w:lang w:val="en-US" w:eastAsia="zh-CN"/>
              </w:rPr>
              <w:t>分）</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9C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执行同向</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A2A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目标匹配</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AF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10</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F30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项目实际列支内容是否与项目绩效目标设置方向相符。</w:t>
            </w:r>
          </w:p>
        </w:tc>
        <w:tc>
          <w:tcPr>
            <w:tcW w:w="2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C9A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项目实际列支内容与绩效目标设置方向不相符的，发现一处扣</w:t>
            </w:r>
            <w:r>
              <w:rPr>
                <w:rFonts w:hint="eastAsia" w:ascii="Times New Roman" w:hAnsi="Times New Roman" w:eastAsia="宋体" w:cs="宋体"/>
                <w:i w:val="0"/>
                <w:iCs w:val="0"/>
                <w:color w:val="000000"/>
                <w:kern w:val="0"/>
                <w:sz w:val="21"/>
                <w:szCs w:val="21"/>
                <w:u w:val="none"/>
                <w:lang w:val="en-US" w:eastAsia="zh-CN"/>
              </w:rPr>
              <w:t>2</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5</w:t>
            </w:r>
            <w:r>
              <w:rPr>
                <w:rFonts w:hint="eastAsia" w:ascii="宋体" w:hAnsi="宋体" w:eastAsia="宋体" w:cs="宋体"/>
                <w:i w:val="0"/>
                <w:iCs w:val="0"/>
                <w:color w:val="000000"/>
                <w:kern w:val="0"/>
                <w:sz w:val="21"/>
                <w:szCs w:val="21"/>
                <w:u w:val="none"/>
                <w:lang w:val="en-US" w:eastAsia="zh-CN"/>
              </w:rPr>
              <w:t>分，扣完为止。</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3D4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10</w:t>
            </w:r>
          </w:p>
        </w:tc>
      </w:tr>
      <w:tr w14:paraId="5E890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vMerge w:val="continue"/>
            <w:tcBorders>
              <w:top w:val="single" w:color="000000" w:sz="4" w:space="0"/>
              <w:left w:val="single" w:color="000000" w:sz="4" w:space="0"/>
              <w:bottom w:val="nil"/>
              <w:right w:val="single" w:color="000000" w:sz="4" w:space="0"/>
            </w:tcBorders>
            <w:shd w:val="clear" w:color="auto" w:fill="auto"/>
            <w:vAlign w:val="center"/>
          </w:tcPr>
          <w:p w14:paraId="1B53D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nil"/>
              <w:right w:val="single" w:color="000000" w:sz="4" w:space="0"/>
            </w:tcBorders>
            <w:shd w:val="clear" w:color="auto" w:fill="auto"/>
            <w:vAlign w:val="center"/>
          </w:tcPr>
          <w:p w14:paraId="52FDED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项目调整</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D56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预算调整</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F99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10</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188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申请项目预算调整是否程序规范，依据充分。</w:t>
            </w:r>
          </w:p>
        </w:tc>
        <w:tc>
          <w:tcPr>
            <w:tcW w:w="2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D27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未按照规定程序申请项目预算调整的，不得分；申请预算调整依据不充分的，酌情扣分，扣完为止。</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7D8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10</w:t>
            </w:r>
          </w:p>
        </w:tc>
      </w:tr>
      <w:tr w14:paraId="22FD5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vMerge w:val="continue"/>
            <w:tcBorders>
              <w:top w:val="single" w:color="000000" w:sz="4" w:space="0"/>
              <w:left w:val="single" w:color="000000" w:sz="4" w:space="0"/>
              <w:bottom w:val="nil"/>
              <w:right w:val="single" w:color="000000" w:sz="4" w:space="0"/>
            </w:tcBorders>
            <w:shd w:val="clear" w:color="auto" w:fill="auto"/>
            <w:vAlign w:val="center"/>
          </w:tcPr>
          <w:p w14:paraId="530C1B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575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预算执行</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256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执行进度</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12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4</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E54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部门预算项目在</w:t>
            </w:r>
            <w:r>
              <w:rPr>
                <w:rFonts w:hint="eastAsia" w:ascii="Times New Roman" w:hAnsi="Times New Roman" w:eastAsia="宋体" w:cs="宋体"/>
                <w:i w:val="0"/>
                <w:iCs w:val="0"/>
                <w:color w:val="000000"/>
                <w:kern w:val="0"/>
                <w:sz w:val="21"/>
                <w:szCs w:val="21"/>
                <w:u w:val="none"/>
                <w:lang w:val="en-US" w:eastAsia="zh-CN"/>
              </w:rPr>
              <w:t>6</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9</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11</w:t>
            </w:r>
            <w:r>
              <w:rPr>
                <w:rFonts w:hint="eastAsia" w:ascii="宋体" w:hAnsi="宋体" w:eastAsia="宋体" w:cs="宋体"/>
                <w:i w:val="0"/>
                <w:iCs w:val="0"/>
                <w:color w:val="000000"/>
                <w:kern w:val="0"/>
                <w:sz w:val="21"/>
                <w:szCs w:val="21"/>
                <w:u w:val="none"/>
                <w:lang w:val="en-US" w:eastAsia="zh-CN"/>
              </w:rPr>
              <w:t>月的预算执行情况。</w:t>
            </w:r>
          </w:p>
        </w:tc>
        <w:tc>
          <w:tcPr>
            <w:tcW w:w="2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1C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部门预算项目预算执行进度在</w:t>
            </w:r>
            <w:r>
              <w:rPr>
                <w:rFonts w:hint="eastAsia" w:ascii="Times New Roman" w:hAnsi="Times New Roman" w:eastAsia="宋体" w:cs="宋体"/>
                <w:i w:val="0"/>
                <w:iCs w:val="0"/>
                <w:color w:val="000000"/>
                <w:kern w:val="0"/>
                <w:sz w:val="21"/>
                <w:szCs w:val="21"/>
                <w:u w:val="none"/>
                <w:lang w:val="en-US" w:eastAsia="zh-CN"/>
              </w:rPr>
              <w:t>6</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9</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11</w:t>
            </w:r>
            <w:r>
              <w:rPr>
                <w:rFonts w:hint="eastAsia" w:ascii="宋体" w:hAnsi="宋体" w:eastAsia="宋体" w:cs="宋体"/>
                <w:i w:val="0"/>
                <w:iCs w:val="0"/>
                <w:color w:val="000000"/>
                <w:kern w:val="0"/>
                <w:sz w:val="21"/>
                <w:szCs w:val="21"/>
                <w:u w:val="none"/>
                <w:lang w:val="en-US" w:eastAsia="zh-CN"/>
              </w:rPr>
              <w:t>月应达到序时进度的</w:t>
            </w:r>
            <w:r>
              <w:rPr>
                <w:rFonts w:hint="eastAsia" w:ascii="Times New Roman" w:hAnsi="Times New Roman" w:eastAsia="宋体" w:cs="宋体"/>
                <w:i w:val="0"/>
                <w:iCs w:val="0"/>
                <w:color w:val="000000"/>
                <w:kern w:val="0"/>
                <w:sz w:val="21"/>
                <w:szCs w:val="21"/>
                <w:u w:val="none"/>
                <w:lang w:val="en-US" w:eastAsia="zh-CN"/>
              </w:rPr>
              <w:t>80</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90</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90</w:t>
            </w:r>
            <w:r>
              <w:rPr>
                <w:rFonts w:hint="eastAsia" w:ascii="宋体" w:hAnsi="宋体" w:eastAsia="宋体" w:cs="宋体"/>
                <w:i w:val="0"/>
                <w:iCs w:val="0"/>
                <w:color w:val="000000"/>
                <w:kern w:val="0"/>
                <w:sz w:val="21"/>
                <w:szCs w:val="21"/>
                <w:u w:val="none"/>
                <w:lang w:val="en-US" w:eastAsia="zh-CN"/>
              </w:rPr>
              <w:t>%，即实际支出进度分别达到</w:t>
            </w:r>
            <w:r>
              <w:rPr>
                <w:rFonts w:hint="eastAsia" w:ascii="Times New Roman" w:hAnsi="Times New Roman" w:eastAsia="宋体" w:cs="宋体"/>
                <w:i w:val="0"/>
                <w:iCs w:val="0"/>
                <w:color w:val="000000"/>
                <w:kern w:val="0"/>
                <w:sz w:val="21"/>
                <w:szCs w:val="21"/>
                <w:u w:val="none"/>
                <w:lang w:val="en-US" w:eastAsia="zh-CN"/>
              </w:rPr>
              <w:t>40</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67</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5</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82</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5</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6</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9</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11</w:t>
            </w:r>
            <w:r>
              <w:rPr>
                <w:rFonts w:hint="eastAsia" w:ascii="宋体" w:hAnsi="宋体" w:eastAsia="宋体" w:cs="宋体"/>
                <w:i w:val="0"/>
                <w:iCs w:val="0"/>
                <w:color w:val="000000"/>
                <w:kern w:val="0"/>
                <w:sz w:val="21"/>
                <w:szCs w:val="21"/>
                <w:u w:val="none"/>
                <w:lang w:val="en-US" w:eastAsia="zh-CN"/>
              </w:rPr>
              <w:t>月部门预算执行进度达到目标进度的分别得</w:t>
            </w:r>
            <w:r>
              <w:rPr>
                <w:rFonts w:hint="eastAsia" w:ascii="Times New Roman" w:hAnsi="Times New Roman" w:eastAsia="宋体" w:cs="宋体"/>
                <w:i w:val="0"/>
                <w:iCs w:val="0"/>
                <w:color w:val="000000"/>
                <w:kern w:val="0"/>
                <w:sz w:val="21"/>
                <w:szCs w:val="21"/>
                <w:u w:val="none"/>
                <w:lang w:val="en-US" w:eastAsia="zh-CN"/>
              </w:rPr>
              <w:t>1</w:t>
            </w:r>
            <w:r>
              <w:rPr>
                <w:rFonts w:hint="eastAsia" w:ascii="宋体" w:hAnsi="宋体" w:eastAsia="宋体" w:cs="宋体"/>
                <w:i w:val="0"/>
                <w:iCs w:val="0"/>
                <w:color w:val="000000"/>
                <w:kern w:val="0"/>
                <w:sz w:val="21"/>
                <w:szCs w:val="21"/>
                <w:u w:val="none"/>
                <w:lang w:val="en-US" w:eastAsia="zh-CN"/>
              </w:rPr>
              <w:t>分、</w:t>
            </w:r>
            <w:r>
              <w:rPr>
                <w:rFonts w:hint="eastAsia" w:ascii="Times New Roman" w:hAnsi="Times New Roman" w:eastAsia="宋体" w:cs="宋体"/>
                <w:i w:val="0"/>
                <w:iCs w:val="0"/>
                <w:color w:val="000000"/>
                <w:kern w:val="0"/>
                <w:sz w:val="21"/>
                <w:szCs w:val="21"/>
                <w:u w:val="none"/>
                <w:lang w:val="en-US" w:eastAsia="zh-CN"/>
              </w:rPr>
              <w:t>1</w:t>
            </w:r>
            <w:r>
              <w:rPr>
                <w:rFonts w:hint="eastAsia" w:ascii="宋体" w:hAnsi="宋体" w:eastAsia="宋体" w:cs="宋体"/>
                <w:i w:val="0"/>
                <w:iCs w:val="0"/>
                <w:color w:val="000000"/>
                <w:kern w:val="0"/>
                <w:sz w:val="21"/>
                <w:szCs w:val="21"/>
                <w:u w:val="none"/>
                <w:lang w:val="en-US" w:eastAsia="zh-CN"/>
              </w:rPr>
              <w:t>分、</w:t>
            </w:r>
            <w:r>
              <w:rPr>
                <w:rFonts w:hint="eastAsia" w:ascii="Times New Roman" w:hAnsi="Times New Roman" w:eastAsia="宋体" w:cs="宋体"/>
                <w:i w:val="0"/>
                <w:iCs w:val="0"/>
                <w:color w:val="000000"/>
                <w:kern w:val="0"/>
                <w:sz w:val="21"/>
                <w:szCs w:val="21"/>
                <w:u w:val="none"/>
                <w:lang w:val="en-US" w:eastAsia="zh-CN"/>
              </w:rPr>
              <w:t>2</w:t>
            </w:r>
            <w:r>
              <w:rPr>
                <w:rFonts w:hint="eastAsia" w:ascii="宋体" w:hAnsi="宋体" w:eastAsia="宋体" w:cs="宋体"/>
                <w:i w:val="0"/>
                <w:iCs w:val="0"/>
                <w:color w:val="000000"/>
                <w:kern w:val="0"/>
                <w:sz w:val="21"/>
                <w:szCs w:val="21"/>
                <w:u w:val="none"/>
                <w:lang w:val="en-US" w:eastAsia="zh-CN"/>
              </w:rPr>
              <w:t>分，未达到目标进度的按其实际进度占目标进度的比重计算得分。</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AD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44</w:t>
            </w:r>
          </w:p>
        </w:tc>
      </w:tr>
      <w:tr w14:paraId="532B6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vMerge w:val="continue"/>
            <w:tcBorders>
              <w:top w:val="single" w:color="000000" w:sz="4" w:space="0"/>
              <w:left w:val="single" w:color="000000" w:sz="4" w:space="0"/>
              <w:bottom w:val="nil"/>
              <w:right w:val="single" w:color="000000" w:sz="4" w:space="0"/>
            </w:tcBorders>
            <w:shd w:val="clear" w:color="auto" w:fill="auto"/>
            <w:vAlign w:val="center"/>
          </w:tcPr>
          <w:p w14:paraId="7C48C2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69F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预算结余</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E56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预算结余率</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8B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6</w:t>
            </w:r>
          </w:p>
        </w:tc>
        <w:tc>
          <w:tcPr>
            <w:tcW w:w="108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BD0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部门预算项目年终预算结余情况。</w:t>
            </w:r>
          </w:p>
        </w:tc>
        <w:tc>
          <w:tcPr>
            <w:tcW w:w="2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BCA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指标得分=（</w:t>
            </w:r>
            <w:r>
              <w:rPr>
                <w:rFonts w:hint="eastAsia" w:ascii="Times New Roman" w:hAnsi="Times New Roman" w:eastAsia="宋体" w:cs="宋体"/>
                <w:i w:val="0"/>
                <w:iCs w:val="0"/>
                <w:color w:val="000000"/>
                <w:kern w:val="0"/>
                <w:sz w:val="21"/>
                <w:szCs w:val="21"/>
                <w:u w:val="none"/>
                <w:lang w:val="en-US" w:eastAsia="zh-CN"/>
              </w:rPr>
              <w:t>1</w:t>
            </w:r>
            <w:r>
              <w:rPr>
                <w:rFonts w:hint="eastAsia" w:ascii="宋体" w:hAnsi="宋体" w:eastAsia="宋体" w:cs="宋体"/>
                <w:i w:val="0"/>
                <w:iCs w:val="0"/>
                <w:color w:val="000000"/>
                <w:kern w:val="0"/>
                <w:sz w:val="21"/>
                <w:szCs w:val="21"/>
                <w:u w:val="none"/>
                <w:lang w:val="en-US" w:eastAsia="zh-CN"/>
              </w:rPr>
              <w:t>-预算结余率/</w:t>
            </w:r>
            <w:r>
              <w:rPr>
                <w:rFonts w:hint="eastAsia" w:ascii="Times New Roman" w:hAnsi="Times New Roman" w:eastAsia="宋体" w:cs="宋体"/>
                <w:i w:val="0"/>
                <w:iCs w:val="0"/>
                <w:color w:val="000000"/>
                <w:kern w:val="0"/>
                <w:sz w:val="21"/>
                <w:szCs w:val="21"/>
                <w:u w:val="none"/>
                <w:lang w:val="en-US" w:eastAsia="zh-CN"/>
              </w:rPr>
              <w:t>0</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1</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6</w:t>
            </w:r>
            <w:r>
              <w:rPr>
                <w:rFonts w:hint="eastAsia" w:ascii="宋体" w:hAnsi="宋体" w:eastAsia="宋体" w:cs="宋体"/>
                <w:i w:val="0"/>
                <w:iCs w:val="0"/>
                <w:color w:val="000000"/>
                <w:kern w:val="0"/>
                <w:sz w:val="21"/>
                <w:szCs w:val="21"/>
                <w:u w:val="none"/>
                <w:lang w:val="en-US" w:eastAsia="zh-CN"/>
              </w:rPr>
              <w:t>分预算结余率大于等于</w:t>
            </w:r>
            <w:r>
              <w:rPr>
                <w:rFonts w:hint="eastAsia" w:ascii="Times New Roman" w:hAnsi="Times New Roman" w:eastAsia="宋体" w:cs="宋体"/>
                <w:i w:val="0"/>
                <w:iCs w:val="0"/>
                <w:color w:val="000000"/>
                <w:kern w:val="0"/>
                <w:sz w:val="21"/>
                <w:szCs w:val="21"/>
                <w:u w:val="none"/>
                <w:lang w:val="en-US" w:eastAsia="zh-CN"/>
              </w:rPr>
              <w:t>0</w:t>
            </w: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1</w:t>
            </w:r>
            <w:r>
              <w:rPr>
                <w:rFonts w:hint="eastAsia" w:ascii="宋体" w:hAnsi="宋体" w:eastAsia="宋体" w:cs="宋体"/>
                <w:i w:val="0"/>
                <w:iCs w:val="0"/>
                <w:color w:val="000000"/>
                <w:kern w:val="0"/>
                <w:sz w:val="21"/>
                <w:szCs w:val="21"/>
                <w:u w:val="none"/>
                <w:lang w:val="en-US" w:eastAsia="zh-CN"/>
              </w:rPr>
              <w:t>，指标得</w:t>
            </w:r>
            <w:r>
              <w:rPr>
                <w:rFonts w:hint="eastAsia" w:ascii="Times New Roman" w:hAnsi="Times New Roman" w:eastAsia="宋体" w:cs="宋体"/>
                <w:i w:val="0"/>
                <w:iCs w:val="0"/>
                <w:color w:val="000000"/>
                <w:kern w:val="0"/>
                <w:sz w:val="21"/>
                <w:szCs w:val="21"/>
                <w:u w:val="none"/>
                <w:lang w:val="en-US" w:eastAsia="zh-CN"/>
              </w:rPr>
              <w:t>0</w:t>
            </w:r>
            <w:r>
              <w:rPr>
                <w:rFonts w:hint="eastAsia" w:ascii="宋体" w:hAnsi="宋体" w:eastAsia="宋体" w:cs="宋体"/>
                <w:i w:val="0"/>
                <w:iCs w:val="0"/>
                <w:color w:val="000000"/>
                <w:kern w:val="0"/>
                <w:sz w:val="21"/>
                <w:szCs w:val="21"/>
                <w:u w:val="none"/>
                <w:lang w:val="en-US" w:eastAsia="zh-CN"/>
              </w:rPr>
              <w:t>分。预算结余率=结余金额/财政资金预算数×</w:t>
            </w:r>
            <w:r>
              <w:rPr>
                <w:rFonts w:hint="eastAsia" w:ascii="Times New Roman" w:hAnsi="Times New Roman" w:eastAsia="宋体" w:cs="宋体"/>
                <w:i w:val="0"/>
                <w:iCs w:val="0"/>
                <w:color w:val="000000"/>
                <w:kern w:val="0"/>
                <w:sz w:val="21"/>
                <w:szCs w:val="21"/>
                <w:u w:val="none"/>
                <w:lang w:val="en-US" w:eastAsia="zh-CN"/>
              </w:rPr>
              <w:t>100</w:t>
            </w:r>
            <w:r>
              <w:rPr>
                <w:rFonts w:hint="eastAsia" w:ascii="宋体" w:hAnsi="宋体" w:eastAsia="宋体" w:cs="宋体"/>
                <w:i w:val="0"/>
                <w:iCs w:val="0"/>
                <w:color w:val="000000"/>
                <w:kern w:val="0"/>
                <w:sz w:val="21"/>
                <w:szCs w:val="21"/>
                <w:u w:val="none"/>
                <w:lang w:val="en-US" w:eastAsia="zh-CN"/>
              </w:rPr>
              <w:t>%</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A6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6</w:t>
            </w:r>
          </w:p>
        </w:tc>
      </w:tr>
      <w:tr w14:paraId="62D84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003F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目标实现（</w:t>
            </w:r>
            <w:r>
              <w:rPr>
                <w:rFonts w:hint="eastAsia" w:ascii="Times New Roman" w:hAnsi="Times New Roman" w:eastAsia="宋体" w:cs="宋体"/>
                <w:i w:val="0"/>
                <w:iCs w:val="0"/>
                <w:color w:val="000000"/>
                <w:kern w:val="0"/>
                <w:sz w:val="21"/>
                <w:szCs w:val="21"/>
                <w:u w:val="none"/>
                <w:lang w:val="en-US" w:eastAsia="zh-CN"/>
              </w:rPr>
              <w:t>15</w:t>
            </w:r>
            <w:r>
              <w:rPr>
                <w:rFonts w:hint="eastAsia" w:ascii="宋体" w:hAnsi="宋体" w:eastAsia="宋体" w:cs="宋体"/>
                <w:i w:val="0"/>
                <w:iCs w:val="0"/>
                <w:color w:val="000000"/>
                <w:kern w:val="0"/>
                <w:sz w:val="21"/>
                <w:szCs w:val="21"/>
                <w:u w:val="none"/>
                <w:lang w:val="en-US" w:eastAsia="zh-CN"/>
              </w:rPr>
              <w:t>分）</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8C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目标完成</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4B8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目标完成率</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58C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8</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D6E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部门预算项目绩效目标中数量指标完成情况。</w:t>
            </w:r>
          </w:p>
        </w:tc>
        <w:tc>
          <w:tcPr>
            <w:tcW w:w="2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2E6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对照部门预算项目支出绩效目标编制情况，计算指标得分=绩效目标数量指标完成的指标个数/全部数量指标个数*</w:t>
            </w:r>
            <w:r>
              <w:rPr>
                <w:rFonts w:hint="eastAsia" w:ascii="Times New Roman" w:hAnsi="Times New Roman" w:eastAsia="宋体" w:cs="宋体"/>
                <w:i w:val="0"/>
                <w:iCs w:val="0"/>
                <w:color w:val="000000"/>
                <w:kern w:val="0"/>
                <w:sz w:val="21"/>
                <w:szCs w:val="21"/>
                <w:u w:val="none"/>
                <w:lang w:val="en-US" w:eastAsia="zh-CN"/>
              </w:rPr>
              <w:t>8</w:t>
            </w:r>
            <w:r>
              <w:rPr>
                <w:rFonts w:hint="eastAsia" w:ascii="宋体" w:hAnsi="宋体" w:eastAsia="宋体" w:cs="宋体"/>
                <w:i w:val="0"/>
                <w:iCs w:val="0"/>
                <w:color w:val="000000"/>
                <w:kern w:val="0"/>
                <w:sz w:val="21"/>
                <w:szCs w:val="21"/>
                <w:u w:val="none"/>
                <w:lang w:val="en-US" w:eastAsia="zh-CN"/>
              </w:rPr>
              <w:t>分。</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95C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8</w:t>
            </w:r>
          </w:p>
        </w:tc>
      </w:tr>
      <w:tr w14:paraId="11E4D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EC1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rPr>
                <w:rFonts w:hint="eastAsia" w:ascii="宋体" w:hAnsi="宋体" w:eastAsia="宋体" w:cs="宋体"/>
                <w:i w:val="0"/>
                <w:iCs w:val="0"/>
                <w:color w:val="000000"/>
                <w:sz w:val="21"/>
                <w:szCs w:val="21"/>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078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目标偏离</w:t>
            </w:r>
          </w:p>
        </w:tc>
        <w:tc>
          <w:tcPr>
            <w:tcW w:w="3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61C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偏离程度</w:t>
            </w:r>
          </w:p>
        </w:tc>
        <w:tc>
          <w:tcPr>
            <w:tcW w:w="1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438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7</w:t>
            </w:r>
          </w:p>
        </w:tc>
        <w:tc>
          <w:tcPr>
            <w:tcW w:w="10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345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部门预算项目绩效目标实现程度与预期目标的偏离情况。</w:t>
            </w:r>
          </w:p>
        </w:tc>
        <w:tc>
          <w:tcPr>
            <w:tcW w:w="260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C98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部门年初整体支出绩效目标实际完成值偏离预期指标</w:t>
            </w:r>
            <w:r>
              <w:rPr>
                <w:rFonts w:hint="eastAsia" w:ascii="Times New Roman" w:hAnsi="Times New Roman" w:eastAsia="宋体" w:cs="宋体"/>
                <w:i w:val="0"/>
                <w:iCs w:val="0"/>
                <w:color w:val="000000"/>
                <w:kern w:val="0"/>
                <w:sz w:val="21"/>
                <w:szCs w:val="21"/>
                <w:u w:val="none"/>
                <w:lang w:val="en-US" w:eastAsia="zh-CN"/>
              </w:rPr>
              <w:t>30</w:t>
            </w:r>
            <w:r>
              <w:rPr>
                <w:rFonts w:hint="eastAsia" w:ascii="宋体" w:hAnsi="宋体" w:eastAsia="宋体" w:cs="宋体"/>
                <w:i w:val="0"/>
                <w:iCs w:val="0"/>
                <w:color w:val="000000"/>
                <w:kern w:val="0"/>
                <w:sz w:val="21"/>
                <w:szCs w:val="21"/>
                <w:u w:val="none"/>
                <w:lang w:val="en-US" w:eastAsia="zh-CN"/>
              </w:rPr>
              <w:t>%以上（含</w:t>
            </w:r>
            <w:r>
              <w:rPr>
                <w:rFonts w:hint="eastAsia" w:ascii="Times New Roman" w:hAnsi="Times New Roman" w:eastAsia="宋体" w:cs="宋体"/>
                <w:i w:val="0"/>
                <w:iCs w:val="0"/>
                <w:color w:val="000000"/>
                <w:kern w:val="0"/>
                <w:sz w:val="21"/>
                <w:szCs w:val="21"/>
                <w:u w:val="none"/>
                <w:lang w:val="en-US" w:eastAsia="zh-CN"/>
              </w:rPr>
              <w:t>30</w:t>
            </w:r>
            <w:r>
              <w:rPr>
                <w:rFonts w:hint="eastAsia" w:ascii="宋体" w:hAnsi="宋体" w:eastAsia="宋体" w:cs="宋体"/>
                <w:i w:val="0"/>
                <w:iCs w:val="0"/>
                <w:color w:val="000000"/>
                <w:kern w:val="0"/>
                <w:sz w:val="21"/>
                <w:szCs w:val="21"/>
                <w:u w:val="none"/>
                <w:lang w:val="en-US" w:eastAsia="zh-CN"/>
              </w:rPr>
              <w:t>%）的，均不计分。该项指标得分=已完成预期指标值的数量指标中偏离度在</w:t>
            </w:r>
            <w:r>
              <w:rPr>
                <w:rFonts w:hint="eastAsia" w:ascii="Times New Roman" w:hAnsi="Times New Roman" w:eastAsia="宋体" w:cs="宋体"/>
                <w:i w:val="0"/>
                <w:iCs w:val="0"/>
                <w:color w:val="000000"/>
                <w:kern w:val="0"/>
                <w:sz w:val="21"/>
                <w:szCs w:val="21"/>
                <w:u w:val="none"/>
                <w:lang w:val="en-US" w:eastAsia="zh-CN"/>
              </w:rPr>
              <w:t>30</w:t>
            </w:r>
            <w:r>
              <w:rPr>
                <w:rFonts w:hint="eastAsia" w:ascii="宋体" w:hAnsi="宋体" w:eastAsia="宋体" w:cs="宋体"/>
                <w:i w:val="0"/>
                <w:iCs w:val="0"/>
                <w:color w:val="000000"/>
                <w:kern w:val="0"/>
                <w:sz w:val="21"/>
                <w:szCs w:val="21"/>
                <w:u w:val="none"/>
                <w:lang w:val="en-US" w:eastAsia="zh-CN"/>
              </w:rPr>
              <w:t>%内的指标个数/已完成预期指标值的数量指标个数×</w:t>
            </w:r>
            <w:r>
              <w:rPr>
                <w:rFonts w:hint="eastAsia" w:ascii="Times New Roman" w:hAnsi="Times New Roman" w:eastAsia="宋体" w:cs="宋体"/>
                <w:i w:val="0"/>
                <w:iCs w:val="0"/>
                <w:color w:val="000000"/>
                <w:kern w:val="0"/>
                <w:sz w:val="21"/>
                <w:szCs w:val="21"/>
                <w:u w:val="none"/>
                <w:lang w:val="en-US" w:eastAsia="zh-CN"/>
              </w:rPr>
              <w:t>7</w:t>
            </w:r>
            <w:r>
              <w:rPr>
                <w:rFonts w:hint="eastAsia" w:ascii="宋体" w:hAnsi="宋体" w:eastAsia="宋体" w:cs="宋体"/>
                <w:i w:val="0"/>
                <w:iCs w:val="0"/>
                <w:color w:val="000000"/>
                <w:kern w:val="0"/>
                <w:sz w:val="21"/>
                <w:szCs w:val="21"/>
                <w:u w:val="none"/>
                <w:lang w:val="en-US" w:eastAsia="zh-CN"/>
              </w:rPr>
              <w:t>。</w:t>
            </w:r>
          </w:p>
          <w:p w14:paraId="5B21FD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偏离度=（绩效指标实际完成值-设定预期指标值）/设定预期指标值|。</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56D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7</w:t>
            </w:r>
          </w:p>
        </w:tc>
      </w:tr>
      <w:tr w14:paraId="5595A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033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kern w:val="0"/>
                <w:sz w:val="21"/>
                <w:szCs w:val="21"/>
                <w:u w:val="none"/>
                <w:lang w:val="en-US" w:eastAsia="zh-CN"/>
              </w:rPr>
            </w:pPr>
            <w:r>
              <w:rPr>
                <w:rFonts w:hint="eastAsia" w:ascii="宋体" w:hAnsi="宋体" w:eastAsia="宋体" w:cs="宋体"/>
                <w:i w:val="0"/>
                <w:iCs w:val="0"/>
                <w:color w:val="000000"/>
                <w:kern w:val="0"/>
                <w:sz w:val="21"/>
                <w:szCs w:val="21"/>
                <w:u w:val="none"/>
                <w:lang w:val="en-US" w:eastAsia="zh-CN"/>
              </w:rPr>
              <w:t>项目效果</w:t>
            </w:r>
          </w:p>
          <w:p w14:paraId="63DE3E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w:t>
            </w:r>
            <w:r>
              <w:rPr>
                <w:rFonts w:hint="eastAsia" w:ascii="Times New Roman" w:hAnsi="Times New Roman" w:eastAsia="宋体" w:cs="宋体"/>
                <w:i w:val="0"/>
                <w:iCs w:val="0"/>
                <w:color w:val="000000"/>
                <w:kern w:val="0"/>
                <w:sz w:val="21"/>
                <w:szCs w:val="21"/>
                <w:u w:val="none"/>
                <w:lang w:val="en-US" w:eastAsia="zh-CN"/>
              </w:rPr>
              <w:t>25</w:t>
            </w:r>
            <w:r>
              <w:rPr>
                <w:rFonts w:hint="eastAsia" w:ascii="宋体" w:hAnsi="宋体" w:eastAsia="宋体" w:cs="宋体"/>
                <w:i w:val="0"/>
                <w:iCs w:val="0"/>
                <w:color w:val="000000"/>
                <w:kern w:val="0"/>
                <w:sz w:val="21"/>
                <w:szCs w:val="21"/>
                <w:u w:val="none"/>
                <w:lang w:val="en-US" w:eastAsia="zh-CN"/>
              </w:rPr>
              <w:t>分）</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15B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目标实现</w:t>
            </w:r>
          </w:p>
        </w:tc>
        <w:tc>
          <w:tcPr>
            <w:tcW w:w="4184"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428C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rPr>
              <w:t>评价组根据部门预算项目绩效目标设定的效益指标、成本指标、满意度指标细化设置三级指标，主要评价效益指标、成本指标的实际完成情况，以及部门是否针对满意度指标开展满意度调查。</w:t>
            </w:r>
          </w:p>
        </w:tc>
        <w:tc>
          <w:tcPr>
            <w:tcW w:w="2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146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25</w:t>
            </w:r>
          </w:p>
        </w:tc>
      </w:tr>
      <w:tr w14:paraId="750F5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jc w:val="center"/>
        </w:trPr>
        <w:tc>
          <w:tcPr>
            <w:tcW w:w="4722"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16A5D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rPr>
              <w:t>合计</w:t>
            </w: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7B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70" w:lineRule="exact"/>
              <w:ind w:left="0" w:right="0"/>
              <w:jc w:val="center"/>
              <w:textAlignment w:val="center"/>
              <w:rPr>
                <w:rFonts w:hint="eastAsia" w:ascii="宋体" w:hAnsi="宋体" w:eastAsia="宋体" w:cs="宋体"/>
                <w:i w:val="0"/>
                <w:iCs w:val="0"/>
                <w:color w:val="000000"/>
                <w:sz w:val="21"/>
                <w:szCs w:val="21"/>
                <w:u w:val="none"/>
              </w:rPr>
            </w:pPr>
            <w:r>
              <w:rPr>
                <w:rFonts w:hint="eastAsia" w:ascii="Times New Roman" w:hAnsi="Times New Roman" w:eastAsia="宋体" w:cs="宋体"/>
                <w:i w:val="0"/>
                <w:iCs w:val="0"/>
                <w:color w:val="000000"/>
                <w:kern w:val="0"/>
                <w:sz w:val="21"/>
                <w:szCs w:val="21"/>
                <w:u w:val="none"/>
                <w:lang w:val="en-US" w:eastAsia="zh-CN"/>
              </w:rPr>
              <w:t>100</w:t>
            </w:r>
          </w:p>
        </w:tc>
      </w:tr>
    </w:tbl>
    <w:p w14:paraId="4555F6DE">
      <w:pPr>
        <w:pStyle w:val="12"/>
        <w:ind w:left="0" w:leftChars="0" w:firstLine="0" w:firstLineChars="0"/>
        <w:rPr>
          <w:rFonts w:hint="eastAsia" w:ascii="黑体" w:hAnsi="黑体" w:eastAsia="黑体"/>
          <w:kern w:val="44"/>
          <w:sz w:val="32"/>
          <w:szCs w:val="32"/>
        </w:rPr>
      </w:pPr>
    </w:p>
    <w:p w14:paraId="3A2B793C">
      <w:pPr>
        <w:pStyle w:val="12"/>
        <w:ind w:left="0" w:leftChars="0" w:firstLine="0" w:firstLineChars="0"/>
        <w:rPr>
          <w:rFonts w:hint="eastAsia" w:ascii="黑体" w:hAnsi="黑体" w:eastAsia="黑体"/>
          <w:kern w:val="44"/>
          <w:sz w:val="32"/>
          <w:szCs w:val="32"/>
        </w:rPr>
      </w:pPr>
    </w:p>
    <w:p w14:paraId="450491D3">
      <w:pPr>
        <w:pStyle w:val="12"/>
        <w:ind w:left="0" w:leftChars="0" w:firstLine="0" w:firstLineChars="0"/>
        <w:rPr>
          <w:rFonts w:hint="eastAsia" w:ascii="黑体" w:hAnsi="黑体" w:eastAsia="黑体"/>
          <w:kern w:val="44"/>
          <w:sz w:val="32"/>
          <w:szCs w:val="32"/>
        </w:rPr>
      </w:pPr>
    </w:p>
    <w:p w14:paraId="02461EC2">
      <w:pPr>
        <w:pStyle w:val="12"/>
        <w:ind w:left="0" w:leftChars="0" w:firstLine="0" w:firstLineChars="0"/>
        <w:rPr>
          <w:rFonts w:hint="eastAsia" w:ascii="黑体" w:hAnsi="黑体" w:eastAsia="黑体"/>
          <w:kern w:val="44"/>
          <w:sz w:val="32"/>
          <w:szCs w:val="32"/>
        </w:rPr>
      </w:pPr>
    </w:p>
    <w:p w14:paraId="1A076004">
      <w:pPr>
        <w:pStyle w:val="12"/>
        <w:ind w:left="0" w:leftChars="0" w:firstLine="0" w:firstLineChars="0"/>
        <w:rPr>
          <w:rFonts w:hint="eastAsia" w:ascii="黑体" w:hAnsi="黑体" w:eastAsia="黑体"/>
          <w:kern w:val="44"/>
          <w:sz w:val="32"/>
          <w:szCs w:val="32"/>
        </w:rPr>
      </w:pPr>
    </w:p>
    <w:p w14:paraId="2E6AB1F0">
      <w:pPr>
        <w:keepNext/>
        <w:keepLines/>
        <w:pageBreakBefore w:val="0"/>
        <w:widowControl w:val="0"/>
        <w:kinsoku/>
        <w:wordWrap/>
        <w:overflowPunct/>
        <w:topLinePunct w:val="0"/>
        <w:autoSpaceDE w:val="0"/>
        <w:autoSpaceDN w:val="0"/>
        <w:bidi w:val="0"/>
        <w:adjustRightInd w:val="0"/>
        <w:snapToGrid/>
        <w:spacing w:beforeLines="0" w:afterLines="0" w:line="576" w:lineRule="exact"/>
        <w:jc w:val="center"/>
        <w:textAlignment w:val="auto"/>
        <w:rPr>
          <w:rFonts w:hint="eastAsia" w:ascii="黑体" w:hAnsi="黑体" w:eastAsia="黑体"/>
          <w:kern w:val="44"/>
          <w:sz w:val="32"/>
          <w:szCs w:val="32"/>
        </w:rPr>
      </w:pPr>
      <w:r>
        <w:rPr>
          <w:rFonts w:hint="eastAsia" w:ascii="方正小标宋简体" w:hAnsi="方正小标宋简体" w:eastAsia="方正小标宋简体" w:cs="方正小标宋简体"/>
          <w:kern w:val="2"/>
          <w:sz w:val="44"/>
          <w:szCs w:val="44"/>
        </w:rPr>
        <w:t>2023年落实区委区政府中心工作及重大决策部署工作项目</w:t>
      </w:r>
      <w:r>
        <w:rPr>
          <w:rFonts w:hint="eastAsia" w:ascii="方正小标宋简体" w:hAnsi="方正小标宋简体" w:eastAsia="方正小标宋简体" w:cs="方正小标宋简体"/>
          <w:kern w:val="2"/>
          <w:sz w:val="44"/>
          <w:szCs w:val="44"/>
          <w:lang w:val="zh-CN"/>
        </w:rPr>
        <w:t>专项预算项目绩效评价报告</w:t>
      </w:r>
    </w:p>
    <w:p w14:paraId="12D28943">
      <w:pPr>
        <w:pStyle w:val="12"/>
        <w:ind w:left="0" w:leftChars="0" w:firstLine="0" w:firstLineChars="0"/>
        <w:rPr>
          <w:rFonts w:hint="eastAsia" w:ascii="黑体" w:hAnsi="黑体" w:eastAsia="黑体"/>
          <w:kern w:val="44"/>
          <w:sz w:val="32"/>
          <w:szCs w:val="32"/>
        </w:rPr>
      </w:pPr>
    </w:p>
    <w:p w14:paraId="2E5CCFDE">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一、项目概况</w:t>
      </w:r>
    </w:p>
    <w:p w14:paraId="422D1B4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区委办</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的落实区委区政府中心工作及重大决策部署工作经费项目属于基本运转类项目。用于围绕区委常委会、区政府常务会议定事项以及区委、区政府主要领导签批事项落实情况到涉及的乡镇或部门开展督查工作。用于社会主义现代化“四城新区”建设开展调研工作。用于巩固拓展脱贫攻坚成果同乡村振兴有效衔接落实，特别是持续帮扶工作。用于围绕村级建制调整改革、基层治理、乡村振兴、科技创新等重点项目推进开展调研工作，研究分析推进重点项目中存在的困难和问题，找准关键症结，提出服务加快重点项目推进的对策和措施。</w:t>
      </w:r>
    </w:p>
    <w:p w14:paraId="335834E9">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（一）项目资金申报及批复情况。</w:t>
      </w:r>
      <w:r>
        <w:rPr>
          <w:rFonts w:hint="default" w:ascii="仿宋_GB2312" w:hAnsi="Times New Roman" w:eastAsia="仿宋_GB2312" w:cs="仿宋_GB2312"/>
          <w:kern w:val="2"/>
          <w:sz w:val="32"/>
          <w:szCs w:val="32"/>
          <w:lang w:val="en-US" w:eastAsia="zh-CN"/>
        </w:rPr>
        <w:t>落实区委区政府中心工作及重大决策部署工作经费项目的申报严格按区财政资金管理的要求进行，该项目是</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年预算的项目，于</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月立项，项目下达资金以</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年预算批复为准。</w:t>
      </w:r>
    </w:p>
    <w:p w14:paraId="73DA4044">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（二）项目绩效目标。</w:t>
      </w:r>
      <w:r>
        <w:rPr>
          <w:rFonts w:hint="default" w:ascii="仿宋_GB2312" w:hAnsi="Times New Roman" w:eastAsia="仿宋_GB2312" w:cs="仿宋_GB2312"/>
          <w:kern w:val="2"/>
          <w:sz w:val="32"/>
          <w:szCs w:val="32"/>
          <w:lang w:val="en-US" w:eastAsia="zh-CN"/>
        </w:rPr>
        <w:t>调研围绕党的中心工作，对全区经济、政治、文化、社会、生态文明和党的建设方面的重大问题以及对村级建制调整改革、基层治理、乡村振兴、科技创新等重点项目推进进度开展调查研究，为区委、区政府决策提供参考意见。通过加强重点项目推进工作，促进当地经济发展，促进社会效益稳步提升，大大改善了当地整体形象。</w:t>
      </w:r>
    </w:p>
    <w:p w14:paraId="258F8CF1">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（三）项目资金申报相符性。</w:t>
      </w:r>
      <w:r>
        <w:rPr>
          <w:rFonts w:hint="default" w:ascii="仿宋_GB2312" w:hAnsi="Times New Roman" w:eastAsia="仿宋_GB2312" w:cs="仿宋_GB2312"/>
          <w:kern w:val="2"/>
          <w:sz w:val="32"/>
          <w:szCs w:val="32"/>
          <w:lang w:val="en-US" w:eastAsia="zh-CN"/>
        </w:rPr>
        <w:t>落实区委区政府中心工作及重大决策部署工作经费，该项目申报内容与具体实施内容相符，申报目标是合理可行的。</w:t>
      </w:r>
    </w:p>
    <w:p w14:paraId="5191D79F">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（四）自评步骤及方法</w:t>
      </w:r>
    </w:p>
    <w:p w14:paraId="6E84C20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项目支出经费依据《广元市昭化区人民政府办公室关于印发&lt;广元市昭化区财政支出事后绩效评价管理办法&gt;的通知》(昭府办函〔</w:t>
      </w:r>
      <w:r>
        <w:rPr>
          <w:rFonts w:hint="default" w:ascii="Times New Roman" w:hAnsi="Times New Roman" w:eastAsia="仿宋_GB2312" w:cs="Times New Roman"/>
          <w:kern w:val="2"/>
          <w:sz w:val="32"/>
          <w:szCs w:val="32"/>
          <w:lang w:val="en-US" w:eastAsia="zh-CN"/>
        </w:rPr>
        <w:t>2022</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37</w:t>
      </w:r>
      <w:r>
        <w:rPr>
          <w:rFonts w:hint="default" w:ascii="仿宋_GB2312" w:hAnsi="Times New Roman" w:eastAsia="仿宋_GB2312" w:cs="仿宋_GB2312"/>
          <w:kern w:val="2"/>
          <w:sz w:val="32"/>
          <w:szCs w:val="32"/>
          <w:lang w:val="en-US" w:eastAsia="zh-CN"/>
        </w:rPr>
        <w:t>号)文件自评且逐项量分。</w:t>
      </w:r>
    </w:p>
    <w:p w14:paraId="42BB061F">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二、项目实施及管理情况</w:t>
      </w:r>
    </w:p>
    <w:p w14:paraId="3C7B74B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（一）资金计划、到位及使用情况</w:t>
      </w:r>
    </w:p>
    <w:p w14:paraId="27DAF08C">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、资金计划及到位。截止</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3</w:t>
      </w:r>
      <w:r>
        <w:rPr>
          <w:rFonts w:hint="default" w:ascii="仿宋_GB2312" w:hAnsi="Times New Roman" w:eastAsia="仿宋_GB2312" w:cs="仿宋_GB2312"/>
          <w:kern w:val="2"/>
          <w:sz w:val="32"/>
          <w:szCs w:val="32"/>
          <w:lang w:val="en-US" w:eastAsia="zh-CN"/>
        </w:rPr>
        <w:t>月，预算的落实区委区政府中心工作及重大决策部署工作经费</w:t>
      </w:r>
      <w:r>
        <w:rPr>
          <w:rFonts w:hint="default" w:ascii="Times New Roman" w:hAnsi="Times New Roman" w:eastAsia="仿宋_GB2312" w:cs="Times New Roman"/>
          <w:kern w:val="2"/>
          <w:sz w:val="32"/>
          <w:szCs w:val="32"/>
          <w:lang w:val="en-US" w:eastAsia="zh-CN"/>
        </w:rPr>
        <w:t>69</w:t>
      </w:r>
      <w:r>
        <w:rPr>
          <w:rFonts w:hint="default" w:ascii="仿宋_GB2312" w:hAnsi="Times New Roman" w:eastAsia="仿宋_GB2312" w:cs="仿宋_GB2312"/>
          <w:kern w:val="2"/>
          <w:sz w:val="32"/>
          <w:szCs w:val="32"/>
          <w:lang w:val="en-US" w:eastAsia="zh-CN"/>
        </w:rPr>
        <w:t>万元，通过预算一体化平台全部到位，资金到位率</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%、资金到位及时。</w:t>
      </w:r>
    </w:p>
    <w:p w14:paraId="755F9C4E">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Times New Roman" w:hAnsi="Times New Roman" w:eastAsia="仿宋_GB2312" w:cs="Times New Roman"/>
          <w:kern w:val="2"/>
          <w:sz w:val="32"/>
          <w:szCs w:val="32"/>
          <w:lang w:val="en-US" w:eastAsia="zh-CN"/>
        </w:rPr>
        <w:t>2</w:t>
      </w:r>
      <w:r>
        <w:rPr>
          <w:rFonts w:hint="default" w:ascii="仿宋_GB2312" w:hAnsi="Times New Roman" w:eastAsia="仿宋_GB2312" w:cs="仿宋_GB2312"/>
          <w:kern w:val="2"/>
          <w:sz w:val="32"/>
          <w:szCs w:val="32"/>
          <w:lang w:val="en-US" w:eastAsia="zh-CN"/>
        </w:rPr>
        <w:t>、资金使用。截止</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w:t>
      </w:r>
      <w:r>
        <w:rPr>
          <w:rFonts w:hint="default" w:ascii="Times New Roman" w:hAnsi="Times New Roman" w:eastAsia="仿宋_GB2312" w:cs="Times New Roman"/>
          <w:kern w:val="2"/>
          <w:sz w:val="32"/>
          <w:szCs w:val="32"/>
          <w:lang w:val="en-US" w:eastAsia="zh-CN"/>
        </w:rPr>
        <w:t>12</w:t>
      </w:r>
      <w:r>
        <w:rPr>
          <w:rFonts w:hint="default" w:ascii="仿宋_GB2312" w:hAnsi="Times New Roman" w:eastAsia="仿宋_GB2312" w:cs="仿宋_GB2312"/>
          <w:kern w:val="2"/>
          <w:sz w:val="32"/>
          <w:szCs w:val="32"/>
          <w:lang w:val="en-US" w:eastAsia="zh-CN"/>
        </w:rPr>
        <w:t>月</w:t>
      </w:r>
      <w:r>
        <w:rPr>
          <w:rFonts w:hint="default" w:ascii="Times New Roman" w:hAnsi="Times New Roman" w:eastAsia="仿宋_GB2312" w:cs="Times New Roman"/>
          <w:kern w:val="2"/>
          <w:sz w:val="32"/>
          <w:szCs w:val="32"/>
          <w:lang w:val="en-US" w:eastAsia="zh-CN"/>
        </w:rPr>
        <w:t>31</w:t>
      </w:r>
      <w:r>
        <w:rPr>
          <w:rFonts w:hint="default" w:ascii="仿宋_GB2312" w:hAnsi="Times New Roman" w:eastAsia="仿宋_GB2312" w:cs="仿宋_GB2312"/>
          <w:kern w:val="2"/>
          <w:sz w:val="32"/>
          <w:szCs w:val="32"/>
          <w:lang w:val="en-US" w:eastAsia="zh-CN"/>
        </w:rPr>
        <w:t>日，支付该项目所有经费</w:t>
      </w:r>
      <w:r>
        <w:rPr>
          <w:rFonts w:hint="default" w:ascii="Times New Roman" w:hAnsi="Times New Roman" w:eastAsia="仿宋_GB2312" w:cs="Times New Roman"/>
          <w:kern w:val="2"/>
          <w:sz w:val="32"/>
          <w:szCs w:val="32"/>
          <w:lang w:val="en-US" w:eastAsia="zh-CN"/>
        </w:rPr>
        <w:t>69</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00</w:t>
      </w:r>
      <w:r>
        <w:rPr>
          <w:rFonts w:hint="default" w:ascii="仿宋_GB2312" w:hAnsi="Times New Roman" w:eastAsia="仿宋_GB2312" w:cs="仿宋_GB2312"/>
          <w:kern w:val="2"/>
          <w:sz w:val="32"/>
          <w:szCs w:val="32"/>
          <w:lang w:val="en-US" w:eastAsia="zh-CN"/>
        </w:rPr>
        <w:t>万元，</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年无结余。资金用于支付的范围、支付标准、支付进度、支付依据等合规合法，并与预算相符。</w:t>
      </w:r>
    </w:p>
    <w:p w14:paraId="63998E8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（二）项目财务管理情况</w:t>
      </w:r>
    </w:p>
    <w:p w14:paraId="223552ED">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该项经费严格按照项目财务管理制度执行、机构设置健全，会计核算及账务处理到位。严格执行财务管理制度、财务处理及时、会计核算规范。</w:t>
      </w:r>
    </w:p>
    <w:p w14:paraId="06BF6F0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(三)项目组织实施及管理情况</w:t>
      </w:r>
    </w:p>
    <w:p w14:paraId="1713852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落实区委区政府中心工作及重大决策部署工作经费项目是基本运转类项目，该项目严格按照相关制度管理和实施，项目绩效与预决算一同在互联网上公开，严格项目监管，项目进展都严格按照相关要求执行，并做好资金支付的审核审批手续；严格遵守中央、省委关于改进工作作风的中央八项规定要求，加强会议管理，控制会议时间，会议规模，能够简化会议形式的全部简化。全年无追加预算经费。</w:t>
      </w:r>
    </w:p>
    <w:p w14:paraId="0549444E">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三、项目绩效情况</w:t>
      </w:r>
      <w:r>
        <w:rPr>
          <w:rFonts w:hint="eastAsia" w:ascii="黑体" w:hAnsi="宋体" w:eastAsia="黑体" w:cs="黑体"/>
          <w:kern w:val="2"/>
          <w:sz w:val="32"/>
          <w:szCs w:val="32"/>
          <w:lang w:val="en-US" w:eastAsia="zh-CN"/>
        </w:rPr>
        <w:tab/>
      </w:r>
    </w:p>
    <w:p w14:paraId="67D42F00">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（一）项目完成情况</w:t>
      </w:r>
    </w:p>
    <w:p w14:paraId="53AE81A7">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重点项目、中心工作调研次数完成</w:t>
      </w:r>
      <w:r>
        <w:rPr>
          <w:rFonts w:hint="default" w:ascii="Times New Roman" w:hAnsi="Times New Roman" w:eastAsia="仿宋_GB2312" w:cs="Times New Roman"/>
          <w:kern w:val="2"/>
          <w:sz w:val="32"/>
          <w:szCs w:val="32"/>
          <w:lang w:val="en-US" w:eastAsia="zh-CN"/>
        </w:rPr>
        <w:t>12</w:t>
      </w:r>
      <w:r>
        <w:rPr>
          <w:rFonts w:hint="default" w:ascii="仿宋_GB2312" w:hAnsi="Times New Roman" w:eastAsia="仿宋_GB2312" w:cs="仿宋_GB2312"/>
          <w:kern w:val="2"/>
          <w:sz w:val="32"/>
          <w:szCs w:val="32"/>
          <w:lang w:val="en-US" w:eastAsia="zh-CN"/>
        </w:rPr>
        <w:t>次，重点项目督查覆盖率达</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%，重点项目、重点工作问题整改情况达</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%，该项目开展共计使用资金</w:t>
      </w:r>
      <w:r>
        <w:rPr>
          <w:rFonts w:hint="default" w:ascii="Times New Roman" w:hAnsi="Times New Roman" w:eastAsia="仿宋_GB2312" w:cs="Times New Roman"/>
          <w:kern w:val="2"/>
          <w:sz w:val="32"/>
          <w:szCs w:val="32"/>
          <w:lang w:val="en-US" w:eastAsia="zh-CN"/>
        </w:rPr>
        <w:t>69</w:t>
      </w:r>
      <w:r>
        <w:rPr>
          <w:rFonts w:hint="default" w:ascii="仿宋_GB2312" w:hAnsi="Times New Roman" w:eastAsia="仿宋_GB2312" w:cs="仿宋_GB2312"/>
          <w:kern w:val="2"/>
          <w:sz w:val="32"/>
          <w:szCs w:val="32"/>
          <w:lang w:val="en-US" w:eastAsia="zh-CN"/>
        </w:rPr>
        <w:t>万元，所有事项完成及时率达</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%，对提高群众生活水平、促进和谐社会建设成效显著。该项目完成的数量、质量、时效、成本等都实现了预期绩效目标，总体执行情况良好。</w:t>
      </w:r>
    </w:p>
    <w:p w14:paraId="76485707">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 xml:space="preserve">（二）项目效益情况。 </w:t>
      </w:r>
    </w:p>
    <w:p w14:paraId="6B78E6AB">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落实区委区政府中心工作及重大决策部署工作经费项目的实施，确保了各项工作有序推进；有效推动了我区基本建设的全面发展，较好地改善了人民的生活水平。群众满意度达到</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w:t>
      </w:r>
    </w:p>
    <w:p w14:paraId="611A7E4A">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楷体_GB2312" w:eastAsia="楷体_GB2312" w:cs="楷体_GB2312"/>
          <w:kern w:val="2"/>
          <w:sz w:val="32"/>
          <w:szCs w:val="32"/>
        </w:rPr>
      </w:pPr>
      <w:r>
        <w:rPr>
          <w:rFonts w:hint="default" w:ascii="楷体_GB2312" w:hAnsi="Times New Roman" w:eastAsia="楷体_GB2312" w:cs="楷体_GB2312"/>
          <w:kern w:val="2"/>
          <w:sz w:val="32"/>
          <w:szCs w:val="32"/>
          <w:lang w:val="en-US" w:eastAsia="zh-CN"/>
        </w:rPr>
        <w:t>（三）违规记录</w:t>
      </w:r>
    </w:p>
    <w:p w14:paraId="571C39F4">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根据自评年度审计监督、财会监督和决算审查结果反映专项预算管理合规。</w:t>
      </w:r>
    </w:p>
    <w:p w14:paraId="4C19AAA8">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eastAsia" w:ascii="黑体" w:hAnsi="宋体" w:eastAsia="黑体" w:cs="黑体"/>
          <w:kern w:val="2"/>
          <w:sz w:val="32"/>
          <w:szCs w:val="32"/>
        </w:rPr>
      </w:pPr>
      <w:r>
        <w:rPr>
          <w:rFonts w:hint="eastAsia" w:ascii="黑体" w:hAnsi="宋体" w:eastAsia="黑体" w:cs="黑体"/>
          <w:kern w:val="2"/>
          <w:sz w:val="32"/>
          <w:szCs w:val="32"/>
          <w:lang w:val="en-US" w:eastAsia="zh-CN"/>
        </w:rPr>
        <w:t>四、自评结论及建议</w:t>
      </w:r>
    </w:p>
    <w:p w14:paraId="6D7ACF9A">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（一）自评结论。</w:t>
      </w:r>
      <w:r>
        <w:rPr>
          <w:rFonts w:hint="default" w:ascii="仿宋_GB2312" w:hAnsi="Times New Roman" w:eastAsia="仿宋_GB2312" w:cs="仿宋_GB2312"/>
          <w:kern w:val="2"/>
          <w:sz w:val="32"/>
          <w:szCs w:val="32"/>
          <w:lang w:val="en-US" w:eastAsia="zh-CN"/>
        </w:rPr>
        <w:t>围绕财政资金测算和使用过程，并根据该项目的基本情况、预算明细、支出明细、绩效目标申报、部门履职完成情况、履职效果等信息对该项目资金进行绩效评价。该项目建设质量要求高，全面完成该项目的各类支付工作，运转正常，基本实现了预期绩效目标，总体执行情况良好，该项目评价得分</w:t>
      </w:r>
      <w:r>
        <w:rPr>
          <w:rFonts w:hint="default" w:ascii="Times New Roman" w:hAnsi="Times New Roman" w:eastAsia="仿宋_GB2312" w:cs="Times New Roman"/>
          <w:kern w:val="2"/>
          <w:sz w:val="32"/>
          <w:szCs w:val="32"/>
          <w:lang w:val="en-US" w:eastAsia="zh-CN"/>
        </w:rPr>
        <w:t>100</w:t>
      </w:r>
      <w:r>
        <w:rPr>
          <w:rFonts w:hint="default" w:ascii="仿宋_GB2312" w:hAnsi="Times New Roman" w:eastAsia="仿宋_GB2312" w:cs="仿宋_GB2312"/>
          <w:kern w:val="2"/>
          <w:sz w:val="32"/>
          <w:szCs w:val="32"/>
          <w:lang w:val="en-US" w:eastAsia="zh-CN"/>
        </w:rPr>
        <w:t>分。</w:t>
      </w:r>
    </w:p>
    <w:p w14:paraId="3165EA13">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（二）存在的问题。</w:t>
      </w:r>
      <w:r>
        <w:rPr>
          <w:rFonts w:hint="default" w:ascii="仿宋_GB2312" w:hAnsi="Times New Roman" w:eastAsia="仿宋_GB2312" w:cs="仿宋_GB2312"/>
          <w:kern w:val="2"/>
          <w:sz w:val="32"/>
          <w:szCs w:val="32"/>
          <w:lang w:val="en-US" w:eastAsia="zh-CN"/>
        </w:rPr>
        <w:t>管理制度有待进一步完善。</w:t>
      </w:r>
    </w:p>
    <w:p w14:paraId="2285216F">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楷体_GB2312" w:hAnsi="Times New Roman" w:eastAsia="楷体_GB2312" w:cs="楷体_GB2312"/>
          <w:kern w:val="2"/>
          <w:sz w:val="32"/>
          <w:szCs w:val="32"/>
          <w:lang w:val="en-US" w:eastAsia="zh-CN"/>
        </w:rPr>
        <w:t>（三）相关措施或建议。</w:t>
      </w:r>
      <w:r>
        <w:rPr>
          <w:rFonts w:hint="default" w:ascii="仿宋_GB2312" w:hAnsi="Times New Roman" w:eastAsia="仿宋_GB2312" w:cs="仿宋_GB2312"/>
          <w:kern w:val="2"/>
          <w:sz w:val="32"/>
          <w:szCs w:val="32"/>
          <w:lang w:val="en-US" w:eastAsia="zh-CN"/>
        </w:rPr>
        <w:t>明确项目绩效目标，细化项目管理，建立健全项目绩效制度。</w:t>
      </w:r>
    </w:p>
    <w:p w14:paraId="753CBB3C">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 xml:space="preserve"> </w:t>
      </w:r>
    </w:p>
    <w:p w14:paraId="39143CC2">
      <w:pPr>
        <w:keepNext w:val="0"/>
        <w:keepLines w:val="0"/>
        <w:widowControl w:val="0"/>
        <w:suppressLineNumbers w:val="0"/>
        <w:autoSpaceDE w:val="0"/>
        <w:autoSpaceDN/>
        <w:spacing w:before="0" w:beforeAutospacing="0" w:after="0" w:afterAutospacing="0" w:line="576" w:lineRule="exact"/>
        <w:ind w:left="0" w:right="0" w:firstLine="640" w:firstLineChars="200"/>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附件：</w:t>
      </w:r>
      <w:r>
        <w:rPr>
          <w:rFonts w:hint="default" w:ascii="Times New Roman" w:hAnsi="Times New Roman" w:eastAsia="仿宋_GB2312" w:cs="Times New Roman"/>
          <w:kern w:val="2"/>
          <w:sz w:val="32"/>
          <w:szCs w:val="32"/>
          <w:lang w:val="en-US" w:eastAsia="zh-CN"/>
        </w:rPr>
        <w:t>1</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年落实区委区政府中心工作及重大决策部署</w:t>
      </w:r>
    </w:p>
    <w:p w14:paraId="21CD294B">
      <w:pPr>
        <w:keepNext w:val="0"/>
        <w:keepLines w:val="0"/>
        <w:widowControl w:val="0"/>
        <w:suppressLineNumbers w:val="0"/>
        <w:autoSpaceDE w:val="0"/>
        <w:autoSpaceDN/>
        <w:spacing w:before="0" w:beforeAutospacing="0" w:after="0" w:afterAutospacing="0" w:line="576" w:lineRule="exact"/>
        <w:ind w:left="0" w:leftChars="0" w:right="0" w:firstLine="1859" w:firstLineChars="581"/>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工作项目支出绩效自评表</w:t>
      </w:r>
    </w:p>
    <w:p w14:paraId="751CD9AA">
      <w:pPr>
        <w:keepNext w:val="0"/>
        <w:keepLines w:val="0"/>
        <w:widowControl w:val="0"/>
        <w:suppressLineNumbers w:val="0"/>
        <w:autoSpaceDE w:val="0"/>
        <w:autoSpaceDN/>
        <w:spacing w:before="0" w:beforeAutospacing="0" w:after="0" w:afterAutospacing="0" w:line="576" w:lineRule="exact"/>
        <w:ind w:left="0" w:leftChars="0" w:right="0" w:firstLine="1577" w:firstLineChars="493"/>
        <w:jc w:val="both"/>
        <w:rPr>
          <w:rFonts w:hint="default" w:ascii="仿宋_GB2312" w:eastAsia="仿宋_GB2312" w:cs="仿宋_GB2312"/>
          <w:kern w:val="2"/>
          <w:sz w:val="32"/>
          <w:szCs w:val="32"/>
        </w:rPr>
      </w:pPr>
      <w:r>
        <w:rPr>
          <w:rFonts w:hint="default" w:ascii="Times New Roman" w:hAnsi="Times New Roman" w:eastAsia="仿宋_GB2312" w:cs="Times New Roman"/>
          <w:kern w:val="2"/>
          <w:sz w:val="32"/>
          <w:szCs w:val="32"/>
          <w:lang w:val="en-US" w:eastAsia="zh-CN"/>
        </w:rPr>
        <w:t>2</w:t>
      </w:r>
      <w:r>
        <w:rPr>
          <w:rFonts w:hint="default" w:ascii="仿宋_GB2312" w:hAnsi="Times New Roman" w:eastAsia="仿宋_GB2312" w:cs="仿宋_GB2312"/>
          <w:kern w:val="2"/>
          <w:sz w:val="32"/>
          <w:szCs w:val="32"/>
          <w:lang w:val="en-US" w:eastAsia="zh-CN"/>
        </w:rPr>
        <w:t>.</w:t>
      </w:r>
      <w:r>
        <w:rPr>
          <w:rFonts w:hint="default" w:ascii="Times New Roman" w:hAnsi="Times New Roman" w:eastAsia="仿宋_GB2312" w:cs="Times New Roman"/>
          <w:kern w:val="2"/>
          <w:sz w:val="32"/>
          <w:szCs w:val="32"/>
          <w:lang w:val="en-US" w:eastAsia="zh-CN"/>
        </w:rPr>
        <w:t>2023</w:t>
      </w:r>
      <w:r>
        <w:rPr>
          <w:rFonts w:hint="default" w:ascii="仿宋_GB2312" w:hAnsi="Times New Roman" w:eastAsia="仿宋_GB2312" w:cs="仿宋_GB2312"/>
          <w:kern w:val="2"/>
          <w:sz w:val="32"/>
          <w:szCs w:val="32"/>
          <w:lang w:val="en-US" w:eastAsia="zh-CN"/>
        </w:rPr>
        <w:t>年落实区委区政府中心工作及重大决策部署</w:t>
      </w:r>
    </w:p>
    <w:p w14:paraId="3D19B50F">
      <w:pPr>
        <w:keepNext w:val="0"/>
        <w:keepLines w:val="0"/>
        <w:widowControl w:val="0"/>
        <w:suppressLineNumbers w:val="0"/>
        <w:autoSpaceDE w:val="0"/>
        <w:autoSpaceDN/>
        <w:spacing w:before="0" w:beforeAutospacing="0" w:after="0" w:afterAutospacing="0" w:line="576" w:lineRule="exact"/>
        <w:ind w:left="0" w:leftChars="0" w:right="0" w:firstLine="1894" w:firstLineChars="592"/>
        <w:jc w:val="both"/>
        <w:rPr>
          <w:rFonts w:hint="default" w:ascii="仿宋_GB2312" w:eastAsia="仿宋_GB2312" w:cs="仿宋_GB2312"/>
          <w:kern w:val="2"/>
          <w:sz w:val="32"/>
          <w:szCs w:val="32"/>
        </w:rPr>
      </w:pPr>
      <w:r>
        <w:rPr>
          <w:rFonts w:hint="default" w:ascii="仿宋_GB2312" w:hAnsi="Times New Roman" w:eastAsia="仿宋_GB2312" w:cs="仿宋_GB2312"/>
          <w:kern w:val="2"/>
          <w:sz w:val="32"/>
          <w:szCs w:val="32"/>
          <w:lang w:val="en-US" w:eastAsia="zh-CN"/>
        </w:rPr>
        <w:t>工作项目支出绩效自评评分表</w:t>
      </w:r>
    </w:p>
    <w:p w14:paraId="4C11286B">
      <w:pPr>
        <w:pStyle w:val="11"/>
        <w:keepNext w:val="0"/>
        <w:keepLines w:val="0"/>
        <w:widowControl w:val="0"/>
        <w:suppressLineNumbers w:val="0"/>
        <w:autoSpaceDE w:val="0"/>
        <w:autoSpaceDN/>
        <w:spacing w:before="0" w:beforeAutospacing="1" w:after="0" w:afterAutospacing="0" w:line="600" w:lineRule="exact"/>
        <w:ind w:left="480" w:leftChars="200" w:right="0" w:firstLine="420"/>
        <w:jc w:val="left"/>
        <w:rPr>
          <w:rFonts w:hint="eastAsia" w:ascii="Times New Roman" w:hAnsi="Times New Roman" w:eastAsia="黑体" w:cs="Times New Roman"/>
          <w:spacing w:val="0"/>
          <w:kern w:val="2"/>
          <w:sz w:val="32"/>
          <w:szCs w:val="32"/>
        </w:rPr>
      </w:pPr>
      <w:r>
        <w:rPr>
          <w:rFonts w:hint="eastAsia" w:ascii="Times New Roman" w:hAnsi="Times New Roman" w:eastAsia="黑体" w:cs="Times New Roman"/>
          <w:spacing w:val="0"/>
          <w:kern w:val="2"/>
          <w:sz w:val="32"/>
          <w:szCs w:val="32"/>
          <w:lang w:val="en-US" w:eastAsia="zh-CN"/>
        </w:rPr>
        <w:t xml:space="preserve"> </w:t>
      </w:r>
    </w:p>
    <w:p w14:paraId="7D806BCB">
      <w:pPr>
        <w:pStyle w:val="11"/>
        <w:keepNext w:val="0"/>
        <w:keepLines w:val="0"/>
        <w:widowControl w:val="0"/>
        <w:suppressLineNumbers w:val="0"/>
        <w:autoSpaceDE w:val="0"/>
        <w:autoSpaceDN/>
        <w:spacing w:before="0" w:beforeAutospacing="1" w:after="0" w:afterAutospacing="0" w:line="600" w:lineRule="exact"/>
        <w:ind w:left="480" w:leftChars="200" w:right="0" w:firstLine="420"/>
        <w:jc w:val="left"/>
        <w:rPr>
          <w:rFonts w:hint="eastAsia" w:ascii="Times New Roman" w:hAnsi="Times New Roman" w:eastAsia="黑体" w:cs="Times New Roman"/>
          <w:spacing w:val="0"/>
          <w:kern w:val="2"/>
          <w:sz w:val="32"/>
          <w:szCs w:val="32"/>
        </w:rPr>
      </w:pPr>
      <w:r>
        <w:rPr>
          <w:rFonts w:hint="eastAsia" w:ascii="Times New Roman" w:hAnsi="Times New Roman" w:eastAsia="黑体" w:cs="Times New Roman"/>
          <w:spacing w:val="0"/>
          <w:kern w:val="2"/>
          <w:sz w:val="32"/>
          <w:szCs w:val="32"/>
          <w:lang w:val="en-US" w:eastAsia="zh-CN"/>
        </w:rPr>
        <w:t xml:space="preserve"> </w:t>
      </w:r>
    </w:p>
    <w:p w14:paraId="32CA5600">
      <w:pPr>
        <w:keepNext w:val="0"/>
        <w:keepLines w:val="0"/>
        <w:widowControl w:val="0"/>
        <w:suppressLineNumbers w:val="0"/>
        <w:wordWrap w:val="0"/>
        <w:autoSpaceDE w:val="0"/>
        <w:autoSpaceDN/>
        <w:spacing w:before="0" w:beforeAutospacing="0" w:after="0" w:afterAutospacing="0" w:line="600" w:lineRule="exact"/>
        <w:ind w:left="0" w:right="0" w:firstLine="640" w:firstLineChars="200"/>
        <w:jc w:val="right"/>
        <w:rPr>
          <w:rFonts w:hint="default" w:ascii="Times New Roman" w:hAnsi="Times New Roman" w:eastAsia="仿宋_GB2312" w:cs="Times New Roman"/>
          <w:spacing w:val="0"/>
          <w:kern w:val="2"/>
          <w:sz w:val="32"/>
          <w:szCs w:val="32"/>
        </w:rPr>
      </w:pPr>
      <w:r>
        <w:rPr>
          <w:rFonts w:hint="default" w:ascii="仿宋_GB2312" w:hAnsi="Times New Roman" w:eastAsia="仿宋_GB2312" w:cs="仿宋_GB2312"/>
          <w:spacing w:val="0"/>
          <w:kern w:val="2"/>
          <w:sz w:val="32"/>
          <w:szCs w:val="32"/>
          <w:lang w:val="en-US" w:eastAsia="zh-CN"/>
        </w:rPr>
        <w:t>中共广元市昭化区委办公室</w:t>
      </w:r>
    </w:p>
    <w:p w14:paraId="7294A590">
      <w:pPr>
        <w:keepNext w:val="0"/>
        <w:keepLines w:val="0"/>
        <w:widowControl w:val="0"/>
        <w:suppressLineNumbers w:val="0"/>
        <w:wordWrap w:val="0"/>
        <w:autoSpaceDE w:val="0"/>
        <w:autoSpaceDN/>
        <w:spacing w:before="0" w:beforeAutospacing="0" w:after="0" w:afterAutospacing="0" w:line="600" w:lineRule="exact"/>
        <w:ind w:left="0" w:right="0" w:firstLine="640" w:firstLineChars="200"/>
        <w:jc w:val="right"/>
        <w:rPr>
          <w:rFonts w:hint="default" w:ascii="Times New Roman" w:hAnsi="Times New Roman" w:eastAsia="仿宋_GB2312" w:cs="Times New Roman"/>
          <w:spacing w:val="0"/>
          <w:kern w:val="2"/>
          <w:sz w:val="32"/>
          <w:szCs w:val="32"/>
        </w:rPr>
      </w:pPr>
      <w:r>
        <w:rPr>
          <w:rFonts w:hint="default" w:ascii="Times New Roman" w:hAnsi="Times New Roman" w:eastAsia="仿宋_GB2312" w:cs="Times New Roman"/>
          <w:spacing w:val="0"/>
          <w:kern w:val="2"/>
          <w:sz w:val="32"/>
          <w:szCs w:val="32"/>
          <w:lang w:val="en-US" w:eastAsia="zh-CN"/>
        </w:rPr>
        <w:t>2024</w:t>
      </w:r>
      <w:r>
        <w:rPr>
          <w:rFonts w:hint="default" w:ascii="仿宋_GB2312" w:hAnsi="Times New Roman" w:eastAsia="仿宋_GB2312" w:cs="仿宋_GB2312"/>
          <w:spacing w:val="0"/>
          <w:kern w:val="2"/>
          <w:sz w:val="32"/>
          <w:szCs w:val="32"/>
          <w:lang w:val="en-US" w:eastAsia="zh-CN"/>
        </w:rPr>
        <w:t>年</w:t>
      </w:r>
      <w:r>
        <w:rPr>
          <w:rFonts w:hint="default" w:ascii="Times New Roman" w:hAnsi="Times New Roman" w:eastAsia="仿宋_GB2312" w:cs="Times New Roman"/>
          <w:spacing w:val="0"/>
          <w:kern w:val="2"/>
          <w:sz w:val="32"/>
          <w:szCs w:val="32"/>
          <w:lang w:val="en-US" w:eastAsia="zh-CN"/>
        </w:rPr>
        <w:t>5</w:t>
      </w:r>
      <w:r>
        <w:rPr>
          <w:rFonts w:hint="default" w:ascii="仿宋_GB2312" w:hAnsi="Times New Roman" w:eastAsia="仿宋_GB2312" w:cs="仿宋_GB2312"/>
          <w:spacing w:val="0"/>
          <w:kern w:val="2"/>
          <w:sz w:val="32"/>
          <w:szCs w:val="32"/>
          <w:lang w:val="en-US" w:eastAsia="zh-CN"/>
        </w:rPr>
        <w:t>月</w:t>
      </w:r>
      <w:r>
        <w:rPr>
          <w:rFonts w:hint="default" w:ascii="Times New Roman" w:hAnsi="Times New Roman" w:eastAsia="仿宋_GB2312" w:cs="Times New Roman"/>
          <w:spacing w:val="0"/>
          <w:kern w:val="2"/>
          <w:sz w:val="32"/>
          <w:szCs w:val="32"/>
          <w:lang w:val="en-US" w:eastAsia="zh-CN"/>
        </w:rPr>
        <w:t>8</w:t>
      </w:r>
      <w:r>
        <w:rPr>
          <w:rFonts w:hint="default" w:ascii="仿宋_GB2312" w:hAnsi="Times New Roman" w:eastAsia="仿宋_GB2312" w:cs="仿宋_GB2312"/>
          <w:spacing w:val="0"/>
          <w:kern w:val="2"/>
          <w:sz w:val="32"/>
          <w:szCs w:val="32"/>
          <w:lang w:val="en-US" w:eastAsia="zh-CN"/>
        </w:rPr>
        <w:t>日</w:t>
      </w:r>
    </w:p>
    <w:p w14:paraId="29EBD2D6">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b w:val="0"/>
          <w:bCs w:val="0"/>
          <w:kern w:val="2"/>
          <w:sz w:val="32"/>
          <w:szCs w:val="32"/>
        </w:rPr>
      </w:pPr>
      <w:r>
        <w:rPr>
          <w:rFonts w:hint="eastAsia" w:ascii="仿宋" w:hAnsi="仿宋" w:eastAsia="仿宋" w:cs="仿宋"/>
          <w:b w:val="0"/>
          <w:bCs w:val="0"/>
          <w:kern w:val="2"/>
          <w:sz w:val="32"/>
          <w:szCs w:val="32"/>
          <w:lang w:val="en-US" w:eastAsia="zh-CN"/>
        </w:rPr>
        <w:t xml:space="preserve"> </w:t>
      </w:r>
    </w:p>
    <w:p w14:paraId="167EE0DA">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b w:val="0"/>
          <w:bCs w:val="0"/>
          <w:kern w:val="2"/>
          <w:sz w:val="32"/>
          <w:szCs w:val="32"/>
        </w:rPr>
      </w:pPr>
      <w:r>
        <w:rPr>
          <w:rFonts w:hint="eastAsia" w:ascii="仿宋" w:hAnsi="仿宋" w:eastAsia="仿宋" w:cs="仿宋"/>
          <w:b w:val="0"/>
          <w:bCs w:val="0"/>
          <w:kern w:val="2"/>
          <w:sz w:val="32"/>
          <w:szCs w:val="32"/>
          <w:lang w:val="en-US" w:eastAsia="zh-CN"/>
        </w:rPr>
        <w:t xml:space="preserve"> </w:t>
      </w:r>
    </w:p>
    <w:p w14:paraId="4B977E49">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b w:val="0"/>
          <w:bCs w:val="0"/>
          <w:kern w:val="2"/>
          <w:sz w:val="32"/>
          <w:szCs w:val="32"/>
        </w:rPr>
      </w:pPr>
      <w:r>
        <w:rPr>
          <w:rFonts w:hint="eastAsia" w:ascii="仿宋" w:hAnsi="仿宋" w:eastAsia="仿宋" w:cs="仿宋"/>
          <w:b w:val="0"/>
          <w:bCs w:val="0"/>
          <w:kern w:val="2"/>
          <w:sz w:val="32"/>
          <w:szCs w:val="32"/>
          <w:lang w:val="en-US" w:eastAsia="zh-CN"/>
        </w:rPr>
        <w:t xml:space="preserve"> </w:t>
      </w:r>
    </w:p>
    <w:p w14:paraId="6C5D342E">
      <w:pPr>
        <w:keepNext w:val="0"/>
        <w:keepLines w:val="0"/>
        <w:widowControl w:val="0"/>
        <w:suppressLineNumbers w:val="0"/>
        <w:spacing w:before="0" w:beforeAutospacing="0" w:after="0" w:afterAutospacing="0"/>
        <w:ind w:right="0"/>
        <w:jc w:val="both"/>
        <w:rPr>
          <w:rFonts w:hint="eastAsia" w:ascii="黑体" w:hAnsi="宋体" w:eastAsia="黑体" w:cs="黑体"/>
          <w:b w:val="0"/>
          <w:bCs w:val="0"/>
          <w:kern w:val="2"/>
          <w:sz w:val="32"/>
          <w:szCs w:val="32"/>
        </w:rPr>
      </w:pPr>
      <w:r>
        <w:rPr>
          <w:rFonts w:hint="eastAsia" w:ascii="黑体" w:hAnsi="宋体" w:eastAsia="黑体" w:cs="黑体"/>
          <w:b w:val="0"/>
          <w:bCs w:val="0"/>
          <w:kern w:val="2"/>
          <w:sz w:val="32"/>
          <w:szCs w:val="32"/>
          <w:lang w:val="en-US" w:eastAsia="zh-CN"/>
        </w:rPr>
        <w:t>附件1</w:t>
      </w:r>
    </w:p>
    <w:p w14:paraId="664128B6">
      <w:pPr>
        <w:keepNext w:val="0"/>
        <w:keepLines w:val="0"/>
        <w:widowControl/>
        <w:suppressLineNumbers w:val="0"/>
        <w:autoSpaceDE w:val="0"/>
        <w:autoSpaceDN/>
        <w:spacing w:before="0" w:beforeAutospacing="0" w:after="0" w:afterAutospacing="0" w:line="400" w:lineRule="exact"/>
        <w:ind w:left="0" w:right="0"/>
        <w:jc w:val="center"/>
        <w:textAlignment w:val="center"/>
        <w:rPr>
          <w:rFonts w:hint="eastAsia" w:ascii="方正小标宋简体" w:hAnsi="方正小标宋简体" w:eastAsia="方正小标宋简体" w:cs="方正小标宋简体"/>
          <w:i w:val="0"/>
          <w:iCs w:val="0"/>
          <w:color w:val="000000"/>
          <w:spacing w:val="-11"/>
          <w:kern w:val="0"/>
          <w:sz w:val="44"/>
          <w:szCs w:val="44"/>
        </w:rPr>
      </w:pPr>
      <w:r>
        <w:rPr>
          <w:rFonts w:hint="eastAsia" w:ascii="方正小标宋简体" w:hAnsi="方正小标宋简体" w:eastAsia="方正小标宋简体" w:cs="方正小标宋简体"/>
          <w:i w:val="0"/>
          <w:iCs w:val="0"/>
          <w:color w:val="000000"/>
          <w:spacing w:val="-11"/>
          <w:kern w:val="0"/>
          <w:sz w:val="44"/>
          <w:szCs w:val="44"/>
          <w:lang w:val="en-US" w:eastAsia="zh-CN"/>
        </w:rPr>
        <w:t xml:space="preserve"> </w:t>
      </w:r>
    </w:p>
    <w:p w14:paraId="249CFB6E">
      <w:pPr>
        <w:keepNext w:val="0"/>
        <w:keepLines w:val="0"/>
        <w:widowControl/>
        <w:suppressLineNumbers w:val="0"/>
        <w:autoSpaceDE w:val="0"/>
        <w:autoSpaceDN/>
        <w:spacing w:before="0" w:beforeAutospacing="0" w:after="0" w:afterAutospacing="0" w:line="576" w:lineRule="exact"/>
        <w:ind w:left="0" w:right="0"/>
        <w:jc w:val="center"/>
        <w:textAlignment w:val="center"/>
        <w:rPr>
          <w:rFonts w:hint="eastAsia" w:ascii="方正小标宋简体" w:hAnsi="方正小标宋简体" w:eastAsia="方正小标宋简体" w:cs="方正小标宋简体"/>
          <w:i w:val="0"/>
          <w:iCs w:val="0"/>
          <w:color w:val="000000"/>
          <w:spacing w:val="-11"/>
          <w:kern w:val="2"/>
          <w:sz w:val="44"/>
          <w:szCs w:val="44"/>
        </w:rPr>
      </w:pPr>
      <w:r>
        <w:rPr>
          <w:rFonts w:hint="eastAsia" w:ascii="方正小标宋简体" w:hAnsi="方正小标宋简体" w:eastAsia="方正小标宋简体" w:cs="方正小标宋简体"/>
          <w:i w:val="0"/>
          <w:iCs w:val="0"/>
          <w:color w:val="000000"/>
          <w:spacing w:val="-11"/>
          <w:kern w:val="0"/>
          <w:sz w:val="44"/>
          <w:szCs w:val="44"/>
          <w:lang w:val="en-US" w:eastAsia="zh-CN"/>
        </w:rPr>
        <w:t>广元市昭化区财政项目（政策）支出绩效自评表</w:t>
      </w:r>
    </w:p>
    <w:p w14:paraId="45295BDB">
      <w:pPr>
        <w:keepNext w:val="0"/>
        <w:keepLines w:val="0"/>
        <w:widowControl/>
        <w:suppressLineNumbers w:val="0"/>
        <w:autoSpaceDE w:val="0"/>
        <w:autoSpaceDN/>
        <w:spacing w:before="0" w:beforeAutospacing="0" w:after="0" w:afterAutospacing="0" w:line="576" w:lineRule="exact"/>
        <w:ind w:left="0" w:right="0"/>
        <w:jc w:val="center"/>
        <w:textAlignment w:val="top"/>
        <w:rPr>
          <w:rFonts w:hint="eastAsia" w:ascii="宋体" w:hAnsi="宋体" w:eastAsia="宋体" w:cs="宋体"/>
          <w:b/>
          <w:bCs/>
          <w:i w:val="0"/>
          <w:iCs w:val="0"/>
          <w:color w:val="000000"/>
          <w:kern w:val="2"/>
          <w:sz w:val="24"/>
          <w:szCs w:val="24"/>
        </w:rPr>
      </w:pPr>
      <w:r>
        <w:rPr>
          <w:rFonts w:hint="eastAsia" w:ascii="宋体" w:hAnsi="宋体" w:eastAsia="宋体" w:cs="宋体"/>
          <w:b/>
          <w:bCs/>
          <w:i w:val="0"/>
          <w:iCs w:val="0"/>
          <w:color w:val="000000"/>
          <w:kern w:val="0"/>
          <w:sz w:val="24"/>
          <w:szCs w:val="24"/>
          <w:lang w:val="en-US" w:eastAsia="zh-CN"/>
        </w:rPr>
        <w:t>（2023年度）</w:t>
      </w:r>
    </w:p>
    <w:tbl>
      <w:tblPr>
        <w:tblStyle w:val="13"/>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3"/>
        <w:gridCol w:w="852"/>
        <w:gridCol w:w="1129"/>
        <w:gridCol w:w="1140"/>
        <w:gridCol w:w="2038"/>
        <w:gridCol w:w="1380"/>
        <w:gridCol w:w="1320"/>
        <w:gridCol w:w="1233"/>
      </w:tblGrid>
      <w:tr w14:paraId="09753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3130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项目（政策）名称</w:t>
            </w:r>
          </w:p>
        </w:tc>
        <w:tc>
          <w:tcPr>
            <w:tcW w:w="8240" w:type="dxa"/>
            <w:gridSpan w:val="6"/>
            <w:tcBorders>
              <w:top w:val="single" w:color="000000" w:sz="4" w:space="0"/>
              <w:left w:val="nil"/>
              <w:bottom w:val="single" w:color="000000" w:sz="4" w:space="0"/>
              <w:right w:val="single" w:color="000000" w:sz="4" w:space="0"/>
            </w:tcBorders>
            <w:shd w:val="clear" w:color="auto" w:fill="auto"/>
            <w:vAlign w:val="center"/>
          </w:tcPr>
          <w:p w14:paraId="0A42E9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落实区委区政府中心工作及重大决策部署工作经费</w:t>
            </w:r>
          </w:p>
        </w:tc>
      </w:tr>
      <w:tr w14:paraId="3945D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9B4C7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主管部门</w:t>
            </w:r>
          </w:p>
        </w:tc>
        <w:tc>
          <w:tcPr>
            <w:tcW w:w="4307" w:type="dxa"/>
            <w:gridSpan w:val="3"/>
            <w:tcBorders>
              <w:top w:val="single" w:color="000000" w:sz="4" w:space="0"/>
              <w:left w:val="nil"/>
              <w:bottom w:val="single" w:color="000000" w:sz="4" w:space="0"/>
              <w:right w:val="single" w:color="000000" w:sz="4" w:space="0"/>
            </w:tcBorders>
            <w:shd w:val="clear" w:color="auto" w:fill="auto"/>
            <w:vAlign w:val="center"/>
          </w:tcPr>
          <w:p w14:paraId="595D83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中共广元市昭化区委办公室</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51675B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实施单位</w:t>
            </w:r>
          </w:p>
        </w:tc>
        <w:tc>
          <w:tcPr>
            <w:tcW w:w="2553" w:type="dxa"/>
            <w:gridSpan w:val="2"/>
            <w:tcBorders>
              <w:top w:val="single" w:color="000000" w:sz="4" w:space="0"/>
              <w:left w:val="nil"/>
              <w:bottom w:val="single" w:color="000000" w:sz="4" w:space="0"/>
              <w:right w:val="single" w:color="000000" w:sz="4" w:space="0"/>
            </w:tcBorders>
            <w:shd w:val="clear" w:color="auto" w:fill="auto"/>
            <w:noWrap/>
            <w:vAlign w:val="center"/>
          </w:tcPr>
          <w:p w14:paraId="0EDD77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中共广元市昭化区委办公室</w:t>
            </w:r>
          </w:p>
        </w:tc>
      </w:tr>
      <w:tr w14:paraId="20701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5" w:type="dxa"/>
            <w:gridSpan w:val="2"/>
            <w:vMerge w:val="restart"/>
            <w:tcBorders>
              <w:top w:val="nil"/>
              <w:left w:val="single" w:color="000000" w:sz="4" w:space="0"/>
              <w:bottom w:val="nil"/>
              <w:right w:val="single" w:color="000000" w:sz="4" w:space="0"/>
            </w:tcBorders>
            <w:shd w:val="clear" w:color="auto" w:fill="auto"/>
            <w:vAlign w:val="center"/>
          </w:tcPr>
          <w:p w14:paraId="2AEE5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项目（政策）资金（万元）</w:t>
            </w:r>
          </w:p>
        </w:tc>
        <w:tc>
          <w:tcPr>
            <w:tcW w:w="2269" w:type="dxa"/>
            <w:gridSpan w:val="2"/>
            <w:tcBorders>
              <w:top w:val="nil"/>
              <w:left w:val="nil"/>
              <w:bottom w:val="single" w:color="000000" w:sz="4" w:space="0"/>
              <w:right w:val="single" w:color="000000" w:sz="4" w:space="0"/>
            </w:tcBorders>
            <w:shd w:val="clear" w:color="auto" w:fill="auto"/>
            <w:vAlign w:val="center"/>
          </w:tcPr>
          <w:p w14:paraId="75E948F7">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年度预算数（万元）</w:t>
            </w:r>
          </w:p>
        </w:tc>
        <w:tc>
          <w:tcPr>
            <w:tcW w:w="2038" w:type="dxa"/>
            <w:tcBorders>
              <w:top w:val="nil"/>
              <w:left w:val="nil"/>
              <w:bottom w:val="single" w:color="000000" w:sz="4" w:space="0"/>
              <w:right w:val="single" w:color="000000" w:sz="4" w:space="0"/>
            </w:tcBorders>
            <w:shd w:val="clear" w:color="auto" w:fill="auto"/>
            <w:vAlign w:val="center"/>
          </w:tcPr>
          <w:p w14:paraId="543E09FD">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年初预算数</w:t>
            </w:r>
          </w:p>
        </w:tc>
        <w:tc>
          <w:tcPr>
            <w:tcW w:w="1380" w:type="dxa"/>
            <w:tcBorders>
              <w:top w:val="nil"/>
              <w:left w:val="nil"/>
              <w:bottom w:val="single" w:color="000000" w:sz="4" w:space="0"/>
              <w:right w:val="single" w:color="000000" w:sz="4" w:space="0"/>
            </w:tcBorders>
            <w:shd w:val="clear" w:color="auto" w:fill="auto"/>
            <w:vAlign w:val="center"/>
          </w:tcPr>
          <w:p w14:paraId="7E178230">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全年预算数</w:t>
            </w:r>
          </w:p>
        </w:tc>
        <w:tc>
          <w:tcPr>
            <w:tcW w:w="1320" w:type="dxa"/>
            <w:tcBorders>
              <w:top w:val="nil"/>
              <w:left w:val="nil"/>
              <w:bottom w:val="single" w:color="000000" w:sz="4" w:space="0"/>
              <w:right w:val="single" w:color="000000" w:sz="4" w:space="0"/>
            </w:tcBorders>
            <w:shd w:val="clear" w:color="auto" w:fill="auto"/>
            <w:vAlign w:val="center"/>
          </w:tcPr>
          <w:p w14:paraId="681FCE66">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全年执行数</w:t>
            </w:r>
          </w:p>
        </w:tc>
        <w:tc>
          <w:tcPr>
            <w:tcW w:w="1233" w:type="dxa"/>
            <w:tcBorders>
              <w:top w:val="nil"/>
              <w:left w:val="nil"/>
              <w:bottom w:val="single" w:color="000000" w:sz="4" w:space="0"/>
              <w:right w:val="single" w:color="000000" w:sz="4" w:space="0"/>
            </w:tcBorders>
            <w:shd w:val="clear" w:color="auto" w:fill="auto"/>
            <w:vAlign w:val="center"/>
          </w:tcPr>
          <w:p w14:paraId="30016B51">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执行率</w:t>
            </w:r>
          </w:p>
        </w:tc>
      </w:tr>
      <w:tr w14:paraId="0DA13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5848745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0BF8A98C">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年度资金总额</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6743B8EF">
            <w:pPr>
              <w:keepNext w:val="0"/>
              <w:keepLines w:val="0"/>
              <w:widowControl/>
              <w:suppressLineNumbers w:val="0"/>
              <w:autoSpaceDE w:val="0"/>
              <w:autoSpaceDN/>
              <w:spacing w:before="0" w:beforeAutospacing="0" w:after="0" w:afterAutospacing="0" w:line="250" w:lineRule="exact"/>
              <w:ind w:left="0" w:right="0"/>
              <w:jc w:val="both"/>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0E226C07">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528357A2">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w:t>
            </w:r>
          </w:p>
        </w:tc>
        <w:tc>
          <w:tcPr>
            <w:tcW w:w="1233" w:type="dxa"/>
            <w:tcBorders>
              <w:top w:val="nil"/>
              <w:left w:val="nil"/>
              <w:bottom w:val="single" w:color="000000" w:sz="4" w:space="0"/>
              <w:right w:val="single" w:color="000000" w:sz="4" w:space="0"/>
            </w:tcBorders>
            <w:shd w:val="clear" w:color="auto" w:fill="auto"/>
            <w:vAlign w:val="center"/>
          </w:tcPr>
          <w:p w14:paraId="3CB1A39B">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r>
      <w:tr w14:paraId="7E619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365600D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369234E3">
            <w:pPr>
              <w:keepNext w:val="0"/>
              <w:keepLines w:val="0"/>
              <w:widowControl/>
              <w:suppressLineNumbers w:val="0"/>
              <w:autoSpaceDE w:val="0"/>
              <w:autoSpaceDN/>
              <w:spacing w:before="0" w:beforeAutospacing="0" w:after="0" w:afterAutospacing="0" w:line="25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（一）财政拨款小计</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5547FB67">
            <w:pPr>
              <w:keepNext w:val="0"/>
              <w:keepLines w:val="0"/>
              <w:widowControl/>
              <w:suppressLineNumbers w:val="0"/>
              <w:autoSpaceDE w:val="0"/>
              <w:autoSpaceDN/>
              <w:spacing w:before="0" w:beforeAutospacing="0" w:after="0" w:afterAutospacing="0" w:line="25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7D25E2C6">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126921D3">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60C8824A">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r>
      <w:tr w14:paraId="0514D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3A39360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27A90C39">
            <w:pPr>
              <w:keepNext w:val="0"/>
              <w:keepLines w:val="0"/>
              <w:widowControl/>
              <w:suppressLineNumbers w:val="0"/>
              <w:autoSpaceDE w:val="0"/>
              <w:autoSpaceDN/>
              <w:spacing w:before="0" w:beforeAutospacing="0" w:after="0" w:afterAutospacing="0" w:line="25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1.一般公共预算</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58E4DB03">
            <w:pPr>
              <w:keepNext w:val="0"/>
              <w:keepLines w:val="0"/>
              <w:widowControl/>
              <w:suppressLineNumbers w:val="0"/>
              <w:autoSpaceDE w:val="0"/>
              <w:autoSpaceDN/>
              <w:spacing w:before="0" w:beforeAutospacing="0" w:after="0" w:afterAutospacing="0" w:line="25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029E673C">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5F6F06FF">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0453EB84">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r>
      <w:tr w14:paraId="11A86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07DC164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78304360">
            <w:pPr>
              <w:keepNext w:val="0"/>
              <w:keepLines w:val="0"/>
              <w:widowControl/>
              <w:suppressLineNumbers w:val="0"/>
              <w:autoSpaceDE w:val="0"/>
              <w:autoSpaceDN/>
              <w:spacing w:before="0" w:beforeAutospacing="0" w:after="0" w:afterAutospacing="0" w:line="25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2.政府性基金</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7365612C">
            <w:pPr>
              <w:keepNext w:val="0"/>
              <w:keepLines w:val="0"/>
              <w:widowControl/>
              <w:suppressLineNumbers w:val="0"/>
              <w:autoSpaceDE w:val="0"/>
              <w:autoSpaceDN/>
              <w:spacing w:before="0" w:beforeAutospacing="0" w:after="0" w:afterAutospacing="0" w:line="250" w:lineRule="exact"/>
              <w:ind w:left="0" w:right="0"/>
              <w:jc w:val="left"/>
              <w:rPr>
                <w:rFonts w:hint="eastAsia" w:ascii="宋体" w:hAnsi="宋体" w:eastAsia="宋体" w:cs="宋体"/>
                <w:i w:val="0"/>
                <w:iCs w:val="0"/>
                <w:color w:val="000000"/>
                <w:kern w:val="2"/>
                <w:sz w:val="18"/>
                <w:szCs w:val="18"/>
              </w:rPr>
            </w:pP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52124706">
            <w:pPr>
              <w:keepNext w:val="0"/>
              <w:keepLines w:val="0"/>
              <w:widowControl/>
              <w:suppressLineNumbers w:val="0"/>
              <w:autoSpaceDE w:val="0"/>
              <w:autoSpaceDN/>
              <w:spacing w:before="0" w:beforeAutospacing="0" w:after="0" w:afterAutospacing="0" w:line="250" w:lineRule="exact"/>
              <w:ind w:left="0" w:right="0"/>
              <w:jc w:val="center"/>
              <w:rPr>
                <w:rFonts w:hint="eastAsia" w:ascii="宋体" w:hAnsi="宋体" w:eastAsia="宋体" w:cs="宋体"/>
                <w:i w:val="0"/>
                <w:iCs w:val="0"/>
                <w:color w:val="000000"/>
                <w:kern w:val="2"/>
                <w:sz w:val="18"/>
                <w:szCs w:val="18"/>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7842865E">
            <w:pPr>
              <w:keepNext w:val="0"/>
              <w:keepLines w:val="0"/>
              <w:widowControl/>
              <w:suppressLineNumbers w:val="0"/>
              <w:autoSpaceDE w:val="0"/>
              <w:autoSpaceDN/>
              <w:spacing w:before="0" w:beforeAutospacing="0" w:after="0" w:afterAutospacing="0" w:line="250" w:lineRule="exact"/>
              <w:ind w:left="0" w:right="0"/>
              <w:jc w:val="center"/>
              <w:rPr>
                <w:rFonts w:hint="eastAsia" w:ascii="宋体" w:hAnsi="宋体" w:eastAsia="宋体" w:cs="宋体"/>
                <w:i w:val="0"/>
                <w:iCs w:val="0"/>
                <w:color w:val="000000"/>
                <w:kern w:val="2"/>
                <w:sz w:val="18"/>
                <w:szCs w:val="18"/>
              </w:rPr>
            </w:pP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73169F04">
            <w:pPr>
              <w:keepNext w:val="0"/>
              <w:keepLines w:val="0"/>
              <w:widowControl/>
              <w:suppressLineNumbers w:val="0"/>
              <w:autoSpaceDE w:val="0"/>
              <w:autoSpaceDN/>
              <w:spacing w:before="0" w:beforeAutospacing="0" w:after="0" w:afterAutospacing="0" w:line="250" w:lineRule="exact"/>
              <w:ind w:left="0" w:right="0"/>
              <w:jc w:val="center"/>
              <w:rPr>
                <w:rFonts w:hint="eastAsia" w:ascii="宋体" w:hAnsi="宋体" w:eastAsia="宋体" w:cs="宋体"/>
                <w:i w:val="0"/>
                <w:iCs w:val="0"/>
                <w:color w:val="000000"/>
                <w:kern w:val="2"/>
                <w:sz w:val="18"/>
                <w:szCs w:val="18"/>
              </w:rPr>
            </w:pPr>
          </w:p>
        </w:tc>
      </w:tr>
      <w:tr w14:paraId="275D5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55FE6CE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14ADB05C">
            <w:pPr>
              <w:keepNext w:val="0"/>
              <w:keepLines w:val="0"/>
              <w:widowControl/>
              <w:suppressLineNumbers w:val="0"/>
              <w:autoSpaceDE w:val="0"/>
              <w:autoSpaceDN/>
              <w:spacing w:before="0" w:beforeAutospacing="0" w:after="0" w:afterAutospacing="0" w:line="25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 xml:space="preserve">   3.国有资本经营预算</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238C2294">
            <w:pPr>
              <w:keepNext w:val="0"/>
              <w:keepLines w:val="0"/>
              <w:widowControl/>
              <w:suppressLineNumbers w:val="0"/>
              <w:autoSpaceDE w:val="0"/>
              <w:autoSpaceDN/>
              <w:spacing w:before="0" w:beforeAutospacing="0" w:after="0" w:afterAutospacing="0" w:line="250" w:lineRule="exact"/>
              <w:ind w:left="0" w:right="0"/>
              <w:jc w:val="left"/>
              <w:rPr>
                <w:rFonts w:hint="eastAsia" w:ascii="宋体" w:hAnsi="宋体" w:eastAsia="宋体" w:cs="宋体"/>
                <w:i w:val="0"/>
                <w:iCs w:val="0"/>
                <w:color w:val="000000"/>
                <w:kern w:val="2"/>
                <w:sz w:val="18"/>
                <w:szCs w:val="18"/>
              </w:rPr>
            </w:pP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5C64F207">
            <w:pPr>
              <w:keepNext w:val="0"/>
              <w:keepLines w:val="0"/>
              <w:widowControl/>
              <w:suppressLineNumbers w:val="0"/>
              <w:autoSpaceDE w:val="0"/>
              <w:autoSpaceDN/>
              <w:spacing w:before="0" w:beforeAutospacing="0" w:after="0" w:afterAutospacing="0" w:line="250" w:lineRule="exact"/>
              <w:ind w:left="0" w:right="0"/>
              <w:jc w:val="center"/>
              <w:rPr>
                <w:rFonts w:hint="eastAsia" w:ascii="宋体" w:hAnsi="宋体" w:eastAsia="宋体" w:cs="宋体"/>
                <w:i w:val="0"/>
                <w:iCs w:val="0"/>
                <w:color w:val="000000"/>
                <w:kern w:val="2"/>
                <w:sz w:val="18"/>
                <w:szCs w:val="18"/>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04D05FA6">
            <w:pPr>
              <w:keepNext w:val="0"/>
              <w:keepLines w:val="0"/>
              <w:widowControl/>
              <w:suppressLineNumbers w:val="0"/>
              <w:autoSpaceDE w:val="0"/>
              <w:autoSpaceDN/>
              <w:spacing w:before="0" w:beforeAutospacing="0" w:after="0" w:afterAutospacing="0" w:line="250" w:lineRule="exact"/>
              <w:ind w:left="0" w:right="0"/>
              <w:jc w:val="center"/>
              <w:rPr>
                <w:rFonts w:hint="eastAsia" w:ascii="宋体" w:hAnsi="宋体" w:eastAsia="宋体" w:cs="宋体"/>
                <w:i w:val="0"/>
                <w:iCs w:val="0"/>
                <w:color w:val="000000"/>
                <w:kern w:val="2"/>
                <w:sz w:val="18"/>
                <w:szCs w:val="18"/>
              </w:rPr>
            </w:pP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01A3840A">
            <w:pPr>
              <w:keepNext w:val="0"/>
              <w:keepLines w:val="0"/>
              <w:widowControl/>
              <w:suppressLineNumbers w:val="0"/>
              <w:autoSpaceDE w:val="0"/>
              <w:autoSpaceDN/>
              <w:spacing w:before="0" w:beforeAutospacing="0" w:after="0" w:afterAutospacing="0" w:line="250" w:lineRule="exact"/>
              <w:ind w:left="0" w:right="0"/>
              <w:jc w:val="center"/>
              <w:rPr>
                <w:rFonts w:hint="eastAsia" w:ascii="宋体" w:hAnsi="宋体" w:eastAsia="宋体" w:cs="宋体"/>
                <w:i w:val="0"/>
                <w:iCs w:val="0"/>
                <w:color w:val="000000"/>
                <w:kern w:val="2"/>
                <w:sz w:val="18"/>
                <w:szCs w:val="18"/>
              </w:rPr>
            </w:pPr>
          </w:p>
        </w:tc>
      </w:tr>
      <w:tr w14:paraId="2F8BF5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1615" w:type="dxa"/>
            <w:gridSpan w:val="2"/>
            <w:vMerge w:val="continue"/>
            <w:tcBorders>
              <w:top w:val="nil"/>
              <w:left w:val="single" w:color="000000" w:sz="4" w:space="0"/>
              <w:bottom w:val="nil"/>
              <w:right w:val="single" w:color="000000" w:sz="4" w:space="0"/>
            </w:tcBorders>
            <w:shd w:val="clear" w:color="auto" w:fill="auto"/>
            <w:vAlign w:val="center"/>
          </w:tcPr>
          <w:p w14:paraId="5C6F640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269" w:type="dxa"/>
            <w:gridSpan w:val="2"/>
            <w:tcBorders>
              <w:top w:val="single" w:color="000000" w:sz="4" w:space="0"/>
              <w:left w:val="nil"/>
              <w:bottom w:val="single" w:color="000000" w:sz="4" w:space="0"/>
              <w:right w:val="single" w:color="000000" w:sz="4" w:space="0"/>
            </w:tcBorders>
            <w:shd w:val="clear" w:color="auto" w:fill="auto"/>
            <w:vAlign w:val="center"/>
          </w:tcPr>
          <w:p w14:paraId="774B4095">
            <w:pPr>
              <w:keepNext w:val="0"/>
              <w:keepLines w:val="0"/>
              <w:widowControl/>
              <w:suppressLineNumbers w:val="0"/>
              <w:autoSpaceDE w:val="0"/>
              <w:autoSpaceDN/>
              <w:spacing w:before="0" w:beforeAutospacing="0" w:after="0" w:afterAutospacing="0" w:line="25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（二）其他资金</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4A50D38E">
            <w:pPr>
              <w:keepNext w:val="0"/>
              <w:keepLines w:val="0"/>
              <w:widowControl/>
              <w:suppressLineNumbers w:val="0"/>
              <w:autoSpaceDE w:val="0"/>
              <w:autoSpaceDN/>
              <w:spacing w:before="0" w:beforeAutospacing="0" w:after="0" w:afterAutospacing="0" w:line="250" w:lineRule="exact"/>
              <w:ind w:left="0" w:right="0"/>
              <w:jc w:val="left"/>
              <w:rPr>
                <w:rFonts w:hint="eastAsia" w:ascii="宋体" w:hAnsi="宋体" w:eastAsia="宋体" w:cs="宋体"/>
                <w:i w:val="0"/>
                <w:iCs w:val="0"/>
                <w:color w:val="000000"/>
                <w:kern w:val="2"/>
                <w:sz w:val="18"/>
                <w:szCs w:val="18"/>
              </w:rPr>
            </w:pP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1A141F4A">
            <w:pPr>
              <w:keepNext w:val="0"/>
              <w:keepLines w:val="0"/>
              <w:widowControl/>
              <w:suppressLineNumbers w:val="0"/>
              <w:autoSpaceDE w:val="0"/>
              <w:autoSpaceDN/>
              <w:spacing w:before="0" w:beforeAutospacing="0" w:after="0" w:afterAutospacing="0" w:line="250" w:lineRule="exact"/>
              <w:ind w:left="0" w:right="0"/>
              <w:jc w:val="center"/>
              <w:rPr>
                <w:rFonts w:hint="eastAsia" w:ascii="宋体" w:hAnsi="宋体" w:eastAsia="宋体" w:cs="宋体"/>
                <w:i w:val="0"/>
                <w:iCs w:val="0"/>
                <w:color w:val="000000"/>
                <w:kern w:val="2"/>
                <w:sz w:val="18"/>
                <w:szCs w:val="18"/>
              </w:rPr>
            </w:pP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0E40FABB">
            <w:pPr>
              <w:keepNext w:val="0"/>
              <w:keepLines w:val="0"/>
              <w:widowControl/>
              <w:suppressLineNumbers w:val="0"/>
              <w:autoSpaceDE w:val="0"/>
              <w:autoSpaceDN/>
              <w:spacing w:before="0" w:beforeAutospacing="0" w:after="0" w:afterAutospacing="0" w:line="250" w:lineRule="exact"/>
              <w:ind w:left="0" w:right="0"/>
              <w:jc w:val="center"/>
              <w:rPr>
                <w:rFonts w:hint="eastAsia" w:ascii="宋体" w:hAnsi="宋体" w:eastAsia="宋体" w:cs="宋体"/>
                <w:i w:val="0"/>
                <w:iCs w:val="0"/>
                <w:color w:val="000000"/>
                <w:kern w:val="2"/>
                <w:sz w:val="18"/>
                <w:szCs w:val="18"/>
              </w:rPr>
            </w:pP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0E243EF5">
            <w:pPr>
              <w:keepNext w:val="0"/>
              <w:keepLines w:val="0"/>
              <w:widowControl/>
              <w:suppressLineNumbers w:val="0"/>
              <w:autoSpaceDE w:val="0"/>
              <w:autoSpaceDN/>
              <w:spacing w:before="0" w:beforeAutospacing="0" w:after="0" w:afterAutospacing="0" w:line="250" w:lineRule="exact"/>
              <w:ind w:left="0" w:right="0"/>
              <w:jc w:val="center"/>
              <w:rPr>
                <w:rFonts w:hint="eastAsia" w:ascii="宋体" w:hAnsi="宋体" w:eastAsia="宋体" w:cs="宋体"/>
                <w:i w:val="0"/>
                <w:iCs w:val="0"/>
                <w:color w:val="000000"/>
                <w:kern w:val="2"/>
                <w:sz w:val="18"/>
                <w:szCs w:val="18"/>
              </w:rPr>
            </w:pPr>
          </w:p>
        </w:tc>
      </w:tr>
      <w:tr w14:paraId="318DF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7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4597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年度总体目标</w:t>
            </w:r>
          </w:p>
        </w:tc>
        <w:tc>
          <w:tcPr>
            <w:tcW w:w="5159" w:type="dxa"/>
            <w:gridSpan w:val="4"/>
            <w:tcBorders>
              <w:top w:val="single" w:color="000000" w:sz="4" w:space="0"/>
              <w:left w:val="nil"/>
              <w:bottom w:val="single" w:color="000000" w:sz="4" w:space="0"/>
              <w:right w:val="single" w:color="000000" w:sz="4" w:space="0"/>
            </w:tcBorders>
            <w:shd w:val="clear" w:color="auto" w:fill="auto"/>
            <w:vAlign w:val="center"/>
          </w:tcPr>
          <w:p w14:paraId="19E9529B">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预期目标</w:t>
            </w:r>
          </w:p>
        </w:tc>
        <w:tc>
          <w:tcPr>
            <w:tcW w:w="3933" w:type="dxa"/>
            <w:gridSpan w:val="3"/>
            <w:tcBorders>
              <w:top w:val="single" w:color="000000" w:sz="4" w:space="0"/>
              <w:left w:val="nil"/>
              <w:bottom w:val="single" w:color="000000" w:sz="4" w:space="0"/>
              <w:right w:val="single" w:color="000000" w:sz="4" w:space="0"/>
            </w:tcBorders>
            <w:shd w:val="clear" w:color="auto" w:fill="auto"/>
            <w:vAlign w:val="center"/>
          </w:tcPr>
          <w:p w14:paraId="1015B3A6">
            <w:pPr>
              <w:keepNext w:val="0"/>
              <w:keepLines w:val="0"/>
              <w:widowControl/>
              <w:suppressLineNumbers w:val="0"/>
              <w:autoSpaceDE w:val="0"/>
              <w:autoSpaceDN/>
              <w:spacing w:before="0" w:beforeAutospacing="0" w:after="0" w:afterAutospacing="0" w:line="25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全年实际完成情况</w:t>
            </w:r>
          </w:p>
        </w:tc>
      </w:tr>
      <w:tr w14:paraId="15ECE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jc w:val="center"/>
        </w:trPr>
        <w:tc>
          <w:tcPr>
            <w:tcW w:w="7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7F25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5159" w:type="dxa"/>
            <w:gridSpan w:val="4"/>
            <w:tcBorders>
              <w:top w:val="single" w:color="000000" w:sz="4" w:space="0"/>
              <w:left w:val="nil"/>
              <w:bottom w:val="single" w:color="000000" w:sz="4" w:space="0"/>
              <w:right w:val="single" w:color="000000" w:sz="4" w:space="0"/>
            </w:tcBorders>
            <w:shd w:val="clear" w:color="auto" w:fill="auto"/>
            <w:vAlign w:val="center"/>
          </w:tcPr>
          <w:p w14:paraId="753D807F">
            <w:pPr>
              <w:keepNext w:val="0"/>
              <w:keepLines w:val="0"/>
              <w:widowControl w:val="0"/>
              <w:suppressLineNumbers w:val="0"/>
              <w:autoSpaceDE w:val="0"/>
              <w:autoSpaceDN/>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围绕服务赋能、整合促优、发展增效、治理提质四大任务多管齐下开展调研，推进乡村全面振兴和经济高质量发展；围绕农业、工业、文旅、交通、建设、水利等方面到镇和部门有针对性、更为具体化地开展调研督办活动；围绕区委常委会、区政府常务会议决定事项以及区委、区政府主要领导签批事项落实情况到涉及的镇和部门开展督查工作。</w:t>
            </w:r>
          </w:p>
        </w:tc>
        <w:tc>
          <w:tcPr>
            <w:tcW w:w="3933" w:type="dxa"/>
            <w:gridSpan w:val="3"/>
            <w:tcBorders>
              <w:top w:val="single" w:color="000000" w:sz="4" w:space="0"/>
              <w:left w:val="nil"/>
              <w:bottom w:val="single" w:color="000000" w:sz="4" w:space="0"/>
              <w:right w:val="single" w:color="000000" w:sz="4" w:space="0"/>
            </w:tcBorders>
            <w:shd w:val="clear" w:color="auto" w:fill="auto"/>
            <w:vAlign w:val="center"/>
          </w:tcPr>
          <w:p w14:paraId="3EA209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全面完成</w:t>
            </w:r>
          </w:p>
        </w:tc>
      </w:tr>
      <w:tr w14:paraId="444F5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jc w:val="center"/>
        </w:trPr>
        <w:tc>
          <w:tcPr>
            <w:tcW w:w="763" w:type="dxa"/>
            <w:vMerge w:val="restart"/>
            <w:tcBorders>
              <w:top w:val="nil"/>
              <w:left w:val="single" w:color="000000" w:sz="4" w:space="0"/>
              <w:bottom w:val="single" w:color="000000" w:sz="4" w:space="0"/>
              <w:right w:val="single" w:color="000000" w:sz="4" w:space="0"/>
            </w:tcBorders>
            <w:shd w:val="clear" w:color="auto" w:fill="auto"/>
            <w:vAlign w:val="center"/>
          </w:tcPr>
          <w:p w14:paraId="777D23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绩效</w:t>
            </w:r>
          </w:p>
          <w:p w14:paraId="45D56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852" w:type="dxa"/>
            <w:tcBorders>
              <w:top w:val="single" w:color="000000" w:sz="4" w:space="0"/>
              <w:left w:val="nil"/>
              <w:bottom w:val="single" w:color="000000" w:sz="4" w:space="0"/>
              <w:right w:val="single" w:color="000000" w:sz="4" w:space="0"/>
            </w:tcBorders>
            <w:shd w:val="clear" w:color="auto" w:fill="auto"/>
            <w:vAlign w:val="center"/>
          </w:tcPr>
          <w:p w14:paraId="6D68D12F">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一级</w:t>
            </w:r>
          </w:p>
          <w:p w14:paraId="1767632C">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72437B22">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二级指标</w:t>
            </w:r>
          </w:p>
        </w:tc>
        <w:tc>
          <w:tcPr>
            <w:tcW w:w="3178" w:type="dxa"/>
            <w:gridSpan w:val="2"/>
            <w:tcBorders>
              <w:top w:val="single" w:color="000000" w:sz="4" w:space="0"/>
              <w:left w:val="nil"/>
              <w:bottom w:val="single" w:color="000000" w:sz="4" w:space="0"/>
              <w:right w:val="single" w:color="000000" w:sz="4" w:space="0"/>
            </w:tcBorders>
            <w:shd w:val="clear" w:color="auto" w:fill="auto"/>
            <w:vAlign w:val="center"/>
          </w:tcPr>
          <w:p w14:paraId="77C71AD0">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三级指标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3E54009B">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年度指标值</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4A6DDC81">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实际完成值</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4203D8A8">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偏差原因分析及改进</w:t>
            </w:r>
          </w:p>
          <w:p w14:paraId="43D720C4">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措施</w:t>
            </w:r>
          </w:p>
        </w:tc>
      </w:tr>
      <w:tr w14:paraId="25168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7B11610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restart"/>
            <w:tcBorders>
              <w:top w:val="nil"/>
              <w:left w:val="nil"/>
              <w:bottom w:val="single" w:color="000000" w:sz="4" w:space="0"/>
              <w:right w:val="single" w:color="000000" w:sz="4" w:space="0"/>
            </w:tcBorders>
            <w:shd w:val="clear" w:color="auto" w:fill="auto"/>
            <w:vAlign w:val="center"/>
          </w:tcPr>
          <w:p w14:paraId="7A48070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产出指标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57CC75D5">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数量指标</w:t>
            </w:r>
          </w:p>
        </w:tc>
        <w:tc>
          <w:tcPr>
            <w:tcW w:w="1140" w:type="dxa"/>
            <w:tcBorders>
              <w:top w:val="single" w:color="000000" w:sz="4" w:space="0"/>
              <w:left w:val="nil"/>
              <w:bottom w:val="single" w:color="000000" w:sz="4" w:space="0"/>
              <w:right w:val="nil"/>
            </w:tcBorders>
            <w:shd w:val="clear" w:color="auto" w:fill="auto"/>
            <w:vAlign w:val="center"/>
          </w:tcPr>
          <w:p w14:paraId="6E3E70F1">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1ED00">
            <w:pPr>
              <w:keepNext w:val="0"/>
              <w:keepLines w:val="0"/>
              <w:widowControl/>
              <w:suppressLineNumbers w:val="0"/>
              <w:autoSpaceDE w:val="0"/>
              <w:autoSpaceDN/>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18"/>
                <w:szCs w:val="18"/>
              </w:rPr>
            </w:pPr>
            <w:r>
              <w:rPr>
                <w:rFonts w:hint="default" w:ascii="Dialog . plain" w:hAnsi="Dialog . plain" w:eastAsia="Dialog . plain" w:cs="Dialog . plain"/>
                <w:color w:val="000000"/>
                <w:kern w:val="2"/>
                <w:sz w:val="18"/>
                <w:szCs w:val="18"/>
                <w:lang w:val="en-US" w:eastAsia="zh-CN"/>
              </w:rPr>
              <w:t>重点项目、中心工作调研次数</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1B1B71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12次</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534A58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12次</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2BB534A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12DCA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178CE78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51E9B8C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restart"/>
            <w:tcBorders>
              <w:top w:val="nil"/>
              <w:left w:val="nil"/>
              <w:bottom w:val="single" w:color="000000" w:sz="4" w:space="0"/>
              <w:right w:val="single" w:color="000000" w:sz="4" w:space="0"/>
            </w:tcBorders>
            <w:shd w:val="clear" w:color="auto" w:fill="auto"/>
            <w:vAlign w:val="center"/>
          </w:tcPr>
          <w:p w14:paraId="69A0A663">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质量指标</w:t>
            </w:r>
          </w:p>
        </w:tc>
        <w:tc>
          <w:tcPr>
            <w:tcW w:w="1140" w:type="dxa"/>
            <w:tcBorders>
              <w:top w:val="single" w:color="000000" w:sz="4" w:space="0"/>
              <w:left w:val="nil"/>
              <w:bottom w:val="single" w:color="000000" w:sz="4" w:space="0"/>
              <w:right w:val="nil"/>
            </w:tcBorders>
            <w:shd w:val="clear" w:color="auto" w:fill="auto"/>
            <w:vAlign w:val="center"/>
          </w:tcPr>
          <w:p w14:paraId="2B7A1685">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F7231">
            <w:pPr>
              <w:keepNext w:val="0"/>
              <w:keepLines w:val="0"/>
              <w:widowControl/>
              <w:suppressLineNumbers w:val="0"/>
              <w:autoSpaceDE w:val="0"/>
              <w:autoSpaceDN/>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18"/>
                <w:szCs w:val="18"/>
              </w:rPr>
            </w:pPr>
            <w:r>
              <w:rPr>
                <w:rFonts w:hint="default" w:ascii="Dialog . plain" w:hAnsi="Dialog . plain" w:eastAsia="Dialog . plain" w:cs="Dialog . plain"/>
                <w:color w:val="000000"/>
                <w:kern w:val="2"/>
                <w:sz w:val="18"/>
                <w:szCs w:val="18"/>
                <w:lang w:val="en-US" w:eastAsia="zh-CN"/>
              </w:rPr>
              <w:t>重点项目督查覆盖率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5CB15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74AF9EE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3ACC8B9F">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673B7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7A0D889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10A8831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continue"/>
            <w:tcBorders>
              <w:top w:val="nil"/>
              <w:left w:val="nil"/>
              <w:bottom w:val="single" w:color="000000" w:sz="4" w:space="0"/>
              <w:right w:val="single" w:color="000000" w:sz="4" w:space="0"/>
            </w:tcBorders>
            <w:shd w:val="clear" w:color="auto" w:fill="auto"/>
            <w:vAlign w:val="center"/>
          </w:tcPr>
          <w:p w14:paraId="3495676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40" w:type="dxa"/>
            <w:tcBorders>
              <w:top w:val="single" w:color="000000" w:sz="4" w:space="0"/>
              <w:left w:val="nil"/>
              <w:bottom w:val="single" w:color="000000" w:sz="4" w:space="0"/>
              <w:right w:val="nil"/>
            </w:tcBorders>
            <w:shd w:val="clear" w:color="auto" w:fill="auto"/>
            <w:vAlign w:val="center"/>
          </w:tcPr>
          <w:p w14:paraId="005D4E2A">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指标2：</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0CB4">
            <w:pPr>
              <w:keepNext w:val="0"/>
              <w:keepLines w:val="0"/>
              <w:widowControl/>
              <w:suppressLineNumbers w:val="0"/>
              <w:autoSpaceDE w:val="0"/>
              <w:autoSpaceDN/>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18"/>
                <w:szCs w:val="18"/>
              </w:rPr>
            </w:pPr>
            <w:r>
              <w:rPr>
                <w:rFonts w:hint="default" w:ascii="Dialog . plain" w:hAnsi="Dialog . plain" w:eastAsia="Dialog . plain" w:cs="Dialog . plain"/>
                <w:color w:val="000000"/>
                <w:kern w:val="2"/>
                <w:sz w:val="18"/>
                <w:szCs w:val="18"/>
                <w:lang w:val="en-US" w:eastAsia="zh-CN"/>
              </w:rPr>
              <w:t>重点项目、重点工作问题整改情况</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295B8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7E6BD9E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5335E997">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0ACFC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61E2D06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2DADD73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restart"/>
            <w:tcBorders>
              <w:top w:val="nil"/>
              <w:left w:val="nil"/>
              <w:bottom w:val="single" w:color="000000" w:sz="4" w:space="0"/>
              <w:right w:val="single" w:color="000000" w:sz="4" w:space="0"/>
            </w:tcBorders>
            <w:shd w:val="clear" w:color="auto" w:fill="auto"/>
            <w:vAlign w:val="center"/>
          </w:tcPr>
          <w:p w14:paraId="1F2B2BC5">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时效指标</w:t>
            </w:r>
          </w:p>
        </w:tc>
        <w:tc>
          <w:tcPr>
            <w:tcW w:w="1140" w:type="dxa"/>
            <w:tcBorders>
              <w:top w:val="single" w:color="000000" w:sz="4" w:space="0"/>
              <w:left w:val="nil"/>
              <w:bottom w:val="single" w:color="000000" w:sz="4" w:space="0"/>
              <w:right w:val="nil"/>
            </w:tcBorders>
            <w:shd w:val="clear" w:color="auto" w:fill="auto"/>
            <w:vAlign w:val="center"/>
          </w:tcPr>
          <w:p w14:paraId="1A898F6D">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8186E">
            <w:pPr>
              <w:keepNext w:val="0"/>
              <w:keepLines w:val="0"/>
              <w:widowControl/>
              <w:suppressLineNumbers w:val="0"/>
              <w:autoSpaceDE w:val="0"/>
              <w:autoSpaceDN/>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18"/>
                <w:szCs w:val="18"/>
              </w:rPr>
            </w:pPr>
            <w:r>
              <w:rPr>
                <w:rFonts w:hint="default" w:ascii="Dialog . plain" w:hAnsi="Dialog . plain" w:eastAsia="Dialog . plain" w:cs="Dialog . plain"/>
                <w:color w:val="000000"/>
                <w:kern w:val="2"/>
                <w:sz w:val="18"/>
                <w:szCs w:val="18"/>
                <w:lang w:val="en-US" w:eastAsia="zh-CN"/>
              </w:rPr>
              <w:t>完成时限</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661AB7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1年</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7DAB70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1年</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48676F7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43196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4E5410F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7A4E520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continue"/>
            <w:tcBorders>
              <w:top w:val="nil"/>
              <w:left w:val="nil"/>
              <w:bottom w:val="single" w:color="000000" w:sz="4" w:space="0"/>
              <w:right w:val="single" w:color="000000" w:sz="4" w:space="0"/>
            </w:tcBorders>
            <w:shd w:val="clear" w:color="auto" w:fill="auto"/>
            <w:vAlign w:val="center"/>
          </w:tcPr>
          <w:p w14:paraId="4FD49DE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40" w:type="dxa"/>
            <w:tcBorders>
              <w:top w:val="single" w:color="000000" w:sz="4" w:space="0"/>
              <w:left w:val="nil"/>
              <w:bottom w:val="single" w:color="000000" w:sz="4" w:space="0"/>
              <w:right w:val="nil"/>
            </w:tcBorders>
            <w:shd w:val="clear" w:color="auto" w:fill="auto"/>
            <w:vAlign w:val="center"/>
          </w:tcPr>
          <w:p w14:paraId="3A9EF8BD">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指标2：</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468FA">
            <w:pPr>
              <w:keepNext w:val="0"/>
              <w:keepLines w:val="0"/>
              <w:widowControl/>
              <w:suppressLineNumbers w:val="0"/>
              <w:autoSpaceDE w:val="0"/>
              <w:autoSpaceDN/>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18"/>
                <w:szCs w:val="18"/>
              </w:rPr>
            </w:pPr>
            <w:r>
              <w:rPr>
                <w:rFonts w:hint="default" w:ascii="Dialog . plain" w:hAnsi="Dialog . plain" w:eastAsia="Dialog . plain" w:cs="Dialog . plain"/>
                <w:color w:val="000000"/>
                <w:kern w:val="2"/>
                <w:sz w:val="18"/>
                <w:szCs w:val="18"/>
                <w:lang w:val="en-US" w:eastAsia="zh-CN"/>
              </w:rPr>
              <w:t>事项完成及时率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1BA3A4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67E5EA2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6DB7A3DA">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207A2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0D99169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42D9408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49F266DF">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成本指标</w:t>
            </w:r>
          </w:p>
        </w:tc>
        <w:tc>
          <w:tcPr>
            <w:tcW w:w="1140" w:type="dxa"/>
            <w:tcBorders>
              <w:top w:val="single" w:color="000000" w:sz="4" w:space="0"/>
              <w:left w:val="nil"/>
              <w:bottom w:val="single" w:color="000000" w:sz="4" w:space="0"/>
              <w:right w:val="nil"/>
            </w:tcBorders>
            <w:shd w:val="clear" w:color="auto" w:fill="auto"/>
            <w:vAlign w:val="center"/>
          </w:tcPr>
          <w:p w14:paraId="5F9B50C9">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F2D6">
            <w:pPr>
              <w:keepNext w:val="0"/>
              <w:keepLines w:val="0"/>
              <w:widowControl/>
              <w:suppressLineNumbers w:val="0"/>
              <w:autoSpaceDE w:val="0"/>
              <w:autoSpaceDN/>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预算资金</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29256B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69万元</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348CFDD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69万元</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4737FB72">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1FB60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0"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15FDBAA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restart"/>
            <w:tcBorders>
              <w:top w:val="nil"/>
              <w:left w:val="nil"/>
              <w:bottom w:val="single" w:color="000000" w:sz="4" w:space="0"/>
              <w:right w:val="single" w:color="000000" w:sz="4" w:space="0"/>
            </w:tcBorders>
            <w:shd w:val="clear" w:color="auto" w:fill="auto"/>
            <w:vAlign w:val="center"/>
          </w:tcPr>
          <w:p w14:paraId="5EAC9943">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效益指标</w:t>
            </w:r>
          </w:p>
        </w:tc>
        <w:tc>
          <w:tcPr>
            <w:tcW w:w="1129" w:type="dxa"/>
            <w:vMerge w:val="restart"/>
            <w:tcBorders>
              <w:top w:val="nil"/>
              <w:left w:val="nil"/>
              <w:bottom w:val="nil"/>
              <w:right w:val="single" w:color="000000" w:sz="4" w:space="0"/>
            </w:tcBorders>
            <w:shd w:val="clear" w:color="auto" w:fill="auto"/>
            <w:vAlign w:val="center"/>
          </w:tcPr>
          <w:p w14:paraId="245349EF">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社会效益</w:t>
            </w:r>
          </w:p>
          <w:p w14:paraId="165238FC">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40" w:type="dxa"/>
            <w:tcBorders>
              <w:top w:val="single" w:color="000000" w:sz="4" w:space="0"/>
              <w:left w:val="nil"/>
              <w:bottom w:val="single" w:color="000000" w:sz="4" w:space="0"/>
              <w:right w:val="nil"/>
            </w:tcBorders>
            <w:shd w:val="clear" w:color="auto" w:fill="auto"/>
            <w:vAlign w:val="center"/>
          </w:tcPr>
          <w:p w14:paraId="14CF850D">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8DDEC">
            <w:pPr>
              <w:keepNext w:val="0"/>
              <w:keepLines w:val="0"/>
              <w:widowControl/>
              <w:suppressLineNumbers w:val="0"/>
              <w:autoSpaceDE w:val="0"/>
              <w:autoSpaceDN/>
              <w:spacing w:before="0" w:beforeAutospacing="0" w:after="0" w:afterAutospacing="0" w:line="240" w:lineRule="exact"/>
              <w:ind w:left="0" w:right="0"/>
              <w:jc w:val="both"/>
              <w:textAlignment w:val="center"/>
              <w:rPr>
                <w:rFonts w:hint="eastAsia" w:ascii="宋体" w:hAnsi="宋体" w:eastAsia="宋体" w:cs="宋体"/>
                <w:i w:val="0"/>
                <w:iCs w:val="0"/>
                <w:color w:val="000000"/>
                <w:kern w:val="2"/>
                <w:sz w:val="18"/>
                <w:szCs w:val="18"/>
              </w:rPr>
            </w:pPr>
            <w:r>
              <w:rPr>
                <w:rFonts w:hint="default" w:ascii="Dialog . plain" w:hAnsi="Dialog . plain" w:eastAsia="Dialog . plain" w:cs="Dialog . plain"/>
                <w:color w:val="000000"/>
                <w:kern w:val="2"/>
                <w:sz w:val="18"/>
                <w:szCs w:val="18"/>
                <w:lang w:val="en-US" w:eastAsia="zh-CN"/>
              </w:rPr>
              <w:t>对提高群众生活水平、促进和谐社会建设的改善或提升程度</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340E47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定性</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5458C2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成效显著</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75DF3E60">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72424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0B952FE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vMerge w:val="continue"/>
            <w:tcBorders>
              <w:top w:val="nil"/>
              <w:left w:val="nil"/>
              <w:bottom w:val="single" w:color="000000" w:sz="4" w:space="0"/>
              <w:right w:val="single" w:color="000000" w:sz="4" w:space="0"/>
            </w:tcBorders>
            <w:shd w:val="clear" w:color="auto" w:fill="auto"/>
            <w:vAlign w:val="center"/>
          </w:tcPr>
          <w:p w14:paraId="7E3B7D1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29" w:type="dxa"/>
            <w:vMerge w:val="continue"/>
            <w:tcBorders>
              <w:top w:val="nil"/>
              <w:left w:val="nil"/>
              <w:bottom w:val="nil"/>
              <w:right w:val="single" w:color="000000" w:sz="4" w:space="0"/>
            </w:tcBorders>
            <w:shd w:val="clear" w:color="auto" w:fill="auto"/>
            <w:vAlign w:val="center"/>
          </w:tcPr>
          <w:p w14:paraId="36EE0B9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140" w:type="dxa"/>
            <w:tcBorders>
              <w:top w:val="single" w:color="000000" w:sz="4" w:space="0"/>
              <w:left w:val="nil"/>
              <w:bottom w:val="nil"/>
              <w:right w:val="nil"/>
            </w:tcBorders>
            <w:shd w:val="clear" w:color="auto" w:fill="auto"/>
            <w:vAlign w:val="center"/>
          </w:tcPr>
          <w:p w14:paraId="6E781607">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指标2：</w:t>
            </w:r>
          </w:p>
        </w:tc>
        <w:tc>
          <w:tcPr>
            <w:tcW w:w="2038" w:type="dxa"/>
            <w:tcBorders>
              <w:top w:val="single" w:color="000000" w:sz="4" w:space="0"/>
              <w:left w:val="single" w:color="000000" w:sz="4" w:space="0"/>
              <w:bottom w:val="nil"/>
              <w:right w:val="single" w:color="000000" w:sz="4" w:space="0"/>
            </w:tcBorders>
            <w:shd w:val="clear" w:color="auto" w:fill="auto"/>
            <w:vAlign w:val="center"/>
          </w:tcPr>
          <w:p w14:paraId="178019AD">
            <w:pPr>
              <w:keepNext w:val="0"/>
              <w:keepLines w:val="0"/>
              <w:widowControl/>
              <w:suppressLineNumbers w:val="0"/>
              <w:autoSpaceDE w:val="0"/>
              <w:autoSpaceDN/>
              <w:spacing w:before="0" w:beforeAutospacing="0" w:after="0" w:afterAutospacing="0" w:line="240" w:lineRule="exact"/>
              <w:ind w:left="0" w:right="0"/>
              <w:jc w:val="left"/>
              <w:textAlignment w:val="center"/>
              <w:rPr>
                <w:rFonts w:hint="eastAsia" w:ascii="宋体" w:hAnsi="宋体" w:eastAsia="宋体" w:cs="宋体"/>
                <w:i w:val="0"/>
                <w:iCs w:val="0"/>
                <w:color w:val="000000"/>
                <w:kern w:val="2"/>
                <w:sz w:val="18"/>
                <w:szCs w:val="18"/>
              </w:rPr>
            </w:pPr>
            <w:r>
              <w:rPr>
                <w:rFonts w:hint="default" w:ascii="Dialog . plain" w:hAnsi="Dialog . plain" w:eastAsia="Dialog . plain" w:cs="Dialog . plain"/>
                <w:color w:val="000000"/>
                <w:kern w:val="2"/>
                <w:sz w:val="18"/>
                <w:szCs w:val="18"/>
                <w:lang w:val="en-US" w:eastAsia="zh-CN"/>
              </w:rPr>
              <w:t>维护社会运行秩序</w:t>
            </w:r>
          </w:p>
        </w:tc>
        <w:tc>
          <w:tcPr>
            <w:tcW w:w="1380" w:type="dxa"/>
            <w:tcBorders>
              <w:top w:val="single" w:color="000000" w:sz="4" w:space="0"/>
              <w:left w:val="nil"/>
              <w:bottom w:val="nil"/>
              <w:right w:val="single" w:color="000000" w:sz="4" w:space="0"/>
            </w:tcBorders>
            <w:shd w:val="clear" w:color="auto" w:fill="auto"/>
            <w:vAlign w:val="center"/>
          </w:tcPr>
          <w:p w14:paraId="051546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定性</w:t>
            </w:r>
          </w:p>
        </w:tc>
        <w:tc>
          <w:tcPr>
            <w:tcW w:w="1320" w:type="dxa"/>
            <w:tcBorders>
              <w:top w:val="single" w:color="000000" w:sz="4" w:space="0"/>
              <w:left w:val="nil"/>
              <w:bottom w:val="nil"/>
              <w:right w:val="single" w:color="000000" w:sz="4" w:space="0"/>
            </w:tcBorders>
            <w:shd w:val="clear" w:color="auto" w:fill="auto"/>
            <w:vAlign w:val="center"/>
          </w:tcPr>
          <w:p w14:paraId="68D1D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和谐发展</w:t>
            </w:r>
          </w:p>
        </w:tc>
        <w:tc>
          <w:tcPr>
            <w:tcW w:w="1233" w:type="dxa"/>
            <w:tcBorders>
              <w:top w:val="single" w:color="000000" w:sz="4" w:space="0"/>
              <w:left w:val="nil"/>
              <w:bottom w:val="nil"/>
              <w:right w:val="single" w:color="000000" w:sz="4" w:space="0"/>
            </w:tcBorders>
            <w:shd w:val="clear" w:color="auto" w:fill="auto"/>
            <w:vAlign w:val="center"/>
          </w:tcPr>
          <w:p w14:paraId="7A78F85E">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r w14:paraId="4DB4D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jc w:val="center"/>
        </w:trPr>
        <w:tc>
          <w:tcPr>
            <w:tcW w:w="763" w:type="dxa"/>
            <w:vMerge w:val="continue"/>
            <w:tcBorders>
              <w:top w:val="nil"/>
              <w:left w:val="single" w:color="000000" w:sz="4" w:space="0"/>
              <w:bottom w:val="single" w:color="000000" w:sz="4" w:space="0"/>
              <w:right w:val="single" w:color="000000" w:sz="4" w:space="0"/>
            </w:tcBorders>
            <w:shd w:val="clear" w:color="auto" w:fill="auto"/>
            <w:vAlign w:val="center"/>
          </w:tcPr>
          <w:p w14:paraId="55D97B1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852" w:type="dxa"/>
            <w:tcBorders>
              <w:top w:val="single" w:color="000000" w:sz="4" w:space="0"/>
              <w:left w:val="nil"/>
              <w:bottom w:val="single" w:color="000000" w:sz="4" w:space="0"/>
              <w:right w:val="single" w:color="000000" w:sz="4" w:space="0"/>
            </w:tcBorders>
            <w:shd w:val="clear" w:color="auto" w:fill="auto"/>
            <w:vAlign w:val="center"/>
          </w:tcPr>
          <w:p w14:paraId="41F2E5D1">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0"/>
                <w:sz w:val="18"/>
                <w:szCs w:val="18"/>
              </w:rPr>
            </w:pPr>
            <w:r>
              <w:rPr>
                <w:rFonts w:hint="eastAsia" w:ascii="宋体" w:hAnsi="宋体" w:eastAsia="宋体" w:cs="宋体"/>
                <w:i w:val="0"/>
                <w:iCs w:val="0"/>
                <w:color w:val="000000"/>
                <w:kern w:val="0"/>
                <w:sz w:val="18"/>
                <w:szCs w:val="18"/>
                <w:lang w:val="en-US" w:eastAsia="zh-CN"/>
              </w:rPr>
              <w:t>满意度</w:t>
            </w:r>
          </w:p>
          <w:p w14:paraId="2085DE34">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w:t>
            </w:r>
          </w:p>
        </w:tc>
        <w:tc>
          <w:tcPr>
            <w:tcW w:w="1129" w:type="dxa"/>
            <w:tcBorders>
              <w:top w:val="single" w:color="000000" w:sz="4" w:space="0"/>
              <w:left w:val="nil"/>
              <w:bottom w:val="single" w:color="000000" w:sz="4" w:space="0"/>
              <w:right w:val="single" w:color="000000" w:sz="4" w:space="0"/>
            </w:tcBorders>
            <w:shd w:val="clear" w:color="auto" w:fill="auto"/>
            <w:vAlign w:val="center"/>
          </w:tcPr>
          <w:p w14:paraId="0FEF8682">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服务对象满意度指标</w:t>
            </w:r>
          </w:p>
        </w:tc>
        <w:tc>
          <w:tcPr>
            <w:tcW w:w="1140" w:type="dxa"/>
            <w:tcBorders>
              <w:top w:val="single" w:color="000000" w:sz="4" w:space="0"/>
              <w:left w:val="nil"/>
              <w:bottom w:val="single" w:color="000000" w:sz="4" w:space="0"/>
              <w:right w:val="single" w:color="000000" w:sz="4" w:space="0"/>
            </w:tcBorders>
            <w:shd w:val="clear" w:color="auto" w:fill="auto"/>
            <w:vAlign w:val="center"/>
          </w:tcPr>
          <w:p w14:paraId="624EA85C">
            <w:pPr>
              <w:keepNext w:val="0"/>
              <w:keepLines w:val="0"/>
              <w:widowControl/>
              <w:suppressLineNumbers w:val="0"/>
              <w:autoSpaceDE w:val="0"/>
              <w:autoSpaceDN/>
              <w:spacing w:before="0" w:beforeAutospacing="0" w:after="0" w:afterAutospacing="0" w:line="24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指标1：</w:t>
            </w:r>
          </w:p>
        </w:tc>
        <w:tc>
          <w:tcPr>
            <w:tcW w:w="2038" w:type="dxa"/>
            <w:tcBorders>
              <w:top w:val="single" w:color="000000" w:sz="4" w:space="0"/>
              <w:left w:val="nil"/>
              <w:bottom w:val="single" w:color="000000" w:sz="4" w:space="0"/>
              <w:right w:val="single" w:color="000000" w:sz="4" w:space="0"/>
            </w:tcBorders>
            <w:shd w:val="clear" w:color="auto" w:fill="auto"/>
            <w:vAlign w:val="center"/>
          </w:tcPr>
          <w:p w14:paraId="3C863710">
            <w:pPr>
              <w:keepNext w:val="0"/>
              <w:keepLines w:val="0"/>
              <w:widowControl/>
              <w:suppressLineNumbers w:val="0"/>
              <w:autoSpaceDE w:val="0"/>
              <w:autoSpaceDN/>
              <w:spacing w:before="0" w:beforeAutospacing="0" w:after="0" w:afterAutospacing="0" w:line="240" w:lineRule="exact"/>
              <w:ind w:left="0" w:right="0"/>
              <w:jc w:val="left"/>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人民群众满意率</w:t>
            </w:r>
          </w:p>
        </w:tc>
        <w:tc>
          <w:tcPr>
            <w:tcW w:w="1380" w:type="dxa"/>
            <w:tcBorders>
              <w:top w:val="single" w:color="000000" w:sz="4" w:space="0"/>
              <w:left w:val="nil"/>
              <w:bottom w:val="single" w:color="000000" w:sz="4" w:space="0"/>
              <w:right w:val="single" w:color="000000" w:sz="4" w:space="0"/>
            </w:tcBorders>
            <w:shd w:val="clear" w:color="auto" w:fill="auto"/>
            <w:vAlign w:val="center"/>
          </w:tcPr>
          <w:p w14:paraId="506BF782">
            <w:pPr>
              <w:keepNext w:val="0"/>
              <w:keepLines w:val="0"/>
              <w:widowControl/>
              <w:suppressLineNumbers w:val="0"/>
              <w:autoSpaceDE w:val="0"/>
              <w:autoSpaceDN/>
              <w:spacing w:before="0" w:beforeAutospacing="0" w:after="0" w:afterAutospacing="0" w:line="240" w:lineRule="exact"/>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c>
          <w:tcPr>
            <w:tcW w:w="1320" w:type="dxa"/>
            <w:tcBorders>
              <w:top w:val="single" w:color="000000" w:sz="4" w:space="0"/>
              <w:left w:val="nil"/>
              <w:bottom w:val="single" w:color="000000" w:sz="4" w:space="0"/>
              <w:right w:val="single" w:color="000000" w:sz="4" w:space="0"/>
            </w:tcBorders>
            <w:shd w:val="clear" w:color="auto" w:fill="auto"/>
            <w:vAlign w:val="center"/>
          </w:tcPr>
          <w:p w14:paraId="695BFA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0"/>
                <w:sz w:val="18"/>
                <w:szCs w:val="18"/>
                <w:lang w:val="en-US" w:eastAsia="zh-CN"/>
              </w:rPr>
              <w:t>100%</w:t>
            </w:r>
          </w:p>
        </w:tc>
        <w:tc>
          <w:tcPr>
            <w:tcW w:w="1233" w:type="dxa"/>
            <w:tcBorders>
              <w:top w:val="single" w:color="000000" w:sz="4" w:space="0"/>
              <w:left w:val="nil"/>
              <w:bottom w:val="single" w:color="000000" w:sz="4" w:space="0"/>
              <w:right w:val="single" w:color="000000" w:sz="4" w:space="0"/>
            </w:tcBorders>
            <w:shd w:val="clear" w:color="auto" w:fill="auto"/>
            <w:vAlign w:val="center"/>
          </w:tcPr>
          <w:p w14:paraId="50D084A9">
            <w:pPr>
              <w:keepNext w:val="0"/>
              <w:keepLines w:val="0"/>
              <w:widowControl w:val="0"/>
              <w:suppressLineNumbers w:val="0"/>
              <w:spacing w:before="0" w:beforeAutospacing="0" w:after="0" w:afterAutospacing="0"/>
              <w:ind w:left="0" w:right="0"/>
              <w:jc w:val="center"/>
              <w:rPr>
                <w:rFonts w:hint="eastAsia" w:ascii="宋体" w:hAnsi="宋体" w:eastAsia="宋体" w:cs="宋体"/>
                <w:i w:val="0"/>
                <w:iCs w:val="0"/>
                <w:color w:val="000000"/>
                <w:kern w:val="2"/>
                <w:sz w:val="18"/>
                <w:szCs w:val="18"/>
              </w:rPr>
            </w:pPr>
            <w:r>
              <w:rPr>
                <w:rFonts w:hint="eastAsia" w:ascii="宋体" w:hAnsi="宋体" w:eastAsia="宋体" w:cs="宋体"/>
                <w:i w:val="0"/>
                <w:iCs w:val="0"/>
                <w:color w:val="000000"/>
                <w:kern w:val="2"/>
                <w:sz w:val="18"/>
                <w:szCs w:val="18"/>
                <w:lang w:val="en-US" w:eastAsia="zh-CN"/>
              </w:rPr>
              <w:t>无</w:t>
            </w:r>
          </w:p>
        </w:tc>
      </w:tr>
    </w:tbl>
    <w:p w14:paraId="31DA8729">
      <w:pPr>
        <w:rPr>
          <w:rFonts w:hint="eastAsia" w:ascii="仿宋" w:hAnsi="仿宋" w:eastAsia="仿宋" w:cs="仿宋"/>
          <w:b w:val="0"/>
          <w:bCs w:val="0"/>
          <w:kern w:val="2"/>
          <w:sz w:val="32"/>
          <w:szCs w:val="32"/>
        </w:rPr>
        <w:sectPr>
          <w:pgSz w:w="11906" w:h="16838"/>
          <w:pgMar w:top="2098" w:right="1474" w:bottom="1984" w:left="1587" w:header="850" w:footer="1587" w:gutter="0"/>
          <w:lnNumType w:countBy="0" w:distance="360"/>
          <w:pgNumType w:fmt="decimal"/>
          <w:cols w:space="0" w:num="1"/>
          <w:rtlGutter w:val="0"/>
          <w:docGrid w:type="lines" w:linePitch="439" w:charSpace="0"/>
        </w:sectPr>
      </w:pPr>
    </w:p>
    <w:p w14:paraId="253F9094">
      <w:pPr>
        <w:keepNext w:val="0"/>
        <w:keepLines w:val="0"/>
        <w:widowControl w:val="0"/>
        <w:suppressLineNumbers w:val="0"/>
        <w:spacing w:before="0" w:beforeAutospacing="0" w:after="0" w:afterAutospacing="0"/>
        <w:ind w:left="0" w:leftChars="0" w:right="0" w:firstLine="160" w:firstLineChars="50"/>
        <w:jc w:val="both"/>
        <w:rPr>
          <w:rFonts w:hint="eastAsia" w:ascii="仿宋" w:hAnsi="仿宋" w:eastAsia="仿宋" w:cs="仿宋"/>
          <w:b w:val="0"/>
          <w:bCs w:val="0"/>
          <w:kern w:val="2"/>
          <w:sz w:val="32"/>
          <w:szCs w:val="32"/>
        </w:rPr>
      </w:pPr>
      <w:r>
        <w:rPr>
          <w:rFonts w:hint="eastAsia" w:ascii="黑体" w:hAnsi="宋体" w:eastAsia="黑体" w:cs="黑体"/>
          <w:b w:val="0"/>
          <w:bCs w:val="0"/>
          <w:kern w:val="2"/>
          <w:sz w:val="32"/>
          <w:szCs w:val="32"/>
          <w:lang w:val="en-US" w:eastAsia="zh-CN"/>
        </w:rPr>
        <w:t>附件2</w:t>
      </w:r>
    </w:p>
    <w:p w14:paraId="768D4D6A">
      <w:pPr>
        <w:keepNext w:val="0"/>
        <w:keepLines w:val="0"/>
        <w:widowControl/>
        <w:suppressLineNumbers w:val="0"/>
        <w:spacing w:before="0" w:beforeAutospacing="0" w:after="0" w:afterAutospacing="0"/>
        <w:ind w:left="0" w:right="0"/>
        <w:jc w:val="center"/>
        <w:textAlignment w:val="center"/>
        <w:rPr>
          <w:rFonts w:hint="eastAsia" w:ascii="方正小标宋简体" w:hAnsi="方正小标宋简体" w:eastAsia="方正小标宋简体" w:cs="方正小标宋简体"/>
          <w:i w:val="0"/>
          <w:iCs w:val="0"/>
          <w:color w:val="000000"/>
          <w:kern w:val="0"/>
          <w:sz w:val="40"/>
          <w:szCs w:val="40"/>
          <w:lang w:val="en-US" w:eastAsia="zh-CN"/>
        </w:rPr>
      </w:pPr>
      <w:r>
        <w:rPr>
          <w:rFonts w:hint="eastAsia" w:ascii="方正小标宋简体" w:hAnsi="方正小标宋简体" w:eastAsia="方正小标宋简体" w:cs="方正小标宋简体"/>
          <w:i w:val="0"/>
          <w:iCs w:val="0"/>
          <w:color w:val="000000"/>
          <w:kern w:val="0"/>
          <w:sz w:val="40"/>
          <w:szCs w:val="40"/>
          <w:lang w:val="en-US" w:eastAsia="zh-CN"/>
        </w:rPr>
        <w:t>中共广元市昭化区委办公室2023年落实区委区政府中心工作及重大决策部署工作项目支出</w:t>
      </w:r>
    </w:p>
    <w:p w14:paraId="35F04D94">
      <w:pPr>
        <w:keepNext w:val="0"/>
        <w:keepLines w:val="0"/>
        <w:widowControl/>
        <w:suppressLineNumbers w:val="0"/>
        <w:spacing w:before="0" w:beforeAutospacing="0" w:after="0" w:afterAutospacing="0"/>
        <w:ind w:left="0" w:right="0"/>
        <w:jc w:val="center"/>
        <w:textAlignment w:val="center"/>
        <w:rPr>
          <w:rFonts w:hint="eastAsia" w:ascii="方正小标宋简体" w:hAnsi="方正小标宋简体" w:eastAsia="方正小标宋简体" w:cs="方正小标宋简体"/>
          <w:i w:val="0"/>
          <w:iCs w:val="0"/>
          <w:color w:val="000000"/>
          <w:kern w:val="2"/>
          <w:sz w:val="44"/>
          <w:szCs w:val="44"/>
        </w:rPr>
      </w:pPr>
      <w:r>
        <w:rPr>
          <w:rFonts w:hint="eastAsia" w:ascii="方正小标宋简体" w:hAnsi="方正小标宋简体" w:eastAsia="方正小标宋简体" w:cs="方正小标宋简体"/>
          <w:i w:val="0"/>
          <w:iCs w:val="0"/>
          <w:color w:val="000000"/>
          <w:kern w:val="0"/>
          <w:sz w:val="40"/>
          <w:szCs w:val="40"/>
          <w:lang w:val="en-US" w:eastAsia="zh-CN"/>
        </w:rPr>
        <w:t>绩效自评评分表</w:t>
      </w:r>
    </w:p>
    <w:tbl>
      <w:tblPr>
        <w:tblStyle w:val="13"/>
        <w:tblW w:w="484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416"/>
        <w:gridCol w:w="416"/>
        <w:gridCol w:w="416"/>
        <w:gridCol w:w="3216"/>
        <w:gridCol w:w="3515"/>
        <w:gridCol w:w="516"/>
      </w:tblGrid>
      <w:tr w14:paraId="6C281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88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590748">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绩效指标</w:t>
            </w:r>
          </w:p>
        </w:tc>
        <w:tc>
          <w:tcPr>
            <w:tcW w:w="185" w:type="pct"/>
            <w:vMerge w:val="restart"/>
            <w:tcBorders>
              <w:top w:val="single" w:color="000000" w:sz="4" w:space="0"/>
              <w:left w:val="nil"/>
              <w:bottom w:val="single" w:color="000000" w:sz="4" w:space="0"/>
              <w:right w:val="single" w:color="000000" w:sz="4" w:space="0"/>
            </w:tcBorders>
            <w:shd w:val="clear" w:color="auto" w:fill="auto"/>
            <w:vAlign w:val="center"/>
          </w:tcPr>
          <w:p w14:paraId="75966C6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指标分值</w:t>
            </w:r>
          </w:p>
        </w:tc>
        <w:tc>
          <w:tcPr>
            <w:tcW w:w="1076" w:type="pct"/>
            <w:vMerge w:val="restart"/>
            <w:tcBorders>
              <w:top w:val="single" w:color="000000" w:sz="4" w:space="0"/>
              <w:left w:val="nil"/>
              <w:bottom w:val="single" w:color="000000" w:sz="4" w:space="0"/>
              <w:right w:val="single" w:color="000000" w:sz="4" w:space="0"/>
            </w:tcBorders>
            <w:shd w:val="clear" w:color="auto" w:fill="auto"/>
            <w:vAlign w:val="center"/>
          </w:tcPr>
          <w:p w14:paraId="239A288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指标解释</w:t>
            </w:r>
          </w:p>
        </w:tc>
        <w:tc>
          <w:tcPr>
            <w:tcW w:w="2594" w:type="pct"/>
            <w:vMerge w:val="restart"/>
            <w:tcBorders>
              <w:top w:val="single" w:color="000000" w:sz="4" w:space="0"/>
              <w:left w:val="nil"/>
              <w:bottom w:val="single" w:color="000000" w:sz="4" w:space="0"/>
              <w:right w:val="single" w:color="000000" w:sz="4" w:space="0"/>
            </w:tcBorders>
            <w:shd w:val="clear" w:color="auto" w:fill="auto"/>
            <w:vAlign w:val="center"/>
          </w:tcPr>
          <w:p w14:paraId="4B33ECDB">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评价要点及说明</w:t>
            </w:r>
          </w:p>
        </w:tc>
        <w:tc>
          <w:tcPr>
            <w:tcW w:w="258" w:type="pct"/>
            <w:vMerge w:val="restart"/>
            <w:tcBorders>
              <w:top w:val="single" w:color="000000" w:sz="4" w:space="0"/>
              <w:left w:val="nil"/>
              <w:bottom w:val="single" w:color="000000" w:sz="4" w:space="0"/>
              <w:right w:val="single" w:color="000000" w:sz="4" w:space="0"/>
            </w:tcBorders>
            <w:shd w:val="clear" w:color="auto" w:fill="auto"/>
            <w:vAlign w:val="center"/>
          </w:tcPr>
          <w:p w14:paraId="3D4A11EB">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自评得分</w:t>
            </w:r>
          </w:p>
        </w:tc>
      </w:tr>
      <w:tr w14:paraId="4BC55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A30D0">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一级指标</w:t>
            </w:r>
          </w:p>
        </w:tc>
        <w:tc>
          <w:tcPr>
            <w:tcW w:w="274" w:type="pct"/>
            <w:tcBorders>
              <w:top w:val="single" w:color="000000" w:sz="4" w:space="0"/>
              <w:left w:val="nil"/>
              <w:bottom w:val="single" w:color="000000" w:sz="4" w:space="0"/>
              <w:right w:val="single" w:color="000000" w:sz="4" w:space="0"/>
            </w:tcBorders>
            <w:shd w:val="clear" w:color="auto" w:fill="auto"/>
            <w:vAlign w:val="center"/>
          </w:tcPr>
          <w:p w14:paraId="7C07FDED">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二级指标</w:t>
            </w:r>
          </w:p>
        </w:tc>
        <w:tc>
          <w:tcPr>
            <w:tcW w:w="311" w:type="pct"/>
            <w:tcBorders>
              <w:top w:val="single" w:color="000000" w:sz="4" w:space="0"/>
              <w:left w:val="nil"/>
              <w:bottom w:val="single" w:color="000000" w:sz="4" w:space="0"/>
              <w:right w:val="single" w:color="000000" w:sz="4" w:space="0"/>
            </w:tcBorders>
            <w:shd w:val="clear" w:color="auto" w:fill="auto"/>
            <w:vAlign w:val="center"/>
          </w:tcPr>
          <w:p w14:paraId="3886EA2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黑体" w:hAnsi="宋体" w:eastAsia="黑体" w:cs="黑体"/>
                <w:b w:val="0"/>
                <w:bCs w:val="0"/>
                <w:i w:val="0"/>
                <w:iCs w:val="0"/>
                <w:color w:val="000000"/>
                <w:kern w:val="2"/>
                <w:sz w:val="20"/>
                <w:szCs w:val="20"/>
              </w:rPr>
            </w:pPr>
            <w:r>
              <w:rPr>
                <w:rFonts w:hint="eastAsia" w:ascii="黑体" w:hAnsi="宋体" w:eastAsia="黑体" w:cs="黑体"/>
                <w:b w:val="0"/>
                <w:bCs w:val="0"/>
                <w:i w:val="0"/>
                <w:iCs w:val="0"/>
                <w:color w:val="000000"/>
                <w:kern w:val="0"/>
                <w:sz w:val="20"/>
                <w:szCs w:val="20"/>
                <w:lang w:val="en-US" w:eastAsia="zh-CN"/>
              </w:rPr>
              <w:t>三级指标</w:t>
            </w:r>
          </w:p>
        </w:tc>
        <w:tc>
          <w:tcPr>
            <w:tcW w:w="185" w:type="pct"/>
            <w:vMerge w:val="continue"/>
            <w:tcBorders>
              <w:top w:val="single" w:color="000000" w:sz="4" w:space="0"/>
              <w:left w:val="nil"/>
              <w:bottom w:val="single" w:color="000000" w:sz="4" w:space="0"/>
              <w:right w:val="single" w:color="000000" w:sz="4" w:space="0"/>
            </w:tcBorders>
            <w:shd w:val="clear" w:color="auto" w:fill="auto"/>
            <w:vAlign w:val="center"/>
          </w:tcPr>
          <w:p w14:paraId="77828E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76" w:type="pct"/>
            <w:vMerge w:val="continue"/>
            <w:tcBorders>
              <w:top w:val="single" w:color="000000" w:sz="4" w:space="0"/>
              <w:left w:val="nil"/>
              <w:bottom w:val="single" w:color="000000" w:sz="4" w:space="0"/>
              <w:right w:val="single" w:color="000000" w:sz="4" w:space="0"/>
            </w:tcBorders>
            <w:shd w:val="clear" w:color="auto" w:fill="auto"/>
            <w:vAlign w:val="center"/>
          </w:tcPr>
          <w:p w14:paraId="489B2E9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594" w:type="pct"/>
            <w:vMerge w:val="continue"/>
            <w:tcBorders>
              <w:top w:val="single" w:color="000000" w:sz="4" w:space="0"/>
              <w:left w:val="nil"/>
              <w:bottom w:val="single" w:color="000000" w:sz="4" w:space="0"/>
              <w:right w:val="single" w:color="000000" w:sz="4" w:space="0"/>
            </w:tcBorders>
            <w:shd w:val="clear" w:color="auto" w:fill="auto"/>
            <w:vAlign w:val="center"/>
          </w:tcPr>
          <w:p w14:paraId="77D321E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58" w:type="pct"/>
            <w:vMerge w:val="continue"/>
            <w:tcBorders>
              <w:top w:val="single" w:color="000000" w:sz="4" w:space="0"/>
              <w:left w:val="nil"/>
              <w:bottom w:val="single" w:color="000000" w:sz="4" w:space="0"/>
              <w:right w:val="single" w:color="000000" w:sz="4" w:space="0"/>
            </w:tcBorders>
            <w:shd w:val="clear" w:color="auto" w:fill="auto"/>
            <w:vAlign w:val="center"/>
          </w:tcPr>
          <w:p w14:paraId="71C9049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r>
      <w:tr w14:paraId="00778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3" w:hRule="atLeast"/>
          <w:jc w:val="center"/>
        </w:trPr>
        <w:tc>
          <w:tcPr>
            <w:tcW w:w="298" w:type="pct"/>
            <w:vMerge w:val="restart"/>
            <w:tcBorders>
              <w:top w:val="nil"/>
              <w:left w:val="single" w:color="000000" w:sz="4" w:space="0"/>
              <w:bottom w:val="single" w:color="000000" w:sz="4" w:space="0"/>
              <w:right w:val="single" w:color="000000" w:sz="4" w:space="0"/>
            </w:tcBorders>
            <w:shd w:val="clear" w:color="auto" w:fill="auto"/>
            <w:vAlign w:val="center"/>
          </w:tcPr>
          <w:p w14:paraId="7C1AD44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项目决策</w:t>
            </w:r>
          </w:p>
          <w:p w14:paraId="1253510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（30分）</w:t>
            </w:r>
          </w:p>
        </w:tc>
        <w:tc>
          <w:tcPr>
            <w:tcW w:w="274" w:type="pct"/>
            <w:tcBorders>
              <w:top w:val="single" w:color="000000" w:sz="4" w:space="0"/>
              <w:left w:val="nil"/>
              <w:bottom w:val="single" w:color="000000" w:sz="4" w:space="0"/>
              <w:right w:val="single" w:color="000000" w:sz="4" w:space="0"/>
            </w:tcBorders>
            <w:shd w:val="clear" w:color="auto" w:fill="auto"/>
            <w:vAlign w:val="center"/>
          </w:tcPr>
          <w:p w14:paraId="79E717F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决策程序</w:t>
            </w:r>
          </w:p>
        </w:tc>
        <w:tc>
          <w:tcPr>
            <w:tcW w:w="311" w:type="pct"/>
            <w:tcBorders>
              <w:top w:val="single" w:color="000000" w:sz="4" w:space="0"/>
              <w:left w:val="nil"/>
              <w:bottom w:val="single" w:color="000000" w:sz="4" w:space="0"/>
              <w:right w:val="single" w:color="000000" w:sz="4" w:space="0"/>
            </w:tcBorders>
            <w:shd w:val="clear" w:color="auto" w:fill="auto"/>
            <w:vAlign w:val="center"/>
          </w:tcPr>
          <w:p w14:paraId="6241CD57">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程序规范</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1FF465A0">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20</w:t>
            </w:r>
          </w:p>
        </w:tc>
        <w:tc>
          <w:tcPr>
            <w:tcW w:w="1076" w:type="pct"/>
            <w:tcBorders>
              <w:top w:val="single" w:color="000000" w:sz="4" w:space="0"/>
              <w:left w:val="nil"/>
              <w:bottom w:val="single" w:color="000000" w:sz="4" w:space="0"/>
              <w:right w:val="single" w:color="000000" w:sz="4" w:space="0"/>
            </w:tcBorders>
            <w:shd w:val="clear" w:color="auto" w:fill="auto"/>
            <w:vAlign w:val="center"/>
          </w:tcPr>
          <w:p w14:paraId="55F4E47D">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部门预算项目设立是否与部门职能职责相符、是否充分履行项目申报论证程序。</w:t>
            </w:r>
          </w:p>
        </w:tc>
        <w:tc>
          <w:tcPr>
            <w:tcW w:w="2594" w:type="pct"/>
            <w:tcBorders>
              <w:top w:val="single" w:color="000000" w:sz="4" w:space="0"/>
              <w:left w:val="nil"/>
              <w:bottom w:val="single" w:color="000000" w:sz="4" w:space="0"/>
              <w:right w:val="single" w:color="000000" w:sz="4" w:space="0"/>
            </w:tcBorders>
            <w:shd w:val="clear" w:color="auto" w:fill="auto"/>
            <w:vAlign w:val="center"/>
          </w:tcPr>
          <w:p w14:paraId="4212C4BC">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1.项目申报未经过部门集体决策的扣5分；</w:t>
            </w:r>
          </w:p>
          <w:p w14:paraId="3EC5E570">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2.未纳入部门（单位）项目库或未履行部门（单位）入库审批程序的扣5分；</w:t>
            </w:r>
          </w:p>
          <w:p w14:paraId="5884710D">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3.纳入项目库的项目未按规定完成可行性研究论证、制定具体实施计划等各项前期工作或预算测算不够清晰的，酌情扣分，最多扣5分；</w:t>
            </w:r>
          </w:p>
          <w:p w14:paraId="01229F09">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4.50万元以上的新增项目或增幅达到20%或50万元以上的延续项目，未开展事前绩效评估的扣5分；</w:t>
            </w:r>
          </w:p>
          <w:p w14:paraId="1D0FE6D5">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5.如项目为新建信息化项目，项目申报论证未履行相关程序的，缺1项程序扣2分，扣完为止。</w:t>
            </w:r>
          </w:p>
        </w:tc>
        <w:tc>
          <w:tcPr>
            <w:tcW w:w="258" w:type="pct"/>
            <w:tcBorders>
              <w:top w:val="single" w:color="000000" w:sz="4" w:space="0"/>
              <w:left w:val="nil"/>
              <w:bottom w:val="single" w:color="000000" w:sz="4" w:space="0"/>
              <w:right w:val="single" w:color="000000" w:sz="4" w:space="0"/>
            </w:tcBorders>
            <w:shd w:val="clear" w:color="auto" w:fill="auto"/>
            <w:noWrap/>
            <w:vAlign w:val="center"/>
          </w:tcPr>
          <w:p w14:paraId="607D6FA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20</w:t>
            </w:r>
          </w:p>
        </w:tc>
      </w:tr>
      <w:tr w14:paraId="5C2F9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33" w:hRule="atLeast"/>
          <w:jc w:val="center"/>
        </w:trPr>
        <w:tc>
          <w:tcPr>
            <w:tcW w:w="298" w:type="pct"/>
            <w:vMerge w:val="continue"/>
            <w:tcBorders>
              <w:top w:val="nil"/>
              <w:left w:val="single" w:color="000000" w:sz="4" w:space="0"/>
              <w:bottom w:val="single" w:color="000000" w:sz="4" w:space="0"/>
              <w:right w:val="single" w:color="000000" w:sz="4" w:space="0"/>
            </w:tcBorders>
            <w:shd w:val="clear" w:color="auto" w:fill="auto"/>
            <w:vAlign w:val="center"/>
          </w:tcPr>
          <w:p w14:paraId="20203D5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4" w:type="pct"/>
            <w:tcBorders>
              <w:top w:val="single" w:color="000000" w:sz="4" w:space="0"/>
              <w:left w:val="nil"/>
              <w:bottom w:val="single" w:color="000000" w:sz="4" w:space="0"/>
              <w:right w:val="single" w:color="000000" w:sz="4" w:space="0"/>
            </w:tcBorders>
            <w:shd w:val="clear" w:color="auto" w:fill="auto"/>
            <w:vAlign w:val="center"/>
          </w:tcPr>
          <w:p w14:paraId="5CD60440">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目标制定</w:t>
            </w:r>
          </w:p>
        </w:tc>
        <w:tc>
          <w:tcPr>
            <w:tcW w:w="311" w:type="pct"/>
            <w:tcBorders>
              <w:top w:val="single" w:color="000000" w:sz="4" w:space="0"/>
              <w:left w:val="nil"/>
              <w:bottom w:val="single" w:color="000000" w:sz="4" w:space="0"/>
              <w:right w:val="single" w:color="000000" w:sz="4" w:space="0"/>
            </w:tcBorders>
            <w:shd w:val="clear" w:color="auto" w:fill="auto"/>
            <w:vAlign w:val="center"/>
          </w:tcPr>
          <w:p w14:paraId="432BA4A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编制质量</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0AE6B93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10</w:t>
            </w:r>
          </w:p>
        </w:tc>
        <w:tc>
          <w:tcPr>
            <w:tcW w:w="1076" w:type="pct"/>
            <w:tcBorders>
              <w:top w:val="single" w:color="000000" w:sz="4" w:space="0"/>
              <w:left w:val="nil"/>
              <w:bottom w:val="single" w:color="000000" w:sz="4" w:space="0"/>
              <w:right w:val="single" w:color="000000" w:sz="4" w:space="0"/>
            </w:tcBorders>
            <w:shd w:val="clear" w:color="auto" w:fill="auto"/>
            <w:vAlign w:val="center"/>
          </w:tcPr>
          <w:p w14:paraId="7959CE77">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项目绩效目标制定是否符合科学合理、规范完整、量化细化、预算匹配的要求。</w:t>
            </w:r>
          </w:p>
        </w:tc>
        <w:tc>
          <w:tcPr>
            <w:tcW w:w="2594" w:type="pct"/>
            <w:tcBorders>
              <w:top w:val="single" w:color="000000" w:sz="4" w:space="0"/>
              <w:left w:val="nil"/>
              <w:bottom w:val="single" w:color="000000" w:sz="4" w:space="0"/>
              <w:right w:val="single" w:color="000000" w:sz="4" w:space="0"/>
            </w:tcBorders>
            <w:shd w:val="clear" w:color="auto" w:fill="auto"/>
            <w:vAlign w:val="center"/>
          </w:tcPr>
          <w:p w14:paraId="24ABCE28">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1.绩效目标是否符合有关中长期工作规划、部门“三定”方案确定的职责；</w:t>
            </w:r>
          </w:p>
          <w:p w14:paraId="4146651D">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2.绩效目标是否细化分解为具体的绩效指标，指标设置是否高度关联、重点突出、量化易评；</w:t>
            </w:r>
          </w:p>
          <w:p w14:paraId="7384C652">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3.绩效目标是否与年度任务数或计划数相对应；</w:t>
            </w:r>
          </w:p>
          <w:p w14:paraId="76AB800F">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4.绩效目标是否与预算确定的项目投资额或资金量相匹配。</w:t>
            </w:r>
          </w:p>
          <w:p w14:paraId="633DDD8B">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绩效目标制定不符合科学合理、规范完整、量化细化、预算匹配要求的，发现一处扣1分，扣完为止。</w:t>
            </w:r>
          </w:p>
        </w:tc>
        <w:tc>
          <w:tcPr>
            <w:tcW w:w="258" w:type="pct"/>
            <w:tcBorders>
              <w:top w:val="single" w:color="000000" w:sz="4" w:space="0"/>
              <w:left w:val="nil"/>
              <w:bottom w:val="single" w:color="000000" w:sz="4" w:space="0"/>
              <w:right w:val="single" w:color="000000" w:sz="4" w:space="0"/>
            </w:tcBorders>
            <w:shd w:val="clear" w:color="auto" w:fill="auto"/>
            <w:noWrap/>
            <w:vAlign w:val="center"/>
          </w:tcPr>
          <w:p w14:paraId="04161C86">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10</w:t>
            </w:r>
          </w:p>
        </w:tc>
      </w:tr>
      <w:tr w14:paraId="1E79D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jc w:val="center"/>
        </w:trPr>
        <w:tc>
          <w:tcPr>
            <w:tcW w:w="298" w:type="pct"/>
            <w:vMerge w:val="restart"/>
            <w:tcBorders>
              <w:top w:val="nil"/>
              <w:left w:val="single" w:color="000000" w:sz="4" w:space="0"/>
              <w:bottom w:val="nil"/>
              <w:right w:val="single" w:color="000000" w:sz="4" w:space="0"/>
            </w:tcBorders>
            <w:shd w:val="clear" w:color="auto" w:fill="auto"/>
            <w:vAlign w:val="center"/>
          </w:tcPr>
          <w:p w14:paraId="180EA07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项目执行（30分）</w:t>
            </w:r>
          </w:p>
        </w:tc>
        <w:tc>
          <w:tcPr>
            <w:tcW w:w="274" w:type="pct"/>
            <w:tcBorders>
              <w:top w:val="single" w:color="000000" w:sz="4" w:space="0"/>
              <w:left w:val="nil"/>
              <w:bottom w:val="single" w:color="000000" w:sz="4" w:space="0"/>
              <w:right w:val="single" w:color="000000" w:sz="4" w:space="0"/>
            </w:tcBorders>
            <w:shd w:val="clear" w:color="auto" w:fill="auto"/>
            <w:vAlign w:val="center"/>
          </w:tcPr>
          <w:p w14:paraId="688129B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执行同向</w:t>
            </w:r>
          </w:p>
        </w:tc>
        <w:tc>
          <w:tcPr>
            <w:tcW w:w="311" w:type="pct"/>
            <w:tcBorders>
              <w:top w:val="single" w:color="000000" w:sz="4" w:space="0"/>
              <w:left w:val="nil"/>
              <w:bottom w:val="single" w:color="000000" w:sz="4" w:space="0"/>
              <w:right w:val="single" w:color="000000" w:sz="4" w:space="0"/>
            </w:tcBorders>
            <w:shd w:val="clear" w:color="auto" w:fill="auto"/>
            <w:vAlign w:val="center"/>
          </w:tcPr>
          <w:p w14:paraId="1D1C5F5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目标匹配</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4F16CA43">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10</w:t>
            </w:r>
          </w:p>
        </w:tc>
        <w:tc>
          <w:tcPr>
            <w:tcW w:w="1076" w:type="pct"/>
            <w:tcBorders>
              <w:top w:val="single" w:color="000000" w:sz="4" w:space="0"/>
              <w:left w:val="nil"/>
              <w:bottom w:val="single" w:color="000000" w:sz="4" w:space="0"/>
              <w:right w:val="single" w:color="000000" w:sz="4" w:space="0"/>
            </w:tcBorders>
            <w:shd w:val="clear" w:color="auto" w:fill="auto"/>
            <w:vAlign w:val="center"/>
          </w:tcPr>
          <w:p w14:paraId="49C4245C">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项目实际列支内容是否与项目绩效目标设置方向相符。</w:t>
            </w:r>
          </w:p>
        </w:tc>
        <w:tc>
          <w:tcPr>
            <w:tcW w:w="2594" w:type="pct"/>
            <w:tcBorders>
              <w:top w:val="single" w:color="000000" w:sz="4" w:space="0"/>
              <w:left w:val="nil"/>
              <w:bottom w:val="single" w:color="000000" w:sz="4" w:space="0"/>
              <w:right w:val="single" w:color="000000" w:sz="4" w:space="0"/>
            </w:tcBorders>
            <w:shd w:val="clear" w:color="auto" w:fill="auto"/>
            <w:vAlign w:val="center"/>
          </w:tcPr>
          <w:p w14:paraId="4D5FF276">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项目实际列支内容与绩效目标设置方向不相符的，发现一处扣2.5分，扣完为止。</w:t>
            </w:r>
          </w:p>
        </w:tc>
        <w:tc>
          <w:tcPr>
            <w:tcW w:w="258" w:type="pct"/>
            <w:tcBorders>
              <w:top w:val="single" w:color="000000" w:sz="4" w:space="0"/>
              <w:left w:val="nil"/>
              <w:bottom w:val="single" w:color="000000" w:sz="4" w:space="0"/>
              <w:right w:val="single" w:color="000000" w:sz="4" w:space="0"/>
            </w:tcBorders>
            <w:shd w:val="clear" w:color="auto" w:fill="auto"/>
            <w:noWrap/>
            <w:vAlign w:val="center"/>
          </w:tcPr>
          <w:p w14:paraId="4E44B35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10</w:t>
            </w:r>
          </w:p>
        </w:tc>
      </w:tr>
      <w:tr w14:paraId="17907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298" w:type="pct"/>
            <w:vMerge w:val="continue"/>
            <w:tcBorders>
              <w:top w:val="nil"/>
              <w:left w:val="single" w:color="000000" w:sz="4" w:space="0"/>
              <w:bottom w:val="nil"/>
              <w:right w:val="single" w:color="000000" w:sz="4" w:space="0"/>
            </w:tcBorders>
            <w:shd w:val="clear" w:color="auto" w:fill="auto"/>
            <w:vAlign w:val="center"/>
          </w:tcPr>
          <w:p w14:paraId="1763C6A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4" w:type="pct"/>
            <w:tcBorders>
              <w:top w:val="single" w:color="000000" w:sz="4" w:space="0"/>
              <w:left w:val="nil"/>
              <w:bottom w:val="nil"/>
              <w:right w:val="single" w:color="000000" w:sz="4" w:space="0"/>
            </w:tcBorders>
            <w:shd w:val="clear" w:color="auto" w:fill="auto"/>
            <w:vAlign w:val="center"/>
          </w:tcPr>
          <w:p w14:paraId="13BA0EF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项目调整</w:t>
            </w:r>
          </w:p>
        </w:tc>
        <w:tc>
          <w:tcPr>
            <w:tcW w:w="311" w:type="pct"/>
            <w:tcBorders>
              <w:top w:val="single" w:color="000000" w:sz="4" w:space="0"/>
              <w:left w:val="nil"/>
              <w:bottom w:val="single" w:color="000000" w:sz="4" w:space="0"/>
              <w:right w:val="single" w:color="000000" w:sz="4" w:space="0"/>
            </w:tcBorders>
            <w:shd w:val="clear" w:color="auto" w:fill="auto"/>
            <w:vAlign w:val="center"/>
          </w:tcPr>
          <w:p w14:paraId="3848ADB8">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预算调整</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0E0A5C0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10</w:t>
            </w:r>
          </w:p>
        </w:tc>
        <w:tc>
          <w:tcPr>
            <w:tcW w:w="1076" w:type="pct"/>
            <w:tcBorders>
              <w:top w:val="single" w:color="000000" w:sz="4" w:space="0"/>
              <w:left w:val="nil"/>
              <w:bottom w:val="single" w:color="000000" w:sz="4" w:space="0"/>
              <w:right w:val="single" w:color="000000" w:sz="4" w:space="0"/>
            </w:tcBorders>
            <w:shd w:val="clear" w:color="auto" w:fill="auto"/>
            <w:vAlign w:val="center"/>
          </w:tcPr>
          <w:p w14:paraId="1ED781F1">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申请项目预算调整是否程序规范，依据充分。</w:t>
            </w:r>
          </w:p>
        </w:tc>
        <w:tc>
          <w:tcPr>
            <w:tcW w:w="2594" w:type="pct"/>
            <w:tcBorders>
              <w:top w:val="single" w:color="000000" w:sz="4" w:space="0"/>
              <w:left w:val="nil"/>
              <w:bottom w:val="single" w:color="000000" w:sz="4" w:space="0"/>
              <w:right w:val="single" w:color="000000" w:sz="4" w:space="0"/>
            </w:tcBorders>
            <w:shd w:val="clear" w:color="auto" w:fill="auto"/>
            <w:vAlign w:val="center"/>
          </w:tcPr>
          <w:p w14:paraId="274C29A6">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未按照规定程序申请项目预算调整的，不得分；申请预算调整依据不充分的，酌情扣分，扣完为止。</w:t>
            </w:r>
          </w:p>
        </w:tc>
        <w:tc>
          <w:tcPr>
            <w:tcW w:w="258" w:type="pct"/>
            <w:tcBorders>
              <w:top w:val="single" w:color="000000" w:sz="4" w:space="0"/>
              <w:left w:val="nil"/>
              <w:bottom w:val="single" w:color="000000" w:sz="4" w:space="0"/>
              <w:right w:val="single" w:color="000000" w:sz="4" w:space="0"/>
            </w:tcBorders>
            <w:shd w:val="clear" w:color="auto" w:fill="auto"/>
            <w:noWrap/>
            <w:vAlign w:val="center"/>
          </w:tcPr>
          <w:p w14:paraId="54833008">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10</w:t>
            </w:r>
          </w:p>
        </w:tc>
      </w:tr>
      <w:tr w14:paraId="0BE23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jc w:val="center"/>
        </w:trPr>
        <w:tc>
          <w:tcPr>
            <w:tcW w:w="298" w:type="pct"/>
            <w:vMerge w:val="continue"/>
            <w:tcBorders>
              <w:top w:val="nil"/>
              <w:left w:val="single" w:color="000000" w:sz="4" w:space="0"/>
              <w:bottom w:val="nil"/>
              <w:right w:val="single" w:color="000000" w:sz="4" w:space="0"/>
            </w:tcBorders>
            <w:shd w:val="clear" w:color="auto" w:fill="auto"/>
            <w:vAlign w:val="center"/>
          </w:tcPr>
          <w:p w14:paraId="048A5FC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4" w:type="pct"/>
            <w:tcBorders>
              <w:top w:val="single" w:color="000000" w:sz="4" w:space="0"/>
              <w:left w:val="nil"/>
              <w:bottom w:val="single" w:color="000000" w:sz="4" w:space="0"/>
              <w:right w:val="single" w:color="000000" w:sz="4" w:space="0"/>
            </w:tcBorders>
            <w:shd w:val="clear" w:color="auto" w:fill="auto"/>
            <w:vAlign w:val="center"/>
          </w:tcPr>
          <w:p w14:paraId="69A920E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预算执行</w:t>
            </w:r>
          </w:p>
        </w:tc>
        <w:tc>
          <w:tcPr>
            <w:tcW w:w="311" w:type="pct"/>
            <w:tcBorders>
              <w:top w:val="single" w:color="000000" w:sz="4" w:space="0"/>
              <w:left w:val="nil"/>
              <w:bottom w:val="single" w:color="000000" w:sz="4" w:space="0"/>
              <w:right w:val="single" w:color="000000" w:sz="4" w:space="0"/>
            </w:tcBorders>
            <w:shd w:val="clear" w:color="auto" w:fill="auto"/>
            <w:vAlign w:val="center"/>
          </w:tcPr>
          <w:p w14:paraId="528DD7A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执行进度</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19212945">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4</w:t>
            </w:r>
          </w:p>
        </w:tc>
        <w:tc>
          <w:tcPr>
            <w:tcW w:w="1076" w:type="pct"/>
            <w:tcBorders>
              <w:top w:val="single" w:color="000000" w:sz="4" w:space="0"/>
              <w:left w:val="nil"/>
              <w:bottom w:val="single" w:color="000000" w:sz="4" w:space="0"/>
              <w:right w:val="single" w:color="000000" w:sz="4" w:space="0"/>
            </w:tcBorders>
            <w:shd w:val="clear" w:color="auto" w:fill="auto"/>
            <w:vAlign w:val="center"/>
          </w:tcPr>
          <w:p w14:paraId="292B24A5">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部门预算项目在6、9、11月的预算执行情况。</w:t>
            </w:r>
          </w:p>
        </w:tc>
        <w:tc>
          <w:tcPr>
            <w:tcW w:w="2594" w:type="pct"/>
            <w:tcBorders>
              <w:top w:val="single" w:color="000000" w:sz="4" w:space="0"/>
              <w:left w:val="nil"/>
              <w:bottom w:val="single" w:color="000000" w:sz="4" w:space="0"/>
              <w:right w:val="single" w:color="000000" w:sz="4" w:space="0"/>
            </w:tcBorders>
            <w:shd w:val="clear" w:color="auto" w:fill="auto"/>
            <w:vAlign w:val="center"/>
          </w:tcPr>
          <w:p w14:paraId="1661274C">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预算执行进度在6、9、11月应达到序时进度的80%、90%、90%，即实际支出进度分别达到40%、67.5%、82.5%。6、9、11月部门预算执行进度达到目标进度的分别得1分、1分、2分，未达到目标进度的按其实际进度占目标进度的比重计算得分。</w:t>
            </w:r>
          </w:p>
        </w:tc>
        <w:tc>
          <w:tcPr>
            <w:tcW w:w="258" w:type="pct"/>
            <w:tcBorders>
              <w:top w:val="single" w:color="000000" w:sz="4" w:space="0"/>
              <w:left w:val="nil"/>
              <w:bottom w:val="single" w:color="000000" w:sz="4" w:space="0"/>
              <w:right w:val="single" w:color="000000" w:sz="4" w:space="0"/>
            </w:tcBorders>
            <w:shd w:val="clear" w:color="auto" w:fill="auto"/>
            <w:noWrap/>
            <w:vAlign w:val="center"/>
          </w:tcPr>
          <w:p w14:paraId="4920395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44</w:t>
            </w:r>
          </w:p>
        </w:tc>
      </w:tr>
      <w:tr w14:paraId="62D62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jc w:val="center"/>
        </w:trPr>
        <w:tc>
          <w:tcPr>
            <w:tcW w:w="298" w:type="pct"/>
            <w:vMerge w:val="continue"/>
            <w:tcBorders>
              <w:top w:val="nil"/>
              <w:left w:val="single" w:color="000000" w:sz="4" w:space="0"/>
              <w:bottom w:val="nil"/>
              <w:right w:val="single" w:color="000000" w:sz="4" w:space="0"/>
            </w:tcBorders>
            <w:shd w:val="clear" w:color="auto" w:fill="auto"/>
            <w:vAlign w:val="center"/>
          </w:tcPr>
          <w:p w14:paraId="56C44C4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4" w:type="pct"/>
            <w:tcBorders>
              <w:top w:val="single" w:color="000000" w:sz="4" w:space="0"/>
              <w:left w:val="nil"/>
              <w:bottom w:val="single" w:color="000000" w:sz="4" w:space="0"/>
              <w:right w:val="single" w:color="000000" w:sz="4" w:space="0"/>
            </w:tcBorders>
            <w:shd w:val="clear" w:color="auto" w:fill="auto"/>
            <w:vAlign w:val="center"/>
          </w:tcPr>
          <w:p w14:paraId="3DCB03F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预算结余</w:t>
            </w:r>
          </w:p>
        </w:tc>
        <w:tc>
          <w:tcPr>
            <w:tcW w:w="311" w:type="pct"/>
            <w:tcBorders>
              <w:top w:val="single" w:color="000000" w:sz="4" w:space="0"/>
              <w:left w:val="nil"/>
              <w:bottom w:val="single" w:color="000000" w:sz="4" w:space="0"/>
              <w:right w:val="single" w:color="000000" w:sz="4" w:space="0"/>
            </w:tcBorders>
            <w:shd w:val="clear" w:color="auto" w:fill="auto"/>
            <w:vAlign w:val="center"/>
          </w:tcPr>
          <w:p w14:paraId="145CFB0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预算结余率</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7061F39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6</w:t>
            </w:r>
          </w:p>
        </w:tc>
        <w:tc>
          <w:tcPr>
            <w:tcW w:w="1076" w:type="pct"/>
            <w:tcBorders>
              <w:top w:val="single" w:color="000000" w:sz="4" w:space="0"/>
              <w:left w:val="nil"/>
              <w:bottom w:val="single" w:color="000000" w:sz="4" w:space="0"/>
              <w:right w:val="single" w:color="000000" w:sz="4" w:space="0"/>
            </w:tcBorders>
            <w:shd w:val="clear" w:color="auto" w:fill="auto"/>
            <w:noWrap/>
            <w:vAlign w:val="center"/>
          </w:tcPr>
          <w:p w14:paraId="15BFB49B">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部门预算项目年终预算结余情况。</w:t>
            </w:r>
          </w:p>
        </w:tc>
        <w:tc>
          <w:tcPr>
            <w:tcW w:w="2594" w:type="pct"/>
            <w:tcBorders>
              <w:top w:val="single" w:color="000000" w:sz="4" w:space="0"/>
              <w:left w:val="nil"/>
              <w:bottom w:val="single" w:color="000000" w:sz="4" w:space="0"/>
              <w:right w:val="single" w:color="000000" w:sz="4" w:space="0"/>
            </w:tcBorders>
            <w:shd w:val="clear" w:color="auto" w:fill="auto"/>
            <w:vAlign w:val="center"/>
          </w:tcPr>
          <w:p w14:paraId="56176F70">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指标得分=（1-预算结余率/0.1）×6分预算结余率大于等于0.1，指标得0分。预算结余率=结余金额/财政资金预算数×100%</w:t>
            </w:r>
          </w:p>
        </w:tc>
        <w:tc>
          <w:tcPr>
            <w:tcW w:w="258" w:type="pct"/>
            <w:tcBorders>
              <w:top w:val="single" w:color="000000" w:sz="4" w:space="0"/>
              <w:left w:val="nil"/>
              <w:bottom w:val="single" w:color="000000" w:sz="4" w:space="0"/>
              <w:right w:val="single" w:color="000000" w:sz="4" w:space="0"/>
            </w:tcBorders>
            <w:shd w:val="clear" w:color="auto" w:fill="auto"/>
            <w:noWrap/>
            <w:vAlign w:val="center"/>
          </w:tcPr>
          <w:p w14:paraId="58B0A578">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6</w:t>
            </w:r>
          </w:p>
        </w:tc>
      </w:tr>
      <w:tr w14:paraId="0D329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jc w:val="center"/>
        </w:trPr>
        <w:tc>
          <w:tcPr>
            <w:tcW w:w="2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17EB0E">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目标实现（15分）</w:t>
            </w:r>
          </w:p>
        </w:tc>
        <w:tc>
          <w:tcPr>
            <w:tcW w:w="274" w:type="pct"/>
            <w:tcBorders>
              <w:top w:val="single" w:color="000000" w:sz="4" w:space="0"/>
              <w:left w:val="nil"/>
              <w:bottom w:val="single" w:color="000000" w:sz="4" w:space="0"/>
              <w:right w:val="single" w:color="000000" w:sz="4" w:space="0"/>
            </w:tcBorders>
            <w:shd w:val="clear" w:color="auto" w:fill="auto"/>
            <w:vAlign w:val="center"/>
          </w:tcPr>
          <w:p w14:paraId="56E0751F">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目标完成</w:t>
            </w:r>
          </w:p>
        </w:tc>
        <w:tc>
          <w:tcPr>
            <w:tcW w:w="311" w:type="pct"/>
            <w:tcBorders>
              <w:top w:val="single" w:color="000000" w:sz="4" w:space="0"/>
              <w:left w:val="nil"/>
              <w:bottom w:val="single" w:color="000000" w:sz="4" w:space="0"/>
              <w:right w:val="single" w:color="000000" w:sz="4" w:space="0"/>
            </w:tcBorders>
            <w:shd w:val="clear" w:color="auto" w:fill="auto"/>
            <w:vAlign w:val="center"/>
          </w:tcPr>
          <w:p w14:paraId="36EDAE21">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目标完成率</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6DDC33C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8</w:t>
            </w:r>
          </w:p>
        </w:tc>
        <w:tc>
          <w:tcPr>
            <w:tcW w:w="1076" w:type="pct"/>
            <w:tcBorders>
              <w:top w:val="single" w:color="000000" w:sz="4" w:space="0"/>
              <w:left w:val="nil"/>
              <w:bottom w:val="single" w:color="000000" w:sz="4" w:space="0"/>
              <w:right w:val="single" w:color="000000" w:sz="4" w:space="0"/>
            </w:tcBorders>
            <w:shd w:val="clear" w:color="auto" w:fill="auto"/>
            <w:vAlign w:val="center"/>
          </w:tcPr>
          <w:p w14:paraId="5DDF5DAC">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部门预算项目绩效目标中数量指标完成情况。</w:t>
            </w:r>
          </w:p>
        </w:tc>
        <w:tc>
          <w:tcPr>
            <w:tcW w:w="2594" w:type="pct"/>
            <w:tcBorders>
              <w:top w:val="single" w:color="000000" w:sz="4" w:space="0"/>
              <w:left w:val="nil"/>
              <w:bottom w:val="single" w:color="000000" w:sz="4" w:space="0"/>
              <w:right w:val="single" w:color="000000" w:sz="4" w:space="0"/>
            </w:tcBorders>
            <w:shd w:val="clear" w:color="auto" w:fill="auto"/>
            <w:vAlign w:val="center"/>
          </w:tcPr>
          <w:p w14:paraId="78B651C8">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对照部门预算项目支出绩效目标编制情况，计算指标得分=绩效目标数量指标完成的指标个数/全部数量指标个数*8分。</w:t>
            </w:r>
          </w:p>
        </w:tc>
        <w:tc>
          <w:tcPr>
            <w:tcW w:w="258" w:type="pct"/>
            <w:tcBorders>
              <w:top w:val="single" w:color="000000" w:sz="4" w:space="0"/>
              <w:left w:val="nil"/>
              <w:bottom w:val="single" w:color="000000" w:sz="4" w:space="0"/>
              <w:right w:val="single" w:color="000000" w:sz="4" w:space="0"/>
            </w:tcBorders>
            <w:shd w:val="clear" w:color="auto" w:fill="auto"/>
            <w:noWrap/>
            <w:vAlign w:val="center"/>
          </w:tcPr>
          <w:p w14:paraId="54F667E4">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8</w:t>
            </w:r>
          </w:p>
        </w:tc>
      </w:tr>
      <w:tr w14:paraId="47798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jc w:val="center"/>
        </w:trPr>
        <w:tc>
          <w:tcPr>
            <w:tcW w:w="2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5E06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274" w:type="pct"/>
            <w:tcBorders>
              <w:top w:val="single" w:color="000000" w:sz="4" w:space="0"/>
              <w:left w:val="nil"/>
              <w:bottom w:val="single" w:color="000000" w:sz="4" w:space="0"/>
              <w:right w:val="single" w:color="000000" w:sz="4" w:space="0"/>
            </w:tcBorders>
            <w:shd w:val="clear" w:color="auto" w:fill="auto"/>
            <w:vAlign w:val="center"/>
          </w:tcPr>
          <w:p w14:paraId="034A4994">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目标偏离</w:t>
            </w:r>
          </w:p>
        </w:tc>
        <w:tc>
          <w:tcPr>
            <w:tcW w:w="311" w:type="pct"/>
            <w:tcBorders>
              <w:top w:val="single" w:color="000000" w:sz="4" w:space="0"/>
              <w:left w:val="nil"/>
              <w:bottom w:val="single" w:color="000000" w:sz="4" w:space="0"/>
              <w:right w:val="single" w:color="000000" w:sz="4" w:space="0"/>
            </w:tcBorders>
            <w:shd w:val="clear" w:color="auto" w:fill="auto"/>
            <w:vAlign w:val="center"/>
          </w:tcPr>
          <w:p w14:paraId="5905D77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偏离程度</w:t>
            </w:r>
          </w:p>
        </w:tc>
        <w:tc>
          <w:tcPr>
            <w:tcW w:w="185" w:type="pct"/>
            <w:tcBorders>
              <w:top w:val="single" w:color="000000" w:sz="4" w:space="0"/>
              <w:left w:val="nil"/>
              <w:bottom w:val="single" w:color="000000" w:sz="4" w:space="0"/>
              <w:right w:val="single" w:color="000000" w:sz="4" w:space="0"/>
            </w:tcBorders>
            <w:shd w:val="clear" w:color="auto" w:fill="auto"/>
            <w:vAlign w:val="center"/>
          </w:tcPr>
          <w:p w14:paraId="111C030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7</w:t>
            </w:r>
          </w:p>
        </w:tc>
        <w:tc>
          <w:tcPr>
            <w:tcW w:w="1076" w:type="pct"/>
            <w:tcBorders>
              <w:top w:val="single" w:color="000000" w:sz="4" w:space="0"/>
              <w:left w:val="nil"/>
              <w:bottom w:val="single" w:color="000000" w:sz="4" w:space="0"/>
              <w:right w:val="single" w:color="000000" w:sz="4" w:space="0"/>
            </w:tcBorders>
            <w:shd w:val="clear" w:color="auto" w:fill="auto"/>
            <w:vAlign w:val="center"/>
          </w:tcPr>
          <w:p w14:paraId="2A0498FF">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部门预算项目绩效目标实现程度与预期目标的偏离情况。</w:t>
            </w:r>
          </w:p>
        </w:tc>
        <w:tc>
          <w:tcPr>
            <w:tcW w:w="2594" w:type="pct"/>
            <w:tcBorders>
              <w:top w:val="single" w:color="000000" w:sz="4" w:space="0"/>
              <w:left w:val="nil"/>
              <w:bottom w:val="single" w:color="000000" w:sz="4" w:space="0"/>
              <w:right w:val="single" w:color="000000" w:sz="4" w:space="0"/>
            </w:tcBorders>
            <w:shd w:val="clear" w:color="auto" w:fill="auto"/>
            <w:vAlign w:val="center"/>
          </w:tcPr>
          <w:p w14:paraId="5EDE87A0">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部门年初整体支出绩效目标实际完成值偏离预期指标30%以上（含30%）的，均不计分。该项指标得分=已完成预期指标值的数量指标中偏离度在30%内的指标个数/已完成预期指标值的数量指标个数×7。</w:t>
            </w:r>
          </w:p>
          <w:p w14:paraId="617A7C33">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偏离度=（绩效指标实际完成值-设定预期指标值）/设定预期指标值|。</w:t>
            </w:r>
          </w:p>
        </w:tc>
        <w:tc>
          <w:tcPr>
            <w:tcW w:w="258" w:type="pct"/>
            <w:tcBorders>
              <w:top w:val="single" w:color="000000" w:sz="4" w:space="0"/>
              <w:left w:val="nil"/>
              <w:bottom w:val="single" w:color="000000" w:sz="4" w:space="0"/>
              <w:right w:val="single" w:color="000000" w:sz="4" w:space="0"/>
            </w:tcBorders>
            <w:shd w:val="clear" w:color="auto" w:fill="auto"/>
            <w:noWrap/>
            <w:vAlign w:val="center"/>
          </w:tcPr>
          <w:p w14:paraId="20D9F1DC">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7</w:t>
            </w:r>
          </w:p>
        </w:tc>
      </w:tr>
      <w:tr w14:paraId="1C929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2" w:hRule="atLeast"/>
          <w:jc w:val="center"/>
        </w:trPr>
        <w:tc>
          <w:tcPr>
            <w:tcW w:w="2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571ED">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0"/>
                <w:sz w:val="20"/>
                <w:szCs w:val="20"/>
              </w:rPr>
            </w:pPr>
            <w:r>
              <w:rPr>
                <w:rFonts w:hint="eastAsia" w:ascii="宋体" w:hAnsi="宋体" w:eastAsia="宋体" w:cs="宋体"/>
                <w:i w:val="0"/>
                <w:iCs w:val="0"/>
                <w:color w:val="000000"/>
                <w:kern w:val="0"/>
                <w:sz w:val="20"/>
                <w:szCs w:val="20"/>
                <w:lang w:val="en-US" w:eastAsia="zh-CN"/>
              </w:rPr>
              <w:t>项目效果</w:t>
            </w:r>
          </w:p>
          <w:p w14:paraId="070F427A">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(25分）</w:t>
            </w:r>
          </w:p>
        </w:tc>
        <w:tc>
          <w:tcPr>
            <w:tcW w:w="274" w:type="pct"/>
            <w:tcBorders>
              <w:top w:val="single" w:color="000000" w:sz="4" w:space="0"/>
              <w:left w:val="nil"/>
              <w:bottom w:val="single" w:color="000000" w:sz="4" w:space="0"/>
              <w:right w:val="single" w:color="000000" w:sz="4" w:space="0"/>
            </w:tcBorders>
            <w:shd w:val="clear" w:color="auto" w:fill="auto"/>
            <w:vAlign w:val="center"/>
          </w:tcPr>
          <w:p w14:paraId="13475E89">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目标实现</w:t>
            </w:r>
          </w:p>
        </w:tc>
        <w:tc>
          <w:tcPr>
            <w:tcW w:w="4168" w:type="pct"/>
            <w:gridSpan w:val="4"/>
            <w:tcBorders>
              <w:top w:val="single" w:color="000000" w:sz="4" w:space="0"/>
              <w:left w:val="nil"/>
              <w:bottom w:val="single" w:color="000000" w:sz="4" w:space="0"/>
              <w:right w:val="single" w:color="000000" w:sz="4" w:space="0"/>
            </w:tcBorders>
            <w:shd w:val="clear" w:color="auto" w:fill="auto"/>
            <w:vAlign w:val="center"/>
          </w:tcPr>
          <w:p w14:paraId="7649CB95">
            <w:pPr>
              <w:keepNext w:val="0"/>
              <w:keepLines w:val="0"/>
              <w:widowControl/>
              <w:suppressLineNumbers w:val="0"/>
              <w:autoSpaceDE w:val="0"/>
              <w:autoSpaceDN/>
              <w:spacing w:before="0" w:beforeAutospacing="0" w:after="0" w:afterAutospacing="0" w:line="270" w:lineRule="exact"/>
              <w:ind w:left="0" w:right="0"/>
              <w:jc w:val="left"/>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评价组根据部门预算项目绩效目标设定的效益指标、成本指标、满意度指标细化设置三级指标，主要评价效益指标、成本指标的实际完成情况，以及部门是否针对满意度指标开展满意度调查。</w:t>
            </w:r>
          </w:p>
        </w:tc>
        <w:tc>
          <w:tcPr>
            <w:tcW w:w="258" w:type="pct"/>
            <w:tcBorders>
              <w:top w:val="single" w:color="000000" w:sz="4" w:space="0"/>
              <w:left w:val="nil"/>
              <w:bottom w:val="single" w:color="000000" w:sz="4" w:space="0"/>
              <w:right w:val="single" w:color="000000" w:sz="4" w:space="0"/>
            </w:tcBorders>
            <w:shd w:val="clear" w:color="auto" w:fill="auto"/>
            <w:noWrap/>
            <w:vAlign w:val="center"/>
          </w:tcPr>
          <w:p w14:paraId="507FF924">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25</w:t>
            </w:r>
          </w:p>
        </w:tc>
      </w:tr>
      <w:tr w14:paraId="07E78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9" w:hRule="atLeast"/>
          <w:jc w:val="center"/>
        </w:trPr>
        <w:tc>
          <w:tcPr>
            <w:tcW w:w="4741"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1FA3CF8">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b/>
                <w:bCs/>
                <w:i w:val="0"/>
                <w:iCs w:val="0"/>
                <w:color w:val="000000"/>
                <w:kern w:val="2"/>
                <w:sz w:val="20"/>
                <w:szCs w:val="20"/>
              </w:rPr>
            </w:pPr>
            <w:r>
              <w:rPr>
                <w:rFonts w:hint="eastAsia" w:ascii="宋体" w:hAnsi="宋体" w:eastAsia="宋体" w:cs="宋体"/>
                <w:b w:val="0"/>
                <w:bCs w:val="0"/>
                <w:i w:val="0"/>
                <w:iCs w:val="0"/>
                <w:color w:val="000000"/>
                <w:kern w:val="0"/>
                <w:sz w:val="20"/>
                <w:szCs w:val="20"/>
                <w:lang w:val="en-US" w:eastAsia="zh-CN"/>
              </w:rPr>
              <w:t>合计</w:t>
            </w:r>
          </w:p>
        </w:tc>
        <w:tc>
          <w:tcPr>
            <w:tcW w:w="258" w:type="pct"/>
            <w:tcBorders>
              <w:top w:val="single" w:color="000000" w:sz="4" w:space="0"/>
              <w:left w:val="nil"/>
              <w:bottom w:val="single" w:color="000000" w:sz="4" w:space="0"/>
              <w:right w:val="single" w:color="000000" w:sz="4" w:space="0"/>
            </w:tcBorders>
            <w:shd w:val="clear" w:color="auto" w:fill="auto"/>
            <w:vAlign w:val="center"/>
          </w:tcPr>
          <w:p w14:paraId="7C6B8510">
            <w:pPr>
              <w:keepNext w:val="0"/>
              <w:keepLines w:val="0"/>
              <w:widowControl/>
              <w:suppressLineNumbers w:val="0"/>
              <w:autoSpaceDE w:val="0"/>
              <w:autoSpaceDN/>
              <w:spacing w:before="0" w:beforeAutospacing="0" w:after="0" w:afterAutospacing="0" w:line="270" w:lineRule="exact"/>
              <w:ind w:left="0" w:right="0"/>
              <w:jc w:val="center"/>
              <w:textAlignment w:val="center"/>
              <w:rPr>
                <w:rFonts w:hint="eastAsia" w:ascii="宋体" w:hAnsi="宋体" w:eastAsia="宋体" w:cs="宋体"/>
                <w:i w:val="0"/>
                <w:iCs w:val="0"/>
                <w:color w:val="000000"/>
                <w:kern w:val="2"/>
                <w:sz w:val="20"/>
                <w:szCs w:val="20"/>
              </w:rPr>
            </w:pPr>
            <w:r>
              <w:rPr>
                <w:rFonts w:hint="eastAsia" w:ascii="宋体" w:hAnsi="宋体" w:eastAsia="宋体" w:cs="宋体"/>
                <w:i w:val="0"/>
                <w:iCs w:val="0"/>
                <w:color w:val="000000"/>
                <w:kern w:val="0"/>
                <w:sz w:val="20"/>
                <w:szCs w:val="20"/>
                <w:lang w:val="en-US" w:eastAsia="zh-CN"/>
              </w:rPr>
              <w:t>100</w:t>
            </w:r>
          </w:p>
        </w:tc>
      </w:tr>
    </w:tbl>
    <w:p w14:paraId="210D5C83">
      <w:pPr>
        <w:pStyle w:val="12"/>
        <w:ind w:left="0" w:leftChars="0" w:firstLine="0" w:firstLineChars="0"/>
        <w:rPr>
          <w:rFonts w:hint="eastAsia" w:ascii="黑体" w:hAnsi="黑体" w:eastAsia="黑体"/>
          <w:kern w:val="44"/>
          <w:sz w:val="32"/>
          <w:szCs w:val="32"/>
        </w:rPr>
      </w:pPr>
    </w:p>
    <w:p w14:paraId="4C551B2B">
      <w:pPr>
        <w:pStyle w:val="12"/>
        <w:ind w:left="0" w:leftChars="0" w:firstLine="0" w:firstLineChars="0"/>
        <w:rPr>
          <w:rFonts w:hint="eastAsia" w:ascii="黑体" w:hAnsi="黑体" w:eastAsia="黑体"/>
          <w:kern w:val="44"/>
          <w:sz w:val="32"/>
          <w:szCs w:val="32"/>
        </w:rPr>
        <w:sectPr>
          <w:pgSz w:w="12240" w:h="15840"/>
          <w:pgMar w:top="2098" w:right="1474" w:bottom="1984" w:left="1587" w:header="720" w:footer="720" w:gutter="0"/>
          <w:lnNumType w:countBy="0" w:distance="360"/>
          <w:pgNumType w:fmt="decimal"/>
          <w:cols w:space="0" w:num="1"/>
          <w:rtlGutter w:val="0"/>
          <w:docGrid w:linePitch="0" w:charSpace="0"/>
        </w:sectPr>
      </w:pPr>
    </w:p>
    <w:p w14:paraId="1FFEC034">
      <w:pPr>
        <w:keepNext/>
        <w:keepLines/>
        <w:pageBreakBefore/>
        <w:widowControl w:val="0"/>
        <w:kinsoku/>
        <w:wordWrap/>
        <w:overflowPunct/>
        <w:topLinePunct w:val="0"/>
        <w:autoSpaceDE w:val="0"/>
        <w:autoSpaceDN w:val="0"/>
        <w:bidi w:val="0"/>
        <w:adjustRightInd w:val="0"/>
        <w:snapToGrid/>
        <w:spacing w:beforeLines="0" w:after="313" w:afterLines="0" w:line="576" w:lineRule="exact"/>
        <w:jc w:val="center"/>
        <w:textAlignment w:val="auto"/>
        <w:outlineLvl w:val="0"/>
        <w:rPr>
          <w:rFonts w:hint="eastAsia" w:ascii="黑体" w:hAnsi="黑体" w:eastAsia="黑体"/>
          <w:kern w:val="44"/>
          <w:sz w:val="44"/>
          <w:szCs w:val="24"/>
        </w:rPr>
      </w:pPr>
      <w:bookmarkStart w:id="27" w:name="_Toc26135"/>
      <w:r>
        <w:rPr>
          <w:rFonts w:hint="eastAsia" w:ascii="黑体" w:hAnsi="黑体" w:eastAsia="黑体"/>
          <w:color w:val="000000"/>
          <w:kern w:val="2"/>
          <w:sz w:val="44"/>
          <w:szCs w:val="24"/>
        </w:rPr>
        <w:t>第</w:t>
      </w:r>
      <w:r>
        <w:rPr>
          <w:rFonts w:hint="eastAsia" w:ascii="黑体" w:hAnsi="黑体" w:eastAsia="黑体"/>
          <w:kern w:val="44"/>
          <w:sz w:val="44"/>
          <w:szCs w:val="24"/>
        </w:rPr>
        <w:t>五部分  附表</w:t>
      </w:r>
      <w:bookmarkEnd w:id="27"/>
    </w:p>
    <w:p w14:paraId="69DCFAC2">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28" w:name="_Toc28297"/>
      <w:r>
        <w:rPr>
          <w:rFonts w:hint="eastAsia" w:ascii="仿宋_GB2312" w:hAnsi="仿宋_GB2312" w:eastAsia="仿宋_GB2312"/>
          <w:color w:val="000000"/>
          <w:kern w:val="2"/>
          <w:sz w:val="32"/>
          <w:szCs w:val="24"/>
        </w:rPr>
        <w:t>一、收</w:t>
      </w:r>
      <w:r>
        <w:rPr>
          <w:rFonts w:hint="eastAsia" w:ascii="仿宋_GB2312" w:hAnsi="仿宋_GB2312" w:eastAsia="仿宋_GB2312"/>
          <w:kern w:val="2"/>
          <w:sz w:val="32"/>
          <w:szCs w:val="24"/>
        </w:rPr>
        <w:t>入支出决算总表</w:t>
      </w:r>
      <w:bookmarkEnd w:id="28"/>
    </w:p>
    <w:p w14:paraId="6A03905D">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29" w:name="_Toc2372"/>
      <w:r>
        <w:rPr>
          <w:rFonts w:hint="eastAsia" w:ascii="仿宋_GB2312" w:hAnsi="仿宋_GB2312" w:eastAsia="仿宋_GB2312"/>
          <w:color w:val="000000"/>
          <w:kern w:val="2"/>
          <w:sz w:val="32"/>
          <w:szCs w:val="24"/>
        </w:rPr>
        <w:t>二、收</w:t>
      </w:r>
      <w:r>
        <w:rPr>
          <w:rFonts w:hint="eastAsia" w:ascii="仿宋_GB2312" w:hAnsi="仿宋_GB2312" w:eastAsia="仿宋_GB2312"/>
          <w:kern w:val="2"/>
          <w:sz w:val="32"/>
          <w:szCs w:val="24"/>
        </w:rPr>
        <w:t>入决算表</w:t>
      </w:r>
      <w:bookmarkEnd w:id="29"/>
    </w:p>
    <w:p w14:paraId="1FCE5105">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0" w:name="_Toc9745"/>
      <w:r>
        <w:rPr>
          <w:rFonts w:hint="eastAsia" w:ascii="仿宋_GB2312" w:hAnsi="仿宋_GB2312" w:eastAsia="仿宋_GB2312"/>
          <w:kern w:val="2"/>
          <w:sz w:val="32"/>
          <w:szCs w:val="24"/>
        </w:rPr>
        <w:t>三、</w:t>
      </w:r>
      <w:r>
        <w:rPr>
          <w:rFonts w:hint="eastAsia" w:ascii="仿宋_GB2312" w:hAnsi="仿宋_GB2312" w:eastAsia="仿宋_GB2312"/>
          <w:color w:val="000000"/>
          <w:kern w:val="2"/>
          <w:sz w:val="32"/>
          <w:szCs w:val="24"/>
        </w:rPr>
        <w:t>支</w:t>
      </w:r>
      <w:r>
        <w:rPr>
          <w:rFonts w:hint="eastAsia" w:ascii="仿宋_GB2312" w:hAnsi="仿宋_GB2312" w:eastAsia="仿宋_GB2312"/>
          <w:kern w:val="2"/>
          <w:sz w:val="32"/>
          <w:szCs w:val="24"/>
        </w:rPr>
        <w:t>出决算表</w:t>
      </w:r>
      <w:bookmarkEnd w:id="30"/>
    </w:p>
    <w:p w14:paraId="09EED079">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color w:val="000000"/>
          <w:kern w:val="2"/>
          <w:sz w:val="32"/>
          <w:szCs w:val="24"/>
        </w:rPr>
      </w:pPr>
      <w:bookmarkStart w:id="31" w:name="_Toc11551"/>
      <w:r>
        <w:rPr>
          <w:rFonts w:hint="eastAsia" w:ascii="仿宋_GB2312" w:hAnsi="仿宋_GB2312" w:eastAsia="仿宋_GB2312"/>
          <w:kern w:val="2"/>
          <w:sz w:val="32"/>
          <w:szCs w:val="24"/>
        </w:rPr>
        <w:t>四、</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政拨款收入支出决算总表</w:t>
      </w:r>
      <w:bookmarkEnd w:id="31"/>
    </w:p>
    <w:p w14:paraId="0C630973">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bookmarkStart w:id="32" w:name="_Toc21063"/>
      <w:r>
        <w:rPr>
          <w:rFonts w:hint="eastAsia" w:ascii="仿宋_GB2312" w:hAnsi="仿宋_GB2312" w:eastAsia="仿宋_GB2312"/>
          <w:kern w:val="2"/>
          <w:sz w:val="32"/>
          <w:szCs w:val="24"/>
        </w:rPr>
        <w:t>五、</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政拨款支出决算明细表</w:t>
      </w:r>
      <w:bookmarkEnd w:id="32"/>
    </w:p>
    <w:p w14:paraId="54669825">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3" w:name="_Toc31690"/>
      <w:r>
        <w:rPr>
          <w:rFonts w:hint="eastAsia" w:ascii="仿宋_GB2312" w:hAnsi="仿宋_GB2312" w:eastAsia="仿宋_GB2312"/>
          <w:kern w:val="2"/>
          <w:sz w:val="32"/>
          <w:szCs w:val="24"/>
        </w:rPr>
        <w:t>六、</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般公共预算财政拨款支出决算表</w:t>
      </w:r>
      <w:bookmarkEnd w:id="33"/>
    </w:p>
    <w:p w14:paraId="0AEC33B7">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4" w:name="_Toc7293"/>
      <w:r>
        <w:rPr>
          <w:rFonts w:hint="eastAsia" w:ascii="仿宋_GB2312" w:hAnsi="仿宋_GB2312" w:eastAsia="仿宋_GB2312"/>
          <w:kern w:val="2"/>
          <w:sz w:val="32"/>
          <w:szCs w:val="24"/>
        </w:rPr>
        <w:t>七、</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般公共预算财政拨款支出决算明细表</w:t>
      </w:r>
      <w:bookmarkEnd w:id="34"/>
    </w:p>
    <w:p w14:paraId="504F476B">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5" w:name="_Toc27169"/>
      <w:r>
        <w:rPr>
          <w:rFonts w:hint="eastAsia" w:ascii="仿宋_GB2312" w:hAnsi="仿宋_GB2312" w:eastAsia="仿宋_GB2312"/>
          <w:kern w:val="2"/>
          <w:sz w:val="32"/>
          <w:szCs w:val="24"/>
        </w:rPr>
        <w:t>八、</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般公共预算财政拨款基本支出决算表</w:t>
      </w:r>
      <w:bookmarkEnd w:id="35"/>
    </w:p>
    <w:p w14:paraId="7E2D81CB">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6" w:name="_Toc7082"/>
      <w:r>
        <w:rPr>
          <w:rFonts w:hint="eastAsia" w:ascii="仿宋_GB2312" w:hAnsi="仿宋_GB2312" w:eastAsia="仿宋_GB2312"/>
          <w:kern w:val="2"/>
          <w:sz w:val="32"/>
          <w:szCs w:val="24"/>
        </w:rPr>
        <w:t>九、</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般公共预算财政拨款项目支出决算表</w:t>
      </w:r>
      <w:bookmarkEnd w:id="36"/>
    </w:p>
    <w:p w14:paraId="4B46B0D7">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b/>
          <w:color w:val="000000"/>
          <w:kern w:val="2"/>
          <w:sz w:val="32"/>
          <w:szCs w:val="24"/>
        </w:rPr>
      </w:pPr>
      <w:bookmarkStart w:id="37" w:name="_Toc31395"/>
      <w:r>
        <w:rPr>
          <w:rFonts w:hint="eastAsia" w:ascii="仿宋_GB2312" w:hAnsi="仿宋_GB2312" w:eastAsia="仿宋_GB2312"/>
          <w:kern w:val="2"/>
          <w:sz w:val="32"/>
          <w:szCs w:val="24"/>
        </w:rPr>
        <w:t>十、</w:t>
      </w:r>
      <w:r>
        <w:rPr>
          <w:rFonts w:hint="eastAsia" w:ascii="仿宋_GB2312" w:hAnsi="仿宋_GB2312" w:eastAsia="仿宋_GB2312"/>
          <w:color w:val="000000"/>
          <w:kern w:val="2"/>
          <w:sz w:val="32"/>
          <w:szCs w:val="24"/>
        </w:rPr>
        <w:t>政</w:t>
      </w:r>
      <w:r>
        <w:rPr>
          <w:rFonts w:hint="eastAsia" w:ascii="仿宋_GB2312" w:hAnsi="仿宋_GB2312" w:eastAsia="仿宋_GB2312"/>
          <w:kern w:val="2"/>
          <w:sz w:val="32"/>
          <w:szCs w:val="24"/>
        </w:rPr>
        <w:t>府性基金预算财政拨款收入支出决算表</w:t>
      </w:r>
      <w:bookmarkEnd w:id="37"/>
    </w:p>
    <w:p w14:paraId="4BC0D7C8">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bookmarkStart w:id="38" w:name="_Toc31275"/>
      <w:r>
        <w:rPr>
          <w:rFonts w:hint="eastAsia" w:ascii="仿宋_GB2312" w:hAnsi="仿宋_GB2312" w:eastAsia="仿宋_GB2312"/>
          <w:kern w:val="2"/>
          <w:sz w:val="32"/>
          <w:szCs w:val="24"/>
        </w:rPr>
        <w:t>十一、国有资本经营预算财政拨款收入支出决算表</w:t>
      </w:r>
      <w:bookmarkEnd w:id="38"/>
    </w:p>
    <w:p w14:paraId="0EF7578F">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bookmarkStart w:id="39" w:name="_Toc169"/>
      <w:r>
        <w:rPr>
          <w:rFonts w:hint="eastAsia" w:ascii="仿宋_GB2312" w:hAnsi="仿宋_GB2312" w:eastAsia="仿宋_GB2312"/>
          <w:kern w:val="2"/>
          <w:sz w:val="32"/>
          <w:szCs w:val="24"/>
        </w:rPr>
        <w:t>十二、</w:t>
      </w:r>
      <w:r>
        <w:rPr>
          <w:rFonts w:hint="eastAsia" w:ascii="仿宋_GB2312" w:hAnsi="仿宋_GB2312" w:eastAsia="仿宋_GB2312"/>
          <w:color w:val="000000"/>
          <w:kern w:val="2"/>
          <w:sz w:val="32"/>
          <w:szCs w:val="24"/>
        </w:rPr>
        <w:t>国</w:t>
      </w:r>
      <w:r>
        <w:rPr>
          <w:rFonts w:hint="eastAsia" w:ascii="仿宋_GB2312" w:hAnsi="仿宋_GB2312" w:eastAsia="仿宋_GB2312"/>
          <w:kern w:val="2"/>
          <w:sz w:val="32"/>
          <w:szCs w:val="24"/>
        </w:rPr>
        <w:t>有资本经营预算财政拨款支出决算表</w:t>
      </w:r>
      <w:bookmarkEnd w:id="39"/>
    </w:p>
    <w:p w14:paraId="4F60EC5A">
      <w:pPr>
        <w:pStyle w:val="4"/>
        <w:keepNext/>
        <w:keepLines/>
        <w:kinsoku/>
        <w:wordWrap/>
        <w:autoSpaceDE w:val="0"/>
        <w:autoSpaceDN w:val="0"/>
        <w:bidi w:val="0"/>
        <w:adjustRightInd w:val="0"/>
        <w:spacing w:beforeLines="0" w:afterLines="0" w:line="576" w:lineRule="exact"/>
        <w:ind w:firstLine="640"/>
        <w:jc w:val="both"/>
        <w:textAlignment w:val="auto"/>
        <w:rPr>
          <w:rFonts w:hint="eastAsia" w:ascii="仿宋_GB2312" w:hAnsi="仿宋_GB2312" w:eastAsia="仿宋_GB2312"/>
          <w:kern w:val="2"/>
          <w:sz w:val="32"/>
          <w:szCs w:val="24"/>
        </w:rPr>
      </w:pPr>
      <w:bookmarkStart w:id="40" w:name="_Toc26346"/>
      <w:bookmarkStart w:id="41" w:name="_Toc3746"/>
      <w:r>
        <w:rPr>
          <w:rFonts w:hint="eastAsia" w:ascii="仿宋_GB2312" w:hAnsi="仿宋_GB2312" w:eastAsia="仿宋_GB2312"/>
          <w:kern w:val="2"/>
          <w:sz w:val="32"/>
          <w:szCs w:val="24"/>
        </w:rPr>
        <w:t>十三、财政拨款“三公”经费支出决算表</w:t>
      </w:r>
      <w:bookmarkEnd w:id="40"/>
      <w:bookmarkEnd w:id="41"/>
    </w:p>
    <w:p w14:paraId="1E2D88A2">
      <w:pPr>
        <w:kinsoku/>
        <w:wordWrap/>
        <w:autoSpaceDE w:val="0"/>
        <w:autoSpaceDN w:val="0"/>
        <w:bidi w:val="0"/>
        <w:adjustRightInd w:val="0"/>
        <w:spacing w:beforeLines="0" w:afterLines="0" w:line="576" w:lineRule="exact"/>
        <w:textAlignment w:val="auto"/>
        <w:rPr>
          <w:rFonts w:hint="eastAsia" w:ascii="方正小标宋简体" w:hAnsi="方正小标宋简体" w:eastAsia="方正小标宋简体"/>
          <w:color w:val="000000"/>
          <w:kern w:val="2"/>
          <w:sz w:val="30"/>
          <w:szCs w:val="24"/>
        </w:rPr>
      </w:pPr>
      <w:r>
        <w:rPr>
          <w:rFonts w:hint="eastAsia" w:ascii="仿宋_GB2312" w:hAnsi="仿宋_GB2312" w:eastAsia="仿宋_GB2312"/>
          <w:kern w:val="2"/>
          <w:sz w:val="32"/>
          <w:szCs w:val="24"/>
        </w:rPr>
        <w:t xml:space="preserve">    </w:t>
      </w:r>
    </w:p>
    <w:sectPr>
      <w:pgSz w:w="12240" w:h="15840"/>
      <w:pgMar w:top="2098" w:right="1474" w:bottom="1984" w:left="1587" w:header="720" w:footer="720" w:gutter="0"/>
      <w:lnNumType w:countBy="0" w:distance="36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D295685-A8C1-4BBC-BCEE-39AEBFA2D29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embedRegular r:id="rId2" w:fontKey="{02A76260-31BD-41AD-833C-716A43A962DA}"/>
  </w:font>
  <w:font w:name="仿宋">
    <w:panose1 w:val="02010609060101010101"/>
    <w:charset w:val="86"/>
    <w:family w:val="auto"/>
    <w:pitch w:val="default"/>
    <w:sig w:usb0="800002BF" w:usb1="38CF7CFA" w:usb2="00000016" w:usb3="00000000" w:csb0="00040001" w:csb1="00000000"/>
    <w:embedRegular r:id="rId3" w:fontKey="{65485F0F-5BD6-4F1B-BA6B-8ACACAEE4FAB}"/>
  </w:font>
  <w:font w:name="Cambria">
    <w:panose1 w:val="02040503050406030204"/>
    <w:charset w:val="00"/>
    <w:family w:val="auto"/>
    <w:pitch w:val="default"/>
    <w:sig w:usb0="E00006FF" w:usb1="420024FF" w:usb2="02000000" w:usb3="00000000" w:csb0="2000019F" w:csb1="00000000"/>
    <w:embedRegular r:id="rId4" w:fontKey="{6FFB25F2-CF49-4603-92E2-A47367D16BB6}"/>
  </w:font>
  <w:font w:name="Dialog . plain">
    <w:altName w:val="Segoe Print"/>
    <w:panose1 w:val="00000000000000000000"/>
    <w:charset w:val="00"/>
    <w:family w:val="auto"/>
    <w:pitch w:val="default"/>
    <w:sig w:usb0="00000000" w:usb1="00000000" w:usb2="00000000" w:usb3="00000000" w:csb0="00000000" w:csb1="00000000"/>
    <w:embedRegular r:id="rId5" w:fontKey="{D2B5EE46-B499-4B33-8C3C-E93379F57D0E}"/>
  </w:font>
  <w:font w:name="Segoe Print">
    <w:panose1 w:val="02000600000000000000"/>
    <w:charset w:val="00"/>
    <w:family w:val="auto"/>
    <w:pitch w:val="default"/>
    <w:sig w:usb0="0000028F" w:usb1="00000000" w:usb2="00000000" w:usb3="00000000" w:csb0="2000009F" w:csb1="47010000"/>
  </w:font>
  <w:font w:name="方正小标宋简体">
    <w:panose1 w:val="02000000000000000000"/>
    <w:charset w:val="86"/>
    <w:family w:val="auto"/>
    <w:pitch w:val="default"/>
    <w:sig w:usb0="00000001" w:usb1="08000000" w:usb2="00000000" w:usb3="00000000" w:csb0="00040000" w:csb1="00000000"/>
    <w:embedRegular r:id="rId6" w:fontKey="{D452274E-D2CE-4238-BAD7-30D29FF1D601}"/>
  </w:font>
  <w:font w:name="汉仪细圆B5">
    <w:altName w:val="Segoe Print"/>
    <w:panose1 w:val="00000000000000000000"/>
    <w:charset w:val="00"/>
    <w:family w:val="auto"/>
    <w:pitch w:val="default"/>
    <w:sig w:usb0="00000000" w:usb1="00000000" w:usb2="00000000" w:usb3="00000000" w:csb0="00000000" w:csb1="00000000"/>
    <w:embedRegular r:id="rId7" w:fontKey="{9C7369CA-83C5-413E-8861-21F590076C26}"/>
  </w:font>
  <w:font w:name="华文中宋">
    <w:panose1 w:val="02010600040101010101"/>
    <w:charset w:val="86"/>
    <w:family w:val="auto"/>
    <w:pitch w:val="default"/>
    <w:sig w:usb0="00000287" w:usb1="080F0000" w:usb2="00000000" w:usb3="00000000" w:csb0="0004009F" w:csb1="DFD70000"/>
    <w:embedRegular r:id="rId8" w:fontKey="{C247572E-761B-4609-87FD-839399A213F8}"/>
  </w:font>
  <w:font w:name="楷体_GB2312">
    <w:panose1 w:val="02010609030101010101"/>
    <w:charset w:val="86"/>
    <w:family w:val="auto"/>
    <w:pitch w:val="default"/>
    <w:sig w:usb0="00000001" w:usb1="080E0000" w:usb2="00000000" w:usb3="00000000" w:csb0="00040000" w:csb1="00000000"/>
    <w:embedRegular r:id="rId9" w:fontKey="{32D92CCA-01BC-4501-B55B-8E9663A02C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0FE0D">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48361670">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sPgPEBAgAACgQAAA4AAABkcnMvZTJvRG9jLnhtbK1TwY7TMBC9I/EP&#10;lu80bQ+rKmq6QlRFSCu20sIHuI7TWLI91thtUj4A/oATF+58V7+DsZN2l4XDHrg4z+PJ87w34+Vt&#10;bw07KgwaXMVnkylnykmotdtX/POnzZsFZyEKVwsDTlX8pAK/Xb1+tex8qebQgqkVMiJxoex8xdsY&#10;fVkUQbbKijABrxwdNoBWRNrivqhRdMRuTTGfTm+KDrD2CFKFQNH1cMhHRnwJITSNlmoN8mCViwMr&#10;KiMiSQqt9oGvcrVNo2S8b5qgIjMVJ6Uxr3QJ4V1ai9VSlHsUvtVyLEG8pIRnmqzQji69Uq1FFOyA&#10;+i8qqyVCgCZOJNhiEJIdIRWz6TNvHlrhVdZCVgd/NT38P1r58bhFpmuahBvOnLDU8fP3b+cfv84/&#10;v7J58qfzoaS0B7/FcRcIJrF9gzZ9SQbrs6enq6eqj0xScLaYLxZTslvS2WVDPMXj7x5DfK/AsgQq&#10;jtS07KU43oU4pF5S0m0ONtoYiovSuD8CxJkiRap4qDGh2O/6sfAd1CeSizDMQfByo+nOOxHiViA1&#10;nuqkpxHvaWkMdBWHEXHWAn75VzzlUz/olLOOBqnijt4NZ+aDoz6lmbsAvIDdBbiDfQc0mTPOMJoM&#10;6QfhJNFVPHJ28Kj3ba42KQ3+7SGS/OxK0jYIGiXTiGRfx3FOM/h0n7Men/D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l1uVLQAAAABQEAAA8AAAAAAAAAAQAgAAAAIgAAAGRycy9kb3ducmV2Lnht&#10;bFBLAQIUABQAAAAIAIdO4kB7D4DxAQIAAAoEAAAOAAAAAAAAAAEAIAAAAB8BAABkcnMvZTJvRG9j&#10;LnhtbFBLBQYAAAAABgAGAFkBAACSBQAAAAA=&#10;">
              <v:fill on="f" focussize="0,0"/>
              <v:stroke on="f"/>
              <v:imagedata o:title=""/>
              <o:lock v:ext="edit" aspectratio="f"/>
              <v:textbox inset="0mm,0mm,0mm,0mm" style="mso-fit-shape-to-text:t;">
                <w:txbxContent>
                  <w:p w14:paraId="48361670">
                    <w:pPr>
                      <w:pStyle w:val="7"/>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83B7">
    <w:pPr>
      <w:pStyle w:val="7"/>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2DF64309">
                          <w:pPr>
                            <w:pStyle w:val="7"/>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SmdrwCAgAACgQAAA4AAABkcnMvZTJvRG9jLnhtbK1TwY7TMBC9I/EP&#10;lu80bUGoipquEFUR0oqttPABruM0lmyPNXablA+AP+DEhTvf1e9g7KRdWDjsgYvzPJ48z3szXt70&#10;1rCjwqDBVXw2mXKmnIRau33FP33cvFhwFqJwtTDgVMVPKvCb1fNny86Xag4tmFohIxIXys5XvI3R&#10;l0URZKusCBPwytFhA2hFpC3uixpFR+zWFPPp9HXRAdYeQaoQKLoeDvnIiE8hhKbRUq1BHqxycWBF&#10;ZUQkSaHVPvBVrrZplIx3TRNUZKbipDTmlS4hvEtrsVqKco/Ct1qOJYinlPBIkxXa0aVXqrWIgh1Q&#10;/0VltUQI0MSJBFsMQrIjpGI2feTNfSu8ylrI6uCvpof/Rys/HLfIdF3x+SvOnLDU8fO3r+fvP88/&#10;vrCXyZ/Oh5LS7v0Wx10gmMT2Ddr0JRmsz56erp6qPjJJwdlivlhMyW5JZ5cN8RQPv3sM8Z0CyxKo&#10;OFLTspfieBvikHpJSbc52GhjKC5K4/4IEGeKFKniocaEYr/rx8J3UJ9ILsIwB8HLjaY7b0WIW4HU&#10;eKqTnka8o6Ux0FUcRsRZC/j5X/GUT/2gU846GqSKO3o3nJn3jvqUZu4C8AJ2F+AO9i3QZM44w2gy&#10;pB+Ek0RX8cjZwaPet7napDT4N4dI8rMrSdsgaJRMI5J9Hcc5zeDv+5z18IRX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5dblS0AAAAAUBAAAPAAAAAAAAAAEAIAAAACIAAABkcnMvZG93bnJldi54&#10;bWxQSwECFAAUAAAACACHTuJAtKZ2vAICAAAKBAAADgAAAAAAAAABACAAAAAfAQAAZHJzL2Uyb0Rv&#10;Yy54bWxQSwUGAAAAAAYABgBZAQAAkwUAAAAA&#10;">
              <v:fill on="f" focussize="0,0"/>
              <v:stroke on="f"/>
              <v:imagedata o:title=""/>
              <o:lock v:ext="edit" aspectratio="f"/>
              <v:textbox inset="0mm,0mm,0mm,0mm" style="mso-fit-shape-to-text:t;">
                <w:txbxContent>
                  <w:p w14:paraId="2DF64309">
                    <w:pPr>
                      <w:pStyle w:val="7"/>
                    </w:pPr>
                    <w:r>
                      <w:fldChar w:fldCharType="begin"/>
                    </w:r>
                    <w:r>
                      <w:instrText xml:space="preserve"> PAGE  \* MERGEFORMAT </w:instrText>
                    </w:r>
                    <w:r>
                      <w:fldChar w:fldCharType="separate"/>
                    </w:r>
                    <w:r>
                      <w:t>81</w:t>
                    </w:r>
                    <w: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8FD5B">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720"/>
  <w:drawingGridHorizontalSpacing w:val="120"/>
  <w:drawingGridVerticalSpacing w:val="120"/>
  <w:displayHorizontalDrawingGridEvery w:val="0"/>
  <w:displayVerticalDrawingGridEvery w:val="2"/>
  <w:doNotUseMarginsForDrawingGridOrigin w:val="1"/>
  <w:drawingGridHorizontalOrigin w:val="1701"/>
  <w:drawingGridVerticalOrigin w:val="1984"/>
  <w:doNotShadeFormData w:val="1"/>
  <w:characterSpacingControl w:val="compressPunctuation"/>
  <w:doNotValidateAgainstSchema/>
  <w:doNotDemarcateInvalidXml/>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5NjM4YjE1MTk1NmU3MjE3MDFhZDcyODQ0MjAzNWUifQ=="/>
  </w:docVars>
  <w:rsids>
    <w:rsidRoot w:val="00000000"/>
    <w:rsid w:val="2E693389"/>
    <w:rsid w:val="7F7152C6"/>
  </w:rsids>
  <m:mathPr>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qFormat="1" w:uiPriority="99" w:semiHidden="0" w:name="Default Paragraph Font"/>
    <w:lsdException w:qFormat="1"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uiPriority="99"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0" w:semiHidden="0" w:name="Table Grid"/>
    <w:lsdException w:qFormat="1"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adjustRightInd w:val="0"/>
      <w:spacing w:beforeLines="0" w:afterLines="0"/>
    </w:pPr>
    <w:rPr>
      <w:rFonts w:hint="eastAsia" w:ascii="Times New Roman" w:hAnsi="Times New Roman" w:eastAsia="宋体" w:cs="Times New Roman"/>
      <w:sz w:val="24"/>
      <w:szCs w:val="24"/>
      <w:lang w:val="en-US" w:eastAsia="zh-CN" w:bidi="ar-SA"/>
    </w:rPr>
  </w:style>
  <w:style w:type="paragraph" w:styleId="3">
    <w:name w:val="heading 1"/>
    <w:basedOn w:val="1"/>
    <w:link w:val="17"/>
    <w:unhideWhenUsed/>
    <w:qFormat/>
    <w:uiPriority w:val="99"/>
    <w:pPr>
      <w:spacing w:beforeLines="0" w:afterLines="0"/>
      <w:outlineLvl w:val="0"/>
    </w:pPr>
    <w:rPr>
      <w:rFonts w:hint="eastAsia"/>
      <w:sz w:val="24"/>
      <w:szCs w:val="24"/>
    </w:rPr>
  </w:style>
  <w:style w:type="paragraph" w:styleId="4">
    <w:name w:val="heading 2"/>
    <w:basedOn w:val="1"/>
    <w:link w:val="18"/>
    <w:unhideWhenUsed/>
    <w:qFormat/>
    <w:uiPriority w:val="99"/>
    <w:pPr>
      <w:spacing w:beforeLines="0" w:afterLines="0"/>
      <w:outlineLvl w:val="1"/>
    </w:pPr>
    <w:rPr>
      <w:rFonts w:hint="eastAsia"/>
      <w:sz w:val="24"/>
      <w:szCs w:val="24"/>
    </w:rPr>
  </w:style>
  <w:style w:type="character" w:default="1" w:styleId="15">
    <w:name w:val="Default Paragraph Font"/>
    <w:unhideWhenUsed/>
    <w:qFormat/>
    <w:uiPriority w:val="99"/>
    <w:rPr>
      <w:rFonts w:hint="default"/>
      <w:sz w:val="24"/>
      <w:szCs w:val="24"/>
    </w:rPr>
  </w:style>
  <w:style w:type="table" w:default="1" w:styleId="13">
    <w:name w:val="Normal Table"/>
    <w:qFormat/>
    <w:uiPriority w:val="99"/>
    <w:rPr>
      <w:sz w:val="24"/>
      <w:szCs w:val="24"/>
    </w:rPr>
    <w:tblPr>
      <w:tblCellMar>
        <w:top w:w="0" w:type="dxa"/>
        <w:left w:w="108" w:type="dxa"/>
        <w:bottom w:w="0" w:type="dxa"/>
        <w:right w:w="108" w:type="dxa"/>
      </w:tblCellMar>
    </w:tblPr>
  </w:style>
  <w:style w:type="paragraph" w:styleId="2">
    <w:name w:val="Body Text"/>
    <w:basedOn w:val="1"/>
    <w:link w:val="19"/>
    <w:unhideWhenUsed/>
    <w:qFormat/>
    <w:uiPriority w:val="99"/>
    <w:pPr>
      <w:spacing w:beforeLines="30" w:afterLines="0"/>
    </w:pPr>
    <w:rPr>
      <w:rFonts w:hint="eastAsia" w:ascii="仿宋_GB2312" w:eastAsia="仿宋_GB2312"/>
      <w:sz w:val="30"/>
      <w:szCs w:val="24"/>
    </w:rPr>
  </w:style>
  <w:style w:type="paragraph" w:styleId="5">
    <w:name w:val="Body Text Indent"/>
    <w:basedOn w:val="1"/>
    <w:qFormat/>
    <w:uiPriority w:val="99"/>
    <w:pPr>
      <w:ind w:firstLine="630"/>
      <w:jc w:val="left"/>
    </w:pPr>
    <w:rPr>
      <w:rFonts w:eastAsia="黑体"/>
      <w:sz w:val="32"/>
      <w:szCs w:val="32"/>
    </w:rPr>
  </w:style>
  <w:style w:type="paragraph" w:styleId="6">
    <w:name w:val="toc 3"/>
    <w:basedOn w:val="1"/>
    <w:next w:val="1"/>
    <w:qFormat/>
    <w:uiPriority w:val="99"/>
    <w:pPr>
      <w:ind w:left="840" w:leftChars="400"/>
    </w:pPr>
    <w:rPr>
      <w:sz w:val="24"/>
      <w:szCs w:val="24"/>
    </w:rPr>
  </w:style>
  <w:style w:type="paragraph" w:styleId="7">
    <w:name w:val="footer"/>
    <w:basedOn w:val="1"/>
    <w:link w:val="21"/>
    <w:unhideWhenUsed/>
    <w:qFormat/>
    <w:uiPriority w:val="99"/>
    <w:pPr>
      <w:tabs>
        <w:tab w:val="center" w:pos="4153"/>
        <w:tab w:val="right" w:pos="8306"/>
      </w:tabs>
      <w:snapToGrid w:val="0"/>
      <w:spacing w:beforeLines="0" w:afterLines="0"/>
    </w:pPr>
    <w:rPr>
      <w:rFonts w:hint="eastAsia"/>
      <w:sz w:val="18"/>
      <w:szCs w:val="18"/>
    </w:rPr>
  </w:style>
  <w:style w:type="paragraph" w:styleId="8">
    <w:name w:val="header"/>
    <w:basedOn w:val="1"/>
    <w:link w:val="20"/>
    <w:unhideWhenUsed/>
    <w:qFormat/>
    <w:uiPriority w:val="99"/>
    <w:pPr>
      <w:pBdr>
        <w:bottom w:val="single" w:color="auto" w:sz="6" w:space="1"/>
      </w:pBdr>
      <w:tabs>
        <w:tab w:val="center" w:pos="4153"/>
        <w:tab w:val="right" w:pos="8306"/>
      </w:tabs>
      <w:snapToGrid w:val="0"/>
      <w:spacing w:beforeLines="0" w:afterLines="0"/>
      <w:jc w:val="center"/>
    </w:pPr>
    <w:rPr>
      <w:rFonts w:hint="eastAsia"/>
      <w:sz w:val="18"/>
      <w:szCs w:val="18"/>
    </w:rPr>
  </w:style>
  <w:style w:type="paragraph" w:styleId="9">
    <w:name w:val="toc 1"/>
    <w:basedOn w:val="1"/>
    <w:next w:val="1"/>
    <w:qFormat/>
    <w:uiPriority w:val="99"/>
    <w:rPr>
      <w:sz w:val="24"/>
      <w:szCs w:val="24"/>
    </w:rPr>
  </w:style>
  <w:style w:type="paragraph" w:styleId="10">
    <w:name w:val="toc 2"/>
    <w:basedOn w:val="1"/>
    <w:next w:val="1"/>
    <w:qFormat/>
    <w:uiPriority w:val="99"/>
    <w:pPr>
      <w:ind w:left="420" w:leftChars="200"/>
    </w:pPr>
    <w:rPr>
      <w:sz w:val="24"/>
      <w:szCs w:val="24"/>
    </w:rPr>
  </w:style>
  <w:style w:type="paragraph" w:styleId="11">
    <w:name w:val="Normal (Web)"/>
    <w:basedOn w:val="1"/>
    <w:qFormat/>
    <w:uiPriority w:val="99"/>
    <w:rPr>
      <w:sz w:val="24"/>
    </w:rPr>
  </w:style>
  <w:style w:type="paragraph" w:styleId="12">
    <w:name w:val="Body Text First Indent 2"/>
    <w:basedOn w:val="5"/>
    <w:qFormat/>
    <w:uiPriority w:val="99"/>
    <w:pPr>
      <w:keepNext w:val="0"/>
      <w:keepLines w:val="0"/>
      <w:widowControl w:val="0"/>
      <w:suppressLineNumbers w:val="0"/>
      <w:spacing w:after="120" w:afterAutospacing="0"/>
      <w:ind w:left="420" w:leftChars="200" w:firstLine="420"/>
      <w:jc w:val="left"/>
    </w:pPr>
    <w:rPr>
      <w:rFonts w:hint="default" w:ascii="Times New Roman" w:hAnsi="Times New Roman" w:eastAsia="黑体" w:cs="Times New Roman"/>
      <w:kern w:val="2"/>
      <w:sz w:val="32"/>
      <w:szCs w:val="32"/>
      <w:lang w:val="en-US" w:eastAsia="zh-CN"/>
    </w:rPr>
  </w:style>
  <w:style w:type="table" w:styleId="14">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6">
    <w:name w:val="Default"/>
    <w:unhideWhenUsed/>
    <w:qFormat/>
    <w:uiPriority w:val="99"/>
    <w:pPr>
      <w:widowControl w:val="0"/>
      <w:autoSpaceDE w:val="0"/>
      <w:autoSpaceDN w:val="0"/>
      <w:adjustRightInd w:val="0"/>
    </w:pPr>
    <w:rPr>
      <w:rFonts w:hint="eastAsia" w:ascii="仿宋" w:hAnsi="Calibri" w:eastAsia="仿宋" w:cs="仿宋"/>
      <w:color w:val="000000"/>
      <w:sz w:val="24"/>
      <w:szCs w:val="24"/>
      <w:lang w:val="en-US" w:eastAsia="zh-CN" w:bidi="ar-SA"/>
    </w:rPr>
  </w:style>
  <w:style w:type="character" w:customStyle="1" w:styleId="17">
    <w:name w:val="标题 1 Char"/>
    <w:basedOn w:val="15"/>
    <w:link w:val="3"/>
    <w:unhideWhenUsed/>
    <w:qFormat/>
    <w:locked/>
    <w:uiPriority w:val="9"/>
    <w:rPr>
      <w:rFonts w:hint="default" w:cs="Times New Roman"/>
      <w:b/>
      <w:kern w:val="44"/>
      <w:sz w:val="44"/>
      <w:szCs w:val="44"/>
    </w:rPr>
  </w:style>
  <w:style w:type="character" w:customStyle="1" w:styleId="18">
    <w:name w:val="标题 2 Char"/>
    <w:basedOn w:val="15"/>
    <w:link w:val="4"/>
    <w:unhideWhenUsed/>
    <w:qFormat/>
    <w:locked/>
    <w:uiPriority w:val="9"/>
    <w:rPr>
      <w:rFonts w:hint="eastAsia" w:ascii="Cambria" w:hAnsi="Cambria" w:eastAsia="宋体" w:cs="Times New Roman"/>
      <w:b/>
      <w:sz w:val="32"/>
      <w:szCs w:val="32"/>
    </w:rPr>
  </w:style>
  <w:style w:type="character" w:customStyle="1" w:styleId="19">
    <w:name w:val="正文文本 Char"/>
    <w:basedOn w:val="15"/>
    <w:link w:val="2"/>
    <w:unhideWhenUsed/>
    <w:qFormat/>
    <w:locked/>
    <w:uiPriority w:val="99"/>
    <w:rPr>
      <w:rFonts w:hint="default" w:cs="Times New Roman"/>
      <w:sz w:val="24"/>
      <w:szCs w:val="24"/>
    </w:rPr>
  </w:style>
  <w:style w:type="character" w:customStyle="1" w:styleId="20">
    <w:name w:val="页眉 Char"/>
    <w:basedOn w:val="15"/>
    <w:link w:val="8"/>
    <w:unhideWhenUsed/>
    <w:qFormat/>
    <w:locked/>
    <w:uiPriority w:val="99"/>
    <w:rPr>
      <w:rFonts w:hint="default" w:cs="Times New Roman"/>
      <w:sz w:val="18"/>
      <w:szCs w:val="18"/>
    </w:rPr>
  </w:style>
  <w:style w:type="character" w:customStyle="1" w:styleId="21">
    <w:name w:val="页脚 Char"/>
    <w:basedOn w:val="15"/>
    <w:link w:val="7"/>
    <w:unhideWhenUsed/>
    <w:qFormat/>
    <w:locked/>
    <w:uiPriority w:val="99"/>
    <w:rPr>
      <w:rFonts w:hint="default" w:cs="Times New Roman"/>
      <w:sz w:val="18"/>
      <w:szCs w:val="18"/>
    </w:rPr>
  </w:style>
  <w:style w:type="character" w:customStyle="1" w:styleId="22">
    <w:name w:val="15"/>
    <w:basedOn w:val="15"/>
    <w:qFormat/>
    <w:uiPriority w:val="0"/>
    <w:rPr>
      <w:rFonts w:hint="default" w:ascii="Dialog . plain" w:hAnsi="Dialog . plain" w:eastAsia="Dialog . plain" w:cs="Dialog . plain"/>
      <w:color w:val="000000"/>
      <w:sz w:val="18"/>
      <w:szCs w:val="18"/>
    </w:rPr>
  </w:style>
  <w:style w:type="character" w:customStyle="1" w:styleId="23">
    <w:name w:val="10"/>
    <w:basedOn w:val="15"/>
    <w:qFormat/>
    <w:uiPriority w:val="0"/>
    <w:rPr>
      <w:rFonts w:hint="default" w:ascii="Times New Roman" w:hAnsi="Times New Roman" w:cs="Times New Roman"/>
    </w:rPr>
  </w:style>
  <w:style w:type="character" w:customStyle="1" w:styleId="24">
    <w:name w:val="17"/>
    <w:basedOn w:val="15"/>
    <w:qFormat/>
    <w:uiPriority w:val="0"/>
    <w:rPr>
      <w:rFonts w:hint="eastAsia" w:ascii="宋体" w:hAnsi="宋体" w:eastAsia="宋体" w:cs="宋体"/>
      <w:color w:val="000000"/>
      <w:sz w:val="20"/>
      <w:szCs w:val="20"/>
    </w:rPr>
  </w:style>
  <w:style w:type="character" w:customStyle="1" w:styleId="25">
    <w:name w:val="16"/>
    <w:basedOn w:val="15"/>
    <w:qFormat/>
    <w:uiPriority w:val="0"/>
    <w:rPr>
      <w:rFonts w:hint="eastAsia" w:ascii="方正小标宋简体" w:hAnsi="方正小标宋简体" w:eastAsia="方正小标宋简体" w:cs="方正小标宋简体"/>
      <w:color w:val="000000"/>
      <w:sz w:val="40"/>
      <w:szCs w:val="40"/>
    </w:rPr>
  </w:style>
  <w:style w:type="character" w:customStyle="1" w:styleId="26">
    <w:name w:val="18"/>
    <w:basedOn w:val="15"/>
    <w:qFormat/>
    <w:uiPriority w:val="0"/>
    <w:rPr>
      <w:rFonts w:hint="default" w:ascii="汉仪细圆B5" w:hAnsi="汉仪细圆B5" w:eastAsia="汉仪细圆B5" w:cs="汉仪细圆B5"/>
      <w:color w:val="000000"/>
      <w:sz w:val="20"/>
      <w:szCs w:val="20"/>
    </w:rPr>
  </w:style>
  <w:style w:type="character" w:customStyle="1" w:styleId="27">
    <w:name w:val="font71"/>
    <w:basedOn w:val="15"/>
    <w:autoRedefine/>
    <w:qFormat/>
    <w:uiPriority w:val="0"/>
    <w:rPr>
      <w:rFonts w:ascii="Dialog . plain" w:hAnsi="Dialog . plain" w:eastAsia="Dialog . plain" w:cs="Dialog . plain"/>
      <w:color w:val="000000"/>
      <w:sz w:val="18"/>
      <w:szCs w:val="18"/>
      <w:u w:val="none"/>
    </w:rPr>
  </w:style>
  <w:style w:type="character" w:customStyle="1" w:styleId="28">
    <w:name w:val="font61"/>
    <w:basedOn w:val="15"/>
    <w:qFormat/>
    <w:uiPriority w:val="0"/>
    <w:rPr>
      <w:rFonts w:ascii="Dialog . plain" w:hAnsi="Dialog . plain" w:eastAsia="Dialog . plain" w:cs="Dialog . plain"/>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85</Pages>
  <Words>11607</Words>
  <Characters>12526</Characters>
  <Lines>1</Lines>
  <Paragraphs>1</Paragraphs>
  <TotalTime>13</TotalTime>
  <ScaleCrop>false</ScaleCrop>
  <LinksUpToDate>false</LinksUpToDate>
  <CharactersWithSpaces>12685</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2024-09-13T15:18:00Z</dcterms:created>
  <dc:creator>Administrator</dc:creator>
  <cp:lastModifiedBy>昭化融媒体</cp:lastModifiedBy>
  <dcterms:modified xsi:type="dcterms:W3CDTF">2024-12-26T02:34:37Z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FC265049E3E343C092965631605CE6DB_13</vt:lpwstr>
  </property>
  <property fmtid="{D5CDD505-2E9C-101B-9397-08002B2CF9AE}" pid="4" name="KSOTemplateDocerSaveRecord">
    <vt:lpwstr>eyJoZGlkIjoiMGVhYTg4NGNkZWJkODFjNzcyZDRjM2M4Y2UzNjI5ZmUiLCJ1c2VySWQiOiI2MTE2MzEwMDYifQ==</vt:lpwstr>
  </property>
</Properties>
</file>