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C92665">
      <w:pPr>
        <w:kinsoku/>
        <w:wordWrap/>
        <w:overflowPunct w:val="0"/>
        <w:bidi w:val="0"/>
        <w:spacing w:beforeLines="0" w:afterLines="0" w:line="600" w:lineRule="exact"/>
        <w:jc w:val="cente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pPr>
    </w:p>
    <w:p w14:paraId="7F496E1D">
      <w:pPr>
        <w:kinsoku/>
        <w:wordWrap/>
        <w:overflowPunct w:val="0"/>
        <w:bidi w:val="0"/>
        <w:spacing w:beforeLines="0" w:afterLines="0" w:line="600" w:lineRule="exact"/>
        <w:jc w:val="cente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pPr>
    </w:p>
    <w:p w14:paraId="514DD5D6">
      <w:pPr>
        <w:kinsoku/>
        <w:wordWrap/>
        <w:overflowPunct w:val="0"/>
        <w:bidi w:val="0"/>
        <w:spacing w:beforeLines="0" w:afterLines="0" w:line="1400" w:lineRule="exact"/>
        <w:jc w:val="cente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t>2023年度</w:t>
      </w:r>
    </w:p>
    <w:p w14:paraId="71F7546B">
      <w:pPr>
        <w:kinsoku/>
        <w:wordWrap/>
        <w:overflowPunct w:val="0"/>
        <w:bidi w:val="0"/>
        <w:snapToGrid w:val="0"/>
        <w:spacing w:beforeLines="0" w:afterLines="0" w:line="1400" w:lineRule="exact"/>
        <w:jc w:val="cente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t>广元市昭化区农业农村局</w:t>
      </w:r>
    </w:p>
    <w:p w14:paraId="2F35F34A">
      <w:pPr>
        <w:kinsoku/>
        <w:wordWrap/>
        <w:overflowPunct w:val="0"/>
        <w:bidi w:val="0"/>
        <w:snapToGrid w:val="0"/>
        <w:spacing w:beforeLines="0" w:afterLines="0" w:line="1400" w:lineRule="exact"/>
        <w:jc w:val="cente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lang w:val="zh-CN"/>
          <w14:textFill>
            <w14:solidFill>
              <w14:schemeClr w14:val="tx1"/>
            </w14:solidFill>
          </w14:textFill>
        </w:rPr>
        <w:t>部门决算</w:t>
      </w:r>
    </w:p>
    <w:p w14:paraId="64DEFCFE">
      <w:pPr>
        <w:kinsoku/>
        <w:wordWrap/>
        <w:overflowPunct w:val="0"/>
        <w:bidi w:val="0"/>
        <w:spacing w:beforeLines="0" w:afterLines="0" w:line="360" w:lineRule="auto"/>
        <w:jc w:val="center"/>
        <w:rPr>
          <w:rFonts w:hint="default" w:ascii="Times New Roman" w:hAnsi="Times New Roman" w:eastAsia="黑体" w:cs="Times New Roman"/>
          <w:b w:val="0"/>
          <w:bCs w:val="0"/>
          <w:color w:val="000000" w:themeColor="text1"/>
          <w:kern w:val="2"/>
          <w:sz w:val="72"/>
          <w:szCs w:val="24"/>
          <w:lang w:val="zh-CN"/>
          <w14:textFill>
            <w14:solidFill>
              <w14:schemeClr w14:val="tx1"/>
            </w14:solidFill>
          </w14:textFill>
        </w:rPr>
      </w:pPr>
    </w:p>
    <w:p w14:paraId="3D9CB7D7">
      <w:pPr>
        <w:kinsoku/>
        <w:wordWrap/>
        <w:overflowPunct w:val="0"/>
        <w:bidi w:val="0"/>
        <w:spacing w:beforeLines="0" w:afterLines="0" w:line="360" w:lineRule="auto"/>
        <w:jc w:val="center"/>
        <w:rPr>
          <w:rFonts w:hint="default" w:ascii="Times New Roman" w:hAnsi="Times New Roman" w:eastAsia="黑体" w:cs="Times New Roman"/>
          <w:b w:val="0"/>
          <w:bCs w:val="0"/>
          <w:color w:val="000000" w:themeColor="text1"/>
          <w:kern w:val="2"/>
          <w:sz w:val="72"/>
          <w:szCs w:val="24"/>
          <w:lang w:val="zh-CN"/>
          <w14:textFill>
            <w14:solidFill>
              <w14:schemeClr w14:val="tx1"/>
            </w14:solidFill>
          </w14:textFill>
        </w:rPr>
      </w:pPr>
    </w:p>
    <w:p w14:paraId="5D68F291">
      <w:pPr>
        <w:kinsoku/>
        <w:wordWrap/>
        <w:overflowPunct w:val="0"/>
        <w:bidi w:val="0"/>
        <w:spacing w:beforeLines="0" w:afterLines="0" w:line="360" w:lineRule="auto"/>
        <w:jc w:val="center"/>
        <w:rPr>
          <w:rFonts w:hint="default" w:ascii="Times New Roman" w:hAnsi="Times New Roman" w:eastAsia="黑体" w:cs="Times New Roman"/>
          <w:b w:val="0"/>
          <w:bCs w:val="0"/>
          <w:color w:val="000000" w:themeColor="text1"/>
          <w:kern w:val="2"/>
          <w:sz w:val="72"/>
          <w:szCs w:val="24"/>
          <w:lang w:val="zh-CN"/>
          <w14:textFill>
            <w14:solidFill>
              <w14:schemeClr w14:val="tx1"/>
            </w14:solidFill>
          </w14:textFill>
        </w:rPr>
      </w:pPr>
    </w:p>
    <w:p w14:paraId="272153B9">
      <w:pPr>
        <w:pStyle w:val="6"/>
        <w:kinsoku/>
        <w:wordWrap/>
        <w:overflowPunct w:val="0"/>
        <w:bidi w:val="0"/>
        <w:spacing w:beforeLines="0" w:afterLines="0"/>
        <w:jc w:val="center"/>
        <w:rPr>
          <w:rFonts w:hint="default" w:ascii="Times New Roman" w:hAnsi="Times New Roman" w:cs="Times New Roman"/>
          <w:b w:val="0"/>
          <w:bCs w:val="0"/>
          <w:color w:val="000000" w:themeColor="text1"/>
          <w:sz w:val="30"/>
          <w:szCs w:val="24"/>
          <w:lang w:val="zh-CN"/>
          <w14:textFill>
            <w14:solidFill>
              <w14:schemeClr w14:val="tx1"/>
            </w14:solidFill>
          </w14:textFill>
        </w:rPr>
      </w:pPr>
    </w:p>
    <w:p w14:paraId="4CD85D58">
      <w:pPr>
        <w:pStyle w:val="6"/>
        <w:kinsoku/>
        <w:wordWrap/>
        <w:overflowPunct w:val="0"/>
        <w:bidi w:val="0"/>
        <w:spacing w:beforeLines="0" w:afterLines="0"/>
        <w:jc w:val="center"/>
        <w:rPr>
          <w:rFonts w:hint="default" w:ascii="Times New Roman" w:hAnsi="Times New Roman" w:cs="Times New Roman"/>
          <w:b w:val="0"/>
          <w:bCs w:val="0"/>
          <w:color w:val="000000" w:themeColor="text1"/>
          <w:sz w:val="30"/>
          <w:szCs w:val="24"/>
          <w:lang w:val="zh-CN"/>
          <w14:textFill>
            <w14:solidFill>
              <w14:schemeClr w14:val="tx1"/>
            </w14:solidFill>
          </w14:textFill>
        </w:rPr>
      </w:pPr>
    </w:p>
    <w:p w14:paraId="0A5E24AB">
      <w:pPr>
        <w:pStyle w:val="6"/>
        <w:kinsoku/>
        <w:wordWrap/>
        <w:overflowPunct w:val="0"/>
        <w:bidi w:val="0"/>
        <w:spacing w:beforeLines="0" w:afterLines="0"/>
        <w:jc w:val="center"/>
        <w:rPr>
          <w:rFonts w:hint="default" w:ascii="Times New Roman" w:hAnsi="Times New Roman" w:cs="Times New Roman"/>
          <w:b w:val="0"/>
          <w:bCs w:val="0"/>
          <w:color w:val="000000" w:themeColor="text1"/>
          <w:sz w:val="30"/>
          <w:szCs w:val="24"/>
          <w:lang w:val="zh-CN"/>
          <w14:textFill>
            <w14:solidFill>
              <w14:schemeClr w14:val="tx1"/>
            </w14:solidFill>
          </w14:textFill>
        </w:rPr>
      </w:pPr>
    </w:p>
    <w:p w14:paraId="59E8651E">
      <w:pPr>
        <w:pStyle w:val="6"/>
        <w:kinsoku/>
        <w:wordWrap/>
        <w:overflowPunct w:val="0"/>
        <w:bidi w:val="0"/>
        <w:spacing w:beforeLines="0" w:afterLines="0"/>
        <w:jc w:val="center"/>
        <w:rPr>
          <w:rFonts w:hint="default" w:ascii="Times New Roman" w:hAnsi="Times New Roman" w:cs="Times New Roman"/>
          <w:b w:val="0"/>
          <w:bCs w:val="0"/>
          <w:color w:val="000000" w:themeColor="text1"/>
          <w:sz w:val="30"/>
          <w:szCs w:val="24"/>
          <w:lang w:val="zh-CN"/>
          <w14:textFill>
            <w14:solidFill>
              <w14:schemeClr w14:val="tx1"/>
            </w14:solidFill>
          </w14:textFill>
        </w:rPr>
      </w:pPr>
    </w:p>
    <w:p w14:paraId="24C35067">
      <w:pPr>
        <w:pStyle w:val="6"/>
        <w:kinsoku/>
        <w:wordWrap/>
        <w:overflowPunct w:val="0"/>
        <w:bidi w:val="0"/>
        <w:spacing w:beforeLines="0" w:afterLines="0"/>
        <w:jc w:val="center"/>
        <w:rPr>
          <w:rFonts w:hint="default" w:ascii="Times New Roman" w:hAnsi="Times New Roman" w:cs="Times New Roman"/>
          <w:b w:val="0"/>
          <w:bCs w:val="0"/>
          <w:color w:val="000000" w:themeColor="text1"/>
          <w:sz w:val="30"/>
          <w:szCs w:val="24"/>
          <w:lang w:val="zh-CN"/>
          <w14:textFill>
            <w14:solidFill>
              <w14:schemeClr w14:val="tx1"/>
            </w14:solidFill>
          </w14:textFill>
        </w:rPr>
      </w:pPr>
    </w:p>
    <w:p w14:paraId="12A68C7A">
      <w:pPr>
        <w:pStyle w:val="6"/>
        <w:kinsoku/>
        <w:wordWrap/>
        <w:overflowPunct w:val="0"/>
        <w:bidi w:val="0"/>
        <w:spacing w:beforeLines="0" w:afterLines="0"/>
        <w:jc w:val="center"/>
        <w:rPr>
          <w:rFonts w:hint="default" w:ascii="Times New Roman" w:hAnsi="Times New Roman" w:cs="Times New Roman"/>
          <w:b w:val="0"/>
          <w:bCs w:val="0"/>
          <w:color w:val="000000" w:themeColor="text1"/>
          <w:sz w:val="30"/>
          <w:szCs w:val="24"/>
          <w:lang w:val="zh-CN"/>
          <w14:textFill>
            <w14:solidFill>
              <w14:schemeClr w14:val="tx1"/>
            </w14:solidFill>
          </w14:textFill>
        </w:rPr>
      </w:pPr>
    </w:p>
    <w:p w14:paraId="59772664">
      <w:pPr>
        <w:pStyle w:val="6"/>
        <w:kinsoku/>
        <w:wordWrap/>
        <w:overflowPunct w:val="0"/>
        <w:bidi w:val="0"/>
        <w:spacing w:beforeLines="0" w:afterLines="0"/>
        <w:jc w:val="center"/>
        <w:rPr>
          <w:rFonts w:hint="default" w:ascii="Times New Roman" w:hAnsi="Times New Roman" w:eastAsia="方正小标宋简体" w:cs="Times New Roman"/>
          <w:b w:val="0"/>
          <w:bCs w:val="0"/>
          <w:color w:val="000000" w:themeColor="text1"/>
          <w:sz w:val="44"/>
          <w:szCs w:val="40"/>
          <w:lang w:val="en-US" w:eastAsia="zh-CN"/>
          <w14:textFill>
            <w14:solidFill>
              <w14:schemeClr w14:val="tx1"/>
            </w14:solidFill>
          </w14:textFill>
        </w:rPr>
        <w:sectPr>
          <w:pgSz w:w="12240" w:h="15840"/>
          <w:pgMar w:top="2098" w:right="1474" w:bottom="1984" w:left="1587" w:header="850" w:footer="1559" w:gutter="0"/>
          <w:lnNumType w:countBy="0" w:distance="360"/>
          <w:pgNumType w:start="1"/>
          <w:cols w:space="720" w:num="1"/>
        </w:sectPr>
      </w:pPr>
    </w:p>
    <w:p w14:paraId="7016CAE6">
      <w:pPr>
        <w:pStyle w:val="6"/>
        <w:kinsoku/>
        <w:wordWrap/>
        <w:overflowPunct w:val="0"/>
        <w:bidi w:val="0"/>
        <w:spacing w:beforeLines="0" w:afterLines="0"/>
        <w:jc w:val="center"/>
        <w:rPr>
          <w:rFonts w:hint="default" w:ascii="Times New Roman" w:hAnsi="Times New Roman" w:eastAsia="方正小标宋简体" w:cs="Times New Roman"/>
          <w:b w:val="0"/>
          <w:bCs w:val="0"/>
          <w:color w:val="000000" w:themeColor="text1"/>
          <w:sz w:val="44"/>
          <w:szCs w:val="40"/>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0"/>
          <w:lang w:val="en-US" w:eastAsia="zh-CN"/>
          <w14:textFill>
            <w14:solidFill>
              <w14:schemeClr w14:val="tx1"/>
            </w14:solidFill>
          </w14:textFill>
        </w:rPr>
        <w:t>目    录</w:t>
      </w:r>
    </w:p>
    <w:p w14:paraId="0A4E1FCE">
      <w:pPr>
        <w:keepNext w:val="0"/>
        <w:keepLines w:val="0"/>
        <w:pageBreakBefore w:val="0"/>
        <w:widowControl w:val="0"/>
        <w:kinsoku/>
        <w:wordWrap/>
        <w:overflowPunct w:val="0"/>
        <w:topLinePunct w:val="0"/>
        <w:autoSpaceDE w:val="0"/>
        <w:autoSpaceDN w:val="0"/>
        <w:bidi w:val="0"/>
        <w:adjustRightInd w:val="0"/>
        <w:snapToGrid/>
        <w:spacing w:before="0" w:beforeLines="50" w:afterLines="0"/>
        <w:jc w:val="center"/>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公开时间：2024年9月2</w:t>
      </w:r>
      <w:r>
        <w:rPr>
          <w:rFonts w:hint="eastAsia" w:ascii="Times New Roman" w:eastAsia="楷体_GB2312" w:cs="Times New Roman"/>
          <w:b w:val="0"/>
          <w:bCs w:val="0"/>
          <w:color w:val="000000" w:themeColor="text1"/>
          <w:sz w:val="32"/>
          <w:szCs w:val="32"/>
          <w:lang w:val="en-US" w:eastAsia="zh-CN"/>
          <w14:textFill>
            <w14:solidFill>
              <w14:schemeClr w14:val="tx1"/>
            </w14:solidFill>
          </w14:textFill>
        </w:rPr>
        <w:t>5</w:t>
      </w:r>
      <w:bookmarkStart w:id="35" w:name="_GoBack"/>
      <w:bookmarkEnd w:id="35"/>
      <w:r>
        <w:rPr>
          <w:rFonts w:hint="default" w:ascii="Times New Roman" w:hAnsi="Times New Roman" w:eastAsia="楷体_GB2312" w:cs="Times New Roman"/>
          <w:b w:val="0"/>
          <w:bCs w:val="0"/>
          <w:color w:val="000000" w:themeColor="text1"/>
          <w:sz w:val="32"/>
          <w:szCs w:val="32"/>
          <w14:textFill>
            <w14:solidFill>
              <w14:schemeClr w14:val="tx1"/>
            </w14:solidFill>
          </w14:textFill>
        </w:rPr>
        <w:t>日</w:t>
      </w:r>
    </w:p>
    <w:p w14:paraId="4D059283">
      <w:pPr>
        <w:kinsoku/>
        <w:wordWrap/>
        <w:overflowPunct w:val="0"/>
        <w:bidi w:val="0"/>
        <w:spacing w:beforeLines="0" w:afterLines="0"/>
        <w:jc w:val="center"/>
        <w:rPr>
          <w:rFonts w:hint="default" w:ascii="Times New Roman" w:hAnsi="Times New Roman" w:eastAsia="楷体_GB2312" w:cs="Times New Roman"/>
          <w:b w:val="0"/>
          <w:bCs w:val="0"/>
          <w:color w:val="000000" w:themeColor="text1"/>
          <w:sz w:val="32"/>
          <w:szCs w:val="32"/>
          <w14:textFill>
            <w14:solidFill>
              <w14:schemeClr w14:val="tx1"/>
            </w14:solidFill>
          </w14:textFill>
        </w:rPr>
      </w:pPr>
    </w:p>
    <w:p w14:paraId="1F60F27D">
      <w:pPr>
        <w:pStyle w:val="11"/>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TOC \o "1-2" \h \u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_Toc11616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44"/>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6289E6BA">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_Toc3163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一、部门职责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BA83C29">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_Toc17300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29DF611">
      <w:pPr>
        <w:pStyle w:val="11"/>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_Toc12121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44"/>
          <w:sz w:val="32"/>
          <w:szCs w:val="32"/>
        </w:rPr>
        <w:t>第二部分  2023年度部门决算情况说明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28716EF0">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_Toc19948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2A179A23">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_Toc18944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67B4C0B6">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_Toc5642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108E9514">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_Toc23053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E4F290C">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_Toc6869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_Toc6869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EE5F452">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_Toc25207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31FE7D1F">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_Toc7245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_Toc7245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7EEC7729">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_Toc28807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36960748">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_Toc4823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0350B18A">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_Toc8797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72C8F223">
      <w:pPr>
        <w:pStyle w:val="11"/>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_Toc22042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第三部分  名</w:t>
      </w:r>
      <w:r>
        <w:rPr>
          <w:rFonts w:hint="eastAsia" w:ascii="仿宋_GB2312" w:hAnsi="仿宋_GB2312" w:eastAsia="仿宋_GB2312" w:cs="仿宋_GB2312"/>
          <w:bCs w:val="0"/>
          <w:kern w:val="44"/>
          <w:sz w:val="32"/>
          <w:szCs w:val="32"/>
        </w:rPr>
        <w:t>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75148A1B">
      <w:pPr>
        <w:pStyle w:val="11"/>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_Toc742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第</w:t>
      </w:r>
      <w:r>
        <w:rPr>
          <w:rFonts w:hint="eastAsia" w:ascii="仿宋_GB2312" w:hAnsi="仿宋_GB2312" w:eastAsia="仿宋_GB2312" w:cs="仿宋_GB2312"/>
          <w:bCs w:val="0"/>
          <w:kern w:val="44"/>
          <w:sz w:val="32"/>
          <w:szCs w:val="32"/>
        </w:rPr>
        <w:t>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5428ADAD">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_Toc6058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669245A5">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_Toc28248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附件2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549F7F5">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_Toc14347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lang w:val="en-US" w:eastAsia="zh-CN"/>
        </w:rPr>
        <w:t>附件3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3029DA53">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_Toc2987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lang w:val="en-US" w:eastAsia="zh-CN"/>
        </w:rPr>
        <w:t>附件4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7BB4FB9C">
      <w:pPr>
        <w:pStyle w:val="11"/>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_Toc28886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第</w:t>
      </w:r>
      <w:r>
        <w:rPr>
          <w:rFonts w:hint="eastAsia" w:ascii="仿宋_GB2312" w:hAnsi="仿宋_GB2312" w:eastAsia="仿宋_GB2312" w:cs="仿宋_GB2312"/>
          <w:bCs w:val="0"/>
          <w:kern w:val="44"/>
          <w:sz w:val="32"/>
          <w:szCs w:val="32"/>
        </w:rPr>
        <w:t>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7014A338">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_Toc2720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2F865B42">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_Toc25867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3A35503C">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_Toc4962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5611119B">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_Toc28873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5E5197FD">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_Toc31679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0DA8D019">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_Toc7181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_Toc7181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2033E924">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_Toc14213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18F4CD05">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_Toc28711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72F3C29A">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_Toc25749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0D9AF506">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_Toc11774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5DDFF31C">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_Toc6301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513C71A">
      <w:pPr>
        <w:pStyle w:val="12"/>
        <w:keepNext w:val="0"/>
        <w:keepLines w:val="0"/>
        <w:pageBreakBefore w:val="0"/>
        <w:widowControl w:val="0"/>
        <w:tabs>
          <w:tab w:val="right" w:leader="dot" w:pos="9179"/>
        </w:tabs>
        <w:kinsoku/>
        <w:wordWrap/>
        <w:topLinePunct w:val="0"/>
        <w:autoSpaceDE w:val="0"/>
        <w:autoSpaceDN w:val="0"/>
        <w:bidi w:val="0"/>
        <w:adjustRightInd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Cs w:val="0"/>
          <w:sz w:val="32"/>
          <w:szCs w:val="32"/>
        </w:rPr>
        <w:instrText xml:space="preserve"> HYPERLINK \l _Toc4961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kern w:val="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144C3DE2">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fldChar w:fldCharType="end"/>
      </w:r>
    </w:p>
    <w:p w14:paraId="4C32FE8B">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beforeLines="0" w:afterLines="0"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237F11E7">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beforeLines="0" w:afterLines="0"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64A41F26">
      <w:pPr>
        <w:keepNext w:val="0"/>
        <w:keepLines w:val="0"/>
        <w:pageBreakBefore w:val="0"/>
        <w:widowControl w:val="0"/>
        <w:tabs>
          <w:tab w:val="right" w:leader="dot" w:pos="8505"/>
        </w:tabs>
        <w:kinsoku/>
        <w:wordWrap/>
        <w:overflowPunct w:val="0"/>
        <w:topLinePunct w:val="0"/>
        <w:autoSpaceDE w:val="0"/>
        <w:autoSpaceDN w:val="0"/>
        <w:bidi w:val="0"/>
        <w:adjustRightInd w:val="0"/>
        <w:snapToGrid/>
        <w:spacing w:beforeLines="0" w:afterLines="0"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4FE6D400">
      <w:pPr>
        <w:pStyle w:val="2"/>
        <w:keepNext/>
        <w:keepLines/>
        <w:pageBreakBefore/>
        <w:kinsoku/>
        <w:wordWrap/>
        <w:overflowPunct w:val="0"/>
        <w:bidi w:val="0"/>
        <w:spacing w:beforeLines="0" w:afterLines="0" w:line="576" w:lineRule="exact"/>
        <w:jc w:val="center"/>
        <w:rPr>
          <w:rFonts w:hint="default" w:ascii="Times New Roman" w:hAnsi="Times New Roman" w:eastAsia="方正小标宋简体" w:cs="Times New Roman"/>
          <w:b w:val="0"/>
          <w:bCs w:val="0"/>
          <w:color w:val="000000" w:themeColor="text1"/>
          <w:kern w:val="44"/>
          <w:sz w:val="44"/>
          <w:szCs w:val="24"/>
          <w14:textFill>
            <w14:solidFill>
              <w14:schemeClr w14:val="tx1"/>
            </w14:solidFill>
          </w14:textFill>
        </w:rPr>
        <w:sectPr>
          <w:footerReference r:id="rId4" w:type="default"/>
          <w:pgSz w:w="12240" w:h="15840"/>
          <w:pgMar w:top="2098" w:right="1474" w:bottom="1984" w:left="1587" w:header="850" w:footer="1559" w:gutter="0"/>
          <w:lnNumType w:countBy="0" w:distance="360"/>
          <w:pgNumType w:start="1"/>
          <w:cols w:space="720" w:num="1"/>
        </w:sectPr>
      </w:pPr>
    </w:p>
    <w:p w14:paraId="4E4174CA">
      <w:pPr>
        <w:pStyle w:val="2"/>
        <w:keepNext/>
        <w:keepLines/>
        <w:pageBreakBefore/>
        <w:kinsoku/>
        <w:wordWrap/>
        <w:overflowPunct w:val="0"/>
        <w:bidi w:val="0"/>
        <w:spacing w:beforeLines="0" w:afterLines="0" w:line="576" w:lineRule="exact"/>
        <w:jc w:val="center"/>
        <w:rPr>
          <w:rFonts w:hint="default" w:ascii="Times New Roman" w:hAnsi="Times New Roman" w:eastAsia="方正小标宋简体" w:cs="Times New Roman"/>
          <w:b w:val="0"/>
          <w:bCs w:val="0"/>
          <w:color w:val="000000" w:themeColor="text1"/>
          <w:kern w:val="44"/>
          <w:sz w:val="44"/>
          <w:szCs w:val="24"/>
          <w14:textFill>
            <w14:solidFill>
              <w14:schemeClr w14:val="tx1"/>
            </w14:solidFill>
          </w14:textFill>
        </w:rPr>
      </w:pPr>
      <w:bookmarkStart w:id="0" w:name="_Toc11616"/>
      <w:r>
        <w:rPr>
          <w:rFonts w:hint="default" w:ascii="Times New Roman" w:hAnsi="Times New Roman" w:eastAsia="方正小标宋简体" w:cs="Times New Roman"/>
          <w:b w:val="0"/>
          <w:bCs w:val="0"/>
          <w:color w:val="000000" w:themeColor="text1"/>
          <w:kern w:val="44"/>
          <w:sz w:val="44"/>
          <w:szCs w:val="24"/>
          <w14:textFill>
            <w14:solidFill>
              <w14:schemeClr w14:val="tx1"/>
            </w14:solidFill>
          </w14:textFill>
        </w:rPr>
        <w:t>第一部分 部门概况</w:t>
      </w:r>
      <w:bookmarkEnd w:id="0"/>
    </w:p>
    <w:p w14:paraId="4B238D82">
      <w:pPr>
        <w:pStyle w:val="3"/>
        <w:keepNext/>
        <w:keepLines/>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3B8C4ADF">
      <w:pPr>
        <w:pStyle w:val="3"/>
        <w:keepNext/>
        <w:keepLines/>
        <w:pageBreakBefore w:val="0"/>
        <w:widowControl w:val="0"/>
        <w:kinsoku/>
        <w:wordWrap/>
        <w:overflowPunct w:val="0"/>
        <w:topLinePunct w:val="0"/>
        <w:bidi w:val="0"/>
        <w:snapToGrid/>
        <w:spacing w:beforeLines="0" w:afterLines="0"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 w:name="_Toc316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一、部门职责</w:t>
      </w:r>
      <w:bookmarkEnd w:id="1"/>
    </w:p>
    <w:p w14:paraId="315F6D6A">
      <w:pPr>
        <w:keepLines/>
        <w:pageBreakBefore w:val="0"/>
        <w:widowControl w:val="0"/>
        <w:kinsoku/>
        <w:wordWrap/>
        <w:overflowPunct w:val="0"/>
        <w:topLinePunct w:val="0"/>
        <w:bidi w:val="0"/>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（一）主要职能</w:t>
      </w:r>
    </w:p>
    <w:p w14:paraId="763F129F">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贯彻执行国家有关种植业、农业机械化、农垦、农机等农业各产业（以下简称农业）工作的方针、政策和法律、法规，拟订全区农业和农村经济、农业机械化发展规划并组织实施，组织起草有关农业和农村经济的政策规定，参与拟订涉农财税、价格、金融保险等政策，提出农业产业保护的政策建议，推进农业依法行政。</w:t>
      </w:r>
    </w:p>
    <w:p w14:paraId="5B48465B">
      <w:pPr>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经营的发展规划与政策并组织实施，指导、扶持农业社会化服务体系、农村合作经济组织、农民专业合作社和农产品行业协会的建设与发展。</w:t>
      </w:r>
    </w:p>
    <w:p w14:paraId="68FE44CD">
      <w:pPr>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粮油等主要农产品生产，组织落实促进粮油等主要农产品生产发展的相关政策措施，引导农业产业结构调整和产品品质的改善。会同相关部门指导农业标准化、规模化生产。负责提出农业固定资产投资规模和方向、区级财政性资金安排的建议意见，编报部门预算并组织执行，提出扶持农业农村发展的财政政策和项目建议，经批准后与财政部门共同制订实施方案并指导实施。拟订农业开发规划并监督实施。配合区级财政部门组织实施农业综合开发有关项目。会同相关部门组织实施种粮农民补贴和政策性农业保险工作。</w:t>
      </w:r>
    </w:p>
    <w:p w14:paraId="602E60CA">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农业产业化经营，促进农业产前、产中、产后一体化发展。组织拟订优势特色效益农业发展、现代农业产业基地建设等政策与规划并组织实施，贯彻实施促进大宗农产品流通政策和主要农产品进口政策，研究制订大宗农产品市场体系建设与发展规划，培育、保护和发展农产品品牌。组织协调“菜篮子”工程有关工作。</w:t>
      </w:r>
    </w:p>
    <w:p w14:paraId="16E4076F">
      <w:pPr>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提升农产品质量安全水平的责任。组织开展全区农产品质量安全的监督管理，组织拟订农产品质量地方标准并会同相关部门组织实施和监督管理，负责农产品质量安全监测，依法开展农产品质量安全风险评估，发布有关农产品质量安全状况信息，实施农业检验检测体系建设，依法组织实施符合安全标准的农产品生产基地认定、产品认证和监督管理。</w:t>
      </w:r>
    </w:p>
    <w:p w14:paraId="4551C71E">
      <w:pPr>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组织、协调农业生产资料市场体系建设。依法实施农作物种子、种苗、农药、肥料、农用膜、蚕种的许可及监督管理，会同相关部门监督实施农业生产资料国家标准，拟订有关农业生产资料地方标准并会同相关部门监督实施，依法开展农资市场秩序的整顿、规范和农资打假工作。</w:t>
      </w:r>
    </w:p>
    <w:p w14:paraId="2697E0EA">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负责制订全区农业机械化发展规划并组织实施。承担推广先进适用的农业机械化新技术、新机械并组织生产作业，指导农村机电提灌、机耕道建设，承担农业机械使用安全监管的责任。</w:t>
      </w:r>
    </w:p>
    <w:p w14:paraId="633C1416">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农作物重大病虫害防治。会同相关部门制定植物防疫检疫政策并指导实施，负责植物防疫检疫体系建设，组织、监督区内植物的防疫检疫工作，组织植物检疫性有害生物普查并扑灭，承担区内从境外引进农作物种子（种苗）检疫审查的有关工作，牵头管理外来物种。</w:t>
      </w:r>
    </w:p>
    <w:p w14:paraId="6CDC9821">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承担农业防灾减灾责任。监测、调查农业灾情，会同相关部门组织种子、化肥等救灾物资的储备和调拨，会同相关部门提出生产救灾资金物资安排建议，指导农业救灾和灾后生产恢复。</w:t>
      </w:r>
    </w:p>
    <w:p w14:paraId="1FD832D2">
      <w:pPr>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管理农业和农村经济信息，监测分析农业和农村经济运行。开展相关农业统计工作，发布农业和农村经济信息，负责农业信息体系建设，指导农业信息服务。</w:t>
      </w:r>
    </w:p>
    <w:p w14:paraId="2727A837">
      <w:pPr>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定全区农业科研、农技推广的规划、计划和政策并组织实施，会同相关部门组织区级农业科技创新体系、农业产业技术体系建设。组织引进农业先进技术，组织实施农业领域的高新技术和应用技术研究、农业科技成果转化和技术推广，负责农业科技成果管理，指导农技推广体系改革与建设，负责农业植物新品种保护、农业转基因生物的安全监督管理。</w:t>
      </w:r>
    </w:p>
    <w:p w14:paraId="2669D5FF">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业资源区划和资源保护工作。指导农用地、宜农滩涂、宜农湿地以及农业生物物种资源的保护和管理，拟订耕地及基本农田质量保护与改良政策并指导实施，依法管理耕地质量，运用工程设施、农艺、农机、生物等措施发展资源节约型环境友好型农业，负责农业野生植物资源保护工作。</w:t>
      </w:r>
    </w:p>
    <w:p w14:paraId="7B882084">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村能源建设和资源环境工作。制订并组织实施农业资源环境建设规划，指导农村可再生能源综合开发与利用，指导农业生物质产业发展和农业农村节能减排，承担指导农业面源污染治理有关工作，提出划定农产品禁止生产区域的政策建议，指导生态农业、循环农业、休闲农业等发展。</w:t>
      </w:r>
    </w:p>
    <w:p w14:paraId="3155E958">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业机械驾驶、操作人员的技术考核和发证工作，开展安全教育；管理农业机械牌证，对实行牌证管理的农业机械及其驾驶、操作人员进行安全技术检验、审验和安全检查，纠正违章行为；负责农业机械事故的处理及统计报告；维护农业机械作业秩序。</w:t>
      </w:r>
    </w:p>
    <w:p w14:paraId="446E02E1">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会同相关部门拟订全区农业农村人才队伍建设规划并组织实施，指导农业职业教育和农业职业技能开发工作，参与实施农村实用人才培训工程。承担农民科技培训和农村劳动力转移就业培训工作，会同相关部门依法实施农业农村人才专业技术资格和从业资格管理的有关工作。</w:t>
      </w:r>
    </w:p>
    <w:p w14:paraId="59D86038">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承办政府间农业涉外事务。参与拟订农业对外开放政策和外向型农业发展规划，指导外向型农业发展，组织开展农业、农机业贸易促进工作和有关经济、技术交流与合作，协助相关部门组织实施农业援外项目。</w:t>
      </w:r>
    </w:p>
    <w:p w14:paraId="4546AD95">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负责全区国有农场土地的保护、利用和管理，指导国有农场的改革与发展。</w:t>
      </w:r>
    </w:p>
    <w:p w14:paraId="757F71BD">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承担区政府公布的有关行政审批事项。</w:t>
      </w:r>
    </w:p>
    <w:p w14:paraId="5545216B">
      <w:pPr>
        <w:keepLines/>
        <w:pageBreakBefore w:val="0"/>
        <w:widowControl w:val="0"/>
        <w:kinsoku/>
        <w:wordWrap/>
        <w:overflowPunct w:val="0"/>
        <w:topLinePunct w:val="0"/>
        <w:autoSpaceDE/>
        <w:autoSpaceDN/>
        <w:bidi w:val="0"/>
        <w:adjustRightInd/>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承办区政府交办的其他事项。</w:t>
      </w:r>
    </w:p>
    <w:p w14:paraId="3F135E33">
      <w:pPr>
        <w:keepLines/>
        <w:pageBreakBefore w:val="0"/>
        <w:widowControl w:val="0"/>
        <w:kinsoku/>
        <w:wordWrap/>
        <w:overflowPunct w:val="0"/>
        <w:topLinePunct w:val="0"/>
        <w:bidi w:val="0"/>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（二）2023年重点工作完成情况</w:t>
      </w:r>
    </w:p>
    <w:p w14:paraId="157E906A">
      <w:pPr>
        <w:pStyle w:val="13"/>
        <w:pageBreakBefore w:val="0"/>
        <w:widowControl w:val="0"/>
        <w:kinsoku/>
        <w:wordWrap/>
        <w:overflowPunct w:val="0"/>
        <w:topLinePunct w:val="0"/>
        <w:bidi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围绕2023年目标任务，重点在以下6个方面着力，推动农业农村工作取得新成效、迈上新台阶。</w:t>
      </w:r>
    </w:p>
    <w:p w14:paraId="77EE658A">
      <w:pPr>
        <w:pageBreakBefore w:val="0"/>
        <w:widowControl w:val="0"/>
        <w:kinsoku/>
        <w:wordWrap/>
        <w:overflowPunct w:val="0"/>
        <w:topLinePunct w:val="0"/>
        <w:bidi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1.突出抓好粮食等重要农产品供给。一是扎实抓好优质粮油扩面增产。持续巩固拓展撂荒地整治成效，大力推广果豆套种、稻菜轮作、稻油轮作等粮经复合种植模式，发展大豆玉米带状复合种植4万亩，开发冬闲田扩种油菜2.5万亩，力争全年粮食总播面39万亩以上、总产量13万吨以上，油料总播面20万亩以上、总产量3.3万吨以上。二是突破性发展生态养殖。全力打造畜禽种业高地，新建生猪、肉牛、肉羊种畜禽场5个，全面推广肉牛“532”代养模式，发展代养农户200户，全面推进中小散户开展肉牛养殖，实现年出栏肉牛羊10万头（只）以上。新建土鸡代养基地5个，出栏土鸡1500万羽以上。三是高质量发展特色经作。围绕“百里猕猴桃产业示范带”和双凤、滨湖、紫云、昭化4个以特色水果为主体的现代农业园区，新发展有机猕猴桃200亩以上，认证绿色有机猕猴桃基地3000亩以上，巩固提升猕猴桃基地20000亩，其他小水果30000亩。稳定蔬菜种植面积，优化种植茬口衔接，力争全年蔬菜种植面积稳定在18.2万亩以上、总产量达到43万吨以上。</w:t>
      </w:r>
    </w:p>
    <w:p w14:paraId="7525E46A">
      <w:pPr>
        <w:pageBreakBefore w:val="0"/>
        <w:widowControl w:val="0"/>
        <w:kinsoku/>
        <w:wordWrap/>
        <w:overflowPunct w:val="0"/>
        <w:topLinePunct w:val="0"/>
        <w:bidi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推动现代农业园区晋位升级。统筹推动国、省、市、区四级园区同步建设。以脱贫地区特色产业高质量发展引领区创建为总抓手，坚持园区提质增效和新建扩面两手发力，持续巩固提升已建成各级各类园区，改造提升低质低效园区6个，创建认定一批区级现代农业园区，加快构建形成“三带两园”现代农业体系，为创建国家农业现代化示范区奠定基础、打开局面。聚力打造“一镇一业、一村一品”，积极争取认定农业产业强镇1个。</w:t>
      </w:r>
    </w:p>
    <w:p w14:paraId="3650A57F">
      <w:pPr>
        <w:pageBreakBefore w:val="0"/>
        <w:widowControl w:val="0"/>
        <w:kinsoku/>
        <w:wordWrap/>
        <w:overflowPunct w:val="0"/>
        <w:topLinePunct w:val="0"/>
        <w:bidi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擦亮昭化“农”字号品牌。一是突出抓好“王家贡米”品牌打造。加快推进“王家贡米”产业示范带建设，大力推行“企业+农民专合社、村集体经济组织+农户”订单生产模式，加强品牌引领和质量管控,加快完善全产业链，力争2023年“王家贡米”订单生产面积达到3万亩以上。二是加强品牌宣传推广。采取“产品商品化、商品名牌化、名牌市场化”的农产品品牌梯次发展模式，进一步做响“王家贡米”“元坝生猪”“紫云猕猴桃”等农特产品公共品牌，做强女皇贡米、香香嘴、三禾等知名企业品牌，鼓励和支持农业企业和农民专业合作社创建驰名、著名商标，联合抱团打造品牌。三是加强农产品质量安全。持续巩固提升国家农产品质量安全县创建成果，全面推进食用农产品“治违禁控药残促提升”三年行动、食用农产品达标合格证和质量追溯管理工作，实施生产经营主体全覆盖宣传培训、拉网式排查和抽样检测，确保农产品省级例行监测、风险监测、绿色食品监测、菜篮子工程监测、有机食品检测合格率均超过98%。</w:t>
      </w:r>
    </w:p>
    <w:p w14:paraId="4A86F091">
      <w:pPr>
        <w:pageBreakBefore w:val="0"/>
        <w:widowControl w:val="0"/>
        <w:kinsoku/>
        <w:wordWrap/>
        <w:overflowPunct w:val="0"/>
        <w:topLinePunct w:val="0"/>
        <w:bidi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4.加快推进绿色种养循环。全域加强农业面源污染治理，深入实施化肥农药减量增效行动，采取政府购买服务或奖补社会化服务方式培育壮大粪肥还田、统防统治专业化服务组织，高质量打造绿色种养循环农业试点示范区10万亩、化肥农药减量增效示范区2万亩，化肥、农药使用量同比降低1%以上，畜禽粪污综合利用率和农作物秸秆综合利用率均达到93%以上。健全完善农业废弃物回收网点和处置体系，探索建立政府奖补、市场运作、镇村监管的长效运行机制，废弃农膜、农药包装废弃物回收率达到90%以上。</w:t>
      </w:r>
    </w:p>
    <w:p w14:paraId="5A1F871A">
      <w:pPr>
        <w:pStyle w:val="6"/>
        <w:pageBreakBefore w:val="0"/>
        <w:widowControl w:val="0"/>
        <w:kinsoku/>
        <w:wordWrap/>
        <w:overflowPunct w:val="0"/>
        <w:topLinePunct w:val="0"/>
        <w:bidi w:val="0"/>
        <w:snapToGrid/>
        <w:spacing w:beforeLines="0" w:afterLines="0" w:line="576" w:lineRule="exact"/>
        <w:ind w:firstLine="640" w:firstLineChars="200"/>
        <w:textAlignment w:val="auto"/>
        <w:rPr>
          <w:rFonts w:hint="default" w:ascii="Times New Roman" w:hAnsi="Times New Roman" w:cs="Times New Roman"/>
          <w:b w:val="0"/>
          <w:bCs w:val="0"/>
          <w:color w:val="000000" w:themeColor="text1"/>
          <w:kern w:val="2"/>
          <w:sz w:val="32"/>
          <w:szCs w:val="32"/>
          <w14:textFill>
            <w14:solidFill>
              <w14:schemeClr w14:val="tx1"/>
            </w14:solidFill>
          </w14:textFill>
        </w:rPr>
      </w:pPr>
      <w:r>
        <w:rPr>
          <w:rFonts w:hint="default" w:ascii="Times New Roman" w:hAnsi="Times New Roman" w:cs="Times New Roman"/>
          <w:b w:val="0"/>
          <w:bCs w:val="0"/>
          <w:color w:val="000000" w:themeColor="text1"/>
          <w:kern w:val="2"/>
          <w:sz w:val="32"/>
          <w:szCs w:val="32"/>
          <w14:textFill>
            <w14:solidFill>
              <w14:schemeClr w14:val="tx1"/>
            </w14:solidFill>
          </w14:textFill>
        </w:rPr>
        <w:t>5.加强高标准农田建设。完成《高标准农田建设十年规划（2021—2030年）》编制，出台《高标准农田建设项目资金管理办法》，以粮油园区建设区域为重点，按照“旱涝保收、宜机作业、能排能灌、稳产高产、生态友好”标准规划设计，续建2022年高标准农田3.1万亩，2023年新建高标准农田0.9万亩，改造提升1.5万亩。启动全区土壤第三次普查工作，整治病险山坪塘200口。培育农机专合社2个，培育“全程机械化”+“综合农事”服务中心1个。</w:t>
      </w:r>
    </w:p>
    <w:p w14:paraId="541A9A83">
      <w:pPr>
        <w:pageBreakBefore w:val="0"/>
        <w:widowControl w:val="0"/>
        <w:kinsoku/>
        <w:wordWrap/>
        <w:overflowPunct w:val="0"/>
        <w:topLinePunct w:val="0"/>
        <w:bidi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6.多渠道促进农民增收。一是发展新型农业经营主体带农增收。积极培育龙头企业、家庭农场、专业合作社，引导新型农业经营主体与小农户建立多种类型合作方式，把产业增值收益更多留给农民。全年创建国家级龙头企业1个、市级5个，争创省级示范农民专业合作社5个、市级8个，省级示范家庭农场3个、市级10个，组建土鸡、猕猴桃农业产业化联合体各1个、家庭农场联盟1个。二是壮大集体经济促增收。稳妥推进农村宅基地制度改革试点，推进农村集体资产股权赋权活能，全覆盖建立村集体经济增收机制，创新集体经济发展模式，力争实现全区村集体经济经营性收入达到1200万元，增长15%以上，打造村集体经济年收入50万元以上的村3个，力争农民人均集体经营性收入达到60元以上。积极争取中省扶持村集体经济发展项目资金700万元，扶持村7个。三是落实惠农政策保增收。严格落实“一卡通”管理办法，千方百计便民、利民，构建到户快捷通道，缩短资金发放流程，高效率兑付到户资金。确保耕地地力保护补贴、农机购置补贴、种粮补贴等惠农政策全部足额发放到农户。四是在涉农项目中大力推广以工代赈方式建设促增收。</w:t>
      </w:r>
    </w:p>
    <w:p w14:paraId="5D207554">
      <w:pPr>
        <w:pageBreakBefore w:val="0"/>
        <w:widowControl w:val="0"/>
        <w:kinsoku/>
        <w:wordWrap/>
        <w:overflowPunct w:val="0"/>
        <w:topLinePunct w:val="0"/>
        <w:bidi w:val="0"/>
        <w:snapToGrid/>
        <w:spacing w:beforeLines="0" w:afterLines="0" w:line="576" w:lineRule="exact"/>
        <w:ind w:firstLine="640" w:firstLineChars="200"/>
        <w:textAlignment w:val="auto"/>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2" w:name="_Toc17300"/>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二、机构设置</w:t>
      </w:r>
      <w:bookmarkEnd w:id="2"/>
    </w:p>
    <w:p w14:paraId="6A71212C">
      <w:pPr>
        <w:keepLines/>
        <w:pageBreakBefore w:val="0"/>
        <w:widowControl w:val="0"/>
        <w:kinsoku/>
        <w:wordWrap/>
        <w:overflowPunct w:val="0"/>
        <w:topLinePunct w:val="0"/>
        <w:bidi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区农业农村局部门属于一级预算单位，下属二级预算单位0个，</w:t>
      </w:r>
    </w:p>
    <w:p w14:paraId="7B3ED0DC">
      <w:pPr>
        <w:keepLines/>
        <w:pageBreakBefore w:val="0"/>
        <w:widowControl w:val="0"/>
        <w:kinsoku/>
        <w:wordWrap/>
        <w:overflowPunct w:val="0"/>
        <w:topLinePunct w:val="0"/>
        <w:bidi w:val="0"/>
        <w:snapToGrid/>
        <w:spacing w:beforeLines="0" w:afterLines="0" w:line="576" w:lineRule="exact"/>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其中行政单位0个，参照公务员法管理的事业单位0个，其他事业单位0个。</w:t>
      </w:r>
    </w:p>
    <w:p w14:paraId="63F42D5F">
      <w:pPr>
        <w:keepLines/>
        <w:pageBreakBefore w:val="0"/>
        <w:widowControl w:val="0"/>
        <w:kinsoku/>
        <w:wordWrap/>
        <w:overflowPunct w:val="0"/>
        <w:topLinePunct w:val="0"/>
        <w:bidi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纳入2023年度部门决算编制范围的二级预算单位包括：广元市昭化区农业农村局</w:t>
      </w:r>
    </w:p>
    <w:p w14:paraId="3E839459">
      <w:pPr>
        <w:keepNext/>
        <w:keepLines/>
        <w:pageBreakBefore/>
        <w:widowControl w:val="0"/>
        <w:numPr>
          <w:ilvl w:val="0"/>
          <w:numId w:val="0"/>
        </w:numPr>
        <w:kinsoku/>
        <w:wordWrap/>
        <w:overflowPunct w:val="0"/>
        <w:topLinePunct w:val="0"/>
        <w:autoSpaceDE w:val="0"/>
        <w:autoSpaceDN w:val="0"/>
        <w:bidi w:val="0"/>
        <w:adjustRightInd w:val="0"/>
        <w:snapToGrid/>
        <w:spacing w:before="0" w:beforeLines="100" w:afterLines="0" w:line="700" w:lineRule="exact"/>
        <w:ind w:firstLine="880" w:firstLineChars="200"/>
        <w:jc w:val="both"/>
        <w:textAlignment w:val="auto"/>
        <w:outlineLvl w:val="0"/>
        <w:rPr>
          <w:rFonts w:hint="eastAsia" w:ascii="方正小标宋简体" w:hAnsi="方正小标宋简体" w:eastAsia="方正小标宋简体" w:cs="方正小标宋简体"/>
          <w:b w:val="0"/>
          <w:bCs w:val="0"/>
          <w:color w:val="000000" w:themeColor="text1"/>
          <w:kern w:val="2"/>
          <w:sz w:val="44"/>
          <w:szCs w:val="44"/>
          <w14:textFill>
            <w14:solidFill>
              <w14:schemeClr w14:val="tx1"/>
            </w14:solidFill>
          </w14:textFill>
        </w:rPr>
      </w:pPr>
      <w:bookmarkStart w:id="3" w:name="_Toc12121"/>
      <w:r>
        <w:rPr>
          <w:rFonts w:hint="eastAsia" w:ascii="方正小标宋简体" w:hAnsi="方正小标宋简体" w:eastAsia="方正小标宋简体" w:cs="方正小标宋简体"/>
          <w:b w:val="0"/>
          <w:bCs w:val="0"/>
          <w:color w:val="000000" w:themeColor="text1"/>
          <w:kern w:val="44"/>
          <w:sz w:val="44"/>
          <w:szCs w:val="44"/>
          <w14:textFill>
            <w14:solidFill>
              <w14:schemeClr w14:val="tx1"/>
            </w14:solidFill>
          </w14:textFill>
        </w:rPr>
        <w:t>第二部分  2023年度部门决算情况说明</w:t>
      </w:r>
      <w:bookmarkEnd w:id="3"/>
    </w:p>
    <w:p w14:paraId="48CEA862">
      <w:pPr>
        <w:keepLines/>
        <w:kinsoku/>
        <w:wordWrap/>
        <w:overflowPunct w:val="0"/>
        <w:topLinePunct/>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7038ED53">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4" w:name="_Toc19948"/>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一、收入支出决算总体情况说明</w:t>
      </w:r>
      <w:bookmarkEnd w:id="4"/>
    </w:p>
    <w:p w14:paraId="63AAC3F2">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2023年度收、支总计均为40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713.98万元。与2022年度相比，收、支总计各增加5,100.62万元，增长14.3%。主要变动原因是主要变动原因是项目资金增加。</w:t>
      </w:r>
    </w:p>
    <w:p w14:paraId="790D38DA">
      <w:pPr>
        <w:keepNext w:val="0"/>
        <w:keepLines/>
        <w:pageBreakBefore w:val="0"/>
        <w:widowControl w:val="0"/>
        <w:kinsoku/>
        <w:wordWrap/>
        <w:overflowPunct w:val="0"/>
        <w:topLinePunct/>
        <w:autoSpaceDE w:val="0"/>
        <w:autoSpaceDN w:val="0"/>
        <w:bidi w:val="0"/>
        <w:adjustRightInd w:val="0"/>
        <w:snapToGrid/>
        <w:spacing w:beforeLines="0" w:afterLines="0" w:line="40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p>
    <w:p w14:paraId="5722B710">
      <w:pPr>
        <w:keepLines/>
        <w:kinsoku/>
        <w:wordWrap/>
        <w:overflowPunct w:val="0"/>
        <w:topLinePunct/>
        <w:bidi w:val="0"/>
        <w:spacing w:beforeLines="0" w:afterLines="0"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991735" cy="2976245"/>
            <wp:effectExtent l="4445" t="4445" r="13970" b="1016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4134DE">
      <w:pPr>
        <w:keepNext w:val="0"/>
        <w:keepLines/>
        <w:pageBreakBefore w:val="0"/>
        <w:widowControl w:val="0"/>
        <w:kinsoku/>
        <w:wordWrap/>
        <w:overflowPunct w:val="0"/>
        <w:topLinePunct/>
        <w:autoSpaceDE w:val="0"/>
        <w:autoSpaceDN w:val="0"/>
        <w:bidi w:val="0"/>
        <w:adjustRightInd w:val="0"/>
        <w:snapToGrid/>
        <w:spacing w:before="0" w:beforeLines="50" w:afterLines="0"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5" w:name="_Toc18944"/>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二、收入决算情况说明</w:t>
      </w:r>
      <w:bookmarkEnd w:id="5"/>
    </w:p>
    <w:p w14:paraId="76B0771B">
      <w:pPr>
        <w:keepLines/>
        <w:kinsoku/>
        <w:wordWrap/>
        <w:overflowPunct w:val="0"/>
        <w:topLinePunct/>
        <w:bidi w:val="0"/>
        <w:spacing w:beforeLines="0" w:afterLines="0" w:line="576" w:lineRule="exact"/>
        <w:ind w:firstLine="640" w:firstLineChars="200"/>
        <w:jc w:val="both"/>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2023年本年收入合计40,713.98万元，其中：一般公共预算财政拨款收入30,160.77万元，占74.1%；政府性基金预算财政拨款收入10,553.21万元，占25.9%</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p>
    <w:p w14:paraId="1EC8626D">
      <w:pPr>
        <w:keepLines/>
        <w:kinsoku/>
        <w:wordWrap/>
        <w:overflowPunct w:val="0"/>
        <w:topLinePunct/>
        <w:bidi w:val="0"/>
        <w:spacing w:beforeLines="0" w:afterLines="0"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819650" cy="2496185"/>
            <wp:effectExtent l="4445" t="4445" r="14605" b="13970"/>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FFE9A4">
      <w:pPr>
        <w:keepLines/>
        <w:kinsoku/>
        <w:wordWrap/>
        <w:overflowPunct w:val="0"/>
        <w:topLinePunct/>
        <w:bidi w:val="0"/>
        <w:spacing w:beforeLines="0" w:afterLines="0"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（图2：收入决算结构图）</w:t>
      </w:r>
    </w:p>
    <w:p w14:paraId="5EB3BBC8">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6" w:name="_Toc5642"/>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三、支出决算情况说明</w:t>
      </w:r>
      <w:bookmarkEnd w:id="6"/>
    </w:p>
    <w:p w14:paraId="38D76E0D">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2023年本年支出合计40,713.98万元，其中：基本支出1,918.84万元，占4.7%；项目支出38,795.14万元，占95.3%；上缴上级支出0万元，占0%；经营支出0万元，占0%；对附属单位补助支出0万元，占0%。</w:t>
      </w:r>
    </w:p>
    <w:p w14:paraId="00B7BB4C">
      <w:pPr>
        <w:keepLines/>
        <w:kinsoku/>
        <w:wordWrap/>
        <w:overflowPunct w:val="0"/>
        <w:topLinePunct/>
        <w:bidi w:val="0"/>
        <w:spacing w:beforeLines="0" w:afterLines="0" w:line="240" w:lineRule="auto"/>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819650" cy="2305050"/>
            <wp:effectExtent l="4445" t="4445" r="14605" b="14605"/>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D49389">
      <w:pPr>
        <w:keepLines/>
        <w:kinsoku/>
        <w:wordWrap/>
        <w:overflowPunct w:val="0"/>
        <w:topLinePunct/>
        <w:bidi w:val="0"/>
        <w:spacing w:beforeLines="0" w:afterLines="0"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（图3：支出决算结构图）</w:t>
      </w:r>
    </w:p>
    <w:p w14:paraId="6062E37E">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7" w:name="_Toc2305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四、财政拨款收入支出决算总体情况说明</w:t>
      </w:r>
      <w:bookmarkEnd w:id="7"/>
    </w:p>
    <w:p w14:paraId="53B532C5">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2023年度财政拨款收、支总计均为40,713.98万元。与2022年度相比，财政拨款收、支总计各增加5,100.62万元，增长14.3%。主要变动原因是积极争取项目，项目资金增加。</w:t>
      </w:r>
    </w:p>
    <w:p w14:paraId="18859FBC">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p>
    <w:p w14:paraId="62CEF593">
      <w:pPr>
        <w:keepLines/>
        <w:kinsoku/>
        <w:wordWrap/>
        <w:overflowPunct w:val="0"/>
        <w:topLinePunct/>
        <w:bidi w:val="0"/>
        <w:spacing w:beforeLines="0" w:afterLines="0"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981575" cy="2914650"/>
            <wp:effectExtent l="4445" t="4445" r="5080" b="14605"/>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CEB777">
      <w:pPr>
        <w:keepLines/>
        <w:kinsoku/>
        <w:wordWrap/>
        <w:overflowPunct w:val="0"/>
        <w:topLinePunct/>
        <w:bidi w:val="0"/>
        <w:spacing w:beforeLines="0" w:afterLines="0"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（图4：财政拨款收、支决算总计变动情况）</w:t>
      </w:r>
    </w:p>
    <w:p w14:paraId="6591142E">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8" w:name="_Toc6869"/>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五、一般公共预算财政拨款支出决算情况说明</w:t>
      </w:r>
      <w:bookmarkEnd w:id="8"/>
    </w:p>
    <w:p w14:paraId="7D0AA463">
      <w:pPr>
        <w:keepLines/>
        <w:kinsoku/>
        <w:wordWrap/>
        <w:overflowPunct w:val="0"/>
        <w:topLinePunct/>
        <w:bidi w:val="0"/>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（一）一般公共预算财政拨款支出决算总体情况</w:t>
      </w:r>
    </w:p>
    <w:p w14:paraId="50BB491D">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2023年度一般公共预算财政拨款支出30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160.77万元，占本年支出合计的74.1%。与2022年度相比，一般公共预算财政拨款支出减少3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186.83万元，下降9.5%。主要变动原因是市场经济下滑，财政资金紧张。</w:t>
      </w:r>
    </w:p>
    <w:p w14:paraId="5960FB38">
      <w:pPr>
        <w:keepLines/>
        <w:kinsoku/>
        <w:wordWrap/>
        <w:overflowPunct w:val="0"/>
        <w:topLinePunct/>
        <w:bidi w:val="0"/>
        <w:spacing w:beforeLines="0" w:afterLines="0" w:line="240" w:lineRule="auto"/>
        <w:ind w:firstLine="480" w:firstLineChars="200"/>
        <w:jc w:val="both"/>
        <w:rPr>
          <w:rFonts w:hint="default" w:ascii="Times New Roman" w:hAnsi="Times New Roman" w:cs="Times New Roman"/>
          <w:b w:val="0"/>
          <w:bCs w:val="0"/>
          <w:color w:val="000000" w:themeColor="text1"/>
          <w14:textFill>
            <w14:solidFill>
              <w14:schemeClr w14:val="tx1"/>
            </w14:solidFill>
          </w14:textFill>
        </w:rPr>
      </w:pPr>
    </w:p>
    <w:p w14:paraId="06FFF9D9">
      <w:pPr>
        <w:keepLines/>
        <w:kinsoku/>
        <w:wordWrap/>
        <w:overflowPunct w:val="0"/>
        <w:topLinePunct/>
        <w:bidi w:val="0"/>
        <w:spacing w:beforeLines="0" w:afterLines="0" w:line="240" w:lineRule="auto"/>
        <w:ind w:firstLine="480" w:firstLineChars="200"/>
        <w:jc w:val="both"/>
        <w:rPr>
          <w:rFonts w:hint="default" w:ascii="Times New Roman" w:hAnsi="Times New Roman" w:cs="Times New Roman"/>
          <w:b w:val="0"/>
          <w:bCs w:val="0"/>
          <w:color w:val="000000" w:themeColor="text1"/>
          <w14:textFill>
            <w14:solidFill>
              <w14:schemeClr w14:val="tx1"/>
            </w14:solidFill>
          </w14:textFill>
        </w:rPr>
      </w:pPr>
    </w:p>
    <w:p w14:paraId="434B8523">
      <w:pPr>
        <w:keepLines/>
        <w:kinsoku/>
        <w:wordWrap/>
        <w:overflowPunct w:val="0"/>
        <w:topLinePunct/>
        <w:bidi w:val="0"/>
        <w:spacing w:beforeLines="0" w:afterLines="0" w:line="240" w:lineRule="auto"/>
        <w:ind w:left="0" w:leftChars="0" w:firstLine="240" w:firstLineChars="1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5582285" cy="3722370"/>
            <wp:effectExtent l="5080" t="4445" r="13335" b="6985"/>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50F28B">
      <w:pPr>
        <w:keepLines/>
        <w:kinsoku/>
        <w:wordWrap/>
        <w:overflowPunct w:val="0"/>
        <w:topLinePunct/>
        <w:bidi w:val="0"/>
        <w:spacing w:beforeLines="0" w:afterLines="0"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（图5：一般公共预算财政拨款支出决算变动情况）</w:t>
      </w:r>
    </w:p>
    <w:p w14:paraId="29071733">
      <w:pPr>
        <w:keepNext w:val="0"/>
        <w:keepLines/>
        <w:pageBreakBefore w:val="0"/>
        <w:widowControl w:val="0"/>
        <w:kinsoku/>
        <w:wordWrap/>
        <w:overflowPunct w:val="0"/>
        <w:topLinePunct/>
        <w:autoSpaceDE w:val="0"/>
        <w:autoSpaceDN w:val="0"/>
        <w:bidi w:val="0"/>
        <w:adjustRightInd w:val="0"/>
        <w:snapToGrid/>
        <w:spacing w:before="0" w:beforeLines="50" w:afterLines="0"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（二）一般公共预算财政拨款支出决算结构情况</w:t>
      </w:r>
    </w:p>
    <w:p w14:paraId="3362F329">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2023年度一般公共预算财政拨款支出30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160.77万元，主要用于以下方面</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一般公共服务支出2万元，占0%；社会保障和就业支出440.34万元，占1.5%；卫生健康支出75.28万元，占0.2%；农林水支出24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256.12万元，占80.4%；商业服务业等支出558万元，占1.9%；住房保障支出102.23万元，占0.3%；粮油物资储备支出621.8万元，占2.1%；其他支出4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105万元，占13.6%；</w:t>
      </w:r>
    </w:p>
    <w:p w14:paraId="6BDD79CF">
      <w:pPr>
        <w:keepLines/>
        <w:kinsoku/>
        <w:wordWrap/>
        <w:overflowPunct w:val="0"/>
        <w:topLinePunct/>
        <w:bidi w:val="0"/>
        <w:spacing w:beforeLines="0" w:afterLines="0"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914265" cy="2976245"/>
            <wp:effectExtent l="4445" t="4445" r="15240" b="10160"/>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8AFB5D">
      <w:pPr>
        <w:keepLines/>
        <w:kinsoku/>
        <w:wordWrap/>
        <w:overflowPunct w:val="0"/>
        <w:topLinePunct/>
        <w:bidi w:val="0"/>
        <w:spacing w:beforeLines="0" w:afterLines="0"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（图6：一般公共预算财政拨款支出决算结构）</w:t>
      </w:r>
    </w:p>
    <w:p w14:paraId="1FCC303E">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（三）一般公共预算财政拨款支出决算具体情况</w:t>
      </w:r>
    </w:p>
    <w:p w14:paraId="2728851D">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2023年度一般公共预算支出全年预算数为40</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713.98万元，支出决算数为40</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713.98万元，完成全年预算数的100%。其中：</w:t>
      </w:r>
    </w:p>
    <w:p w14:paraId="63C44EE7">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一般公共服务支出（类）组织事务（款）其他组织事务支出（项）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全年预算为2万元，支出决算为2万元，完成全年预算的100%。</w:t>
      </w:r>
    </w:p>
    <w:p w14:paraId="491759C8">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社会保障和就业支出（类）行政事业单位养老支出（款）机关事业单位基本养老保险缴费支出（项）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全年预算为241.31万元，支出决算为241.31万元，完成全年预算的100%。</w:t>
      </w:r>
    </w:p>
    <w:p w14:paraId="62C41212">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社会保障和就业支出（类）行政事业单位养老支出（款）行政单位离退休（项）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全年预算为186万元，支出决算为186万元，完成全年预算的100%。</w:t>
      </w:r>
    </w:p>
    <w:p w14:paraId="394DE2E9">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社会保障和就业支出（类）其他社会保障和就业支出（款）其他社会保障和就业支出（项）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全年预算为13.03万元，支出决算为13.03万元，完成全年预算的100%。</w:t>
      </w:r>
    </w:p>
    <w:p w14:paraId="4D2ADF58">
      <w:pPr>
        <w:keepNext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卫生健康支出（类）行政事业单位医疗（款）行政单位医疗（项）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全年预算为31.82万元，支出决算为31.82万元，完成全年预算的100%。</w:t>
      </w:r>
    </w:p>
    <w:p w14:paraId="7C5FC848">
      <w:pPr>
        <w:keepNext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卫生健康支出（类）行政事业单位医疗（款）事业单位医疗（项）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全年预算为43.46万元，支出决算为43.46万元，完成全年预算的100%。</w:t>
      </w:r>
    </w:p>
    <w:p w14:paraId="2ABA0978">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城乡社区支出（类）国有土地使用权出让收入安排的支出（款）农业农村生态环境支出（项）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000万元，支出决算为1</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000万元，完成全年预算的100%。</w:t>
      </w:r>
    </w:p>
    <w:p w14:paraId="00F598D9">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城乡社区支出（类）国有土地使用权出让收入安排的支出（款）其他国有土地使用权出让收入安排的支出（项）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全年预算为553.21万元，支出决算为553.21万元，完成全年预算的100%。</w:t>
      </w:r>
    </w:p>
    <w:p w14:paraId="7C32DBA7">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9</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农林水支出（类）农业农村（款）行政运行（项）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全年预算为688.42万元，支出决算为688.42万元，完成全年预算的100%。</w:t>
      </w:r>
    </w:p>
    <w:p w14:paraId="2607315B">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农林水支出（类）农业农村（款）事业运行（项）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全年预算为702.56万元，支出决算为702.56万元，完成全年预算的100%。</w:t>
      </w:r>
    </w:p>
    <w:p w14:paraId="794894E8">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11</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农林水支出（类）农业农村（款）病虫害控制（项）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w:t>
      </w:r>
    </w:p>
    <w:p w14:paraId="0B09E50B">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年预算为159.28万元，支出决算为159.28万元，完成全年预算的100%。</w:t>
      </w:r>
    </w:p>
    <w:p w14:paraId="082CA699">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12</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农林水支出（类）农业农村（款）防灾救灾（项）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全年预算为23万元，支出决算为23万元，完成全年预算的100%。</w:t>
      </w:r>
    </w:p>
    <w:p w14:paraId="7C0D4F56">
      <w:pPr>
        <w:keepNext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农林水支出（类）农业农村（款）稳定农民收入补贴（项）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893.91万元，支出决算为2</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893.91万元，完成全年预算的100%。</w:t>
      </w:r>
    </w:p>
    <w:p w14:paraId="5D8E7403">
      <w:pPr>
        <w:keepNext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14</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农林水支出（类）农业农村（款）农业生产发展（项）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全年预算为425万元，支出决算为425万元，完成全年预算的100%。</w:t>
      </w:r>
    </w:p>
    <w:p w14:paraId="67C91CA5">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15</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农林水支出（类）农业农村（款）农业资源保护修复与利用（项）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全年预算为915.96万元，支出决算为915.96万元，完成全年预算的100%。</w:t>
      </w:r>
    </w:p>
    <w:p w14:paraId="60F067EB">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农林水支出（类）农业农村（款）农田建设（项）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189万元，支出决算为3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189万元，完成全年预算的100%。</w:t>
      </w:r>
    </w:p>
    <w:p w14:paraId="0E6B6140">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17</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农林水支出（类）农业农村（款）其他农业农村支出（项）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全年预算为6</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559.02万元，支出决算为6</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559.02万元，完成全年预算的100%。</w:t>
      </w:r>
    </w:p>
    <w:p w14:paraId="5FE5B3D9">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农林水支出（类）水利（款）抗旱（项）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全年预算为17万元，支出决算为17万元，完成全年预算的100%。</w:t>
      </w:r>
    </w:p>
    <w:p w14:paraId="6FF261CC">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19</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农林水支出（类）巩固脱贫攻坚成果衔接乡村振兴（款）</w:t>
      </w:r>
    </w:p>
    <w:p w14:paraId="191D80AD">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贷款奖补和贴息（项）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全年预算为34.5万元，支出决算为34.5万元，完成全年预算的100%。</w:t>
      </w:r>
    </w:p>
    <w:p w14:paraId="0F983B32">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农林水支出（类）巩固脱贫攻坚成果衔接乡村振兴（款）其他巩固脱贫攻坚成果衔接乡村振兴支出（项）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 4</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881.03万元，支出决算为4</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881.03万元，完成全年预算的100%。</w:t>
      </w:r>
    </w:p>
    <w:p w14:paraId="40373E20">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21</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农林水支出（类）普惠金融发展支出（款）农业保险保费补贴（项）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189.94万元，支出决算为3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189.94万元，完成全年预算的100%。</w:t>
      </w:r>
    </w:p>
    <w:p w14:paraId="2F1FFC21">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22</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农林水支出（类）普惠金融发展支出（款）其他普惠金融发展支出（项）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全年预算为100万元，支出决算为100万元，完成全年预算的100%。</w:t>
      </w:r>
    </w:p>
    <w:p w14:paraId="3E5028AC">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农林水支出（类）目标价格补贴（款）其他目标价格补贴（项）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全年预算为427.49万元，支出决算为427.49万元，完成全年预算的100%。</w:t>
      </w:r>
    </w:p>
    <w:p w14:paraId="1723ECA9">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24</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农林水支出（类）其他农林水支出（款）其他农林水支出（项）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全年预算为50万元，支出决算为50万元，完成全年预算的100%。</w:t>
      </w:r>
    </w:p>
    <w:p w14:paraId="52A89BCA">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25</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商业服务业等支出（类）涉外发展服务支出（款）其他涉外发展服务支出（项）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全年预算为558万元，支出决算为558万元，完成全年预算的100%。</w:t>
      </w:r>
    </w:p>
    <w:p w14:paraId="62C9E56C">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26</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住房保障支出（类）住房改革支出（款）住房公积金（项）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全年预算为102.23万元，支出决算为102.23万元，完成全年预算的100%。</w:t>
      </w:r>
    </w:p>
    <w:p w14:paraId="3F1E2544">
      <w:pPr>
        <w:keepNext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27</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粮油物资储备支出（类）粮油物资事务（款）其他粮油物资事务支出（项）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全年预算为621.8万元，支出决算为621.8万元，完成全年预算的100%。</w:t>
      </w:r>
    </w:p>
    <w:p w14:paraId="125B861C">
      <w:pPr>
        <w:keepNext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28</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其他支出（类）其他政府性基金及对应专项债务收入安排的支出（款）其他地方自行试点项目收益专项债券收入安排的支出（项）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全年预算为9</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000万元，支出决算为9</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000万元，完成全年预算的100%。</w:t>
      </w:r>
    </w:p>
    <w:p w14:paraId="5A1DDCF3">
      <w:pPr>
        <w:keepNext w:val="0"/>
        <w:keepLines/>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29</w:t>
      </w:r>
      <w:r>
        <w:rPr>
          <w:rFonts w:hint="default"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24"/>
          <w14:textFill>
            <w14:solidFill>
              <w14:schemeClr w14:val="tx1"/>
            </w14:solidFill>
          </w14:textFill>
        </w:rPr>
        <w:t>其他支出（类）其他支出（款）其他支出（项）</w:t>
      </w:r>
      <w:r>
        <w:rPr>
          <w:rFonts w:hint="default"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全年预算为4105万元，支出决算为4105万元，完成全年预算的100%。</w:t>
      </w:r>
    </w:p>
    <w:p w14:paraId="2D06A509">
      <w:pPr>
        <w:keepNext w:val="0"/>
        <w:keepLines/>
        <w:pageBreakBefore w:val="0"/>
        <w:widowControl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Times New Roman" w:hAnsi="Times New Roman" w:cs="Times New Roman"/>
          <w:b w:val="0"/>
          <w:bCs w:val="0"/>
          <w:color w:val="000000" w:themeColor="text1"/>
          <w:kern w:val="2"/>
          <w:sz w:val="32"/>
          <w:szCs w:val="24"/>
          <w14:textFill>
            <w14:solidFill>
              <w14:schemeClr w14:val="tx1"/>
            </w14:solidFill>
          </w14:textFill>
        </w:rPr>
      </w:pPr>
      <w:bookmarkStart w:id="9" w:name="_Toc25207"/>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六、一般公共预算财政拨款基本支出决算情况说明</w:t>
      </w:r>
      <w:bookmarkEnd w:id="9"/>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ab/>
      </w:r>
    </w:p>
    <w:p w14:paraId="0A4C4AE7">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2023年度一般公共预算财政拨款基本支出1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918.84万元，其中：</w:t>
      </w:r>
    </w:p>
    <w:p w14:paraId="52186F46">
      <w:pPr>
        <w:keepNext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人员经费1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718.77万元，主要包括：基本工资508.6万元、津贴补贴140.19万元、奖金347.29万元、伙食补助费0万元、绩效工资193.92万元、机关事业单位基本养老保险缴费241.31万元、职业年金缴费0万元、职工基本医疗保险缴费75.28万元、公务员医疗补助缴费0万元、其他社会保障缴费13.03万元、住房公积金102.23万元、医疗费0万元、其他工资福利支出0万元、离休费0万元、退休费0万元、退职（役）费0万元、抚恤金0万元、生活补助0万元、救济费0万元、医疗费补助0万元、助学金0万元、奖励金0万元、个人农业生产补贴0万元、代缴社会保险0万元、其他对个人和家庭的补助支出96.92万元。</w:t>
      </w:r>
    </w:p>
    <w:p w14:paraId="3CCBF528">
      <w:pPr>
        <w:keepNext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公用经费200.07万元，主要包括：办公费10.96万元、印刷费13.29万元、咨询费0万元、手续费0.3万元、水费2.25万元、电费10.65万元、邮电费5.5万元、取暖费0万元、物业管理费0万元、差旅费23.06万元、因公出国（境）费用0万元、维修（护）费5万元、租赁费0万元、会议费3.34万元、培训费6.23万元、公务接待费14.32万元、专用材料费0万元、被装购置费0万元、专用燃料费0万元、劳务费23.22万元、委托业务费0万元、工会经费24万元、福利费0万元、公务用车运行维护费0万元、其他交通费45.95万元、税金及附加费用0万元、其他商品和服务支出12万元。</w:t>
      </w:r>
    </w:p>
    <w:p w14:paraId="73CCF0FA">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0" w:name="_Toc7245"/>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七、财政拨款“三公”经费支出决算情况说明</w:t>
      </w:r>
      <w:bookmarkEnd w:id="10"/>
    </w:p>
    <w:p w14:paraId="55C95252">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（一）“三公”经费财政拨款支出决算总体情况说明</w:t>
      </w:r>
    </w:p>
    <w:p w14:paraId="68B688D9">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2023年度“三公”经费财政拨款支出预算为14.32万元，支出决算为14.32万元，完成预算的100%；较上年持平。</w:t>
      </w:r>
    </w:p>
    <w:p w14:paraId="6F790B55">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（二）“三公”经费财政拨款支出决算具体情况说明</w:t>
      </w:r>
    </w:p>
    <w:p w14:paraId="3611C5F9">
      <w:pPr>
        <w:keepNext w:val="0"/>
        <w:keepLines/>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distribute"/>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2023年度“三公”经费财政拨款支出决算中，因公出国（境）费支出决算0万元，占0%；公务用车购置及运行维护费支出决算0万</w:t>
      </w:r>
    </w:p>
    <w:p w14:paraId="0CB567E5">
      <w:pPr>
        <w:keepNext w:val="0"/>
        <w:keepLines/>
        <w:pageBreakBefore w:val="0"/>
        <w:widowControl w:val="0"/>
        <w:kinsoku/>
        <w:wordWrap/>
        <w:overflowPunct w:val="0"/>
        <w:topLinePunct/>
        <w:autoSpaceDE w:val="0"/>
        <w:autoSpaceDN w:val="0"/>
        <w:bidi w:val="0"/>
        <w:adjustRightInd w:val="0"/>
        <w:snapToGrid/>
        <w:spacing w:beforeLines="0" w:afterLines="0" w:line="576" w:lineRule="exact"/>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元，占0%；公务接待费支出决算14.32万元，占100%。具体情况如下：</w:t>
      </w:r>
    </w:p>
    <w:p w14:paraId="72C53B74">
      <w:pPr>
        <w:keepLines/>
        <w:kinsoku/>
        <w:wordWrap/>
        <w:overflowPunct w:val="0"/>
        <w:topLinePunct/>
        <w:bidi w:val="0"/>
        <w:spacing w:beforeLines="0" w:afterLines="0" w:line="240" w:lineRule="auto"/>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753610" cy="2544445"/>
            <wp:effectExtent l="4445" t="5080" r="23495" b="22225"/>
            <wp:docPr id="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C57CE4">
      <w:pPr>
        <w:keepLines/>
        <w:kinsoku/>
        <w:wordWrap/>
        <w:overflowPunct w:val="0"/>
        <w:topLinePunct/>
        <w:bidi w:val="0"/>
        <w:spacing w:beforeLines="0" w:afterLines="0"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（图7：“三公”经费财政拨款支出结构）</w:t>
      </w:r>
    </w:p>
    <w:p w14:paraId="0EB72F27">
      <w:pPr>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1.因公出国（境）经费预算为0万元，支出决算为0万元，完成预算的0%。全年安排因公出国（境）团组0个，出国（境）0人。因公出国（境）支出决算与2022年持平。</w:t>
      </w:r>
    </w:p>
    <w:p w14:paraId="2E846329">
      <w:pPr>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2.公务用车购置及运行维护费预算为0万元</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支出决算为0万元，完成预算的0%。</w:t>
      </w:r>
    </w:p>
    <w:p w14:paraId="4C0D5DD3">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其中：公务用车购置费支出0万元。全年按规定更新购置公务用车0辆，其中：轿车0辆、金额0万元，越野车0辆、金额0万元，小型客车0辆、金额0万元，中型客车和大型客车0辆、金额0万元，</w:t>
      </w:r>
    </w:p>
    <w:p w14:paraId="29FD4235">
      <w:pPr>
        <w:keepLines/>
        <w:kinsoku/>
        <w:wordWrap/>
        <w:overflowPunct w:val="0"/>
        <w:topLinePunct/>
        <w:bidi w:val="0"/>
        <w:spacing w:beforeLines="0" w:afterLines="0" w:line="576" w:lineRule="exact"/>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其他车型0辆、金额0万元。截至2023年12月31日，本部门共有公务用车1辆，其中：轿车0辆、越野车1辆、小型客车0辆、中型客车和</w:t>
      </w:r>
    </w:p>
    <w:p w14:paraId="7CB68154">
      <w:pPr>
        <w:keepLines/>
        <w:kinsoku/>
        <w:wordWrap/>
        <w:overflowPunct w:val="0"/>
        <w:topLinePunct/>
        <w:bidi w:val="0"/>
        <w:spacing w:beforeLines="0" w:afterLines="0" w:line="576" w:lineRule="exact"/>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大型客车0辆、其他车型0辆。</w:t>
      </w:r>
    </w:p>
    <w:p w14:paraId="7C0194F2">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公务用车运行维护费支出0万元。</w:t>
      </w:r>
    </w:p>
    <w:p w14:paraId="2B5A25E1">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3.公务接待费预算为14.32万元，支出决算为14.32万元，完成预算的100%。公务接待费支出决算比2022年度持平。</w:t>
      </w:r>
    </w:p>
    <w:p w14:paraId="72A39F22">
      <w:pPr>
        <w:keepLines/>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国内公务接待支出14.32万元。主要用于主要用于执行公务、开展业务活动开支的交通费、住宿费、用餐费等。国内公务接待179批次，1432人次，共计支出14.32万元，具体内容包括：</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具体内容包括：农业农村工作会议、园区、动物防疫检查、农产品质量安全检查、高标准农田等工作检查指导、考察调研接待。</w:t>
      </w:r>
    </w:p>
    <w:p w14:paraId="0E9FF524">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外事接待支出0万元，外事接待0批次，0人，共计支出0万元。</w:t>
      </w:r>
    </w:p>
    <w:p w14:paraId="1728C497">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1" w:name="_Toc28807"/>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八、政府性基金预算支出决算情况说明</w:t>
      </w:r>
      <w:bookmarkEnd w:id="11"/>
    </w:p>
    <w:p w14:paraId="00C696EE">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2023年度政府性基金预算拨款支出10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553.21万元。</w:t>
      </w:r>
    </w:p>
    <w:p w14:paraId="56DBB3EA">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2" w:name="_Toc482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九、国有资本经营预算支出决算情况说明</w:t>
      </w:r>
      <w:bookmarkEnd w:id="12"/>
    </w:p>
    <w:p w14:paraId="730EFCC4">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2023年度国有资本经营预算拨款支出0万元。</w:t>
      </w:r>
    </w:p>
    <w:p w14:paraId="5E03FCF8">
      <w:pPr>
        <w:keepLines/>
        <w:kinsoku/>
        <w:wordWrap/>
        <w:overflowPunct w:val="0"/>
        <w:topLinePunct/>
        <w:bidi w:val="0"/>
        <w:spacing w:beforeLines="0" w:afterLines="0"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3" w:name="_Toc8797"/>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十、其他重要事项的情况说明</w:t>
      </w:r>
      <w:bookmarkEnd w:id="13"/>
    </w:p>
    <w:p w14:paraId="0ABC20D7">
      <w:pPr>
        <w:keepLines/>
        <w:kinsoku/>
        <w:wordWrap/>
        <w:overflowPunct w:val="0"/>
        <w:topLinePunct/>
        <w:bidi w:val="0"/>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（一）机关运行经费支出情况</w:t>
      </w:r>
    </w:p>
    <w:p w14:paraId="52A2436A">
      <w:pPr>
        <w:keepLines/>
        <w:kinsoku/>
        <w:wordWrap/>
        <w:overflowPunct w:val="0"/>
        <w:bidi w:val="0"/>
        <w:spacing w:beforeLines="0" w:afterLines="0" w:line="576" w:lineRule="exact"/>
        <w:ind w:firstLine="640" w:firstLineChars="20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2023年度，农业农村局机关运行经费支出200.07万元，比2022年度减少172.42万元，下降46.3%。主要原因：厉行节约，压缩不必要的支出。</w:t>
      </w:r>
    </w:p>
    <w:p w14:paraId="304C5BBC">
      <w:pPr>
        <w:keepLines/>
        <w:kinsoku/>
        <w:wordWrap/>
        <w:overflowPunct w:val="0"/>
        <w:topLinePunct/>
        <w:bidi w:val="0"/>
        <w:spacing w:beforeLines="0" w:afterLines="0"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（二）政府采购支出情况</w:t>
      </w:r>
    </w:p>
    <w:p w14:paraId="42ACA2AE">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农业农村局</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0F4A47B2">
      <w:pPr>
        <w:keepLines/>
        <w:kinsoku/>
        <w:wordWrap/>
        <w:overflowPunct w:val="0"/>
        <w:topLinePunct/>
        <w:bidi w:val="0"/>
        <w:spacing w:beforeLines="0" w:afterLines="0" w:line="576" w:lineRule="exact"/>
        <w:ind w:firstLine="640" w:firstLineChars="200"/>
        <w:jc w:val="both"/>
        <w:rPr>
          <w:rFonts w:hint="default" w:ascii="楷体_GB2312" w:hAnsi="楷体_GB2312" w:eastAsia="楷体_GB2312" w:cs="楷体_GB2312"/>
          <w:b w:val="0"/>
          <w:bCs w:val="0"/>
          <w:color w:val="000000" w:themeColor="text1"/>
          <w:kern w:val="2"/>
          <w:sz w:val="32"/>
          <w:szCs w:val="24"/>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24"/>
          <w14:textFill>
            <w14:solidFill>
              <w14:schemeClr w14:val="tx1"/>
            </w14:solidFill>
          </w14:textFill>
        </w:rPr>
        <w:t>（三）国有资产占有使用情况</w:t>
      </w:r>
    </w:p>
    <w:p w14:paraId="49BFC71B">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截至2023年12月31日，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农业农村局</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共有车辆1辆，其中：副部（省）级及以上领导用车0辆、主要负责人用车0辆、机要通信用车*辆、应急保障用车0辆、执法执勤用车1辆、特种专业技术用车0辆、离退休干部服务用车0辆、其他用车0辆。其中：其他用车主要是用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局日常工作开展用车</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。单价100万元（含）以上设备0台（套）。</w:t>
      </w:r>
    </w:p>
    <w:p w14:paraId="2CAA001D">
      <w:pPr>
        <w:keepLines/>
        <w:kinsoku/>
        <w:wordWrap/>
        <w:overflowPunct w:val="0"/>
        <w:topLinePunct/>
        <w:bidi w:val="0"/>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（四）预算绩效管理情况。</w:t>
      </w:r>
    </w:p>
    <w:p w14:paraId="422E5379">
      <w:pPr>
        <w:keepLines/>
        <w:kinsoku/>
        <w:wordWrap/>
        <w:overflowPunct w:val="0"/>
        <w:topLinePunct/>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根据预算绩效管理要求，本部门在2023年度预算编制阶段，组织对10个项目，对中国农民丰收节经费、政策性农业保险本级配套、机改分流人员养老、医疗保险维稳费3个项目开展了预算事前绩效评估，对10个项目编制了绩效目标，预算执行过程中，选取3个项</w:t>
      </w:r>
    </w:p>
    <w:p w14:paraId="3ED33C3E">
      <w:pPr>
        <w:keepLines/>
        <w:kinsoku/>
        <w:wordWrap/>
        <w:overflowPunct w:val="0"/>
        <w:topLinePunct/>
        <w:bidi w:val="0"/>
        <w:spacing w:beforeLines="0" w:afterLines="0" w:line="576" w:lineRule="exact"/>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目开展绩效监控。</w:t>
      </w:r>
    </w:p>
    <w:p w14:paraId="0C610AF5">
      <w:pPr>
        <w:keepNext/>
        <w:keepLines/>
        <w:pageBreakBefore/>
        <w:kinsoku/>
        <w:wordWrap/>
        <w:overflowPunct w:val="0"/>
        <w:bidi w:val="0"/>
        <w:spacing w:beforeLines="0" w:afterLines="0" w:line="576" w:lineRule="exact"/>
        <w:jc w:val="center"/>
        <w:outlineLvl w:val="0"/>
        <w:rPr>
          <w:rFonts w:hint="eastAsia" w:ascii="方正小标宋简体" w:hAnsi="方正小标宋简体" w:eastAsia="方正小标宋简体" w:cs="方正小标宋简体"/>
          <w:b w:val="0"/>
          <w:bCs w:val="0"/>
          <w:color w:val="000000" w:themeColor="text1"/>
          <w:kern w:val="44"/>
          <w:sz w:val="44"/>
          <w:szCs w:val="24"/>
          <w14:textFill>
            <w14:solidFill>
              <w14:schemeClr w14:val="tx1"/>
            </w14:solidFill>
          </w14:textFill>
        </w:rPr>
      </w:pPr>
      <w:bookmarkStart w:id="14" w:name="_Toc22042"/>
      <w:r>
        <w:rPr>
          <w:rFonts w:hint="eastAsia" w:ascii="方正小标宋简体" w:hAnsi="方正小标宋简体" w:eastAsia="方正小标宋简体" w:cs="方正小标宋简体"/>
          <w:b w:val="0"/>
          <w:bCs w:val="0"/>
          <w:color w:val="000000" w:themeColor="text1"/>
          <w:kern w:val="2"/>
          <w:sz w:val="44"/>
          <w:szCs w:val="24"/>
          <w14:textFill>
            <w14:solidFill>
              <w14:schemeClr w14:val="tx1"/>
            </w14:solidFill>
          </w14:textFill>
        </w:rPr>
        <w:t>第三部分  名</w:t>
      </w:r>
      <w:r>
        <w:rPr>
          <w:rFonts w:hint="eastAsia" w:ascii="方正小标宋简体" w:hAnsi="方正小标宋简体" w:eastAsia="方正小标宋简体" w:cs="方正小标宋简体"/>
          <w:b w:val="0"/>
          <w:bCs w:val="0"/>
          <w:color w:val="000000" w:themeColor="text1"/>
          <w:kern w:val="44"/>
          <w:sz w:val="44"/>
          <w:szCs w:val="24"/>
          <w14:textFill>
            <w14:solidFill>
              <w14:schemeClr w14:val="tx1"/>
            </w14:solidFill>
          </w14:textFill>
        </w:rPr>
        <w:t>词解释</w:t>
      </w:r>
      <w:bookmarkEnd w:id="14"/>
    </w:p>
    <w:p w14:paraId="3EDDB014">
      <w:pPr>
        <w:kinsoku/>
        <w:wordWrap/>
        <w:overflowPunct w:val="0"/>
        <w:topLinePunct/>
        <w:bidi w:val="0"/>
        <w:spacing w:line="576" w:lineRule="exact"/>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7DC856D1">
      <w:pPr>
        <w:pStyle w:val="17"/>
        <w:keepNext w:val="0"/>
        <w:keepLines w:val="0"/>
        <w:pageBreakBefore w:val="0"/>
        <w:widowControl w:val="0"/>
        <w:numPr>
          <w:ilvl w:val="0"/>
          <w:numId w:val="0"/>
        </w:numPr>
        <w:kinsoku/>
        <w:wordWrap/>
        <w:overflow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1.财政拨款收入：指单位从同级财政部门取得的财政预算资</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金。</w:t>
      </w:r>
    </w:p>
    <w:p w14:paraId="7386A233">
      <w:pPr>
        <w:pStyle w:val="17"/>
        <w:keepNext w:val="0"/>
        <w:keepLines w:val="0"/>
        <w:pageBreakBefore w:val="0"/>
        <w:widowControl w:val="0"/>
        <w:kinsoku/>
        <w:wordWrap/>
        <w:overflow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2.年初结转和结余：指单位按有关规定结转到下年或以后年度继续使用的资金。</w:t>
      </w:r>
    </w:p>
    <w:p w14:paraId="20D3FBC9">
      <w:pPr>
        <w:pStyle w:val="17"/>
        <w:keepNext w:val="0"/>
        <w:keepLines w:val="0"/>
        <w:pageBreakBefore w:val="0"/>
        <w:widowControl w:val="0"/>
        <w:kinsoku/>
        <w:wordWrap/>
        <w:overflow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3.社会保障和就业（类）行政事业单位养老支出（款）事业单位离退休支出（项）反映机关事业单位退休人员目标绩效奖励金。</w:t>
      </w:r>
    </w:p>
    <w:p w14:paraId="31F77EDF">
      <w:pPr>
        <w:pStyle w:val="8"/>
        <w:keepNext w:val="0"/>
        <w:keepLines w:val="0"/>
        <w:pageBreakBefore w:val="0"/>
        <w:widowControl w:val="0"/>
        <w:kinsoku/>
        <w:wordWrap/>
        <w:overflowPunct w:val="0"/>
        <w:autoSpaceDE w:val="0"/>
        <w:autoSpaceDN w:val="0"/>
        <w:bidi w:val="0"/>
        <w:adjustRightInd w:val="0"/>
        <w:snapToGrid/>
        <w:spacing w:beforeLines="0" w:after="0" w:afterLines="0"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4.社会保障和就业（类）行政事业单位养老支出（款）机关事业单位基本养老保险缴费支出（项）反映机关事业单位实施养老保险制度由单位缴纳的基本养老保险费支出。</w:t>
      </w:r>
    </w:p>
    <w:p w14:paraId="23D918DF">
      <w:pPr>
        <w:pStyle w:val="8"/>
        <w:keepNext w:val="0"/>
        <w:keepLines w:val="0"/>
        <w:pageBreakBefore w:val="0"/>
        <w:widowControl w:val="0"/>
        <w:kinsoku/>
        <w:wordWrap/>
        <w:overflowPunct w:val="0"/>
        <w:autoSpaceDE w:val="0"/>
        <w:autoSpaceDN w:val="0"/>
        <w:bidi w:val="0"/>
        <w:adjustRightInd w:val="0"/>
        <w:snapToGrid/>
        <w:spacing w:beforeLines="0" w:after="0" w:afterLines="0"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5.社会保障和就业（类）行政事业单位养老支出（款）机关事业单位职业年金缴费支出（项）反映机关事业单位人员由单位缴纳的职业年金支出。</w:t>
      </w:r>
    </w:p>
    <w:p w14:paraId="76B2F63A">
      <w:pPr>
        <w:pStyle w:val="8"/>
        <w:keepNext w:val="0"/>
        <w:keepLines w:val="0"/>
        <w:pageBreakBefore w:val="0"/>
        <w:widowControl w:val="0"/>
        <w:kinsoku/>
        <w:wordWrap/>
        <w:overflowPunct w:val="0"/>
        <w:autoSpaceDE w:val="0"/>
        <w:autoSpaceDN w:val="0"/>
        <w:bidi w:val="0"/>
        <w:adjustRightInd w:val="0"/>
        <w:snapToGrid/>
        <w:spacing w:beforeLines="0" w:after="0" w:afterLines="0"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6.卫生健康支出（类）行政事业单位医疗（款）行政单位医疗（项）：指反映财政部门集中安排的行政单位基本医疗保险缴费经费。</w:t>
      </w:r>
    </w:p>
    <w:p w14:paraId="7CB53C2C">
      <w:pPr>
        <w:keepNext w:val="0"/>
        <w:keepLines w:val="0"/>
        <w:pageBreakBefore w:val="0"/>
        <w:widowControl w:val="0"/>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7.卫生健康支出（类）行政事业单位医疗（款）事业单位医疗（项）：指反映财政部门集中安排的事业单位基本医疗保险缴费经费，未参加医疗保险的事业单位的公费医疗经费，按照国家规定享受离休人员待遇的医疗经费。</w:t>
      </w:r>
    </w:p>
    <w:p w14:paraId="7D129876">
      <w:pPr>
        <w:keepNext w:val="0"/>
        <w:keepLines w:val="0"/>
        <w:pageBreakBefore w:val="0"/>
        <w:widowControl w:val="0"/>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8.城乡社区支出（类）国有土地使用权出让收入安排的支出（款）其他国有土地使用权出让收入安排的支出（项）：反映用不含集体和划转部分的国有土地使用权出让收入安排的支出。不包括市县级政府当年按规定用土地出让收入向中央和省级政府缴纳新增建设用地土地有偿使用费支出。</w:t>
      </w:r>
    </w:p>
    <w:p w14:paraId="05728574">
      <w:pPr>
        <w:keepNext w:val="0"/>
        <w:keepLines w:val="0"/>
        <w:pageBreakBefore w:val="0"/>
        <w:widowControl w:val="0"/>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9.农林水（类）农业农村（款）行政运行（项）：指反映行政单位（包括实行公务员管理的事业单位）的基本支出。</w:t>
      </w:r>
    </w:p>
    <w:p w14:paraId="3421D7EC">
      <w:pPr>
        <w:keepNext w:val="0"/>
        <w:keepLines w:val="0"/>
        <w:pageBreakBefore w:val="0"/>
        <w:widowControl w:val="0"/>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10.农林水（类）农业农村（款）事业运行（项）：指反映用于农业事业单位基本支出，事业单位设施、系统运行与资产维护等方面的支出。</w:t>
      </w:r>
    </w:p>
    <w:p w14:paraId="011263A7">
      <w:pPr>
        <w:keepNext w:val="0"/>
        <w:keepLines w:val="0"/>
        <w:pageBreakBefore w:val="0"/>
        <w:widowControl w:val="0"/>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11.农林水（类）农业农村（款）科技转化与推广服务（项）：指反映用于科技成果转化，农业新品种、新机具、新技术引进、实验、示范、推广及服务等方面支出。</w:t>
      </w:r>
    </w:p>
    <w:p w14:paraId="3936D416">
      <w:pPr>
        <w:keepNext w:val="0"/>
        <w:keepLines w:val="0"/>
        <w:pageBreakBefore w:val="0"/>
        <w:widowControl w:val="0"/>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12.农林水（类）农业农村（款）病虫害控制（项）：用于病虫鼠害及疫情监测、预报、预防、控制、检疫、防疫所需的仪器、设施、药物、疫苗、种苗，疫畜（禽、鱼、植物）防治、扑杀补偿及劳务补助、菌（毒）种保藏及动植物及其产品检疫、检测等方面的支出。</w:t>
      </w:r>
    </w:p>
    <w:p w14:paraId="236DFAD0">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13.农林水（类）农业农村（款）防灾救灾（项）：反映对农业生产因遭受自然、生物灾害损失给予的补助，促进农业防灾增产措施补助，其他灾害导致农牧渔业生产者损失给予的补助。</w:t>
      </w:r>
    </w:p>
    <w:p w14:paraId="05572F89">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14.农林水（类）农业农村（款）稳定农民收入补贴（项）：反映政府为稳定增加农民收入给予的补贴。</w:t>
      </w:r>
    </w:p>
    <w:p w14:paraId="1BF91D61">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15.农林水（类）农业农村（款）农业结构调整补贴（项）：反映政府对农业结构调整给予的补贴。</w:t>
      </w:r>
    </w:p>
    <w:p w14:paraId="66A1FC66">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16.农林水（类）农业农村（款）农业生产发展（项）：反映用于耕地地力保护、适度规模经营、农机购置补贴、优势特色主导产业发展、畜牧水产发展、农村一二三产业融合等方面的支出。</w:t>
      </w:r>
    </w:p>
    <w:p w14:paraId="79A47D81">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17.农林水（类）农业农村（款）农村合作经济（项）：反映用于农村集体经济组织、农民合作经济组织、新型农业经营主体和农业社会化服务体系建设，一级土地承包管理、宅基地管理方面的支出。</w:t>
      </w:r>
    </w:p>
    <w:p w14:paraId="3D89D03F">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18.农林水（类）农业农村（款）农村社会事业（项）：反映用于农村社会事业发展的支出。</w:t>
      </w:r>
    </w:p>
    <w:p w14:paraId="122F7F33">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19.农林水（类）农业农村（款）农业资源保护修复与利用（项）：反映用于农业耕地保护、草原草场利用，渔业水域资源环境保护，农业品种改良提升，以及农业生物资源调研收集、鉴定评价、保存利用等方面的支出。</w:t>
      </w:r>
    </w:p>
    <w:p w14:paraId="446DC509">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20.农林水（类）农业农村（款）农村道路建设（项）：反映成品油价格改革对渔业的补贴。</w:t>
      </w:r>
    </w:p>
    <w:p w14:paraId="5EA7ACDD">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21.农林水（类）农业农村（款）渔业发展（项）：反映用于海洋牧场、现代渔业装备设施、渔业基础公共设施、渔业绿色循环发展、渔业资源调查养护和国际履约能力提升等方面的支出。</w:t>
      </w:r>
    </w:p>
    <w:p w14:paraId="3571A0DD">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22.农林水（类）农业农村（款）农田建设（项）：反映用于农田建设和田间水利相关工程建设的支出。</w:t>
      </w:r>
    </w:p>
    <w:p w14:paraId="1A1C52DC">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23.农林水（类）农业农村（款）其他农业农村支出（项）：反映除上述项目以外其他用于农业农村方面的支出。</w:t>
      </w:r>
    </w:p>
    <w:p w14:paraId="25077935">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24.农林水（类）林业和草原（款）森林资源培育（项）：反映育苗(种)、造林、抚育、退化林修复、义务植树以及生物质能源建设等方面的支出。</w:t>
      </w:r>
    </w:p>
    <w:p w14:paraId="19542E92">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25.农林水（类）林业和草原（款）产业化管理（项）：反映产业化管理方面的支出。</w:t>
      </w:r>
    </w:p>
    <w:p w14:paraId="0814ECD6">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26.农林水（类）巩固脱贫衔接乡村振兴（款）其他巩固脱贫衔接乡村振兴支出（项）：反映除上述项目以外其他用于巩固拓展脱贫攻坚成果同乡村振兴支出。</w:t>
      </w:r>
    </w:p>
    <w:p w14:paraId="0A046A54">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27.农林水（类）农村综合改革（款）对村级公益事业建设的补助（项）：反映农村税费改革后对村级公益事业建设的补助支出。</w:t>
      </w:r>
    </w:p>
    <w:p w14:paraId="51F64EFC">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28.农林水（类）农村综合改革（款）对村集体经济组织的补助（项）：反映农村税费改革后对村集体经济组织的补助支出。</w:t>
      </w:r>
    </w:p>
    <w:p w14:paraId="3B946D53">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29.农林水（类）农村综合改革（款）对农村综合改革示范试点补助（项）：反映各级财政对农村综合改革示范试点、新型农业社会化服务体系建设等补助支出。</w:t>
      </w:r>
    </w:p>
    <w:p w14:paraId="741E0BB8">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30.农林水（类）农业综合开发（款）其他农村综合改革支出（项）：反映上述项目以外其他用于农村综合改革方面的支出。</w:t>
      </w:r>
    </w:p>
    <w:p w14:paraId="3269FA6F">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31.农林水（类）普惠金融发展支出（款）农业保险保费补贴（项）：反映对农民或农业生产经营组织投保农业保险给予的补贴。</w:t>
      </w:r>
    </w:p>
    <w:p w14:paraId="65E9276C">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32.农林水（类）目标价格补贴（款）其他目标价格补贴（项）：反映除上述项目以外的其他农产品目标价格补贴支出（稻谷补贴）。</w:t>
      </w:r>
    </w:p>
    <w:p w14:paraId="5772A5CD">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33.农林水（类）其他农林水支出（款）其他农林水支出（项）：反映除化解债务支出以外其他用于农林水方面的支出。</w:t>
      </w:r>
    </w:p>
    <w:p w14:paraId="58652DC8">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34.商业服务业（类）商业流通事务（款）其他商业流通事务支出（项）：反映除上述项目以外其他用于商业流通事务方面的支出。</w:t>
      </w:r>
    </w:p>
    <w:p w14:paraId="66BC2FB0">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35.住房保障（类）住房改革支出（款）住房公积金（项）：反映行政事业单位按人力资源和社会保障部、财政部规定的基本工资和津贴补贴以及规定比例为职工缴纳的住房公积金。</w:t>
      </w:r>
    </w:p>
    <w:p w14:paraId="783C4DDE">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36.粮油物资储备支出（类）粮油物资事务（款）其他粮油物资事务支出（项）：反映除上述项目以外其他用于粮油和物资事务方面的支出。</w:t>
      </w:r>
    </w:p>
    <w:p w14:paraId="273D60A5">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37.其他支出（类）其他政府性基金及对应专项债务收入安排的支出（款）其他地方自行试点项目收益专项债券收入安排的支出（项）：反映其他政府性基金对应专项债务收入安排的支出。</w:t>
      </w:r>
    </w:p>
    <w:p w14:paraId="78784636">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38.基本支出：指为保障机构正常运转、完成日常工作任务而发生的人员支出和公用支出。</w:t>
      </w:r>
    </w:p>
    <w:p w14:paraId="4F1B0FE8">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 xml:space="preserve">39.项目支出：指在基本支出之外为完成特定行政任务和事业发展目标所发生的支出。 </w:t>
      </w:r>
    </w:p>
    <w:p w14:paraId="690B4FA0">
      <w:pPr>
        <w:keepNext w:val="0"/>
        <w:keepLines w:val="0"/>
        <w:pageBreakBefore w:val="0"/>
        <w:widowControl w:val="0"/>
        <w:numPr>
          <w:ilvl w:val="0"/>
          <w:numId w:val="0"/>
        </w:numPr>
        <w:kinsoku/>
        <w:wordWrap/>
        <w:overflowPunct w:val="0"/>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40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D1747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41.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w:t>
      </w:r>
    </w:p>
    <w:p w14:paraId="4454BAE6">
      <w:pPr>
        <w:keepNext/>
        <w:keepLines/>
        <w:pageBreakBefore w:val="0"/>
        <w:widowControl w:val="0"/>
        <w:kinsoku/>
        <w:wordWrap/>
        <w:overflowPunct w:val="0"/>
        <w:autoSpaceDE w:val="0"/>
        <w:autoSpaceDN w:val="0"/>
        <w:bidi w:val="0"/>
        <w:adjustRightInd w:val="0"/>
        <w:snapToGrid/>
        <w:spacing w:beforeLines="0" w:afterLines="0" w:line="576" w:lineRule="exact"/>
        <w:ind w:firstLine="880" w:firstLineChars="200"/>
        <w:jc w:val="both"/>
        <w:textAlignment w:val="auto"/>
        <w:rPr>
          <w:rFonts w:hint="default" w:ascii="Times New Roman" w:hAnsi="Times New Roman" w:eastAsia="黑体" w:cs="Times New Roman"/>
          <w:b w:val="0"/>
          <w:bCs w:val="0"/>
          <w:color w:val="000000" w:themeColor="text1"/>
          <w:kern w:val="2"/>
          <w:sz w:val="44"/>
          <w:szCs w:val="24"/>
          <w14:textFill>
            <w14:solidFill>
              <w14:schemeClr w14:val="tx1"/>
            </w14:solidFill>
          </w14:textFill>
        </w:rPr>
        <w:sectPr>
          <w:footerReference r:id="rId5" w:type="default"/>
          <w:pgSz w:w="12240" w:h="15840"/>
          <w:pgMar w:top="2098" w:right="1474" w:bottom="1984" w:left="1587" w:header="850" w:footer="1559" w:gutter="0"/>
          <w:lnNumType w:countBy="0" w:distance="360"/>
          <w:pgNumType w:start="1"/>
          <w:cols w:space="720" w:num="1"/>
        </w:sectPr>
      </w:pPr>
    </w:p>
    <w:p w14:paraId="5DF9F249">
      <w:pPr>
        <w:keepNext/>
        <w:keepLines/>
        <w:pageBreakBefore/>
        <w:kinsoku/>
        <w:wordWrap/>
        <w:overflowPunct w:val="0"/>
        <w:bidi w:val="0"/>
        <w:spacing w:beforeLines="0" w:afterLines="0" w:line="576" w:lineRule="exact"/>
        <w:jc w:val="center"/>
        <w:outlineLvl w:val="0"/>
        <w:rPr>
          <w:rFonts w:hint="eastAsia" w:ascii="方正小标宋简体" w:hAnsi="方正小标宋简体" w:eastAsia="方正小标宋简体" w:cs="方正小标宋简体"/>
          <w:b w:val="0"/>
          <w:bCs w:val="0"/>
          <w:color w:val="000000" w:themeColor="text1"/>
          <w:kern w:val="44"/>
          <w:sz w:val="44"/>
          <w:szCs w:val="24"/>
          <w14:textFill>
            <w14:solidFill>
              <w14:schemeClr w14:val="tx1"/>
            </w14:solidFill>
          </w14:textFill>
        </w:rPr>
      </w:pPr>
      <w:bookmarkStart w:id="15" w:name="_Toc742"/>
      <w:r>
        <w:rPr>
          <w:rFonts w:hint="eastAsia" w:ascii="方正小标宋简体" w:hAnsi="方正小标宋简体" w:eastAsia="方正小标宋简体" w:cs="方正小标宋简体"/>
          <w:b w:val="0"/>
          <w:bCs w:val="0"/>
          <w:color w:val="000000" w:themeColor="text1"/>
          <w:kern w:val="2"/>
          <w:sz w:val="44"/>
          <w:szCs w:val="2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kern w:val="44"/>
          <w:sz w:val="44"/>
          <w:szCs w:val="24"/>
          <w14:textFill>
            <w14:solidFill>
              <w14:schemeClr w14:val="tx1"/>
            </w14:solidFill>
          </w14:textFill>
        </w:rPr>
        <w:t>四部分  附件</w:t>
      </w:r>
      <w:bookmarkEnd w:id="15"/>
    </w:p>
    <w:p w14:paraId="407C1325">
      <w:pPr>
        <w:keepNext/>
        <w:keepLines/>
        <w:kinsoku/>
        <w:wordWrap/>
        <w:overflowPunct w:val="0"/>
        <w:bidi w:val="0"/>
        <w:spacing w:beforeLines="0" w:afterLines="0" w:line="576" w:lineRule="exact"/>
        <w:outlineLvl w:val="1"/>
        <w:rPr>
          <w:rFonts w:hint="default" w:ascii="Times New Roman" w:hAnsi="Times New Roman" w:eastAsia="方正小标宋简体" w:cs="Times New Roman"/>
          <w:b w:val="0"/>
          <w:bCs w:val="0"/>
          <w:color w:val="000000" w:themeColor="text1"/>
          <w:kern w:val="2"/>
          <w:sz w:val="44"/>
          <w:szCs w:val="24"/>
          <w14:textFill>
            <w14:solidFill>
              <w14:schemeClr w14:val="tx1"/>
            </w14:solidFill>
          </w14:textFill>
        </w:rPr>
      </w:pPr>
      <w:bookmarkStart w:id="16" w:name="_Toc6058"/>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附件1</w:t>
      </w:r>
      <w:bookmarkEnd w:id="16"/>
    </w:p>
    <w:p w14:paraId="500E11A7">
      <w:pPr>
        <w:keepNext/>
        <w:keepLines/>
        <w:kinsoku/>
        <w:wordWrap/>
        <w:overflowPunct w:val="0"/>
        <w:bidi w:val="0"/>
        <w:spacing w:beforeLines="0" w:afterLines="0" w:line="576" w:lineRule="exact"/>
        <w:ind w:left="0" w:leftChars="0" w:firstLine="0" w:firstLineChars="0"/>
        <w:jc w:val="cente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24"/>
          <w14:textFill>
            <w14:solidFill>
              <w14:schemeClr w14:val="tx1"/>
            </w14:solidFill>
          </w14:textFill>
        </w:rPr>
        <w:t>2023年广元市昭化区农业农村局预算</w:t>
      </w:r>
    </w:p>
    <w:p w14:paraId="332F63DC">
      <w:pPr>
        <w:keepNext/>
        <w:keepLines/>
        <w:kinsoku/>
        <w:wordWrap/>
        <w:overflowPunct w:val="0"/>
        <w:bidi w:val="0"/>
        <w:spacing w:beforeLines="0" w:afterLines="0" w:line="576" w:lineRule="exact"/>
        <w:ind w:left="0" w:leftChars="0" w:firstLine="0" w:firstLineChars="0"/>
        <w:jc w:val="center"/>
        <w:rPr>
          <w:rFonts w:hint="default" w:ascii="Times New Roman" w:hAnsi="Times New Roman" w:eastAsia="方正小标宋简体" w:cs="Times New Roman"/>
          <w:b w:val="0"/>
          <w:bCs w:val="0"/>
          <w:color w:val="000000" w:themeColor="text1"/>
          <w:sz w:val="44"/>
          <w:szCs w:val="24"/>
          <w:lang w:val="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24"/>
          <w:lang w:val="zh-CN"/>
          <w14:textFill>
            <w14:solidFill>
              <w14:schemeClr w14:val="tx1"/>
            </w14:solidFill>
          </w14:textFill>
        </w:rPr>
        <w:t>整体绩效评价报告</w:t>
      </w:r>
    </w:p>
    <w:p w14:paraId="54A1497C">
      <w:pPr>
        <w:keepNext/>
        <w:keepLines/>
        <w:kinsoku/>
        <w:wordWrap/>
        <w:overflowPunct w:val="0"/>
        <w:bidi w:val="0"/>
        <w:spacing w:beforeLines="0" w:afterLines="0" w:line="576" w:lineRule="exact"/>
        <w:ind w:firstLine="880" w:firstLineChars="200"/>
        <w:jc w:val="center"/>
        <w:rPr>
          <w:rFonts w:hint="default" w:ascii="Times New Roman" w:hAnsi="Times New Roman" w:eastAsia="黑体" w:cs="Times New Roman"/>
          <w:b w:val="0"/>
          <w:bCs w:val="0"/>
          <w:color w:val="000000" w:themeColor="text1"/>
          <w:sz w:val="44"/>
          <w:szCs w:val="24"/>
          <w:lang w:val="zh-CN"/>
          <w14:textFill>
            <w14:solidFill>
              <w14:schemeClr w14:val="tx1"/>
            </w14:solidFill>
          </w14:textFill>
        </w:rPr>
      </w:pPr>
    </w:p>
    <w:p w14:paraId="13046214">
      <w:pPr>
        <w:pStyle w:val="6"/>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textAlignment w:val="baseline"/>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一、部门（单位）概况</w:t>
      </w:r>
    </w:p>
    <w:p w14:paraId="2730C2CA">
      <w:pPr>
        <w:keepNext w:val="0"/>
        <w:keepLines/>
        <w:pageBreakBefore w:val="0"/>
        <w:widowControl w:val="0"/>
        <w:numPr>
          <w:ilvl w:val="0"/>
          <w:numId w:val="0"/>
        </w:numPr>
        <w:kinsoku/>
        <w:wordWrap/>
        <w:overflowPunct w:val="0"/>
        <w:topLinePunct w:val="0"/>
        <w:autoSpaceDE/>
        <w:autoSpaceDN/>
        <w:bidi w:val="0"/>
        <w:adjustRightInd/>
        <w:spacing w:beforeLines="0" w:afterLines="0" w:line="576" w:lineRule="exact"/>
        <w:ind w:left="0" w:leftChars="0" w:firstLine="640" w:firstLineChars="200"/>
        <w:jc w:val="both"/>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机构职能</w:t>
      </w:r>
    </w:p>
    <w:p w14:paraId="03B24730">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贯彻执行国家有关种植业、农业机械化、农垦、农机等农业各产业（以下简称农业）工作的方针、政策和法律、法规，拟订全区农业和农村经济、农业机械化发展规划并组织实施，组织起草有关农业和农村经济的政策规定，参与拟订涉农财税、价格、金融保险等政策，提出农业产业保护的政策建议，推进农业依法行政。</w:t>
      </w:r>
    </w:p>
    <w:p w14:paraId="34FDFB50">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经营的发展规划与政策并组织实施，指导、扶持农业社会化服务体系、农村合作经济组织、农民专业合作社和农产品行业协会的建设与发展。</w:t>
      </w:r>
    </w:p>
    <w:p w14:paraId="01E5469F">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粮油等主要农产品生产，组织落实促进粮油等主要农产品生产发展的相关政策措施，引导农业产业结构调整和产品品质的改善。会同相关部门指导农业标准化、规模化生产。负责提出农业固定资产投资规模和方向、区级财政性资金安排的建议意见，编报部门预算并组织执行，提出扶持农业农村发展的财政政策和项目建议，经批准后与财政部门共同制订实施方案并指导实施。拟订农业开发规划并监督实施。配合区级财政部门组织实施农业综合开发有关项目。会同相关部门组织实施种粮农民补贴和政策性农业保险工作。</w:t>
      </w:r>
    </w:p>
    <w:p w14:paraId="1B0B9405">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农业产业化经营，促进农业产前、产中、产后一体化发展。组织拟订优势特色效益农业发展、现代农业产业基地建设等政策与规划并组织实施，贯彻实施促进大宗农产品流通政策和主要农产品进口政策，研究制订大宗农产品市场体系建设与发展规划，培育、保护和发展农产品品牌。组织协调“菜篮子”工程有关工作。</w:t>
      </w:r>
    </w:p>
    <w:p w14:paraId="7F19ADE5">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提升农产品质量安全水平的责任。组织开展全区农产品质量安全的监督管理，组织拟订农产品质量地方标准并会同相关部门组织实施和监督管理，负责农产品质量安全监测，依法开展农产品质量安全风险评估，发布有关农产品质量安全状况信息，实施农业检验检测体系建设，依法组织实施符合安全标准的农产品生产基地认定、产品认证和监督管理。</w:t>
      </w:r>
    </w:p>
    <w:p w14:paraId="165E6E3E">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组织、协调农业生产资料市场体系建设。依法实施农作物种子、种苗、农药、肥料、农用膜、蚕种的许可及监督管理，会同相关部门监督实施农业生产资料国家标准，拟订有关农业生产资料地方标准并会同相关部门监督实施，依法开展农资市场秩序的整顿、规范和农资打假工作。</w:t>
      </w:r>
    </w:p>
    <w:p w14:paraId="4881AE12">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负责制订全区农业机械化发展规划并组织实施。承担推广先进适用的农业机械化新技术、新机械并组织生产作业，指导农村机电提灌、机耕道建设，承担农业机械使用安全监管的责任。</w:t>
      </w:r>
    </w:p>
    <w:p w14:paraId="52C98579">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农作物重大病虫害防治。会同相关部门制定植物防疫检疫政策并指导实施，负责植物防疫检疫体系建设，组织、监督区内植物的防疫检疫工作，组织植物检疫性有害生物普查并扑灭，承担区内从境外引进农作物种子（种苗）检疫审查的有关工作，牵头管理外来物种。</w:t>
      </w:r>
    </w:p>
    <w:p w14:paraId="6003EED1">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承担农业防灾减灾责任。监测、调查农业灾情，会同相关部门组织种子、化肥等救灾物资的储备和调拨，会同相关部门提出生产救灾资金物资安排建议，指导农业救灾和灾后生产恢复。</w:t>
      </w:r>
    </w:p>
    <w:p w14:paraId="319EE6D8">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管理农业和农村经济信息，监测分析农业和农村经济运行。开展相关农业统计工作，发布农业和农村经济信息，负责农业信息体系建设，指导农业信息服务。</w:t>
      </w:r>
    </w:p>
    <w:p w14:paraId="5D6B4EA7">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定全区农业科研、农技推广的规划、计划和政策并组织实施，会同相关部门组织区级农业科技创新体系、农业产业技术体系建设。组织引进农业先进技术，组织实施农业领域的高新技术和应用技术研究、农业科技成果转化和技术推广，负责农业科技成果管理，指导农技推广体系改革与建设，负责农业植物新品种保护、农业转基因生物的安全监督管理。</w:t>
      </w:r>
    </w:p>
    <w:p w14:paraId="60E5A9C6">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业资源区划和资源保护工作。指导农用地、宜农滩涂、宜农湿地以及农业生物物种资源的保护和管理，拟订耕地及基本农田质量保护与改良政策并指导实施，依法管理耕地质量，运用工程设施、农艺、农机、生物等措施发展资源节约型环境友好型农业，负责农业野生植物资源保护工作。</w:t>
      </w:r>
    </w:p>
    <w:p w14:paraId="54A26F67">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村能源建设和资源环境工作。制订并组织实施农业资源环境建设规划，指导农村可再生能源综合开发与利用，指导农业生物质产业发展和农业农村节能减排，承担指导农业面源污染治理有关工作，提出划定农产品禁止生产区域的政策建议，指导生态农业、循环农业、休闲农业等发展。</w:t>
      </w:r>
    </w:p>
    <w:p w14:paraId="2B7284B9">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业机械驾驶、操作人员的技术考核和发证工作，开展安全教育；管理农业机械牌证，对实行牌证管理的农业机械及其驾驶、操作人员进行安全技术检验、审验和安全检查，纠正违章行为；负责农业机械事故的处理及统计报告；维护农业机械作业秩序。</w:t>
      </w:r>
    </w:p>
    <w:p w14:paraId="62074C22">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会同相关部门拟订全区农业农村人才队伍建设规划并组织实施，指导农业职业教育和农业职业技能开发工作，参与实施农村实用人才培训工程。承担农民科技培训和农村劳动力转移就业培训工作，会同相关部门依法实施农业农村人才专业技术资格和从业资格管理的有关工作。</w:t>
      </w:r>
    </w:p>
    <w:p w14:paraId="09768333">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承办政府间农业涉外事务。参与拟订农业对外开放政策和外向型农业发展规划，指导外向型农业发展，组织开展农业、农机业贸易促进工作和有关经济、技术交流与合作，协助相关部门组织实施农业援外项目。</w:t>
      </w:r>
    </w:p>
    <w:p w14:paraId="2F08AA8A">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负责全区国有农场土地的保护、利用和管理，指导国有农场的改革与发展。</w:t>
      </w:r>
    </w:p>
    <w:p w14:paraId="397117D4">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承担区政府公布的有关行政审批事项。</w:t>
      </w:r>
    </w:p>
    <w:p w14:paraId="7926D875">
      <w:pPr>
        <w:keepNext w:val="0"/>
        <w:keepLines/>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承办区政府交办的其他事项。</w:t>
      </w:r>
    </w:p>
    <w:p w14:paraId="7A054CD3">
      <w:pPr>
        <w:keepNext w:val="0"/>
        <w:keepLines/>
        <w:pageBreakBefore w:val="0"/>
        <w:widowControl w:val="0"/>
        <w:numPr>
          <w:ilvl w:val="0"/>
          <w:numId w:val="0"/>
        </w:numPr>
        <w:kinsoku/>
        <w:wordWrap/>
        <w:overflowPunct w:val="0"/>
        <w:topLinePunct w:val="0"/>
        <w:autoSpaceDE/>
        <w:autoSpaceDN/>
        <w:bidi w:val="0"/>
        <w:adjustRightInd/>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pPr>
      <w:r>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t>（二）机构组成</w:t>
      </w:r>
    </w:p>
    <w:p w14:paraId="0F2B18BD">
      <w:pPr>
        <w:pStyle w:val="6"/>
        <w:keepNext w:val="0"/>
        <w:pageBreakBefore w:val="0"/>
        <w:widowControl w:val="0"/>
        <w:kinsoku/>
        <w:wordWrap/>
        <w:overflowPunct w:val="0"/>
        <w:topLinePunct w:val="0"/>
        <w:bidi w:val="0"/>
        <w:snapToGrid w:val="0"/>
        <w:spacing w:beforeLines="0" w:afterLines="0" w:line="576" w:lineRule="exact"/>
        <w:ind w:left="0" w:leftChars="0"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广元市昭化区农业农村局设8个内设机构，分别是：办公 室、计划投资财务股、农产品质量监管与科技教育股、种植业 股(特色产业股)、畜牧水产股(兽医兽药股)、农田建设与农业机械化股、区委农办秘书股(区委农办督查)、农村改革与合作经济指导股。</w:t>
      </w:r>
    </w:p>
    <w:p w14:paraId="27D67445">
      <w:pPr>
        <w:keepNext w:val="0"/>
        <w:keepLines/>
        <w:pageBreakBefore w:val="0"/>
        <w:widowControl w:val="0"/>
        <w:numPr>
          <w:ilvl w:val="0"/>
          <w:numId w:val="0"/>
        </w:numPr>
        <w:kinsoku/>
        <w:wordWrap/>
        <w:overflowPunct w:val="0"/>
        <w:topLinePunct w:val="0"/>
        <w:autoSpaceDE/>
        <w:autoSpaceDN/>
        <w:bidi w:val="0"/>
        <w:adjustRightInd/>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pPr>
      <w:r>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t>（三）人员概况</w:t>
      </w:r>
    </w:p>
    <w:p w14:paraId="50CEF3D7">
      <w:pPr>
        <w:keepNext w:val="0"/>
        <w:pageBreakBefore w:val="0"/>
        <w:widowControl w:val="0"/>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区农业农村局总编制115名，其中：行政编制15名，参公编制28名，其他事业编制71名，机关工勤编制1名。2023年预算在职人员总数119人，其中：行政人员27人，参公编制23人，其他事业人员68人，机关工勤人员1人。退休人员48人。固定资产总额1579.13万元。 </w:t>
      </w:r>
    </w:p>
    <w:p w14:paraId="51CCF1D5">
      <w:pPr>
        <w:keepNext w:val="0"/>
        <w:keepLines/>
        <w:pageBreakBefore w:val="0"/>
        <w:widowControl w:val="0"/>
        <w:numPr>
          <w:ilvl w:val="0"/>
          <w:numId w:val="0"/>
        </w:numPr>
        <w:kinsoku/>
        <w:wordWrap/>
        <w:overflowPunct w:val="0"/>
        <w:topLinePunct w:val="0"/>
        <w:autoSpaceDE/>
        <w:autoSpaceDN/>
        <w:bidi w:val="0"/>
        <w:adjustRightInd/>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pPr>
      <w:r>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t>（四）当年重点工作任务概述</w:t>
      </w:r>
    </w:p>
    <w:p w14:paraId="08A5E550">
      <w:pPr>
        <w:keepNext w:val="0"/>
        <w:keepLines/>
        <w:pageBreakBefore w:val="0"/>
        <w:widowControl w:val="0"/>
        <w:numPr>
          <w:ilvl w:val="0"/>
          <w:numId w:val="0"/>
        </w:numPr>
        <w:kinsoku/>
        <w:wordWrap/>
        <w:overflowPunct w:val="0"/>
        <w:topLinePunct w:val="0"/>
        <w:autoSpaceDE/>
        <w:autoSpaceDN/>
        <w:bidi w:val="0"/>
        <w:adjustRightInd/>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围绕2023年目标任务，重点在以下6个方面着力，推动农业农村工作取得新成效、迈上新台阶。</w:t>
      </w:r>
    </w:p>
    <w:p w14:paraId="74ADC8A0">
      <w:pPr>
        <w:keepNext w:val="0"/>
        <w:pageBreakBefore w:val="0"/>
        <w:widowControl w:val="0"/>
        <w:kinsoku/>
        <w:wordWrap/>
        <w:overflowPunct w:val="0"/>
        <w:topLinePunct w:val="0"/>
        <w:bidi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突出抓好粮食等重要农产品供给。一是扎实抓好优质粮油扩面增产。持续巩固拓展撂荒地整治成效，大力推广果豆套种、稻菜轮作、稻油轮作等粮经复合种植模式，发展大豆玉米带状复合种植4万亩，开发冬闲田扩种油菜2.5万亩，力争全年粮食总播面39万亩以上、总产量13万吨以上，油料总播面20万亩以上、总产量3.3万吨以上。二是突破性发展生态养殖。全力打造畜禽种业高地，新建生猪、肉牛、肉羊种畜禽场5个，全面推广肉牛“532”代养模式，发展代养农户200户，全面推进中小散户开展肉牛养殖，实现年出栏肉牛羊10万头（只）以上。新建土鸡代养基地5个，出栏土鸡1500万羽以上。三是高质量发展特色经作。围绕“百里猕猴桃产业示范带”和双凤、滨湖、紫云、昭化4个以特色水果为主体的现代农业园区，新发展有机猕猴桃200亩以上，认证绿色有机猕猴桃基地3000亩以上，巩固提升猕猴桃基地20000亩，其他小水果30000亩。稳定蔬菜种植面积，优化种植茬口衔接，力争全年蔬菜种植面积稳定在18.2万亩以上、总产量达到43万吨以上。</w:t>
      </w:r>
    </w:p>
    <w:p w14:paraId="4C2194E2">
      <w:pPr>
        <w:keepNext w:val="0"/>
        <w:pageBreakBefore w:val="0"/>
        <w:widowControl w:val="0"/>
        <w:kinsoku/>
        <w:wordWrap/>
        <w:overflowPunct w:val="0"/>
        <w:topLinePunct w:val="0"/>
        <w:bidi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推动现代农业园区晋位升级。统筹推动国、省、市、区四级园区同步建设。以脱贫地区特色产业高质量发展引领区创建为总抓手，坚持园区提质增效和新建扩面两手发力，持续巩固提升已建成各级各类园区，改造提升低质低效园区6个，创建认定一批区级现代农业园区，加快构建形成“三带两园”现代农业体系，为创建国家农业现代化示范区奠定基础、打开局面。聚力打造“一镇一业、一村一品”，积极争取认定农业产业强镇1个。</w:t>
      </w:r>
    </w:p>
    <w:p w14:paraId="6E3B9C62">
      <w:pPr>
        <w:keepNext w:val="0"/>
        <w:pageBreakBefore w:val="0"/>
        <w:widowControl w:val="0"/>
        <w:kinsoku/>
        <w:wordWrap/>
        <w:overflowPunct w:val="0"/>
        <w:topLinePunct w:val="0"/>
        <w:bidi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擦亮昭化“农”字号品牌。一是突出抓好“王家贡米”品牌打造。加快推进“王家贡米”产业示范带建设，大力推行“企业+农民专合社、村集体经济组织+农户”订单生产模式，加强品牌引领和质量管控,加快完善全产业链，力争2023年“王家贡米”订单生产面积达到3万亩以上。二是加强品牌宣传推广。采取“产品商品化、商品名牌化、名牌市场化”的农产品品牌梯次发展模式，进一步做响“王家贡米”“元坝生猪”“紫云猕猴桃”等农特产品公共品牌，做强女皇贡米、香香嘴、三禾等知名企业品牌，鼓励和支持农业企业和农民专业合作社创建驰名、著名商标，联合抱团打造品牌。三是加强农产品质量安全。持续巩固提升国家农产品质量安全县创建成果，全面推进食用农产品“治违禁控药残促提升”三年行动、食用农产品达标合格证和质量追溯管理工作，实施生产经营主体全覆盖宣传培训、拉网式排查和抽样检测，确保农产品省级例行监测、风险监测、绿色食品监测、菜篮子工程监测、有机食品检测合格率均超过98%。</w:t>
      </w:r>
    </w:p>
    <w:p w14:paraId="00ABE2BF">
      <w:pPr>
        <w:keepNext w:val="0"/>
        <w:keepLines/>
        <w:pageBreakBefore w:val="0"/>
        <w:widowControl w:val="0"/>
        <w:kinsoku/>
        <w:wordWrap/>
        <w:overflowPunct w:val="0"/>
        <w:topLinePunct w:val="0"/>
        <w:bidi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加快推进绿色种养循环。全域加强农业面源污染治理，深入实施化肥农药减量增效行动，采取政府购买服务或奖补社会化服务方式培育壮大粪肥还田、统防统治专业化服务组织，高质量打造绿色种养循环农业试点示范区10万亩、化肥农药减量增效示范区2万亩，化肥、农药使用量同比降低1%以上，畜禽粪污综合利用率和农作物秸秆综合利用率均达到93%以上。健全完善农业废弃物回收网点和处置体系，探索建立政府奖补、市场运作、镇村监管的长效运行机制，废弃农膜、农药包装废弃物回收率达到90%以上。</w:t>
      </w:r>
    </w:p>
    <w:p w14:paraId="19254E77">
      <w:pPr>
        <w:pStyle w:val="6"/>
        <w:keepNext w:val="0"/>
        <w:pageBreakBefore w:val="0"/>
        <w:widowControl w:val="0"/>
        <w:kinsoku/>
        <w:wordWrap/>
        <w:overflowPunct w:val="0"/>
        <w:topLinePunct w:val="0"/>
        <w:bidi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5</w:t>
      </w:r>
      <w:r>
        <w:rPr>
          <w:rFonts w:hint="eastAsia" w:ascii="Times New Roman" w:hAnsi="Times New Roman"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加强高标准农田建设。完成《高标准农田建设十年规划（2021—2030年）》编制，出台《高标准农田建设项目资金管理办法》，以粮油园区建设区域为重点，按照“旱涝保收、宜机作业、能排能灌、稳产高产、生态友好”标准规划设计，续建2022年高标准农田3.1万亩，2023年新建高标准农田0.9万亩，改造提升1.5万亩。启动全区土壤第三次普查工作，整治病险山坪塘200口。培育农机专合社2个，培育“全程机械化”+“综合农事”服务中心1个。</w:t>
      </w:r>
    </w:p>
    <w:p w14:paraId="354D04FB">
      <w:pPr>
        <w:keepNext w:val="0"/>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多渠道促进农民增收。一是发展新型农业经营主体带农增收。积极培育龙头企业、家庭农场、专业合作社，引导新型农业经营主体与小农户建立多种类型合作方式，把产业增值收益更多留给农民。全年创建国家级龙头企业1个、市级5个，争创省级示范农民专业合作社5个、市级8个，省级示范家庭农场3个、市级10个，组建土鸡、猕猴桃农业产业化联合体各1个、家庭农场联盟1个。二是壮大集体经济促增收。稳妥推进农村宅基地制度改革试点，推进农村集体资产股权赋权活能，全覆盖建立村集体经济增收机制，创新集体经济发展模式，力争实现全区村集体经济经营性收入达到1200万元，增长15%以上，打造村集体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济年收入50万元以上的村3个，力争农民人均集体经营性收入达到60元以上。积极争取中省扶持村集体经济发展项目资金700万元，扶持村7个。三是落实惠农政策保增收。严格落实“一卡通”管理办法，千方百计便民、利民，构建到户快捷通道，缩短资金发放流程，高效率兑付到户资金。确保耕地地力保护补贴、农机购置补贴、种粮补贴等惠农政策全部足额发放到农户。四是在涉农项目中大力推广以工代赈方式建设促增收。</w:t>
      </w:r>
    </w:p>
    <w:p w14:paraId="49F39F49">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黑体" w:hAnsi="黑体" w:eastAsia="黑体" w:cs="黑体"/>
          <w:b w:val="0"/>
          <w:bCs w:val="0"/>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14:textFill>
            <w14:solidFill>
              <w14:schemeClr w14:val="tx1"/>
            </w14:solidFill>
          </w14:textFill>
        </w:rPr>
        <w:t>二、部门（单位）收支情况</w:t>
      </w:r>
    </w:p>
    <w:p w14:paraId="11E045B8">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t>（一）收入情况。</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2023年本单位预算收入4，450.39万元，其中：一是基本支出1，980.06万元；二是项目支出2，470.33万元。</w:t>
      </w:r>
    </w:p>
    <w:p w14:paraId="475D9178">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（二）支出情况。</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2023年本单位预算支出4，450.39万元，其中：一是基本支出1，980.06万元；二是项目支出2，470.33万元。</w:t>
      </w:r>
    </w:p>
    <w:p w14:paraId="54335FE4">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（三）结余资金。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无。</w:t>
      </w:r>
    </w:p>
    <w:p w14:paraId="32568AD9">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黑体" w:hAnsi="黑体" w:eastAsia="黑体" w:cs="黑体"/>
          <w:b w:val="0"/>
          <w:bCs w:val="0"/>
          <w:color w:val="000000" w:themeColor="text1"/>
          <w:sz w:val="32"/>
          <w:szCs w:val="32"/>
          <w14:textFill>
            <w14:solidFill>
              <w14:schemeClr w14:val="tx1"/>
            </w14:solidFill>
          </w14:textFill>
        </w:rPr>
      </w:pPr>
      <w:r>
        <w:rPr>
          <w:rFonts w:hint="default" w:ascii="黑体" w:hAnsi="黑体" w:eastAsia="黑体" w:cs="黑体"/>
          <w:b w:val="0"/>
          <w:bCs w:val="0"/>
          <w:color w:val="000000" w:themeColor="text1"/>
          <w:sz w:val="32"/>
          <w:szCs w:val="32"/>
          <w14:textFill>
            <w14:solidFill>
              <w14:schemeClr w14:val="tx1"/>
            </w14:solidFill>
          </w14:textFill>
        </w:rPr>
        <w:t>三、部门整体预算绩效管理情况</w:t>
      </w:r>
    </w:p>
    <w:p w14:paraId="299F2056">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14:textFill>
            <w14:solidFill>
              <w14:schemeClr w14:val="tx1"/>
            </w14:solidFill>
          </w14:textFill>
        </w:rPr>
      </w:pPr>
      <w:bookmarkStart w:id="17" w:name="_Toc10089"/>
      <w:r>
        <w:rPr>
          <w:rFonts w:hint="default" w:ascii="楷体_GB2312" w:hAnsi="楷体_GB2312" w:eastAsia="楷体_GB2312" w:cs="楷体_GB2312"/>
          <w:b w:val="0"/>
          <w:bCs w:val="0"/>
          <w:color w:val="000000" w:themeColor="text1"/>
          <w:sz w:val="32"/>
          <w:szCs w:val="32"/>
          <w14:textFill>
            <w14:solidFill>
              <w14:schemeClr w14:val="tx1"/>
            </w14:solidFill>
          </w14:textFill>
        </w:rPr>
        <w:t>（一）部门预算总体绩效</w:t>
      </w:r>
    </w:p>
    <w:bookmarkEnd w:id="17"/>
    <w:p w14:paraId="5F99ABC1">
      <w:pPr>
        <w:keepNext w:val="0"/>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bookmarkStart w:id="18" w:name="_Toc16006"/>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目标管理。</w:t>
      </w:r>
      <w:bookmarkEnd w:id="18"/>
      <w:r>
        <w:rPr>
          <w:rFonts w:hint="default" w:ascii="Times New Roman" w:hAnsi="Times New Roman" w:eastAsia="仿宋_GB2312" w:cs="Times New Roman"/>
          <w:b w:val="0"/>
          <w:bCs w:val="0"/>
          <w:color w:val="000000" w:themeColor="text1"/>
          <w:sz w:val="32"/>
          <w:szCs w:val="32"/>
          <w14:textFill>
            <w14:solidFill>
              <w14:schemeClr w14:val="tx1"/>
            </w14:solidFill>
          </w14:textFill>
        </w:rPr>
        <w:t>目标制定情况：一是：一产增加值增长5.2%以上、农民人均可支配收入增长9%以上，分别高于全省、全市平均水平；超任务完成年度农业固定资产投资，达到7亿元以上。二是：力争创全国农村产业融合发展示范园、年内力争创成全省乡村振兴成效显著县（区）、全省农村改革先进县（区）、省四星级现代粮油园区。三是保基本运行成本1，980.06万元。其中保人员经费1，813.46万元、保公用经费166.6万元。四是保工作经费及本级农业政策性保险1088.9万元。五是发展大豆玉米带状复合种植4万亩，开发冬闲田扩种油菜2.5万亩，全年粮食总播面39万亩以上、总产量13万吨以上，油料总播面20万亩以上、总产量3.3万吨以上，新建生猪、肉牛、肉羊种畜禽场5个，全面推广肉牛“532”代养模式，发展代养农户200户，实现年出栏肉牛羊10万头（只）以上,新建土鸡代养基地5个，出栏土鸡1500万羽以上，新发展有机猕猴桃200亩以上，巩固提升猕猴桃基地20000亩，其他小水果30000亩,蔬菜种植面积稳定在18.2万亩以上、总产量达到43万吨以上。改造提升低质低效园区6</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个，高质量打造绿色种养循环农业试点示范区10万亩、化肥农药减量增效示范区2万亩，化肥、农药使用量同比降低1%以上，畜禽粪污综合利用率和农作物秸秆综合利用率均达到93%以上。续建2022年高标准农田3.1万亩，2023年新建高标准农田0.9万亩，改造提升1.5万亩，整治病险山坪塘200口。培育农机专合社2个，培育“全程机械化”+“综合农事”服务中心1个。</w:t>
      </w:r>
    </w:p>
    <w:p w14:paraId="17018977">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目标实现情况。2023年本单位在区委、区人民政府的正确领导下，在上级业务主管部门的业务指导下，在区级相关部门和镇人民政府的大力支持下，圆满完成了2023年度各项指标。</w:t>
      </w:r>
    </w:p>
    <w:p w14:paraId="1777FB5D">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过程管控。2023年本单位一般公共预算支出4，450.39万元，其中：基本支出预算1，980.36万元、项目支出预算2，470.33万元，全年总执行4，450.39万元，执行率达100%。</w:t>
      </w:r>
    </w:p>
    <w:p w14:paraId="5D2721D0">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完成(效率）结果。2023年本单位认真贯彻落实全市“拼经济、比发展”会议及区委八届三次全会精神，坚持了“强基、提质、树标、争先”的工作总思路，围绕创建了国家现代农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业示范区，夯实粮食安全根基，突出园区建设、品牌打造、绿色发展、农民增收、项目推动等重点工作，主要指标实现“两高一超”，争创1个“国”字号、3个“省”字号称号，为全面推进乡村振兴、加快建设农业强区奠定了坚实基础。</w:t>
      </w:r>
    </w:p>
    <w:p w14:paraId="29FA5712">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（二）项目预算绩效管理情况</w:t>
      </w:r>
    </w:p>
    <w:p w14:paraId="3E8B30DA">
      <w:pPr>
        <w:keepNext w:val="0"/>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积极探索村集体经济发展新模式，推动农业经营主体适度规模经营。加大项目资金统筹力度，用于园区发展，最大程度的实现资源有效利用，践行绿色发展之路。着力提高农业综合生产能力，带动农业特色产业快速发展，促进农户稳定持续增收，尤其通过产业发展，促进乡村振兴与脱贫攻坚成果有效衔接，为当地农户找到一条长期增收致富的门路。</w:t>
      </w:r>
    </w:p>
    <w:p w14:paraId="494F4515">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（三）绩效结果应用</w:t>
      </w:r>
    </w:p>
    <w:p w14:paraId="1B369F24">
      <w:pPr>
        <w:keepNext w:val="0"/>
        <w:keepLines/>
        <w:pageBreakBefore w:val="0"/>
        <w:widowControl w:val="0"/>
        <w:numPr>
          <w:ilvl w:val="0"/>
          <w:numId w:val="0"/>
        </w:numPr>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单位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公开。本部门针对绩效管理过程中（包括绩效目标核查、绩效监控核查、重点自评抽查和重点绩效评价）提出的问题进行整改问题、完善政策、改进管理。在应用反馈方面，本部门在规定时间内向财政部门反馈应用绩效结果报告。</w:t>
      </w:r>
    </w:p>
    <w:p w14:paraId="33109256">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（四）自评质量</w:t>
      </w:r>
    </w:p>
    <w:p w14:paraId="0ED2C59A">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本单位严格按照区财政局的要求，对2023年部门整体支出绩效中的目标制定、目标实现、支出控制、执行进度、预算完成等方面开展了自评，自评范围全面、客观、准确，整体支出绩效准确率达100%。</w:t>
      </w:r>
    </w:p>
    <w:p w14:paraId="56083140">
      <w:pPr>
        <w:keepNext w:val="0"/>
        <w:keepLines/>
        <w:pageBreakBefore w:val="0"/>
        <w:widowControl w:val="0"/>
        <w:numPr>
          <w:ilvl w:val="0"/>
          <w:numId w:val="0"/>
        </w:numPr>
        <w:kinsoku/>
        <w:wordWrap/>
        <w:overflowPunct w:val="0"/>
        <w:topLinePunct w:val="0"/>
        <w:bidi w:val="0"/>
        <w:snapToGrid w:val="0"/>
        <w:spacing w:beforeLines="0" w:afterLines="0" w:line="576" w:lineRule="exact"/>
        <w:ind w:left="0" w:leftChars="0" w:firstLine="640" w:firstLineChars="200"/>
        <w:jc w:val="both"/>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color="auto"/>
          <w:lang w:val="en-US" w:eastAsia="zh-CN" w:bidi="ar-SA"/>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根据审计监督、财会监督和决算。</w:t>
      </w:r>
    </w:p>
    <w:p w14:paraId="5519D923">
      <w:pPr>
        <w:keepNext w:val="0"/>
        <w:keepLines/>
        <w:pageBreakBefore w:val="0"/>
        <w:widowControl w:val="0"/>
        <w:numPr>
          <w:ilvl w:val="0"/>
          <w:numId w:val="0"/>
        </w:numPr>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本单位根据审计监督、财会监督和决算审查结果反映部门上一年度预算管理符合相关财政财务管理规定，无违反规定。</w:t>
      </w:r>
    </w:p>
    <w:p w14:paraId="53703A81">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四、存在的问题及建议</w:t>
      </w:r>
    </w:p>
    <w:p w14:paraId="0E0EE305">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（一）自评结论。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按照预算绩效管理和《广元市昭化区人民政</w:t>
      </w:r>
    </w:p>
    <w:p w14:paraId="163D7AB8">
      <w:pPr>
        <w:keepNext w:val="0"/>
        <w:keepLines/>
        <w:pageBreakBefore w:val="0"/>
        <w:widowControl w:val="0"/>
        <w:kinsoku/>
        <w:wordWrap/>
        <w:overflowPunct w:val="0"/>
        <w:topLinePunct w:val="0"/>
        <w:bidi w:val="0"/>
        <w:snapToGrid w:val="0"/>
        <w:spacing w:beforeLines="0" w:afterLines="0" w:line="576" w:lineRule="exact"/>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府办公室关于印发&lt;广元市昭化区财政支出事后绩效评价管理办法&gt;的通知》（昭府办函〔2022〕37号)和（昭财发〔2024〕11号）的附件《部门整体支出绩效评价体系》要求，本部门对2023年整体支出的人员类、运转类、特定目标类项目开展绩效自评，自评结果为95分。</w:t>
      </w:r>
    </w:p>
    <w:p w14:paraId="2AAD82AB">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（二）存在问题。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一是绩效编制不够细化；二是绩效编制过程中个别指标编制不严谨，出现错别字、数量指标值单位使用错误；三是绩效中期偏离度调整不及时；四是绩效各项指标学习理解不到位。</w:t>
      </w:r>
    </w:p>
    <w:p w14:paraId="51AFE293">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color w:val="000000" w:themeColor="text1"/>
          <w:sz w:val="32"/>
          <w:szCs w:val="32"/>
          <w14:textFill>
            <w14:solidFill>
              <w14:schemeClr w14:val="tx1"/>
            </w14:solidFill>
          </w14:textFill>
        </w:rPr>
        <w:t>（三）改进建议。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对接业务股室严格按照方案编制绩效；二是绩效编制过程中要认真仔细，不出现错别字、数量指标值单位使用错误的现象，进一步细化、量化绩效目标；三是及时进行绩效中期偏离度调整；四是加强法律法规的学习；五是强化与业务部门的沟通和衔接，确保工作质量。</w:t>
      </w:r>
    </w:p>
    <w:p w14:paraId="0EB4F0B2">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587D9C6C">
      <w:pPr>
        <w:keepNext w:val="0"/>
        <w:keepLines/>
        <w:pageBreakBefore w:val="0"/>
        <w:widowControl w:val="0"/>
        <w:kinsoku/>
        <w:wordWrap/>
        <w:overflowPunct w:val="0"/>
        <w:topLinePunct w:val="0"/>
        <w:bidi w:val="0"/>
        <w:snapToGrid w:val="0"/>
        <w:spacing w:beforeLines="0" w:afterLines="0" w:line="576" w:lineRule="exact"/>
        <w:ind w:left="0" w:leftChars="0" w:firstLine="640" w:firstLineChars="200"/>
        <w:jc w:val="both"/>
        <w:rPr>
          <w:rFonts w:hint="default" w:ascii="Times New Roman" w:hAnsi="Times New Roman" w:eastAsia="仿宋_GB2312" w:cs="Times New Roman"/>
          <w:b w:val="0"/>
          <w:bCs w:val="0"/>
          <w:color w:val="000000" w:themeColor="text1"/>
          <w:spacing w:val="-1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附件：</w:t>
      </w:r>
      <w:r>
        <w:rPr>
          <w:rFonts w:hint="default" w:ascii="Times New Roman" w:hAnsi="Times New Roman" w:eastAsia="仿宋_GB2312" w:cs="Times New Roman"/>
          <w:b w:val="0"/>
          <w:bCs w:val="0"/>
          <w:color w:val="000000" w:themeColor="text1"/>
          <w:spacing w:val="-11"/>
          <w:sz w:val="32"/>
          <w:szCs w:val="32"/>
          <w14:textFill>
            <w14:solidFill>
              <w14:schemeClr w14:val="tx1"/>
            </w14:solidFill>
          </w14:textFill>
        </w:rPr>
        <w:t>2023年广元市昭化区农业农村局整体支出绩效目标自评表</w:t>
      </w:r>
    </w:p>
    <w:p w14:paraId="3C416F44">
      <w:pPr>
        <w:pStyle w:val="8"/>
        <w:kinsoku/>
        <w:wordWrap/>
        <w:overflowPunct w:val="0"/>
        <w:bidi w:val="0"/>
        <w:spacing w:beforeLines="0" w:afterLines="0"/>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32BB5659">
      <w:pPr>
        <w:pStyle w:val="8"/>
        <w:kinsoku/>
        <w:wordWrap/>
        <w:overflowPunct w:val="0"/>
        <w:bidi w:val="0"/>
        <w:spacing w:beforeLines="0" w:afterLines="0"/>
        <w:rPr>
          <w:rFonts w:hint="default" w:ascii="Times New Roman" w:hAnsi="Times New Roman" w:eastAsia="仿宋" w:cs="Times New Roman"/>
          <w:b w:val="0"/>
          <w:bCs w:val="0"/>
          <w:color w:val="000000" w:themeColor="text1"/>
          <w:sz w:val="32"/>
          <w:szCs w:val="32"/>
          <w14:textFill>
            <w14:solidFill>
              <w14:schemeClr w14:val="tx1"/>
            </w14:solidFill>
          </w14:textFill>
        </w:rPr>
      </w:pPr>
    </w:p>
    <w:p w14:paraId="400477D2">
      <w:pPr>
        <w:pStyle w:val="8"/>
        <w:kinsoku/>
        <w:wordWrap/>
        <w:overflowPunct w:val="0"/>
        <w:bidi w:val="0"/>
        <w:spacing w:beforeLines="0" w:afterLines="0"/>
        <w:rPr>
          <w:rFonts w:hint="default" w:ascii="Times New Roman" w:hAnsi="Times New Roman" w:eastAsia="仿宋" w:cs="Times New Roman"/>
          <w:b w:val="0"/>
          <w:bCs w:val="0"/>
          <w:color w:val="000000" w:themeColor="text1"/>
          <w:sz w:val="32"/>
          <w:szCs w:val="32"/>
          <w14:textFill>
            <w14:solidFill>
              <w14:schemeClr w14:val="tx1"/>
            </w14:solidFill>
          </w14:textFill>
        </w:rPr>
      </w:pPr>
    </w:p>
    <w:tbl>
      <w:tblPr>
        <w:tblStyle w:val="14"/>
        <w:tblW w:w="10978"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8"/>
      </w:tblGrid>
      <w:tr w14:paraId="37F5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9" w:hRule="atLeast"/>
        </w:trPr>
        <w:tc>
          <w:tcPr>
            <w:tcW w:w="10978"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14"/>
              <w:tblW w:w="1118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4"/>
              <w:gridCol w:w="840"/>
              <w:gridCol w:w="1170"/>
              <w:gridCol w:w="1065"/>
              <w:gridCol w:w="1791"/>
              <w:gridCol w:w="1344"/>
              <w:gridCol w:w="1215"/>
              <w:gridCol w:w="2430"/>
            </w:tblGrid>
            <w:tr w14:paraId="57CC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1189" w:type="dxa"/>
                  <w:gridSpan w:val="8"/>
                  <w:tcBorders>
                    <w:top w:val="nil"/>
                    <w:left w:val="nil"/>
                    <w:bottom w:val="nil"/>
                    <w:right w:val="nil"/>
                    <w:tl2br w:val="nil"/>
                    <w:tr2bl w:val="nil"/>
                  </w:tcBorders>
                  <w:noWrap w:val="0"/>
                  <w:vAlign w:val="center"/>
                </w:tcPr>
                <w:p w14:paraId="5972F223">
                  <w:pPr>
                    <w:widowControl/>
                    <w:kinsoku/>
                    <w:wordWrap/>
                    <w:overflowPunct w:val="0"/>
                    <w:bidi w:val="0"/>
                    <w:spacing w:beforeLines="0" w:afterLines="0"/>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广元市昭化区农业农村局整体支出绩效目标自评表</w:t>
                  </w:r>
                </w:p>
              </w:tc>
            </w:tr>
            <w:tr w14:paraId="382C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ADFF3">
                  <w:pPr>
                    <w:widowControl/>
                    <w:kinsoku/>
                    <w:wordWrap/>
                    <w:overflowPunct w:val="0"/>
                    <w:bidi w:val="0"/>
                    <w:spacing w:beforeLines="0" w:afterLines="0"/>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01F76">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广元市昭化区农业农村局</w:t>
                  </w:r>
                </w:p>
              </w:tc>
              <w:tc>
                <w:tcPr>
                  <w:tcW w:w="4989"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8C3CC30">
                  <w:pPr>
                    <w:kinsoku/>
                    <w:wordWrap/>
                    <w:overflowPunct w:val="0"/>
                    <w:bidi w:val="0"/>
                    <w:spacing w:beforeLines="0" w:afterLines="0"/>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2023年</w:t>
                  </w:r>
                </w:p>
              </w:tc>
            </w:tr>
            <w:tr w14:paraId="72AB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17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B99910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w:t>
                  </w:r>
                </w:p>
                <w:p w14:paraId="2851B6B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资金（万元）</w:t>
                  </w:r>
                </w:p>
              </w:tc>
              <w:tc>
                <w:tcPr>
                  <w:tcW w:w="2235" w:type="dxa"/>
                  <w:gridSpan w:val="2"/>
                  <w:tcBorders>
                    <w:top w:val="nil"/>
                    <w:left w:val="single" w:color="000000" w:sz="4" w:space="0"/>
                    <w:bottom w:val="single" w:color="000000" w:sz="4" w:space="0"/>
                    <w:right w:val="single" w:color="000000" w:sz="4" w:space="0"/>
                    <w:tl2br w:val="nil"/>
                    <w:tr2bl w:val="nil"/>
                  </w:tcBorders>
                  <w:noWrap w:val="0"/>
                  <w:vAlign w:val="center"/>
                </w:tcPr>
                <w:p w14:paraId="4B0C162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791" w:type="dxa"/>
                  <w:tcBorders>
                    <w:top w:val="nil"/>
                    <w:left w:val="single" w:color="000000" w:sz="4" w:space="0"/>
                    <w:bottom w:val="single" w:color="000000" w:sz="4" w:space="0"/>
                    <w:right w:val="single" w:color="000000" w:sz="4" w:space="0"/>
                    <w:tl2br w:val="nil"/>
                    <w:tr2bl w:val="nil"/>
                  </w:tcBorders>
                  <w:noWrap w:val="0"/>
                  <w:vAlign w:val="center"/>
                </w:tcPr>
                <w:p w14:paraId="6A011E5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2559" w:type="dxa"/>
                  <w:gridSpan w:val="2"/>
                  <w:tcBorders>
                    <w:top w:val="nil"/>
                    <w:left w:val="single" w:color="000000" w:sz="4" w:space="0"/>
                    <w:bottom w:val="single" w:color="000000" w:sz="4" w:space="0"/>
                    <w:right w:val="single" w:color="000000" w:sz="4" w:space="0"/>
                    <w:tl2br w:val="nil"/>
                    <w:tr2bl w:val="nil"/>
                  </w:tcBorders>
                  <w:noWrap w:val="0"/>
                  <w:vAlign w:val="center"/>
                </w:tcPr>
                <w:p w14:paraId="6A11838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2430" w:type="dxa"/>
                  <w:tcBorders>
                    <w:top w:val="nil"/>
                    <w:left w:val="single" w:color="000000" w:sz="4" w:space="0"/>
                    <w:bottom w:val="single" w:color="000000" w:sz="4" w:space="0"/>
                    <w:right w:val="single" w:color="000000" w:sz="4" w:space="0"/>
                    <w:tl2br w:val="nil"/>
                    <w:tr2bl w:val="nil"/>
                  </w:tcBorders>
                  <w:noWrap w:val="0"/>
                  <w:vAlign w:val="center"/>
                </w:tcPr>
                <w:p w14:paraId="7D91AE7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4595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17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E1FA1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1551D">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09D21">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4450.39</w:t>
                  </w:r>
                </w:p>
              </w:tc>
              <w:tc>
                <w:tcPr>
                  <w:tcW w:w="2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E71A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4450.39</w:t>
                  </w:r>
                </w:p>
              </w:tc>
              <w:tc>
                <w:tcPr>
                  <w:tcW w:w="2430" w:type="dxa"/>
                  <w:tcBorders>
                    <w:top w:val="nil"/>
                    <w:left w:val="single" w:color="000000" w:sz="4" w:space="0"/>
                    <w:bottom w:val="single" w:color="000000" w:sz="4" w:space="0"/>
                    <w:right w:val="single" w:color="000000" w:sz="4" w:space="0"/>
                    <w:tl2br w:val="nil"/>
                    <w:tr2bl w:val="nil"/>
                  </w:tcBorders>
                  <w:noWrap w:val="0"/>
                  <w:vAlign w:val="center"/>
                </w:tcPr>
                <w:p w14:paraId="5663D78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411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17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5AC8A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5A7C5">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EFE58">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2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FAFE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430" w:type="dxa"/>
                  <w:tcBorders>
                    <w:top w:val="nil"/>
                    <w:left w:val="single" w:color="000000" w:sz="4" w:space="0"/>
                    <w:bottom w:val="single" w:color="000000" w:sz="4" w:space="0"/>
                    <w:right w:val="single" w:color="000000" w:sz="4" w:space="0"/>
                    <w:tl2br w:val="nil"/>
                    <w:tr2bl w:val="nil"/>
                  </w:tcBorders>
                  <w:noWrap w:val="0"/>
                  <w:vAlign w:val="center"/>
                </w:tcPr>
                <w:p w14:paraId="374D401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AA5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17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BB10D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173C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7265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4450.39</w:t>
                  </w:r>
                </w:p>
              </w:tc>
              <w:tc>
                <w:tcPr>
                  <w:tcW w:w="2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C608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4450.39</w:t>
                  </w:r>
                </w:p>
              </w:tc>
              <w:tc>
                <w:tcPr>
                  <w:tcW w:w="2430" w:type="dxa"/>
                  <w:tcBorders>
                    <w:top w:val="nil"/>
                    <w:left w:val="single" w:color="000000" w:sz="4" w:space="0"/>
                    <w:bottom w:val="single" w:color="000000" w:sz="4" w:space="0"/>
                    <w:right w:val="single" w:color="000000" w:sz="4" w:space="0"/>
                    <w:tl2br w:val="nil"/>
                    <w:tr2bl w:val="nil"/>
                  </w:tcBorders>
                  <w:noWrap w:val="0"/>
                  <w:vAlign w:val="center"/>
                </w:tcPr>
                <w:p w14:paraId="6694A47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D3B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3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E8481">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整体</w:t>
                  </w:r>
                </w:p>
                <w:p w14:paraId="668388E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目标</w:t>
                  </w:r>
                </w:p>
              </w:tc>
              <w:tc>
                <w:tcPr>
                  <w:tcW w:w="4866" w:type="dxa"/>
                  <w:gridSpan w:val="4"/>
                  <w:tcBorders>
                    <w:top w:val="single" w:color="000000" w:sz="4" w:space="0"/>
                    <w:left w:val="single" w:color="000000" w:sz="4" w:space="0"/>
                    <w:bottom w:val="single" w:color="000000" w:sz="4" w:space="0"/>
                    <w:right w:val="nil"/>
                    <w:tl2br w:val="nil"/>
                    <w:tr2bl w:val="nil"/>
                  </w:tcBorders>
                  <w:noWrap w:val="0"/>
                  <w:vAlign w:val="center"/>
                </w:tcPr>
                <w:p w14:paraId="4EA6172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年度目标</w:t>
                  </w:r>
                </w:p>
              </w:tc>
              <w:tc>
                <w:tcPr>
                  <w:tcW w:w="4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B986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完成情况</w:t>
                  </w:r>
                </w:p>
              </w:tc>
            </w:tr>
            <w:tr w14:paraId="7F3B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9"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579B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866" w:type="dxa"/>
                  <w:gridSpan w:val="4"/>
                  <w:tcBorders>
                    <w:top w:val="single" w:color="000000" w:sz="4" w:space="0"/>
                    <w:left w:val="single" w:color="000000" w:sz="4" w:space="0"/>
                    <w:bottom w:val="single" w:color="000000" w:sz="4" w:space="0"/>
                    <w:right w:val="nil"/>
                    <w:tl2br w:val="nil"/>
                    <w:tr2bl w:val="nil"/>
                  </w:tcBorders>
                  <w:noWrap w:val="0"/>
                  <w:vAlign w:val="top"/>
                </w:tcPr>
                <w:p w14:paraId="4DE09E7A">
                  <w:pPr>
                    <w:widowControl/>
                    <w:kinsoku/>
                    <w:wordWrap/>
                    <w:overflowPunct w:val="0"/>
                    <w:bidi w:val="0"/>
                    <w:spacing w:beforeLines="0" w:afterLines="0" w:line="200" w:lineRule="exact"/>
                    <w:ind w:firstLine="320" w:firstLineChars="200"/>
                    <w:jc w:val="both"/>
                    <w:textAlignment w:val="top"/>
                    <w:rPr>
                      <w:rFonts w:hint="default" w:ascii="Times New Roman" w:hAnsi="Times New Roman" w:eastAsia="宋体" w:cs="Times New Roman"/>
                      <w:b w:val="0"/>
                      <w:bCs w:val="0"/>
                      <w:color w:val="000000" w:themeColor="text1"/>
                      <w:sz w:val="16"/>
                      <w:szCs w:val="16"/>
                      <w:lang w:eastAsia="zh-CN" w:bidi="ar"/>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2023年，区农业农村局将认真贯彻落实全市“拼经济、比发展”会议及区委八届三次全会精神，坚持“强基、提质、树标、争先”的工作总思路，围绕创建国家现代农业示范区为总目标，夯实粮食安全根基，突出园区建设、品牌打造、绿色发展、农民增收、项目推动等重点工作，力争三项主要指标实现“两高一超”，争创1个“国”字号、3个“省”字号称号，为全面推进乡村振兴、加快建设农业强区奠定坚实基础。</w:t>
                  </w:r>
                </w:p>
                <w:p w14:paraId="56513836">
                  <w:pPr>
                    <w:widowControl/>
                    <w:kinsoku/>
                    <w:wordWrap/>
                    <w:overflowPunct w:val="0"/>
                    <w:bidi w:val="0"/>
                    <w:spacing w:beforeLines="0" w:afterLines="0" w:line="200" w:lineRule="exact"/>
                    <w:ind w:firstLine="320" w:firstLineChars="200"/>
                    <w:jc w:val="both"/>
                    <w:textAlignment w:val="top"/>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具体目标是：一是：一产增加值增长5.2%以上、农民人均可支配收入增长9%以上，分别高于全省、全市平均水平；超任务完成年度农业固定资产投资，达到7亿元以上。二是：力争创全国农村产业融合发展示范园、年内力争创成全省乡村振兴成效显著县（区）、全省农村改革先进县（区）、省四星级现代粮油园区。三是保基本运行成本1980.06万元。其中保人员经费1813.46万元、保公用经费166.6万元。四是保工作经费及本级农业政策性保险1088.9万元。五是发展大豆玉米带状复合种植4万亩，开发冬闲田扩种油菜2.5万亩，全年粮食总播面39万亩以上、总产量13万吨以上，油料总播面20万亩以上、总产量3.3万吨以上，新建生猪、肉牛、肉羊种畜禽场5个，全面推广肉牛“532”代养模式，发展代养农户200户，实现年出栏肉牛羊10万头（只）以上,新建土鸡代养基地5个，出栏土鸡1500万羽以上，新发展有机猕猴桃200亩以上，巩固提升猕猴桃基地20000亩，其他小水果30000亩,蔬菜种植面积稳定在18.2万亩以上、总产量达到43万吨以上。改造提升低质低效园区6个，高质量打造绿色种养循环农业试点示范区10万亩、化肥农药减量增效示范区2万亩，化肥、农药使用量同比降低1%以上，畜禽粪污综合利用率和农作物秸秆综合利用率均达到93%以上。续建2022年高标准农田3.1万亩，2023年新建高标准农田0.9万亩，改造提升1.5万亩，整治病险山坪塘200口。培育农机专合社2个，培育“全程机械化”+“综合农事”服务中心1个。</w:t>
                  </w:r>
                </w:p>
              </w:tc>
              <w:tc>
                <w:tcPr>
                  <w:tcW w:w="4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F1780F2">
                  <w:pPr>
                    <w:widowControl/>
                    <w:kinsoku/>
                    <w:wordWrap/>
                    <w:overflowPunct w:val="0"/>
                    <w:bidi w:val="0"/>
                    <w:spacing w:beforeLines="0" w:afterLines="0" w:line="200" w:lineRule="exact"/>
                    <w:ind w:firstLine="320" w:firstLineChars="200"/>
                    <w:textAlignment w:val="top"/>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全面完成各项指标：一是一产增加值增长5.2%以上、农民人均可支配收入增长9%以上，分别高于全省、全市平均水平；超任务完成年度农业固定资产投资，达到7亿元以上。二是力争创全国农村产业融合发展示范园、年内力争创成全省乡村振兴成效显著县（区）、全省农村改革先进县（区）、省四星级现代粮油园区。三是保基本运行成本1980.06万元。其中保人员经费1813.46万元、保公用经费166.6万元。四是保工作经费及本级农业政策性保险1088.9万元。五是发展大豆玉米带状复合种植4万亩，开发冬闲田扩种油菜2.5万亩，全年粮食总播面39万亩以上、总产量13万吨以上，油料总播面20万亩以上、总产量3.3万吨以上，新建生猪、肉牛、肉羊种畜禽场5个，全面推广肉牛“532”代养模式，发展代养农户200户，实现年出栏肉牛羊10万头（只）以上,新建土鸡代养基地5个，出栏土鸡1500万羽以上，新发展有机猕猴桃200亩以上，巩固提升猕猴桃基地20000亩，其他小水果30000亩,蔬菜种植面积稳定在18.2万亩以上、总产量达到43万吨以上。改造提升低质低效园区6个，高质量打造绿色种养循环农业试点示范区10万亩、化肥农药减量增效示范区2万亩，化肥、农药使用量同比降低1%以上，畜禽粪污综合利用率和农作物秸秆综合利用率均达到93%以上。续建2022年高标准农田3.1万亩，2023年新建高标准农田0.9万亩，改造提升1.5万亩，整治病险山坪塘200口。培育农机专合社2个，培育“全程机械化”+“综合农事”服务中心1个。</w:t>
                  </w:r>
                </w:p>
              </w:tc>
            </w:tr>
            <w:tr w14:paraId="1F86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3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B72B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部门整体</w:t>
                  </w:r>
                </w:p>
                <w:p w14:paraId="07AFCED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绩效指标</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94D5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B7C6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42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0EDA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EB37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2430" w:type="dxa"/>
                  <w:tcBorders>
                    <w:top w:val="nil"/>
                    <w:left w:val="nil"/>
                    <w:bottom w:val="nil"/>
                    <w:right w:val="single" w:color="000000" w:sz="4" w:space="0"/>
                    <w:tl2br w:val="nil"/>
                    <w:tr2bl w:val="nil"/>
                  </w:tcBorders>
                  <w:noWrap w:val="0"/>
                  <w:vAlign w:val="center"/>
                </w:tcPr>
                <w:p w14:paraId="7DB5B09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6D26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D40A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FFCE6">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E8F51">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0DAAF636">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3135" w:type="dxa"/>
                  <w:gridSpan w:val="2"/>
                  <w:tcBorders>
                    <w:top w:val="single" w:color="000000" w:sz="4" w:space="0"/>
                    <w:left w:val="nil"/>
                    <w:bottom w:val="single" w:color="000000" w:sz="4" w:space="0"/>
                    <w:right w:val="single" w:color="000000" w:sz="4" w:space="0"/>
                    <w:tl2br w:val="nil"/>
                    <w:tr2bl w:val="nil"/>
                  </w:tcBorders>
                  <w:noWrap/>
                  <w:vAlign w:val="center"/>
                </w:tcPr>
                <w:p w14:paraId="3130B39A">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全年粮食总播面</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6E628">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39万亩</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B38E5">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96E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0BC86">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0CFBB">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AA279">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tcBorders>
                    <w:top w:val="nil"/>
                    <w:left w:val="single" w:color="000000" w:sz="4" w:space="0"/>
                    <w:bottom w:val="single" w:color="000000" w:sz="4" w:space="0"/>
                    <w:right w:val="nil"/>
                    <w:tl2br w:val="nil"/>
                    <w:tr2bl w:val="nil"/>
                  </w:tcBorders>
                  <w:noWrap w:val="0"/>
                  <w:vAlign w:val="center"/>
                </w:tcPr>
                <w:p w14:paraId="5834468B">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3135" w:type="dxa"/>
                  <w:gridSpan w:val="2"/>
                  <w:tcBorders>
                    <w:top w:val="nil"/>
                    <w:left w:val="nil"/>
                    <w:bottom w:val="single" w:color="000000" w:sz="4" w:space="0"/>
                    <w:right w:val="single" w:color="000000" w:sz="4" w:space="0"/>
                    <w:tl2br w:val="nil"/>
                    <w:tr2bl w:val="nil"/>
                  </w:tcBorders>
                  <w:noWrap w:val="0"/>
                  <w:vAlign w:val="center"/>
                </w:tcPr>
                <w:p w14:paraId="079A50D9">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新建生猪、肉牛、肉羊种畜禽场数量</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F417F">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5个</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DBE2F">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E80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AA8D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13DD5">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6C4D6">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tcBorders>
                    <w:top w:val="nil"/>
                    <w:left w:val="single" w:color="000000" w:sz="4" w:space="0"/>
                    <w:bottom w:val="single" w:color="000000" w:sz="4" w:space="0"/>
                    <w:right w:val="nil"/>
                    <w:tl2br w:val="nil"/>
                    <w:tr2bl w:val="nil"/>
                  </w:tcBorders>
                  <w:noWrap w:val="0"/>
                  <w:vAlign w:val="center"/>
                </w:tcPr>
                <w:p w14:paraId="4AE62321">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3135" w:type="dxa"/>
                  <w:gridSpan w:val="2"/>
                  <w:tcBorders>
                    <w:top w:val="nil"/>
                    <w:left w:val="nil"/>
                    <w:bottom w:val="single" w:color="000000" w:sz="4" w:space="0"/>
                    <w:right w:val="nil"/>
                    <w:tl2br w:val="nil"/>
                    <w:tr2bl w:val="nil"/>
                  </w:tcBorders>
                  <w:noWrap/>
                  <w:vAlign w:val="center"/>
                </w:tcPr>
                <w:p w14:paraId="0ADACBCE">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巩固提升猕猴桃基地</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1F690">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2万亩</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AF9DA">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759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354A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4B214">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E2CEE">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02A41ABB">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3135" w:type="dxa"/>
                  <w:gridSpan w:val="2"/>
                  <w:tcBorders>
                    <w:top w:val="nil"/>
                    <w:left w:val="nil"/>
                    <w:bottom w:val="single" w:color="000000" w:sz="4" w:space="0"/>
                    <w:right w:val="nil"/>
                    <w:tl2br w:val="nil"/>
                    <w:tr2bl w:val="nil"/>
                  </w:tcBorders>
                  <w:noWrap/>
                  <w:vAlign w:val="center"/>
                </w:tcPr>
                <w:p w14:paraId="06F3E297">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单位在职职工人数</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C625E">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119人</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3C5E5">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E07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62C6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5977E">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B43F0">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249D9ECF">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3135" w:type="dxa"/>
                  <w:gridSpan w:val="2"/>
                  <w:tcBorders>
                    <w:top w:val="nil"/>
                    <w:left w:val="nil"/>
                    <w:bottom w:val="nil"/>
                    <w:right w:val="nil"/>
                    <w:tl2br w:val="nil"/>
                    <w:tr2bl w:val="nil"/>
                  </w:tcBorders>
                  <w:noWrap w:val="0"/>
                  <w:vAlign w:val="center"/>
                </w:tcPr>
                <w:p w14:paraId="64681B45">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项目验收合格率</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39DCE">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44F89">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825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5DEA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21A6D">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96BCD">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3F2CE210">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3135" w:type="dxa"/>
                  <w:gridSpan w:val="2"/>
                  <w:tcBorders>
                    <w:top w:val="single" w:color="000000" w:sz="4" w:space="0"/>
                    <w:left w:val="nil"/>
                    <w:bottom w:val="single" w:color="000000" w:sz="4" w:space="0"/>
                    <w:right w:val="single" w:color="000000" w:sz="4" w:space="0"/>
                    <w:tl2br w:val="nil"/>
                    <w:tr2bl w:val="nil"/>
                  </w:tcBorders>
                  <w:noWrap w:val="0"/>
                  <w:vAlign w:val="center"/>
                </w:tcPr>
                <w:p w14:paraId="1DD0FA84">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3A9EE">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203A1">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DBE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59FE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95F6E">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8DEAB">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75CEAA6F">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3135" w:type="dxa"/>
                  <w:gridSpan w:val="2"/>
                  <w:tcBorders>
                    <w:top w:val="single" w:color="000000" w:sz="4" w:space="0"/>
                    <w:left w:val="nil"/>
                    <w:bottom w:val="single" w:color="000000" w:sz="4" w:space="0"/>
                    <w:right w:val="single" w:color="000000" w:sz="4" w:space="0"/>
                    <w:tl2br w:val="nil"/>
                    <w:tr2bl w:val="nil"/>
                  </w:tcBorders>
                  <w:noWrap w:val="0"/>
                  <w:vAlign w:val="center"/>
                </w:tcPr>
                <w:p w14:paraId="6A8ABF50">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工作经费控制额度</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554F6">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19806.06万元</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D70B0">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84D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2378D">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30470">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A4616">
                  <w:pPr>
                    <w:widowControl/>
                    <w:kinsoku/>
                    <w:wordWrap/>
                    <w:overflowPunct w:val="0"/>
                    <w:bidi w:val="0"/>
                    <w:spacing w:beforeLines="0" w:afterLines="0"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79E4FE1D">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3135" w:type="dxa"/>
                  <w:gridSpan w:val="2"/>
                  <w:tcBorders>
                    <w:top w:val="single" w:color="000000" w:sz="4" w:space="0"/>
                    <w:left w:val="nil"/>
                    <w:bottom w:val="single" w:color="000000" w:sz="4" w:space="0"/>
                    <w:right w:val="single" w:color="000000" w:sz="4" w:space="0"/>
                    <w:tl2br w:val="nil"/>
                    <w:tr2bl w:val="nil"/>
                  </w:tcBorders>
                  <w:noWrap w:val="0"/>
                  <w:vAlign w:val="center"/>
                </w:tcPr>
                <w:p w14:paraId="26BCAA16">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项目资金投入</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12CDD">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1088.9万元</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4E902">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246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DA09A">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BA6D8">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170" w:type="dxa"/>
                  <w:tcBorders>
                    <w:top w:val="single" w:color="000000" w:sz="4" w:space="0"/>
                    <w:left w:val="single" w:color="000000" w:sz="4" w:space="0"/>
                    <w:bottom w:val="nil"/>
                    <w:right w:val="single" w:color="000000" w:sz="4" w:space="0"/>
                    <w:tl2br w:val="nil"/>
                    <w:tr2bl w:val="nil"/>
                  </w:tcBorders>
                  <w:noWrap w:val="0"/>
                  <w:vAlign w:val="center"/>
                </w:tcPr>
                <w:p w14:paraId="76F8C59D">
                  <w:pPr>
                    <w:widowControl/>
                    <w:kinsoku/>
                    <w:wordWrap/>
                    <w:overflowPunct w:val="0"/>
                    <w:bidi w:val="0"/>
                    <w:spacing w:beforeLines="0" w:afterLines="0" w:line="240" w:lineRule="exact"/>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p>
                <w:p w14:paraId="21F6D774">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0D2A15CF">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3135" w:type="dxa"/>
                  <w:gridSpan w:val="2"/>
                  <w:tcBorders>
                    <w:top w:val="single" w:color="000000" w:sz="4" w:space="0"/>
                    <w:left w:val="nil"/>
                    <w:bottom w:val="single" w:color="000000" w:sz="4" w:space="0"/>
                    <w:right w:val="single" w:color="000000" w:sz="4" w:space="0"/>
                    <w:tl2br w:val="nil"/>
                    <w:tr2bl w:val="nil"/>
                  </w:tcBorders>
                  <w:noWrap w:val="0"/>
                  <w:vAlign w:val="center"/>
                </w:tcPr>
                <w:p w14:paraId="018238D1">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农业产业产值增长</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D376A">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1.50%</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B8859">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29B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3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3BF3D">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91D86">
                  <w:pPr>
                    <w:widowControl/>
                    <w:kinsoku/>
                    <w:wordWrap/>
                    <w:overflowPunct w:val="0"/>
                    <w:bidi w:val="0"/>
                    <w:spacing w:beforeLines="0" w:afterLines="0" w:line="240" w:lineRule="exact"/>
                    <w:jc w:val="center"/>
                    <w:textAlignment w:val="center"/>
                    <w:rPr>
                      <w:rFonts w:hint="default" w:ascii="Times New Roman" w:hAnsi="Times New Roman" w:eastAsia="宋体" w:cs="Times New Roman"/>
                      <w:b w:val="0"/>
                      <w:bCs w:val="0"/>
                      <w:color w:val="000000" w:themeColor="text1"/>
                      <w:w w:val="90"/>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w w:val="90"/>
                      <w:sz w:val="18"/>
                      <w:szCs w:val="18"/>
                      <w:lang w:bidi="ar"/>
                      <w14:textFill>
                        <w14:solidFill>
                          <w14:schemeClr w14:val="tx1"/>
                        </w14:solidFill>
                      </w14:textFill>
                    </w:rPr>
                    <w:t>满意度</w:t>
                  </w:r>
                </w:p>
                <w:p w14:paraId="1AB7F827">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w w:val="90"/>
                      <w:sz w:val="18"/>
                      <w:szCs w:val="18"/>
                      <w14:textFill>
                        <w14:solidFill>
                          <w14:schemeClr w14:val="tx1"/>
                        </w14:solidFill>
                      </w14:textFill>
                    </w:rPr>
                  </w:pPr>
                  <w:r>
                    <w:rPr>
                      <w:rFonts w:hint="default" w:ascii="Times New Roman" w:hAnsi="Times New Roman" w:cs="Times New Roman"/>
                      <w:b w:val="0"/>
                      <w:bCs w:val="0"/>
                      <w:color w:val="000000" w:themeColor="text1"/>
                      <w:w w:val="90"/>
                      <w:sz w:val="18"/>
                      <w:szCs w:val="18"/>
                      <w:lang w:bidi="ar"/>
                      <w14:textFill>
                        <w14:solidFill>
                          <w14:schemeClr w14:val="tx1"/>
                        </w14:solidFill>
                      </w14:textFill>
                    </w:rPr>
                    <w:t>指标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F8B40">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065" w:type="dxa"/>
                  <w:tcBorders>
                    <w:top w:val="single" w:color="000000" w:sz="4" w:space="0"/>
                    <w:left w:val="single" w:color="000000" w:sz="4" w:space="0"/>
                    <w:bottom w:val="single" w:color="000000" w:sz="4" w:space="0"/>
                    <w:right w:val="nil"/>
                    <w:tl2br w:val="nil"/>
                    <w:tr2bl w:val="nil"/>
                  </w:tcBorders>
                  <w:noWrap w:val="0"/>
                  <w:vAlign w:val="center"/>
                </w:tcPr>
                <w:p w14:paraId="0A85603C">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3135" w:type="dxa"/>
                  <w:gridSpan w:val="2"/>
                  <w:tcBorders>
                    <w:top w:val="single" w:color="000000" w:sz="4" w:space="0"/>
                    <w:left w:val="nil"/>
                    <w:bottom w:val="single" w:color="000000" w:sz="4" w:space="0"/>
                    <w:right w:val="single" w:color="000000" w:sz="4" w:space="0"/>
                    <w:tl2br w:val="nil"/>
                    <w:tr2bl w:val="nil"/>
                  </w:tcBorders>
                  <w:noWrap w:val="0"/>
                  <w:vAlign w:val="center"/>
                </w:tcPr>
                <w:p w14:paraId="78248AF8">
                  <w:pPr>
                    <w:widowControl/>
                    <w:kinsoku/>
                    <w:wordWrap/>
                    <w:overflowPunct w:val="0"/>
                    <w:bidi w:val="0"/>
                    <w:spacing w:beforeLines="0" w:afterLines="0"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群众满意度</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660AA">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E1134">
                  <w:pPr>
                    <w:widowControl/>
                    <w:kinsoku/>
                    <w:wordWrap/>
                    <w:overflowPunct w:val="0"/>
                    <w:bidi w:val="0"/>
                    <w:spacing w:beforeLines="0" w:afterLines="0"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7AFF2266">
            <w:pPr>
              <w:widowControl/>
              <w:kinsoku/>
              <w:wordWrap/>
              <w:overflowPunct w:val="0"/>
              <w:bidi w:val="0"/>
              <w:spacing w:beforeLines="0" w:afterLines="0"/>
              <w:jc w:val="both"/>
              <w:textAlignment w:val="center"/>
              <w:rPr>
                <w:rFonts w:hint="default" w:ascii="Times New Roman" w:hAnsi="Times New Roman" w:eastAsia="方正小标宋简体" w:cs="Times New Roman"/>
                <w:b w:val="0"/>
                <w:bCs w:val="0"/>
                <w:color w:val="000000" w:themeColor="text1"/>
                <w:sz w:val="40"/>
                <w:szCs w:val="40"/>
                <w14:textFill>
                  <w14:solidFill>
                    <w14:schemeClr w14:val="tx1"/>
                  </w14:solidFill>
                </w14:textFill>
              </w:rPr>
            </w:pPr>
          </w:p>
        </w:tc>
      </w:tr>
    </w:tbl>
    <w:p w14:paraId="2B761BD3">
      <w:pPr>
        <w:keepNext/>
        <w:keepLines/>
        <w:pageBreakBefore/>
        <w:widowControl/>
        <w:kinsoku/>
        <w:wordWrap/>
        <w:overflowPunct w:val="0"/>
        <w:bidi w:val="0"/>
        <w:spacing w:beforeLines="0" w:afterLines="0" w:line="576" w:lineRule="exact"/>
        <w:jc w:val="both"/>
        <w:outlineLvl w:val="1"/>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19" w:name="_Toc28248"/>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附件2</w:t>
      </w:r>
      <w:bookmarkEnd w:id="19"/>
    </w:p>
    <w:p w14:paraId="68D5C913">
      <w:pPr>
        <w:widowControl/>
        <w:kinsoku/>
        <w:wordWrap/>
        <w:overflowPunct w:val="0"/>
        <w:bidi w:val="0"/>
        <w:spacing w:beforeLines="0" w:afterLines="0" w:line="576" w:lineRule="exact"/>
        <w:jc w:val="cente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pPr>
    </w:p>
    <w:p w14:paraId="71372512">
      <w:pPr>
        <w:widowControl/>
        <w:kinsoku/>
        <w:wordWrap/>
        <w:overflowPunct w:val="0"/>
        <w:bidi w:val="0"/>
        <w:spacing w:beforeLines="0" w:afterLines="0" w:line="576" w:lineRule="exact"/>
        <w:jc w:val="cente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t>2023年</w:t>
      </w:r>
      <w:r>
        <w:rPr>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t>“中国农民丰收节”经费</w:t>
      </w:r>
      <w: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t>专项预算项目</w:t>
      </w:r>
    </w:p>
    <w:p w14:paraId="3D8F0884">
      <w:pPr>
        <w:widowControl/>
        <w:kinsoku/>
        <w:wordWrap/>
        <w:overflowPunct w:val="0"/>
        <w:bidi w:val="0"/>
        <w:spacing w:beforeLines="0" w:afterLines="0" w:line="576" w:lineRule="exact"/>
        <w:jc w:val="cente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t>绩效评价报告</w:t>
      </w:r>
    </w:p>
    <w:p w14:paraId="4E790DBC">
      <w:pPr>
        <w:widowControl/>
        <w:kinsoku/>
        <w:wordWrap/>
        <w:overflowPunct w:val="0"/>
        <w:bidi w:val="0"/>
        <w:spacing w:beforeLines="0" w:afterLines="0" w:line="576" w:lineRule="exact"/>
        <w:ind w:firstLine="64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7C4FB05E">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一、</w:t>
      </w:r>
      <w:r>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t>项目概况</w:t>
      </w:r>
    </w:p>
    <w:p w14:paraId="225707D6">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（一）设立背景及基本情况。</w:t>
      </w:r>
    </w:p>
    <w:p w14:paraId="7357B818">
      <w:pPr>
        <w:keepNext/>
        <w:keepLines/>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为充分展示我区农业农村发展的巨大成就，充分展现广大农民群众的时代风采，进一步提升广大农民的获得感、幸福感、光荣感，凝聚全区之力全面推进乡村振兴，拟于2023年9月下旬举办“中国农民丰收节”系列活动，主要包含猕猴桃采摘节、王家贡米节、庆丰收文艺下乡汇演、优质农特产品展示展销、庆丰收摄影书画展、农事技能大比武、趣味农事体验等特色庆祝活动，参与人员1万人次以上，参展企业、专合社等50家以上，评选优秀农民代表10个。活动由区委、区政府主办，区农业农村局牵头负责，区委宣传部、区文旅体局、区商务和经合局、区乡村振兴局等部门及相关镇配合。活动共计列支经费50万元，主要用于主场布景、庆丰收汇演、农产品展销、沿线风貌打造等，采取先申报后使用、实报实销方式使用项目资金。</w:t>
      </w:r>
    </w:p>
    <w:p w14:paraId="3B301F58">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（二）实施目的及支持方向。</w:t>
      </w:r>
    </w:p>
    <w:p w14:paraId="2C7FC82B">
      <w:pPr>
        <w:pageBreakBefore w:val="0"/>
        <w:widowControl/>
        <w:kinsoku/>
        <w:wordWrap/>
        <w:overflowPunct w:val="0"/>
        <w:topLinePunct w:val="0"/>
        <w:autoSpaceDN/>
        <w:bidi w:val="0"/>
        <w:adjustRightIn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年9月下旬举办“中国农民丰收节”系列活动8个,组织企业、专合社50家以上现场展示展销农特产品，活动参与总人数1万人次以上。通过开展优秀农民评选、庆丰收文艺下乡、农产品展示展销、农商对接等一系列活动，不断提升农民丰收节社会知晓率，增加广大农民的积极性、主动性、创造性，提高农民收入和农民获得感。</w:t>
      </w: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申请资金总额50万元，其中申请财政资金50万元。</w:t>
      </w:r>
    </w:p>
    <w:p w14:paraId="50BED5FC">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（三）预算安排及分配管理。</w:t>
      </w:r>
    </w:p>
    <w:p w14:paraId="657B68B3">
      <w:pPr>
        <w:pageBreakBefore w:val="0"/>
        <w:widowControl/>
        <w:kinsoku/>
        <w:wordWrap/>
        <w:overflowPunct w:val="0"/>
        <w:topLinePunct w:val="0"/>
        <w:autoSpaceDN/>
        <w:bidi w:val="0"/>
        <w:adjustRightIn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2023年预算资金总额50万元，其中财政资金50万元。</w:t>
      </w:r>
    </w:p>
    <w:p w14:paraId="69C419B1">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（四）项目绩效目标设置。</w:t>
      </w:r>
    </w:p>
    <w:p w14:paraId="74E961AC">
      <w:pPr>
        <w:pageBreakBefore w:val="0"/>
        <w:widowControl/>
        <w:kinsoku/>
        <w:wordWrap/>
        <w:overflowPunct w:val="0"/>
        <w:topLinePunct w:val="0"/>
        <w:autoSpaceDN/>
        <w:bidi w:val="0"/>
        <w:adjustRightIn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项目共设置绩效目标25项，其中数量指标3个、质量指标3个、时效指标2个、成本指标3个、经济效益指标3个、社会效益指标3个、生态效益指标2个、可持续影响指标3个、满意度指标3个。指标设置严格参考前几届农民丰收节开展情况，指标设置科学合理，绩效目标设置全面，符合政策要求和工作预期目标，关键指标可以进行量化考核。</w:t>
      </w:r>
    </w:p>
    <w:p w14:paraId="7431C85B">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二、评价实施</w:t>
      </w:r>
    </w:p>
    <w:p w14:paraId="1338FA72">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（一）评价目的</w:t>
      </w:r>
    </w:p>
    <w:p w14:paraId="2BD77F4F">
      <w:pPr>
        <w:pageBreakBefore w:val="0"/>
        <w:widowControl/>
        <w:kinsoku/>
        <w:wordWrap/>
        <w:overflowPunct w:val="0"/>
        <w:topLinePunct w:val="0"/>
        <w:autoSpaceDN/>
        <w:bidi w:val="0"/>
        <w:adjustRightIn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科学成本预算，充分征求相关部门工作人员意见，结合往年农民丰收节开支状况，综合各方意见及当前市场物价水平，按照区级财政公共预算支出有关要求，分条逐项进行资金预算，确保预算精准、无漏项。项目总投资50万元，包含场地布景、氛围营造、农产品展销等全部开支；二是严格控制活动成本，坚持务实节俭的原则，严格执行有关纪律要求，充分利用现有的舞台和场所，举办贴近群众生活的系列活动，避免形式主义和铺张浪费，同时广泛发动基层党员干部和群众志愿者参与活动筹备和服务，在保证活动开展效果的前提下尽可能不增加政府和农民的负担；三是提高预算使用效率，整合使用资金，猕猴桃采摘节、王家贡米节等活动作为农民丰收节子活动开展，资金打捆使用，避免多头开支、重复开支，项目资金由区农业农村局统一调拨分配给各镇和各部门，严格按照申报资金量使用，严禁超支。</w:t>
      </w:r>
    </w:p>
    <w:p w14:paraId="1C633138">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（二）预设问题及评价重点</w:t>
      </w:r>
    </w:p>
    <w:p w14:paraId="6DEFD49B">
      <w:pPr>
        <w:pageBreakBefore w:val="0"/>
        <w:widowControl/>
        <w:kinsoku/>
        <w:wordWrap/>
        <w:overflowPunct w:val="0"/>
        <w:topLinePunct w:val="0"/>
        <w:autoSpaceDN/>
        <w:bidi w:val="0"/>
        <w:adjustRightIn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预算使用效率，整合使用资金，猕猴桃采摘节、王家贡米节等活动作为农民丰收节子活动开展，资金打捆使用，避免多头开支、重复开支，项目资金由区农业农村局统一调拨分配给各镇和各部门，严格按照申报资金量使用，严禁超支。</w:t>
      </w:r>
    </w:p>
    <w:p w14:paraId="51B0EA50">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（三）评价选点。</w:t>
      </w:r>
    </w:p>
    <w:p w14:paraId="69748B7A">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2023年中国农民丰收节在卫子镇新荣村开展了丰收节活动，全区12镇村、所有机关单位全部参加了该活动，活动反响很好。</w:t>
      </w:r>
    </w:p>
    <w:p w14:paraId="541FA6D4">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（四）评价方法。</w:t>
      </w:r>
    </w:p>
    <w:p w14:paraId="795ECAF3">
      <w:pPr>
        <w:pageBreakBefore w:val="0"/>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i/>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党中央、国务院和省委、省政府多次强调要切实将筹办好“中国农民丰收节”工作作为当前和今后一个时期“三农”工作的重要内容摆上议事日程，2021年2月21日中共中央、国务院印发《关于全面推进乡村振兴加快农业农村现代化的意见》，专门强调要办好农民丰收节，2021年8月3日农业农村部办公厅印发《关于做好2021年中国农民丰收节有关工作的通知》（农办市〔2021〕11号）专题安排部署庆祝“中国农民丰收节”有关工作，同时省委、省政府主要领导多次做出批示要统筹办好农民丰收节，办好农民丰收节已成为一项重要的政治任务，我区</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采用成本效益分析法、座谈调研法等多种方法开展了调研、分析，每年的</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9月中下旬开展丰收节活动。</w:t>
      </w:r>
    </w:p>
    <w:p w14:paraId="64881CC1">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（五）评价组织。</w:t>
      </w:r>
    </w:p>
    <w:p w14:paraId="3D7D8961">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农民丰收节活动每年由区委、区政府主办，区级主要领导和分管领导统筹谋划、精心安排部署，区农业农村局牵头制定活动方案，成立专项领导小组和相关工作组，该镇具体负责、其余11镇落实人员参加活动并比赛。</w:t>
      </w:r>
    </w:p>
    <w:p w14:paraId="7BF2BA24">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三、绩效分析</w:t>
      </w:r>
    </w:p>
    <w:p w14:paraId="202916AA">
      <w:pPr>
        <w:pageBreakBefore w:val="0"/>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央和省市各级要求把组织实施好中国农民丰收节作为“三农”工作重要内容摆上长期议事日程，要求持续办好农民丰收节活动，农民丰收节与我区各部门实施乡村振兴战略部署紧密结合，庆祝节日与推动工作相互促进，有必要也必须坚持长期办好。目前该活动办的很成功，特别是农产品销售很好，得到了广大消费者和投入者的好评。</w:t>
      </w:r>
    </w:p>
    <w:p w14:paraId="46AC3DAC">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（一）通用指标绩效分析。</w:t>
      </w:r>
    </w:p>
    <w:p w14:paraId="15109F39">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1.项目决策：按照中央、省、市、区的安排部署，我区丰收节主要围绕粮油园区开展活动，让种粮农户得到实惠，提高种粮积极性。</w:t>
      </w:r>
    </w:p>
    <w:p w14:paraId="2EDC825B">
      <w:pPr>
        <w:pageBreakBefore w:val="0"/>
        <w:widowControl/>
        <w:numPr>
          <w:ilvl w:val="0"/>
          <w:numId w:val="0"/>
        </w:numPr>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2.项目管理：</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严格按照资金管理要求执行。</w:t>
      </w:r>
    </w:p>
    <w:p w14:paraId="153057BB">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3.项目实施：2023年财政预算50万元纳入丰收节活动经费，严格按照方案执行。</w:t>
      </w:r>
    </w:p>
    <w:p w14:paraId="205A29AA">
      <w:pPr>
        <w:pageBreakBefore w:val="0"/>
        <w:widowControl/>
        <w:kinsoku/>
        <w:wordWrap/>
        <w:overflowPunct w:val="0"/>
        <w:topLinePunct w:val="0"/>
        <w:autoSpaceDE/>
        <w:autoSpaceDN/>
        <w:bidi w:val="0"/>
        <w:snapToGrid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4.项目结果：</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实施该项目，给种养农户带来了一定的经济保障，在出现风险的情况下，降低一定的损失，让农户在种养上增加积极性。</w:t>
      </w:r>
    </w:p>
    <w:p w14:paraId="101D7A71">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（二）专用指标绩效分析</w:t>
      </w:r>
    </w:p>
    <w:p w14:paraId="40EAC2A9">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1.产业发展：主要围绕粮油园区开展丰收节活动，让种粮农户提高种粮积极性，得到应有的实惠。</w:t>
      </w:r>
    </w:p>
    <w:p w14:paraId="1AC84267">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2.民生保障：</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该活动开展群众满意度达</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90%以上。</w:t>
      </w:r>
    </w:p>
    <w:p w14:paraId="22CE89E3">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3.基础设施：项目完成100%、资金拨付100%。</w:t>
      </w:r>
    </w:p>
    <w:p w14:paraId="44C039F9">
      <w:pPr>
        <w:pageBreakBefore w:val="0"/>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4.行政运转：无</w:t>
      </w:r>
    </w:p>
    <w:p w14:paraId="5AB92416">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（三）个性指标绩效分析：无</w:t>
      </w:r>
    </w:p>
    <w:p w14:paraId="7A6875A8">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四、评价结论</w:t>
      </w:r>
    </w:p>
    <w:p w14:paraId="2203DADB">
      <w:pPr>
        <w:pageBreakBefore w:val="0"/>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自开展丰收节以来，反映良好，得到了广大人民的满意，老百姓得到了应有的实惠。</w:t>
      </w:r>
    </w:p>
    <w:p w14:paraId="599BA6AD">
      <w:pPr>
        <w:keepNext/>
        <w:keepLines/>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t>五、存在主要问题：</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377EFFBF">
      <w:pPr>
        <w:pageBreakBefore w:val="0"/>
        <w:widowControl/>
        <w:kinsoku/>
        <w:wordWrap/>
        <w:overflowPunct w:val="0"/>
        <w:topLinePunct w:val="0"/>
        <w:bidi w:val="0"/>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t>六、改进建议：</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希望越办越好，让农户真正得到实惠。</w:t>
      </w:r>
    </w:p>
    <w:p w14:paraId="7F4C1948">
      <w:pPr>
        <w:widowControl/>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p>
    <w:p w14:paraId="5C2FB7B1">
      <w:pPr>
        <w:widowControl/>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13A5B70F">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C22AE53">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229CB0D2">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054185DF">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655D31B6">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6F6D290">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539A47F">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C2FB699">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9A655DF">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7990BCD">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4390707">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2B952F22">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ACDFF04">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26709F3">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D7039DE">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tbl>
      <w:tblPr>
        <w:tblStyle w:val="14"/>
        <w:tblW w:w="10260"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8"/>
        <w:gridCol w:w="885"/>
        <w:gridCol w:w="1279"/>
        <w:gridCol w:w="1055"/>
        <w:gridCol w:w="1367"/>
        <w:gridCol w:w="1504"/>
        <w:gridCol w:w="1662"/>
        <w:gridCol w:w="1710"/>
      </w:tblGrid>
      <w:tr w14:paraId="4F55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260" w:type="dxa"/>
            <w:gridSpan w:val="8"/>
            <w:tcBorders>
              <w:top w:val="nil"/>
              <w:left w:val="nil"/>
              <w:bottom w:val="nil"/>
              <w:right w:val="nil"/>
              <w:tl2br w:val="nil"/>
              <w:tr2bl w:val="nil"/>
            </w:tcBorders>
            <w:noWrap w:val="0"/>
            <w:vAlign w:val="center"/>
          </w:tcPr>
          <w:p w14:paraId="1869B900">
            <w:pPr>
              <w:widowControl/>
              <w:kinsoku/>
              <w:wordWrap/>
              <w:overflowPunct w:val="0"/>
              <w:bidi w:val="0"/>
              <w:spacing w:beforeLines="0" w:afterLines="0"/>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3A4A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0260" w:type="dxa"/>
            <w:gridSpan w:val="8"/>
            <w:tcBorders>
              <w:top w:val="nil"/>
              <w:left w:val="nil"/>
              <w:bottom w:val="nil"/>
              <w:right w:val="nil"/>
              <w:tl2br w:val="nil"/>
              <w:tr2bl w:val="nil"/>
            </w:tcBorders>
            <w:noWrap w:val="0"/>
            <w:vAlign w:val="top"/>
          </w:tcPr>
          <w:p w14:paraId="0962CC13">
            <w:pPr>
              <w:widowControl/>
              <w:kinsoku/>
              <w:wordWrap/>
              <w:overflowPunct w:val="0"/>
              <w:bidi w:val="0"/>
              <w:spacing w:beforeLines="0" w:afterLines="0"/>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1404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6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6823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57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44694">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2023年“中国农民丰收节”经费</w:t>
            </w:r>
          </w:p>
        </w:tc>
      </w:tr>
      <w:tr w14:paraId="2EA0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C98C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70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F20C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5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3906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37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EB2DFA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广元市昭化区农业农村局</w:t>
            </w:r>
          </w:p>
        </w:tc>
      </w:tr>
      <w:tr w14:paraId="48F2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ECEF15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334" w:type="dxa"/>
            <w:gridSpan w:val="2"/>
            <w:tcBorders>
              <w:top w:val="nil"/>
              <w:left w:val="single" w:color="000000" w:sz="4" w:space="0"/>
              <w:bottom w:val="single" w:color="000000" w:sz="4" w:space="0"/>
              <w:right w:val="single" w:color="000000" w:sz="4" w:space="0"/>
              <w:tl2br w:val="nil"/>
              <w:tr2bl w:val="nil"/>
            </w:tcBorders>
            <w:noWrap w:val="0"/>
            <w:vAlign w:val="center"/>
          </w:tcPr>
          <w:p w14:paraId="1064E93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367" w:type="dxa"/>
            <w:tcBorders>
              <w:top w:val="nil"/>
              <w:left w:val="single" w:color="000000" w:sz="4" w:space="0"/>
              <w:bottom w:val="single" w:color="000000" w:sz="4" w:space="0"/>
              <w:right w:val="single" w:color="000000" w:sz="4" w:space="0"/>
              <w:tl2br w:val="nil"/>
              <w:tr2bl w:val="nil"/>
            </w:tcBorders>
            <w:noWrap w:val="0"/>
            <w:vAlign w:val="center"/>
          </w:tcPr>
          <w:p w14:paraId="4776893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504" w:type="dxa"/>
            <w:tcBorders>
              <w:top w:val="nil"/>
              <w:left w:val="single" w:color="000000" w:sz="4" w:space="0"/>
              <w:bottom w:val="single" w:color="000000" w:sz="4" w:space="0"/>
              <w:right w:val="single" w:color="000000" w:sz="4" w:space="0"/>
              <w:tl2br w:val="nil"/>
              <w:tr2bl w:val="nil"/>
            </w:tcBorders>
            <w:noWrap w:val="0"/>
            <w:vAlign w:val="center"/>
          </w:tcPr>
          <w:p w14:paraId="1624D354">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662" w:type="dxa"/>
            <w:tcBorders>
              <w:top w:val="nil"/>
              <w:left w:val="single" w:color="000000" w:sz="4" w:space="0"/>
              <w:bottom w:val="single" w:color="000000" w:sz="4" w:space="0"/>
              <w:right w:val="single" w:color="000000" w:sz="4" w:space="0"/>
              <w:tl2br w:val="nil"/>
              <w:tr2bl w:val="nil"/>
            </w:tcBorders>
            <w:noWrap w:val="0"/>
            <w:vAlign w:val="center"/>
          </w:tcPr>
          <w:p w14:paraId="182D0BD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710" w:type="dxa"/>
            <w:tcBorders>
              <w:top w:val="nil"/>
              <w:left w:val="single" w:color="000000" w:sz="4" w:space="0"/>
              <w:bottom w:val="single" w:color="000000" w:sz="4" w:space="0"/>
              <w:right w:val="single" w:color="000000" w:sz="4" w:space="0"/>
              <w:tl2br w:val="nil"/>
              <w:tr2bl w:val="nil"/>
            </w:tcBorders>
            <w:noWrap w:val="0"/>
            <w:vAlign w:val="center"/>
          </w:tcPr>
          <w:p w14:paraId="4F566D1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C1D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8E1948">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1D78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48B1C">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E2187">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C7E20">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710" w:type="dxa"/>
            <w:tcBorders>
              <w:top w:val="nil"/>
              <w:left w:val="single" w:color="000000" w:sz="4" w:space="0"/>
              <w:bottom w:val="single" w:color="000000" w:sz="4" w:space="0"/>
              <w:right w:val="single" w:color="000000" w:sz="4" w:space="0"/>
              <w:tl2br w:val="nil"/>
              <w:tr2bl w:val="nil"/>
            </w:tcBorders>
            <w:noWrap w:val="0"/>
            <w:vAlign w:val="center"/>
          </w:tcPr>
          <w:p w14:paraId="2DABF01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91E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969BF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7912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98C08">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7C36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F901F">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85FC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645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A0ED9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7E2D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E364E">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F7194">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83CC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5915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662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2ED47F8">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115DD">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90292">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482B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A4D9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B45C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60D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68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D2DA4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CA2B8">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CED59">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C9CA6">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BE18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A2D5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647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68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CA371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D1010">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6560D">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C81F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DD59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59FCA">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9CB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816D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5B63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8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9498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2F7E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50C4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DA7EE">
            <w:pPr>
              <w:widowControl/>
              <w:kinsoku/>
              <w:wordWrap/>
              <w:overflowPunct w:val="0"/>
              <w:bidi w:val="0"/>
              <w:spacing w:beforeLines="0" w:afterLines="0"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月下旬举办“中国农民丰收节”系列活动8个,组织企业、专合社50家以上现场展示展销农特产品，活动参与总人数1万人次以上。通过开展优秀农民评选、庆丰收文艺下乡、农产品展示展销、农商对接等一系列活动，不断提升农民丰收节社会知晓率，增加广大农民的积极性、主动性、创造性，提高农民收入和农民获得感。农产品展销经费5万元，标识标牌制作及分为营造费用3.5万元。</w:t>
            </w:r>
          </w:p>
        </w:tc>
        <w:tc>
          <w:tcPr>
            <w:tcW w:w="48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8C6DE">
            <w:pPr>
              <w:widowControl/>
              <w:kinsoku/>
              <w:wordWrap/>
              <w:overflowPunct w:val="0"/>
              <w:bidi w:val="0"/>
              <w:spacing w:beforeLines="0" w:afterLines="0"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举办“中国农民丰收节”系列活动8个,组织企业、专合社50家以上现场展示展销农特产品，活动参与总人数1万人次以上。通过开展优秀农民评选、庆丰收文艺下乡、农产品展示展销、农商对接等一系列活动，不断提升农民丰收节社会知晓率，增加广大农民的积极性、主动性、创造性，提高农民收入和农民获得感。农产品展销经费5万元，标识标牌制作及分为营造费用3.5万元。</w:t>
            </w:r>
          </w:p>
        </w:tc>
      </w:tr>
      <w:tr w14:paraId="1370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D1103">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p>
          <w:p w14:paraId="7853E5F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1C98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5D1C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42C2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F6A0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BF40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E16F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5DC7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FEB2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2040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2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09EA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0BA710F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5AE7E67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举办庆祝活动个数</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FC395">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8个</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001E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8个</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5A3E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39E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16C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5A3B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BAC2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6D7153E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38E5824F">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农特产品展示展销企业、专合社</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982E5">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50家</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9E0F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50家</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D065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CEC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53C9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E59E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8329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7B9913B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3B154A01">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活动开展次数</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B461C">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5254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11CB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7C4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4E67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44A9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A849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1FAD0D8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043CAA30">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现场参加活动人数</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6C40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1.2万人</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A024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1.2万人</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01FD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EC7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954F3">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9B3BA">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2F39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330A698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786C3E3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圆满完成丰收活动</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D3E7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3DEC5">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D08C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667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7780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DDD7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C960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72BEE3E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34DB0D7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3AA0C">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1DEF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B43D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984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D913A">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DE02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4D5A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399E870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4BF05EEE">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0A07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50万元</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D1E0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50万元</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CF55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C6C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0FAB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0B584">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279" w:type="dxa"/>
            <w:tcBorders>
              <w:top w:val="single" w:color="000000" w:sz="4" w:space="0"/>
              <w:left w:val="single" w:color="000000" w:sz="4" w:space="0"/>
              <w:bottom w:val="nil"/>
              <w:right w:val="single" w:color="000000" w:sz="4" w:space="0"/>
              <w:tl2br w:val="nil"/>
              <w:tr2bl w:val="nil"/>
            </w:tcBorders>
            <w:noWrap w:val="0"/>
            <w:vAlign w:val="center"/>
          </w:tcPr>
          <w:p w14:paraId="29F25ED4">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p>
          <w:p w14:paraId="740D4F0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6455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指标1：带动农户增收</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0843D0">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300元/户</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6EF82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305元/户</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E1AE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C34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B13D1">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3D86705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9"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1CB54D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1055" w:type="dxa"/>
            <w:tcBorders>
              <w:top w:val="single" w:color="000000" w:sz="4" w:space="0"/>
              <w:left w:val="single" w:color="000000" w:sz="4" w:space="0"/>
              <w:bottom w:val="single" w:color="000000" w:sz="4" w:space="0"/>
              <w:right w:val="nil"/>
              <w:tl2br w:val="nil"/>
              <w:tr2bl w:val="nil"/>
            </w:tcBorders>
            <w:noWrap w:val="0"/>
            <w:vAlign w:val="center"/>
          </w:tcPr>
          <w:p w14:paraId="712664B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4A3D8B81">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持续巩固提升昭化产品知名度</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4E61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3-5年</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E044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3-5年</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23E5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ED1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98"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285E409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C7FC5">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p>
          <w:p w14:paraId="0B00CA6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2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D18A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055" w:type="dxa"/>
            <w:tcBorders>
              <w:top w:val="single" w:color="000000" w:sz="4" w:space="0"/>
              <w:left w:val="single" w:color="auto" w:sz="4" w:space="0"/>
              <w:bottom w:val="single" w:color="000000" w:sz="4" w:space="0"/>
              <w:right w:val="nil"/>
              <w:tl2br w:val="nil"/>
              <w:tr2bl w:val="nil"/>
            </w:tcBorders>
            <w:noWrap w:val="0"/>
            <w:vAlign w:val="center"/>
          </w:tcPr>
          <w:p w14:paraId="608C210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67" w:type="dxa"/>
            <w:tcBorders>
              <w:top w:val="single" w:color="000000" w:sz="4" w:space="0"/>
              <w:left w:val="nil"/>
              <w:bottom w:val="single" w:color="000000" w:sz="4" w:space="0"/>
              <w:right w:val="single" w:color="000000" w:sz="4" w:space="0"/>
              <w:tl2br w:val="nil"/>
              <w:tr2bl w:val="nil"/>
            </w:tcBorders>
            <w:noWrap w:val="0"/>
            <w:vAlign w:val="center"/>
          </w:tcPr>
          <w:p w14:paraId="4965E8A5">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农户满意度</w:t>
            </w:r>
          </w:p>
        </w:tc>
        <w:tc>
          <w:tcPr>
            <w:tcW w:w="1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6D2C1">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6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F3CC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A3DE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22BDA98D">
      <w:pPr>
        <w:kinsoku/>
        <w:wordWrap/>
        <w:overflowPunct w:val="0"/>
        <w:bidi w:val="0"/>
        <w:spacing w:beforeLines="0" w:afterLines="0" w:line="576" w:lineRule="exact"/>
        <w:jc w:val="left"/>
        <w:outlineLvl w:val="1"/>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bookmarkStart w:id="20" w:name="_Toc14347"/>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附件3</w:t>
      </w:r>
      <w:bookmarkEnd w:id="20"/>
    </w:p>
    <w:p w14:paraId="00A8E89B">
      <w:pPr>
        <w:kinsoku/>
        <w:wordWrap/>
        <w:overflowPunct w:val="0"/>
        <w:bidi w:val="0"/>
        <w:spacing w:beforeLines="0" w:afterLines="0" w:line="576" w:lineRule="exact"/>
        <w:jc w:val="center"/>
        <w:rPr>
          <w:rFonts w:hint="eastAsia" w:ascii="方正小标宋简体" w:hAnsi="方正小标宋简体" w:eastAsia="方正小标宋简体" w:cs="方正小标宋简体"/>
          <w:b w:val="0"/>
          <w:bCs w:val="0"/>
          <w:color w:val="000000" w:themeColor="text1"/>
          <w:kern w:val="2"/>
          <w:sz w:val="44"/>
          <w:szCs w:val="44"/>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lang w:val="zh-CN"/>
          <w14:textFill>
            <w14:solidFill>
              <w14:schemeClr w14:val="tx1"/>
            </w14:solidFill>
          </w14:textFill>
        </w:rPr>
        <w:t>2023年机改分流人员养老、医疗保险维稳</w:t>
      </w:r>
      <w:r>
        <w:rPr>
          <w:rFonts w:hint="eastAsia" w:ascii="方正小标宋简体" w:hAnsi="方正小标宋简体" w:eastAsia="方正小标宋简体" w:cs="方正小标宋简体"/>
          <w:b w:val="0"/>
          <w:bCs w:val="0"/>
          <w:color w:val="000000" w:themeColor="text1"/>
          <w:kern w:val="2"/>
          <w:sz w:val="44"/>
          <w:szCs w:val="44"/>
          <w14:textFill>
            <w14:solidFill>
              <w14:schemeClr w14:val="tx1"/>
            </w14:solidFill>
          </w14:textFill>
        </w:rPr>
        <w:t>费</w:t>
      </w:r>
      <w:r>
        <w:rPr>
          <w:rFonts w:hint="eastAsia" w:ascii="方正小标宋简体" w:hAnsi="方正小标宋简体" w:eastAsia="方正小标宋简体" w:cs="方正小标宋简体"/>
          <w:b w:val="0"/>
          <w:bCs w:val="0"/>
          <w:color w:val="000000" w:themeColor="text1"/>
          <w:kern w:val="2"/>
          <w:sz w:val="44"/>
          <w:szCs w:val="44"/>
          <w:lang w:val="zh-CN"/>
          <w14:textFill>
            <w14:solidFill>
              <w14:schemeClr w14:val="tx1"/>
            </w14:solidFill>
          </w14:textFill>
        </w:rPr>
        <w:t>专项预算项目绩效评价报告</w:t>
      </w:r>
    </w:p>
    <w:p w14:paraId="2C735EEE">
      <w:pPr>
        <w:kinsoku/>
        <w:wordWrap/>
        <w:overflowPunct w:val="0"/>
        <w:bidi w:val="0"/>
        <w:spacing w:beforeLines="0" w:afterLines="0" w:line="576" w:lineRule="exact"/>
        <w:ind w:firstLine="64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76C0A1E7">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一、</w:t>
      </w:r>
      <w:r>
        <w:rPr>
          <w:rFonts w:hint="default" w:ascii="Times New Roman" w:hAnsi="Times New Roman" w:eastAsia="黑体" w:cs="Times New Roman"/>
          <w:b w:val="0"/>
          <w:bCs w:val="0"/>
          <w:color w:val="000000" w:themeColor="text1"/>
          <w:kern w:val="2"/>
          <w:sz w:val="32"/>
          <w:szCs w:val="24"/>
          <w:lang w:val="zh-CN"/>
          <w14:textFill>
            <w14:solidFill>
              <w14:schemeClr w14:val="tx1"/>
            </w14:solidFill>
          </w14:textFill>
        </w:rPr>
        <w:t>项目概况</w:t>
      </w:r>
    </w:p>
    <w:p w14:paraId="48DA3684">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（一）设立背景及基本情况</w:t>
      </w:r>
    </w:p>
    <w:p w14:paraId="60F11788">
      <w:pPr>
        <w:pStyle w:val="8"/>
        <w:keepNext w:val="0"/>
        <w:keepLines w:val="0"/>
        <w:pageBreakBefore w:val="0"/>
        <w:kinsoku/>
        <w:wordWrap/>
        <w:overflowPunct w:val="0"/>
        <w:topLinePunct w:val="0"/>
        <w:autoSpaceDE w:val="0"/>
        <w:bidi w:val="0"/>
        <w:snapToGrid/>
        <w:spacing w:beforeLines="0" w:after="0" w:afterLines="0" w:line="576"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主要是对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2014年机改分流31人的基本工资及机改人员养老、医疗费用等开展。</w:t>
      </w:r>
    </w:p>
    <w:p w14:paraId="5A67CA18">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w:t>
      </w: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二</w:t>
      </w: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）预算安排及分配管理。</w:t>
      </w:r>
    </w:p>
    <w:p w14:paraId="00D52EBC">
      <w:pPr>
        <w:keepNext w:val="0"/>
        <w:keepLines w:val="0"/>
        <w:pageBreakBefore w:val="0"/>
        <w:widowControl/>
        <w:kinsoku/>
        <w:wordWrap/>
        <w:overflowPunct w:val="0"/>
        <w:topLinePunct w:val="0"/>
        <w:autoSpaceDE w:val="0"/>
        <w:autoSpaceDN/>
        <w:bidi w:val="0"/>
        <w:adjustRightInd/>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2023年预算资金总额60万元。</w:t>
      </w:r>
    </w:p>
    <w:p w14:paraId="2CE3F4D9">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w:t>
      </w: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三</w:t>
      </w: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）项目绩效目标设置。</w:t>
      </w:r>
    </w:p>
    <w:p w14:paraId="50937CC1">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机改分流31人的生活保障，后续保障。</w:t>
      </w:r>
    </w:p>
    <w:p w14:paraId="328540A5">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二、评价实施</w:t>
      </w:r>
    </w:p>
    <w:p w14:paraId="7D45D8A4">
      <w:pPr>
        <w:keepNext w:val="0"/>
        <w:keepLines w:val="0"/>
        <w:pageBreakBefore w:val="0"/>
        <w:kinsoku/>
        <w:wordWrap/>
        <w:overflowPunct w:val="0"/>
        <w:topLinePunct w:val="0"/>
        <w:autoSpaceDE w:val="0"/>
        <w:bidi w:val="0"/>
        <w:snapToGrid/>
        <w:spacing w:beforeLines="0" w:afterLines="0" w:line="576"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（一）评价目的</w:t>
      </w:r>
    </w:p>
    <w:p w14:paraId="49FBB43D">
      <w:pPr>
        <w:pStyle w:val="8"/>
        <w:keepNext w:val="0"/>
        <w:keepLines w:val="0"/>
        <w:pageBreakBefore w:val="0"/>
        <w:kinsoku/>
        <w:wordWrap/>
        <w:overflowPunct w:val="0"/>
        <w:topLinePunct w:val="0"/>
        <w:autoSpaceDE w:val="0"/>
        <w:bidi w:val="0"/>
        <w:snapToGrid/>
        <w:spacing w:beforeLines="0" w:after="0" w:afterLines="0" w:line="576"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对机改分流人员的医疗保障、养老保障。</w:t>
      </w:r>
    </w:p>
    <w:p w14:paraId="1D2ADEE5">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（二）预设问题及评价重点：</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435E4732">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（三）评价选点：</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5EA43DD6">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（四）评价方法：</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78B66E5F">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（五）评价组织：</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57F4F3C4">
      <w:pPr>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三、绩效分析</w:t>
      </w:r>
    </w:p>
    <w:p w14:paraId="6F1BDB7A">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（一）通用指标绩效分析：</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030B9A0F">
      <w:pPr>
        <w:kinsoku/>
        <w:wordWrap/>
        <w:overflowPunct w:val="0"/>
        <w:bidi w:val="0"/>
        <w:spacing w:beforeLines="0" w:afterLines="0"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（二）专用指标绩效分析</w:t>
      </w:r>
    </w:p>
    <w:p w14:paraId="68DFC0E2">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1.产业发展：无</w:t>
      </w:r>
    </w:p>
    <w:p w14:paraId="0953FEF8">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2.民生保障：</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保障</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31人养老、医疗等费用。</w:t>
      </w:r>
    </w:p>
    <w:p w14:paraId="2DDBFDBD">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3.基础设施：无</w:t>
      </w:r>
    </w:p>
    <w:p w14:paraId="27356180">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4.行政运转：无</w:t>
      </w:r>
    </w:p>
    <w:p w14:paraId="0611DBB7">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14:textFill>
            <w14:solidFill>
              <w14:schemeClr w14:val="tx1"/>
            </w14:solidFill>
          </w14:textFill>
        </w:rPr>
        <w:t>（三）个性指标绩效分析：</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413C302A">
      <w:pPr>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四、评价结论</w:t>
      </w:r>
    </w:p>
    <w:p w14:paraId="76C65FD4">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完成2023年养老、医疗维稳工作经费解决范子华等人的基本工资及机改人员养老、医疗费用。并随着工资标准年增长而增加，重点是维护社会稳定，让范子华等机改人员保险及时交纳。</w:t>
      </w:r>
    </w:p>
    <w:p w14:paraId="098DD4A3">
      <w:pPr>
        <w:keepNext/>
        <w:keepLines/>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lang w:val="zh-CN"/>
          <w14:textFill>
            <w14:solidFill>
              <w14:schemeClr w14:val="tx1"/>
            </w14:solidFill>
          </w14:textFill>
        </w:rPr>
        <w:t>五、存在主要问题：</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76F1B64A">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lang w:val="zh-CN"/>
          <w14:textFill>
            <w14:solidFill>
              <w14:schemeClr w14:val="tx1"/>
            </w14:solidFill>
          </w14:textFill>
        </w:rPr>
        <w:t>六、改进建议：</w:t>
      </w:r>
      <w:r>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t>无</w:t>
      </w:r>
    </w:p>
    <w:p w14:paraId="75854822">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04DA0A2">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0AD93AC5">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0B728A78">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2C2904F6">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248EBE3E">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712027D">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tbl>
      <w:tblPr>
        <w:tblStyle w:val="14"/>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4"/>
        <w:gridCol w:w="1115"/>
        <w:gridCol w:w="1114"/>
        <w:gridCol w:w="1119"/>
        <w:gridCol w:w="1114"/>
        <w:gridCol w:w="1118"/>
        <w:gridCol w:w="1216"/>
        <w:gridCol w:w="1290"/>
      </w:tblGrid>
      <w:tr w14:paraId="64AF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9200" w:type="dxa"/>
            <w:gridSpan w:val="8"/>
            <w:tcBorders>
              <w:top w:val="nil"/>
              <w:left w:val="nil"/>
              <w:bottom w:val="nil"/>
              <w:right w:val="nil"/>
              <w:tl2br w:val="nil"/>
              <w:tr2bl w:val="nil"/>
            </w:tcBorders>
            <w:noWrap w:val="0"/>
            <w:vAlign w:val="center"/>
          </w:tcPr>
          <w:p w14:paraId="0F3DF07A">
            <w:pPr>
              <w:widowControl/>
              <w:kinsoku/>
              <w:wordWrap/>
              <w:overflowPunct w:val="0"/>
              <w:bidi w:val="0"/>
              <w:spacing w:beforeLines="0" w:afterLines="0"/>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31FC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200" w:type="dxa"/>
            <w:gridSpan w:val="8"/>
            <w:tcBorders>
              <w:top w:val="nil"/>
              <w:left w:val="nil"/>
              <w:bottom w:val="nil"/>
              <w:right w:val="nil"/>
              <w:tl2br w:val="nil"/>
              <w:tr2bl w:val="nil"/>
            </w:tcBorders>
            <w:noWrap w:val="0"/>
            <w:vAlign w:val="top"/>
          </w:tcPr>
          <w:p w14:paraId="0B2BDA0E">
            <w:pPr>
              <w:widowControl/>
              <w:kinsoku/>
              <w:wordWrap/>
              <w:overflowPunct w:val="0"/>
              <w:bidi w:val="0"/>
              <w:spacing w:beforeLines="0" w:afterLines="0"/>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EED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2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2834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697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C1BA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2023年机改分流人员养老、医疗保险维稳费</w:t>
            </w:r>
          </w:p>
        </w:tc>
      </w:tr>
      <w:tr w14:paraId="1472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22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5E189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7FEF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177F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0FFB05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75FC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22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63B505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33" w:type="dxa"/>
            <w:gridSpan w:val="2"/>
            <w:tcBorders>
              <w:top w:val="nil"/>
              <w:left w:val="single" w:color="000000" w:sz="4" w:space="0"/>
              <w:bottom w:val="single" w:color="000000" w:sz="4" w:space="0"/>
              <w:right w:val="single" w:color="000000" w:sz="4" w:space="0"/>
              <w:tl2br w:val="nil"/>
              <w:tr2bl w:val="nil"/>
            </w:tcBorders>
            <w:noWrap w:val="0"/>
            <w:vAlign w:val="center"/>
          </w:tcPr>
          <w:p w14:paraId="738CB28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114" w:type="dxa"/>
            <w:tcBorders>
              <w:top w:val="nil"/>
              <w:left w:val="single" w:color="000000" w:sz="4" w:space="0"/>
              <w:bottom w:val="single" w:color="000000" w:sz="4" w:space="0"/>
              <w:right w:val="single" w:color="000000" w:sz="4" w:space="0"/>
              <w:tl2br w:val="nil"/>
              <w:tr2bl w:val="nil"/>
            </w:tcBorders>
            <w:noWrap w:val="0"/>
            <w:vAlign w:val="center"/>
          </w:tcPr>
          <w:p w14:paraId="0DDB9C8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118" w:type="dxa"/>
            <w:tcBorders>
              <w:top w:val="nil"/>
              <w:left w:val="single" w:color="000000" w:sz="4" w:space="0"/>
              <w:bottom w:val="single" w:color="000000" w:sz="4" w:space="0"/>
              <w:right w:val="single" w:color="000000" w:sz="4" w:space="0"/>
              <w:tl2br w:val="nil"/>
              <w:tr2bl w:val="nil"/>
            </w:tcBorders>
            <w:noWrap w:val="0"/>
            <w:vAlign w:val="center"/>
          </w:tcPr>
          <w:p w14:paraId="50B359D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216" w:type="dxa"/>
            <w:tcBorders>
              <w:top w:val="nil"/>
              <w:left w:val="single" w:color="000000" w:sz="4" w:space="0"/>
              <w:bottom w:val="single" w:color="000000" w:sz="4" w:space="0"/>
              <w:right w:val="single" w:color="000000" w:sz="4" w:space="0"/>
              <w:tl2br w:val="nil"/>
              <w:tr2bl w:val="nil"/>
            </w:tcBorders>
            <w:noWrap w:val="0"/>
            <w:vAlign w:val="center"/>
          </w:tcPr>
          <w:p w14:paraId="1810112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90" w:type="dxa"/>
            <w:tcBorders>
              <w:top w:val="nil"/>
              <w:left w:val="single" w:color="000000" w:sz="4" w:space="0"/>
              <w:bottom w:val="single" w:color="000000" w:sz="4" w:space="0"/>
              <w:right w:val="single" w:color="000000" w:sz="4" w:space="0"/>
              <w:tl2br w:val="nil"/>
              <w:tr2bl w:val="nil"/>
            </w:tcBorders>
            <w:noWrap w:val="0"/>
            <w:vAlign w:val="center"/>
          </w:tcPr>
          <w:p w14:paraId="0383BE7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6B08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22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2ECF8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1FDC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E83E6">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B1E95">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9722C">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290" w:type="dxa"/>
            <w:tcBorders>
              <w:top w:val="nil"/>
              <w:left w:val="single" w:color="000000" w:sz="4" w:space="0"/>
              <w:bottom w:val="single" w:color="000000" w:sz="4" w:space="0"/>
              <w:right w:val="single" w:color="000000" w:sz="4" w:space="0"/>
              <w:tl2br w:val="nil"/>
              <w:tr2bl w:val="nil"/>
            </w:tcBorders>
            <w:noWrap w:val="0"/>
            <w:vAlign w:val="center"/>
          </w:tcPr>
          <w:p w14:paraId="26CD448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8B6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22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5727E8">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4333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C7E9F">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7BDF4">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5EC6B">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1C01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B05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22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2F404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8F86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68CFC">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8F0EE">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88BF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1130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21F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22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1D4C4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9E4E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6203F">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D683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801A8">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0782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9F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22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95836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A31FC">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2D374">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1511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D0E41">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E2D73">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394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22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16840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CD54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C5C9B">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FA98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9D79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5C6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ACD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1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6F39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46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ABD3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62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980C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694B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1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57CF3">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46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26387">
            <w:pPr>
              <w:widowControl/>
              <w:kinsoku/>
              <w:wordWrap/>
              <w:overflowPunct w:val="0"/>
              <w:bidi w:val="0"/>
              <w:spacing w:beforeLines="0" w:after="18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2023年养老、医疗维稳工作经费解决范子华等人的基本工资及机改人员养老、医疗费用。并随着工资标准年增长而增加，重点是维护社会稳定，让范子华等机改人员保险及时交纳。</w:t>
            </w:r>
          </w:p>
        </w:tc>
        <w:tc>
          <w:tcPr>
            <w:tcW w:w="362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FC0B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完成2023年养老、医疗维稳工作经费解决范子华等人的基本工资及机改人员养老、医疗费用。并随着工资标准年增长而增加，重点是维护社会稳定，让范子华等机改人员保险及时交纳。</w:t>
            </w:r>
          </w:p>
        </w:tc>
      </w:tr>
      <w:tr w14:paraId="5BCD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1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76010">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p>
          <w:p w14:paraId="7E5DEC5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824C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F829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61FD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D1AB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6816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2FCE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61E3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05CB6">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986A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596A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19" w:type="dxa"/>
            <w:tcBorders>
              <w:top w:val="single" w:color="000000" w:sz="4" w:space="0"/>
              <w:left w:val="single" w:color="000000" w:sz="4" w:space="0"/>
              <w:bottom w:val="single" w:color="000000" w:sz="4" w:space="0"/>
              <w:right w:val="nil"/>
              <w:tl2br w:val="nil"/>
              <w:tr2bl w:val="nil"/>
            </w:tcBorders>
            <w:noWrap w:val="0"/>
            <w:vAlign w:val="center"/>
          </w:tcPr>
          <w:p w14:paraId="1E1CE6D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14" w:type="dxa"/>
            <w:tcBorders>
              <w:top w:val="single" w:color="000000" w:sz="4" w:space="0"/>
              <w:left w:val="nil"/>
              <w:bottom w:val="single" w:color="000000" w:sz="4" w:space="0"/>
              <w:right w:val="single" w:color="000000" w:sz="4" w:space="0"/>
              <w:tl2br w:val="nil"/>
              <w:tr2bl w:val="nil"/>
            </w:tcBorders>
            <w:noWrap w:val="0"/>
            <w:vAlign w:val="center"/>
          </w:tcPr>
          <w:p w14:paraId="2D0179F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机改人员</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DB91C">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32人</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111C8">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32人</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8A66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8DB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1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E978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350D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FA52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19" w:type="dxa"/>
            <w:tcBorders>
              <w:top w:val="single" w:color="000000" w:sz="4" w:space="0"/>
              <w:left w:val="single" w:color="000000" w:sz="4" w:space="0"/>
              <w:bottom w:val="single" w:color="000000" w:sz="4" w:space="0"/>
              <w:right w:val="nil"/>
              <w:tl2br w:val="nil"/>
              <w:tr2bl w:val="nil"/>
            </w:tcBorders>
            <w:noWrap w:val="0"/>
            <w:vAlign w:val="center"/>
          </w:tcPr>
          <w:p w14:paraId="4EE45A2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14" w:type="dxa"/>
            <w:tcBorders>
              <w:top w:val="single" w:color="000000" w:sz="4" w:space="0"/>
              <w:left w:val="nil"/>
              <w:bottom w:val="single" w:color="000000" w:sz="4" w:space="0"/>
              <w:right w:val="single" w:color="000000" w:sz="4" w:space="0"/>
              <w:tl2br w:val="nil"/>
              <w:tr2bl w:val="nil"/>
            </w:tcBorders>
            <w:noWrap w:val="0"/>
            <w:vAlign w:val="center"/>
          </w:tcPr>
          <w:p w14:paraId="4FE5A57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信访时间发生率</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C50DB">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3C6B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8AF8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107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E809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D6871">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628A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19" w:type="dxa"/>
            <w:tcBorders>
              <w:top w:val="single" w:color="000000" w:sz="4" w:space="0"/>
              <w:left w:val="single" w:color="000000" w:sz="4" w:space="0"/>
              <w:bottom w:val="single" w:color="000000" w:sz="4" w:space="0"/>
              <w:right w:val="nil"/>
              <w:tl2br w:val="nil"/>
              <w:tr2bl w:val="nil"/>
            </w:tcBorders>
            <w:noWrap w:val="0"/>
            <w:vAlign w:val="center"/>
          </w:tcPr>
          <w:p w14:paraId="45F8D8A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14" w:type="dxa"/>
            <w:tcBorders>
              <w:top w:val="single" w:color="000000" w:sz="4" w:space="0"/>
              <w:left w:val="nil"/>
              <w:bottom w:val="single" w:color="000000" w:sz="4" w:space="0"/>
              <w:right w:val="single" w:color="000000" w:sz="4" w:space="0"/>
              <w:tl2br w:val="nil"/>
              <w:tr2bl w:val="nil"/>
            </w:tcBorders>
            <w:noWrap w:val="0"/>
            <w:vAlign w:val="center"/>
          </w:tcPr>
          <w:p w14:paraId="2009BFD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5D68E">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66D4A">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AB7A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5D4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1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386F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C2A1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B435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19" w:type="dxa"/>
            <w:tcBorders>
              <w:top w:val="single" w:color="000000" w:sz="4" w:space="0"/>
              <w:left w:val="single" w:color="000000" w:sz="4" w:space="0"/>
              <w:bottom w:val="single" w:color="000000" w:sz="4" w:space="0"/>
              <w:right w:val="nil"/>
              <w:tl2br w:val="nil"/>
              <w:tr2bl w:val="nil"/>
            </w:tcBorders>
            <w:noWrap w:val="0"/>
            <w:vAlign w:val="center"/>
          </w:tcPr>
          <w:p w14:paraId="46A0EF4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14" w:type="dxa"/>
            <w:tcBorders>
              <w:top w:val="single" w:color="000000" w:sz="4" w:space="0"/>
              <w:left w:val="nil"/>
              <w:bottom w:val="single" w:color="000000" w:sz="4" w:space="0"/>
              <w:right w:val="single" w:color="000000" w:sz="4" w:space="0"/>
              <w:tl2br w:val="nil"/>
              <w:tr2bl w:val="nil"/>
            </w:tcBorders>
            <w:noWrap w:val="0"/>
            <w:vAlign w:val="center"/>
          </w:tcPr>
          <w:p w14:paraId="4B2F654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CD7E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60万元</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23BB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60万元</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0665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B37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1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D463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5"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77666DB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713D95D1">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p>
          <w:p w14:paraId="66D52EB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19" w:type="dxa"/>
            <w:tcBorders>
              <w:top w:val="single" w:color="000000" w:sz="4" w:space="0"/>
              <w:left w:val="single" w:color="000000" w:sz="4" w:space="0"/>
              <w:bottom w:val="single" w:color="000000" w:sz="4" w:space="0"/>
              <w:right w:val="nil"/>
              <w:tl2br w:val="nil"/>
              <w:tr2bl w:val="nil"/>
            </w:tcBorders>
            <w:noWrap w:val="0"/>
            <w:vAlign w:val="center"/>
          </w:tcPr>
          <w:p w14:paraId="2D94F03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14" w:type="dxa"/>
            <w:tcBorders>
              <w:top w:val="single" w:color="000000" w:sz="4" w:space="0"/>
              <w:left w:val="nil"/>
              <w:bottom w:val="single" w:color="000000" w:sz="4" w:space="0"/>
              <w:right w:val="single" w:color="000000" w:sz="4" w:space="0"/>
              <w:tl2br w:val="nil"/>
              <w:tr2bl w:val="nil"/>
            </w:tcBorders>
            <w:noWrap w:val="0"/>
            <w:vAlign w:val="center"/>
          </w:tcPr>
          <w:p w14:paraId="4CBE0C1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机改人员生活保障稳定</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4C18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逐步稳定</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0AC7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稳定</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B198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872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114"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1A4BF33">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7AAAF">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p>
          <w:p w14:paraId="19B0284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F2EC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19" w:type="dxa"/>
            <w:tcBorders>
              <w:top w:val="single" w:color="000000" w:sz="4" w:space="0"/>
              <w:left w:val="single" w:color="auto" w:sz="4" w:space="0"/>
              <w:bottom w:val="single" w:color="000000" w:sz="4" w:space="0"/>
              <w:right w:val="nil"/>
              <w:tl2br w:val="nil"/>
              <w:tr2bl w:val="nil"/>
            </w:tcBorders>
            <w:noWrap w:val="0"/>
            <w:vAlign w:val="center"/>
          </w:tcPr>
          <w:p w14:paraId="084D23C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14" w:type="dxa"/>
            <w:tcBorders>
              <w:top w:val="single" w:color="000000" w:sz="4" w:space="0"/>
              <w:left w:val="nil"/>
              <w:bottom w:val="single" w:color="000000" w:sz="4" w:space="0"/>
              <w:right w:val="single" w:color="000000" w:sz="4" w:space="0"/>
              <w:tl2br w:val="nil"/>
              <w:tr2bl w:val="nil"/>
            </w:tcBorders>
            <w:noWrap w:val="0"/>
            <w:vAlign w:val="center"/>
          </w:tcPr>
          <w:p w14:paraId="7257621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机改人员满意度</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8F274">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EB45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64E5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2B4B5E79">
      <w:pPr>
        <w:pStyle w:val="8"/>
        <w:kinsoku/>
        <w:wordWrap/>
        <w:overflowPunct w:val="0"/>
        <w:bidi w:val="0"/>
        <w:spacing w:beforeLines="0" w:afterLines="0"/>
        <w:rPr>
          <w:rFonts w:hint="default" w:ascii="Times New Roman" w:hAnsi="Times New Roman" w:cs="Times New Roman"/>
          <w:b w:val="0"/>
          <w:bCs w:val="0"/>
          <w:color w:val="000000" w:themeColor="text1"/>
          <w:kern w:val="44"/>
          <w:sz w:val="44"/>
          <w:szCs w:val="24"/>
          <w14:textFill>
            <w14:solidFill>
              <w14:schemeClr w14:val="tx1"/>
            </w14:solidFill>
          </w14:textFill>
        </w:rPr>
        <w:sectPr>
          <w:pgSz w:w="12240" w:h="15840"/>
          <w:pgMar w:top="2098" w:right="1474" w:bottom="1984" w:left="1587" w:header="850" w:footer="1559" w:gutter="0"/>
          <w:lnNumType w:countBy="0" w:distance="360"/>
          <w:cols w:space="720" w:num="1"/>
        </w:sectPr>
      </w:pPr>
    </w:p>
    <w:p w14:paraId="6EDE8100">
      <w:pPr>
        <w:kinsoku/>
        <w:wordWrap/>
        <w:overflowPunct w:val="0"/>
        <w:bidi w:val="0"/>
        <w:spacing w:beforeLines="0" w:afterLines="0" w:line="580" w:lineRule="exact"/>
        <w:jc w:val="both"/>
        <w:outlineLvl w:val="1"/>
        <w:rPr>
          <w:rFonts w:hint="eastAsia" w:ascii="黑体" w:hAnsi="黑体" w:eastAsia="黑体" w:cs="黑体"/>
          <w:b w:val="0"/>
          <w:bCs w:val="0"/>
          <w:color w:val="000000" w:themeColor="text1"/>
          <w:kern w:val="2"/>
          <w:sz w:val="32"/>
          <w:szCs w:val="32"/>
          <w:lang w:val="en-US" w:eastAsia="zh-CN"/>
          <w14:textFill>
            <w14:solidFill>
              <w14:schemeClr w14:val="tx1"/>
            </w14:solidFill>
          </w14:textFill>
        </w:rPr>
      </w:pPr>
      <w:bookmarkStart w:id="21" w:name="_Toc2987"/>
      <w:r>
        <w:rPr>
          <w:rFonts w:hint="eastAsia" w:ascii="黑体" w:hAnsi="黑体" w:eastAsia="黑体" w:cs="黑体"/>
          <w:b w:val="0"/>
          <w:bCs w:val="0"/>
          <w:color w:val="000000" w:themeColor="text1"/>
          <w:kern w:val="2"/>
          <w:sz w:val="32"/>
          <w:szCs w:val="32"/>
          <w:lang w:val="en-US" w:eastAsia="zh-CN"/>
          <w14:textFill>
            <w14:solidFill>
              <w14:schemeClr w14:val="tx1"/>
            </w14:solidFill>
          </w14:textFill>
        </w:rPr>
        <w:t>附件4</w:t>
      </w:r>
      <w:bookmarkEnd w:id="21"/>
    </w:p>
    <w:p w14:paraId="3E59072D">
      <w:pPr>
        <w:kinsoku/>
        <w:wordWrap/>
        <w:overflowPunct w:val="0"/>
        <w:bidi w:val="0"/>
        <w:spacing w:beforeLines="0" w:afterLines="0" w:line="580" w:lineRule="exact"/>
        <w:jc w:val="cente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t>2023年政策性农业保险本级配套专项预算项目</w:t>
      </w:r>
    </w:p>
    <w:p w14:paraId="70E37FF7">
      <w:pPr>
        <w:kinsoku/>
        <w:wordWrap/>
        <w:overflowPunct w:val="0"/>
        <w:bidi w:val="0"/>
        <w:spacing w:beforeLines="0" w:afterLines="0" w:line="580" w:lineRule="exact"/>
        <w:jc w:val="cente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zh-CN"/>
          <w14:textFill>
            <w14:solidFill>
              <w14:schemeClr w14:val="tx1"/>
            </w14:solidFill>
          </w14:textFill>
        </w:rPr>
        <w:t>绩效评价报告</w:t>
      </w:r>
    </w:p>
    <w:p w14:paraId="259FCF50">
      <w:pPr>
        <w:kinsoku/>
        <w:wordWrap/>
        <w:overflowPunct w:val="0"/>
        <w:bidi w:val="0"/>
        <w:spacing w:beforeLines="0" w:afterLines="0" w:line="576" w:lineRule="exact"/>
        <w:ind w:firstLine="64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2677B63A">
      <w:pPr>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一、</w:t>
      </w:r>
      <w:r>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t>项目概况</w:t>
      </w:r>
    </w:p>
    <w:p w14:paraId="44B54931">
      <w:pPr>
        <w:kinsoku/>
        <w:wordWrap/>
        <w:overflowPunct w:val="0"/>
        <w:bidi w:val="0"/>
        <w:spacing w:beforeLines="0" w:afterLines="0" w:line="576" w:lineRule="exact"/>
        <w:ind w:firstLine="640" w:firstLineChars="200"/>
        <w:jc w:val="both"/>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（一）设立背景及基本情况</w:t>
      </w:r>
    </w:p>
    <w:p w14:paraId="0EC073F0">
      <w:pPr>
        <w:kinsoku/>
        <w:wordWrap/>
        <w:overflowPunct w:val="0"/>
        <w:autoSpaceDE/>
        <w:autoSpaceDN/>
        <w:bidi w:val="0"/>
        <w:adjustRightInd/>
        <w:spacing w:beforeLines="0" w:afterLines="0" w:line="576" w:lineRule="exact"/>
        <w:ind w:firstLine="608" w:firstLineChars="200"/>
        <w:jc w:val="both"/>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pPr>
      <w:r>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t>该项目在区委、区人民政府的领导下，在区财政局、区农业农村局、镇人民政府以及村委会的大力宣传。圆满完成了育肥猪保险覆盖率大于（等于）35%以上，三大粮食作物投保面积覆盖率大于（等于）69%，农业保险综合费用率小于20%，参保农户满意度大于80%以上。</w:t>
      </w:r>
    </w:p>
    <w:p w14:paraId="18685DC8">
      <w:pPr>
        <w:kinsoku/>
        <w:wordWrap/>
        <w:overflowPunct w:val="0"/>
        <w:bidi w:val="0"/>
        <w:spacing w:beforeLines="0" w:afterLines="0" w:line="576" w:lineRule="exact"/>
        <w:ind w:firstLine="640" w:firstLineChars="200"/>
        <w:jc w:val="both"/>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w:t>
      </w: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二</w:t>
      </w: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）预算安排及分配管理。</w:t>
      </w:r>
    </w:p>
    <w:p w14:paraId="73CA1983">
      <w:pPr>
        <w:kinsoku/>
        <w:wordWrap/>
        <w:overflowPunct w:val="0"/>
        <w:autoSpaceDN/>
        <w:bidi w:val="0"/>
        <w:adjustRightInd/>
        <w:spacing w:beforeLines="0" w:afterLines="0" w:line="576" w:lineRule="exact"/>
        <w:ind w:firstLine="640" w:firstLineChars="200"/>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2023年预算资金总额735.5万元。</w:t>
      </w:r>
    </w:p>
    <w:p w14:paraId="7EBD6BCE">
      <w:pPr>
        <w:kinsoku/>
        <w:wordWrap/>
        <w:overflowPunct w:val="0"/>
        <w:bidi w:val="0"/>
        <w:spacing w:beforeLines="0" w:afterLines="0" w:line="576" w:lineRule="exact"/>
        <w:ind w:firstLine="640" w:firstLineChars="200"/>
        <w:jc w:val="both"/>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w:t>
      </w: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三</w:t>
      </w: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）项目绩效目标设置。</w:t>
      </w:r>
    </w:p>
    <w:p w14:paraId="4BECF9FB">
      <w:pPr>
        <w:kinsoku/>
        <w:wordWrap/>
        <w:overflowPunct w:val="0"/>
        <w:bidi w:val="0"/>
        <w:spacing w:beforeLines="0" w:afterLines="0" w:line="576" w:lineRule="exact"/>
        <w:ind w:firstLine="636"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1"/>
          <w:sz w:val="32"/>
          <w:szCs w:val="32"/>
          <w14:textFill>
            <w14:solidFill>
              <w14:schemeClr w14:val="tx1"/>
            </w14:solidFill>
          </w14:textFill>
        </w:rPr>
        <w:t>根据2023年预算编制要求，绩效评估本着</w:t>
      </w:r>
      <w:r>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t>厉行节约，</w:t>
      </w:r>
      <w:r>
        <w:rPr>
          <w:rFonts w:hint="default" w:ascii="Times New Roman" w:hAnsi="Times New Roman" w:eastAsia="仿宋_GB2312" w:cs="Times New Roman"/>
          <w:b w:val="0"/>
          <w:bCs w:val="0"/>
          <w:color w:val="000000" w:themeColor="text1"/>
          <w:spacing w:val="-1"/>
          <w:sz w:val="32"/>
          <w:szCs w:val="32"/>
          <w14:textFill>
            <w14:solidFill>
              <w14:schemeClr w14:val="tx1"/>
            </w14:solidFill>
          </w14:textFill>
        </w:rPr>
        <w:t>过紧日子</w:t>
      </w:r>
      <w:r>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t>的原则，严格控制项目申报和预算安排，对非必要项目和工作内容可压尽压、应压尽压，确保纳入预算的项目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客观、绩效好、精准。</w:t>
      </w:r>
      <w:r>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t>通过事前绩效评估将绩效管理关口前移，为项目设立和预算安排提供重要参考依据，提高预算编制科学性、合理性， 优化财政支出结构，从源头上防控财政资源配置的低效无效，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提高财政资源配置效率和财政资金使用效益。</w:t>
      </w:r>
    </w:p>
    <w:p w14:paraId="1074C57E">
      <w:pPr>
        <w:keepNext/>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二、评价实施</w:t>
      </w:r>
    </w:p>
    <w:p w14:paraId="2DF42F41">
      <w:pPr>
        <w:kinsoku/>
        <w:wordWrap/>
        <w:overflowPunct w:val="0"/>
        <w:bidi w:val="0"/>
        <w:spacing w:beforeLines="0" w:afterLines="0" w:line="576" w:lineRule="exact"/>
        <w:ind w:firstLine="640" w:firstLineChars="200"/>
        <w:jc w:val="both"/>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（一）评价目的</w:t>
      </w:r>
    </w:p>
    <w:p w14:paraId="7EAC72DB">
      <w:pPr>
        <w:kinsoku/>
        <w:wordWrap/>
        <w:overflowPunct w:val="0"/>
        <w:bidi w:val="0"/>
        <w:spacing w:beforeLines="0" w:afterLines="0" w:line="576" w:lineRule="exact"/>
        <w:ind w:firstLine="608" w:firstLineChars="200"/>
        <w:jc w:val="both"/>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pPr>
      <w:r>
        <w:rPr>
          <w:rFonts w:hint="default" w:ascii="Times New Roman" w:hAnsi="Times New Roman" w:eastAsia="仿宋_GB2312" w:cs="Times New Roman"/>
          <w:b w:val="0"/>
          <w:bCs w:val="0"/>
          <w:color w:val="000000" w:themeColor="text1"/>
          <w:w w:val="95"/>
          <w:sz w:val="32"/>
          <w:szCs w:val="32"/>
          <w:lang w:val="zh-CN"/>
          <w14:textFill>
            <w14:solidFill>
              <w14:schemeClr w14:val="tx1"/>
            </w14:solidFill>
          </w14:textFill>
        </w:rPr>
        <w:t>完成</w:t>
      </w:r>
      <w:r>
        <w:rPr>
          <w:rFonts w:hint="default" w:ascii="Times New Roman" w:hAnsi="Times New Roman" w:eastAsia="仿宋_GB2312" w:cs="Times New Roman"/>
          <w:b w:val="0"/>
          <w:bCs w:val="0"/>
          <w:color w:val="000000" w:themeColor="text1"/>
          <w:w w:val="95"/>
          <w:sz w:val="32"/>
          <w:szCs w:val="32"/>
          <w14:textFill>
            <w14:solidFill>
              <w14:schemeClr w14:val="tx1"/>
            </w14:solidFill>
          </w14:textFill>
        </w:rPr>
        <w:t>育肥猪保险覆盖率大于（等于）35%，三大粮食作物投保面积覆盖率大于69%，农业保险综合费用率小于20%，参保农户满意度大于80%以上。</w:t>
      </w:r>
    </w:p>
    <w:p w14:paraId="29473B47">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（二）预设问题及评价重点：</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20DEAFCF">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（三）评价选点：</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310AF5C7">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（四）评价方法：</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采取实地调研、统计数据等方式开展评价。</w:t>
      </w:r>
    </w:p>
    <w:p w14:paraId="45ED8ACA">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（五）评价组织：</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保险公司、区农业农村局、相关镇村组织人员参加评价。</w:t>
      </w:r>
    </w:p>
    <w:p w14:paraId="0DB0D5F2">
      <w:pPr>
        <w:keepNext/>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三、绩效分析</w:t>
      </w:r>
    </w:p>
    <w:p w14:paraId="717EFCA3">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（一）通用指标绩效分析：</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144CE3BE">
      <w:pPr>
        <w:kinsoku/>
        <w:wordWrap/>
        <w:overflowPunct w:val="0"/>
        <w:bidi w:val="0"/>
        <w:spacing w:beforeLines="0" w:afterLines="0" w:line="576" w:lineRule="exact"/>
        <w:ind w:firstLine="640" w:firstLineChars="200"/>
        <w:jc w:val="both"/>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（二）专用指标绩效分析</w:t>
      </w:r>
    </w:p>
    <w:p w14:paraId="3DEC60E1">
      <w:pPr>
        <w:kinsoku/>
        <w:wordWrap/>
        <w:overflowPunct w:val="0"/>
        <w:autoSpaceDE/>
        <w:autoSpaceDN/>
        <w:bidi w:val="0"/>
        <w:adjustRightInd/>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sz w:val="32"/>
          <w:szCs w:val="32"/>
          <w:u w:val="singl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1.产业发展：</w:t>
      </w: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完成</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育肥猪保险覆盖率大于（等于）35%，三大粮食作物投保面积覆盖率大于69%，农业保险综合费用率小于20%，参保农户满意度大于80%以上。</w:t>
      </w:r>
    </w:p>
    <w:p w14:paraId="6E80E87A">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2.民生保障：</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种植粮食、养殖育肥猪得到应有的保障。</w:t>
      </w:r>
    </w:p>
    <w:p w14:paraId="1347AD97">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3.基础设施：无</w:t>
      </w:r>
    </w:p>
    <w:p w14:paraId="3AC16408">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4.行政运转：无</w:t>
      </w:r>
    </w:p>
    <w:p w14:paraId="6103B43F">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zh-CN"/>
          <w14:textFill>
            <w14:solidFill>
              <w14:schemeClr w14:val="tx1"/>
            </w14:solidFill>
          </w14:textFill>
        </w:rPr>
        <w:t>（三）个性指标绩效分析：</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72CD7FFA">
      <w:pPr>
        <w:keepNext/>
        <w:kinsoku/>
        <w:wordWrap/>
        <w:overflowPunct w:val="0"/>
        <w:bidi w:val="0"/>
        <w:spacing w:beforeLines="0" w:afterLines="0" w:line="576" w:lineRule="exact"/>
        <w:ind w:firstLine="640" w:firstLineChars="200"/>
        <w:jc w:val="both"/>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四、评价结论</w:t>
      </w:r>
    </w:p>
    <w:p w14:paraId="410C39DE">
      <w:pPr>
        <w:kinsoku/>
        <w:wordWrap/>
        <w:overflowPunct w:val="0"/>
        <w:autoSpaceDE/>
        <w:autoSpaceDN/>
        <w:bidi w:val="0"/>
        <w:snapToGrid w:val="0"/>
        <w:spacing w:beforeLines="0" w:afterLines="0" w:line="576" w:lineRule="exact"/>
        <w:ind w:firstLine="640" w:firstLineChars="200"/>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zh-CN"/>
          <w14:textFill>
            <w14:solidFill>
              <w14:schemeClr w14:val="tx1"/>
            </w14:solidFill>
          </w14:textFill>
        </w:rPr>
        <w:t>实施该项目，给种养农户带来了一定的经济保障，在出现风险的情况下，降低一定的损失，让农户在种养上增加积极性。</w:t>
      </w:r>
    </w:p>
    <w:p w14:paraId="04FBC8C8">
      <w:pPr>
        <w:keepNext/>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t>五、存在主要问题：</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2F57FAF8">
      <w:pPr>
        <w:kinsoku/>
        <w:wordWrap/>
        <w:overflowPunct w:val="0"/>
        <w:bidi w:val="0"/>
        <w:spacing w:beforeLines="0" w:afterLines="0" w:line="576" w:lineRule="exact"/>
        <w:ind w:firstLine="640" w:firstLineChars="200"/>
        <w:jc w:val="both"/>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zh-CN"/>
          <w14:textFill>
            <w14:solidFill>
              <w14:schemeClr w14:val="tx1"/>
            </w14:solidFill>
          </w14:textFill>
        </w:rPr>
        <w:t>六、改进建议：</w:t>
      </w:r>
      <w:r>
        <w:rPr>
          <w:rFonts w:hint="default" w:ascii="Times New Roman" w:hAnsi="Times New Roman" w:eastAsia="仿宋_GB2312" w:cs="Times New Roman"/>
          <w:b w:val="0"/>
          <w:bCs w:val="0"/>
          <w:color w:val="000000" w:themeColor="text1"/>
          <w:kern w:val="2"/>
          <w:sz w:val="32"/>
          <w:szCs w:val="32"/>
          <w:lang w:val="zh-CN"/>
          <w14:textFill>
            <w14:solidFill>
              <w14:schemeClr w14:val="tx1"/>
            </w14:solidFill>
          </w14:textFill>
        </w:rPr>
        <w:t>无</w:t>
      </w:r>
    </w:p>
    <w:p w14:paraId="18B79011">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DD50850">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596B5D3E">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7C572F57">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642B09BA">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5E076247">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0FBC58E4">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13FD75EE">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40C0C8AB">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2135EC13">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5A624463">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39EA9BEB">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16256BBC">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090C28B9">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p w14:paraId="2C819BA4">
      <w:pPr>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lang w:val="zh-CN"/>
          <w14:textFill>
            <w14:solidFill>
              <w14:schemeClr w14:val="tx1"/>
            </w14:solidFill>
          </w14:textFill>
        </w:rPr>
      </w:pPr>
    </w:p>
    <w:tbl>
      <w:tblPr>
        <w:tblStyle w:val="14"/>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1"/>
        <w:gridCol w:w="1072"/>
        <w:gridCol w:w="1162"/>
        <w:gridCol w:w="990"/>
        <w:gridCol w:w="1100"/>
        <w:gridCol w:w="1099"/>
        <w:gridCol w:w="1347"/>
        <w:gridCol w:w="1519"/>
      </w:tblGrid>
      <w:tr w14:paraId="300A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360" w:type="dxa"/>
            <w:gridSpan w:val="8"/>
            <w:tcBorders>
              <w:top w:val="nil"/>
              <w:left w:val="nil"/>
              <w:bottom w:val="nil"/>
              <w:right w:val="nil"/>
              <w:tl2br w:val="nil"/>
              <w:tr2bl w:val="nil"/>
            </w:tcBorders>
            <w:noWrap w:val="0"/>
            <w:vAlign w:val="center"/>
          </w:tcPr>
          <w:p w14:paraId="29ACEE72">
            <w:pPr>
              <w:widowControl/>
              <w:kinsoku/>
              <w:wordWrap/>
              <w:overflowPunct w:val="0"/>
              <w:bidi w:val="0"/>
              <w:spacing w:beforeLines="0" w:afterLines="0"/>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5EC7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60" w:type="dxa"/>
            <w:gridSpan w:val="8"/>
            <w:tcBorders>
              <w:top w:val="nil"/>
              <w:left w:val="nil"/>
              <w:bottom w:val="nil"/>
              <w:right w:val="nil"/>
              <w:tl2br w:val="nil"/>
              <w:tr2bl w:val="nil"/>
            </w:tcBorders>
            <w:noWrap w:val="0"/>
            <w:vAlign w:val="top"/>
          </w:tcPr>
          <w:p w14:paraId="34A83E38">
            <w:pPr>
              <w:widowControl/>
              <w:kinsoku/>
              <w:wordWrap/>
              <w:overflowPunct w:val="0"/>
              <w:bidi w:val="0"/>
              <w:spacing w:beforeLines="0" w:afterLines="0"/>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2720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A9AA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2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EA74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2023年政策性农业保险本级配套</w:t>
            </w:r>
          </w:p>
        </w:tc>
      </w:tr>
      <w:tr w14:paraId="6FE5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14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9F86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C1AB7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09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2FD9A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8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0156D0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6964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653FFA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152" w:type="dxa"/>
            <w:gridSpan w:val="2"/>
            <w:tcBorders>
              <w:top w:val="nil"/>
              <w:left w:val="single" w:color="000000" w:sz="4" w:space="0"/>
              <w:bottom w:val="single" w:color="000000" w:sz="4" w:space="0"/>
              <w:right w:val="single" w:color="000000" w:sz="4" w:space="0"/>
              <w:tl2br w:val="nil"/>
              <w:tr2bl w:val="nil"/>
            </w:tcBorders>
            <w:noWrap w:val="0"/>
            <w:vAlign w:val="center"/>
          </w:tcPr>
          <w:p w14:paraId="6B8A591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100" w:type="dxa"/>
            <w:tcBorders>
              <w:top w:val="nil"/>
              <w:left w:val="single" w:color="000000" w:sz="4" w:space="0"/>
              <w:bottom w:val="single" w:color="000000" w:sz="4" w:space="0"/>
              <w:right w:val="single" w:color="000000" w:sz="4" w:space="0"/>
              <w:tl2br w:val="nil"/>
              <w:tr2bl w:val="nil"/>
            </w:tcBorders>
            <w:noWrap w:val="0"/>
            <w:vAlign w:val="center"/>
          </w:tcPr>
          <w:p w14:paraId="0F2D548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099" w:type="dxa"/>
            <w:tcBorders>
              <w:top w:val="nil"/>
              <w:left w:val="single" w:color="000000" w:sz="4" w:space="0"/>
              <w:bottom w:val="single" w:color="000000" w:sz="4" w:space="0"/>
              <w:right w:val="single" w:color="000000" w:sz="4" w:space="0"/>
              <w:tl2br w:val="nil"/>
              <w:tr2bl w:val="nil"/>
            </w:tcBorders>
            <w:noWrap w:val="0"/>
            <w:vAlign w:val="center"/>
          </w:tcPr>
          <w:p w14:paraId="5E7C607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47" w:type="dxa"/>
            <w:tcBorders>
              <w:top w:val="nil"/>
              <w:left w:val="single" w:color="000000" w:sz="4" w:space="0"/>
              <w:bottom w:val="single" w:color="000000" w:sz="4" w:space="0"/>
              <w:right w:val="single" w:color="000000" w:sz="4" w:space="0"/>
              <w:tl2br w:val="nil"/>
              <w:tr2bl w:val="nil"/>
            </w:tcBorders>
            <w:noWrap w:val="0"/>
            <w:vAlign w:val="center"/>
          </w:tcPr>
          <w:p w14:paraId="6813B15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519" w:type="dxa"/>
            <w:tcBorders>
              <w:top w:val="nil"/>
              <w:left w:val="single" w:color="000000" w:sz="4" w:space="0"/>
              <w:bottom w:val="single" w:color="000000" w:sz="4" w:space="0"/>
              <w:right w:val="single" w:color="000000" w:sz="4" w:space="0"/>
              <w:tl2br w:val="nil"/>
              <w:tr2bl w:val="nil"/>
            </w:tcBorders>
            <w:noWrap w:val="0"/>
            <w:vAlign w:val="center"/>
          </w:tcPr>
          <w:p w14:paraId="15754A3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037E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14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656EF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CF15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2FEE7">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FF18D">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AD111">
            <w:pPr>
              <w:widowControl/>
              <w:kinsoku/>
              <w:wordWrap/>
              <w:overflowPunct w:val="0"/>
              <w:bidi w:val="0"/>
              <w:spacing w:beforeLines="0" w:afterLines="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519" w:type="dxa"/>
            <w:tcBorders>
              <w:top w:val="nil"/>
              <w:left w:val="single" w:color="000000" w:sz="4" w:space="0"/>
              <w:bottom w:val="single" w:color="000000" w:sz="4" w:space="0"/>
              <w:right w:val="single" w:color="000000" w:sz="4" w:space="0"/>
              <w:tl2br w:val="nil"/>
              <w:tr2bl w:val="nil"/>
            </w:tcBorders>
            <w:noWrap w:val="0"/>
            <w:vAlign w:val="center"/>
          </w:tcPr>
          <w:p w14:paraId="2742742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218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14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BCC23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D9A86">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BD62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678AB">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DFDC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4A38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AE9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14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2396B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6C6D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41E51">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53BCB">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C44C8">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952D5">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F5F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14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07067C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E31AD">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4DDDB">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E505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DF3E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419C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86B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4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C4929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85ABF">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DC2DC">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DE69D">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B50A1">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5CA5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4EC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14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3F8875">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11C3D">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1BD1F">
            <w:pPr>
              <w:kinsoku/>
              <w:wordWrap/>
              <w:overflowPunct w:val="0"/>
              <w:bidi w:val="0"/>
              <w:spacing w:beforeLines="0" w:afterLines="0"/>
              <w:rPr>
                <w:rFonts w:hint="default" w:ascii="Times New Roman" w:hAnsi="Times New Roman" w:cs="Times New Roman"/>
                <w:b w:val="0"/>
                <w:bCs w:val="0"/>
                <w:color w:val="000000" w:themeColor="text1"/>
                <w:sz w:val="18"/>
                <w:szCs w:val="18"/>
                <w14:textFill>
                  <w14:solidFill>
                    <w14:schemeClr w14:val="tx1"/>
                  </w14:solidFill>
                </w14:textFill>
              </w:rPr>
            </w:pP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504D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8A58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19CA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BDD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10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AB88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3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AF12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9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5B09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743B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335D6">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3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bottom"/>
          </w:tcPr>
          <w:p w14:paraId="1C648FA6">
            <w:pPr>
              <w:widowControl/>
              <w:kinsoku/>
              <w:wordWrap/>
              <w:overflowPunct w:val="0"/>
              <w:bidi w:val="0"/>
              <w:spacing w:beforeLines="0" w:after="180" w:afterLines="0" w:line="22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2023年政策性农业保险支付，引导和支持农户安家农业保险，稳定农业生产、保障农民收入、不断扩大农业保险覆盖面和风险保障水平，逐步建立市场化德农业生产风险防范化解机制。</w:t>
            </w:r>
          </w:p>
        </w:tc>
        <w:tc>
          <w:tcPr>
            <w:tcW w:w="39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bottom"/>
          </w:tcPr>
          <w:p w14:paraId="367E13B8">
            <w:pPr>
              <w:widowControl/>
              <w:kinsoku/>
              <w:wordWrap/>
              <w:overflowPunct w:val="0"/>
              <w:bidi w:val="0"/>
              <w:spacing w:beforeLines="0" w:after="180" w:afterLines="0" w:line="22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完成2023年政策性农业保险支付，引导和支持农户安家农业保险，稳定农业生产、保障农民收入、不断扩大农业保险覆盖面和风险保障水平，逐步建立市场化德农业生产风险防范化解机制。</w:t>
            </w:r>
          </w:p>
        </w:tc>
      </w:tr>
      <w:tr w14:paraId="7BA7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69C1D">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p>
          <w:p w14:paraId="175F7D4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0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2553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EC9E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FB21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8206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D93A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4E53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F49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811E0">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13A2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09E5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5F746D2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32920AA4">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育肥猪保险覆盖率</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DAAD1">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7054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707AE">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18C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3CA4E">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987B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9A084">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31DFEF1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2DB0E613">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三大粮食作物投保面积覆盖率</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44358">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69%</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84967">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69%</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FB1B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A14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61B4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47103">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D04F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642DAB3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2B591051">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绝对免赔额</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CDCF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7E96D">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E18C2">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EDA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94F77">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3DA2D">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F545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5C253D24">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40847FAA">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承保理赔公式率</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3FF5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5268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46FC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F5E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5C429">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7412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0165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34086243">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1ED1992B">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风险保障水平</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BF45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D785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747A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B5F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EA73A">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AB3D8">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D825C">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54C5719F">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3525C9D2">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EBB6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81E8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BBCD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536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E4AAC">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66B5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5B12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2639AE3B">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35DD4881">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864F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735.5万元</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797E0">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735.5万元</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59FD1">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931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DD72B">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C4DC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162" w:type="dxa"/>
            <w:vMerge w:val="restart"/>
            <w:tcBorders>
              <w:top w:val="single" w:color="000000" w:sz="4" w:space="0"/>
              <w:left w:val="single" w:color="000000" w:sz="4" w:space="0"/>
              <w:bottom w:val="nil"/>
              <w:right w:val="single" w:color="000000" w:sz="4" w:space="0"/>
              <w:tl2br w:val="nil"/>
              <w:tr2bl w:val="nil"/>
            </w:tcBorders>
            <w:noWrap w:val="0"/>
            <w:vAlign w:val="center"/>
          </w:tcPr>
          <w:p w14:paraId="54228CD2">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p>
          <w:p w14:paraId="4EF356A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DFECD">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指标1：风险保险保障总额</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62F42">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C326C">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0CC78">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3D1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05AE8">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77A783A6">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6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2821A94F">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0" w:type="dxa"/>
            <w:tcBorders>
              <w:top w:val="single" w:color="000000" w:sz="4" w:space="0"/>
              <w:left w:val="single" w:color="000000" w:sz="4" w:space="0"/>
              <w:bottom w:val="single" w:color="000000" w:sz="4" w:space="0"/>
              <w:right w:val="nil"/>
              <w:tl2br w:val="nil"/>
              <w:tr2bl w:val="nil"/>
            </w:tcBorders>
            <w:noWrap w:val="0"/>
            <w:vAlign w:val="center"/>
          </w:tcPr>
          <w:p w14:paraId="4412976F">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指标2：</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35CF04B0">
            <w:pPr>
              <w:widowControl/>
              <w:kinsoku/>
              <w:wordWrap/>
              <w:overflowPunct w:val="0"/>
              <w:bidi w:val="0"/>
              <w:spacing w:beforeLines="0" w:afterLines="0" w:line="1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农业保险综合费用率小于</w:t>
            </w:r>
          </w:p>
        </w:tc>
        <w:tc>
          <w:tcPr>
            <w:tcW w:w="1099" w:type="dxa"/>
            <w:tcBorders>
              <w:top w:val="single" w:color="000000" w:sz="4" w:space="0"/>
              <w:left w:val="nil"/>
              <w:bottom w:val="single" w:color="000000" w:sz="4" w:space="0"/>
              <w:right w:val="single" w:color="000000" w:sz="4" w:space="0"/>
              <w:tl2br w:val="nil"/>
              <w:tr2bl w:val="nil"/>
            </w:tcBorders>
            <w:noWrap w:val="0"/>
            <w:vAlign w:val="center"/>
          </w:tcPr>
          <w:p w14:paraId="447E28D9">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47" w:type="dxa"/>
            <w:tcBorders>
              <w:top w:val="single" w:color="000000" w:sz="4" w:space="0"/>
              <w:left w:val="nil"/>
              <w:bottom w:val="single" w:color="000000" w:sz="4" w:space="0"/>
              <w:right w:val="single" w:color="000000" w:sz="4" w:space="0"/>
              <w:tl2br w:val="nil"/>
              <w:tr2bl w:val="nil"/>
            </w:tcBorders>
            <w:noWrap w:val="0"/>
            <w:vAlign w:val="center"/>
          </w:tcPr>
          <w:p w14:paraId="6E3A695F">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57127">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0AA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71"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E50FE02">
            <w:pPr>
              <w:kinsoku/>
              <w:wordWrap/>
              <w:overflowPunct w:val="0"/>
              <w:bidi w:val="0"/>
              <w:spacing w:beforeLines="0" w:afterLines="0"/>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CF0F1">
            <w:pPr>
              <w:widowControl/>
              <w:kinsoku/>
              <w:wordWrap/>
              <w:overflowPunct w:val="0"/>
              <w:bidi w:val="0"/>
              <w:spacing w:beforeLines="0" w:afterLines="0"/>
              <w:jc w:val="center"/>
              <w:textAlignment w:val="center"/>
              <w:rPr>
                <w:rFonts w:hint="default" w:ascii="Times New Roman" w:hAnsi="Times New Roman" w:eastAsia="宋体" w:cs="Times New Roman"/>
                <w:b w:val="0"/>
                <w:bCs w:val="0"/>
                <w:color w:val="000000" w:themeColor="text1"/>
                <w:sz w:val="18"/>
                <w:szCs w:val="18"/>
                <w:lang w:eastAsia="zh-CN"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p>
          <w:p w14:paraId="5DB90D5D">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023C9">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990" w:type="dxa"/>
            <w:tcBorders>
              <w:top w:val="single" w:color="000000" w:sz="4" w:space="0"/>
              <w:left w:val="single" w:color="auto" w:sz="4" w:space="0"/>
              <w:bottom w:val="single" w:color="000000" w:sz="4" w:space="0"/>
              <w:right w:val="nil"/>
              <w:tl2br w:val="nil"/>
              <w:tr2bl w:val="nil"/>
            </w:tcBorders>
            <w:noWrap w:val="0"/>
            <w:vAlign w:val="center"/>
          </w:tcPr>
          <w:p w14:paraId="273C229A">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100" w:type="dxa"/>
            <w:tcBorders>
              <w:top w:val="single" w:color="000000" w:sz="4" w:space="0"/>
              <w:left w:val="nil"/>
              <w:bottom w:val="single" w:color="000000" w:sz="4" w:space="0"/>
              <w:right w:val="single" w:color="000000" w:sz="4" w:space="0"/>
              <w:tl2br w:val="nil"/>
              <w:tr2bl w:val="nil"/>
            </w:tcBorders>
            <w:noWrap w:val="0"/>
            <w:vAlign w:val="center"/>
          </w:tcPr>
          <w:p w14:paraId="7AF00DF3">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参保农户满意度</w:t>
            </w:r>
          </w:p>
        </w:tc>
        <w:tc>
          <w:tcPr>
            <w:tcW w:w="1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EF39D">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587F0">
            <w:pPr>
              <w:widowControl/>
              <w:kinsoku/>
              <w:wordWrap/>
              <w:overflowPunct w:val="0"/>
              <w:bidi w:val="0"/>
              <w:spacing w:beforeLines="0" w:afterLines="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A8746">
            <w:pPr>
              <w:widowControl/>
              <w:kinsoku/>
              <w:wordWrap/>
              <w:overflowPunct w:val="0"/>
              <w:bidi w:val="0"/>
              <w:spacing w:beforeLines="0" w:afterLines="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53D6FBCD">
      <w:pPr>
        <w:pStyle w:val="8"/>
        <w:kinsoku/>
        <w:wordWrap/>
        <w:overflowPunct w:val="0"/>
        <w:bidi w:val="0"/>
        <w:spacing w:beforeLines="0" w:afterLines="0"/>
        <w:ind w:left="0" w:leftChars="0" w:firstLine="0"/>
        <w:rPr>
          <w:rFonts w:hint="default" w:ascii="Times New Roman" w:hAnsi="Times New Roman" w:cs="Times New Roman"/>
          <w:b w:val="0"/>
          <w:bCs w:val="0"/>
          <w:color w:val="000000" w:themeColor="text1"/>
          <w:kern w:val="44"/>
          <w:sz w:val="44"/>
          <w:szCs w:val="24"/>
          <w14:textFill>
            <w14:solidFill>
              <w14:schemeClr w14:val="tx1"/>
            </w14:solidFill>
          </w14:textFill>
        </w:rPr>
        <w:sectPr>
          <w:pgSz w:w="12240" w:h="15840"/>
          <w:pgMar w:top="2098" w:right="1474" w:bottom="1984" w:left="1587" w:header="850" w:footer="1559" w:gutter="0"/>
          <w:lnNumType w:countBy="0" w:distance="360"/>
          <w:cols w:space="720" w:num="1"/>
        </w:sectPr>
      </w:pPr>
    </w:p>
    <w:p w14:paraId="54F4E789">
      <w:pPr>
        <w:keepNext/>
        <w:keepLines/>
        <w:pageBreakBefore/>
        <w:kinsoku/>
        <w:wordWrap/>
        <w:overflowPunct w:val="0"/>
        <w:bidi w:val="0"/>
        <w:spacing w:beforeLines="0" w:after="313" w:afterLines="0" w:line="576" w:lineRule="exact"/>
        <w:jc w:val="center"/>
        <w:outlineLvl w:val="0"/>
        <w:rPr>
          <w:rFonts w:hint="default" w:ascii="Times New Roman" w:hAnsi="Times New Roman" w:eastAsia="方正大标宋简体" w:cs="Times New Roman"/>
          <w:b w:val="0"/>
          <w:bCs w:val="0"/>
          <w:color w:val="000000" w:themeColor="text1"/>
          <w:kern w:val="44"/>
          <w:sz w:val="44"/>
          <w:szCs w:val="24"/>
          <w14:textFill>
            <w14:solidFill>
              <w14:schemeClr w14:val="tx1"/>
            </w14:solidFill>
          </w14:textFill>
        </w:rPr>
      </w:pPr>
      <w:bookmarkStart w:id="22" w:name="_Toc28886"/>
      <w:r>
        <w:rPr>
          <w:rFonts w:hint="default" w:ascii="Times New Roman" w:hAnsi="Times New Roman" w:eastAsia="方正大标宋简体" w:cs="Times New Roman"/>
          <w:b w:val="0"/>
          <w:bCs w:val="0"/>
          <w:color w:val="000000" w:themeColor="text1"/>
          <w:kern w:val="2"/>
          <w:sz w:val="44"/>
          <w:szCs w:val="24"/>
          <w14:textFill>
            <w14:solidFill>
              <w14:schemeClr w14:val="tx1"/>
            </w14:solidFill>
          </w14:textFill>
        </w:rPr>
        <w:t>第</w:t>
      </w:r>
      <w:r>
        <w:rPr>
          <w:rFonts w:hint="default" w:ascii="Times New Roman" w:hAnsi="Times New Roman" w:eastAsia="方正大标宋简体" w:cs="Times New Roman"/>
          <w:b w:val="0"/>
          <w:bCs w:val="0"/>
          <w:color w:val="000000" w:themeColor="text1"/>
          <w:kern w:val="44"/>
          <w:sz w:val="44"/>
          <w:szCs w:val="24"/>
          <w14:textFill>
            <w14:solidFill>
              <w14:schemeClr w14:val="tx1"/>
            </w14:solidFill>
          </w14:textFill>
        </w:rPr>
        <w:t>五部分  附表</w:t>
      </w:r>
      <w:bookmarkEnd w:id="22"/>
    </w:p>
    <w:p w14:paraId="18121401">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p>
    <w:p w14:paraId="00BE4327">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3" w:name="_Toc2720"/>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一、收入支出决算总表</w:t>
      </w:r>
      <w:bookmarkEnd w:id="23"/>
    </w:p>
    <w:p w14:paraId="001AD607">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4" w:name="_Toc25867"/>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二、收入决算表</w:t>
      </w:r>
      <w:bookmarkEnd w:id="24"/>
    </w:p>
    <w:p w14:paraId="3630076C">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5" w:name="_Toc4962"/>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三、支出决算表</w:t>
      </w:r>
      <w:bookmarkEnd w:id="25"/>
    </w:p>
    <w:p w14:paraId="57969202">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6" w:name="_Toc28873"/>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四、财政拨款收入支出决算总表</w:t>
      </w:r>
      <w:bookmarkEnd w:id="26"/>
    </w:p>
    <w:p w14:paraId="4A8E192B">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7" w:name="_Toc31679"/>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五、财政拨款支出决算明细表</w:t>
      </w:r>
      <w:bookmarkEnd w:id="27"/>
    </w:p>
    <w:p w14:paraId="46FCB887">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8" w:name="_Toc7181"/>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六、一般公共预算财政拨款支出决算表</w:t>
      </w:r>
      <w:bookmarkEnd w:id="28"/>
    </w:p>
    <w:p w14:paraId="481CE448">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9" w:name="_Toc14213"/>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七、一般公共预算财政拨款支出决算明细表</w:t>
      </w:r>
      <w:bookmarkEnd w:id="29"/>
    </w:p>
    <w:p w14:paraId="73CFD71B">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30" w:name="_Toc28711"/>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八、一般公共预算财政拨款基本支出决算表</w:t>
      </w:r>
      <w:bookmarkEnd w:id="30"/>
    </w:p>
    <w:p w14:paraId="797E81D6">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31" w:name="_Toc25749"/>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九、一般公共预算财政拨款项目支出决算表</w:t>
      </w:r>
      <w:bookmarkEnd w:id="31"/>
    </w:p>
    <w:p w14:paraId="0119E9EA">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32" w:name="_Toc11774"/>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十、政府性基金预算财政拨款收入支出决算表</w:t>
      </w:r>
      <w:bookmarkEnd w:id="32"/>
    </w:p>
    <w:p w14:paraId="2ABF5B28">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33" w:name="_Toc6301"/>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十一、国有资本经营预算财政拨款收入支出决算表</w:t>
      </w:r>
      <w:bookmarkEnd w:id="33"/>
    </w:p>
    <w:p w14:paraId="782D4E59">
      <w:pPr>
        <w:pStyle w:val="3"/>
        <w:keepNext/>
        <w:keepLines/>
        <w:kinsoku/>
        <w:wordWrap/>
        <w:overflowPunct w:val="0"/>
        <w:bidi w:val="0"/>
        <w:spacing w:beforeLines="0" w:afterLines="0" w:line="576" w:lineRule="exact"/>
        <w:ind w:firstLine="64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34" w:name="_Toc4961"/>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十二、国有资本经营预算财政拨款支出决算表</w:t>
      </w:r>
      <w:bookmarkEnd w:id="34"/>
    </w:p>
    <w:p w14:paraId="048A7A8C">
      <w:pPr>
        <w:kinsoku/>
        <w:wordWrap/>
        <w:overflowPunct w:val="0"/>
        <w:bidi w:val="0"/>
        <w:spacing w:beforeLines="0" w:afterLines="0" w:line="576" w:lineRule="exact"/>
        <w:rPr>
          <w:rFonts w:hint="default" w:ascii="Times New Roman" w:hAnsi="Times New Roman" w:eastAsia="方正小标宋简体" w:cs="Times New Roman"/>
          <w:b w:val="0"/>
          <w:bCs w:val="0"/>
          <w:color w:val="000000" w:themeColor="text1"/>
          <w:kern w:val="2"/>
          <w:sz w:val="30"/>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 xml:space="preserve">    十三、财政拨款“三公”经费支出决算表</w:t>
      </w:r>
    </w:p>
    <w:sectPr>
      <w:pgSz w:w="12240" w:h="15840"/>
      <w:pgMar w:top="2098" w:right="1474" w:bottom="1984" w:left="1587" w:header="850" w:footer="1559"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79A83A-014F-45B6-AD75-DE57EF4C87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36247F7-A5E3-4EC9-88A6-4B2D8B925C99}"/>
  </w:font>
  <w:font w:name="仿宋">
    <w:panose1 w:val="02010609060101010101"/>
    <w:charset w:val="86"/>
    <w:family w:val="modern"/>
    <w:pitch w:val="default"/>
    <w:sig w:usb0="800002BF" w:usb1="38CF7CFA" w:usb2="00000016" w:usb3="00000000" w:csb0="00040001" w:csb1="00000000"/>
    <w:embedRegular r:id="rId3" w:fontKey="{5AF6E60C-488F-4D61-929E-5F279F0EC0C5}"/>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F04C9A39-D430-4B1E-967C-A3F765CCCF3C}"/>
  </w:font>
  <w:font w:name="汉仪细圆B5">
    <w:altName w:val="Segoe Print"/>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5" w:fontKey="{36AB7EB4-8A18-4B68-8EF7-280EB94AF78A}"/>
  </w:font>
  <w:font w:name="方正大标宋简体">
    <w:altName w:val="微软雅黑"/>
    <w:panose1 w:val="02010601030101010101"/>
    <w:charset w:val="86"/>
    <w:family w:val="auto"/>
    <w:pitch w:val="default"/>
    <w:sig w:usb0="00000000" w:usb1="00000000" w:usb2="00000000" w:usb3="00000000" w:csb0="00040000" w:csb1="00000000"/>
    <w:embedRegular r:id="rId6" w:fontKey="{93C6C9FB-79B9-4C40-9351-04D32F5470E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67DA">
    <w:pPr>
      <w:pStyle w:val="9"/>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A0037">
                          <w:pPr>
                            <w:pStyle w:val="9"/>
                            <w:spacing w:beforeLines="0" w:afterLines="0"/>
                            <w:rPr>
                              <w:rFonts w:hint="default"/>
                              <w:sz w:val="21"/>
                              <w:szCs w:val="2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PAd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LK&#10;7ekD1Jh1HzAvDe/8gEsz+wGdWfWgos1f1EMwjs09X5srh0REfrRerdcVhgTG5gvis4fnIUJ6L70l&#10;2WhoxOmVpvLTR0hj6pySqzl/p40pEzTuHwdiZg/L3EeO2UrDfpgE7X17Rj09Dr6hDvecEvPBYV/z&#10;jsxGnI39bBxD1IcOqS0LLwi3x4QkCrdcYYSdCuPEirppu/JKPL6XrIc/av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GDwHTIAQAAmQMAAA4AAAAAAAAAAQAgAAAAHgEAAGRycy9lMm9Eb2Mu&#10;eG1sUEsFBgAAAAAGAAYAWQEAAFgFAAAAAA==&#10;">
              <v:fill on="f" focussize="0,0"/>
              <v:stroke on="f"/>
              <v:imagedata o:title=""/>
              <o:lock v:ext="edit" aspectratio="f"/>
              <v:textbox inset="0mm,0mm,0mm,0mm" style="mso-fit-shape-to-text:t;">
                <w:txbxContent>
                  <w:p w14:paraId="082A0037">
                    <w:pPr>
                      <w:pStyle w:val="9"/>
                      <w:spacing w:beforeLines="0" w:afterLines="0"/>
                      <w:rPr>
                        <w:rFonts w:hint="default"/>
                        <w:sz w:val="21"/>
                        <w:szCs w:val="2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E999">
    <w:pPr>
      <w:pStyle w:val="9"/>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CF17E">
                          <w:pPr>
                            <w:pStyle w:val="9"/>
                            <w:spacing w:beforeLines="0" w:afterLines="0"/>
                            <w:rPr>
                              <w:rFonts w:hint="default"/>
                              <w:sz w:val="21"/>
                              <w:szCs w:val="2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quC8gBAACa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r&#10;7E8foMa2+4CNaXjnB+yd84DJLHtQ0eY3CiJYR6jz1V05JCLyR+vVel1hSWBtPiA+e/g8REjvpbck&#10;Bw2NuL7iKj99hDS2zi15mvN32piyQuP+SSBmzrDMfeSYozTsh0nQ3rdn1NPj5hvq8KJTYj44NBb5&#10;pTmIc7Cfg2OI+tAhtWXhBeH2mJBE4ZYnjLDTYFxZUTddr3wnHp9L18Mv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hargvIAQAAmgMAAA4AAAAAAAAAAQAgAAAAHgEAAGRycy9lMm9Eb2Mu&#10;eG1sUEsFBgAAAAAGAAYAWQEAAFgFAAAAAA==&#10;">
              <v:fill on="f" focussize="0,0"/>
              <v:stroke on="f"/>
              <v:imagedata o:title=""/>
              <o:lock v:ext="edit" aspectratio="f"/>
              <v:textbox inset="0mm,0mm,0mm,0mm" style="mso-fit-shape-to-text:t;">
                <w:txbxContent>
                  <w:p w14:paraId="7EFCF17E">
                    <w:pPr>
                      <w:pStyle w:val="9"/>
                      <w:spacing w:beforeLines="0" w:afterLines="0"/>
                      <w:rPr>
                        <w:rFonts w:hint="default"/>
                        <w:sz w:val="21"/>
                        <w:szCs w:val="2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TQwMmI4OTA3ZmJkY2IzMTdkM2E1ZjEyZTc5OGEifQ=="/>
  </w:docVars>
  <w:rsids>
    <w:rsidRoot w:val="00172A27"/>
    <w:rsid w:val="00245594"/>
    <w:rsid w:val="01527EBA"/>
    <w:rsid w:val="020D4C90"/>
    <w:rsid w:val="062728E2"/>
    <w:rsid w:val="201F117D"/>
    <w:rsid w:val="22D16A5E"/>
    <w:rsid w:val="2BF21662"/>
    <w:rsid w:val="3C0365E1"/>
    <w:rsid w:val="4A0A2BC0"/>
    <w:rsid w:val="5BD51BC0"/>
    <w:rsid w:val="64063AB3"/>
    <w:rsid w:val="6CE55009"/>
    <w:rsid w:val="718B4731"/>
    <w:rsid w:val="734C5248"/>
    <w:rsid w:val="79D9084C"/>
    <w:rsid w:val="7A935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2">
    <w:name w:val="heading 1"/>
    <w:basedOn w:val="1"/>
    <w:link w:val="26"/>
    <w:unhideWhenUsed/>
    <w:qFormat/>
    <w:uiPriority w:val="99"/>
    <w:pPr>
      <w:spacing w:beforeLines="0" w:afterLines="0"/>
      <w:outlineLvl w:val="0"/>
    </w:pPr>
    <w:rPr>
      <w:rFonts w:hint="default"/>
      <w:sz w:val="24"/>
      <w:szCs w:val="24"/>
    </w:rPr>
  </w:style>
  <w:style w:type="paragraph" w:styleId="3">
    <w:name w:val="heading 2"/>
    <w:basedOn w:val="1"/>
    <w:link w:val="18"/>
    <w:unhideWhenUsed/>
    <w:qFormat/>
    <w:uiPriority w:val="99"/>
    <w:pPr>
      <w:spacing w:beforeLines="0" w:afterLines="0"/>
      <w:outlineLvl w:val="1"/>
    </w:pPr>
    <w:rPr>
      <w:rFonts w:hint="default"/>
      <w:sz w:val="24"/>
      <w:szCs w:val="24"/>
    </w:rPr>
  </w:style>
  <w:style w:type="character" w:default="1" w:styleId="15">
    <w:name w:val="Default Paragraph Font"/>
    <w:unhideWhenUsed/>
    <w:qFormat/>
    <w:uiPriority w:val="99"/>
    <w:rPr>
      <w:rFonts w:hint="default"/>
      <w:sz w:val="24"/>
      <w:szCs w:val="24"/>
    </w:rPr>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spacing w:beforeLines="0" w:afterLines="0"/>
      <w:ind w:firstLine="680"/>
    </w:pPr>
    <w:rPr>
      <w:rFonts w:hint="default"/>
      <w:sz w:val="32"/>
      <w:szCs w:val="32"/>
    </w:rPr>
  </w:style>
  <w:style w:type="paragraph" w:styleId="5">
    <w:name w:val="Salutation"/>
    <w:basedOn w:val="1"/>
    <w:next w:val="1"/>
    <w:unhideWhenUsed/>
    <w:qFormat/>
    <w:uiPriority w:val="0"/>
    <w:pPr>
      <w:spacing w:beforeLines="0" w:afterLines="0"/>
    </w:pPr>
    <w:rPr>
      <w:rFonts w:hint="default"/>
      <w:sz w:val="24"/>
      <w:szCs w:val="24"/>
    </w:rPr>
  </w:style>
  <w:style w:type="paragraph" w:styleId="6">
    <w:name w:val="Body Text"/>
    <w:basedOn w:val="1"/>
    <w:link w:val="25"/>
    <w:unhideWhenUsed/>
    <w:qFormat/>
    <w:uiPriority w:val="99"/>
    <w:pPr>
      <w:spacing w:beforeLines="30" w:afterLines="0"/>
    </w:pPr>
    <w:rPr>
      <w:rFonts w:hint="eastAsia" w:ascii="仿宋_GB2312" w:eastAsia="仿宋_GB2312"/>
      <w:sz w:val="30"/>
      <w:szCs w:val="24"/>
    </w:rPr>
  </w:style>
  <w:style w:type="paragraph" w:styleId="7">
    <w:name w:val="Body Text Indent"/>
    <w:basedOn w:val="1"/>
    <w:next w:val="8"/>
    <w:unhideWhenUsed/>
    <w:qFormat/>
    <w:uiPriority w:val="99"/>
    <w:pPr>
      <w:spacing w:beforeLines="0" w:afterLines="0"/>
      <w:ind w:firstLine="630"/>
    </w:pPr>
    <w:rPr>
      <w:rFonts w:hint="eastAsia" w:ascii="Times New Roman" w:eastAsia="黑体"/>
      <w:sz w:val="32"/>
      <w:szCs w:val="32"/>
    </w:rPr>
  </w:style>
  <w:style w:type="paragraph" w:styleId="8">
    <w:name w:val="Body Text First Indent 2"/>
    <w:basedOn w:val="7"/>
    <w:next w:val="1"/>
    <w:unhideWhenUsed/>
    <w:qFormat/>
    <w:uiPriority w:val="99"/>
    <w:pPr>
      <w:spacing w:beforeLines="0" w:after="120" w:afterLines="0"/>
      <w:ind w:left="420" w:leftChars="200" w:firstLine="420"/>
    </w:pPr>
    <w:rPr>
      <w:rFonts w:hint="eastAsia"/>
      <w:sz w:val="32"/>
      <w:szCs w:val="32"/>
    </w:rPr>
  </w:style>
  <w:style w:type="paragraph" w:styleId="9">
    <w:name w:val="footer"/>
    <w:basedOn w:val="1"/>
    <w:link w:val="23"/>
    <w:unhideWhenUsed/>
    <w:qFormat/>
    <w:uiPriority w:val="99"/>
    <w:pPr>
      <w:tabs>
        <w:tab w:val="center" w:pos="4153"/>
        <w:tab w:val="right" w:pos="8306"/>
      </w:tabs>
      <w:snapToGrid w:val="0"/>
      <w:spacing w:beforeLines="0" w:afterLines="0"/>
    </w:pPr>
    <w:rPr>
      <w:rFonts w:hint="default"/>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11">
    <w:name w:val="toc 1"/>
    <w:basedOn w:val="1"/>
    <w:next w:val="1"/>
    <w:qFormat/>
    <w:uiPriority w:val="99"/>
  </w:style>
  <w:style w:type="paragraph" w:styleId="12">
    <w:name w:val="toc 2"/>
    <w:basedOn w:val="1"/>
    <w:next w:val="1"/>
    <w:qFormat/>
    <w:uiPriority w:val="99"/>
    <w:pPr>
      <w:ind w:left="420" w:leftChars="200"/>
    </w:pPr>
  </w:style>
  <w:style w:type="paragraph" w:styleId="13">
    <w:name w:val="Normal (Web)"/>
    <w:basedOn w:val="1"/>
    <w:unhideWhenUsed/>
    <w:qFormat/>
    <w:uiPriority w:val="0"/>
    <w:pPr>
      <w:spacing w:beforeLines="0" w:afterLines="0"/>
    </w:pPr>
    <w:rPr>
      <w:rFonts w:hint="default"/>
      <w:sz w:val="24"/>
      <w:szCs w:val="24"/>
    </w:rPr>
  </w:style>
  <w:style w:type="character" w:styleId="16">
    <w:name w:val="Strong"/>
    <w:basedOn w:val="15"/>
    <w:unhideWhenUsed/>
    <w:qFormat/>
    <w:uiPriority w:val="99"/>
    <w:rPr>
      <w:rFonts w:hint="default"/>
      <w:b/>
      <w:sz w:val="24"/>
      <w:szCs w:val="24"/>
    </w:rPr>
  </w:style>
  <w:style w:type="paragraph" w:customStyle="1" w:styleId="17">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8">
    <w:name w:val="标题 2 Char"/>
    <w:basedOn w:val="15"/>
    <w:link w:val="3"/>
    <w:unhideWhenUsed/>
    <w:qFormat/>
    <w:locked/>
    <w:uiPriority w:val="9"/>
    <w:rPr>
      <w:rFonts w:hint="default" w:ascii="宋体" w:hAnsi="Cambria" w:eastAsia="宋体" w:cs="Times New Roman"/>
      <w:b/>
      <w:sz w:val="32"/>
      <w:szCs w:val="32"/>
    </w:rPr>
  </w:style>
  <w:style w:type="character" w:customStyle="1" w:styleId="19">
    <w:name w:val="页眉 Char"/>
    <w:basedOn w:val="15"/>
    <w:link w:val="10"/>
    <w:unhideWhenUsed/>
    <w:qFormat/>
    <w:locked/>
    <w:uiPriority w:val="99"/>
    <w:rPr>
      <w:rFonts w:hint="default" w:cs="Times New Roman"/>
      <w:sz w:val="18"/>
      <w:szCs w:val="18"/>
    </w:rPr>
  </w:style>
  <w:style w:type="character" w:customStyle="1" w:styleId="20">
    <w:name w:val="font81"/>
    <w:basedOn w:val="15"/>
    <w:unhideWhenUsed/>
    <w:qFormat/>
    <w:uiPriority w:val="0"/>
    <w:rPr>
      <w:rFonts w:hint="eastAsia" w:ascii="方正小标宋简体" w:hAnsi="方正小标宋简体" w:eastAsia="方正小标宋简体" w:cs="方正小标宋简体"/>
      <w:color w:val="FF0000"/>
      <w:sz w:val="40"/>
      <w:szCs w:val="40"/>
    </w:rPr>
  </w:style>
  <w:style w:type="character" w:customStyle="1" w:styleId="21">
    <w:name w:val="font41"/>
    <w:basedOn w:val="15"/>
    <w:unhideWhenUsed/>
    <w:qFormat/>
    <w:uiPriority w:val="0"/>
    <w:rPr>
      <w:rFonts w:hint="default" w:ascii="宋体" w:hAnsi="宋体" w:eastAsia="宋体" w:cs="宋体"/>
      <w:color w:val="000000"/>
      <w:sz w:val="20"/>
      <w:szCs w:val="20"/>
    </w:rPr>
  </w:style>
  <w:style w:type="character" w:customStyle="1" w:styleId="22">
    <w:name w:val="font71"/>
    <w:basedOn w:val="15"/>
    <w:unhideWhenUsed/>
    <w:qFormat/>
    <w:uiPriority w:val="0"/>
    <w:rPr>
      <w:rFonts w:hint="eastAsia" w:ascii="方正小标宋简体" w:hAnsi="方正小标宋简体" w:eastAsia="方正小标宋简体" w:cs="方正小标宋简体"/>
      <w:color w:val="000000"/>
      <w:sz w:val="40"/>
      <w:szCs w:val="40"/>
    </w:rPr>
  </w:style>
  <w:style w:type="character" w:customStyle="1" w:styleId="23">
    <w:name w:val="页脚 Char"/>
    <w:basedOn w:val="15"/>
    <w:link w:val="9"/>
    <w:unhideWhenUsed/>
    <w:qFormat/>
    <w:locked/>
    <w:uiPriority w:val="99"/>
    <w:rPr>
      <w:rFonts w:hint="default" w:cs="Times New Roman"/>
      <w:sz w:val="18"/>
      <w:szCs w:val="18"/>
    </w:rPr>
  </w:style>
  <w:style w:type="character" w:customStyle="1" w:styleId="24">
    <w:name w:val="font91"/>
    <w:basedOn w:val="15"/>
    <w:unhideWhenUsed/>
    <w:qFormat/>
    <w:uiPriority w:val="0"/>
    <w:rPr>
      <w:rFonts w:hint="default" w:ascii="汉仪细圆B5" w:hAnsi="汉仪细圆B5" w:eastAsia="汉仪细圆B5" w:cs="汉仪细圆B5"/>
      <w:color w:val="000000"/>
      <w:sz w:val="20"/>
      <w:szCs w:val="20"/>
    </w:rPr>
  </w:style>
  <w:style w:type="character" w:customStyle="1" w:styleId="25">
    <w:name w:val="正文文本 Char"/>
    <w:basedOn w:val="15"/>
    <w:link w:val="6"/>
    <w:unhideWhenUsed/>
    <w:qFormat/>
    <w:locked/>
    <w:uiPriority w:val="99"/>
    <w:rPr>
      <w:rFonts w:hint="default" w:cs="Times New Roman"/>
      <w:sz w:val="24"/>
      <w:szCs w:val="24"/>
    </w:rPr>
  </w:style>
  <w:style w:type="character" w:customStyle="1" w:styleId="26">
    <w:name w:val="标题 1 Char"/>
    <w:basedOn w:val="15"/>
    <w:link w:val="2"/>
    <w:unhideWhenUsed/>
    <w:qFormat/>
    <w:locked/>
    <w:uiPriority w:val="9"/>
    <w:rPr>
      <w:rFonts w:hint="default"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5"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5"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5"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5"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5"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5"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5"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[工作簿5]Sheet1!$B$1</c:f>
              <c:strCache>
                <c:ptCount val="1"/>
                <c:pt idx="0">
                  <c:v>收支</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2022年（万元）</c:v>
                </c:pt>
                <c:pt idx="1">
                  <c:v>2023年（万元）</c:v>
                </c:pt>
              </c:strCache>
            </c:strRef>
          </c:cat>
          <c:val>
            <c:numRef>
              <c:f>[工作簿5]Sheet1!$B$2:$B$3</c:f>
              <c:numCache>
                <c:formatCode>General</c:formatCode>
                <c:ptCount val="2"/>
                <c:pt idx="0">
                  <c:v>35613.36</c:v>
                </c:pt>
                <c:pt idx="1" c:formatCode="#,##0.00">
                  <c:v>40713.98</c:v>
                </c:pt>
              </c:numCache>
            </c:numRef>
          </c:val>
        </c:ser>
        <c:dLbls>
          <c:showLegendKey val="0"/>
          <c:showVal val="1"/>
          <c:showCatName val="0"/>
          <c:showSerName val="0"/>
          <c:showPercent val="0"/>
          <c:showBubbleSize val="0"/>
        </c:dLbls>
        <c:gapWidth val="246"/>
        <c:overlap val="-28"/>
        <c:axId val="792644935"/>
        <c:axId val="475061504"/>
      </c:barChart>
      <c:catAx>
        <c:axId val="792644935"/>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75061504"/>
        <c:crosses val="autoZero"/>
        <c:auto val="1"/>
        <c:lblAlgn val="ctr"/>
        <c:lblOffset val="100"/>
        <c:noMultiLvlLbl val="0"/>
      </c:catAx>
      <c:valAx>
        <c:axId val="475061504"/>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926449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p>
        </c:rich>
      </c:tx>
      <c:layout>
        <c:manualLayout>
          <c:xMode val="edge"/>
          <c:yMode val="edge"/>
          <c:x val="0.3825"/>
          <c:y val="0.0243055555555556"/>
        </c:manualLayout>
      </c:layout>
      <c:overlay val="0"/>
      <c:spPr>
        <a:noFill/>
        <a:ln>
          <a:noFill/>
        </a:ln>
        <a:effectLst/>
      </c:spPr>
    </c:title>
    <c:autoTitleDeleted val="0"/>
    <c:plotArea>
      <c:layout/>
      <c:pieChart>
        <c:varyColors val="1"/>
        <c:ser>
          <c:idx val="0"/>
          <c:order val="0"/>
          <c:tx>
            <c:strRef>
              <c:f>[工作簿5]Sheet1!$B$1</c:f>
              <c:strCache>
                <c:ptCount val="1"/>
                <c:pt idx="0">
                  <c:v>收支</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一般公共预算财政拨款收入</c:v>
                </c:pt>
                <c:pt idx="1">
                  <c:v>政府性基金预算财政拨款收入</c:v>
                </c:pt>
              </c:strCache>
            </c:strRef>
          </c:cat>
          <c:val>
            <c:numRef>
              <c:f>[工作簿5]Sheet1!$B$2:$B$3</c:f>
              <c:numCache>
                <c:formatCode>#,##0.00</c:formatCode>
                <c:ptCount val="2"/>
                <c:pt idx="0">
                  <c:v>30160.77</c:v>
                </c:pt>
                <c:pt idx="1">
                  <c:v>10553.21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[工作簿5]Sheet1!$B$1</c:f>
              <c:strCache>
                <c:ptCount val="1"/>
                <c:pt idx="0">
                  <c:v>支出决算结构图</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[工作簿5]Sheet1!$A$2:$A$4</c:f>
              <c:strCache>
                <c:ptCount val="3"/>
                <c:pt idx="0">
                  <c:v>基本支出</c:v>
                </c:pt>
                <c:pt idx="1">
                  <c:v>项目支出</c:v>
                </c:pt>
                <c:pt idx="2">
                  <c:v>经营支出</c:v>
                </c:pt>
              </c:strCache>
            </c:strRef>
          </c:cat>
          <c:val>
            <c:numRef>
              <c:f>[工作簿5]Sheet1!$B$2:$B$4</c:f>
              <c:numCache>
                <c:formatCode>#,##0.00</c:formatCode>
                <c:ptCount val="3"/>
                <c:pt idx="0">
                  <c:v>1918.84</c:v>
                </c:pt>
                <c:pt idx="1">
                  <c:v>38795.14</c:v>
                </c:pt>
                <c:pt idx="2"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[工作簿5]Sheet1!$B$1</c:f>
              <c:strCache>
                <c:ptCount val="1"/>
                <c:pt idx="0">
                  <c:v>收支</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2023年（万元）</c:v>
                </c:pt>
                <c:pt idx="1">
                  <c:v>2022年（万元）</c:v>
                </c:pt>
              </c:strCache>
            </c:strRef>
          </c:cat>
          <c:val>
            <c:numRef>
              <c:f>[工作簿5]Sheet1!$B$2:$B$3</c:f>
              <c:numCache>
                <c:formatCode>#,##0.00</c:formatCode>
                <c:ptCount val="2"/>
                <c:pt idx="0">
                  <c:v>40713.98</c:v>
                </c:pt>
                <c:pt idx="1">
                  <c:v>35613.36</c:v>
                </c:pt>
              </c:numCache>
            </c:numRef>
          </c:val>
        </c:ser>
        <c:dLbls>
          <c:showLegendKey val="0"/>
          <c:showVal val="1"/>
          <c:showCatName val="0"/>
          <c:showSerName val="0"/>
          <c:showPercent val="0"/>
          <c:showBubbleSize val="0"/>
        </c:dLbls>
        <c:gapWidth val="246"/>
        <c:overlap val="-28"/>
        <c:axId val="950591300"/>
        <c:axId val="240122825"/>
      </c:barChart>
      <c:catAx>
        <c:axId val="95059130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40122825"/>
        <c:crosses val="autoZero"/>
        <c:auto val="1"/>
        <c:lblAlgn val="ctr"/>
        <c:lblOffset val="100"/>
        <c:noMultiLvlLbl val="0"/>
      </c:catAx>
      <c:valAx>
        <c:axId val="240122825"/>
        <c:scaling>
          <c:orientation val="minMax"/>
        </c:scaling>
        <c:delete val="0"/>
        <c:axPos val="l"/>
        <c:majorGridlines>
          <c:spPr>
            <a:ln w="9525" cap="flat" cmpd="sng" algn="ctr">
              <a:solidFill>
                <a:srgbClr val="E6E6E6">
                  <a:lumMod val="90200"/>
                </a:srgb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05913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一般公共预算财政拨款支出决算变动情况</a:t>
            </a:r>
          </a:p>
        </c:rich>
      </c:tx>
      <c:layout>
        <c:manualLayout>
          <c:xMode val="edge"/>
          <c:yMode val="edge"/>
          <c:x val="0.216315789473684"/>
          <c:y val="0.03125"/>
        </c:manualLayout>
      </c:layout>
      <c:overlay val="0"/>
      <c:spPr>
        <a:noFill/>
        <a:ln>
          <a:noFill/>
        </a:ln>
        <a:effectLst/>
      </c:spPr>
    </c:title>
    <c:autoTitleDeleted val="0"/>
    <c:plotArea>
      <c:layout/>
      <c:barChart>
        <c:barDir val="col"/>
        <c:grouping val="clustered"/>
        <c:varyColors val="0"/>
        <c:ser>
          <c:idx val="0"/>
          <c:order val="0"/>
          <c:tx>
            <c:strRef>
              <c:f>[工作簿5]Sheet1!$B$1</c:f>
              <c:strCache>
                <c:ptCount val="1"/>
                <c:pt idx="0">
                  <c:v>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2023年（万元）</c:v>
                </c:pt>
                <c:pt idx="1">
                  <c:v>2022年（万元）</c:v>
                </c:pt>
              </c:strCache>
            </c:strRef>
          </c:cat>
          <c:val>
            <c:numRef>
              <c:f>[工作簿5]Sheet1!$B$2:$B$3</c:f>
              <c:numCache>
                <c:formatCode>#,##0.00</c:formatCode>
                <c:ptCount val="2"/>
                <c:pt idx="0">
                  <c:v>30160.77</c:v>
                </c:pt>
                <c:pt idx="1">
                  <c:v>26973.94</c:v>
                </c:pt>
              </c:numCache>
            </c:numRef>
          </c:val>
        </c:ser>
        <c:dLbls>
          <c:showLegendKey val="0"/>
          <c:showVal val="1"/>
          <c:showCatName val="0"/>
          <c:showSerName val="0"/>
          <c:showPercent val="0"/>
          <c:showBubbleSize val="0"/>
        </c:dLbls>
        <c:gapWidth val="246"/>
        <c:overlap val="-28"/>
        <c:axId val="950591300"/>
        <c:axId val="240122825"/>
      </c:barChart>
      <c:catAx>
        <c:axId val="95059130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40122825"/>
        <c:crosses val="autoZero"/>
        <c:auto val="1"/>
        <c:lblAlgn val="ctr"/>
        <c:lblOffset val="100"/>
        <c:noMultiLvlLbl val="0"/>
      </c:catAx>
      <c:valAx>
        <c:axId val="240122825"/>
        <c:scaling>
          <c:orientation val="minMax"/>
        </c:scaling>
        <c:delete val="0"/>
        <c:axPos val="l"/>
        <c:majorGridlines>
          <c:spPr>
            <a:ln w="9525" cap="flat" cmpd="sng" algn="ctr">
              <a:solidFill>
                <a:srgbClr val="E6E6E6">
                  <a:lumMod val="90200"/>
                </a:srgb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05913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[工作簿5]Sheet1!$B$1</c:f>
              <c:strCache>
                <c:ptCount val="1"/>
                <c:pt idx="0">
                  <c:v>支出</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[工作簿5]Sheet1!$A$2:$A$9</c:f>
              <c:strCache>
                <c:ptCount val="8"/>
                <c:pt idx="0">
                  <c:v>一般公共服务支出</c:v>
                </c:pt>
                <c:pt idx="1">
                  <c:v>社会保障和就业支出</c:v>
                </c:pt>
                <c:pt idx="2">
                  <c:v>卫生健康支出</c:v>
                </c:pt>
                <c:pt idx="3">
                  <c:v>农林水支出</c:v>
                </c:pt>
                <c:pt idx="4">
                  <c:v>商业服务业等支出</c:v>
                </c:pt>
                <c:pt idx="5">
                  <c:v>住房保障支出</c:v>
                </c:pt>
                <c:pt idx="6">
                  <c:v>粮油物资储备支出</c:v>
                </c:pt>
                <c:pt idx="7">
                  <c:v>其他支出</c:v>
                </c:pt>
              </c:strCache>
            </c:strRef>
          </c:cat>
          <c:val>
            <c:numRef>
              <c:f>[工作簿5]Sheet1!$B$2:$B$9</c:f>
              <c:numCache>
                <c:formatCode>General</c:formatCode>
                <c:ptCount val="8"/>
                <c:pt idx="0">
                  <c:v>2</c:v>
                </c:pt>
                <c:pt idx="1">
                  <c:v>440.34</c:v>
                </c:pt>
                <c:pt idx="2">
                  <c:v>75.28</c:v>
                </c:pt>
                <c:pt idx="3" c:formatCode="#,##0.00">
                  <c:v>24256.12</c:v>
                </c:pt>
                <c:pt idx="4">
                  <c:v>558</c:v>
                </c:pt>
                <c:pt idx="5">
                  <c:v>102.23</c:v>
                </c:pt>
                <c:pt idx="6">
                  <c:v>621.8</c:v>
                </c:pt>
                <c:pt idx="7" c:formatCode="#,##0">
                  <c:v>4105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[工作簿5]Sheet1!$B$1</c:f>
              <c:strCache>
                <c:ptCount val="1"/>
                <c:pt idx="0">
                  <c:v>“三公”经费财政拨款支出结构</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[工作簿5]Sheet1!$A$2:$A$4</c:f>
              <c:strCache>
                <c:ptCount val="3"/>
                <c:pt idx="0">
                  <c:v>因公出国（境）费支出</c:v>
                </c:pt>
                <c:pt idx="1">
                  <c:v>公务用车购置及运行维护费支出</c:v>
                </c:pt>
                <c:pt idx="2">
                  <c:v>公务接待费支出决算</c:v>
                </c:pt>
              </c:strCache>
            </c:strRef>
          </c:cat>
          <c:val>
            <c:numRef>
              <c:f>[工作簿5]Sheet1!$B$2:$B$4</c:f>
              <c:numCache>
                <c:formatCode>General</c:formatCode>
                <c:ptCount val="3"/>
                <c:pt idx="0">
                  <c:v>0</c:v>
                </c:pt>
                <c:pt idx="1">
                  <c:v>0</c:v>
                </c:pt>
                <c:pt idx="2">
                  <c:v>14.32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25419</Words>
  <Characters>27321</Characters>
  <TotalTime>4</TotalTime>
  <ScaleCrop>false</ScaleCrop>
  <LinksUpToDate>false</LinksUpToDate>
  <CharactersWithSpaces>27433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2024-09-19T09:36:00Z</dcterms:created>
  <dc:creator>Administrator</dc:creator>
  <cp:lastModifiedBy>熊猫</cp:lastModifiedBy>
  <cp:lastPrinted>2024-09-20T03:22:00Z</cp:lastPrinted>
  <dcterms:modified xsi:type="dcterms:W3CDTF">2024-09-25T07:58:37Z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E92393709DEE46F0A41A524ECB73FE01_13</vt:lpwstr>
  </property>
</Properties>
</file>