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A1BE16">
      <w:pPr>
        <w:spacing w:beforeLines="0" w:afterLines="0" w:line="360" w:lineRule="auto"/>
        <w:jc w:val="both"/>
        <w:rPr>
          <w:rFonts w:hint="eastAsia" w:ascii="黑体" w:hAnsi="黑体" w:eastAsia="黑体"/>
          <w:color w:val="000000"/>
          <w:kern w:val="2"/>
          <w:sz w:val="72"/>
          <w:szCs w:val="24"/>
        </w:rPr>
      </w:pPr>
      <w:bookmarkStart w:id="1" w:name="_GoBack"/>
      <w:bookmarkEnd w:id="1"/>
    </w:p>
    <w:p w14:paraId="34195FCF">
      <w:pPr>
        <w:spacing w:beforeLines="0" w:afterLines="0" w:line="360" w:lineRule="auto"/>
        <w:jc w:val="center"/>
        <w:rPr>
          <w:rFonts w:hint="eastAsia" w:ascii="黑体" w:hAnsi="黑体" w:eastAsia="黑体"/>
          <w:color w:val="000000"/>
          <w:kern w:val="2"/>
          <w:sz w:val="72"/>
          <w:szCs w:val="24"/>
        </w:rPr>
      </w:pPr>
    </w:p>
    <w:p w14:paraId="5535BA95">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Times New Roman" w:eastAsia="方正小标宋简体"/>
          <w:color w:val="000000"/>
          <w:kern w:val="2"/>
          <w:sz w:val="72"/>
          <w:szCs w:val="24"/>
        </w:rPr>
        <w:t>2023</w:t>
      </w:r>
      <w:r>
        <w:rPr>
          <w:rFonts w:hint="eastAsia" w:ascii="方正小标宋简体" w:hAnsi="黑体" w:eastAsia="方正小标宋简体"/>
          <w:color w:val="000000"/>
          <w:kern w:val="2"/>
          <w:sz w:val="72"/>
          <w:szCs w:val="24"/>
        </w:rPr>
        <w:t>年度</w:t>
      </w:r>
    </w:p>
    <w:p w14:paraId="1B3FC1FF">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广元市昭化区公务服务中心部门决算</w:t>
      </w:r>
    </w:p>
    <w:p w14:paraId="5789E998">
      <w:pPr>
        <w:keepNext/>
        <w:keepLines/>
        <w:spacing w:beforeLines="0" w:afterLines="0" w:line="576"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olor w:val="000000"/>
          <w:kern w:val="2"/>
          <w:sz w:val="32"/>
          <w:szCs w:val="24"/>
        </w:rPr>
        <w:br w:type="page"/>
      </w:r>
      <w:r>
        <w:rPr>
          <w:rFonts w:hint="eastAsia" w:ascii="方正小标宋简体" w:hAnsi="方正小标宋简体" w:eastAsia="方正小标宋简体" w:cs="方正小标宋简体"/>
          <w:kern w:val="2"/>
          <w:sz w:val="44"/>
          <w:szCs w:val="44"/>
        </w:rPr>
        <w:t>目    录</w:t>
      </w:r>
    </w:p>
    <w:p w14:paraId="193CECBB">
      <w:pPr>
        <w:keepNext/>
        <w:keepLines/>
        <w:spacing w:beforeLines="0" w:afterLines="0" w:line="576" w:lineRule="exact"/>
        <w:jc w:val="center"/>
        <w:rPr>
          <w:rFonts w:hint="eastAsia" w:ascii="楷体_GB2312" w:hAnsi="楷体_GB2312" w:eastAsia="楷体_GB2312" w:cs="楷体_GB2312"/>
          <w:kern w:val="2"/>
          <w:sz w:val="32"/>
          <w:szCs w:val="32"/>
        </w:rPr>
      </w:pPr>
    </w:p>
    <w:p w14:paraId="5B6712F5">
      <w:pPr>
        <w:keepNext/>
        <w:keepLines/>
        <w:tabs>
          <w:tab w:val="right" w:leader="dot" w:pos="8845"/>
        </w:tabs>
        <w:spacing w:beforeLines="0" w:afterLines="0" w:line="576" w:lineRule="exact"/>
        <w:jc w:val="center"/>
        <w:rPr>
          <w:rFonts w:hint="eastAsia" w:ascii="楷体_GB2312" w:hAnsi="楷体_GB2312" w:eastAsia="楷体_GB2312" w:cs="楷体_GB2312"/>
          <w:sz w:val="32"/>
          <w:szCs w:val="32"/>
          <w:lang w:val="zh-CN"/>
        </w:rPr>
      </w:pPr>
    </w:p>
    <w:p w14:paraId="5D422D3C">
      <w:pPr>
        <w:keepNext/>
        <w:keepLines/>
        <w:tabs>
          <w:tab w:val="right" w:leader="dot" w:pos="8845"/>
        </w:tabs>
        <w:spacing w:beforeLines="0" w:afterLines="0" w:line="576" w:lineRule="exact"/>
        <w:jc w:val="both"/>
        <w:rPr>
          <w:rFonts w:hint="eastAsia" w:ascii="黑体" w:hAnsi="黑体" w:eastAsia="黑体" w:cs="黑体"/>
          <w:b/>
          <w:sz w:val="32"/>
          <w:szCs w:val="32"/>
          <w:lang w:val="zh-CN"/>
        </w:rPr>
      </w:pPr>
      <w:r>
        <w:rPr>
          <w:rFonts w:hint="eastAsia" w:ascii="黑体" w:hAnsi="黑体" w:eastAsia="黑体" w:cs="黑体"/>
          <w:sz w:val="32"/>
          <w:szCs w:val="32"/>
          <w:lang w:val="zh-CN"/>
        </w:rPr>
        <w:t xml:space="preserve">第一部分 </w:t>
      </w:r>
      <w:r>
        <w:rPr>
          <w:rFonts w:hint="eastAsia" w:ascii="黑体" w:hAnsi="黑体" w:eastAsia="黑体" w:cs="黑体"/>
          <w:sz w:val="32"/>
          <w:szCs w:val="32"/>
        </w:rPr>
        <w:t>部门</w:t>
      </w:r>
      <w:r>
        <w:rPr>
          <w:rFonts w:hint="eastAsia" w:ascii="黑体" w:hAnsi="黑体" w:eastAsia="黑体" w:cs="黑体"/>
          <w:sz w:val="32"/>
          <w:szCs w:val="32"/>
          <w:lang w:val="zh-CN"/>
        </w:rPr>
        <w:t>概况</w:t>
      </w:r>
      <w:r>
        <w:rPr>
          <w:rFonts w:hint="eastAsia" w:ascii="黑体" w:hAnsi="黑体" w:eastAsia="黑体" w:cs="黑体"/>
          <w:sz w:val="32"/>
          <w:szCs w:val="32"/>
          <w:lang w:val="zh-CN"/>
        </w:rPr>
        <w:tab/>
      </w:r>
      <w:r>
        <w:rPr>
          <w:rFonts w:hint="eastAsia" w:ascii="Times New Roman" w:eastAsia="黑体"/>
          <w:sz w:val="32"/>
          <w:szCs w:val="32"/>
        </w:rPr>
        <w:t>4</w:t>
      </w:r>
    </w:p>
    <w:p w14:paraId="333665C2">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val="zh-CN"/>
        </w:rPr>
        <w:t>职责</w:t>
      </w:r>
      <w:r>
        <w:rPr>
          <w:rFonts w:hint="eastAsia" w:ascii="楷体_GB2312" w:hAnsi="楷体_GB2312" w:eastAsia="楷体_GB2312" w:cs="楷体_GB2312"/>
          <w:sz w:val="32"/>
          <w:szCs w:val="32"/>
          <w:lang w:val="zh-CN"/>
        </w:rPr>
        <w:tab/>
      </w:r>
      <w:r>
        <w:rPr>
          <w:rFonts w:hint="eastAsia" w:ascii="Times New Roman" w:eastAsia="楷体_GB2312"/>
          <w:sz w:val="32"/>
          <w:szCs w:val="32"/>
        </w:rPr>
        <w:t>4</w:t>
      </w:r>
    </w:p>
    <w:p w14:paraId="55573A8B">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二、机构设置</w:t>
      </w:r>
      <w:r>
        <w:rPr>
          <w:rFonts w:hint="eastAsia" w:ascii="楷体_GB2312" w:hAnsi="楷体_GB2312" w:eastAsia="楷体_GB2312" w:cs="楷体_GB2312"/>
          <w:sz w:val="32"/>
          <w:szCs w:val="32"/>
          <w:lang w:val="zh-CN"/>
        </w:rPr>
        <w:tab/>
      </w:r>
      <w:r>
        <w:rPr>
          <w:rFonts w:hint="eastAsia" w:ascii="Times New Roman" w:eastAsia="楷体_GB2312"/>
          <w:sz w:val="32"/>
          <w:szCs w:val="32"/>
        </w:rPr>
        <w:t>8</w:t>
      </w:r>
    </w:p>
    <w:p w14:paraId="384337EB">
      <w:pPr>
        <w:keepNext/>
        <w:keepLines/>
        <w:tabs>
          <w:tab w:val="right" w:leader="dot" w:pos="8845"/>
        </w:tabs>
        <w:spacing w:beforeLines="0" w:afterLines="0" w:line="576" w:lineRule="exact"/>
        <w:jc w:val="both"/>
        <w:rPr>
          <w:rFonts w:hint="eastAsia" w:ascii="黑体" w:hAnsi="黑体" w:eastAsia="黑体" w:cs="黑体"/>
          <w:sz w:val="32"/>
          <w:szCs w:val="32"/>
          <w:lang w:val="zh-CN"/>
        </w:rPr>
      </w:pPr>
      <w:r>
        <w:rPr>
          <w:rFonts w:hint="eastAsia" w:ascii="黑体" w:hAnsi="黑体" w:eastAsia="黑体" w:cs="黑体"/>
          <w:sz w:val="32"/>
          <w:szCs w:val="32"/>
          <w:lang w:val="zh-CN"/>
        </w:rPr>
        <w:t xml:space="preserve">第二部分 </w:t>
      </w:r>
      <w:r>
        <w:rPr>
          <w:rFonts w:hint="eastAsia" w:ascii="Times New Roman" w:eastAsia="黑体" w:cs="黑体"/>
          <w:sz w:val="32"/>
          <w:szCs w:val="32"/>
          <w:lang w:val="zh-CN"/>
        </w:rPr>
        <w:t>2023</w:t>
      </w:r>
      <w:r>
        <w:rPr>
          <w:rFonts w:hint="eastAsia" w:ascii="黑体" w:hAnsi="黑体" w:eastAsia="黑体" w:cs="黑体"/>
          <w:sz w:val="32"/>
          <w:szCs w:val="32"/>
          <w:lang w:val="zh-CN"/>
        </w:rPr>
        <w:t>年度</w:t>
      </w:r>
      <w:r>
        <w:rPr>
          <w:rFonts w:hint="eastAsia" w:ascii="黑体" w:hAnsi="黑体" w:eastAsia="黑体" w:cs="黑体"/>
          <w:sz w:val="32"/>
          <w:szCs w:val="32"/>
        </w:rPr>
        <w:t>部门</w:t>
      </w:r>
      <w:r>
        <w:rPr>
          <w:rFonts w:hint="eastAsia" w:ascii="黑体" w:hAnsi="黑体" w:eastAsia="黑体" w:cs="黑体"/>
          <w:sz w:val="32"/>
          <w:szCs w:val="32"/>
          <w:lang w:val="zh-CN"/>
        </w:rPr>
        <w:t>决算情况说明</w:t>
      </w:r>
      <w:r>
        <w:rPr>
          <w:rFonts w:hint="eastAsia" w:ascii="黑体" w:hAnsi="黑体" w:eastAsia="黑体" w:cs="黑体"/>
          <w:sz w:val="32"/>
          <w:szCs w:val="32"/>
          <w:lang w:val="zh-CN"/>
        </w:rPr>
        <w:tab/>
      </w:r>
      <w:r>
        <w:rPr>
          <w:rFonts w:hint="eastAsia" w:ascii="Times New Roman" w:eastAsia="黑体"/>
          <w:sz w:val="32"/>
          <w:szCs w:val="32"/>
        </w:rPr>
        <w:t>9</w:t>
      </w:r>
    </w:p>
    <w:p w14:paraId="530DBB2D">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一、收入支出决算总体情况说明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9</w:t>
      </w:r>
    </w:p>
    <w:p w14:paraId="08ACBE88">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二、收入决算情况说明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9</w:t>
      </w:r>
    </w:p>
    <w:p w14:paraId="01CE047B">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三、支出决算情况说明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10</w:t>
      </w:r>
    </w:p>
    <w:p w14:paraId="7EB83A84">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四、财政拨款收入支出决算总体情况说明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11</w:t>
      </w:r>
    </w:p>
    <w:p w14:paraId="3AE4408F">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五、一般公共预算财政拨款支出决算情况说明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11</w:t>
      </w:r>
    </w:p>
    <w:p w14:paraId="1DCF37D9">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六、一般公共预算财政拨款基本支出决算情况说明</w:t>
      </w:r>
      <w:r>
        <w:rPr>
          <w:rFonts w:hint="eastAsia" w:ascii="楷体_GB2312" w:hAnsi="楷体_GB2312" w:eastAsia="楷体_GB2312" w:cs="楷体_GB2312"/>
          <w:sz w:val="32"/>
          <w:szCs w:val="32"/>
          <w:lang w:val="zh-CN"/>
        </w:rPr>
        <w:tab/>
      </w:r>
      <w:r>
        <w:rPr>
          <w:rFonts w:hint="eastAsia" w:ascii="楷体_GB2312" w:hAnsi="楷体_GB2312" w:eastAsia="楷体_GB2312" w:cs="楷体_GB2312"/>
          <w:sz w:val="32"/>
          <w:szCs w:val="32"/>
        </w:rPr>
        <w:t>1</w:t>
      </w:r>
      <w:r>
        <w:rPr>
          <w:rFonts w:hint="eastAsia" w:ascii="Times New Roman" w:eastAsia="楷体_GB2312"/>
          <w:sz w:val="32"/>
          <w:szCs w:val="32"/>
        </w:rPr>
        <w:t>3</w:t>
      </w:r>
    </w:p>
    <w:p w14:paraId="0EFE0AEC">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七、财政拨款“三公”经费支出决算情况说明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14</w:t>
      </w:r>
    </w:p>
    <w:p w14:paraId="365E0C05">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八、政府性基金预算支出决算情况说明</w:t>
      </w:r>
      <w:r>
        <w:rPr>
          <w:rFonts w:hint="eastAsia" w:ascii="楷体_GB2312" w:hAnsi="楷体_GB2312" w:eastAsia="楷体_GB2312" w:cs="楷体_GB2312"/>
          <w:sz w:val="32"/>
          <w:szCs w:val="32"/>
          <w:lang w:val="zh-CN"/>
        </w:rPr>
        <w:tab/>
      </w:r>
      <w:r>
        <w:rPr>
          <w:rFonts w:hint="eastAsia" w:ascii="Times New Roman" w:eastAsia="楷体_GB2312"/>
          <w:sz w:val="32"/>
          <w:szCs w:val="32"/>
        </w:rPr>
        <w:t>16</w:t>
      </w:r>
    </w:p>
    <w:p w14:paraId="2A613D4E">
      <w:pPr>
        <w:keepNext/>
        <w:keepLines/>
        <w:tabs>
          <w:tab w:val="right" w:leader="dot" w:pos="8845"/>
        </w:tabs>
        <w:spacing w:beforeLines="0" w:afterLines="0" w:line="576" w:lineRule="exact"/>
        <w:jc w:val="both"/>
        <w:rPr>
          <w:rFonts w:hint="eastAsia" w:ascii="楷体_GB2312" w:hAnsi="楷体_GB2312" w:cs="楷体_GB2312"/>
          <w:sz w:val="32"/>
          <w:szCs w:val="32"/>
        </w:rPr>
      </w:pPr>
      <w:r>
        <w:rPr>
          <w:rFonts w:hint="eastAsia" w:ascii="楷体_GB2312" w:hAnsi="楷体_GB2312" w:eastAsia="楷体_GB2312" w:cs="楷体_GB2312"/>
          <w:sz w:val="32"/>
          <w:szCs w:val="32"/>
          <w:lang w:val="zh-CN"/>
        </w:rPr>
        <w:t>九、国有资本经营预算支出决算情况说明</w:t>
      </w:r>
      <w:r>
        <w:rPr>
          <w:rFonts w:hint="eastAsia" w:ascii="楷体_GB2312" w:hAnsi="楷体_GB2312" w:eastAsia="楷体_GB2312" w:cs="楷体_GB2312"/>
          <w:sz w:val="32"/>
          <w:szCs w:val="32"/>
          <w:lang w:val="zh-CN"/>
        </w:rPr>
        <w:tab/>
      </w:r>
      <w:r>
        <w:rPr>
          <w:rFonts w:hint="default" w:ascii="Times New Roman" w:eastAsia="Times New Roman"/>
          <w:sz w:val="32"/>
          <w:szCs w:val="32"/>
          <w:lang w:val="zh-CN"/>
        </w:rPr>
        <w:t>1</w:t>
      </w:r>
      <w:r>
        <w:rPr>
          <w:rFonts w:hint="eastAsia" w:ascii="Times New Roman"/>
          <w:sz w:val="32"/>
          <w:szCs w:val="32"/>
        </w:rPr>
        <w:t>6</w:t>
      </w:r>
    </w:p>
    <w:p w14:paraId="64242A70">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十、其他重要事项的情况说明</w:t>
      </w:r>
      <w:r>
        <w:rPr>
          <w:rFonts w:hint="eastAsia" w:ascii="楷体_GB2312" w:hAnsi="楷体_GB2312" w:eastAsia="楷体_GB2312" w:cs="楷体_GB2312"/>
          <w:sz w:val="32"/>
          <w:szCs w:val="32"/>
          <w:lang w:val="zh-CN"/>
        </w:rPr>
        <w:tab/>
      </w:r>
      <w:r>
        <w:rPr>
          <w:rFonts w:hint="default" w:ascii="Times New Roman" w:eastAsia="Times New Roman"/>
          <w:sz w:val="32"/>
          <w:szCs w:val="32"/>
          <w:lang w:val="zh-CN"/>
        </w:rPr>
        <w:t>1</w:t>
      </w:r>
      <w:r>
        <w:rPr>
          <w:rFonts w:hint="eastAsia" w:ascii="Times New Roman" w:eastAsia="楷体_GB2312"/>
          <w:sz w:val="32"/>
          <w:szCs w:val="32"/>
        </w:rPr>
        <w:t>7</w:t>
      </w:r>
    </w:p>
    <w:p w14:paraId="4169EAFA">
      <w:pPr>
        <w:keepNext/>
        <w:keepLines/>
        <w:tabs>
          <w:tab w:val="right" w:leader="dot" w:pos="8845"/>
        </w:tabs>
        <w:spacing w:beforeLines="0" w:afterLines="0" w:line="576" w:lineRule="exact"/>
        <w:jc w:val="both"/>
        <w:rPr>
          <w:rFonts w:hint="eastAsia" w:ascii="黑体" w:hAnsi="黑体" w:eastAsia="黑体" w:cs="黑体"/>
          <w:sz w:val="32"/>
          <w:szCs w:val="32"/>
          <w:lang w:val="zh-CN"/>
        </w:rPr>
      </w:pPr>
      <w:r>
        <w:rPr>
          <w:rFonts w:hint="eastAsia" w:ascii="黑体" w:hAnsi="黑体" w:eastAsia="黑体" w:cs="黑体"/>
          <w:sz w:val="32"/>
          <w:szCs w:val="32"/>
          <w:lang w:val="zh-CN"/>
        </w:rPr>
        <w:t>第三部分 名词解释</w:t>
      </w:r>
      <w:r>
        <w:rPr>
          <w:rFonts w:hint="eastAsia" w:ascii="黑体" w:hAnsi="黑体" w:eastAsia="黑体" w:cs="黑体"/>
          <w:sz w:val="32"/>
          <w:szCs w:val="32"/>
          <w:lang w:val="zh-CN"/>
        </w:rPr>
        <w:tab/>
      </w:r>
      <w:r>
        <w:rPr>
          <w:rFonts w:hint="default" w:ascii="Times New Roman" w:eastAsia="Times New Roman"/>
          <w:sz w:val="32"/>
          <w:szCs w:val="32"/>
          <w:lang w:val="zh-CN"/>
        </w:rPr>
        <w:t>1</w:t>
      </w:r>
      <w:r>
        <w:rPr>
          <w:rFonts w:hint="eastAsia" w:ascii="Times New Roman" w:eastAsia="黑体"/>
          <w:sz w:val="32"/>
          <w:szCs w:val="32"/>
        </w:rPr>
        <w:t>9</w:t>
      </w:r>
    </w:p>
    <w:p w14:paraId="273C4120">
      <w:pPr>
        <w:keepNext/>
        <w:keepLines/>
        <w:tabs>
          <w:tab w:val="right" w:leader="dot" w:pos="8845"/>
        </w:tabs>
        <w:spacing w:beforeLines="0" w:afterLines="0" w:line="576" w:lineRule="exact"/>
        <w:jc w:val="both"/>
        <w:rPr>
          <w:rFonts w:hint="eastAsia" w:ascii="黑体" w:hAnsi="黑体" w:eastAsia="黑体" w:cs="黑体"/>
          <w:sz w:val="32"/>
          <w:szCs w:val="32"/>
        </w:rPr>
      </w:pPr>
      <w:r>
        <w:rPr>
          <w:rFonts w:hint="eastAsia" w:ascii="黑体" w:hAnsi="黑体" w:eastAsia="黑体" w:cs="黑体"/>
          <w:sz w:val="32"/>
          <w:szCs w:val="32"/>
          <w:lang w:val="zh-CN"/>
        </w:rPr>
        <w:t>第四部分 附件</w:t>
      </w:r>
      <w:r>
        <w:rPr>
          <w:rFonts w:hint="eastAsia" w:ascii="黑体" w:hAnsi="黑体" w:eastAsia="黑体" w:cs="黑体"/>
          <w:sz w:val="32"/>
          <w:szCs w:val="32"/>
          <w:lang w:val="zh-CN"/>
        </w:rPr>
        <w:tab/>
      </w:r>
      <w:r>
        <w:rPr>
          <w:rFonts w:hint="eastAsia" w:ascii="Times New Roman" w:eastAsia="黑体"/>
          <w:sz w:val="32"/>
          <w:szCs w:val="32"/>
        </w:rPr>
        <w:t>22</w:t>
      </w:r>
    </w:p>
    <w:p w14:paraId="291BB2F1">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附件1</w:t>
      </w:r>
      <w:r>
        <w:rPr>
          <w:rFonts w:hint="eastAsia" w:ascii="楷体_GB2312" w:hAnsi="楷体_GB2312" w:eastAsia="楷体_GB2312" w:cs="楷体_GB2312"/>
          <w:sz w:val="32"/>
          <w:szCs w:val="32"/>
          <w:lang w:val="zh-CN"/>
        </w:rPr>
        <w:tab/>
      </w:r>
      <w:r>
        <w:rPr>
          <w:rFonts w:hint="default" w:ascii="Times New Roman" w:eastAsia="Times New Roman"/>
          <w:sz w:val="32"/>
          <w:szCs w:val="32"/>
        </w:rPr>
        <w:t>22</w:t>
      </w:r>
    </w:p>
    <w:p w14:paraId="6AEBAD24">
      <w:pPr>
        <w:keepNext/>
        <w:keepLines/>
        <w:tabs>
          <w:tab w:val="right" w:leader="dot" w:pos="8845"/>
        </w:tabs>
        <w:spacing w:beforeLines="0" w:afterLines="0" w:line="576" w:lineRule="exact"/>
        <w:jc w:val="both"/>
        <w:rPr>
          <w:rFonts w:hint="eastAsia" w:ascii="仿宋_GB2312" w:eastAsia="仿宋_GB2312"/>
          <w:sz w:val="32"/>
          <w:szCs w:val="32"/>
        </w:rPr>
      </w:pPr>
      <w:r>
        <w:rPr>
          <w:rFonts w:hint="eastAsia" w:ascii="楷体_GB2312" w:hAnsi="楷体_GB2312" w:eastAsia="楷体_GB2312" w:cs="楷体_GB2312"/>
          <w:sz w:val="32"/>
          <w:szCs w:val="32"/>
          <w:lang w:val="zh-CN"/>
        </w:rPr>
        <w:t>附件2</w:t>
      </w:r>
      <w:r>
        <w:rPr>
          <w:rFonts w:hint="eastAsia" w:ascii="仿宋_GB2312" w:eastAsia="仿宋_GB2312"/>
          <w:sz w:val="32"/>
          <w:szCs w:val="32"/>
        </w:rPr>
        <w:tab/>
      </w:r>
      <w:r>
        <w:rPr>
          <w:rFonts w:hint="default" w:ascii="Times New Roman" w:eastAsia="Times New Roman"/>
          <w:sz w:val="32"/>
          <w:szCs w:val="32"/>
        </w:rPr>
        <w:t>33</w:t>
      </w:r>
    </w:p>
    <w:p w14:paraId="4E587462">
      <w:pPr>
        <w:keepNext/>
        <w:keepLines/>
        <w:tabs>
          <w:tab w:val="right" w:leader="dot" w:pos="8845"/>
        </w:tabs>
        <w:spacing w:beforeLines="0" w:afterLines="0" w:line="576" w:lineRule="exact"/>
        <w:jc w:val="both"/>
        <w:rPr>
          <w:rFonts w:hint="eastAsia" w:ascii="黑体" w:hAnsi="黑体" w:eastAsia="黑体" w:cs="黑体"/>
          <w:sz w:val="32"/>
          <w:szCs w:val="32"/>
        </w:rPr>
      </w:pPr>
      <w:r>
        <w:rPr>
          <w:rFonts w:hint="eastAsia" w:ascii="黑体" w:hAnsi="黑体" w:eastAsia="黑体" w:cs="黑体"/>
          <w:sz w:val="32"/>
          <w:szCs w:val="32"/>
          <w:lang w:val="zh-CN"/>
        </w:rPr>
        <w:t>第五部分 附表</w:t>
      </w:r>
      <w:r>
        <w:rPr>
          <w:rFonts w:hint="eastAsia" w:ascii="黑体" w:hAnsi="黑体" w:eastAsia="黑体" w:cs="黑体"/>
          <w:sz w:val="32"/>
          <w:szCs w:val="32"/>
          <w:lang w:val="zh-CN"/>
        </w:rPr>
        <w:tab/>
      </w:r>
      <w:r>
        <w:rPr>
          <w:rFonts w:hint="eastAsia" w:ascii="Times New Roman" w:eastAsia="黑体"/>
          <w:sz w:val="32"/>
          <w:szCs w:val="32"/>
        </w:rPr>
        <w:t>43</w:t>
      </w:r>
    </w:p>
    <w:p w14:paraId="5FBC6BEF">
      <w:pPr>
        <w:keepNext/>
        <w:keepLines/>
        <w:tabs>
          <w:tab w:val="right" w:leader="dot" w:pos="8845"/>
        </w:tabs>
        <w:spacing w:beforeLines="0" w:afterLines="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一、收入支出决算总表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63D40103">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二、收入决算表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7332D4A6">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16ECF3C4">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四、财政拨款收入支出决算总表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0B0BE75B">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五、财政拨款支出决算明细表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3B73B9D4">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六、一般公共预算财政拨款支出决算表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6A8744D3">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七、一般公共预算财政拨款支出决算明细表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73079E8C">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八、一般公共预算财政拨款基本支出决算表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0CA80896">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九、一般公共预算财政拨款项目支出决算表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387EEA16">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十、政府性基金预算财政拨款收入支出决算表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6DD46DC7">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十一、国有资本经营预算财政拨款收入支出决算表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777F7109">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十二、国有资本经营预算财政拨款支出决算表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0DB08EC6">
      <w:pPr>
        <w:keepNext/>
        <w:keepLines/>
        <w:tabs>
          <w:tab w:val="right" w:leader="dot" w:pos="8845"/>
        </w:tabs>
        <w:spacing w:beforeLines="0" w:afterLines="0" w:line="576" w:lineRule="exact"/>
        <w:jc w:val="both"/>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十三、财政拨款“三公”经费支出决算表</w:t>
      </w:r>
      <w:r>
        <w:rPr>
          <w:rFonts w:hint="eastAsia" w:ascii="楷体_GB2312" w:hAnsi="楷体_GB2312" w:eastAsia="楷体_GB2312" w:cs="楷体_GB2312"/>
          <w:sz w:val="32"/>
          <w:szCs w:val="32"/>
          <w:lang w:val="zh-CN"/>
        </w:rPr>
        <w:tab/>
      </w:r>
      <w:r>
        <w:rPr>
          <w:rFonts w:hint="eastAsia" w:ascii="Times New Roman" w:eastAsia="黑体"/>
          <w:sz w:val="32"/>
          <w:szCs w:val="32"/>
        </w:rPr>
        <w:t>43</w:t>
      </w:r>
    </w:p>
    <w:p w14:paraId="2649926E">
      <w:pPr>
        <w:spacing w:beforeLines="0" w:afterLines="0"/>
        <w:rPr>
          <w:rFonts w:hint="eastAsia"/>
          <w:sz w:val="24"/>
          <w:szCs w:val="24"/>
        </w:rPr>
      </w:pPr>
    </w:p>
    <w:p w14:paraId="27393514">
      <w:pPr>
        <w:keepNext/>
        <w:keepLines/>
        <w:tabs>
          <w:tab w:val="right" w:leader="dot" w:pos="8845"/>
        </w:tabs>
        <w:spacing w:beforeLines="0" w:afterLines="0" w:line="576" w:lineRule="exact"/>
        <w:rPr>
          <w:rFonts w:hint="eastAsia" w:ascii="楷体_GB2312" w:hAnsi="楷体_GB2312" w:eastAsia="楷体_GB2312" w:cs="楷体_GB2312"/>
          <w:sz w:val="32"/>
          <w:szCs w:val="32"/>
          <w:lang w:val="zh-CN"/>
        </w:rPr>
      </w:pPr>
    </w:p>
    <w:p w14:paraId="02231E95">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第一部分 部门概况</w:t>
      </w:r>
    </w:p>
    <w:p w14:paraId="058B4B77">
      <w:pPr>
        <w:pStyle w:val="4"/>
        <w:overflowPunct w:val="0"/>
        <w:topLinePunct/>
        <w:spacing w:before="72" w:afterLines="0"/>
        <w:rPr>
          <w:rFonts w:hint="eastAsia"/>
          <w:sz w:val="30"/>
          <w:szCs w:val="24"/>
        </w:rPr>
      </w:pPr>
    </w:p>
    <w:p w14:paraId="204E8AAD">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2A883DB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（一）主要职能。</w:t>
      </w:r>
    </w:p>
    <w:p w14:paraId="4E17348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1</w:t>
      </w:r>
      <w:r>
        <w:rPr>
          <w:rFonts w:hint="eastAsia" w:ascii="仿宋_GB2312" w:hAnsi="仿宋_GB2312" w:eastAsia="仿宋_GB2312"/>
          <w:color w:val="000000"/>
          <w:sz w:val="32"/>
          <w:szCs w:val="24"/>
        </w:rPr>
        <w:t>.承担副厅级及以上领导（含曾经担任）来昭的服务保障工作。</w:t>
      </w:r>
    </w:p>
    <w:p w14:paraId="3AA3FBC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2</w:t>
      </w:r>
      <w:r>
        <w:rPr>
          <w:rFonts w:hint="eastAsia" w:ascii="仿宋_GB2312" w:hAnsi="仿宋_GB2312" w:eastAsia="仿宋_GB2312"/>
          <w:color w:val="000000"/>
          <w:sz w:val="32"/>
          <w:szCs w:val="24"/>
        </w:rPr>
        <w:t>.按照有关规定负责和参与市级及以上党委、政府派出的巡、视、检查、督查（督导、督察）、考察、调研、考核、审计等综合性工作组来昭的服务保障工作。</w:t>
      </w:r>
    </w:p>
    <w:p w14:paraId="55432A4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3</w:t>
      </w:r>
      <w:r>
        <w:rPr>
          <w:rFonts w:hint="eastAsia" w:ascii="仿宋_GB2312" w:hAnsi="仿宋_GB2312" w:eastAsia="仿宋_GB2312"/>
          <w:color w:val="000000"/>
          <w:sz w:val="32"/>
          <w:szCs w:val="24"/>
        </w:rPr>
        <w:t>.会同有关部门做好中央、国家机关各部委（含各民主党派、工商联等）和省、市级正县级实职领导来昭的服务保障工作。</w:t>
      </w:r>
    </w:p>
    <w:p w14:paraId="33264C2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4</w:t>
      </w:r>
      <w:r>
        <w:rPr>
          <w:rFonts w:hint="eastAsia" w:ascii="仿宋_GB2312" w:hAnsi="仿宋_GB2312" w:eastAsia="仿宋_GB2312"/>
          <w:color w:val="000000"/>
          <w:sz w:val="32"/>
          <w:szCs w:val="24"/>
        </w:rPr>
        <w:t>.负责外县（区）党政代表团和人大、政协主要领导率队的考察团来昭的协调联络和服务保障工作。</w:t>
      </w:r>
    </w:p>
    <w:p w14:paraId="5C014BA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5</w:t>
      </w:r>
      <w:r>
        <w:rPr>
          <w:rFonts w:hint="eastAsia" w:ascii="仿宋_GB2312" w:hAnsi="仿宋_GB2312" w:eastAsia="仿宋_GB2312"/>
          <w:color w:val="000000"/>
          <w:sz w:val="32"/>
          <w:szCs w:val="24"/>
        </w:rPr>
        <w:t>.负责区委、区政府交办的由区公务服务中心承担的公务服务和招商引资事项的服务保障工作。</w:t>
      </w:r>
    </w:p>
    <w:p w14:paraId="3DD10FA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6</w:t>
      </w:r>
      <w:r>
        <w:rPr>
          <w:rFonts w:hint="eastAsia" w:ascii="仿宋_GB2312" w:hAnsi="仿宋_GB2312" w:eastAsia="仿宋_GB2312"/>
          <w:color w:val="000000"/>
          <w:sz w:val="32"/>
          <w:szCs w:val="24"/>
        </w:rPr>
        <w:t>.会同区级有关部门承担区委、区政府交办的大型会议、活动的接待服务保障工作。</w:t>
      </w:r>
    </w:p>
    <w:p w14:paraId="271A96C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7</w:t>
      </w:r>
      <w:r>
        <w:rPr>
          <w:rFonts w:hint="eastAsia" w:ascii="仿宋_GB2312" w:hAnsi="仿宋_GB2312" w:eastAsia="仿宋_GB2312"/>
          <w:color w:val="000000"/>
          <w:sz w:val="32"/>
          <w:szCs w:val="24"/>
        </w:rPr>
        <w:t>.指导镇、区级部门的公务服务保障工作；负责拟订全区公务服务相关规定。</w:t>
      </w:r>
    </w:p>
    <w:p w14:paraId="61CA5D4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color w:val="000000"/>
          <w:sz w:val="32"/>
          <w:szCs w:val="24"/>
        </w:rPr>
        <w:t>8</w:t>
      </w:r>
      <w:r>
        <w:rPr>
          <w:rFonts w:hint="eastAsia" w:ascii="仿宋_GB2312" w:hAnsi="仿宋_GB2312" w:eastAsia="仿宋_GB2312"/>
          <w:color w:val="000000"/>
          <w:sz w:val="32"/>
          <w:szCs w:val="24"/>
        </w:rPr>
        <w:t>.完成区委、区政府交办的其他任务。</w:t>
      </w:r>
    </w:p>
    <w:p w14:paraId="57EF489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w:t>
      </w:r>
      <w:r>
        <w:rPr>
          <w:rFonts w:hint="eastAsia" w:ascii="Times New Roman" w:eastAsia="仿宋_GB2312"/>
          <w:color w:val="000000"/>
          <w:sz w:val="32"/>
          <w:szCs w:val="24"/>
        </w:rPr>
        <w:t>2023</w:t>
      </w:r>
      <w:r>
        <w:rPr>
          <w:rFonts w:hint="eastAsia" w:ascii="仿宋_GB2312" w:hAnsi="仿宋_GB2312" w:eastAsia="仿宋_GB2312"/>
          <w:color w:val="000000"/>
          <w:sz w:val="32"/>
          <w:szCs w:val="24"/>
        </w:rPr>
        <w:t>年重点工作完成情况。</w:t>
      </w:r>
    </w:p>
    <w:p w14:paraId="50E7728C">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Times New Roman" w:eastAsia="仿宋_GB2312"/>
          <w:kern w:val="2"/>
          <w:sz w:val="32"/>
          <w:szCs w:val="24"/>
        </w:rPr>
        <w:t>1</w:t>
      </w:r>
      <w:r>
        <w:rPr>
          <w:rFonts w:hint="eastAsia" w:ascii="仿宋_GB2312" w:hAnsi="仿宋_GB2312" w:eastAsia="仿宋_GB2312"/>
          <w:kern w:val="2"/>
          <w:sz w:val="32"/>
          <w:szCs w:val="24"/>
        </w:rPr>
        <w:t>.围绕中心、服务大局，高质量完成各项接待工作</w:t>
      </w:r>
    </w:p>
    <w:p w14:paraId="5CC1535E">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Times New Roman" w:eastAsia="仿宋_GB2312"/>
          <w:kern w:val="2"/>
          <w:sz w:val="32"/>
          <w:szCs w:val="24"/>
        </w:rPr>
        <w:t>2023</w:t>
      </w:r>
      <w:r>
        <w:rPr>
          <w:rFonts w:hint="eastAsia" w:ascii="仿宋_GB2312" w:hAnsi="仿宋_GB2312" w:eastAsia="仿宋_GB2312"/>
          <w:kern w:val="2"/>
          <w:sz w:val="32"/>
          <w:szCs w:val="24"/>
        </w:rPr>
        <w:t>年共接待来宾</w:t>
      </w:r>
      <w:r>
        <w:rPr>
          <w:rFonts w:hint="eastAsia" w:ascii="Times New Roman" w:eastAsia="仿宋_GB2312"/>
          <w:kern w:val="2"/>
          <w:sz w:val="32"/>
          <w:szCs w:val="24"/>
        </w:rPr>
        <w:t>292</w:t>
      </w:r>
      <w:r>
        <w:rPr>
          <w:rFonts w:hint="eastAsia" w:ascii="仿宋_GB2312" w:hAnsi="仿宋_GB2312" w:eastAsia="仿宋_GB2312"/>
          <w:kern w:val="2"/>
          <w:sz w:val="32"/>
          <w:szCs w:val="24"/>
        </w:rPr>
        <w:t>批次，其中省部级领导</w:t>
      </w:r>
      <w:r>
        <w:rPr>
          <w:rFonts w:hint="eastAsia" w:ascii="Times New Roman" w:eastAsia="仿宋_GB2312"/>
          <w:kern w:val="2"/>
          <w:sz w:val="32"/>
          <w:szCs w:val="24"/>
        </w:rPr>
        <w:t>15</w:t>
      </w:r>
      <w:r>
        <w:rPr>
          <w:rFonts w:hint="eastAsia" w:ascii="仿宋_GB2312" w:hAnsi="仿宋_GB2312" w:eastAsia="仿宋_GB2312"/>
          <w:kern w:val="2"/>
          <w:sz w:val="32"/>
          <w:szCs w:val="24"/>
        </w:rPr>
        <w:t>次，全区各类重大会议活动</w:t>
      </w:r>
      <w:r>
        <w:rPr>
          <w:rFonts w:hint="eastAsia" w:ascii="Times New Roman" w:eastAsia="仿宋_GB2312"/>
          <w:kern w:val="2"/>
          <w:sz w:val="32"/>
          <w:szCs w:val="24"/>
        </w:rPr>
        <w:t>17</w:t>
      </w:r>
      <w:r>
        <w:rPr>
          <w:rFonts w:hint="eastAsia" w:ascii="仿宋_GB2312" w:hAnsi="仿宋_GB2312" w:eastAsia="仿宋_GB2312"/>
          <w:kern w:val="2"/>
          <w:sz w:val="32"/>
          <w:szCs w:val="24"/>
        </w:rPr>
        <w:t>次，省、市各类现场会</w:t>
      </w:r>
      <w:r>
        <w:rPr>
          <w:rFonts w:hint="eastAsia" w:ascii="Times New Roman" w:eastAsia="仿宋_GB2312"/>
          <w:kern w:val="2"/>
          <w:sz w:val="32"/>
          <w:szCs w:val="24"/>
        </w:rPr>
        <w:t>12</w:t>
      </w:r>
      <w:r>
        <w:rPr>
          <w:rFonts w:hint="eastAsia" w:ascii="仿宋_GB2312" w:hAnsi="仿宋_GB2312" w:eastAsia="仿宋_GB2312"/>
          <w:kern w:val="2"/>
          <w:sz w:val="32"/>
          <w:szCs w:val="24"/>
        </w:rPr>
        <w:t>次。高水平完成了三国文化旅游节、“司马错来蜀与中国大统一”研讨会、“我们的节日”重阳四川省示范活动、全市</w:t>
      </w:r>
      <w:r>
        <w:rPr>
          <w:rFonts w:hint="eastAsia" w:ascii="Times New Roman" w:eastAsia="仿宋_GB2312"/>
          <w:kern w:val="2"/>
          <w:sz w:val="32"/>
          <w:szCs w:val="24"/>
        </w:rPr>
        <w:t>2023</w:t>
      </w:r>
      <w:r>
        <w:rPr>
          <w:rFonts w:hint="eastAsia" w:ascii="仿宋_GB2312" w:hAnsi="仿宋_GB2312" w:eastAsia="仿宋_GB2312"/>
          <w:kern w:val="2"/>
          <w:sz w:val="32"/>
          <w:szCs w:val="24"/>
        </w:rPr>
        <w:t>年三季度项目投资“拉练评比”暨四季度重大项目现场推进活动等重大会议活动的公务服务保障任务，并在昭化区创建省级法治政府示范区、创建天府旅游名县等重大创建工作中表现出色。围绕各项接待任务，精心组织，周密部署，超前谋划，狠抓落实，把好每一个细节，以“零失误”的标准圆满完成了各项接待工作任务，赢得了各级领导和来宾的高度肯定和好评。</w:t>
      </w:r>
    </w:p>
    <w:p w14:paraId="5729E3C9">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Times New Roman" w:eastAsia="仿宋_GB2312"/>
          <w:kern w:val="2"/>
          <w:sz w:val="32"/>
          <w:szCs w:val="24"/>
        </w:rPr>
        <w:t>2</w:t>
      </w:r>
      <w:r>
        <w:rPr>
          <w:rFonts w:hint="eastAsia" w:ascii="仿宋_GB2312" w:hAnsi="仿宋_GB2312" w:eastAsia="仿宋_GB2312"/>
          <w:kern w:val="2"/>
          <w:sz w:val="32"/>
          <w:szCs w:val="24"/>
        </w:rPr>
        <w:t>.创新思路、丰富内涵，高标准开展接待管理工作</w:t>
      </w:r>
    </w:p>
    <w:p w14:paraId="62CEA21B">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是坚持接待工作规范化。严格按照《广元市党政机关国内公务接待管理办法》和《昭化区党政机关公务接待管理办法补充规定》等要求开展工作，以制度管人，按制度办事。不断适应新形势新要求，明确全区党政机关公务接待审批程序及接待范围，全面梳理区外县级以上领导来昭接待信息，完善来宾信息报送流程，促进接待工作提质增效。更新接待工作流程图，完善接待公函制度，有效杜绝了“打个招呼就接待”、“一个电话就安排”的随意性问题。严格控制接待成本，厉行勤俭节约，反对铺张浪费，既控制了接待费用又不失接待礼遇。</w:t>
      </w:r>
    </w:p>
    <w:p w14:paraId="204DFA3D">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二是打造接待工作特色化。坚持以创新激发接待工作活力，进一步彰显文化内涵，展示昭化特色，创新接待机制，改进接待方法，并适当引入当地特色元素，努力在接待工作中融入地方特色。例如在今年天府旅游名县迎检接待中安排的昭化三国主题文化餐，不仅是从用餐环境、餐盘布置、菜单设计、菜品安排等方面突出主题，更增加菜品故事解说环节让来宾沉浸式体验三国文化，给来宾留下深刻印象，有效发挥了接待工作在品牌提升方面的宣传功能。</w:t>
      </w:r>
    </w:p>
    <w:p w14:paraId="0E8DC639">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三是力促接待工作精细化。全面实行人性化、个性化服务，紧扣来宾和领导意图，结合来访目的、线路安排、点位特色、客观环境等各种情况，科学拟定接待方案，确保周密详尽。操作过程中，及时与各部门、各接待点位联系沟通，确保环环相扣，全面周到，接待任务高起点部署，高标准落实，高质量完成。在重要接待活动中，制定多套有预见性和针对性的应急预案，做到随机应变，确保万无一失。</w:t>
      </w:r>
    </w:p>
    <w:p w14:paraId="2D0BC416">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Times New Roman" w:eastAsia="仿宋_GB2312"/>
          <w:kern w:val="2"/>
          <w:sz w:val="32"/>
          <w:szCs w:val="24"/>
        </w:rPr>
        <w:t>3</w:t>
      </w:r>
      <w:r>
        <w:rPr>
          <w:rFonts w:hint="eastAsia" w:ascii="仿宋_GB2312" w:hAnsi="仿宋_GB2312" w:eastAsia="仿宋_GB2312"/>
          <w:kern w:val="2"/>
          <w:sz w:val="32"/>
          <w:szCs w:val="24"/>
        </w:rPr>
        <w:t>.夯实基础、提升实力，高水平提升干部队伍素质</w:t>
      </w:r>
    </w:p>
    <w:p w14:paraId="3C933D83">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我中心以建设一支政治强、业务精、作风正、纪律严的高素质接待队伍为目标，切实加强干部的政治理论学习和业务学习，推动接待工作再上新台阶。</w:t>
      </w:r>
    </w:p>
    <w:p w14:paraId="06FA264D">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是强化理论武装，筑牢思想防线。积极开展主题教育，牢牢把握“学思想、强党性、重实践、建新功”的总要求，坚持不懈用习近平新时代中国特色社会主义思想凝心铸魂。每月组织我中心干部集中学习，读原著学原文悟原理，积极开展“牢记嘱托走在前、感恩奋进勇争先”解放思想大讨论，结合公务接待工作实际讲党课，在主题教育中审视公务接待的重要意义，探寻公务接待的努力方向，丰富公务接待的发展路径。</w:t>
      </w:r>
    </w:p>
    <w:p w14:paraId="681B9DB0">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二是丰富学习方式，提升业务素养。除积极参与区委办公室组织的“半月讲谈”等各类学习外，坚持每周开展工作总结会议，针对上一周的工作进行复盘，梳理问题总结经验，对薄弱环节加以改进，对优秀经验加强学习。学习形式灵活，集体学习和个人自学相结合、常态学习和专题讨论相结合、“请进来”和“走出去”相结合。邀请业内前辈开展公务礼仪知识培训，前往朝天、青川等县区交流学习，定期安排干部前往市公务服务中心跟班学习，积极参加全区各类干部培训，提升干部多方面能力，培养综合素质过硬的干部队伍。</w:t>
      </w:r>
    </w:p>
    <w:p w14:paraId="07F3E346">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Times New Roman" w:eastAsia="仿宋_GB2312"/>
          <w:kern w:val="2"/>
          <w:sz w:val="32"/>
          <w:szCs w:val="24"/>
        </w:rPr>
        <w:t>4</w:t>
      </w:r>
      <w:r>
        <w:rPr>
          <w:rFonts w:hint="eastAsia" w:ascii="仿宋_GB2312" w:hAnsi="仿宋_GB2312" w:eastAsia="仿宋_GB2312"/>
          <w:kern w:val="2"/>
          <w:sz w:val="32"/>
          <w:szCs w:val="24"/>
        </w:rPr>
        <w:t>.精细组织、严格落实，高质量推进机关事务管理工作</w:t>
      </w:r>
    </w:p>
    <w:p w14:paraId="1113E877">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区政府机关职工食堂管理安排有序。一是强化食品安全管理，落实食品原料源头追溯，让本单位职工参与，全员监督，检查到位，确保质量，全流程留样，保证职工吃的安心、放心；二是加强食堂工作人员管理，落实持证上岗、定期体检等举措，培养良好的卫生意识和习惯，提升工作技能，认真做好各项台账，力求工作做细做实万无一失；三是丰富菜品，审核每日菜单，多渠道收集职工对于就餐满意度等信息反馈，推陈出新，满足职工多样化用餐需求。</w:t>
      </w:r>
    </w:p>
    <w:p w14:paraId="38156B17">
      <w:p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县级领导周转房管理持续推进。定期加强房间水电气、网络安全管理，对发现问题及时报修，确保各设备正常运行。保洁工作有序开展，保障入住环境干净整洁。</w:t>
      </w:r>
    </w:p>
    <w:p w14:paraId="3F6033FF">
      <w:pPr>
        <w:pStyle w:val="3"/>
        <w:overflowPunct w:val="0"/>
        <w:topLinePunct/>
        <w:spacing w:beforeLines="0" w:afterLines="0"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AC470F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广元市昭化区公务服务中心部门属于一级预算单位，下属预算单位0个，其中行政单位0个，参照公务员法管理的事业单位0个，其他事业单位0个。</w:t>
      </w:r>
    </w:p>
    <w:p w14:paraId="657D517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w:t>
      </w:r>
      <w:r>
        <w:rPr>
          <w:rFonts w:hint="eastAsia" w:ascii="Times New Roman" w:eastAsia="仿宋_GB2312"/>
          <w:color w:val="000000"/>
          <w:sz w:val="32"/>
          <w:szCs w:val="24"/>
        </w:rPr>
        <w:t>2023</w:t>
      </w:r>
      <w:r>
        <w:rPr>
          <w:rFonts w:hint="eastAsia" w:ascii="仿宋_GB2312" w:hAnsi="仿宋_GB2312" w:eastAsia="仿宋_GB2312"/>
          <w:color w:val="000000"/>
          <w:sz w:val="32"/>
          <w:szCs w:val="24"/>
        </w:rPr>
        <w:t>年度部门决算编制范围的二级预算单位包括：无</w:t>
      </w:r>
    </w:p>
    <w:p w14:paraId="408B5914">
      <w:pPr>
        <w:overflowPunct w:val="0"/>
        <w:topLinePunct/>
        <w:spacing w:beforeLines="0" w:afterLines="0" w:line="576" w:lineRule="exact"/>
        <w:ind w:firstLine="880" w:firstLineChars="200"/>
        <w:jc w:val="center"/>
        <w:rPr>
          <w:rFonts w:hint="eastAsia" w:ascii="方正小标宋简体" w:eastAsia="方正小标宋简体"/>
          <w:sz w:val="44"/>
          <w:szCs w:val="44"/>
        </w:rPr>
      </w:pPr>
    </w:p>
    <w:p w14:paraId="771BF124">
      <w:pPr>
        <w:overflowPunct w:val="0"/>
        <w:topLinePunct/>
        <w:spacing w:beforeLines="0" w:afterLines="0" w:line="576" w:lineRule="exact"/>
        <w:ind w:firstLine="880" w:firstLineChars="200"/>
        <w:jc w:val="center"/>
        <w:rPr>
          <w:rFonts w:hint="eastAsia" w:ascii="方正小标宋简体" w:eastAsia="方正小标宋简体"/>
          <w:sz w:val="44"/>
          <w:szCs w:val="44"/>
        </w:rPr>
      </w:pPr>
    </w:p>
    <w:p w14:paraId="6974BFC8">
      <w:pPr>
        <w:pStyle w:val="4"/>
        <w:spacing w:afterLines="0"/>
        <w:rPr>
          <w:rFonts w:hint="eastAsia" w:ascii="方正小标宋简体" w:eastAsia="方正小标宋简体"/>
          <w:sz w:val="44"/>
          <w:szCs w:val="44"/>
        </w:rPr>
      </w:pPr>
    </w:p>
    <w:p w14:paraId="1B714D72">
      <w:pPr>
        <w:pStyle w:val="4"/>
        <w:spacing w:afterLines="0"/>
        <w:rPr>
          <w:rFonts w:hint="eastAsia" w:ascii="方正小标宋简体" w:eastAsia="方正小标宋简体"/>
          <w:sz w:val="44"/>
          <w:szCs w:val="44"/>
        </w:rPr>
      </w:pPr>
    </w:p>
    <w:p w14:paraId="10517D96">
      <w:pPr>
        <w:overflowPunct w:val="0"/>
        <w:topLinePunct/>
        <w:spacing w:beforeLines="0" w:afterLines="0" w:line="576" w:lineRule="exact"/>
        <w:ind w:firstLine="880" w:firstLineChars="200"/>
        <w:jc w:val="center"/>
        <w:rPr>
          <w:rFonts w:hint="eastAsia" w:ascii="方正小标宋简体" w:eastAsia="方正小标宋简体"/>
          <w:sz w:val="44"/>
          <w:szCs w:val="44"/>
        </w:rPr>
      </w:pPr>
    </w:p>
    <w:p w14:paraId="090E121F">
      <w:pPr>
        <w:overflowPunct w:val="0"/>
        <w:topLinePunct/>
        <w:spacing w:beforeLines="0" w:afterLines="0" w:line="576" w:lineRule="exact"/>
        <w:ind w:firstLine="880" w:firstLineChars="200"/>
        <w:jc w:val="center"/>
        <w:rPr>
          <w:rFonts w:hint="eastAsia" w:ascii="方正小标宋简体" w:eastAsia="方正小标宋简体"/>
          <w:sz w:val="44"/>
          <w:szCs w:val="44"/>
        </w:rPr>
      </w:pPr>
    </w:p>
    <w:p w14:paraId="4A9E01EA">
      <w:pPr>
        <w:overflowPunct w:val="0"/>
        <w:topLinePunct/>
        <w:spacing w:beforeLines="0" w:afterLines="0"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14:paraId="3F336676">
      <w:pPr>
        <w:overflowPunct w:val="0"/>
        <w:topLinePunct/>
        <w:spacing w:beforeLines="0" w:afterLines="0" w:line="576" w:lineRule="exact"/>
        <w:jc w:val="center"/>
        <w:rPr>
          <w:rFonts w:hint="eastAsia" w:ascii="方正小标宋简体" w:eastAsia="方正小标宋简体"/>
          <w:sz w:val="44"/>
          <w:szCs w:val="44"/>
        </w:rPr>
      </w:pPr>
    </w:p>
    <w:p w14:paraId="729E19F6">
      <w:pPr>
        <w:overflowPunct w:val="0"/>
        <w:topLinePunct/>
        <w:spacing w:beforeLines="0" w:afterLines="0"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第二部分 </w:t>
      </w:r>
      <w:r>
        <w:rPr>
          <w:rFonts w:hint="eastAsia" w:ascii="Times New Roman" w:eastAsia="方正小标宋简体"/>
          <w:sz w:val="44"/>
          <w:szCs w:val="44"/>
        </w:rPr>
        <w:t>2023</w:t>
      </w:r>
      <w:r>
        <w:rPr>
          <w:rFonts w:hint="eastAsia" w:ascii="方正小标宋简体" w:eastAsia="方正小标宋简体"/>
          <w:sz w:val="44"/>
          <w:szCs w:val="44"/>
        </w:rPr>
        <w:t>年度部门决算情况说明</w:t>
      </w:r>
    </w:p>
    <w:p w14:paraId="6F17250A">
      <w:pPr>
        <w:pStyle w:val="4"/>
        <w:spacing w:before="72" w:afterLines="0" w:line="576" w:lineRule="exact"/>
        <w:ind w:firstLine="600" w:firstLineChars="200"/>
        <w:rPr>
          <w:rFonts w:hint="eastAsia"/>
          <w:sz w:val="30"/>
          <w:szCs w:val="24"/>
        </w:rPr>
      </w:pPr>
    </w:p>
    <w:p w14:paraId="09839611">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24573FE8">
      <w:pPr>
        <w:snapToGrid w:val="0"/>
        <w:spacing w:beforeLines="0" w:afterLines="0" w:line="576" w:lineRule="exact"/>
        <w:ind w:firstLine="640" w:firstLineChars="200"/>
        <w:jc w:val="both"/>
        <w:rPr>
          <w:rFonts w:hint="eastAsia" w:ascii="仿宋_GB2312" w:hAnsi="仿宋" w:eastAsia="仿宋_GB2312"/>
          <w:sz w:val="32"/>
          <w:szCs w:val="32"/>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年度收、支总计均为</w:t>
      </w:r>
      <w:r>
        <w:rPr>
          <w:rFonts w:hint="eastAsia" w:ascii="Times New Roman" w:eastAsia="仿宋_GB2312"/>
          <w:sz w:val="32"/>
          <w:szCs w:val="32"/>
        </w:rPr>
        <w:t>299</w:t>
      </w:r>
      <w:r>
        <w:rPr>
          <w:rFonts w:hint="eastAsia" w:ascii="仿宋_GB2312" w:hAnsi="仿宋" w:eastAsia="仿宋_GB2312"/>
          <w:sz w:val="32"/>
          <w:szCs w:val="32"/>
        </w:rPr>
        <w:t>.</w:t>
      </w:r>
      <w:r>
        <w:rPr>
          <w:rFonts w:hint="eastAsia" w:ascii="Times New Roman" w:eastAsia="仿宋_GB2312"/>
          <w:sz w:val="32"/>
          <w:szCs w:val="32"/>
        </w:rPr>
        <w:t>16</w:t>
      </w:r>
      <w:r>
        <w:rPr>
          <w:rFonts w:hint="eastAsia" w:ascii="仿宋_GB2312" w:hAnsi="仿宋_GB2312" w:eastAsia="仿宋_GB2312"/>
          <w:color w:val="000000"/>
          <w:kern w:val="2"/>
          <w:sz w:val="32"/>
          <w:szCs w:val="24"/>
        </w:rPr>
        <w:t>万元。与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年度相比，收、支总计各增加</w:t>
      </w:r>
      <w:r>
        <w:rPr>
          <w:rFonts w:hint="eastAsia" w:ascii="Times New Roman" w:eastAsia="仿宋_GB2312"/>
          <w:sz w:val="32"/>
          <w:szCs w:val="32"/>
        </w:rPr>
        <w:t>96</w:t>
      </w:r>
      <w:r>
        <w:rPr>
          <w:rFonts w:hint="eastAsia" w:ascii="仿宋_GB2312" w:hAnsi="仿宋" w:eastAsia="仿宋_GB2312"/>
          <w:sz w:val="32"/>
          <w:szCs w:val="32"/>
        </w:rPr>
        <w:t>.</w:t>
      </w:r>
      <w:r>
        <w:rPr>
          <w:rFonts w:hint="eastAsia" w:ascii="Times New Roman" w:eastAsia="仿宋_GB2312"/>
          <w:sz w:val="32"/>
          <w:szCs w:val="32"/>
        </w:rPr>
        <w:t>05</w:t>
      </w:r>
      <w:r>
        <w:rPr>
          <w:rFonts w:hint="eastAsia" w:ascii="仿宋_GB2312" w:hAnsi="仿宋_GB2312" w:eastAsia="仿宋_GB2312"/>
          <w:color w:val="000000"/>
          <w:kern w:val="2"/>
          <w:sz w:val="32"/>
          <w:szCs w:val="24"/>
        </w:rPr>
        <w:t>万元，增长</w:t>
      </w:r>
      <w:r>
        <w:rPr>
          <w:rFonts w:hint="eastAsia" w:ascii="Times New Roman" w:eastAsia="仿宋_GB2312"/>
          <w:sz w:val="32"/>
          <w:szCs w:val="32"/>
        </w:rPr>
        <w:t>47</w:t>
      </w:r>
      <w:r>
        <w:rPr>
          <w:rFonts w:hint="eastAsia" w:ascii="仿宋_GB2312" w:hAnsi="仿宋" w:eastAsia="仿宋_GB2312"/>
          <w:sz w:val="32"/>
          <w:szCs w:val="32"/>
        </w:rPr>
        <w:t>.</w:t>
      </w:r>
      <w:r>
        <w:rPr>
          <w:rFonts w:hint="eastAsia" w:ascii="Times New Roman" w:eastAsia="仿宋_GB2312"/>
          <w:sz w:val="32"/>
          <w:szCs w:val="32"/>
        </w:rPr>
        <w:t>29</w:t>
      </w:r>
      <w:r>
        <w:rPr>
          <w:rFonts w:hint="eastAsia" w:ascii="仿宋_GB2312" w:hAnsi="仿宋"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 w:eastAsia="仿宋_GB2312"/>
          <w:sz w:val="32"/>
          <w:szCs w:val="32"/>
        </w:rPr>
        <w:t>本年人员增加，经费增加，临聘人员经费纳入预算。</w:t>
      </w:r>
    </w:p>
    <w:p w14:paraId="5F1B19FD">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anchor distT="0" distB="0" distL="114300" distR="114300" simplePos="0" relativeHeight="251659264" behindDoc="0" locked="0" layoutInCell="1" allowOverlap="1">
            <wp:simplePos x="0" y="0"/>
            <wp:positionH relativeFrom="column">
              <wp:posOffset>387350</wp:posOffset>
            </wp:positionH>
            <wp:positionV relativeFrom="paragraph">
              <wp:posOffset>149860</wp:posOffset>
            </wp:positionV>
            <wp:extent cx="4846320" cy="2758440"/>
            <wp:effectExtent l="0" t="0" r="11430" b="381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4846320" cy="2758440"/>
                    </a:xfrm>
                    <a:prstGeom prst="rect">
                      <a:avLst/>
                    </a:prstGeom>
                    <a:noFill/>
                    <a:ln>
                      <a:noFill/>
                    </a:ln>
                  </pic:spPr>
                </pic:pic>
              </a:graphicData>
            </a:graphic>
          </wp:anchor>
        </w:drawing>
      </w:r>
    </w:p>
    <w:p w14:paraId="3F585FE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6BBD91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2A336A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774BBA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F8D097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008C6E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5F22AE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69D68C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681CFDE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78A0BDB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年本年收入合计</w:t>
      </w:r>
      <w:r>
        <w:rPr>
          <w:rFonts w:hint="eastAsia" w:ascii="Times New Roman" w:eastAsia="仿宋_GB2312"/>
          <w:color w:val="auto"/>
          <w:sz w:val="32"/>
          <w:szCs w:val="32"/>
        </w:rPr>
        <w:t>299</w:t>
      </w:r>
      <w:r>
        <w:rPr>
          <w:rFonts w:hint="eastAsia" w:ascii="仿宋_GB2312" w:hAnsi="仿宋" w:eastAsia="仿宋_GB2312"/>
          <w:color w:val="auto"/>
          <w:sz w:val="32"/>
          <w:szCs w:val="32"/>
        </w:rPr>
        <w:t>.</w:t>
      </w:r>
      <w:r>
        <w:rPr>
          <w:rFonts w:hint="eastAsia" w:ascii="Times New Roman" w:eastAsia="仿宋_GB2312"/>
          <w:color w:val="auto"/>
          <w:sz w:val="32"/>
          <w:szCs w:val="32"/>
        </w:rPr>
        <w:t>16</w:t>
      </w:r>
      <w:r>
        <w:rPr>
          <w:rFonts w:hint="eastAsia" w:ascii="仿宋_GB2312" w:hAnsi="仿宋_GB2312" w:eastAsia="仿宋_GB2312"/>
          <w:color w:val="000000"/>
          <w:kern w:val="2"/>
          <w:sz w:val="32"/>
          <w:szCs w:val="24"/>
        </w:rPr>
        <w:t>万元，其中：一般公共预算财政拨款收入</w:t>
      </w:r>
      <w:r>
        <w:rPr>
          <w:rFonts w:hint="eastAsia" w:ascii="Times New Roman" w:eastAsia="仿宋_GB2312"/>
          <w:color w:val="auto"/>
          <w:sz w:val="32"/>
          <w:szCs w:val="32"/>
        </w:rPr>
        <w:t>299</w:t>
      </w:r>
      <w:r>
        <w:rPr>
          <w:rFonts w:hint="eastAsia" w:ascii="仿宋_GB2312" w:hAnsi="仿宋" w:eastAsia="仿宋_GB2312"/>
          <w:color w:val="auto"/>
          <w:sz w:val="32"/>
          <w:szCs w:val="32"/>
        </w:rPr>
        <w:t>.</w:t>
      </w:r>
      <w:r>
        <w:rPr>
          <w:rFonts w:hint="eastAsia" w:ascii="Times New Roman" w:eastAsia="仿宋_GB2312"/>
          <w:color w:val="auto"/>
          <w:sz w:val="32"/>
          <w:szCs w:val="32"/>
        </w:rPr>
        <w:t>16</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14:paraId="10EFC53F">
      <w:pPr>
        <w:overflowPunct w:val="0"/>
        <w:topLinePunct/>
        <w:spacing w:beforeLines="0" w:afterLines="0" w:line="576" w:lineRule="exact"/>
        <w:jc w:val="center"/>
        <w:rPr>
          <w:rFonts w:hint="eastAsia" w:ascii="仿宋_GB2312" w:hAnsi="仿宋_GB2312" w:eastAsia="仿宋_GB2312"/>
          <w:color w:val="000000"/>
          <w:kern w:val="2"/>
          <w:sz w:val="32"/>
          <w:szCs w:val="24"/>
          <w:highlight w:val="yellow"/>
        </w:rPr>
      </w:pPr>
      <w:r>
        <w:rPr>
          <w:rFonts w:hint="default" w:ascii="Times New Roman"/>
          <w:color w:val="auto"/>
          <w:sz w:val="24"/>
          <w:szCs w:val="24"/>
        </w:rPr>
        <w:drawing>
          <wp:anchor distT="0" distB="0" distL="114300" distR="114300" simplePos="0" relativeHeight="251660288" behindDoc="0" locked="0" layoutInCell="1" allowOverlap="1">
            <wp:simplePos x="0" y="0"/>
            <wp:positionH relativeFrom="column">
              <wp:posOffset>347980</wp:posOffset>
            </wp:positionH>
            <wp:positionV relativeFrom="paragraph">
              <wp:posOffset>62865</wp:posOffset>
            </wp:positionV>
            <wp:extent cx="4831080" cy="2758440"/>
            <wp:effectExtent l="0" t="0" r="7620" b="3810"/>
            <wp:wrapTopAndBottom/>
            <wp:docPr id="2" name="图表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表 4"/>
                    <pic:cNvPicPr>
                      <a:picLocks noChangeAspect="1"/>
                    </pic:cNvPicPr>
                  </pic:nvPicPr>
                  <pic:blipFill>
                    <a:blip r:embed="rId7"/>
                    <a:stretch>
                      <a:fillRect/>
                    </a:stretch>
                  </pic:blipFill>
                  <pic:spPr>
                    <a:xfrm>
                      <a:off x="0" y="0"/>
                      <a:ext cx="4831080" cy="2758440"/>
                    </a:xfrm>
                    <a:prstGeom prst="rect">
                      <a:avLst/>
                    </a:prstGeom>
                    <a:noFill/>
                    <a:ln>
                      <a:noFill/>
                    </a:ln>
                  </pic:spPr>
                </pic:pic>
              </a:graphicData>
            </a:graphic>
          </wp:anchor>
        </w:drawing>
      </w:r>
    </w:p>
    <w:p w14:paraId="48C33901">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1534F32">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3DCBA34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年本年支出合计</w:t>
      </w:r>
      <w:r>
        <w:rPr>
          <w:rFonts w:hint="eastAsia" w:ascii="Times New Roman" w:eastAsia="仿宋_GB2312"/>
          <w:color w:val="auto"/>
          <w:sz w:val="32"/>
          <w:szCs w:val="32"/>
        </w:rPr>
        <w:t>299</w:t>
      </w:r>
      <w:r>
        <w:rPr>
          <w:rFonts w:hint="eastAsia" w:ascii="仿宋_GB2312" w:hAnsi="仿宋" w:eastAsia="仿宋_GB2312"/>
          <w:color w:val="auto"/>
          <w:sz w:val="32"/>
          <w:szCs w:val="32"/>
        </w:rPr>
        <w:t>.</w:t>
      </w:r>
      <w:r>
        <w:rPr>
          <w:rFonts w:hint="eastAsia" w:ascii="Times New Roman" w:eastAsia="仿宋_GB2312"/>
          <w:color w:val="auto"/>
          <w:sz w:val="32"/>
          <w:szCs w:val="32"/>
        </w:rPr>
        <w:t>16</w:t>
      </w:r>
      <w:r>
        <w:rPr>
          <w:rFonts w:hint="eastAsia" w:ascii="仿宋_GB2312" w:hAnsi="仿宋_GB2312" w:eastAsia="仿宋_GB2312"/>
          <w:color w:val="000000"/>
          <w:kern w:val="2"/>
          <w:sz w:val="32"/>
          <w:szCs w:val="24"/>
        </w:rPr>
        <w:t>万元，其中：基本支出</w:t>
      </w:r>
      <w:r>
        <w:rPr>
          <w:rFonts w:hint="eastAsia" w:ascii="Times New Roman" w:eastAsia="仿宋_GB2312"/>
          <w:color w:val="auto"/>
          <w:sz w:val="32"/>
          <w:szCs w:val="32"/>
        </w:rPr>
        <w:t>108</w:t>
      </w:r>
      <w:r>
        <w:rPr>
          <w:rFonts w:hint="eastAsia" w:ascii="仿宋_GB2312" w:hAnsi="仿宋" w:eastAsia="仿宋_GB2312"/>
          <w:color w:val="auto"/>
          <w:sz w:val="32"/>
          <w:szCs w:val="32"/>
        </w:rPr>
        <w:t>.</w:t>
      </w:r>
      <w:r>
        <w:rPr>
          <w:rFonts w:hint="eastAsia" w:ascii="Times New Roman" w:eastAsia="仿宋_GB2312"/>
          <w:color w:val="auto"/>
          <w:sz w:val="32"/>
          <w:szCs w:val="32"/>
        </w:rPr>
        <w:t>86</w:t>
      </w:r>
      <w:r>
        <w:rPr>
          <w:rFonts w:hint="eastAsia" w:ascii="仿宋_GB2312" w:hAnsi="仿宋_GB2312" w:eastAsia="仿宋_GB2312"/>
          <w:color w:val="000000"/>
          <w:kern w:val="2"/>
          <w:sz w:val="32"/>
          <w:szCs w:val="24"/>
        </w:rPr>
        <w:t>万元，占</w:t>
      </w:r>
      <w:r>
        <w:rPr>
          <w:rFonts w:hint="eastAsia" w:ascii="Times New Roman" w:eastAsia="仿宋_GB2312"/>
          <w:color w:val="auto"/>
          <w:sz w:val="32"/>
          <w:szCs w:val="32"/>
        </w:rPr>
        <w:t>36</w:t>
      </w:r>
      <w:r>
        <w:rPr>
          <w:rFonts w:hint="eastAsia" w:ascii="仿宋_GB2312" w:hAnsi="仿宋" w:eastAsia="仿宋_GB2312"/>
          <w:color w:val="auto"/>
          <w:sz w:val="32"/>
          <w:szCs w:val="32"/>
        </w:rPr>
        <w:t>.</w:t>
      </w:r>
      <w:r>
        <w:rPr>
          <w:rFonts w:hint="eastAsia" w:ascii="Times New Roman" w:eastAsia="仿宋_GB2312"/>
          <w:color w:val="auto"/>
          <w:sz w:val="32"/>
          <w:szCs w:val="32"/>
        </w:rPr>
        <w:t>39</w:t>
      </w:r>
      <w:r>
        <w:rPr>
          <w:rFonts w:hint="eastAsia" w:ascii="仿宋_GB2312" w:hAnsi="仿宋_GB2312" w:eastAsia="仿宋_GB2312"/>
          <w:color w:val="000000"/>
          <w:kern w:val="2"/>
          <w:sz w:val="32"/>
          <w:szCs w:val="24"/>
        </w:rPr>
        <w:t>%；项目支出</w:t>
      </w:r>
      <w:r>
        <w:rPr>
          <w:rFonts w:hint="eastAsia" w:ascii="Times New Roman" w:eastAsia="仿宋_GB2312"/>
          <w:color w:val="auto"/>
          <w:sz w:val="32"/>
          <w:szCs w:val="32"/>
        </w:rPr>
        <w:t>190</w:t>
      </w:r>
      <w:r>
        <w:rPr>
          <w:rFonts w:hint="eastAsia" w:ascii="仿宋_GB2312" w:hAnsi="仿宋" w:eastAsia="仿宋_GB2312"/>
          <w:color w:val="auto"/>
          <w:sz w:val="32"/>
          <w:szCs w:val="32"/>
        </w:rPr>
        <w:t>.</w:t>
      </w:r>
      <w:r>
        <w:rPr>
          <w:rFonts w:hint="eastAsia" w:ascii="Times New Roman" w:eastAsia="仿宋_GB2312"/>
          <w:color w:val="auto"/>
          <w:sz w:val="32"/>
          <w:szCs w:val="32"/>
        </w:rPr>
        <w:t>3</w:t>
      </w:r>
      <w:r>
        <w:rPr>
          <w:rFonts w:hint="eastAsia" w:ascii="仿宋_GB2312" w:hAnsi="仿宋_GB2312" w:eastAsia="仿宋_GB2312"/>
          <w:color w:val="000000"/>
          <w:kern w:val="2"/>
          <w:sz w:val="32"/>
          <w:szCs w:val="24"/>
        </w:rPr>
        <w:t>万元，占</w:t>
      </w:r>
      <w:r>
        <w:rPr>
          <w:rFonts w:hint="eastAsia" w:ascii="Times New Roman" w:eastAsia="仿宋_GB2312"/>
          <w:color w:val="auto"/>
          <w:sz w:val="32"/>
          <w:szCs w:val="32"/>
        </w:rPr>
        <w:t>63</w:t>
      </w:r>
      <w:r>
        <w:rPr>
          <w:rFonts w:hint="eastAsia" w:ascii="仿宋_GB2312" w:hAnsi="仿宋" w:eastAsia="仿宋_GB2312"/>
          <w:color w:val="auto"/>
          <w:sz w:val="32"/>
          <w:szCs w:val="32"/>
        </w:rPr>
        <w:t>.</w:t>
      </w:r>
      <w:r>
        <w:rPr>
          <w:rFonts w:hint="eastAsia" w:ascii="Times New Roman" w:eastAsia="仿宋_GB2312"/>
          <w:color w:val="auto"/>
          <w:sz w:val="32"/>
          <w:szCs w:val="32"/>
        </w:rPr>
        <w:t>61</w:t>
      </w:r>
      <w:r>
        <w:rPr>
          <w:rFonts w:hint="eastAsia" w:ascii="仿宋_GB2312" w:hAnsi="仿宋_GB2312" w:eastAsia="仿宋_GB2312"/>
          <w:color w:val="000000"/>
          <w:kern w:val="2"/>
          <w:sz w:val="32"/>
          <w:szCs w:val="24"/>
        </w:rPr>
        <w:t>%。</w:t>
      </w:r>
    </w:p>
    <w:p w14:paraId="319EAB27">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anchor distT="0" distB="0" distL="114300" distR="114300" simplePos="0" relativeHeight="251661312" behindDoc="0" locked="0" layoutInCell="1" allowOverlap="1">
            <wp:simplePos x="0" y="0"/>
            <wp:positionH relativeFrom="column">
              <wp:posOffset>266065</wp:posOffset>
            </wp:positionH>
            <wp:positionV relativeFrom="paragraph">
              <wp:posOffset>138430</wp:posOffset>
            </wp:positionV>
            <wp:extent cx="4846320" cy="2758440"/>
            <wp:effectExtent l="0" t="0" r="11430" b="3810"/>
            <wp:wrapNone/>
            <wp:docPr id="3" name="图表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表 3"/>
                    <pic:cNvPicPr>
                      <a:picLocks noChangeAspect="1"/>
                    </pic:cNvPicPr>
                  </pic:nvPicPr>
                  <pic:blipFill>
                    <a:blip r:embed="rId8"/>
                    <a:stretch>
                      <a:fillRect/>
                    </a:stretch>
                  </pic:blipFill>
                  <pic:spPr>
                    <a:xfrm>
                      <a:off x="0" y="0"/>
                      <a:ext cx="4846320" cy="2758440"/>
                    </a:xfrm>
                    <a:prstGeom prst="rect">
                      <a:avLst/>
                    </a:prstGeom>
                    <a:noFill/>
                    <a:ln>
                      <a:noFill/>
                    </a:ln>
                  </pic:spPr>
                </pic:pic>
              </a:graphicData>
            </a:graphic>
          </wp:anchor>
        </w:drawing>
      </w:r>
    </w:p>
    <w:p w14:paraId="65E92EC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F22E4F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C21531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957315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C7C66D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76EFC1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A4F57DE">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0F548178">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3DD7C9C8">
      <w:pPr>
        <w:snapToGrid w:val="0"/>
        <w:spacing w:beforeLines="0" w:afterLines="0" w:line="576" w:lineRule="exact"/>
        <w:ind w:firstLine="640" w:firstLineChars="200"/>
        <w:rPr>
          <w:rFonts w:hint="eastAsia" w:ascii="仿宋_GB2312" w:hAnsi="仿宋" w:eastAsia="仿宋_GB2312"/>
          <w:sz w:val="32"/>
          <w:szCs w:val="32"/>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年度财政拨款收、支总计均为</w:t>
      </w:r>
      <w:r>
        <w:rPr>
          <w:rFonts w:hint="eastAsia" w:ascii="Times New Roman" w:eastAsia="仿宋_GB2312"/>
          <w:sz w:val="32"/>
          <w:szCs w:val="32"/>
        </w:rPr>
        <w:t>299</w:t>
      </w:r>
      <w:r>
        <w:rPr>
          <w:rFonts w:hint="eastAsia" w:ascii="仿宋_GB2312" w:hAnsi="仿宋" w:eastAsia="仿宋_GB2312"/>
          <w:sz w:val="32"/>
          <w:szCs w:val="32"/>
        </w:rPr>
        <w:t>.</w:t>
      </w:r>
      <w:r>
        <w:rPr>
          <w:rFonts w:hint="eastAsia" w:ascii="Times New Roman" w:eastAsia="仿宋_GB2312"/>
          <w:sz w:val="32"/>
          <w:szCs w:val="32"/>
        </w:rPr>
        <w:t>16</w:t>
      </w:r>
      <w:r>
        <w:rPr>
          <w:rFonts w:hint="eastAsia" w:ascii="仿宋_GB2312" w:hAnsi="仿宋_GB2312" w:eastAsia="仿宋_GB2312"/>
          <w:color w:val="000000"/>
          <w:kern w:val="2"/>
          <w:sz w:val="32"/>
          <w:szCs w:val="24"/>
        </w:rPr>
        <w:t>万元。与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年度相比，财政拨款收、支总计各增加</w:t>
      </w:r>
      <w:r>
        <w:rPr>
          <w:rFonts w:hint="eastAsia" w:ascii="Times New Roman" w:eastAsia="仿宋_GB2312"/>
          <w:sz w:val="32"/>
          <w:szCs w:val="32"/>
        </w:rPr>
        <w:t>96</w:t>
      </w:r>
      <w:r>
        <w:rPr>
          <w:rFonts w:hint="eastAsia" w:ascii="仿宋_GB2312" w:hAnsi="仿宋" w:eastAsia="仿宋_GB2312"/>
          <w:sz w:val="32"/>
          <w:szCs w:val="32"/>
        </w:rPr>
        <w:t>.</w:t>
      </w:r>
      <w:r>
        <w:rPr>
          <w:rFonts w:hint="eastAsia" w:ascii="Times New Roman" w:eastAsia="仿宋_GB2312"/>
          <w:sz w:val="32"/>
          <w:szCs w:val="32"/>
        </w:rPr>
        <w:t>05</w:t>
      </w:r>
      <w:r>
        <w:rPr>
          <w:rFonts w:hint="eastAsia" w:ascii="仿宋_GB2312" w:hAnsi="仿宋_GB2312" w:eastAsia="仿宋_GB2312"/>
          <w:color w:val="000000"/>
          <w:kern w:val="2"/>
          <w:sz w:val="32"/>
          <w:szCs w:val="24"/>
        </w:rPr>
        <w:t>万元，增长</w:t>
      </w:r>
      <w:r>
        <w:rPr>
          <w:rFonts w:hint="eastAsia" w:ascii="Times New Roman" w:eastAsia="仿宋_GB2312"/>
          <w:sz w:val="32"/>
          <w:szCs w:val="32"/>
        </w:rPr>
        <w:t>47</w:t>
      </w:r>
      <w:r>
        <w:rPr>
          <w:rFonts w:hint="eastAsia" w:ascii="仿宋_GB2312" w:hAnsi="仿宋" w:eastAsia="仿宋_GB2312"/>
          <w:sz w:val="32"/>
          <w:szCs w:val="32"/>
        </w:rPr>
        <w:t>.</w:t>
      </w:r>
      <w:r>
        <w:rPr>
          <w:rFonts w:hint="eastAsia" w:ascii="Times New Roman" w:eastAsia="仿宋_GB2312"/>
          <w:sz w:val="32"/>
          <w:szCs w:val="32"/>
        </w:rPr>
        <w:t>29</w:t>
      </w:r>
      <w:r>
        <w:rPr>
          <w:rFonts w:hint="eastAsia" w:ascii="仿宋_GB2312" w:hAnsi="仿宋_GB2312" w:eastAsia="仿宋_GB2312"/>
          <w:color w:val="000000"/>
          <w:kern w:val="2"/>
          <w:sz w:val="32"/>
          <w:szCs w:val="24"/>
        </w:rPr>
        <w:t>%。主要变动原因是</w:t>
      </w:r>
      <w:r>
        <w:rPr>
          <w:rFonts w:hint="eastAsia" w:ascii="仿宋_GB2312" w:hAnsi="仿宋" w:eastAsia="仿宋_GB2312"/>
          <w:sz w:val="32"/>
          <w:szCs w:val="32"/>
        </w:rPr>
        <w:t>本年人员增加，经费增加，临聘人员经费纳入预算。</w:t>
      </w:r>
    </w:p>
    <w:p w14:paraId="57632D84">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anchor distT="0" distB="0" distL="114300" distR="114300" simplePos="0" relativeHeight="251662336" behindDoc="0" locked="0" layoutInCell="1" allowOverlap="1">
            <wp:simplePos x="0" y="0"/>
            <wp:positionH relativeFrom="column">
              <wp:posOffset>311785</wp:posOffset>
            </wp:positionH>
            <wp:positionV relativeFrom="paragraph">
              <wp:posOffset>191135</wp:posOffset>
            </wp:positionV>
            <wp:extent cx="4846320" cy="2758440"/>
            <wp:effectExtent l="0" t="0" r="11430" b="3810"/>
            <wp:wrapNone/>
            <wp:docPr id="4" name="图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表 5"/>
                    <pic:cNvPicPr>
                      <a:picLocks noChangeAspect="1"/>
                    </pic:cNvPicPr>
                  </pic:nvPicPr>
                  <pic:blipFill>
                    <a:blip r:embed="rId9"/>
                    <a:stretch>
                      <a:fillRect/>
                    </a:stretch>
                  </pic:blipFill>
                  <pic:spPr>
                    <a:xfrm>
                      <a:off x="0" y="0"/>
                      <a:ext cx="4846320" cy="2758440"/>
                    </a:xfrm>
                    <a:prstGeom prst="rect">
                      <a:avLst/>
                    </a:prstGeom>
                    <a:noFill/>
                    <a:ln>
                      <a:noFill/>
                    </a:ln>
                  </pic:spPr>
                </pic:pic>
              </a:graphicData>
            </a:graphic>
          </wp:anchor>
        </w:drawing>
      </w:r>
    </w:p>
    <w:p w14:paraId="20268F3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030107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EB750D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D05F06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44F5FE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D58EDC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44A280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5D38653">
      <w:pPr>
        <w:overflowPunct w:val="0"/>
        <w:topLinePunct/>
        <w:spacing w:beforeLines="0" w:afterLines="0" w:line="576" w:lineRule="exact"/>
        <w:ind w:firstLine="640" w:firstLineChars="200"/>
        <w:jc w:val="center"/>
        <w:rPr>
          <w:rFonts w:hint="eastAsia" w:ascii="仿宋_GB2312" w:hAnsi="仿宋_GB2312" w:eastAsia="仿宋_GB2312"/>
          <w:i/>
          <w:color w:val="000000"/>
          <w:kern w:val="2"/>
          <w:sz w:val="32"/>
          <w:szCs w:val="24"/>
        </w:rPr>
      </w:pPr>
    </w:p>
    <w:p w14:paraId="1FFCBAFD">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BB6849E">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4D1260E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0004873E">
      <w:pPr>
        <w:snapToGrid w:val="0"/>
        <w:spacing w:beforeLines="0" w:afterLines="0" w:line="576" w:lineRule="exact"/>
        <w:ind w:firstLine="640" w:firstLineChars="200"/>
        <w:rPr>
          <w:rFonts w:hint="eastAsia" w:ascii="仿宋_GB2312" w:hAnsi="仿宋" w:eastAsia="仿宋_GB2312"/>
          <w:sz w:val="32"/>
          <w:szCs w:val="32"/>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eastAsia="仿宋_GB2312"/>
          <w:color w:val="000000"/>
          <w:kern w:val="2"/>
          <w:sz w:val="32"/>
          <w:szCs w:val="24"/>
        </w:rPr>
        <w:t>299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16</w:t>
      </w:r>
      <w:r>
        <w:rPr>
          <w:rFonts w:hint="eastAsia" w:ascii="仿宋_GB2312" w:hAnsi="仿宋_GB2312" w:eastAsia="仿宋_GB2312"/>
          <w:color w:val="000000"/>
          <w:kern w:val="2"/>
          <w:sz w:val="32"/>
          <w:szCs w:val="24"/>
        </w:rPr>
        <w:t>万元，占本年支出合计的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年度相比，一般公共预算财政拨款支出增加</w:t>
      </w:r>
      <w:r>
        <w:rPr>
          <w:rFonts w:hint="eastAsia" w:ascii="Times New Roman" w:eastAsia="仿宋_GB2312"/>
          <w:sz w:val="32"/>
          <w:szCs w:val="32"/>
        </w:rPr>
        <w:t>96</w:t>
      </w:r>
      <w:r>
        <w:rPr>
          <w:rFonts w:hint="eastAsia" w:ascii="仿宋_GB2312" w:hAnsi="仿宋" w:eastAsia="仿宋_GB2312"/>
          <w:sz w:val="32"/>
          <w:szCs w:val="32"/>
        </w:rPr>
        <w:t>.</w:t>
      </w:r>
      <w:r>
        <w:rPr>
          <w:rFonts w:hint="eastAsia" w:ascii="Times New Roman" w:eastAsia="仿宋_GB2312"/>
          <w:sz w:val="32"/>
          <w:szCs w:val="32"/>
        </w:rPr>
        <w:t>05</w:t>
      </w:r>
      <w:r>
        <w:rPr>
          <w:rFonts w:hint="eastAsia" w:ascii="仿宋_GB2312" w:hAnsi="仿宋_GB2312" w:eastAsia="仿宋_GB2312"/>
          <w:color w:val="000000"/>
          <w:kern w:val="2"/>
          <w:sz w:val="32"/>
          <w:szCs w:val="24"/>
        </w:rPr>
        <w:t>万元，增长</w:t>
      </w:r>
      <w:r>
        <w:rPr>
          <w:rFonts w:hint="eastAsia" w:ascii="Times New Roman" w:eastAsia="仿宋_GB2312"/>
          <w:sz w:val="32"/>
          <w:szCs w:val="32"/>
        </w:rPr>
        <w:t>47</w:t>
      </w:r>
      <w:r>
        <w:rPr>
          <w:rFonts w:hint="eastAsia" w:ascii="仿宋_GB2312" w:hAnsi="仿宋" w:eastAsia="仿宋_GB2312"/>
          <w:sz w:val="32"/>
          <w:szCs w:val="32"/>
        </w:rPr>
        <w:t>.</w:t>
      </w:r>
      <w:r>
        <w:rPr>
          <w:rFonts w:hint="eastAsia" w:ascii="Times New Roman" w:eastAsia="仿宋_GB2312"/>
          <w:sz w:val="32"/>
          <w:szCs w:val="32"/>
        </w:rPr>
        <w:t>29</w:t>
      </w:r>
      <w:r>
        <w:rPr>
          <w:rFonts w:hint="eastAsia" w:ascii="仿宋_GB2312" w:hAnsi="仿宋_GB2312" w:eastAsia="仿宋_GB2312"/>
          <w:color w:val="000000"/>
          <w:kern w:val="2"/>
          <w:sz w:val="32"/>
          <w:szCs w:val="24"/>
        </w:rPr>
        <w:t>%。主要变动原因是</w:t>
      </w:r>
      <w:r>
        <w:rPr>
          <w:rFonts w:hint="eastAsia" w:ascii="仿宋_GB2312" w:hAnsi="仿宋" w:eastAsia="仿宋_GB2312"/>
          <w:sz w:val="32"/>
          <w:szCs w:val="32"/>
        </w:rPr>
        <w:t>本年人员增加，经费增加，临聘人员经费纳入预算。</w:t>
      </w:r>
    </w:p>
    <w:p w14:paraId="2BC1C376">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ascii="Times New Roman"/>
          <w:sz w:val="24"/>
          <w:szCs w:val="24"/>
        </w:rPr>
        <w:drawing>
          <wp:anchor distT="0" distB="0" distL="114300" distR="114300" simplePos="0" relativeHeight="251663360" behindDoc="0" locked="0" layoutInCell="1" allowOverlap="1">
            <wp:simplePos x="0" y="0"/>
            <wp:positionH relativeFrom="column">
              <wp:posOffset>346075</wp:posOffset>
            </wp:positionH>
            <wp:positionV relativeFrom="paragraph">
              <wp:posOffset>191135</wp:posOffset>
            </wp:positionV>
            <wp:extent cx="4846320" cy="2758440"/>
            <wp:effectExtent l="0" t="0" r="11430" b="3810"/>
            <wp:wrapNone/>
            <wp:docPr id="5" name="图表 11"/>
            <wp:cNvGraphicFramePr/>
            <a:graphic xmlns:a="http://schemas.openxmlformats.org/drawingml/2006/main">
              <a:graphicData uri="http://schemas.openxmlformats.org/drawingml/2006/picture">
                <pic:pic xmlns:pic="http://schemas.openxmlformats.org/drawingml/2006/picture">
                  <pic:nvPicPr>
                    <pic:cNvPr id="5" name="图表 11"/>
                    <pic:cNvPicPr/>
                  </pic:nvPicPr>
                  <pic:blipFill>
                    <a:blip r:embed="rId10"/>
                    <a:stretch>
                      <a:fillRect/>
                    </a:stretch>
                  </pic:blipFill>
                  <pic:spPr>
                    <a:xfrm>
                      <a:off x="0" y="0"/>
                      <a:ext cx="4846320" cy="2758440"/>
                    </a:xfrm>
                    <a:prstGeom prst="rect">
                      <a:avLst/>
                    </a:prstGeom>
                    <a:noFill/>
                    <a:ln>
                      <a:noFill/>
                    </a:ln>
                  </pic:spPr>
                </pic:pic>
              </a:graphicData>
            </a:graphic>
          </wp:anchor>
        </w:drawing>
      </w:r>
    </w:p>
    <w:p w14:paraId="28602B9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1BAC21A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117B0D2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31A1A5A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2A6E94B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5960C2F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2231D88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7C36C41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5923D89F">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56555A89">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ascii="Times New Roman"/>
          <w:sz w:val="24"/>
          <w:szCs w:val="24"/>
        </w:rPr>
        <w:drawing>
          <wp:anchor distT="0" distB="0" distL="114300" distR="114300" simplePos="0" relativeHeight="251664384" behindDoc="0" locked="0" layoutInCell="1" allowOverlap="1">
            <wp:simplePos x="0" y="0"/>
            <wp:positionH relativeFrom="column">
              <wp:posOffset>457200</wp:posOffset>
            </wp:positionH>
            <wp:positionV relativeFrom="paragraph">
              <wp:posOffset>1419225</wp:posOffset>
            </wp:positionV>
            <wp:extent cx="4735830" cy="2695575"/>
            <wp:effectExtent l="0" t="0" r="7620" b="9525"/>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11"/>
                    <a:stretch>
                      <a:fillRect/>
                    </a:stretch>
                  </pic:blipFill>
                  <pic:spPr>
                    <a:xfrm>
                      <a:off x="0" y="0"/>
                      <a:ext cx="4735830" cy="2695575"/>
                    </a:xfrm>
                    <a:prstGeom prst="rect">
                      <a:avLst/>
                    </a:prstGeom>
                    <a:noFill/>
                    <a:ln>
                      <a:noFill/>
                    </a:ln>
                  </pic:spPr>
                </pic:pic>
              </a:graphicData>
            </a:graphic>
          </wp:anchor>
        </w:drawing>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eastAsia="仿宋_GB2312"/>
          <w:color w:val="000000"/>
          <w:kern w:val="2"/>
          <w:sz w:val="32"/>
          <w:szCs w:val="24"/>
        </w:rPr>
        <w:t>299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16</w:t>
      </w:r>
      <w:r>
        <w:rPr>
          <w:rFonts w:hint="eastAsia" w:ascii="仿宋_GB2312" w:hAnsi="仿宋_GB2312" w:eastAsia="仿宋_GB2312"/>
          <w:color w:val="000000"/>
          <w:kern w:val="2"/>
          <w:sz w:val="32"/>
          <w:szCs w:val="24"/>
        </w:rPr>
        <w:t>万元，主要用于以下方面: 一般公共服务支出</w:t>
      </w:r>
      <w:r>
        <w:rPr>
          <w:rFonts w:hint="eastAsia" w:ascii="Times New Roman" w:eastAsia="仿宋_GB2312"/>
          <w:color w:val="auto"/>
          <w:sz w:val="32"/>
          <w:szCs w:val="32"/>
        </w:rPr>
        <w:t>276</w:t>
      </w:r>
      <w:r>
        <w:rPr>
          <w:rFonts w:hint="eastAsia" w:ascii="仿宋_GB2312" w:hAnsi="仿宋" w:eastAsia="仿宋_GB2312"/>
          <w:color w:val="auto"/>
          <w:sz w:val="32"/>
          <w:szCs w:val="32"/>
        </w:rPr>
        <w:t>.</w:t>
      </w:r>
      <w:r>
        <w:rPr>
          <w:rFonts w:hint="eastAsia" w:ascii="Times New Roman" w:eastAsia="仿宋_GB2312"/>
          <w:color w:val="auto"/>
          <w:sz w:val="32"/>
          <w:szCs w:val="32"/>
        </w:rPr>
        <w:t>75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92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w:t>
      </w:r>
      <w:r>
        <w:rPr>
          <w:rFonts w:hint="eastAsia" w:ascii="仿宋_GB2312" w:hAnsi="仿宋_GB2312" w:eastAsia="仿宋_GB2312"/>
          <w:color w:val="000000"/>
          <w:kern w:val="2"/>
          <w:sz w:val="32"/>
          <w:szCs w:val="24"/>
        </w:rPr>
        <w:t>%；社会保障和就业支出</w:t>
      </w:r>
      <w:r>
        <w:rPr>
          <w:rFonts w:hint="eastAsia" w:ascii="Times New Roman" w:eastAsia="仿宋_GB2312"/>
          <w:color w:val="auto"/>
          <w:sz w:val="32"/>
          <w:szCs w:val="32"/>
        </w:rPr>
        <w:t>10</w:t>
      </w:r>
      <w:r>
        <w:rPr>
          <w:rFonts w:hint="eastAsia" w:ascii="仿宋_GB2312" w:hAnsi="仿宋" w:eastAsia="仿宋_GB2312"/>
          <w:color w:val="auto"/>
          <w:sz w:val="32"/>
          <w:szCs w:val="32"/>
        </w:rPr>
        <w:t>.</w:t>
      </w:r>
      <w:r>
        <w:rPr>
          <w:rFonts w:hint="eastAsia" w:ascii="Times New Roman" w:eastAsia="仿宋_GB2312"/>
          <w:color w:val="auto"/>
          <w:sz w:val="32"/>
          <w:szCs w:val="32"/>
        </w:rPr>
        <w:t>22</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%；卫生健康支出</w:t>
      </w:r>
      <w:r>
        <w:rPr>
          <w:rFonts w:hint="eastAsia" w:ascii="Times New Roman" w:eastAsia="仿宋_GB2312"/>
          <w:color w:val="auto"/>
          <w:sz w:val="32"/>
          <w:szCs w:val="32"/>
        </w:rPr>
        <w:t>3</w:t>
      </w:r>
      <w:r>
        <w:rPr>
          <w:rFonts w:hint="eastAsia" w:ascii="仿宋_GB2312" w:hAnsi="仿宋" w:eastAsia="仿宋_GB2312"/>
          <w:color w:val="auto"/>
          <w:sz w:val="32"/>
          <w:szCs w:val="32"/>
        </w:rPr>
        <w:t>.</w:t>
      </w:r>
      <w:r>
        <w:rPr>
          <w:rFonts w:hint="eastAsia" w:ascii="Times New Roman" w:eastAsia="仿宋_GB2312"/>
          <w:color w:val="auto"/>
          <w:sz w:val="32"/>
          <w:szCs w:val="32"/>
        </w:rPr>
        <w:t>83</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%；住房保障支出</w:t>
      </w:r>
      <w:r>
        <w:rPr>
          <w:rFonts w:hint="eastAsia" w:ascii="Times New Roman" w:eastAsia="仿宋_GB2312"/>
          <w:color w:val="auto"/>
          <w:sz w:val="32"/>
          <w:szCs w:val="32"/>
        </w:rPr>
        <w:t>8</w:t>
      </w:r>
      <w:r>
        <w:rPr>
          <w:rFonts w:hint="eastAsia" w:ascii="仿宋_GB2312" w:hAnsi="仿宋" w:eastAsia="仿宋_GB2312"/>
          <w:color w:val="auto"/>
          <w:sz w:val="32"/>
          <w:szCs w:val="32"/>
        </w:rPr>
        <w:t>.</w:t>
      </w:r>
      <w:r>
        <w:rPr>
          <w:rFonts w:hint="eastAsia" w:ascii="Times New Roman" w:eastAsia="仿宋_GB2312"/>
          <w:color w:val="auto"/>
          <w:sz w:val="32"/>
          <w:szCs w:val="32"/>
        </w:rPr>
        <w:t>36</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w:t>
      </w:r>
      <w:r>
        <w:rPr>
          <w:rFonts w:hint="eastAsia" w:ascii="仿宋_GB2312" w:hAnsi="仿宋_GB2312" w:eastAsia="仿宋_GB2312"/>
          <w:color w:val="000000"/>
          <w:kern w:val="2"/>
          <w:sz w:val="32"/>
          <w:szCs w:val="24"/>
        </w:rPr>
        <w:t>%。</w:t>
      </w:r>
    </w:p>
    <w:p w14:paraId="5F541F2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F1E563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EC88B8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6241C5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9FFD534">
      <w:pPr>
        <w:overflowPunct w:val="0"/>
        <w:topLinePunct/>
        <w:spacing w:beforeLines="0" w:afterLines="0"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：一般公共预算财政拨款支出决算结构</w:t>
      </w:r>
    </w:p>
    <w:p w14:paraId="1BE26EB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0F3C27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Times New Roman" w:eastAsia="仿宋_GB2312"/>
          <w:b/>
          <w:color w:val="000000"/>
          <w:kern w:val="2"/>
          <w:sz w:val="32"/>
          <w:szCs w:val="24"/>
        </w:rPr>
        <w:t>2023</w:t>
      </w:r>
      <w:r>
        <w:rPr>
          <w:rFonts w:hint="eastAsia" w:ascii="仿宋_GB2312" w:hAnsi="仿宋_GB2312" w:eastAsia="仿宋_GB2312"/>
          <w:b/>
          <w:color w:val="000000"/>
          <w:kern w:val="2"/>
          <w:sz w:val="32"/>
          <w:szCs w:val="24"/>
        </w:rPr>
        <w:t>年度一般公共预算支出全年预算数为</w:t>
      </w:r>
      <w:r>
        <w:rPr>
          <w:rFonts w:hint="eastAsia" w:ascii="Times New Roman" w:eastAsia="仿宋_GB2312"/>
          <w:b/>
          <w:color w:val="000000"/>
          <w:kern w:val="2"/>
          <w:sz w:val="32"/>
          <w:szCs w:val="24"/>
        </w:rPr>
        <w:t>299</w:t>
      </w:r>
      <w:r>
        <w:rPr>
          <w:rFonts w:hint="eastAsia" w:ascii="仿宋_GB2312" w:hAnsi="仿宋_GB2312" w:eastAsia="仿宋_GB2312"/>
          <w:b/>
          <w:color w:val="000000"/>
          <w:kern w:val="2"/>
          <w:sz w:val="32"/>
          <w:szCs w:val="24"/>
        </w:rPr>
        <w:t>.</w:t>
      </w:r>
      <w:r>
        <w:rPr>
          <w:rFonts w:hint="eastAsia" w:ascii="Times New Roman" w:eastAsia="仿宋_GB2312"/>
          <w:b/>
          <w:color w:val="000000"/>
          <w:kern w:val="2"/>
          <w:sz w:val="32"/>
          <w:szCs w:val="24"/>
        </w:rPr>
        <w:t>16</w:t>
      </w:r>
      <w:r>
        <w:rPr>
          <w:rFonts w:hint="eastAsia" w:ascii="仿宋_GB2312" w:hAnsi="仿宋_GB2312" w:eastAsia="仿宋_GB2312"/>
          <w:b/>
          <w:color w:val="000000"/>
          <w:kern w:val="2"/>
          <w:sz w:val="32"/>
          <w:szCs w:val="24"/>
        </w:rPr>
        <w:t>万元，支出决算数为</w:t>
      </w:r>
      <w:r>
        <w:rPr>
          <w:rFonts w:hint="eastAsia" w:ascii="Times New Roman" w:eastAsia="仿宋_GB2312"/>
          <w:b/>
          <w:color w:val="000000"/>
          <w:kern w:val="2"/>
          <w:sz w:val="32"/>
          <w:szCs w:val="24"/>
        </w:rPr>
        <w:t>299</w:t>
      </w:r>
      <w:r>
        <w:rPr>
          <w:rFonts w:hint="eastAsia" w:ascii="仿宋_GB2312" w:hAnsi="仿宋_GB2312" w:eastAsia="仿宋_GB2312"/>
          <w:b/>
          <w:color w:val="000000"/>
          <w:kern w:val="2"/>
          <w:sz w:val="32"/>
          <w:szCs w:val="24"/>
        </w:rPr>
        <w:t>.</w:t>
      </w:r>
      <w:r>
        <w:rPr>
          <w:rFonts w:hint="eastAsia" w:ascii="Times New Roman" w:eastAsia="仿宋_GB2312"/>
          <w:b/>
          <w:color w:val="000000"/>
          <w:kern w:val="2"/>
          <w:sz w:val="32"/>
          <w:szCs w:val="24"/>
        </w:rPr>
        <w:t>16</w:t>
      </w:r>
      <w:r>
        <w:rPr>
          <w:rFonts w:hint="eastAsia" w:ascii="仿宋_GB2312" w:hAnsi="仿宋_GB2312" w:eastAsia="仿宋_GB2312"/>
          <w:b/>
          <w:color w:val="000000"/>
          <w:kern w:val="2"/>
          <w:sz w:val="32"/>
          <w:szCs w:val="24"/>
        </w:rPr>
        <w:t>万元，完成全年预算数的</w:t>
      </w:r>
      <w:r>
        <w:rPr>
          <w:rFonts w:hint="eastAsia" w:ascii="Times New Roman" w:eastAsia="仿宋_GB2312"/>
          <w:b/>
          <w:color w:val="000000"/>
          <w:kern w:val="2"/>
          <w:sz w:val="32"/>
          <w:szCs w:val="24"/>
        </w:rPr>
        <w:t>100</w:t>
      </w:r>
      <w:r>
        <w:rPr>
          <w:rFonts w:hint="eastAsia" w:ascii="仿宋_GB2312" w:hAnsi="仿宋_GB2312" w:eastAsia="仿宋_GB2312"/>
          <w:b/>
          <w:color w:val="000000"/>
          <w:kern w:val="2"/>
          <w:sz w:val="32"/>
          <w:szCs w:val="24"/>
        </w:rPr>
        <w:t>%。其中：</w:t>
      </w:r>
    </w:p>
    <w:p w14:paraId="4311761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Times New Roman" w:eastAsia="仿宋_GB2312"/>
          <w:b/>
          <w:color w:val="000000"/>
          <w:kern w:val="2"/>
          <w:sz w:val="32"/>
          <w:szCs w:val="24"/>
        </w:rPr>
        <w:t>1</w:t>
      </w:r>
      <w:r>
        <w:rPr>
          <w:rFonts w:hint="eastAsia" w:ascii="仿宋_GB2312" w:hAnsi="仿宋_GB2312" w:eastAsia="仿宋_GB2312"/>
          <w:b/>
          <w:color w:val="000000"/>
          <w:kern w:val="2"/>
          <w:sz w:val="32"/>
          <w:szCs w:val="24"/>
        </w:rPr>
        <w:t>.一般公共服务支出（类）</w:t>
      </w:r>
      <w:r>
        <w:rPr>
          <w:rStyle w:val="14"/>
          <w:rFonts w:hint="eastAsia" w:ascii="仿宋" w:hAnsi="仿宋" w:eastAsia="仿宋_GB2312"/>
          <w:color w:val="auto"/>
          <w:sz w:val="32"/>
          <w:szCs w:val="24"/>
        </w:rPr>
        <w:t>政府办公厅</w:t>
      </w:r>
      <w:r>
        <w:rPr>
          <w:rFonts w:hint="eastAsia" w:ascii="仿宋_GB2312" w:hAnsi="仿宋_GB2312" w:eastAsia="仿宋_GB2312"/>
          <w:b/>
          <w:color w:val="000000"/>
          <w:kern w:val="2"/>
          <w:sz w:val="32"/>
          <w:szCs w:val="24"/>
        </w:rPr>
        <w:t>（款）</w:t>
      </w:r>
      <w:r>
        <w:rPr>
          <w:rStyle w:val="14"/>
          <w:rFonts w:hint="eastAsia" w:ascii="仿宋" w:hAnsi="仿宋" w:eastAsia="仿宋_GB2312"/>
          <w:color w:val="auto"/>
          <w:sz w:val="32"/>
          <w:szCs w:val="24"/>
        </w:rPr>
        <w:t>及相关机构事务</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Times New Roman" w:eastAsia="仿宋_GB2312"/>
          <w:color w:val="auto"/>
          <w:sz w:val="32"/>
          <w:szCs w:val="32"/>
        </w:rPr>
        <w:t>276</w:t>
      </w:r>
      <w:r>
        <w:rPr>
          <w:rFonts w:hint="eastAsia" w:ascii="仿宋_GB2312" w:hAnsi="仿宋" w:eastAsia="仿宋_GB2312"/>
          <w:color w:val="auto"/>
          <w:sz w:val="32"/>
          <w:szCs w:val="32"/>
        </w:rPr>
        <w:t>.</w:t>
      </w:r>
      <w:r>
        <w:rPr>
          <w:rFonts w:hint="eastAsia" w:ascii="Times New Roman" w:eastAsia="仿宋_GB2312"/>
          <w:color w:val="auto"/>
          <w:sz w:val="32"/>
          <w:szCs w:val="32"/>
        </w:rPr>
        <w:t>75</w:t>
      </w:r>
      <w:r>
        <w:rPr>
          <w:rFonts w:hint="eastAsia" w:ascii="仿宋_GB2312" w:hAnsi="仿宋_GB2312" w:eastAsia="仿宋_GB2312"/>
          <w:color w:val="000000"/>
          <w:kern w:val="2"/>
          <w:sz w:val="32"/>
          <w:szCs w:val="24"/>
        </w:rPr>
        <w:t>万元，支出决算为</w:t>
      </w:r>
      <w:r>
        <w:rPr>
          <w:rFonts w:hint="eastAsia" w:ascii="Times New Roman" w:eastAsia="仿宋_GB2312"/>
          <w:color w:val="auto"/>
          <w:sz w:val="32"/>
          <w:szCs w:val="32"/>
        </w:rPr>
        <w:t>276</w:t>
      </w:r>
      <w:r>
        <w:rPr>
          <w:rFonts w:hint="eastAsia" w:ascii="仿宋_GB2312" w:hAnsi="仿宋" w:eastAsia="仿宋_GB2312"/>
          <w:color w:val="auto"/>
          <w:sz w:val="32"/>
          <w:szCs w:val="32"/>
        </w:rPr>
        <w:t>.</w:t>
      </w:r>
      <w:r>
        <w:rPr>
          <w:rFonts w:hint="eastAsia" w:ascii="Times New Roman" w:eastAsia="仿宋_GB2312"/>
          <w:color w:val="auto"/>
          <w:sz w:val="32"/>
          <w:szCs w:val="32"/>
        </w:rPr>
        <w:t>75</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4C6AEAC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Times New Roman" w:eastAsia="仿宋_GB2312"/>
          <w:b/>
          <w:color w:val="000000"/>
          <w:kern w:val="2"/>
          <w:sz w:val="32"/>
          <w:szCs w:val="24"/>
        </w:rPr>
        <w:t>2</w:t>
      </w:r>
      <w:r>
        <w:rPr>
          <w:rFonts w:hint="eastAsia" w:ascii="仿宋_GB2312" w:hAnsi="仿宋_GB2312" w:eastAsia="仿宋_GB2312"/>
          <w:b/>
          <w:color w:val="000000"/>
          <w:kern w:val="2"/>
          <w:sz w:val="32"/>
          <w:szCs w:val="24"/>
        </w:rPr>
        <w:t>.社会保障和就业支出（类）</w:t>
      </w:r>
      <w:r>
        <w:rPr>
          <w:rStyle w:val="14"/>
          <w:rFonts w:hint="eastAsia" w:ascii="仿宋" w:hAnsi="仿宋" w:eastAsia="仿宋_GB2312"/>
          <w:color w:val="auto"/>
          <w:sz w:val="32"/>
          <w:szCs w:val="24"/>
        </w:rPr>
        <w:t>行政事业单位养老支出</w:t>
      </w:r>
      <w:r>
        <w:rPr>
          <w:rFonts w:hint="eastAsia" w:ascii="仿宋_GB2312" w:hAnsi="仿宋_GB2312" w:eastAsia="仿宋_GB2312"/>
          <w:b/>
          <w:color w:val="000000"/>
          <w:kern w:val="2"/>
          <w:sz w:val="32"/>
          <w:szCs w:val="24"/>
        </w:rPr>
        <w:t>（款）</w:t>
      </w:r>
      <w:r>
        <w:rPr>
          <w:rStyle w:val="14"/>
          <w:rFonts w:hint="eastAsia" w:ascii="仿宋" w:hAnsi="仿宋" w:eastAsia="仿宋_GB2312"/>
          <w:color w:val="auto"/>
          <w:sz w:val="32"/>
          <w:szCs w:val="24"/>
        </w:rPr>
        <w:t>机关事业单位基本养老保险缴费支出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Times New Roman" w:eastAsia="仿宋_GB2312"/>
          <w:color w:val="auto"/>
          <w:sz w:val="32"/>
          <w:szCs w:val="32"/>
        </w:rPr>
        <w:t>10</w:t>
      </w:r>
      <w:r>
        <w:rPr>
          <w:rFonts w:hint="eastAsia" w:ascii="仿宋_GB2312" w:hAnsi="仿宋" w:eastAsia="仿宋_GB2312"/>
          <w:color w:val="auto"/>
          <w:sz w:val="32"/>
          <w:szCs w:val="32"/>
        </w:rPr>
        <w:t>.</w:t>
      </w:r>
      <w:r>
        <w:rPr>
          <w:rFonts w:hint="eastAsia" w:ascii="Times New Roman" w:eastAsia="仿宋_GB2312"/>
          <w:color w:val="auto"/>
          <w:sz w:val="32"/>
          <w:szCs w:val="32"/>
        </w:rPr>
        <w:t>22</w:t>
      </w:r>
      <w:r>
        <w:rPr>
          <w:rFonts w:hint="eastAsia" w:ascii="仿宋_GB2312" w:hAnsi="仿宋_GB2312" w:eastAsia="仿宋_GB2312"/>
          <w:color w:val="000000"/>
          <w:kern w:val="2"/>
          <w:sz w:val="32"/>
          <w:szCs w:val="24"/>
        </w:rPr>
        <w:t>万元，支出决算为</w:t>
      </w:r>
      <w:r>
        <w:rPr>
          <w:rFonts w:hint="eastAsia" w:ascii="Times New Roman" w:eastAsia="仿宋_GB2312"/>
          <w:color w:val="auto"/>
          <w:sz w:val="32"/>
          <w:szCs w:val="32"/>
        </w:rPr>
        <w:t>10</w:t>
      </w:r>
      <w:r>
        <w:rPr>
          <w:rFonts w:hint="eastAsia" w:ascii="仿宋_GB2312" w:hAnsi="仿宋" w:eastAsia="仿宋_GB2312"/>
          <w:color w:val="auto"/>
          <w:sz w:val="32"/>
          <w:szCs w:val="32"/>
        </w:rPr>
        <w:t>.</w:t>
      </w:r>
      <w:r>
        <w:rPr>
          <w:rFonts w:hint="eastAsia" w:ascii="Times New Roman" w:eastAsia="仿宋_GB2312"/>
          <w:color w:val="auto"/>
          <w:sz w:val="32"/>
          <w:szCs w:val="32"/>
        </w:rPr>
        <w:t>22</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500F016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Times New Roman" w:eastAsia="仿宋_GB2312"/>
          <w:b/>
          <w:color w:val="000000"/>
          <w:kern w:val="2"/>
          <w:sz w:val="32"/>
          <w:szCs w:val="24"/>
        </w:rPr>
        <w:t>3</w:t>
      </w:r>
      <w:r>
        <w:rPr>
          <w:rFonts w:hint="eastAsia" w:ascii="仿宋_GB2312" w:hAnsi="仿宋_GB2312" w:eastAsia="仿宋_GB2312"/>
          <w:b/>
          <w:color w:val="000000"/>
          <w:kern w:val="2"/>
          <w:sz w:val="32"/>
          <w:szCs w:val="24"/>
        </w:rPr>
        <w:t>.卫生健康支出（类）</w:t>
      </w:r>
      <w:r>
        <w:rPr>
          <w:rStyle w:val="14"/>
          <w:rFonts w:hint="eastAsia" w:ascii="仿宋" w:hAnsi="仿宋" w:eastAsia="仿宋_GB2312"/>
          <w:color w:val="auto"/>
          <w:sz w:val="32"/>
          <w:szCs w:val="24"/>
        </w:rPr>
        <w:t>政事业单位医疗</w:t>
      </w:r>
      <w:r>
        <w:rPr>
          <w:rFonts w:hint="eastAsia" w:ascii="仿宋_GB2312" w:hAnsi="仿宋_GB2312" w:eastAsia="仿宋_GB2312"/>
          <w:b/>
          <w:color w:val="000000"/>
          <w:kern w:val="2"/>
          <w:sz w:val="32"/>
          <w:szCs w:val="24"/>
        </w:rPr>
        <w:t>（款）</w:t>
      </w:r>
      <w:r>
        <w:rPr>
          <w:rStyle w:val="14"/>
          <w:rFonts w:hint="eastAsia" w:ascii="仿宋" w:hAnsi="仿宋" w:eastAsia="仿宋_GB2312"/>
          <w:color w:val="auto"/>
          <w:sz w:val="32"/>
          <w:szCs w:val="24"/>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Times New Roman" w:eastAsia="仿宋_GB2312"/>
          <w:color w:val="auto"/>
          <w:sz w:val="32"/>
          <w:szCs w:val="32"/>
        </w:rPr>
        <w:t>3</w:t>
      </w:r>
      <w:r>
        <w:rPr>
          <w:rFonts w:hint="eastAsia" w:ascii="仿宋_GB2312" w:hAnsi="仿宋" w:eastAsia="仿宋_GB2312"/>
          <w:color w:val="auto"/>
          <w:sz w:val="32"/>
          <w:szCs w:val="32"/>
        </w:rPr>
        <w:t>.</w:t>
      </w:r>
      <w:r>
        <w:rPr>
          <w:rFonts w:hint="eastAsia" w:ascii="Times New Roman" w:eastAsia="仿宋_GB2312"/>
          <w:color w:val="auto"/>
          <w:sz w:val="32"/>
          <w:szCs w:val="32"/>
        </w:rPr>
        <w:t>83</w:t>
      </w:r>
      <w:r>
        <w:rPr>
          <w:rFonts w:hint="eastAsia" w:ascii="仿宋_GB2312" w:hAnsi="仿宋_GB2312" w:eastAsia="仿宋_GB2312"/>
          <w:color w:val="000000"/>
          <w:kern w:val="2"/>
          <w:sz w:val="32"/>
          <w:szCs w:val="24"/>
        </w:rPr>
        <w:t>万元，支出决算为</w:t>
      </w:r>
      <w:r>
        <w:rPr>
          <w:rFonts w:hint="eastAsia" w:ascii="Times New Roman" w:eastAsia="仿宋_GB2312"/>
          <w:color w:val="auto"/>
          <w:sz w:val="32"/>
          <w:szCs w:val="32"/>
        </w:rPr>
        <w:t>3</w:t>
      </w:r>
      <w:r>
        <w:rPr>
          <w:rFonts w:hint="eastAsia" w:ascii="仿宋_GB2312" w:hAnsi="仿宋" w:eastAsia="仿宋_GB2312"/>
          <w:color w:val="auto"/>
          <w:sz w:val="32"/>
          <w:szCs w:val="32"/>
        </w:rPr>
        <w:t>.</w:t>
      </w:r>
      <w:r>
        <w:rPr>
          <w:rFonts w:hint="eastAsia" w:ascii="Times New Roman" w:eastAsia="仿宋_GB2312"/>
          <w:color w:val="auto"/>
          <w:sz w:val="32"/>
          <w:szCs w:val="32"/>
        </w:rPr>
        <w:t>83</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0E291C8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Style w:val="14"/>
          <w:rFonts w:hint="eastAsia" w:ascii="Times New Roman" w:hAnsi="Wingdings" w:eastAsia="仿宋_GB2312"/>
          <w:color w:val="000000"/>
          <w:sz w:val="32"/>
          <w:szCs w:val="24"/>
        </w:rPr>
        <w:t>4</w:t>
      </w:r>
      <w:r>
        <w:rPr>
          <w:rStyle w:val="14"/>
          <w:rFonts w:hint="eastAsia" w:ascii="仿宋" w:hAnsi="仿宋" w:eastAsia="仿宋"/>
          <w:color w:val="000000"/>
          <w:sz w:val="32"/>
          <w:szCs w:val="24"/>
        </w:rPr>
        <w:t>.</w:t>
      </w:r>
      <w:r>
        <w:rPr>
          <w:rStyle w:val="14"/>
          <w:rFonts w:hint="eastAsia" w:ascii="仿宋" w:hAnsi="仿宋" w:eastAsia="仿宋_GB2312"/>
          <w:color w:val="000000"/>
          <w:sz w:val="32"/>
          <w:szCs w:val="24"/>
        </w:rPr>
        <w:t>住房保障支出（类）住房改革支出（款）住房公积金（项）</w:t>
      </w:r>
      <w:r>
        <w:rPr>
          <w:rStyle w:val="14"/>
          <w:rFonts w:hint="eastAsia" w:ascii="仿宋" w:hAnsi="仿宋" w:eastAsia="仿宋"/>
          <w:color w:val="000000"/>
          <w:sz w:val="32"/>
          <w:szCs w:val="24"/>
        </w:rPr>
        <w:t>:</w:t>
      </w:r>
      <w:r>
        <w:rPr>
          <w:rFonts w:hint="eastAsia" w:ascii="仿宋_GB2312" w:hAnsi="仿宋_GB2312" w:eastAsia="仿宋_GB2312"/>
          <w:color w:val="000000"/>
          <w:kern w:val="2"/>
          <w:sz w:val="32"/>
          <w:szCs w:val="24"/>
        </w:rPr>
        <w:t>全年预算为</w:t>
      </w:r>
      <w:r>
        <w:rPr>
          <w:rFonts w:hint="eastAsia" w:ascii="Times New Roman" w:eastAsia="仿宋_GB2312"/>
          <w:color w:val="auto"/>
          <w:sz w:val="32"/>
          <w:szCs w:val="32"/>
        </w:rPr>
        <w:t>8</w:t>
      </w:r>
      <w:r>
        <w:rPr>
          <w:rFonts w:hint="eastAsia" w:ascii="仿宋_GB2312" w:hAnsi="仿宋" w:eastAsia="仿宋_GB2312"/>
          <w:color w:val="auto"/>
          <w:sz w:val="32"/>
          <w:szCs w:val="32"/>
        </w:rPr>
        <w:t>.</w:t>
      </w:r>
      <w:r>
        <w:rPr>
          <w:rFonts w:hint="eastAsia" w:ascii="Times New Roman" w:eastAsia="仿宋_GB2312"/>
          <w:color w:val="auto"/>
          <w:sz w:val="32"/>
          <w:szCs w:val="32"/>
        </w:rPr>
        <w:t>36</w:t>
      </w:r>
      <w:r>
        <w:rPr>
          <w:rFonts w:hint="eastAsia" w:ascii="仿宋_GB2312" w:hAnsi="仿宋_GB2312" w:eastAsia="仿宋_GB2312"/>
          <w:color w:val="000000"/>
          <w:kern w:val="2"/>
          <w:sz w:val="32"/>
          <w:szCs w:val="24"/>
        </w:rPr>
        <w:t>万元，支出决算为</w:t>
      </w:r>
      <w:r>
        <w:rPr>
          <w:rFonts w:hint="eastAsia" w:ascii="Times New Roman" w:eastAsia="仿宋_GB2312"/>
          <w:color w:val="auto"/>
          <w:sz w:val="32"/>
          <w:szCs w:val="32"/>
        </w:rPr>
        <w:t>8</w:t>
      </w:r>
      <w:r>
        <w:rPr>
          <w:rFonts w:hint="eastAsia" w:ascii="仿宋_GB2312" w:hAnsi="仿宋" w:eastAsia="仿宋_GB2312"/>
          <w:color w:val="auto"/>
          <w:sz w:val="32"/>
          <w:szCs w:val="32"/>
        </w:rPr>
        <w:t>.</w:t>
      </w:r>
      <w:r>
        <w:rPr>
          <w:rFonts w:hint="eastAsia" w:ascii="Times New Roman" w:eastAsia="仿宋_GB2312"/>
          <w:color w:val="auto"/>
          <w:sz w:val="32"/>
          <w:szCs w:val="32"/>
        </w:rPr>
        <w:t>36</w:t>
      </w:r>
      <w:r>
        <w:rPr>
          <w:rFonts w:hint="eastAsia" w:ascii="仿宋_GB2312" w:hAnsi="仿宋_GB2312" w:eastAsia="仿宋_GB2312"/>
          <w:color w:val="000000"/>
          <w:kern w:val="2"/>
          <w:sz w:val="32"/>
          <w:szCs w:val="24"/>
        </w:rPr>
        <w:t>万元，完成全年预算的</w:t>
      </w:r>
      <w:r>
        <w:rPr>
          <w:rFonts w:hint="eastAsia" w:ascii="Times New Roman" w:eastAsia="仿宋_GB2312"/>
          <w:color w:val="auto"/>
          <w:sz w:val="32"/>
          <w:szCs w:val="32"/>
        </w:rPr>
        <w:t>8</w:t>
      </w:r>
      <w:r>
        <w:rPr>
          <w:rFonts w:hint="eastAsia" w:ascii="仿宋_GB2312" w:hAnsi="仿宋" w:eastAsia="仿宋_GB2312"/>
          <w:color w:val="auto"/>
          <w:sz w:val="32"/>
          <w:szCs w:val="32"/>
        </w:rPr>
        <w:t>.</w:t>
      </w:r>
      <w:r>
        <w:rPr>
          <w:rFonts w:hint="eastAsia" w:ascii="Times New Roman" w:eastAsia="仿宋_GB2312"/>
          <w:color w:val="auto"/>
          <w:sz w:val="32"/>
          <w:szCs w:val="32"/>
        </w:rPr>
        <w:t>36</w:t>
      </w:r>
      <w:r>
        <w:rPr>
          <w:rFonts w:hint="eastAsia" w:ascii="仿宋_GB2312" w:hAnsi="仿宋_GB2312" w:eastAsia="仿宋_GB2312"/>
          <w:color w:val="000000"/>
          <w:kern w:val="2"/>
          <w:sz w:val="32"/>
          <w:szCs w:val="24"/>
        </w:rPr>
        <w:t>%。决算数等于全年预算数。</w:t>
      </w:r>
    </w:p>
    <w:p w14:paraId="0524007D">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4F9A877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年度一般公共预算财政拨款基本支出</w:t>
      </w:r>
      <w:r>
        <w:rPr>
          <w:rFonts w:hint="eastAsia" w:ascii="Times New Roman" w:eastAsia="仿宋_GB2312"/>
          <w:color w:val="000000"/>
          <w:kern w:val="2"/>
          <w:sz w:val="32"/>
          <w:szCs w:val="24"/>
        </w:rPr>
        <w:t>299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16</w:t>
      </w:r>
      <w:r>
        <w:rPr>
          <w:rFonts w:hint="eastAsia" w:ascii="仿宋_GB2312" w:hAnsi="仿宋_GB2312" w:eastAsia="仿宋_GB2312"/>
          <w:color w:val="000000"/>
          <w:kern w:val="2"/>
          <w:sz w:val="32"/>
          <w:szCs w:val="24"/>
        </w:rPr>
        <w:t>万元，其中：</w:t>
      </w:r>
    </w:p>
    <w:p w14:paraId="7F42699C">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Times New Roman" w:eastAsia="仿宋_GB2312"/>
          <w:color w:val="000000"/>
          <w:kern w:val="2"/>
          <w:sz w:val="32"/>
          <w:szCs w:val="24"/>
        </w:rPr>
        <w:t>97</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78</w:t>
      </w:r>
      <w:r>
        <w:rPr>
          <w:rFonts w:hint="eastAsia" w:ascii="仿宋_GB2312" w:hAnsi="仿宋_GB2312" w:eastAsia="仿宋_GB2312"/>
          <w:color w:val="000000"/>
          <w:kern w:val="2"/>
          <w:sz w:val="32"/>
          <w:szCs w:val="24"/>
        </w:rPr>
        <w:t>万元，主要包括：基本工资</w:t>
      </w:r>
      <w:r>
        <w:rPr>
          <w:rFonts w:hint="eastAsia" w:ascii="Times New Roman" w:eastAsia="仿宋_GB2312"/>
          <w:color w:val="000000"/>
          <w:kern w:val="2"/>
          <w:sz w:val="32"/>
          <w:szCs w:val="24"/>
        </w:rPr>
        <w:t>28</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88</w:t>
      </w:r>
      <w:r>
        <w:rPr>
          <w:rFonts w:hint="eastAsia" w:ascii="仿宋_GB2312" w:hAnsi="仿宋_GB2312" w:eastAsia="仿宋_GB2312"/>
          <w:color w:val="000000"/>
          <w:kern w:val="2"/>
          <w:sz w:val="32"/>
          <w:szCs w:val="24"/>
        </w:rPr>
        <w:t>万元、津贴补贴</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84</w:t>
      </w:r>
      <w:r>
        <w:rPr>
          <w:rFonts w:hint="eastAsia" w:ascii="仿宋_GB2312" w:hAnsi="仿宋_GB2312" w:eastAsia="仿宋_GB2312"/>
          <w:color w:val="000000"/>
          <w:kern w:val="2"/>
          <w:sz w:val="32"/>
          <w:szCs w:val="24"/>
        </w:rPr>
        <w:t>万元、奖金</w:t>
      </w:r>
      <w:r>
        <w:rPr>
          <w:rFonts w:hint="eastAsia" w:ascii="Times New Roman" w:eastAsia="仿宋_GB2312"/>
          <w:color w:val="000000"/>
          <w:kern w:val="2"/>
          <w:sz w:val="32"/>
          <w:szCs w:val="24"/>
        </w:rPr>
        <w:t>25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万元、绩效工资</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22</w:t>
      </w:r>
      <w:r>
        <w:rPr>
          <w:rFonts w:hint="eastAsia" w:ascii="仿宋_GB2312" w:hAnsi="仿宋_GB2312" w:eastAsia="仿宋_GB2312"/>
          <w:color w:val="000000"/>
          <w:kern w:val="2"/>
          <w:sz w:val="32"/>
          <w:szCs w:val="24"/>
        </w:rPr>
        <w:t>万元、机关事业单位基本养老保险缴费</w:t>
      </w:r>
      <w:r>
        <w:rPr>
          <w:rFonts w:hint="eastAsia" w:ascii="Times New Roman" w:eastAsia="仿宋_GB2312"/>
          <w:color w:val="000000"/>
          <w:kern w:val="2"/>
          <w:sz w:val="32"/>
          <w:szCs w:val="24"/>
        </w:rPr>
        <w:t>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22</w:t>
      </w:r>
      <w:r>
        <w:rPr>
          <w:rFonts w:hint="eastAsia" w:ascii="仿宋_GB2312" w:hAnsi="仿宋_GB2312" w:eastAsia="仿宋_GB2312"/>
          <w:color w:val="000000"/>
          <w:kern w:val="2"/>
          <w:sz w:val="32"/>
          <w:szCs w:val="24"/>
        </w:rPr>
        <w:t>万元、职工基本医疗保险缴费</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83</w:t>
      </w:r>
      <w:r>
        <w:rPr>
          <w:rFonts w:hint="eastAsia" w:ascii="仿宋_GB2312" w:hAnsi="仿宋_GB2312" w:eastAsia="仿宋_GB2312"/>
          <w:color w:val="000000"/>
          <w:kern w:val="2"/>
          <w:sz w:val="32"/>
          <w:szCs w:val="24"/>
        </w:rPr>
        <w:t>万元、住房公积金</w:t>
      </w:r>
      <w:r>
        <w:rPr>
          <w:rFonts w:hint="eastAsia" w:ascii="Times New Roman" w:eastAsia="仿宋_GB2312"/>
          <w:color w:val="000000"/>
          <w:kern w:val="2"/>
          <w:sz w:val="32"/>
          <w:szCs w:val="24"/>
        </w:rPr>
        <w:t>8</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36</w:t>
      </w:r>
      <w:r>
        <w:rPr>
          <w:rFonts w:hint="eastAsia" w:ascii="仿宋_GB2312" w:hAnsi="仿宋_GB2312" w:eastAsia="仿宋_GB2312"/>
          <w:color w:val="000000"/>
          <w:kern w:val="2"/>
          <w:sz w:val="32"/>
          <w:szCs w:val="24"/>
        </w:rPr>
        <w:t>万元、其他对个人和家庭的补助支出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w:t>
      </w:r>
    </w:p>
    <w:p w14:paraId="38BBF4C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08</w:t>
      </w:r>
      <w:r>
        <w:rPr>
          <w:rFonts w:hint="eastAsia" w:ascii="仿宋_GB2312" w:hAnsi="仿宋_GB2312" w:eastAsia="仿宋_GB2312"/>
          <w:color w:val="000000"/>
          <w:kern w:val="2"/>
          <w:sz w:val="32"/>
          <w:szCs w:val="24"/>
        </w:rPr>
        <w:t>万元，主要包括：办公费</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万元、印刷费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万元、差旅费</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w:t>
      </w:r>
      <w:r>
        <w:rPr>
          <w:rFonts w:hint="eastAsia" w:ascii="仿宋_GB2312" w:hAnsi="仿宋_GB2312" w:eastAsia="仿宋_GB2312"/>
          <w:color w:val="000000"/>
          <w:kern w:val="2"/>
          <w:sz w:val="32"/>
          <w:szCs w:val="24"/>
        </w:rPr>
        <w:t>万元、工会经费</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28</w:t>
      </w:r>
      <w:r>
        <w:rPr>
          <w:rFonts w:hint="eastAsia" w:ascii="仿宋_GB2312" w:hAnsi="仿宋_GB2312" w:eastAsia="仿宋_GB2312"/>
          <w:color w:val="000000"/>
          <w:kern w:val="2"/>
          <w:sz w:val="32"/>
          <w:szCs w:val="24"/>
        </w:rPr>
        <w:t>万元。</w:t>
      </w:r>
    </w:p>
    <w:p w14:paraId="51B60C40">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4B3089F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3020E8B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年度“三公”经费财政拨款支出预算为</w:t>
      </w:r>
      <w:r>
        <w:rPr>
          <w:rFonts w:hint="eastAsia" w:ascii="Times New Roman" w:eastAsia="仿宋_GB2312"/>
          <w:color w:val="000000"/>
          <w:kern w:val="2"/>
          <w:sz w:val="32"/>
          <w:szCs w:val="24"/>
        </w:rPr>
        <w:t>102</w:t>
      </w:r>
      <w:r>
        <w:rPr>
          <w:rFonts w:hint="eastAsia" w:ascii="仿宋_GB2312" w:hAnsi="仿宋_GB2312" w:eastAsia="仿宋_GB2312"/>
          <w:color w:val="000000"/>
          <w:kern w:val="2"/>
          <w:sz w:val="32"/>
          <w:szCs w:val="24"/>
        </w:rPr>
        <w:t>万元，支出决算为</w:t>
      </w:r>
      <w:r>
        <w:rPr>
          <w:rFonts w:hint="eastAsia" w:ascii="Times New Roman" w:eastAsia="仿宋_GB2312" w:cs="仿宋"/>
          <w:color w:val="000000"/>
          <w:sz w:val="32"/>
          <w:szCs w:val="32"/>
        </w:rPr>
        <w:t>78</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58</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77</w:t>
      </w:r>
      <w:r>
        <w:rPr>
          <w:rFonts w:hint="eastAsia" w:ascii="仿宋_GB2312" w:hAnsi="仿宋_GB2312" w:eastAsia="仿宋_GB2312"/>
          <w:color w:val="000000"/>
          <w:kern w:val="2"/>
          <w:sz w:val="32"/>
          <w:szCs w:val="24"/>
        </w:rPr>
        <w:t>%；较上年增加</w:t>
      </w:r>
      <w:r>
        <w:rPr>
          <w:rFonts w:hint="eastAsia" w:ascii="Times New Roman" w:eastAsia="仿宋_GB2312" w:cs="仿宋"/>
          <w:color w:val="000000"/>
          <w:sz w:val="32"/>
          <w:szCs w:val="32"/>
        </w:rPr>
        <w:t>15</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68</w:t>
      </w:r>
      <w:r>
        <w:rPr>
          <w:rFonts w:hint="eastAsia" w:ascii="仿宋_GB2312" w:hAnsi="仿宋_GB2312" w:eastAsia="仿宋_GB2312"/>
          <w:color w:val="000000"/>
          <w:kern w:val="2"/>
          <w:sz w:val="32"/>
          <w:szCs w:val="24"/>
        </w:rPr>
        <w:t>万元，增长</w:t>
      </w:r>
      <w:r>
        <w:rPr>
          <w:rFonts w:hint="eastAsia" w:ascii="Times New Roman" w:eastAsia="仿宋_GB2312" w:cs="仿宋"/>
          <w:color w:val="000000"/>
          <w:sz w:val="32"/>
          <w:szCs w:val="32"/>
        </w:rPr>
        <w:t>24</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9</w:t>
      </w:r>
      <w:r>
        <w:rPr>
          <w:rFonts w:hint="eastAsia" w:ascii="仿宋_GB2312" w:hAnsi="仿宋_GB2312" w:eastAsia="仿宋_GB2312"/>
          <w:color w:val="000000"/>
          <w:kern w:val="2"/>
          <w:sz w:val="32"/>
          <w:szCs w:val="24"/>
        </w:rPr>
        <w:t>%。决算数小于预算数的主要原因是按照“过紧日子”要求，最大限度压缩开支。决算数较上年增加的主要原因是</w:t>
      </w:r>
      <w:r>
        <w:rPr>
          <w:rFonts w:hint="eastAsia" w:ascii="仿宋_GB2312" w:hAnsi="仿宋" w:eastAsia="仿宋_GB2312" w:cs="仿宋"/>
          <w:color w:val="000000"/>
          <w:sz w:val="32"/>
          <w:szCs w:val="32"/>
        </w:rPr>
        <w:t>接待量增加</w:t>
      </w:r>
      <w:r>
        <w:rPr>
          <w:rFonts w:hint="eastAsia" w:ascii="仿宋_GB2312" w:hAnsi="仿宋_GB2312" w:eastAsia="仿宋_GB2312"/>
          <w:color w:val="000000"/>
          <w:kern w:val="2"/>
          <w:sz w:val="32"/>
          <w:szCs w:val="24"/>
        </w:rPr>
        <w:t>。</w:t>
      </w:r>
    </w:p>
    <w:p w14:paraId="6722483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4403898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年度“三公”经费财政拨款支出决算中，因公出国（境）费支出决算</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w:t>
      </w:r>
      <w:r>
        <w:rPr>
          <w:rFonts w:hint="eastAsia" w:ascii="Times New Roman" w:eastAsia="仿宋_GB2312" w:cs="仿宋"/>
          <w:color w:val="000000"/>
          <w:sz w:val="32"/>
          <w:szCs w:val="32"/>
        </w:rPr>
        <w:t>12</w:t>
      </w:r>
      <w:r>
        <w:rPr>
          <w:rFonts w:hint="eastAsia" w:ascii="仿宋_GB2312" w:hAnsi="仿宋_GB2312" w:eastAsia="仿宋_GB2312"/>
          <w:color w:val="000000"/>
          <w:kern w:val="2"/>
          <w:sz w:val="32"/>
          <w:szCs w:val="24"/>
        </w:rPr>
        <w:t>万元，占</w:t>
      </w:r>
      <w:r>
        <w:rPr>
          <w:rFonts w:hint="eastAsia" w:ascii="Times New Roman" w:eastAsia="仿宋_GB2312" w:cs="仿宋"/>
          <w:color w:val="000000"/>
          <w:sz w:val="32"/>
          <w:szCs w:val="32"/>
        </w:rPr>
        <w:t>15</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3</w:t>
      </w:r>
      <w:r>
        <w:rPr>
          <w:rFonts w:hint="eastAsia" w:ascii="仿宋_GB2312" w:hAnsi="仿宋_GB2312" w:eastAsia="仿宋_GB2312"/>
          <w:color w:val="000000"/>
          <w:kern w:val="2"/>
          <w:sz w:val="32"/>
          <w:szCs w:val="24"/>
        </w:rPr>
        <w:t>%；公务接待费支出决算</w:t>
      </w:r>
      <w:r>
        <w:rPr>
          <w:rFonts w:hint="eastAsia" w:ascii="Times New Roman" w:eastAsia="仿宋_GB2312" w:cs="仿宋"/>
          <w:color w:val="000000"/>
          <w:sz w:val="32"/>
          <w:szCs w:val="32"/>
        </w:rPr>
        <w:t>66</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58</w:t>
      </w:r>
      <w:r>
        <w:rPr>
          <w:rFonts w:hint="eastAsia" w:ascii="仿宋_GB2312" w:hAnsi="仿宋_GB2312" w:eastAsia="仿宋_GB2312"/>
          <w:color w:val="000000"/>
          <w:kern w:val="2"/>
          <w:sz w:val="32"/>
          <w:szCs w:val="24"/>
        </w:rPr>
        <w:t>万元，占</w:t>
      </w:r>
      <w:r>
        <w:rPr>
          <w:rFonts w:hint="eastAsia" w:ascii="Times New Roman" w:eastAsia="仿宋_GB2312" w:cs="仿宋"/>
          <w:color w:val="000000"/>
          <w:sz w:val="32"/>
          <w:szCs w:val="32"/>
        </w:rPr>
        <w:t>84</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7</w:t>
      </w:r>
      <w:r>
        <w:rPr>
          <w:rFonts w:hint="eastAsia" w:ascii="仿宋_GB2312" w:hAnsi="仿宋_GB2312" w:eastAsia="仿宋_GB2312"/>
          <w:color w:val="000000"/>
          <w:kern w:val="2"/>
          <w:sz w:val="32"/>
          <w:szCs w:val="24"/>
        </w:rPr>
        <w:t>%。具体情况如下：</w:t>
      </w:r>
    </w:p>
    <w:p w14:paraId="21539F4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F17657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12ECAF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7BEEDA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628474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BF781E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26C2151">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anchor distT="0" distB="0" distL="114300" distR="114300" simplePos="0" relativeHeight="251665408" behindDoc="0" locked="0" layoutInCell="1" allowOverlap="1">
            <wp:simplePos x="0" y="0"/>
            <wp:positionH relativeFrom="column">
              <wp:posOffset>485140</wp:posOffset>
            </wp:positionH>
            <wp:positionV relativeFrom="paragraph">
              <wp:posOffset>184785</wp:posOffset>
            </wp:positionV>
            <wp:extent cx="4846320" cy="2758440"/>
            <wp:effectExtent l="0" t="0" r="11430" b="3810"/>
            <wp:wrapNone/>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2"/>
                    <a:stretch>
                      <a:fillRect/>
                    </a:stretch>
                  </pic:blipFill>
                  <pic:spPr>
                    <a:xfrm>
                      <a:off x="0" y="0"/>
                      <a:ext cx="4846320" cy="2758440"/>
                    </a:xfrm>
                    <a:prstGeom prst="rect">
                      <a:avLst/>
                    </a:prstGeom>
                    <a:noFill/>
                    <a:ln>
                      <a:noFill/>
                    </a:ln>
                  </pic:spPr>
                </pic:pic>
              </a:graphicData>
            </a:graphic>
          </wp:anchor>
        </w:drawing>
      </w:r>
    </w:p>
    <w:p w14:paraId="7E6BEE5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36CC49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6886C3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6A4404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902765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D55C73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ECE925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6F94CF6">
      <w:pPr>
        <w:overflowPunct w:val="0"/>
        <w:topLinePunct/>
        <w:spacing w:beforeLines="0" w:afterLines="0" w:line="576" w:lineRule="exact"/>
        <w:ind w:firstLine="640" w:firstLineChars="200"/>
        <w:jc w:val="both"/>
        <w:rPr>
          <w:rFonts w:hint="eastAsia" w:ascii="仿宋_GB2312" w:hAnsi="仿宋_GB2312" w:eastAsia="仿宋_GB2312"/>
          <w:i/>
          <w:color w:val="000000"/>
          <w:kern w:val="2"/>
          <w:sz w:val="32"/>
          <w:szCs w:val="24"/>
        </w:rPr>
      </w:pPr>
    </w:p>
    <w:p w14:paraId="03B09B03">
      <w:pPr>
        <w:spacing w:beforeLines="0" w:afterLines="0" w:line="576" w:lineRule="exact"/>
        <w:ind w:firstLine="643" w:firstLineChars="200"/>
        <w:rPr>
          <w:rFonts w:hint="eastAsia"/>
          <w:sz w:val="24"/>
          <w:szCs w:val="24"/>
        </w:rPr>
      </w:pPr>
      <w:r>
        <w:rPr>
          <w:rFonts w:hint="eastAsia" w:ascii="Times New Roman" w:eastAsia="仿宋_GB2312"/>
          <w:b/>
          <w:color w:val="000000"/>
          <w:kern w:val="2"/>
          <w:sz w:val="32"/>
          <w:szCs w:val="24"/>
        </w:rPr>
        <w:t>1</w:t>
      </w:r>
      <w:r>
        <w:rPr>
          <w:rFonts w:hint="eastAsia" w:ascii="仿宋_GB2312" w:hAnsi="仿宋_GB2312" w:eastAsia="仿宋_GB2312"/>
          <w:b/>
          <w:color w:val="000000"/>
          <w:kern w:val="2"/>
          <w:sz w:val="32"/>
          <w:szCs w:val="24"/>
        </w:rPr>
        <w:t>.因公出国（境）经费</w:t>
      </w:r>
      <w:r>
        <w:rPr>
          <w:rFonts w:hint="eastAsia" w:ascii="Times New Roman" w:eastAsia="仿宋_GB2312"/>
          <w:color w:val="auto"/>
          <w:sz w:val="32"/>
          <w:szCs w:val="32"/>
        </w:rPr>
        <w:t>0</w:t>
      </w:r>
      <w:r>
        <w:rPr>
          <w:rFonts w:hint="eastAsia" w:ascii="仿宋_GB2312" w:eastAsia="仿宋_GB2312"/>
          <w:color w:val="auto"/>
          <w:sz w:val="32"/>
          <w:szCs w:val="32"/>
        </w:rPr>
        <w:t>万元，</w:t>
      </w:r>
      <w:r>
        <w:rPr>
          <w:rStyle w:val="14"/>
          <w:rFonts w:hint="eastAsia" w:ascii="仿宋" w:hAnsi="仿宋" w:eastAsia="仿宋_GB2312"/>
          <w:b w:val="0"/>
          <w:color w:val="auto"/>
          <w:sz w:val="32"/>
          <w:szCs w:val="24"/>
        </w:rPr>
        <w:t>年初未安排预算。</w:t>
      </w:r>
      <w:r>
        <w:rPr>
          <w:rStyle w:val="14"/>
          <w:rFonts w:hint="eastAsia" w:ascii="仿宋" w:hAnsi="仿宋" w:eastAsia="仿宋_GB2312"/>
          <w:b w:val="0"/>
          <w:color w:val="000000"/>
          <w:sz w:val="32"/>
          <w:szCs w:val="24"/>
        </w:rPr>
        <w:t>与上年数持平。</w:t>
      </w:r>
    </w:p>
    <w:p w14:paraId="5132CA5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Times New Roman" w:eastAsia="仿宋_GB2312"/>
          <w:b/>
          <w:color w:val="000000"/>
          <w:kern w:val="2"/>
          <w:sz w:val="32"/>
          <w:szCs w:val="24"/>
        </w:rPr>
        <w:t>2</w:t>
      </w:r>
      <w:r>
        <w:rPr>
          <w:rFonts w:hint="eastAsia" w:ascii="仿宋_GB2312" w:hAnsi="仿宋_GB2312" w:eastAsia="仿宋_GB2312"/>
          <w:b/>
          <w:color w:val="000000"/>
          <w:kern w:val="2"/>
          <w:sz w:val="32"/>
          <w:szCs w:val="24"/>
        </w:rPr>
        <w:t>.公务用车购置及运行维护费</w:t>
      </w:r>
      <w:r>
        <w:rPr>
          <w:rFonts w:hint="eastAsia" w:ascii="仿宋_GB2312" w:hAnsi="仿宋_GB2312" w:eastAsia="仿宋_GB2312"/>
          <w:color w:val="000000"/>
          <w:kern w:val="2"/>
          <w:sz w:val="32"/>
          <w:szCs w:val="24"/>
        </w:rPr>
        <w:t>预算为</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%。公务用车购置及运行维护费支出决算比</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年度减少</w:t>
      </w:r>
      <w:r>
        <w:rPr>
          <w:rFonts w:hint="eastAsia" w:ascii="Times New Roman" w:eastAsia="仿宋_GB2312" w:cs="仿宋"/>
          <w:color w:val="000000"/>
          <w:sz w:val="32"/>
          <w:szCs w:val="32"/>
        </w:rPr>
        <w:t>11</w:t>
      </w:r>
      <w:r>
        <w:rPr>
          <w:rFonts w:hint="eastAsia" w:ascii="仿宋_GB2312" w:hAnsi="仿宋_GB2312" w:eastAsia="仿宋_GB2312"/>
          <w:color w:val="000000"/>
          <w:kern w:val="2"/>
          <w:sz w:val="32"/>
          <w:szCs w:val="24"/>
        </w:rPr>
        <w:t>万元，下降</w:t>
      </w:r>
      <w:r>
        <w:rPr>
          <w:rFonts w:hint="eastAsia" w:ascii="Times New Roman" w:eastAsia="仿宋_GB2312" w:cs="仿宋"/>
          <w:color w:val="000000"/>
          <w:sz w:val="32"/>
          <w:szCs w:val="32"/>
        </w:rPr>
        <w:t>47</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83</w:t>
      </w:r>
      <w:r>
        <w:rPr>
          <w:rFonts w:hint="eastAsia" w:ascii="仿宋_GB2312" w:hAnsi="仿宋_GB2312" w:eastAsia="仿宋_GB2312"/>
          <w:color w:val="000000"/>
          <w:kern w:val="2"/>
          <w:sz w:val="32"/>
          <w:szCs w:val="24"/>
        </w:rPr>
        <w:t>%。主要原因是</w:t>
      </w:r>
      <w:r>
        <w:rPr>
          <w:rFonts w:hint="eastAsia" w:ascii="仿宋_GB2312" w:hAnsi="仿宋" w:eastAsia="仿宋_GB2312" w:cs="仿宋"/>
          <w:color w:val="000000"/>
          <w:sz w:val="32"/>
          <w:szCs w:val="32"/>
        </w:rPr>
        <w:t>预算金额调整减少</w:t>
      </w:r>
      <w:r>
        <w:rPr>
          <w:rFonts w:hint="eastAsia" w:ascii="仿宋_GB2312" w:hAnsi="仿宋_GB2312" w:eastAsia="仿宋_GB2312"/>
          <w:color w:val="000000"/>
          <w:kern w:val="2"/>
          <w:sz w:val="32"/>
          <w:szCs w:val="24"/>
        </w:rPr>
        <w:t>。</w:t>
      </w:r>
    </w:p>
    <w:p w14:paraId="5E0B77E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万元。全年按规定更新购置公务用车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万元，越野车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万元，小型客车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万元，中型客车和大型客车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万元，其他车型</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。截至</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日，本部门共有公务用车</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辆，其中：轿车</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辆、越野车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辆、小型客车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辆、中型客车和大型客车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辆、其他车型</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w:t>
      </w:r>
    </w:p>
    <w:p w14:paraId="256E203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万元。主要用于</w:t>
      </w:r>
      <w:r>
        <w:rPr>
          <w:rFonts w:hint="eastAsia" w:ascii="仿宋_GB2312" w:hAnsi="仿宋" w:eastAsia="仿宋_GB2312" w:cs="仿宋"/>
          <w:color w:val="000000"/>
          <w:sz w:val="32"/>
          <w:szCs w:val="32"/>
        </w:rPr>
        <w:t>全区现场会及公务接待用车</w:t>
      </w:r>
      <w:r>
        <w:rPr>
          <w:rFonts w:hint="eastAsia" w:ascii="仿宋_GB2312" w:hAnsi="仿宋_GB2312" w:eastAsia="仿宋_GB2312"/>
          <w:color w:val="000000"/>
          <w:kern w:val="2"/>
          <w:sz w:val="32"/>
          <w:szCs w:val="24"/>
        </w:rPr>
        <w:t>等所需的公务用车燃料费、维修费、过路过桥费、保险费等支出。</w:t>
      </w:r>
    </w:p>
    <w:p w14:paraId="75B3843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Times New Roman" w:eastAsia="仿宋_GB2312"/>
          <w:b/>
          <w:color w:val="000000"/>
          <w:kern w:val="2"/>
          <w:sz w:val="32"/>
          <w:szCs w:val="24"/>
        </w:rPr>
        <w:t>3</w:t>
      </w:r>
      <w:r>
        <w:rPr>
          <w:rFonts w:hint="eastAsia" w:ascii="仿宋_GB2312" w:hAnsi="仿宋_GB2312" w:eastAsia="仿宋_GB2312"/>
          <w:b/>
          <w:color w:val="000000"/>
          <w:kern w:val="2"/>
          <w:sz w:val="32"/>
          <w:szCs w:val="24"/>
        </w:rPr>
        <w:t>.公务接待费</w:t>
      </w:r>
      <w:r>
        <w:rPr>
          <w:rFonts w:hint="eastAsia" w:ascii="仿宋_GB2312" w:hAnsi="仿宋_GB2312" w:eastAsia="仿宋_GB2312"/>
          <w:color w:val="000000"/>
          <w:kern w:val="2"/>
          <w:sz w:val="32"/>
          <w:szCs w:val="24"/>
        </w:rPr>
        <w:t>预算为</w:t>
      </w:r>
      <w:r>
        <w:rPr>
          <w:rFonts w:hint="eastAsia" w:ascii="Times New Roman" w:eastAsia="仿宋_GB2312"/>
          <w:color w:val="000000"/>
          <w:kern w:val="2"/>
          <w:sz w:val="32"/>
          <w:szCs w:val="24"/>
        </w:rPr>
        <w:t>90</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66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58</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74</w:t>
      </w:r>
      <w:r>
        <w:rPr>
          <w:rFonts w:hint="eastAsia" w:ascii="仿宋_GB2312" w:hAnsi="仿宋_GB2312" w:eastAsia="仿宋_GB2312"/>
          <w:color w:val="000000"/>
          <w:kern w:val="2"/>
          <w:sz w:val="32"/>
          <w:szCs w:val="24"/>
        </w:rPr>
        <w:t>%。公务接待费支出决算比</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年度增加</w:t>
      </w:r>
      <w:r>
        <w:rPr>
          <w:rFonts w:hint="eastAsia" w:ascii="Times New Roman" w:eastAsia="仿宋_GB2312" w:cs="仿宋"/>
          <w:color w:val="000000"/>
          <w:sz w:val="32"/>
          <w:szCs w:val="32"/>
        </w:rPr>
        <w:t>26</w:t>
      </w:r>
      <w:r>
        <w:rPr>
          <w:rFonts w:hint="eastAsia" w:ascii="仿宋_GB2312" w:hAnsi="仿宋" w:eastAsia="仿宋_GB2312" w:cs="仿宋"/>
          <w:color w:val="000000"/>
          <w:sz w:val="32"/>
          <w:szCs w:val="32"/>
        </w:rPr>
        <w:t>.</w:t>
      </w:r>
      <w:r>
        <w:rPr>
          <w:rFonts w:hint="eastAsia" w:ascii="Times New Roman" w:eastAsia="仿宋_GB2312" w:cs="仿宋"/>
          <w:color w:val="000000"/>
          <w:sz w:val="32"/>
          <w:szCs w:val="32"/>
        </w:rPr>
        <w:t>68</w:t>
      </w:r>
      <w:r>
        <w:rPr>
          <w:rFonts w:hint="eastAsia" w:ascii="仿宋_GB2312" w:hAnsi="仿宋_GB2312" w:eastAsia="仿宋_GB2312"/>
          <w:color w:val="000000"/>
          <w:kern w:val="2"/>
          <w:sz w:val="32"/>
          <w:szCs w:val="24"/>
        </w:rPr>
        <w:t>万元，增长</w:t>
      </w:r>
      <w:r>
        <w:rPr>
          <w:rFonts w:hint="eastAsia" w:ascii="Times New Roman" w:eastAsia="仿宋_GB2312"/>
          <w:sz w:val="32"/>
          <w:szCs w:val="32"/>
        </w:rPr>
        <w:t>66</w:t>
      </w:r>
      <w:r>
        <w:rPr>
          <w:rFonts w:hint="eastAsia" w:ascii="仿宋_GB2312" w:hAnsi="仿宋" w:eastAsia="仿宋_GB2312"/>
          <w:sz w:val="32"/>
          <w:szCs w:val="32"/>
        </w:rPr>
        <w:t>.</w:t>
      </w:r>
      <w:r>
        <w:rPr>
          <w:rFonts w:hint="eastAsia" w:ascii="Times New Roman" w:eastAsia="仿宋_GB2312"/>
          <w:sz w:val="32"/>
          <w:szCs w:val="32"/>
        </w:rPr>
        <w:t>87</w:t>
      </w:r>
      <w:r>
        <w:rPr>
          <w:rFonts w:hint="eastAsia" w:ascii="仿宋_GB2312" w:hAnsi="仿宋_GB2312" w:eastAsia="仿宋_GB2312"/>
          <w:color w:val="000000"/>
          <w:kern w:val="2"/>
          <w:sz w:val="32"/>
          <w:szCs w:val="24"/>
        </w:rPr>
        <w:t>%。主要原因是</w:t>
      </w:r>
      <w:r>
        <w:rPr>
          <w:rFonts w:hint="eastAsia" w:ascii="仿宋_GB2312" w:hAnsi="仿宋" w:eastAsia="仿宋_GB2312" w:cs="仿宋"/>
          <w:color w:val="000000"/>
          <w:sz w:val="32"/>
          <w:szCs w:val="32"/>
        </w:rPr>
        <w:t>疫情放开后接待量增加</w:t>
      </w:r>
      <w:r>
        <w:rPr>
          <w:rFonts w:hint="eastAsia" w:ascii="仿宋_GB2312" w:hAnsi="仿宋_GB2312" w:eastAsia="仿宋_GB2312"/>
          <w:color w:val="000000"/>
          <w:kern w:val="2"/>
          <w:sz w:val="32"/>
          <w:szCs w:val="24"/>
        </w:rPr>
        <w:t>。其中：</w:t>
      </w:r>
    </w:p>
    <w:p w14:paraId="5E7F09A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w:t>
      </w:r>
      <w:r>
        <w:rPr>
          <w:rFonts w:hint="eastAsia" w:ascii="Times New Roman" w:eastAsia="仿宋_GB2312"/>
          <w:color w:val="000000"/>
          <w:kern w:val="2"/>
          <w:sz w:val="32"/>
          <w:szCs w:val="24"/>
        </w:rPr>
        <w:t>66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58</w:t>
      </w:r>
      <w:r>
        <w:rPr>
          <w:rFonts w:hint="eastAsia" w:ascii="仿宋_GB2312" w:hAnsi="仿宋_GB2312" w:eastAsia="仿宋_GB2312"/>
          <w:color w:val="000000"/>
          <w:kern w:val="2"/>
          <w:sz w:val="32"/>
          <w:szCs w:val="24"/>
        </w:rPr>
        <w:t>万元。主要用于执行公务、开展业务活动开支的住宿费、用餐费等)。国内公务接待</w:t>
      </w:r>
      <w:r>
        <w:rPr>
          <w:rFonts w:hint="eastAsia" w:ascii="Times New Roman" w:eastAsia="仿宋_GB2312"/>
          <w:color w:val="000000"/>
          <w:kern w:val="2"/>
          <w:sz w:val="32"/>
          <w:szCs w:val="24"/>
        </w:rPr>
        <w:t>292</w:t>
      </w:r>
      <w:r>
        <w:rPr>
          <w:rFonts w:hint="eastAsia" w:ascii="仿宋_GB2312" w:hAnsi="仿宋_GB2312" w:eastAsia="仿宋_GB2312"/>
          <w:color w:val="000000"/>
          <w:kern w:val="2"/>
          <w:sz w:val="32"/>
          <w:szCs w:val="24"/>
        </w:rPr>
        <w:t>批次，</w:t>
      </w:r>
      <w:r>
        <w:rPr>
          <w:rFonts w:hint="eastAsia" w:ascii="Times New Roman" w:eastAsia="仿宋_GB2312"/>
          <w:color w:val="000000"/>
          <w:kern w:val="2"/>
          <w:sz w:val="32"/>
          <w:szCs w:val="24"/>
        </w:rPr>
        <w:t>3968</w:t>
      </w:r>
      <w:r>
        <w:rPr>
          <w:rFonts w:hint="eastAsia" w:ascii="仿宋_GB2312" w:hAnsi="仿宋_GB2312" w:eastAsia="仿宋_GB2312"/>
          <w:color w:val="000000"/>
          <w:kern w:val="2"/>
          <w:sz w:val="32"/>
          <w:szCs w:val="24"/>
        </w:rPr>
        <w:t>人次，共计支出</w:t>
      </w:r>
      <w:r>
        <w:rPr>
          <w:rFonts w:hint="eastAsia" w:ascii="Times New Roman" w:eastAsia="仿宋_GB2312"/>
          <w:color w:val="000000"/>
          <w:kern w:val="2"/>
          <w:sz w:val="32"/>
          <w:szCs w:val="24"/>
        </w:rPr>
        <w:t>66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58</w:t>
      </w:r>
      <w:r>
        <w:rPr>
          <w:rFonts w:hint="eastAsia" w:ascii="仿宋_GB2312" w:hAnsi="仿宋_GB2312" w:eastAsia="仿宋_GB2312"/>
          <w:color w:val="000000"/>
          <w:kern w:val="2"/>
          <w:sz w:val="32"/>
          <w:szCs w:val="24"/>
        </w:rPr>
        <w:t>万元，具体内容包括：</w:t>
      </w:r>
      <w:r>
        <w:rPr>
          <w:rFonts w:hint="eastAsia" w:ascii="仿宋_GB2312" w:hAnsi="仿宋_GB2312" w:eastAsia="仿宋_GB2312" w:cs="仿宋_GB2312"/>
          <w:color w:val="auto"/>
          <w:sz w:val="32"/>
          <w:szCs w:val="32"/>
        </w:rPr>
        <w:t>三国文化旅游节、“司马错来蜀与中国大统一”研讨会、“我们的节日”重阳四川省示范活动、全市</w:t>
      </w:r>
      <w:r>
        <w:rPr>
          <w:rFonts w:hint="eastAsia" w:ascii="Times New Roman" w:eastAsia="仿宋_GB2312" w:cs="仿宋_GB2312"/>
          <w:color w:val="auto"/>
          <w:sz w:val="32"/>
          <w:szCs w:val="32"/>
        </w:rPr>
        <w:t>2023</w:t>
      </w:r>
      <w:r>
        <w:rPr>
          <w:rFonts w:hint="eastAsia" w:ascii="仿宋_GB2312" w:hAnsi="仿宋_GB2312" w:eastAsia="仿宋_GB2312" w:cs="仿宋_GB2312"/>
          <w:color w:val="auto"/>
          <w:sz w:val="32"/>
          <w:szCs w:val="32"/>
        </w:rPr>
        <w:t>年三季度项目投资“拉练评比”暨四季度重大项目现场推进活动等重大会议活动、昭化区创建省级法治政府示范区、创建天府旅游名县等重大创建工作的</w:t>
      </w:r>
      <w:r>
        <w:rPr>
          <w:rFonts w:hint="eastAsia" w:ascii="仿宋_GB2312" w:hAnsi="仿宋_GB2312" w:eastAsia="仿宋_GB2312"/>
          <w:color w:val="000000"/>
          <w:kern w:val="2"/>
          <w:sz w:val="32"/>
          <w:szCs w:val="24"/>
        </w:rPr>
        <w:t>住宿费和用餐费及公务服务保障费用等。</w:t>
      </w:r>
    </w:p>
    <w:p w14:paraId="6867084D">
      <w:pPr>
        <w:pStyle w:val="4"/>
        <w:overflowPunct w:val="0"/>
        <w:topLinePunct/>
        <w:spacing w:before="72" w:afterLines="0" w:line="576" w:lineRule="exact"/>
        <w:ind w:firstLine="643" w:firstLineChars="200"/>
        <w:jc w:val="both"/>
        <w:rPr>
          <w:rFonts w:hint="eastAsia" w:hAnsi="仿宋_GB2312"/>
          <w:color w:val="000000"/>
          <w:kern w:val="2"/>
          <w:sz w:val="32"/>
          <w:szCs w:val="24"/>
          <w:highlight w:val="yellow"/>
        </w:rPr>
      </w:pPr>
      <w:r>
        <w:rPr>
          <w:rFonts w:hint="eastAsia" w:hAnsi="仿宋_GB2312"/>
          <w:b/>
          <w:color w:val="000000"/>
          <w:kern w:val="2"/>
          <w:sz w:val="32"/>
          <w:szCs w:val="24"/>
        </w:rPr>
        <w:t>外事接待</w:t>
      </w:r>
      <w:r>
        <w:rPr>
          <w:rFonts w:hint="eastAsia" w:hAnsi="仿宋_GB2312"/>
          <w:color w:val="000000"/>
          <w:kern w:val="2"/>
          <w:sz w:val="32"/>
          <w:szCs w:val="24"/>
        </w:rPr>
        <w:t>支出</w:t>
      </w:r>
      <w:r>
        <w:rPr>
          <w:rFonts w:hint="eastAsia" w:ascii="Times New Roman"/>
          <w:color w:val="000000"/>
          <w:kern w:val="2"/>
          <w:sz w:val="32"/>
          <w:szCs w:val="24"/>
        </w:rPr>
        <w:t>0</w:t>
      </w:r>
      <w:r>
        <w:rPr>
          <w:rFonts w:hint="eastAsia" w:hAnsi="仿宋_GB2312"/>
          <w:color w:val="000000"/>
          <w:kern w:val="2"/>
          <w:sz w:val="32"/>
          <w:szCs w:val="24"/>
        </w:rPr>
        <w:t>万元，外事接待</w:t>
      </w:r>
      <w:r>
        <w:rPr>
          <w:rFonts w:hint="eastAsia" w:ascii="Times New Roman"/>
          <w:color w:val="000000"/>
          <w:kern w:val="2"/>
          <w:sz w:val="32"/>
          <w:szCs w:val="24"/>
        </w:rPr>
        <w:t>0</w:t>
      </w:r>
      <w:r>
        <w:rPr>
          <w:rFonts w:hint="eastAsia" w:hAnsi="仿宋_GB2312"/>
          <w:color w:val="000000"/>
          <w:kern w:val="2"/>
          <w:sz w:val="32"/>
          <w:szCs w:val="24"/>
        </w:rPr>
        <w:t>批次，</w:t>
      </w:r>
      <w:r>
        <w:rPr>
          <w:rFonts w:hint="eastAsia" w:ascii="Times New Roman"/>
          <w:color w:val="000000"/>
          <w:kern w:val="2"/>
          <w:sz w:val="32"/>
          <w:szCs w:val="24"/>
        </w:rPr>
        <w:t>0</w:t>
      </w:r>
      <w:r>
        <w:rPr>
          <w:rFonts w:hint="eastAsia" w:hAnsi="仿宋_GB2312"/>
          <w:color w:val="000000"/>
          <w:kern w:val="2"/>
          <w:sz w:val="32"/>
          <w:szCs w:val="24"/>
        </w:rPr>
        <w:t>人，共计支出</w:t>
      </w:r>
      <w:r>
        <w:rPr>
          <w:rFonts w:hint="eastAsia" w:ascii="Times New Roman"/>
          <w:color w:val="000000"/>
          <w:kern w:val="2"/>
          <w:sz w:val="32"/>
          <w:szCs w:val="24"/>
        </w:rPr>
        <w:t>0</w:t>
      </w:r>
      <w:r>
        <w:rPr>
          <w:rFonts w:hint="eastAsia" w:hAnsi="仿宋_GB2312"/>
          <w:color w:val="000000"/>
          <w:kern w:val="2"/>
          <w:sz w:val="32"/>
          <w:szCs w:val="24"/>
        </w:rPr>
        <w:t>万元。</w:t>
      </w:r>
    </w:p>
    <w:p w14:paraId="68156610">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1E3B306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年政府性基金预算拨款支出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14:paraId="140E1E62">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5E2059B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年国有资本经营预算拨款支出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14:paraId="0A88091F">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39C1D88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70364E3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广元市昭化区公务服务中心属于财政补助的事业单位，</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年未发生机关运行经费，与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年决算数持平。</w:t>
      </w:r>
    </w:p>
    <w:p w14:paraId="5416E5B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6B5AE58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年，广元市昭化区公务服务中心未发生政府采购支出。</w:t>
      </w:r>
    </w:p>
    <w:p w14:paraId="71F2D37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6B59046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日，广元市昭化区公务服务中心共有车辆</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辆，其中：副部（省）级及以上领导用车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辆、主要负责人用车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辆、机要通信用车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辆、应急保障用车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辆、执法执勤用车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辆、特种专业技术用车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辆、离退休干部服务用车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辆、其他用车</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辆。其中：其他用车主要是用于</w:t>
      </w:r>
      <w:r>
        <w:rPr>
          <w:rFonts w:hint="eastAsia" w:ascii="仿宋_GB2312" w:eastAsia="仿宋_GB2312"/>
          <w:color w:val="000000"/>
          <w:sz w:val="32"/>
          <w:szCs w:val="32"/>
        </w:rPr>
        <w:t>全区公务接待及大型现场会使用</w:t>
      </w:r>
      <w:r>
        <w:rPr>
          <w:rFonts w:hint="eastAsia" w:ascii="仿宋_GB2312" w:hAnsi="仿宋_GB2312" w:eastAsia="仿宋_GB2312"/>
          <w:color w:val="000000"/>
          <w:kern w:val="2"/>
          <w:sz w:val="32"/>
          <w:szCs w:val="24"/>
        </w:rPr>
        <w:t>。</w:t>
      </w:r>
    </w:p>
    <w:p w14:paraId="73008E81">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万元（含）以上设备</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台（套）。</w:t>
      </w:r>
    </w:p>
    <w:p w14:paraId="498D2E6F">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73564A92">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kern w:val="2"/>
          <w:sz w:val="32"/>
          <w:szCs w:val="24"/>
        </w:rPr>
        <w:t>根据预算绩效管理要求，本单位在</w:t>
      </w:r>
      <w:r>
        <w:rPr>
          <w:rFonts w:hint="eastAsia" w:ascii="Times New Roman" w:eastAsia="仿宋_GB2312"/>
          <w:kern w:val="2"/>
          <w:sz w:val="32"/>
          <w:szCs w:val="24"/>
        </w:rPr>
        <w:t>2023</w:t>
      </w:r>
      <w:r>
        <w:rPr>
          <w:rFonts w:hint="eastAsia" w:ascii="仿宋_GB2312" w:hAnsi="仿宋_GB2312" w:eastAsia="仿宋_GB2312"/>
          <w:kern w:val="2"/>
          <w:sz w:val="32"/>
          <w:szCs w:val="24"/>
        </w:rPr>
        <w:t>年度预算编制阶段，组织对临聘人员经费、后勤综合保障、</w:t>
      </w:r>
      <w:r>
        <w:rPr>
          <w:rFonts w:hint="eastAsia" w:ascii="仿宋_GB2312" w:hAnsi="仿宋_GB2312" w:eastAsia="仿宋_GB2312" w:cs="仿宋_GB2312"/>
          <w:sz w:val="32"/>
          <w:szCs w:val="32"/>
        </w:rPr>
        <w:t>公务用车运行费、本单位工作经费和公务接待费</w:t>
      </w:r>
      <w:r>
        <w:rPr>
          <w:rFonts w:hint="eastAsia" w:ascii="仿宋_GB2312" w:hAnsi="仿宋_GB2312" w:eastAsia="仿宋_GB2312"/>
          <w:kern w:val="2"/>
          <w:sz w:val="32"/>
          <w:szCs w:val="24"/>
        </w:rPr>
        <w:t>项目</w:t>
      </w:r>
      <w:r>
        <w:rPr>
          <w:rFonts w:hint="eastAsia" w:ascii="Times New Roman" w:eastAsia="仿宋_GB2312"/>
          <w:kern w:val="2"/>
          <w:sz w:val="32"/>
          <w:szCs w:val="24"/>
        </w:rPr>
        <w:t>5</w:t>
      </w:r>
      <w:r>
        <w:rPr>
          <w:rFonts w:hint="eastAsia" w:ascii="仿宋_GB2312" w:hAnsi="仿宋_GB2312" w:eastAsia="仿宋_GB2312"/>
          <w:kern w:val="2"/>
          <w:sz w:val="32"/>
          <w:szCs w:val="24"/>
        </w:rPr>
        <w:t>个项目开展了预算事前绩效评估，对</w:t>
      </w:r>
      <w:r>
        <w:rPr>
          <w:rFonts w:hint="eastAsia" w:ascii="Times New Roman" w:eastAsia="仿宋_GB2312"/>
          <w:kern w:val="2"/>
          <w:sz w:val="32"/>
          <w:szCs w:val="24"/>
        </w:rPr>
        <w:t>5</w:t>
      </w:r>
      <w:r>
        <w:rPr>
          <w:rFonts w:hint="eastAsia" w:ascii="仿宋_GB2312" w:hAnsi="仿宋_GB2312" w:eastAsia="仿宋_GB2312"/>
          <w:kern w:val="2"/>
          <w:sz w:val="32"/>
          <w:szCs w:val="24"/>
        </w:rPr>
        <w:t>个项目编制了绩效目标，预算执行过程中，</w:t>
      </w:r>
      <w:r>
        <w:rPr>
          <w:rFonts w:hint="eastAsia" w:ascii="仿宋_GB2312" w:hAnsi="仿宋_GB2312" w:eastAsia="仿宋_GB2312"/>
          <w:color w:val="auto"/>
          <w:kern w:val="2"/>
          <w:sz w:val="32"/>
          <w:szCs w:val="24"/>
        </w:rPr>
        <w:t>选取五个项目开展绩效监控。</w:t>
      </w:r>
    </w:p>
    <w:p w14:paraId="27E4A071">
      <w:pPr>
        <w:pStyle w:val="4"/>
        <w:spacing w:afterLines="0" w:line="576" w:lineRule="exact"/>
        <w:ind w:firstLine="640" w:firstLineChars="200"/>
        <w:rPr>
          <w:rFonts w:hint="eastAsia" w:hAnsi="仿宋_GB2312"/>
          <w:kern w:val="2"/>
          <w:sz w:val="32"/>
          <w:szCs w:val="24"/>
        </w:rPr>
      </w:pPr>
      <w:r>
        <w:rPr>
          <w:rFonts w:hint="eastAsia" w:hAnsi="仿宋_GB2312"/>
          <w:kern w:val="2"/>
          <w:sz w:val="32"/>
          <w:szCs w:val="24"/>
        </w:rPr>
        <w:t>2023年度组织一般公共预算、政府性基金预算、国有资本经营预算以及资本资产、债券资金等全面开展绩效自评，形成2023年广元市昭化区公务服务中心（部门）整体（含部门预算项目）绩效自评报告、广元市昭化区公务服务中心公务接待费等专项预算项目绩效自评报告，其中，广元市昭化区公务服务中心部门整体（含部门预算项目）绩效自评得分为97分，绩效自评综述：</w:t>
      </w:r>
      <w:r>
        <w:rPr>
          <w:rFonts w:hint="eastAsia" w:ascii="Times New Roman"/>
          <w:color w:val="000000"/>
          <w:sz w:val="32"/>
          <w:szCs w:val="32"/>
        </w:rPr>
        <w:t>认真落实区委区政府决策部署，按照保进度、重质量、求实效的要求，全面推进各项工作，较好地完成了各项目标任务</w:t>
      </w:r>
      <w:r>
        <w:rPr>
          <w:rFonts w:hint="eastAsia" w:hAnsi="仿宋_GB2312"/>
          <w:kern w:val="2"/>
          <w:sz w:val="32"/>
          <w:szCs w:val="24"/>
        </w:rPr>
        <w:t>；公务接待费专项预算项目绩效自评得分为97分，绩效自评综述：按照“过紧日子”要求，</w:t>
      </w:r>
      <w:r>
        <w:rPr>
          <w:rFonts w:hint="eastAsia" w:ascii="仿宋" w:hAnsi="仿宋" w:eastAsia="仿宋" w:cs="华文仿宋"/>
          <w:sz w:val="32"/>
          <w:szCs w:val="32"/>
        </w:rPr>
        <w:t>最大限度压缩支出，较好地保证了日常公务接待工作正常运转</w:t>
      </w:r>
      <w:r>
        <w:rPr>
          <w:rFonts w:hint="eastAsia" w:hAnsi="仿宋_GB2312"/>
          <w:kern w:val="2"/>
          <w:sz w:val="32"/>
          <w:szCs w:val="24"/>
        </w:rPr>
        <w:t>。绩效自评报告详见附件（第四部分）。</w:t>
      </w:r>
    </w:p>
    <w:p w14:paraId="4474E83A">
      <w:pPr>
        <w:overflowPunct w:val="0"/>
        <w:topLinePunct/>
        <w:spacing w:beforeLines="0" w:afterLines="0" w:line="576" w:lineRule="exact"/>
        <w:ind w:firstLine="880" w:firstLineChars="200"/>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57A8ABB8">
      <w:pPr>
        <w:pStyle w:val="4"/>
        <w:spacing w:before="72" w:afterLines="0" w:line="576" w:lineRule="exact"/>
        <w:ind w:firstLine="600" w:firstLineChars="200"/>
        <w:rPr>
          <w:rFonts w:hint="eastAsia"/>
          <w:sz w:val="30"/>
          <w:szCs w:val="24"/>
        </w:rPr>
      </w:pPr>
    </w:p>
    <w:p w14:paraId="591C6E2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5F17A5B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2433E96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DDB342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67883E39">
      <w:pPr>
        <w:pStyle w:val="16"/>
        <w:spacing w:line="576"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4B07A0F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2ADC0DE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FDED14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2ABAFFA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九、一般公共服务支出（类）政府办公厅（款）及相关机构事务（项）：指机关用于保障机构正常运行、开展日常工作的基本支出。</w:t>
      </w:r>
    </w:p>
    <w:p w14:paraId="6A5AB64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eastAsia="仿宋_GB2312"/>
          <w:color w:val="000000"/>
          <w:sz w:val="32"/>
          <w:szCs w:val="32"/>
        </w:rPr>
        <w:t>社会保障和就业</w:t>
      </w:r>
      <w:r>
        <w:rPr>
          <w:rFonts w:hint="eastAsia" w:ascii="仿宋_GB2312" w:hAnsi="仿宋_GB2312" w:eastAsia="仿宋_GB2312"/>
          <w:color w:val="000000"/>
          <w:kern w:val="2"/>
          <w:sz w:val="32"/>
          <w:szCs w:val="24"/>
        </w:rPr>
        <w:t>支出</w:t>
      </w:r>
      <w:r>
        <w:rPr>
          <w:rFonts w:hint="eastAsia" w:ascii="仿宋_GB2312" w:eastAsia="仿宋_GB2312"/>
          <w:color w:val="000000"/>
          <w:sz w:val="32"/>
          <w:szCs w:val="32"/>
        </w:rPr>
        <w:t>（类）行政事业单位离退休（款）行政事业单位基本养老保险缴费（项）：指机关事业单位实施养老保险制度由单位缴纳的基本养老保险费支出。</w:t>
      </w:r>
    </w:p>
    <w:p w14:paraId="472E8F8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十一、卫生健康支出（类）</w:t>
      </w:r>
      <w:r>
        <w:rPr>
          <w:rFonts w:hint="eastAsia" w:ascii="仿宋_GB2312" w:eastAsia="仿宋_GB2312"/>
          <w:color w:val="000000"/>
          <w:sz w:val="32"/>
          <w:szCs w:val="32"/>
        </w:rPr>
        <w:t>行政事业单位医疗</w:t>
      </w:r>
      <w:r>
        <w:rPr>
          <w:rFonts w:hint="eastAsia" w:ascii="仿宋_GB2312" w:hAnsi="仿宋_GB2312" w:eastAsia="仿宋_GB2312"/>
          <w:color w:val="000000"/>
          <w:kern w:val="2"/>
          <w:sz w:val="32"/>
          <w:szCs w:val="24"/>
        </w:rPr>
        <w:t>（款）</w:t>
      </w:r>
      <w:r>
        <w:rPr>
          <w:rFonts w:hint="eastAsia" w:ascii="仿宋_GB2312" w:eastAsia="仿宋_GB2312"/>
          <w:color w:val="000000"/>
          <w:sz w:val="32"/>
          <w:szCs w:val="32"/>
        </w:rPr>
        <w:t>行政单位医疗</w:t>
      </w:r>
      <w:r>
        <w:rPr>
          <w:rFonts w:hint="eastAsia" w:ascii="仿宋_GB2312" w:hAnsi="仿宋_GB2312" w:eastAsia="仿宋_GB2312"/>
          <w:color w:val="000000"/>
          <w:kern w:val="2"/>
          <w:sz w:val="32"/>
          <w:szCs w:val="24"/>
        </w:rPr>
        <w:t>（项）：指</w:t>
      </w:r>
      <w:r>
        <w:rPr>
          <w:rFonts w:hint="eastAsia" w:ascii="仿宋_GB2312" w:eastAsia="仿宋_GB2312"/>
          <w:color w:val="000000"/>
          <w:sz w:val="32"/>
          <w:szCs w:val="32"/>
        </w:rPr>
        <w:t>财政部门安排的行政单位基本医疗保险缴费经费，未参加医疗保险的行政单位的公费医疗经费，按国家规定享受离休人员、红军老战士待遇人员的医疗经费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rPr>
        <w:t>。</w:t>
      </w:r>
    </w:p>
    <w:p w14:paraId="06C67DA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十二、住房保障支出（类）</w:t>
      </w:r>
      <w:r>
        <w:rPr>
          <w:rFonts w:hint="eastAsia" w:ascii="仿宋_GB2312" w:eastAsia="仿宋_GB2312"/>
          <w:color w:val="000000"/>
          <w:sz w:val="32"/>
          <w:szCs w:val="32"/>
        </w:rPr>
        <w:t>住房改革支出</w:t>
      </w:r>
      <w:r>
        <w:rPr>
          <w:rFonts w:hint="eastAsia" w:ascii="仿宋_GB2312" w:hAnsi="仿宋_GB2312" w:eastAsia="仿宋_GB2312"/>
          <w:color w:val="000000"/>
          <w:kern w:val="2"/>
          <w:sz w:val="32"/>
          <w:szCs w:val="24"/>
        </w:rPr>
        <w:t>（款）</w:t>
      </w:r>
      <w:r>
        <w:rPr>
          <w:rFonts w:hint="eastAsia" w:ascii="仿宋_GB2312" w:eastAsia="仿宋_GB2312"/>
          <w:color w:val="000000"/>
          <w:sz w:val="32"/>
          <w:szCs w:val="32"/>
        </w:rPr>
        <w:t>住房公积金</w:t>
      </w:r>
      <w:r>
        <w:rPr>
          <w:rFonts w:hint="eastAsia" w:ascii="仿宋_GB2312" w:hAnsi="仿宋_GB2312" w:eastAsia="仿宋_GB2312"/>
          <w:color w:val="000000"/>
          <w:kern w:val="2"/>
          <w:sz w:val="32"/>
          <w:szCs w:val="24"/>
        </w:rPr>
        <w:t>（项）：</w:t>
      </w:r>
      <w:r>
        <w:rPr>
          <w:rFonts w:hint="eastAsia" w:ascii="仿宋_GB2312" w:eastAsia="仿宋_GB2312"/>
          <w:color w:val="000000"/>
          <w:sz w:val="32"/>
          <w:szCs w:val="32"/>
        </w:rPr>
        <w:t>指反映行政事业单位按人力资源和社会保障部、财政部规定的基本工资和津贴补贴以及规定比例为职工缴纳的住房公积金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17BFC42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十三、基本支出：指为保障机构正常运转、完成日常工作任务而发生的人员支出和公用支出。</w:t>
      </w:r>
    </w:p>
    <w:p w14:paraId="16B574F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十四、项目支出：指在基本支出之外为完成特定行政任务和事业发展目标所发生的支出。 </w:t>
      </w:r>
    </w:p>
    <w:p w14:paraId="4B662FE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十五、</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92E20D">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5E1C74BB">
      <w:pPr>
        <w:overflowPunct w:val="0"/>
        <w:topLinePunct/>
        <w:spacing w:beforeLines="0" w:afterLines="0" w:line="576" w:lineRule="exact"/>
        <w:jc w:val="center"/>
        <w:rPr>
          <w:rFonts w:hint="eastAsia" w:ascii="黑体" w:hAnsi="黑体" w:eastAsia="黑体"/>
          <w:color w:val="000000"/>
          <w:kern w:val="2"/>
          <w:sz w:val="44"/>
          <w:szCs w:val="24"/>
        </w:rPr>
      </w:pPr>
    </w:p>
    <w:p w14:paraId="5E701220">
      <w:pPr>
        <w:overflowPunct w:val="0"/>
        <w:topLinePunct/>
        <w:spacing w:beforeLines="0" w:afterLines="0" w:line="576" w:lineRule="exact"/>
        <w:jc w:val="center"/>
        <w:rPr>
          <w:rFonts w:hint="eastAsia" w:ascii="黑体" w:hAnsi="黑体" w:eastAsia="黑体"/>
          <w:color w:val="000000"/>
          <w:kern w:val="2"/>
          <w:sz w:val="44"/>
          <w:szCs w:val="24"/>
        </w:rPr>
      </w:pPr>
    </w:p>
    <w:p w14:paraId="5B5AECBA">
      <w:pPr>
        <w:overflowPunct w:val="0"/>
        <w:topLinePunct/>
        <w:spacing w:beforeLines="0" w:afterLines="0" w:line="576" w:lineRule="exact"/>
        <w:jc w:val="center"/>
        <w:rPr>
          <w:rFonts w:hint="eastAsia" w:ascii="黑体" w:hAnsi="黑体" w:eastAsia="黑体"/>
          <w:color w:val="000000"/>
          <w:kern w:val="2"/>
          <w:sz w:val="44"/>
          <w:szCs w:val="24"/>
        </w:rPr>
      </w:pPr>
    </w:p>
    <w:p w14:paraId="46E47AFA">
      <w:pPr>
        <w:overflowPunct w:val="0"/>
        <w:topLinePunct/>
        <w:spacing w:beforeLines="0" w:afterLines="0" w:line="576" w:lineRule="exact"/>
        <w:jc w:val="center"/>
        <w:rPr>
          <w:rFonts w:hint="eastAsia" w:ascii="黑体" w:hAnsi="黑体" w:eastAsia="黑体"/>
          <w:color w:val="000000"/>
          <w:kern w:val="2"/>
          <w:sz w:val="44"/>
          <w:szCs w:val="24"/>
        </w:rPr>
      </w:pPr>
    </w:p>
    <w:p w14:paraId="10C99074">
      <w:pPr>
        <w:overflowPunct w:val="0"/>
        <w:topLinePunct/>
        <w:spacing w:beforeLines="0" w:afterLines="0" w:line="576" w:lineRule="exact"/>
        <w:jc w:val="center"/>
        <w:rPr>
          <w:rFonts w:hint="eastAsia" w:ascii="黑体" w:hAnsi="黑体" w:eastAsia="黑体"/>
          <w:color w:val="000000"/>
          <w:kern w:val="2"/>
          <w:sz w:val="44"/>
          <w:szCs w:val="24"/>
        </w:rPr>
      </w:pPr>
    </w:p>
    <w:p w14:paraId="15B53747">
      <w:pPr>
        <w:overflowPunct w:val="0"/>
        <w:topLinePunct/>
        <w:spacing w:beforeLines="0" w:afterLines="0" w:line="576" w:lineRule="exact"/>
        <w:jc w:val="center"/>
        <w:rPr>
          <w:rFonts w:hint="eastAsia" w:ascii="黑体" w:hAnsi="黑体" w:eastAsia="黑体"/>
          <w:color w:val="000000"/>
          <w:kern w:val="2"/>
          <w:sz w:val="44"/>
          <w:szCs w:val="24"/>
        </w:rPr>
      </w:pPr>
    </w:p>
    <w:p w14:paraId="58140389">
      <w:pPr>
        <w:overflowPunct w:val="0"/>
        <w:topLinePunct/>
        <w:spacing w:beforeLines="0" w:afterLines="0" w:line="576" w:lineRule="exact"/>
        <w:jc w:val="center"/>
        <w:rPr>
          <w:rFonts w:hint="eastAsia" w:ascii="黑体" w:hAnsi="黑体" w:eastAsia="黑体"/>
          <w:color w:val="000000"/>
          <w:kern w:val="2"/>
          <w:sz w:val="44"/>
          <w:szCs w:val="24"/>
        </w:rPr>
      </w:pPr>
    </w:p>
    <w:p w14:paraId="6D5BA8E3">
      <w:pPr>
        <w:overflowPunct w:val="0"/>
        <w:topLinePunct/>
        <w:spacing w:beforeLines="0" w:afterLines="0" w:line="576" w:lineRule="exact"/>
        <w:jc w:val="center"/>
        <w:rPr>
          <w:rFonts w:hint="eastAsia" w:ascii="黑体" w:hAnsi="黑体" w:eastAsia="黑体"/>
          <w:color w:val="000000"/>
          <w:kern w:val="2"/>
          <w:sz w:val="44"/>
          <w:szCs w:val="24"/>
        </w:rPr>
      </w:pPr>
    </w:p>
    <w:p w14:paraId="20AF43B1">
      <w:pPr>
        <w:overflowPunct w:val="0"/>
        <w:topLinePunct/>
        <w:spacing w:beforeLines="0" w:afterLines="0" w:line="576" w:lineRule="exact"/>
        <w:jc w:val="center"/>
        <w:rPr>
          <w:rFonts w:hint="eastAsia" w:ascii="黑体" w:hAnsi="黑体" w:eastAsia="黑体"/>
          <w:color w:val="000000"/>
          <w:kern w:val="2"/>
          <w:sz w:val="44"/>
          <w:szCs w:val="24"/>
        </w:rPr>
      </w:pPr>
    </w:p>
    <w:p w14:paraId="4FD69E9F">
      <w:pPr>
        <w:overflowPunct w:val="0"/>
        <w:topLinePunct/>
        <w:spacing w:beforeLines="0" w:afterLines="0" w:line="576" w:lineRule="exact"/>
        <w:jc w:val="center"/>
        <w:rPr>
          <w:rFonts w:hint="eastAsia" w:ascii="黑体" w:hAnsi="黑体" w:eastAsia="黑体"/>
          <w:color w:val="000000"/>
          <w:kern w:val="2"/>
          <w:sz w:val="44"/>
          <w:szCs w:val="24"/>
        </w:rPr>
      </w:pPr>
    </w:p>
    <w:p w14:paraId="6B450CE1">
      <w:pPr>
        <w:overflowPunct w:val="0"/>
        <w:topLinePunct/>
        <w:spacing w:beforeLines="0" w:afterLines="0" w:line="576" w:lineRule="exact"/>
        <w:jc w:val="center"/>
        <w:rPr>
          <w:rFonts w:hint="eastAsia" w:ascii="黑体" w:hAnsi="黑体" w:eastAsia="黑体"/>
          <w:color w:val="000000"/>
          <w:kern w:val="2"/>
          <w:sz w:val="44"/>
          <w:szCs w:val="24"/>
        </w:rPr>
      </w:pPr>
    </w:p>
    <w:p w14:paraId="2BC297C4">
      <w:pPr>
        <w:overflowPunct w:val="0"/>
        <w:topLinePunct/>
        <w:spacing w:beforeLines="0" w:afterLines="0" w:line="576" w:lineRule="exact"/>
        <w:jc w:val="center"/>
        <w:rPr>
          <w:rFonts w:hint="eastAsia" w:ascii="黑体" w:hAnsi="黑体" w:eastAsia="黑体"/>
          <w:color w:val="000000"/>
          <w:kern w:val="2"/>
          <w:sz w:val="44"/>
          <w:szCs w:val="24"/>
        </w:rPr>
      </w:pPr>
    </w:p>
    <w:p w14:paraId="62D5B6A8">
      <w:pPr>
        <w:overflowPunct w:val="0"/>
        <w:topLinePunct/>
        <w:spacing w:beforeLines="0" w:afterLines="0" w:line="576" w:lineRule="exact"/>
        <w:jc w:val="center"/>
        <w:rPr>
          <w:rFonts w:hint="eastAsia" w:ascii="黑体" w:hAnsi="黑体" w:eastAsia="黑体"/>
          <w:color w:val="000000"/>
          <w:kern w:val="2"/>
          <w:sz w:val="44"/>
          <w:szCs w:val="24"/>
        </w:rPr>
      </w:pPr>
    </w:p>
    <w:p w14:paraId="78EFDB5E">
      <w:pPr>
        <w:overflowPunct w:val="0"/>
        <w:topLinePunct/>
        <w:spacing w:beforeLines="0" w:afterLines="0" w:line="576" w:lineRule="exact"/>
        <w:jc w:val="center"/>
        <w:rPr>
          <w:rFonts w:hint="eastAsia" w:ascii="黑体" w:hAnsi="黑体" w:eastAsia="黑体"/>
          <w:color w:val="000000"/>
          <w:kern w:val="2"/>
          <w:sz w:val="44"/>
          <w:szCs w:val="24"/>
        </w:rPr>
      </w:pPr>
    </w:p>
    <w:p w14:paraId="78D87930">
      <w:pPr>
        <w:overflowPunct w:val="0"/>
        <w:topLinePunct/>
        <w:spacing w:beforeLines="0" w:afterLines="0" w:line="576" w:lineRule="exact"/>
        <w:jc w:val="center"/>
        <w:rPr>
          <w:rFonts w:hint="eastAsia" w:ascii="黑体" w:hAnsi="黑体" w:eastAsia="黑体"/>
          <w:color w:val="000000"/>
          <w:kern w:val="2"/>
          <w:sz w:val="44"/>
          <w:szCs w:val="24"/>
        </w:rPr>
      </w:pPr>
    </w:p>
    <w:p w14:paraId="569D6333">
      <w:pPr>
        <w:overflowPunct w:val="0"/>
        <w:topLinePunct/>
        <w:spacing w:beforeLines="0" w:afterLines="0" w:line="576" w:lineRule="exact"/>
        <w:jc w:val="center"/>
        <w:rPr>
          <w:rFonts w:hint="eastAsia" w:ascii="黑体" w:hAnsi="黑体" w:eastAsia="黑体"/>
          <w:color w:val="000000"/>
          <w:kern w:val="2"/>
          <w:sz w:val="44"/>
          <w:szCs w:val="24"/>
        </w:rPr>
      </w:pPr>
    </w:p>
    <w:p w14:paraId="069A3130">
      <w:pPr>
        <w:overflowPunct w:val="0"/>
        <w:topLinePunct/>
        <w:spacing w:beforeLines="0" w:afterLines="0" w:line="576" w:lineRule="exact"/>
        <w:jc w:val="center"/>
        <w:rPr>
          <w:rFonts w:hint="eastAsia" w:ascii="黑体" w:hAnsi="黑体" w:eastAsia="黑体"/>
          <w:color w:val="000000"/>
          <w:kern w:val="2"/>
          <w:sz w:val="44"/>
          <w:szCs w:val="24"/>
        </w:rPr>
      </w:pPr>
    </w:p>
    <w:p w14:paraId="15C6A9E6">
      <w:pPr>
        <w:overflowPunct w:val="0"/>
        <w:topLinePunct/>
        <w:spacing w:beforeLines="0" w:afterLines="0" w:line="576" w:lineRule="exact"/>
        <w:jc w:val="center"/>
        <w:rPr>
          <w:rFonts w:hint="eastAsia" w:ascii="黑体" w:hAnsi="黑体" w:eastAsia="黑体"/>
          <w:color w:val="000000"/>
          <w:kern w:val="2"/>
          <w:sz w:val="44"/>
          <w:szCs w:val="24"/>
        </w:rPr>
      </w:pPr>
    </w:p>
    <w:p w14:paraId="2D22D628">
      <w:pPr>
        <w:overflowPunct w:val="0"/>
        <w:topLinePunct/>
        <w:spacing w:beforeLines="0" w:afterLines="0"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36D4F49C">
      <w:pPr>
        <w:pStyle w:val="4"/>
        <w:spacing w:before="72" w:afterLines="0"/>
        <w:rPr>
          <w:rFonts w:hint="eastAsia"/>
          <w:sz w:val="30"/>
          <w:szCs w:val="24"/>
        </w:rPr>
      </w:pPr>
    </w:p>
    <w:p w14:paraId="648EEF8E">
      <w:pPr>
        <w:autoSpaceDE/>
        <w:autoSpaceDN/>
        <w:spacing w:beforeLines="0" w:afterLines="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广元市昭化区公务服务中心</w:t>
      </w:r>
    </w:p>
    <w:p w14:paraId="0A0A1DB3">
      <w:pPr>
        <w:autoSpaceDE/>
        <w:autoSpaceDN/>
        <w:spacing w:beforeLines="0" w:afterLines="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关于报送2023年部门整体支出绩效</w:t>
      </w:r>
    </w:p>
    <w:p w14:paraId="03E6981A">
      <w:pPr>
        <w:autoSpaceDE/>
        <w:autoSpaceDN/>
        <w:spacing w:beforeLines="0" w:afterLines="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自评报告的函</w:t>
      </w:r>
    </w:p>
    <w:p w14:paraId="4FA9AEC6">
      <w:pPr>
        <w:autoSpaceDE/>
        <w:autoSpaceDN/>
        <w:snapToGrid w:val="0"/>
        <w:spacing w:beforeLines="0" w:afterLines="0" w:line="600" w:lineRule="exact"/>
        <w:jc w:val="both"/>
        <w:rPr>
          <w:rFonts w:hint="default" w:ascii="Times New Roman" w:eastAsia="仿宋_GB2312"/>
          <w:sz w:val="32"/>
          <w:szCs w:val="32"/>
        </w:rPr>
      </w:pPr>
    </w:p>
    <w:p w14:paraId="2490FFD3">
      <w:pPr>
        <w:autoSpaceDE/>
        <w:autoSpaceDN/>
        <w:snapToGrid w:val="0"/>
        <w:spacing w:beforeLines="0" w:afterLines="0" w:line="576" w:lineRule="exact"/>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区财政局：</w:t>
      </w:r>
    </w:p>
    <w:p w14:paraId="1CD8C398">
      <w:pPr>
        <w:autoSpaceDE/>
        <w:autoSpaceDN/>
        <w:snapToGrid w:val="0"/>
        <w:spacing w:beforeLines="0" w:afterLines="0" w:line="576" w:lineRule="exact"/>
        <w:ind w:firstLine="640" w:firstLineChars="200"/>
        <w:jc w:val="both"/>
        <w:rPr>
          <w:rFonts w:hint="default" w:ascii="Times New Roman" w:eastAsia="仿宋_GB2312"/>
          <w:sz w:val="32"/>
          <w:szCs w:val="32"/>
        </w:rPr>
      </w:pPr>
      <w:r>
        <w:rPr>
          <w:rFonts w:hint="eastAsia" w:ascii="仿宋_GB2312" w:hAnsi="仿宋_GB2312" w:eastAsia="仿宋_GB2312"/>
          <w:kern w:val="2"/>
          <w:sz w:val="32"/>
          <w:szCs w:val="24"/>
          <w:lang w:val="zh-CN"/>
        </w:rPr>
        <w:t>为进一步</w:t>
      </w:r>
      <w:r>
        <w:rPr>
          <w:rFonts w:hint="eastAsia" w:ascii="仿宋_GB2312" w:hAnsi="仿宋_GB2312" w:eastAsia="仿宋_GB2312"/>
          <w:kern w:val="2"/>
          <w:sz w:val="32"/>
          <w:szCs w:val="24"/>
        </w:rPr>
        <w:t>推进预算绩效评价管理工作，强化绩效管理意识</w:t>
      </w:r>
      <w:r>
        <w:rPr>
          <w:rFonts w:hint="eastAsia" w:ascii="仿宋_GB2312" w:hAnsi="仿宋_GB2312" w:eastAsia="仿宋_GB2312"/>
          <w:kern w:val="2"/>
          <w:sz w:val="32"/>
          <w:szCs w:val="24"/>
          <w:lang w:val="zh-CN"/>
        </w:rPr>
        <w:t>，</w:t>
      </w:r>
      <w:r>
        <w:rPr>
          <w:rFonts w:hint="eastAsia" w:ascii="仿宋_GB2312" w:hAnsi="仿宋_GB2312" w:eastAsia="仿宋_GB2312"/>
          <w:kern w:val="2"/>
          <w:sz w:val="32"/>
          <w:szCs w:val="24"/>
        </w:rPr>
        <w:t>提高财政资金使用效益，按照广元市昭化区财政局</w:t>
      </w:r>
      <w:r>
        <w:rPr>
          <w:rFonts w:hint="eastAsia" w:ascii="仿宋_GB2312" w:hAnsi="仿宋_GB2312" w:eastAsia="仿宋_GB2312"/>
          <w:kern w:val="2"/>
          <w:sz w:val="32"/>
          <w:szCs w:val="24"/>
          <w:lang w:val="zh-CN"/>
        </w:rPr>
        <w:t>《关于开展202</w:t>
      </w:r>
      <w:r>
        <w:rPr>
          <w:rFonts w:hint="eastAsia" w:ascii="仿宋_GB2312" w:hAnsi="仿宋_GB2312" w:eastAsia="仿宋_GB2312"/>
          <w:kern w:val="2"/>
          <w:sz w:val="32"/>
          <w:szCs w:val="24"/>
        </w:rPr>
        <w:t>4</w:t>
      </w:r>
      <w:r>
        <w:rPr>
          <w:rFonts w:hint="eastAsia" w:ascii="仿宋_GB2312" w:hAnsi="仿宋_GB2312" w:eastAsia="仿宋_GB2312"/>
          <w:kern w:val="2"/>
          <w:sz w:val="32"/>
          <w:szCs w:val="24"/>
          <w:lang w:val="zh-CN"/>
        </w:rPr>
        <w:t>年部门、政策和项目支出绩效评价工作的通知》（昭财发</w:t>
      </w:r>
      <w:r>
        <w:rPr>
          <w:rFonts w:hint="eastAsia" w:ascii="仿宋_GB2312" w:hAnsi="仿宋_GB2312" w:eastAsia="仿宋_GB2312"/>
          <w:kern w:val="2"/>
          <w:sz w:val="32"/>
          <w:szCs w:val="24"/>
        </w:rPr>
        <w:t>〔</w:t>
      </w:r>
      <w:r>
        <w:rPr>
          <w:rFonts w:hint="eastAsia" w:ascii="仿宋_GB2312" w:hAnsi="仿宋_GB2312" w:eastAsia="仿宋_GB2312"/>
          <w:kern w:val="2"/>
          <w:sz w:val="32"/>
          <w:szCs w:val="24"/>
          <w:lang w:val="zh-CN"/>
        </w:rPr>
        <w:t>202</w:t>
      </w:r>
      <w:r>
        <w:rPr>
          <w:rFonts w:hint="eastAsia" w:ascii="仿宋_GB2312" w:hAnsi="仿宋_GB2312" w:eastAsia="仿宋_GB2312"/>
          <w:kern w:val="2"/>
          <w:sz w:val="32"/>
          <w:szCs w:val="24"/>
        </w:rPr>
        <w:t>4〕11</w:t>
      </w:r>
      <w:r>
        <w:rPr>
          <w:rFonts w:hint="eastAsia" w:ascii="仿宋_GB2312" w:hAnsi="仿宋_GB2312" w:eastAsia="仿宋_GB2312"/>
          <w:kern w:val="2"/>
          <w:sz w:val="32"/>
          <w:szCs w:val="24"/>
          <w:lang w:val="zh-CN"/>
        </w:rPr>
        <w:t>号）的要求，结合我</w:t>
      </w:r>
      <w:r>
        <w:rPr>
          <w:rFonts w:hint="eastAsia" w:ascii="仿宋_GB2312" w:hAnsi="仿宋_GB2312" w:eastAsia="仿宋_GB2312"/>
          <w:kern w:val="2"/>
          <w:sz w:val="32"/>
          <w:szCs w:val="24"/>
        </w:rPr>
        <w:t>中心</w:t>
      </w:r>
      <w:r>
        <w:rPr>
          <w:rFonts w:hint="eastAsia" w:ascii="仿宋_GB2312" w:hAnsi="仿宋_GB2312" w:eastAsia="仿宋_GB2312"/>
          <w:kern w:val="2"/>
          <w:sz w:val="32"/>
          <w:szCs w:val="24"/>
          <w:lang w:val="zh-CN"/>
        </w:rPr>
        <w:t>202</w:t>
      </w:r>
      <w:r>
        <w:rPr>
          <w:rFonts w:hint="eastAsia" w:ascii="仿宋_GB2312" w:hAnsi="仿宋_GB2312" w:eastAsia="仿宋_GB2312"/>
          <w:kern w:val="2"/>
          <w:sz w:val="32"/>
          <w:szCs w:val="24"/>
        </w:rPr>
        <w:t>3</w:t>
      </w:r>
      <w:r>
        <w:rPr>
          <w:rFonts w:hint="eastAsia" w:ascii="仿宋_GB2312" w:hAnsi="仿宋_GB2312" w:eastAsia="仿宋_GB2312"/>
          <w:kern w:val="2"/>
          <w:sz w:val="32"/>
          <w:szCs w:val="24"/>
          <w:lang w:val="zh-CN"/>
        </w:rPr>
        <w:t>年</w:t>
      </w:r>
      <w:r>
        <w:rPr>
          <w:rFonts w:hint="eastAsia" w:ascii="仿宋_GB2312" w:hAnsi="仿宋_GB2312" w:eastAsia="仿宋_GB2312"/>
          <w:kern w:val="2"/>
          <w:sz w:val="32"/>
          <w:szCs w:val="24"/>
        </w:rPr>
        <w:t>度</w:t>
      </w:r>
      <w:r>
        <w:rPr>
          <w:rFonts w:hint="eastAsia" w:ascii="仿宋_GB2312" w:hAnsi="仿宋_GB2312" w:eastAsia="仿宋_GB2312"/>
          <w:kern w:val="2"/>
          <w:sz w:val="32"/>
          <w:szCs w:val="24"/>
          <w:lang w:val="zh-CN"/>
        </w:rPr>
        <w:t>部门</w:t>
      </w:r>
      <w:r>
        <w:rPr>
          <w:rFonts w:hint="eastAsia" w:ascii="仿宋_GB2312" w:hAnsi="仿宋_GB2312" w:eastAsia="仿宋_GB2312"/>
          <w:kern w:val="2"/>
          <w:sz w:val="32"/>
          <w:szCs w:val="24"/>
        </w:rPr>
        <w:t>整体支出</w:t>
      </w:r>
      <w:r>
        <w:rPr>
          <w:rFonts w:hint="eastAsia" w:ascii="仿宋_GB2312" w:hAnsi="仿宋_GB2312" w:eastAsia="仿宋_GB2312"/>
          <w:kern w:val="2"/>
          <w:sz w:val="32"/>
          <w:szCs w:val="24"/>
          <w:lang w:val="zh-CN"/>
        </w:rPr>
        <w:t>预算管理情况，组织了专人开展202</w:t>
      </w:r>
      <w:r>
        <w:rPr>
          <w:rFonts w:hint="eastAsia" w:ascii="仿宋_GB2312" w:hAnsi="仿宋_GB2312" w:eastAsia="仿宋_GB2312"/>
          <w:kern w:val="2"/>
          <w:sz w:val="32"/>
          <w:szCs w:val="24"/>
        </w:rPr>
        <w:t>3</w:t>
      </w:r>
      <w:r>
        <w:rPr>
          <w:rFonts w:hint="eastAsia" w:ascii="仿宋_GB2312" w:hAnsi="仿宋_GB2312" w:eastAsia="仿宋_GB2312"/>
          <w:kern w:val="2"/>
          <w:sz w:val="32"/>
          <w:szCs w:val="24"/>
          <w:lang w:val="zh-CN"/>
        </w:rPr>
        <w:t>年</w:t>
      </w:r>
      <w:r>
        <w:rPr>
          <w:rFonts w:hint="eastAsia" w:ascii="仿宋_GB2312" w:hAnsi="仿宋_GB2312" w:eastAsia="仿宋_GB2312"/>
          <w:kern w:val="2"/>
          <w:sz w:val="32"/>
          <w:szCs w:val="24"/>
        </w:rPr>
        <w:t>度</w:t>
      </w:r>
      <w:r>
        <w:rPr>
          <w:rFonts w:hint="eastAsia" w:ascii="仿宋_GB2312" w:hAnsi="仿宋_GB2312" w:eastAsia="仿宋_GB2312"/>
          <w:kern w:val="2"/>
          <w:sz w:val="32"/>
          <w:szCs w:val="24"/>
          <w:lang w:val="zh-CN"/>
        </w:rPr>
        <w:t>部门</w:t>
      </w:r>
      <w:r>
        <w:rPr>
          <w:rFonts w:hint="eastAsia" w:ascii="仿宋_GB2312" w:hAnsi="仿宋_GB2312" w:eastAsia="仿宋_GB2312"/>
          <w:kern w:val="2"/>
          <w:sz w:val="32"/>
          <w:szCs w:val="24"/>
        </w:rPr>
        <w:t>整体支出</w:t>
      </w:r>
      <w:r>
        <w:rPr>
          <w:rFonts w:hint="eastAsia" w:ascii="仿宋_GB2312" w:hAnsi="仿宋_GB2312" w:eastAsia="仿宋_GB2312"/>
          <w:kern w:val="2"/>
          <w:sz w:val="32"/>
          <w:szCs w:val="24"/>
          <w:lang w:val="zh-CN"/>
        </w:rPr>
        <w:t>绩效评估，现将我</w:t>
      </w:r>
      <w:r>
        <w:rPr>
          <w:rFonts w:hint="eastAsia" w:ascii="仿宋_GB2312" w:hAnsi="仿宋_GB2312" w:eastAsia="仿宋_GB2312"/>
          <w:kern w:val="2"/>
          <w:sz w:val="32"/>
          <w:szCs w:val="24"/>
        </w:rPr>
        <w:t>中心</w:t>
      </w:r>
      <w:r>
        <w:rPr>
          <w:rFonts w:hint="eastAsia" w:ascii="仿宋_GB2312" w:hAnsi="仿宋_GB2312" w:eastAsia="仿宋_GB2312"/>
          <w:kern w:val="2"/>
          <w:sz w:val="32"/>
          <w:szCs w:val="24"/>
          <w:lang w:val="zh-CN"/>
        </w:rPr>
        <w:t>202</w:t>
      </w:r>
      <w:r>
        <w:rPr>
          <w:rFonts w:hint="eastAsia" w:ascii="仿宋_GB2312" w:hAnsi="仿宋_GB2312" w:eastAsia="仿宋_GB2312"/>
          <w:kern w:val="2"/>
          <w:sz w:val="32"/>
          <w:szCs w:val="24"/>
        </w:rPr>
        <w:t>3</w:t>
      </w:r>
      <w:r>
        <w:rPr>
          <w:rFonts w:hint="eastAsia" w:ascii="仿宋_GB2312" w:hAnsi="仿宋_GB2312" w:eastAsia="仿宋_GB2312"/>
          <w:kern w:val="2"/>
          <w:sz w:val="32"/>
          <w:szCs w:val="24"/>
          <w:lang w:val="zh-CN"/>
        </w:rPr>
        <w:t>年开展</w:t>
      </w:r>
      <w:r>
        <w:rPr>
          <w:rFonts w:hint="eastAsia" w:ascii="仿宋_GB2312" w:hAnsi="仿宋_GB2312" w:eastAsia="仿宋_GB2312"/>
          <w:kern w:val="2"/>
          <w:sz w:val="32"/>
          <w:szCs w:val="24"/>
        </w:rPr>
        <w:t>部门整体支出绩效自评报告如下：</w:t>
      </w:r>
    </w:p>
    <w:p w14:paraId="0E7D4CAF">
      <w:pPr>
        <w:numPr>
          <w:ilvl w:val="0"/>
          <w:numId w:val="1"/>
        </w:numPr>
        <w:autoSpaceDE/>
        <w:autoSpaceDN/>
        <w:adjustRightInd/>
        <w:spacing w:beforeLines="0" w:afterLines="0"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预算单位概况</w:t>
      </w:r>
    </w:p>
    <w:p w14:paraId="48F24788">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（一）机构职能</w:t>
      </w:r>
    </w:p>
    <w:p w14:paraId="0FE8FF61">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1.</w:t>
      </w:r>
      <w:r>
        <w:rPr>
          <w:rFonts w:hint="eastAsia" w:ascii="Times New Roman" w:eastAsia="仿宋_GB2312"/>
          <w:color w:val="auto"/>
          <w:sz w:val="32"/>
          <w:szCs w:val="32"/>
        </w:rPr>
        <w:t>承担副厅级及以上领导（含曾经担任）来昭的服务保障工作。</w:t>
      </w:r>
    </w:p>
    <w:p w14:paraId="64CDD198">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2.</w:t>
      </w:r>
      <w:r>
        <w:rPr>
          <w:rFonts w:hint="eastAsia" w:ascii="Times New Roman" w:eastAsia="仿宋_GB2312"/>
          <w:color w:val="auto"/>
          <w:sz w:val="32"/>
          <w:szCs w:val="32"/>
        </w:rPr>
        <w:t>按照有关规定负责和参与市级及以上党委、政府派出的巡、视、检查、督查（督导、督察）、考察、调研、考核、审计等综合性工作组来昭的服务保障工作。</w:t>
      </w:r>
    </w:p>
    <w:p w14:paraId="6980B749">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3.</w:t>
      </w:r>
      <w:r>
        <w:rPr>
          <w:rFonts w:hint="eastAsia" w:ascii="Times New Roman" w:eastAsia="仿宋_GB2312"/>
          <w:color w:val="auto"/>
          <w:sz w:val="32"/>
          <w:szCs w:val="32"/>
        </w:rPr>
        <w:t>会同有关部门做好中央、国家机关各部委（含各民主党派、工商联等）和省、市级正县级实职领导来昭的服务保障工作。</w:t>
      </w:r>
    </w:p>
    <w:p w14:paraId="0302B7A5">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4.</w:t>
      </w:r>
      <w:r>
        <w:rPr>
          <w:rFonts w:hint="eastAsia" w:ascii="Times New Roman" w:eastAsia="仿宋_GB2312"/>
          <w:color w:val="auto"/>
          <w:sz w:val="32"/>
          <w:szCs w:val="32"/>
        </w:rPr>
        <w:t>负责外县（区）党政代表团和人大、政协主要领导率队的考察团来昭的协调联络和服务保障工作。</w:t>
      </w:r>
    </w:p>
    <w:p w14:paraId="1BD863FF">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5.</w:t>
      </w:r>
      <w:r>
        <w:rPr>
          <w:rFonts w:hint="eastAsia" w:ascii="Times New Roman" w:eastAsia="仿宋_GB2312"/>
          <w:color w:val="auto"/>
          <w:sz w:val="32"/>
          <w:szCs w:val="32"/>
        </w:rPr>
        <w:t>负责区委、区政府交办的由区公务服务中心承担的公务服务和招商引资事项的服务保障工作。</w:t>
      </w:r>
    </w:p>
    <w:p w14:paraId="02B25886">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6.</w:t>
      </w:r>
      <w:r>
        <w:rPr>
          <w:rFonts w:hint="eastAsia" w:ascii="Times New Roman" w:eastAsia="仿宋_GB2312"/>
          <w:color w:val="auto"/>
          <w:sz w:val="32"/>
          <w:szCs w:val="32"/>
        </w:rPr>
        <w:t>会同区级有关部门承担区委、区政府交办的大型会议、活动的接待服务保障工作。</w:t>
      </w:r>
    </w:p>
    <w:p w14:paraId="1EB426FF">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color w:val="auto"/>
          <w:sz w:val="32"/>
          <w:szCs w:val="32"/>
        </w:rPr>
        <w:t>7.</w:t>
      </w:r>
      <w:r>
        <w:rPr>
          <w:rFonts w:hint="eastAsia" w:ascii="Times New Roman" w:eastAsia="仿宋_GB2312"/>
          <w:color w:val="auto"/>
          <w:sz w:val="32"/>
          <w:szCs w:val="32"/>
        </w:rPr>
        <w:t>指导镇、区级部门的公务活动服务保障工作；负责拟订全区公务服务相关规定。</w:t>
      </w:r>
    </w:p>
    <w:p w14:paraId="078DECD5">
      <w:pPr>
        <w:autoSpaceDE/>
        <w:autoSpaceDN/>
        <w:adjustRightInd/>
        <w:spacing w:beforeLines="0" w:afterLines="0" w:line="576" w:lineRule="exact"/>
        <w:ind w:firstLine="640" w:firstLineChars="200"/>
        <w:jc w:val="both"/>
        <w:rPr>
          <w:rFonts w:hint="eastAsia"/>
          <w:color w:val="auto"/>
          <w:sz w:val="32"/>
          <w:szCs w:val="32"/>
        </w:rPr>
      </w:pPr>
      <w:r>
        <w:rPr>
          <w:rFonts w:hint="eastAsia"/>
          <w:color w:val="auto"/>
          <w:sz w:val="32"/>
          <w:szCs w:val="32"/>
        </w:rPr>
        <w:t>8.</w:t>
      </w:r>
      <w:r>
        <w:rPr>
          <w:rFonts w:hint="eastAsia" w:ascii="Times New Roman" w:eastAsia="仿宋_GB2312"/>
          <w:color w:val="auto"/>
          <w:sz w:val="32"/>
          <w:szCs w:val="32"/>
        </w:rPr>
        <w:t>完成区委、区政府交办的其他任务</w:t>
      </w:r>
      <w:r>
        <w:rPr>
          <w:rFonts w:hint="eastAsia"/>
          <w:color w:val="auto"/>
          <w:sz w:val="32"/>
          <w:szCs w:val="32"/>
        </w:rPr>
        <w:t>。</w:t>
      </w:r>
    </w:p>
    <w:p w14:paraId="217806BB">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（二）机构组成</w:t>
      </w:r>
    </w:p>
    <w:p w14:paraId="0CF3CD9F">
      <w:pPr>
        <w:autoSpaceDE/>
        <w:autoSpaceDN/>
        <w:snapToGrid w:val="0"/>
        <w:spacing w:beforeLines="0" w:afterLines="0" w:line="576" w:lineRule="exact"/>
        <w:ind w:firstLine="640" w:firstLineChars="200"/>
        <w:jc w:val="both"/>
        <w:rPr>
          <w:rFonts w:hint="default" w:ascii="Times New Roman"/>
          <w:sz w:val="24"/>
          <w:szCs w:val="24"/>
        </w:rPr>
      </w:pPr>
      <w:r>
        <w:rPr>
          <w:rFonts w:hint="eastAsia" w:ascii="Times New Roman" w:eastAsia="仿宋_GB2312"/>
          <w:sz w:val="32"/>
          <w:szCs w:val="32"/>
        </w:rPr>
        <w:t xml:space="preserve"> </w:t>
      </w:r>
      <w:r>
        <w:rPr>
          <w:rFonts w:hint="eastAsia" w:ascii="仿宋_GB2312" w:hAnsi="仿宋" w:eastAsia="仿宋_GB2312"/>
          <w:sz w:val="32"/>
          <w:szCs w:val="32"/>
        </w:rPr>
        <w:t>昭化区公务和外事服务中心成立于2008年，原名为区委区政府接待办公室，是全额拨款事业单位。2019年机改后更名为区公务服务中心。下设综合股、公务服务股和后勤保障股3个职能股室。</w:t>
      </w:r>
    </w:p>
    <w:p w14:paraId="046C539B">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（三）人员概况</w:t>
      </w:r>
    </w:p>
    <w:p w14:paraId="1541C4AB">
      <w:pPr>
        <w:autoSpaceDE/>
        <w:autoSpaceDN/>
        <w:adjustRightInd/>
        <w:spacing w:beforeLines="0" w:afterLines="0" w:line="576" w:lineRule="exact"/>
        <w:ind w:firstLine="640" w:firstLineChars="200"/>
        <w:jc w:val="both"/>
        <w:rPr>
          <w:rFonts w:hint="default" w:ascii="Times New Roman" w:eastAsia="仿宋_GB2312"/>
          <w:color w:val="auto"/>
          <w:sz w:val="32"/>
          <w:szCs w:val="32"/>
        </w:rPr>
      </w:pPr>
      <w:r>
        <w:rPr>
          <w:rFonts w:hint="eastAsia" w:ascii="Times New Roman" w:eastAsia="仿宋_GB2312"/>
          <w:color w:val="auto"/>
          <w:sz w:val="32"/>
          <w:szCs w:val="32"/>
        </w:rPr>
        <w:t>区公务服务中心共有编制8名，均为事业编制。</w:t>
      </w:r>
      <w:r>
        <w:rPr>
          <w:rFonts w:hint="default" w:ascii="Times New Roman" w:eastAsia="仿宋_GB2312"/>
          <w:sz w:val="32"/>
          <w:szCs w:val="32"/>
        </w:rPr>
        <w:t>202</w:t>
      </w:r>
      <w:r>
        <w:rPr>
          <w:rFonts w:hint="eastAsia"/>
          <w:sz w:val="32"/>
          <w:szCs w:val="32"/>
        </w:rPr>
        <w:t>3</w:t>
      </w:r>
      <w:r>
        <w:rPr>
          <w:rFonts w:hint="eastAsia" w:ascii="Times New Roman" w:eastAsia="仿宋_GB2312"/>
          <w:sz w:val="32"/>
          <w:szCs w:val="32"/>
        </w:rPr>
        <w:t>年</w:t>
      </w:r>
      <w:r>
        <w:rPr>
          <w:rFonts w:hint="eastAsia" w:ascii="Times New Roman" w:eastAsia="仿宋_GB2312"/>
          <w:color w:val="000000"/>
          <w:sz w:val="32"/>
          <w:szCs w:val="32"/>
        </w:rPr>
        <w:t>末</w:t>
      </w:r>
      <w:r>
        <w:rPr>
          <w:rFonts w:hint="eastAsia" w:ascii="仿宋_GB2312" w:hAnsi="仿宋" w:eastAsia="仿宋_GB2312"/>
          <w:sz w:val="32"/>
          <w:szCs w:val="32"/>
        </w:rPr>
        <w:t>实有在编人数</w:t>
      </w:r>
      <w:r>
        <w:rPr>
          <w:rFonts w:hint="eastAsia" w:hAnsi="仿宋"/>
          <w:sz w:val="32"/>
          <w:szCs w:val="32"/>
        </w:rPr>
        <w:t>8</w:t>
      </w:r>
      <w:r>
        <w:rPr>
          <w:rFonts w:hint="eastAsia" w:ascii="仿宋_GB2312" w:hAnsi="仿宋" w:eastAsia="仿宋_GB2312"/>
          <w:sz w:val="32"/>
          <w:szCs w:val="32"/>
        </w:rPr>
        <w:t>人，</w:t>
      </w:r>
      <w:r>
        <w:rPr>
          <w:rFonts w:hint="eastAsia" w:ascii="Times New Roman" w:eastAsia="仿宋_GB2312"/>
          <w:color w:val="auto"/>
          <w:sz w:val="32"/>
          <w:szCs w:val="32"/>
        </w:rPr>
        <w:t>均为事业管理人员。</w:t>
      </w:r>
    </w:p>
    <w:p w14:paraId="14B80DCF">
      <w:pPr>
        <w:numPr>
          <w:ilvl w:val="0"/>
          <w:numId w:val="2"/>
        </w:num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当年重点工作任务概述</w:t>
      </w:r>
    </w:p>
    <w:p w14:paraId="5FAE8E04">
      <w:pPr>
        <w:numPr>
          <w:ilvl w:val="0"/>
          <w:numId w:val="0"/>
        </w:numPr>
        <w:overflowPunct w:val="0"/>
        <w:autoSpaceDE/>
        <w:autoSpaceDN/>
        <w:adjustRightInd/>
        <w:spacing w:beforeLines="0" w:afterLines="0" w:line="576"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000000"/>
          <w:kern w:val="2"/>
          <w:sz w:val="32"/>
          <w:szCs w:val="32"/>
        </w:rPr>
        <w:t>1.围绕中心、服务大局，高质量完成各项接待工作</w:t>
      </w:r>
    </w:p>
    <w:p w14:paraId="41263A25">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Times New Roman" w:eastAsia="仿宋_GB2312" w:cs="仿宋_GB2312"/>
          <w:color w:val="auto"/>
          <w:sz w:val="32"/>
          <w:szCs w:val="32"/>
        </w:rPr>
        <w:t>2023</w:t>
      </w:r>
      <w:r>
        <w:rPr>
          <w:rFonts w:hint="eastAsia" w:ascii="仿宋_GB2312" w:hAnsi="仿宋_GB2312" w:eastAsia="仿宋_GB2312" w:cs="仿宋_GB2312"/>
          <w:color w:val="auto"/>
          <w:sz w:val="32"/>
          <w:szCs w:val="32"/>
        </w:rPr>
        <w:t>年共接待来宾</w:t>
      </w:r>
      <w:r>
        <w:rPr>
          <w:rFonts w:hint="eastAsia" w:ascii="Times New Roman" w:eastAsia="仿宋_GB2312" w:cs="仿宋_GB2312"/>
          <w:color w:val="auto"/>
          <w:sz w:val="32"/>
          <w:szCs w:val="32"/>
        </w:rPr>
        <w:t>292</w:t>
      </w:r>
      <w:r>
        <w:rPr>
          <w:rFonts w:hint="eastAsia" w:ascii="仿宋_GB2312" w:hAnsi="仿宋_GB2312" w:eastAsia="仿宋_GB2312" w:cs="仿宋_GB2312"/>
          <w:color w:val="auto"/>
          <w:sz w:val="32"/>
          <w:szCs w:val="32"/>
        </w:rPr>
        <w:t>批次，其中省部级领导</w:t>
      </w:r>
      <w:r>
        <w:rPr>
          <w:rFonts w:hint="eastAsia" w:ascii="Times New Roman" w:eastAsia="仿宋_GB2312" w:cs="仿宋_GB2312"/>
          <w:color w:val="auto"/>
          <w:sz w:val="32"/>
          <w:szCs w:val="32"/>
        </w:rPr>
        <w:t>15</w:t>
      </w:r>
      <w:r>
        <w:rPr>
          <w:rFonts w:hint="eastAsia" w:ascii="仿宋_GB2312" w:hAnsi="仿宋_GB2312" w:eastAsia="仿宋_GB2312" w:cs="仿宋_GB2312"/>
          <w:color w:val="auto"/>
          <w:sz w:val="32"/>
          <w:szCs w:val="32"/>
        </w:rPr>
        <w:t>次，全区各类重大会议活动</w:t>
      </w:r>
      <w:r>
        <w:rPr>
          <w:rFonts w:hint="eastAsia" w:ascii="Times New Roman" w:eastAsia="仿宋_GB2312" w:cs="仿宋_GB2312"/>
          <w:color w:val="auto"/>
          <w:sz w:val="32"/>
          <w:szCs w:val="32"/>
        </w:rPr>
        <w:t>17</w:t>
      </w:r>
      <w:r>
        <w:rPr>
          <w:rFonts w:hint="eastAsia" w:ascii="仿宋_GB2312" w:hAnsi="仿宋_GB2312" w:eastAsia="仿宋_GB2312" w:cs="仿宋_GB2312"/>
          <w:color w:val="auto"/>
          <w:sz w:val="32"/>
          <w:szCs w:val="32"/>
        </w:rPr>
        <w:t>次，省、市各类现场会</w:t>
      </w:r>
      <w:r>
        <w:rPr>
          <w:rFonts w:hint="eastAsia" w:ascii="Times New Roman" w:eastAsia="仿宋_GB2312" w:cs="仿宋_GB2312"/>
          <w:color w:val="auto"/>
          <w:sz w:val="32"/>
          <w:szCs w:val="32"/>
        </w:rPr>
        <w:t>12</w:t>
      </w:r>
      <w:r>
        <w:rPr>
          <w:rFonts w:hint="eastAsia" w:ascii="仿宋_GB2312" w:hAnsi="仿宋_GB2312" w:eastAsia="仿宋_GB2312" w:cs="仿宋_GB2312"/>
          <w:color w:val="auto"/>
          <w:sz w:val="32"/>
          <w:szCs w:val="32"/>
        </w:rPr>
        <w:t>次。高水平完成了三国文化旅游节、“司马错来蜀与中国大统一”研讨会、“我们的节日”重阳四川省示范活动、全市2023年三季度项目投资“拉练评比”暨四季度重大项目现场推进活动等重大会议活动的公务服务保障任务，并在昭化区创建省级法治政府示范区、创建天府旅游名县等重大创建工作中表现出色。围绕各项接待任务，精心组织，周密部署，超前谋划，狠抓落实，把好每一个细节，以“零失误”的标准圆满完成了各项接待工作任务，赢得了各级领导和来宾的高度肯定和好评。</w:t>
      </w:r>
    </w:p>
    <w:p w14:paraId="3D62949B">
      <w:pPr>
        <w:numPr>
          <w:ilvl w:val="0"/>
          <w:numId w:val="0"/>
        </w:numPr>
        <w:overflowPunct w:val="0"/>
        <w:autoSpaceDE/>
        <w:autoSpaceDN/>
        <w:adjustRightInd/>
        <w:spacing w:beforeLines="0" w:afterLines="0" w:line="576"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000000"/>
          <w:kern w:val="2"/>
          <w:sz w:val="32"/>
          <w:szCs w:val="32"/>
        </w:rPr>
        <w:t>2.创新思路、丰富内涵，高标准开展接待管理工作</w:t>
      </w:r>
    </w:p>
    <w:p w14:paraId="4125115C">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坚持接待工作规范化。严格按照《广元市党政机关国内公务接待管理办法》和《昭化区党政机关公务接待管理办法补充规定》等要求开展工作，以制度管人，按制度办事。不断适应新形势新要求，明确全区党政机关公务接待审批程序及接待范围，全面梳理区外县级以上领导来昭接待信息，完善来宾信息报送流程，促进接待工作提质增效。更新接待工作流程图，完善接待公函制度，有效杜绝了“打个招呼就接待”、“一个电话就安排”的随意性问题。严格控制接待成本，厉行勤俭节约，反对铺张浪费，既控制了接待费用又不失接待礼遇。</w:t>
      </w:r>
    </w:p>
    <w:p w14:paraId="00691FDB">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打造接待工作特色化。坚持以创新激发接待工作活力，进一步彰显文化内涵，展示昭化特色，创新接待机制，改进接待方法，并适当引入当地特色元素，努力在接待工作中融入地方特色。例如在今年天府旅游名县迎检接待中安排的昭化三国主题文化餐，不仅是从用餐环境、餐盘布置、菜单设计、菜品安排等方面突出主题，更增加菜品故事解说环节让来宾沉浸式体验三国文化，给来宾留下深刻印象，有效发挥了接待工作在品牌提升方面的宣传功能。</w:t>
      </w:r>
    </w:p>
    <w:p w14:paraId="0AE3531F">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力促接待工作精细化。全面实行人性化、个性化服务，紧扣来宾和领导意图，结合来访目的、线路安排、点位特色、客观环境等各种情况，科学拟定接待方案，确保周密详尽。操作过程中，及时与各部门、各接待点位联系沟通，确保环环相扣，全面周到，接待任务高起点部署，高标准落实，高质量完成。在重要接待活动中，制定多套有预见性和针对性的应急预案，做到随机应变，确保万无一失。</w:t>
      </w:r>
    </w:p>
    <w:p w14:paraId="14ECA5B6">
      <w:pPr>
        <w:numPr>
          <w:ilvl w:val="0"/>
          <w:numId w:val="0"/>
        </w:numPr>
        <w:overflowPunct w:val="0"/>
        <w:autoSpaceDE/>
        <w:autoSpaceDN/>
        <w:adjustRightInd/>
        <w:spacing w:beforeLines="0" w:afterLines="0" w:line="576" w:lineRule="exact"/>
        <w:ind w:firstLine="643" w:firstLineChars="200"/>
        <w:jc w:val="both"/>
        <w:rPr>
          <w:rFonts w:hint="eastAsia" w:ascii="仿宋_GB2312" w:hAnsi="仿宋_GB2312" w:eastAsia="仿宋_GB2312" w:cs="仿宋_GB2312"/>
          <w:b/>
          <w:color w:val="auto"/>
          <w:sz w:val="32"/>
          <w:szCs w:val="32"/>
        </w:rPr>
      </w:pPr>
      <w:r>
        <w:rPr>
          <w:rFonts w:hint="eastAsia" w:hAnsi="仿宋_GB2312" w:cs="仿宋_GB2312"/>
          <w:b/>
          <w:color w:val="auto"/>
          <w:sz w:val="32"/>
          <w:szCs w:val="32"/>
        </w:rPr>
        <w:t>3.</w:t>
      </w:r>
      <w:r>
        <w:rPr>
          <w:rFonts w:hint="eastAsia" w:ascii="仿宋_GB2312" w:hAnsi="仿宋_GB2312" w:eastAsia="仿宋_GB2312" w:cs="仿宋_GB2312"/>
          <w:b/>
          <w:color w:val="auto"/>
          <w:sz w:val="32"/>
          <w:szCs w:val="32"/>
        </w:rPr>
        <w:t>夯实基础、提升实力，高水平提升干部队伍素质</w:t>
      </w:r>
    </w:p>
    <w:p w14:paraId="367336A8">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我中心以建设一支政治强、业务精、作风正、纪律严的高素质接待队伍为目标，切实加强干部的政治理论学习和业务学习，推动接待工作再上新台阶。</w:t>
      </w:r>
    </w:p>
    <w:p w14:paraId="03584983">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强化理论武装，筑牢思想防线。积极开展主题教育，牢牢把握“学思想、强党性、重实践、建新功”的总要求，坚持不懈用习近平新时代中国特色社会主义思想凝心铸魂。每月组织我中心干部集中学习，读原著学原文悟原理，积极开展“牢记嘱托走在前、感恩奋进勇争先”解放思想大讨论，结合公务接待工作实际讲党课，在主题教育中审视公务接待的重要意义，探寻公务接待的努力方向，丰富公务接待的发展路径。</w:t>
      </w:r>
    </w:p>
    <w:p w14:paraId="347FC5C2">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丰富学习方式，提升业务素养。除积极参与区委办公室组织的“半月讲谈”等各类学习外，坚持每周开展工作总结会议，针对上一周的工作进行复盘，梳理问题总结经验，对薄弱环节加以改进，对优秀经验加强学习。学习形式灵活，集体学习和个人自学相结合、常态学习和专题讨论相结合、“请进来”和“走出去”相结合。邀请业内前辈开展公务礼仪知识培训，前往朝天、青川等县区交流学习，定期安排干部前往市公务服务中心跟班学习，积极参加全区各类干部培训，提升干部多方面能力，培养综合素质过硬的干部队伍。</w:t>
      </w:r>
    </w:p>
    <w:p w14:paraId="182D7C93">
      <w:pPr>
        <w:numPr>
          <w:ilvl w:val="0"/>
          <w:numId w:val="0"/>
        </w:numPr>
        <w:overflowPunct w:val="0"/>
        <w:autoSpaceDE/>
        <w:autoSpaceDN/>
        <w:adjustRightInd/>
        <w:spacing w:beforeLines="0" w:afterLines="0" w:line="576" w:lineRule="exact"/>
        <w:ind w:firstLine="643" w:firstLineChars="200"/>
        <w:jc w:val="both"/>
        <w:rPr>
          <w:rFonts w:hint="eastAsia" w:ascii="仿宋_GB2312" w:hAnsi="仿宋_GB2312" w:eastAsia="仿宋_GB2312" w:cs="仿宋_GB2312"/>
          <w:b/>
          <w:color w:val="auto"/>
          <w:sz w:val="32"/>
          <w:szCs w:val="32"/>
        </w:rPr>
      </w:pPr>
      <w:r>
        <w:rPr>
          <w:rFonts w:hint="eastAsia" w:hAnsi="仿宋_GB2312" w:cs="仿宋_GB2312"/>
          <w:b/>
          <w:color w:val="auto"/>
          <w:sz w:val="32"/>
          <w:szCs w:val="32"/>
        </w:rPr>
        <w:t>4.</w:t>
      </w:r>
      <w:r>
        <w:rPr>
          <w:rFonts w:hint="eastAsia" w:ascii="仿宋_GB2312" w:hAnsi="仿宋_GB2312" w:eastAsia="仿宋_GB2312" w:cs="仿宋_GB2312"/>
          <w:b/>
          <w:color w:val="auto"/>
          <w:sz w:val="32"/>
          <w:szCs w:val="32"/>
        </w:rPr>
        <w:t>精细组织、严格落实，高质量推进机关事务管理工作</w:t>
      </w:r>
    </w:p>
    <w:p w14:paraId="129C96D0">
      <w:pPr>
        <w:numPr>
          <w:ilvl w:val="0"/>
          <w:numId w:val="0"/>
        </w:num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政府机关职工食堂管理安排有序。一是强化食品安全管理，落实食品原料源头追溯，让本单位职工参与，全员监督，检查到位，确保质量，全流程留样，保证职工吃得安心、放心；二是加强食堂工作人员管理，落实持证上岗、定期体检等举措，培养良好的卫生意识和习惯，提升工作技能，认真做好各项台账，力求工作做细做实万无一失；三是丰富菜品，审核每日菜单，多渠道收集职工对于就餐满意度等信息反馈，推陈出新，满足职工多样化用餐需求。</w:t>
      </w:r>
    </w:p>
    <w:p w14:paraId="7AA54B62">
      <w:p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县级领导周转房管理持续推进。定期加强房间水电气、网络安全管理，对发现问题及时报修，确保各设备正常运行。保洁工作有序开展，保障入住环境干净整洁。</w:t>
      </w:r>
    </w:p>
    <w:p w14:paraId="5AE9C36F">
      <w:pPr>
        <w:autoSpaceDE/>
        <w:autoSpaceDN/>
        <w:adjustRightInd/>
        <w:spacing w:beforeLines="0" w:afterLines="0"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二、预算单位财政收支管理情况</w:t>
      </w:r>
    </w:p>
    <w:p w14:paraId="54111B7A">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（一）单位财政资金收入情况</w:t>
      </w:r>
    </w:p>
    <w:p w14:paraId="0CBC7FDB">
      <w:p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公务服务中心2023年初批复预算收入285.2万元（其中：基本支出94.9万元、项目支出190.3万元）；年度执行中追加2023年预算调整9.88万元，年度执行中追加2022年目标考核奖及公积金4.08万元，存量安排机关食堂管理差口经费40万元。2023年度预算总收入299.16万元，比2022年的203.11万元增加96.05万元，增长47.29%，主要原因是本年人员增加，经费增加，临聘人员经费纳入预算。</w:t>
      </w:r>
    </w:p>
    <w:p w14:paraId="7C478BE4">
      <w:pPr>
        <w:numPr>
          <w:ilvl w:val="0"/>
          <w:numId w:val="0"/>
        </w:num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（二）单位财政资金支出情况</w:t>
      </w:r>
    </w:p>
    <w:p w14:paraId="3D8B8A09">
      <w:p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区公务服务中心2023年部门预算支出总数299.16万元，比2022年的203.11万元增加96.05万元，增长47.29%。主要原因是本年人员增加，经费增加，临聘人员经费纳入预算。</w:t>
      </w:r>
    </w:p>
    <w:p w14:paraId="66B55475">
      <w:pPr>
        <w:numPr>
          <w:ilvl w:val="0"/>
          <w:numId w:val="0"/>
        </w:num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（三）结转和结余情况</w:t>
      </w:r>
    </w:p>
    <w:p w14:paraId="11668754">
      <w:pPr>
        <w:autoSpaceDE/>
        <w:autoSpaceDN/>
        <w:snapToGrid w:val="0"/>
        <w:spacing w:beforeLines="0" w:afterLines="0" w:line="576" w:lineRule="exact"/>
        <w:ind w:firstLine="640" w:firstLineChars="200"/>
        <w:rPr>
          <w:rFonts w:hint="default" w:ascii="Times New Roman" w:eastAsia="仿宋_GB2312"/>
          <w:color w:val="000000"/>
          <w:sz w:val="32"/>
          <w:szCs w:val="32"/>
        </w:rPr>
      </w:pPr>
      <w:r>
        <w:rPr>
          <w:rFonts w:hint="eastAsia" w:ascii="仿宋_GB2312" w:hAnsi="仿宋_GB2312" w:eastAsia="仿宋_GB2312" w:cs="仿宋_GB2312"/>
          <w:color w:val="auto"/>
          <w:sz w:val="32"/>
          <w:szCs w:val="32"/>
        </w:rPr>
        <w:t>区公务服务中心2023年无结转结余。</w:t>
      </w:r>
    </w:p>
    <w:p w14:paraId="33B49673">
      <w:pPr>
        <w:autoSpaceDE/>
        <w:autoSpaceDN/>
        <w:adjustRightInd/>
        <w:spacing w:beforeLines="0" w:afterLines="0"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三、部门整体预算绩效管理情况</w:t>
      </w:r>
    </w:p>
    <w:p w14:paraId="23216BB8">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（一）部门预算项目绩效管理</w:t>
      </w:r>
    </w:p>
    <w:p w14:paraId="6A895BFC">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1.目标管理</w:t>
      </w:r>
    </w:p>
    <w:p w14:paraId="667967E6">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本单位在年初编制预算时,根据年度工作计划,制定了部门整体绩效目标、项目绩效目标,在绩效目标中按数量指标,质量指标、时效指标、成本指标等进行了细化和量化,其预算编制和绩效目标的制定经讨论后上报区财政局审核。</w:t>
      </w:r>
    </w:p>
    <w:p w14:paraId="26A03A28">
      <w:pPr>
        <w:numPr>
          <w:ilvl w:val="0"/>
          <w:numId w:val="0"/>
        </w:numPr>
        <w:autoSpaceDE/>
        <w:autoSpaceDN/>
        <w:adjustRightInd/>
        <w:spacing w:beforeLines="0" w:afterLines="0" w:line="576" w:lineRule="exact"/>
        <w:ind w:firstLine="672" w:firstLineChars="200"/>
        <w:jc w:val="both"/>
        <w:rPr>
          <w:rFonts w:hint="eastAsia" w:ascii="楷体_GB2312" w:hAnsi="楷体_GB2312" w:eastAsia="楷体_GB2312" w:cs="楷体_GB2312"/>
          <w:sz w:val="32"/>
          <w:szCs w:val="32"/>
        </w:rPr>
      </w:pPr>
      <w:r>
        <w:rPr>
          <w:rFonts w:hint="eastAsia"/>
          <w:color w:val="000000"/>
          <w:spacing w:val="8"/>
          <w:sz w:val="32"/>
          <w:szCs w:val="32"/>
          <w:shd w:val="clear" w:color="auto" w:fill="FFFFFF"/>
        </w:rPr>
        <w:t>2.</w:t>
      </w:r>
      <w:r>
        <w:rPr>
          <w:rFonts w:hint="eastAsia" w:ascii="楷体_GB2312" w:hAnsi="楷体_GB2312" w:eastAsia="楷体_GB2312" w:cs="楷体_GB2312"/>
          <w:color w:val="auto"/>
          <w:sz w:val="32"/>
          <w:szCs w:val="32"/>
        </w:rPr>
        <w:t>过程管理</w:t>
      </w:r>
    </w:p>
    <w:p w14:paraId="3203EF53">
      <w:pPr>
        <w:numPr>
          <w:ilvl w:val="0"/>
          <w:numId w:val="0"/>
        </w:numPr>
        <w:autoSpaceDE/>
        <w:autoSpaceDN/>
        <w:adjustRightInd/>
        <w:spacing w:beforeLines="0" w:afterLines="0" w:line="576" w:lineRule="exact"/>
        <w:ind w:firstLine="640" w:firstLineChars="200"/>
        <w:jc w:val="both"/>
        <w:rPr>
          <w:rFonts w:hint="eastAsia"/>
          <w:color w:val="000000"/>
          <w:sz w:val="32"/>
          <w:szCs w:val="32"/>
        </w:rPr>
      </w:pPr>
      <w:r>
        <w:rPr>
          <w:rFonts w:hint="eastAsia" w:ascii="仿宋_GB2312" w:hAnsi="仿宋_GB2312" w:eastAsia="仿宋_GB2312" w:cs="仿宋_GB2312"/>
          <w:color w:val="auto"/>
          <w:sz w:val="32"/>
          <w:szCs w:val="32"/>
        </w:rPr>
        <w:t>我中心严格落实党政机关过紧日子要求，在执行过程中做到花钱与办事、绩效与责任深度融合，把资金用在刀刃上，按时完成绩效监控数据的更新填报，做到绩效自行监控全覆盖，执行进度正常推进，控制有效。</w:t>
      </w:r>
    </w:p>
    <w:p w14:paraId="3701903D">
      <w:pPr>
        <w:numPr>
          <w:ilvl w:val="0"/>
          <w:numId w:val="0"/>
        </w:numPr>
        <w:autoSpaceDE/>
        <w:autoSpaceDN/>
        <w:adjustRightInd/>
        <w:spacing w:beforeLines="0" w:afterLines="0" w:line="576" w:lineRule="exact"/>
        <w:ind w:firstLine="672" w:firstLineChars="200"/>
        <w:jc w:val="both"/>
        <w:rPr>
          <w:rFonts w:hint="eastAsia" w:ascii="楷体_GB2312" w:hAnsi="楷体_GB2312" w:eastAsia="楷体_GB2312" w:cs="楷体_GB2312"/>
          <w:sz w:val="32"/>
          <w:szCs w:val="32"/>
        </w:rPr>
      </w:pPr>
      <w:r>
        <w:rPr>
          <w:rFonts w:hint="eastAsia"/>
          <w:color w:val="000000"/>
          <w:spacing w:val="8"/>
          <w:sz w:val="32"/>
          <w:szCs w:val="32"/>
          <w:shd w:val="clear" w:color="auto" w:fill="FFFFFF"/>
        </w:rPr>
        <w:t>3.</w:t>
      </w:r>
      <w:r>
        <w:rPr>
          <w:rFonts w:hint="eastAsia" w:ascii="楷体_GB2312" w:hAnsi="楷体_GB2312" w:eastAsia="楷体_GB2312" w:cs="楷体_GB2312"/>
          <w:sz w:val="32"/>
          <w:szCs w:val="32"/>
        </w:rPr>
        <w:t>完成（效率）结果</w:t>
      </w:r>
    </w:p>
    <w:p w14:paraId="2D23F96F">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2023年全年支出299.16万元，支付过程及时有力，控制有度，无低效无效率资金使用情况。严格遵守各项财经纪律,加强本单位财务管理工作,制定了相关规章制度,加强和细化了预算编制,严格按照预算执行,各项目支出均控制在预算内,无超支和超范围支出,全年收支平衡。</w:t>
      </w:r>
    </w:p>
    <w:p w14:paraId="1679371B">
      <w:pPr>
        <w:numPr>
          <w:ilvl w:val="0"/>
          <w:numId w:val="0"/>
        </w:numPr>
        <w:autoSpaceDE/>
        <w:autoSpaceDN/>
        <w:adjustRightInd/>
        <w:spacing w:beforeLines="0" w:afterLines="0" w:line="576" w:lineRule="exact"/>
        <w:ind w:leftChars="20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（二）部门预算绩效管理情况</w:t>
      </w:r>
    </w:p>
    <w:p w14:paraId="7E7C0898">
      <w:pPr>
        <w:numPr>
          <w:ilvl w:val="0"/>
          <w:numId w:val="0"/>
        </w:num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1.部门预算项目绩效情况</w:t>
      </w:r>
    </w:p>
    <w:p w14:paraId="74AFFFD7">
      <w:pPr>
        <w:pStyle w:val="15"/>
        <w:numPr>
          <w:ilvl w:val="0"/>
          <w:numId w:val="0"/>
        </w:numPr>
        <w:tabs>
          <w:tab w:val="left" w:pos="993"/>
        </w:tabs>
        <w:autoSpaceDE/>
        <w:autoSpaceDN/>
        <w:adjustRightInd/>
        <w:snapToGrid w:val="0"/>
        <w:spacing w:beforeLines="0" w:afterLines="0" w:line="576"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公务服务中心根据单位实际情况制定年初部门预算绩效目标，其中人员类85.1万元按月保障在职人员工资保险；公用支出9.8万元保障各项日常工作正常运转，包括办公费、差旅费、印刷费等支出；其他运转类190.3万元保障公务接待、后勤综合保障、临聘人员管理、公务用车运行等工作的正常运转。2023年全年支出299.16万元，支付过程及时有力，控制有度，无低效无效率资金使用情况，无违规记录，实现了年初制定的绩效目标。日常公用经费如办公费、印刷费等年初预算数与决算实际数对比在正常范围内。</w:t>
      </w:r>
    </w:p>
    <w:p w14:paraId="599AD7B7">
      <w:pPr>
        <w:pStyle w:val="15"/>
        <w:numPr>
          <w:ilvl w:val="0"/>
          <w:numId w:val="0"/>
        </w:numPr>
        <w:tabs>
          <w:tab w:val="left" w:pos="993"/>
        </w:tabs>
        <w:autoSpaceDE/>
        <w:autoSpaceDN/>
        <w:adjustRightInd/>
        <w:snapToGrid w:val="0"/>
        <w:spacing w:beforeLines="0" w:afterLines="0" w:line="576" w:lineRule="exact"/>
        <w:ind w:firstLine="640"/>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2.专项预算绩效情况</w:t>
      </w:r>
    </w:p>
    <w:p w14:paraId="0A909A7D">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Times New Roman" w:eastAsia="仿宋_GB2312"/>
          <w:color w:val="000000"/>
          <w:spacing w:val="8"/>
          <w:sz w:val="32"/>
          <w:szCs w:val="32"/>
          <w:shd w:val="clear" w:color="auto" w:fill="FFFFFF"/>
        </w:rPr>
      </w:pPr>
      <w:r>
        <w:rPr>
          <w:rFonts w:hint="eastAsia" w:ascii="仿宋_GB2312" w:hAnsi="仿宋_GB2312" w:eastAsia="仿宋_GB2312" w:cs="仿宋_GB2312"/>
          <w:color w:val="auto"/>
          <w:sz w:val="32"/>
          <w:szCs w:val="32"/>
          <w:lang w:bidi="ar-SA"/>
        </w:rPr>
        <w:t>区公务服务中心2023年无专项预算。</w:t>
      </w:r>
      <w:r>
        <w:rPr>
          <w:rFonts w:hint="eastAsia" w:ascii="Times New Roman" w:eastAsia="仿宋_GB2312"/>
          <w:color w:val="000000"/>
          <w:spacing w:val="8"/>
          <w:sz w:val="32"/>
          <w:szCs w:val="32"/>
          <w:shd w:val="clear" w:color="auto" w:fill="FFFFFF"/>
        </w:rPr>
        <w:t xml:space="preserve">  </w:t>
      </w:r>
    </w:p>
    <w:p w14:paraId="3D68D7FE">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(三)结果应用公开情况</w:t>
      </w:r>
    </w:p>
    <w:p w14:paraId="1AFC59E7">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仿宋_GB2312" w:hAnsi="仿宋_GB2312" w:eastAsia="仿宋_GB2312" w:cs="仿宋_GB2312"/>
          <w:color w:val="auto"/>
          <w:sz w:val="32"/>
          <w:szCs w:val="32"/>
          <w:lang w:bidi="ar-SA"/>
        </w:rPr>
      </w:pPr>
      <w:bookmarkStart w:id="0" w:name="_Toc7491"/>
      <w:r>
        <w:rPr>
          <w:rFonts w:hint="eastAsia" w:ascii="仿宋_GB2312" w:hAnsi="仿宋_GB2312" w:eastAsia="仿宋_GB2312" w:cs="仿宋_GB2312"/>
          <w:color w:val="auto"/>
          <w:sz w:val="32"/>
          <w:szCs w:val="32"/>
          <w:lang w:bidi="ar-SA"/>
        </w:rPr>
        <w:t>据中央和省、市、区的有关规定，建立健全单位各项财务管理制度。包括：预算管理制度、收入管理制度、支出管理制度、政府采购管理制度、资产管理制度等，并下发至各个股室，各股室人员严格执行相关管理制度，在预算、收支管理上更加严格。依据各项制度，严格落实各环节绩效结果应用，按要求做好绩效信息报告及公开工作，2023年度预算、决算、绩效目标等信息按照要求已经昭化区政府网站公开。主动接受绩效监督工作，及时整改问题。严格执行财经制度和管理规定，按时完成预算执行进度，严格控制、合理利用各项经费，按要求进行预算管理，不断完善资产管理制度。</w:t>
      </w:r>
    </w:p>
    <w:bookmarkEnd w:id="0"/>
    <w:p w14:paraId="78998D21">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(四)自评质量</w:t>
      </w:r>
    </w:p>
    <w:p w14:paraId="4648F6FD">
      <w:p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广元市昭化区公务服务中心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2023年基本完成，在保障机关运转、履行职能职责上整体情况良好。</w:t>
      </w:r>
    </w:p>
    <w:p w14:paraId="370138C0">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color w:val="auto"/>
          <w:sz w:val="32"/>
          <w:szCs w:val="32"/>
        </w:rPr>
        <w:t>根据审计监督、财会监督和决算审查结果反映部门上一年度预算管理符合相关财政财务管理规定，无违法规定。</w:t>
      </w:r>
    </w:p>
    <w:p w14:paraId="178AB5DC">
      <w:pPr>
        <w:autoSpaceDE/>
        <w:autoSpaceDN/>
        <w:adjustRightInd/>
        <w:spacing w:beforeLines="0" w:afterLines="0"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四、存在的措施问题及建议</w:t>
      </w:r>
    </w:p>
    <w:p w14:paraId="07986F9F">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（一）存在问题</w:t>
      </w:r>
    </w:p>
    <w:p w14:paraId="78A29290">
      <w:pPr>
        <w:overflowPunct w:val="0"/>
        <w:autoSpaceDE/>
        <w:autoSpaceDN/>
        <w:adjustRightInd/>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我中心部门整体绩效评价工作还处在初级探索阶段，导致本单位财务管理绩效还没发挥最大的效果。</w:t>
      </w:r>
    </w:p>
    <w:p w14:paraId="5C52447D">
      <w:pPr>
        <w:autoSpaceDE/>
        <w:autoSpaceDN/>
        <w:adjustRightInd/>
        <w:spacing w:beforeLines="0" w:afterLines="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（二）改进建议（措施）</w:t>
      </w:r>
    </w:p>
    <w:p w14:paraId="2EB769A2">
      <w:pPr>
        <w:pStyle w:val="11"/>
        <w:numPr>
          <w:ilvl w:val="0"/>
          <w:numId w:val="0"/>
        </w:numPr>
        <w:autoSpaceDE/>
        <w:autoSpaceDN/>
        <w:adjustRightInd/>
        <w:spacing w:before="0" w:beforeLines="0" w:beforeAutospacing="0" w:after="0" w:afterLines="0" w:afterAutospacing="0" w:line="576"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1.严格按照预算编制的相关制度和要求进行预算编制，全面编制预算项目，优先保障固定性的、相对刚性的费用开支项目，尽量压缩变动性的，有控制空间的费用项目，进一步提高预算编制的科学性，严谨性和可控性。</w:t>
      </w:r>
    </w:p>
    <w:p w14:paraId="61A233F4">
      <w:pPr>
        <w:pStyle w:val="11"/>
        <w:autoSpaceDE/>
        <w:autoSpaceDN/>
        <w:spacing w:before="0" w:beforeLines="0" w:beforeAutospacing="0" w:after="0" w:afterLines="0" w:afterAutospacing="0" w:line="576" w:lineRule="exact"/>
        <w:ind w:firstLine="640" w:firstLineChars="200"/>
        <w:jc w:val="both"/>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2.加强单位财务管理，健全单位财务管理制度体系，规范单位财务行为，在费用报账支付时，按照预算规定的费用项目和用途进行资金使用审核、列报支付、财务核算，杜绝超支现象的发生。</w:t>
      </w:r>
    </w:p>
    <w:p w14:paraId="5639660C">
      <w:pPr>
        <w:pStyle w:val="11"/>
        <w:autoSpaceDE/>
        <w:autoSpaceDN/>
        <w:spacing w:before="0" w:beforeLines="0" w:beforeAutospacing="0" w:after="0" w:afterLines="0" w:afterAutospacing="0" w:line="576" w:lineRule="exact"/>
        <w:ind w:firstLine="640" w:firstLineChars="200"/>
        <w:jc w:val="both"/>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3.完善资产管理，抓好“三公”经费控制。严格编制政府采购年初预算和计划，规范各类资产的购置审批制度、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65F39B49">
      <w:pPr>
        <w:pStyle w:val="11"/>
        <w:autoSpaceDE/>
        <w:autoSpaceDN/>
        <w:spacing w:before="0" w:beforeLines="0" w:beforeAutospacing="0" w:after="0" w:afterLines="0" w:afterAutospacing="0" w:line="576" w:lineRule="exact"/>
        <w:ind w:firstLine="640" w:firstLineChars="200"/>
        <w:jc w:val="both"/>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4.对相关人员加强培训，特别是针对《中华人民共和国预算法》、《行政事业单位会计制度》等学习培训，规范部门预算收支核算，切实提高部门预算收支管理水平。</w:t>
      </w:r>
    </w:p>
    <w:p w14:paraId="3E8109C1">
      <w:pPr>
        <w:pStyle w:val="6"/>
        <w:autoSpaceDE/>
        <w:autoSpaceDN/>
        <w:adjustRightInd/>
        <w:spacing w:beforeLines="0" w:afterLines="0" w:line="576" w:lineRule="exact"/>
        <w:ind w:left="1280" w:leftChars="0" w:hanging="1280" w:hangingChars="400"/>
        <w:rPr>
          <w:rFonts w:hint="eastAsia" w:ascii="仿宋_GB2312" w:hAnsi="仿宋_GB2312" w:eastAsia="仿宋_GB2312" w:cs="仿宋_GB2312"/>
          <w:color w:val="auto"/>
          <w:sz w:val="32"/>
          <w:szCs w:val="32"/>
        </w:rPr>
      </w:pPr>
    </w:p>
    <w:p w14:paraId="290B7703">
      <w:pPr>
        <w:pStyle w:val="6"/>
        <w:autoSpaceDE/>
        <w:autoSpaceDN/>
        <w:adjustRightInd/>
        <w:spacing w:beforeLines="0" w:afterLines="0" w:line="576" w:lineRule="exact"/>
        <w:ind w:left="1918" w:leftChars="266" w:hanging="1280" w:hanging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 广元市昭化区公务服务中心2023年部门整体支出绩效目标自评表</w:t>
      </w:r>
    </w:p>
    <w:p w14:paraId="541950F7">
      <w:pPr>
        <w:spacing w:beforeLines="0" w:afterLines="0"/>
        <w:rPr>
          <w:rFonts w:hint="eastAsia" w:ascii="仿宋_GB2312" w:hAnsi="仿宋_GB2312" w:eastAsia="仿宋_GB2312" w:cs="仿宋_GB2312"/>
          <w:color w:val="auto"/>
          <w:sz w:val="32"/>
          <w:szCs w:val="32"/>
        </w:rPr>
      </w:pPr>
    </w:p>
    <w:p w14:paraId="01C64ED7">
      <w:pPr>
        <w:pStyle w:val="4"/>
        <w:spacing w:afterLines="0"/>
        <w:rPr>
          <w:rFonts w:hint="eastAsia" w:hAnsi="仿宋_GB2312" w:cs="仿宋_GB2312"/>
          <w:color w:val="auto"/>
          <w:sz w:val="32"/>
          <w:szCs w:val="32"/>
        </w:rPr>
      </w:pPr>
    </w:p>
    <w:p w14:paraId="43F5CACE">
      <w:pPr>
        <w:overflowPunct w:val="0"/>
        <w:topLinePunct/>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D1B4067">
      <w:pPr>
        <w:overflowPunct w:val="0"/>
        <w:topLinePunct/>
        <w:spacing w:beforeLines="0" w:afterLines="0" w:line="576" w:lineRule="exact"/>
        <w:ind w:firstLine="640" w:firstLineChars="200"/>
        <w:jc w:val="both"/>
        <w:rPr>
          <w:rFonts w:hint="eastAsia" w:ascii="仿宋_GB2312" w:hAnsi="仿宋_GB2312" w:eastAsia="仿宋_GB2312" w:cs="仿宋_GB2312"/>
          <w:color w:val="auto"/>
          <w:sz w:val="32"/>
          <w:szCs w:val="32"/>
        </w:rPr>
      </w:pPr>
    </w:p>
    <w:p w14:paraId="4674EB46">
      <w:pPr>
        <w:overflowPunct w:val="0"/>
        <w:topLinePunct/>
        <w:spacing w:beforeLines="0" w:afterLines="0" w:line="576" w:lineRule="exact"/>
        <w:ind w:firstLine="640" w:firstLineChars="200"/>
        <w:jc w:val="both"/>
        <w:rPr>
          <w:rFonts w:hint="eastAsia" w:ascii="仿宋_GB2312" w:hAnsi="仿宋_GB2312" w:eastAsia="仿宋_GB2312" w:cs="仿宋_GB2312"/>
          <w:color w:val="auto"/>
          <w:sz w:val="32"/>
          <w:szCs w:val="32"/>
        </w:rPr>
      </w:pPr>
    </w:p>
    <w:p w14:paraId="5C078EAC">
      <w:pPr>
        <w:overflowPunct w:val="0"/>
        <w:topLinePunct/>
        <w:spacing w:beforeLines="0" w:afterLines="0" w:line="576" w:lineRule="exact"/>
        <w:ind w:firstLine="640" w:firstLineChars="200"/>
        <w:jc w:val="both"/>
        <w:rPr>
          <w:rFonts w:hint="eastAsia" w:ascii="仿宋_GB2312" w:hAnsi="仿宋_GB2312" w:eastAsia="仿宋_GB2312" w:cs="仿宋_GB2312"/>
          <w:color w:val="auto"/>
          <w:sz w:val="32"/>
          <w:szCs w:val="32"/>
        </w:rPr>
      </w:pPr>
    </w:p>
    <w:p w14:paraId="5A52E4C9">
      <w:pPr>
        <w:widowControl/>
        <w:autoSpaceDE/>
        <w:autoSpaceDN/>
        <w:adjustRightInd/>
        <w:spacing w:beforeLines="0" w:afterLines="0" w:line="576" w:lineRule="exact"/>
        <w:rPr>
          <w:rFonts w:hint="eastAsia" w:ascii="黑体" w:hAnsi="宋体" w:eastAsia="黑体" w:cs="黑体"/>
          <w:color w:val="000000"/>
          <w:sz w:val="32"/>
          <w:szCs w:val="32"/>
        </w:rPr>
      </w:pPr>
      <w:r>
        <w:rPr>
          <w:rFonts w:hint="eastAsia" w:ascii="黑体" w:hAnsi="宋体" w:eastAsia="黑体" w:cs="黑体"/>
          <w:color w:val="000000"/>
          <w:sz w:val="32"/>
          <w:szCs w:val="32"/>
        </w:rPr>
        <w:t>附件</w:t>
      </w:r>
    </w:p>
    <w:p w14:paraId="7E9D4EC0">
      <w:pPr>
        <w:pStyle w:val="4"/>
        <w:autoSpaceDE/>
        <w:autoSpaceDN/>
        <w:adjustRightInd/>
        <w:spacing w:beforeLines="0" w:afterLines="0" w:line="576" w:lineRule="exact"/>
        <w:jc w:val="center"/>
        <w:rPr>
          <w:rFonts w:hint="eastAsia" w:ascii="黑体" w:hAnsi="宋体" w:eastAsia="黑体" w:cs="黑体"/>
          <w:color w:val="000000"/>
          <w:sz w:val="21"/>
          <w:szCs w:val="21"/>
        </w:rPr>
      </w:pPr>
      <w:r>
        <w:rPr>
          <w:rFonts w:hint="eastAsia" w:ascii="方正小标宋简体" w:hAnsi="方正小标宋简体" w:eastAsia="方正小标宋简体" w:cs="方正小标宋简体"/>
          <w:color w:val="000000"/>
          <w:sz w:val="32"/>
          <w:szCs w:val="32"/>
        </w:rPr>
        <w:t>广元市昭化区公务服务中心2023年部门整体支出绩效目标自评表</w:t>
      </w:r>
    </w:p>
    <w:p w14:paraId="6227306D">
      <w:pPr>
        <w:pStyle w:val="4"/>
        <w:autoSpaceDE/>
        <w:autoSpaceDN/>
        <w:adjustRightInd/>
        <w:spacing w:beforeLines="0" w:afterLines="0" w:line="576" w:lineRule="exact"/>
        <w:jc w:val="center"/>
        <w:rPr>
          <w:rFonts w:hint="eastAsia" w:ascii="黑体" w:hAnsi="宋体" w:eastAsia="黑体" w:cs="黑体"/>
          <w:color w:val="000000"/>
          <w:sz w:val="24"/>
          <w:szCs w:val="24"/>
        </w:rPr>
      </w:pPr>
      <w:r>
        <w:rPr>
          <w:rFonts w:hint="eastAsia" w:ascii="宋体" w:hAnsi="宋体" w:eastAsia="宋体" w:cs="宋体"/>
          <w:color w:val="000000"/>
          <w:sz w:val="22"/>
          <w:szCs w:val="22"/>
        </w:rPr>
        <w:t>（</w:t>
      </w:r>
      <w:r>
        <w:rPr>
          <w:rFonts w:hint="eastAsia" w:ascii="宋体" w:eastAsia="宋体" w:cs="宋体"/>
          <w:color w:val="000000"/>
          <w:sz w:val="22"/>
          <w:szCs w:val="22"/>
        </w:rPr>
        <w:t>2023</w:t>
      </w:r>
      <w:r>
        <w:rPr>
          <w:rFonts w:hint="eastAsia" w:ascii="宋体" w:hAnsi="宋体" w:eastAsia="宋体" w:cs="宋体"/>
          <w:color w:val="000000"/>
          <w:sz w:val="22"/>
          <w:szCs w:val="22"/>
        </w:rPr>
        <w:t>年度）</w:t>
      </w:r>
    </w:p>
    <w:tbl>
      <w:tblPr>
        <w:tblStyle w:val="12"/>
        <w:tblW w:w="92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
        <w:gridCol w:w="826"/>
        <w:gridCol w:w="1432"/>
        <w:gridCol w:w="2193"/>
        <w:gridCol w:w="1102"/>
        <w:gridCol w:w="1661"/>
        <w:gridCol w:w="1489"/>
      </w:tblGrid>
      <w:tr w14:paraId="06AE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6" w:hRule="atLeast"/>
        </w:trPr>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5FB2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主管部门</w:t>
            </w:r>
          </w:p>
        </w:tc>
        <w:tc>
          <w:tcPr>
            <w:tcW w:w="3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5615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区公务服务中心</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0137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实施单位</w:t>
            </w:r>
          </w:p>
        </w:tc>
        <w:tc>
          <w:tcPr>
            <w:tcW w:w="31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03FE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区公务服务中心</w:t>
            </w:r>
          </w:p>
        </w:tc>
      </w:tr>
      <w:tr w14:paraId="481A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3" w:hRule="atLeast"/>
        </w:trPr>
        <w:tc>
          <w:tcPr>
            <w:tcW w:w="134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0B7595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项目（政策）资金（万元）</w:t>
            </w:r>
          </w:p>
        </w:tc>
        <w:tc>
          <w:tcPr>
            <w:tcW w:w="1432" w:type="dxa"/>
            <w:tcBorders>
              <w:top w:val="nil"/>
              <w:left w:val="single" w:color="000000" w:sz="4" w:space="0"/>
              <w:bottom w:val="single" w:color="000000" w:sz="4" w:space="0"/>
              <w:right w:val="single" w:color="000000" w:sz="4" w:space="0"/>
              <w:tl2br w:val="nil"/>
              <w:tr2bl w:val="nil"/>
            </w:tcBorders>
            <w:noWrap w:val="0"/>
            <w:vAlign w:val="center"/>
          </w:tcPr>
          <w:p w14:paraId="46EC9683">
            <w:pPr>
              <w:spacing w:beforeLines="0" w:afterLines="0"/>
              <w:jc w:val="center"/>
              <w:rPr>
                <w:rFonts w:hint="eastAsia" w:hAnsi="宋体" w:cs="宋体"/>
                <w:color w:val="000000"/>
                <w:sz w:val="16"/>
                <w:szCs w:val="16"/>
              </w:rPr>
            </w:pPr>
          </w:p>
        </w:tc>
        <w:tc>
          <w:tcPr>
            <w:tcW w:w="2193" w:type="dxa"/>
            <w:tcBorders>
              <w:top w:val="nil"/>
              <w:left w:val="single" w:color="000000" w:sz="4" w:space="0"/>
              <w:bottom w:val="single" w:color="000000" w:sz="4" w:space="0"/>
              <w:right w:val="single" w:color="000000" w:sz="4" w:space="0"/>
              <w:tl2br w:val="nil"/>
              <w:tr2bl w:val="nil"/>
            </w:tcBorders>
            <w:noWrap w:val="0"/>
            <w:vAlign w:val="center"/>
          </w:tcPr>
          <w:p w14:paraId="0B86D8D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年初预算数</w:t>
            </w:r>
          </w:p>
        </w:tc>
        <w:tc>
          <w:tcPr>
            <w:tcW w:w="1102" w:type="dxa"/>
            <w:tcBorders>
              <w:top w:val="nil"/>
              <w:left w:val="single" w:color="000000" w:sz="4" w:space="0"/>
              <w:bottom w:val="single" w:color="000000" w:sz="4" w:space="0"/>
              <w:right w:val="single" w:color="000000" w:sz="4" w:space="0"/>
              <w:tl2br w:val="nil"/>
              <w:tr2bl w:val="nil"/>
            </w:tcBorders>
            <w:noWrap w:val="0"/>
            <w:vAlign w:val="center"/>
          </w:tcPr>
          <w:p w14:paraId="6E9AEA2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全年预算数</w:t>
            </w:r>
          </w:p>
        </w:tc>
        <w:tc>
          <w:tcPr>
            <w:tcW w:w="1661" w:type="dxa"/>
            <w:tcBorders>
              <w:top w:val="nil"/>
              <w:left w:val="single" w:color="000000" w:sz="4" w:space="0"/>
              <w:bottom w:val="single" w:color="000000" w:sz="4" w:space="0"/>
              <w:right w:val="single" w:color="000000" w:sz="4" w:space="0"/>
              <w:tl2br w:val="nil"/>
              <w:tr2bl w:val="nil"/>
            </w:tcBorders>
            <w:noWrap w:val="0"/>
            <w:vAlign w:val="center"/>
          </w:tcPr>
          <w:p w14:paraId="522868F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全年执行数</w:t>
            </w:r>
          </w:p>
        </w:tc>
        <w:tc>
          <w:tcPr>
            <w:tcW w:w="1489" w:type="dxa"/>
            <w:tcBorders>
              <w:top w:val="nil"/>
              <w:left w:val="single" w:color="000000" w:sz="4" w:space="0"/>
              <w:bottom w:val="single" w:color="000000" w:sz="4" w:space="0"/>
              <w:right w:val="single" w:color="000000" w:sz="4" w:space="0"/>
              <w:tl2br w:val="nil"/>
              <w:tr2bl w:val="nil"/>
            </w:tcBorders>
            <w:noWrap w:val="0"/>
            <w:vAlign w:val="center"/>
          </w:tcPr>
          <w:p w14:paraId="740217F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执行率(%)</w:t>
            </w:r>
          </w:p>
        </w:tc>
      </w:tr>
      <w:tr w14:paraId="479F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5" w:hRule="atLeast"/>
        </w:trPr>
        <w:tc>
          <w:tcPr>
            <w:tcW w:w="134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F69194">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0B14E">
            <w:pPr>
              <w:widowControl/>
              <w:spacing w:beforeLines="0" w:afterLines="0"/>
              <w:jc w:val="both"/>
              <w:textAlignment w:val="center"/>
              <w:rPr>
                <w:rFonts w:hint="eastAsia" w:hAnsi="宋体" w:cs="宋体"/>
                <w:color w:val="000000"/>
                <w:sz w:val="16"/>
                <w:szCs w:val="16"/>
              </w:rPr>
            </w:pPr>
            <w:r>
              <w:rPr>
                <w:rFonts w:hint="eastAsia" w:hAnsi="宋体" w:cs="宋体"/>
                <w:color w:val="000000"/>
                <w:sz w:val="16"/>
                <w:szCs w:val="16"/>
                <w:lang w:bidi="ar"/>
              </w:rPr>
              <w:t>年度资金总额</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95BA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285.2</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DFC5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299.16</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8BD1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299.16</w:t>
            </w:r>
          </w:p>
        </w:tc>
        <w:tc>
          <w:tcPr>
            <w:tcW w:w="1489" w:type="dxa"/>
            <w:tcBorders>
              <w:top w:val="nil"/>
              <w:left w:val="single" w:color="000000" w:sz="4" w:space="0"/>
              <w:bottom w:val="single" w:color="000000" w:sz="4" w:space="0"/>
              <w:right w:val="single" w:color="000000" w:sz="4" w:space="0"/>
              <w:tl2br w:val="nil"/>
              <w:tr2bl w:val="nil"/>
            </w:tcBorders>
            <w:noWrap w:val="0"/>
            <w:vAlign w:val="center"/>
          </w:tcPr>
          <w:p w14:paraId="2439B88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100</w:t>
            </w:r>
          </w:p>
        </w:tc>
      </w:tr>
      <w:tr w14:paraId="4A59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5" w:hRule="atLeast"/>
        </w:trPr>
        <w:tc>
          <w:tcPr>
            <w:tcW w:w="134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FC75CE">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single" w:color="000000" w:sz="4" w:space="0"/>
              <w:right w:val="nil"/>
              <w:tl2br w:val="nil"/>
              <w:tr2bl w:val="nil"/>
            </w:tcBorders>
            <w:noWrap w:val="0"/>
            <w:vAlign w:val="center"/>
          </w:tcPr>
          <w:p w14:paraId="26E6199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（一）财政拨款小计</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C2DA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285.2</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F154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299.16</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81A0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299.16</w:t>
            </w:r>
          </w:p>
        </w:tc>
        <w:tc>
          <w:tcPr>
            <w:tcW w:w="1489" w:type="dxa"/>
            <w:tcBorders>
              <w:top w:val="nil"/>
              <w:left w:val="single" w:color="000000" w:sz="4" w:space="0"/>
              <w:bottom w:val="single" w:color="000000" w:sz="4" w:space="0"/>
              <w:right w:val="single" w:color="000000" w:sz="4" w:space="0"/>
              <w:tl2br w:val="nil"/>
              <w:tr2bl w:val="nil"/>
            </w:tcBorders>
            <w:noWrap w:val="0"/>
            <w:vAlign w:val="center"/>
          </w:tcPr>
          <w:p w14:paraId="7A47B0C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100</w:t>
            </w:r>
          </w:p>
        </w:tc>
      </w:tr>
      <w:tr w14:paraId="4D51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5" w:hRule="atLeast"/>
        </w:trPr>
        <w:tc>
          <w:tcPr>
            <w:tcW w:w="134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02D300">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single" w:color="000000" w:sz="4" w:space="0"/>
              <w:right w:val="nil"/>
              <w:tl2br w:val="nil"/>
              <w:tr2bl w:val="nil"/>
            </w:tcBorders>
            <w:noWrap w:val="0"/>
            <w:vAlign w:val="center"/>
          </w:tcPr>
          <w:p w14:paraId="16CBC2C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1.一般公共预算</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5655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285.2</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C133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299.16</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8C3B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299.16</w:t>
            </w:r>
          </w:p>
        </w:tc>
        <w:tc>
          <w:tcPr>
            <w:tcW w:w="1489" w:type="dxa"/>
            <w:tcBorders>
              <w:top w:val="nil"/>
              <w:left w:val="single" w:color="000000" w:sz="4" w:space="0"/>
              <w:bottom w:val="single" w:color="000000" w:sz="4" w:space="0"/>
              <w:right w:val="single" w:color="000000" w:sz="4" w:space="0"/>
              <w:tl2br w:val="nil"/>
              <w:tr2bl w:val="nil"/>
            </w:tcBorders>
            <w:noWrap w:val="0"/>
            <w:vAlign w:val="center"/>
          </w:tcPr>
          <w:p w14:paraId="7C099CC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100</w:t>
            </w:r>
          </w:p>
        </w:tc>
      </w:tr>
      <w:tr w14:paraId="333D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5" w:hRule="atLeast"/>
        </w:trPr>
        <w:tc>
          <w:tcPr>
            <w:tcW w:w="134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87592C">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single" w:color="000000" w:sz="4" w:space="0"/>
              <w:right w:val="nil"/>
              <w:tl2br w:val="nil"/>
              <w:tr2bl w:val="nil"/>
            </w:tcBorders>
            <w:noWrap w:val="0"/>
            <w:vAlign w:val="center"/>
          </w:tcPr>
          <w:p w14:paraId="0BF9E80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2.政府性基金</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C7EA6">
            <w:pPr>
              <w:spacing w:beforeLines="0" w:afterLines="0"/>
              <w:jc w:val="center"/>
              <w:rPr>
                <w:rFonts w:hint="eastAsia" w:hAnsi="宋体" w:cs="宋体"/>
                <w:color w:val="000000"/>
                <w:sz w:val="16"/>
                <w:szCs w:val="16"/>
              </w:rPr>
            </w:pP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D750F">
            <w:pPr>
              <w:spacing w:beforeLines="0" w:afterLines="0"/>
              <w:jc w:val="center"/>
              <w:rPr>
                <w:rFonts w:hint="eastAsia" w:hAnsi="宋体" w:cs="宋体"/>
                <w:color w:val="000000"/>
                <w:sz w:val="16"/>
                <w:szCs w:val="16"/>
              </w:rPr>
            </w:pP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47A1C">
            <w:pPr>
              <w:spacing w:beforeLines="0" w:afterLines="0"/>
              <w:jc w:val="center"/>
              <w:rPr>
                <w:rFonts w:hint="eastAsia" w:hAnsi="宋体" w:cs="宋体"/>
                <w:color w:val="000000"/>
                <w:sz w:val="16"/>
                <w:szCs w:val="16"/>
              </w:rPr>
            </w:pPr>
          </w:p>
        </w:tc>
        <w:tc>
          <w:tcPr>
            <w:tcW w:w="1489" w:type="dxa"/>
            <w:tcBorders>
              <w:top w:val="nil"/>
              <w:left w:val="single" w:color="000000" w:sz="4" w:space="0"/>
              <w:bottom w:val="single" w:color="000000" w:sz="4" w:space="0"/>
              <w:right w:val="single" w:color="000000" w:sz="4" w:space="0"/>
              <w:tl2br w:val="nil"/>
              <w:tr2bl w:val="nil"/>
            </w:tcBorders>
            <w:noWrap w:val="0"/>
            <w:vAlign w:val="center"/>
          </w:tcPr>
          <w:p w14:paraId="053673E5">
            <w:pPr>
              <w:spacing w:beforeLines="0" w:afterLines="0"/>
              <w:jc w:val="center"/>
              <w:rPr>
                <w:rFonts w:hint="eastAsia" w:hAnsi="宋体" w:cs="宋体"/>
                <w:color w:val="000000"/>
                <w:sz w:val="16"/>
                <w:szCs w:val="16"/>
              </w:rPr>
            </w:pPr>
          </w:p>
        </w:tc>
      </w:tr>
      <w:tr w14:paraId="6693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5" w:hRule="atLeast"/>
        </w:trPr>
        <w:tc>
          <w:tcPr>
            <w:tcW w:w="134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0EF7A5">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single" w:color="000000" w:sz="4" w:space="0"/>
              <w:right w:val="nil"/>
              <w:tl2br w:val="nil"/>
              <w:tr2bl w:val="nil"/>
            </w:tcBorders>
            <w:noWrap w:val="0"/>
            <w:vAlign w:val="center"/>
          </w:tcPr>
          <w:p w14:paraId="4FB074F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3.国有资本经营预算</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E3A4C">
            <w:pPr>
              <w:spacing w:beforeLines="0" w:afterLines="0"/>
              <w:jc w:val="center"/>
              <w:rPr>
                <w:rFonts w:hint="eastAsia" w:hAnsi="宋体" w:cs="宋体"/>
                <w:color w:val="000000"/>
                <w:sz w:val="16"/>
                <w:szCs w:val="16"/>
              </w:rPr>
            </w:pP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FFE36">
            <w:pPr>
              <w:spacing w:beforeLines="0" w:afterLines="0"/>
              <w:jc w:val="center"/>
              <w:rPr>
                <w:rFonts w:hint="eastAsia" w:hAnsi="宋体" w:cs="宋体"/>
                <w:color w:val="000000"/>
                <w:sz w:val="16"/>
                <w:szCs w:val="16"/>
              </w:rPr>
            </w:pP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D562E">
            <w:pPr>
              <w:spacing w:beforeLines="0" w:afterLines="0"/>
              <w:jc w:val="center"/>
              <w:rPr>
                <w:rFonts w:hint="eastAsia" w:hAnsi="宋体" w:cs="宋体"/>
                <w:color w:val="000000"/>
                <w:sz w:val="16"/>
                <w:szCs w:val="16"/>
              </w:rPr>
            </w:pPr>
          </w:p>
        </w:tc>
        <w:tc>
          <w:tcPr>
            <w:tcW w:w="1489" w:type="dxa"/>
            <w:tcBorders>
              <w:top w:val="nil"/>
              <w:left w:val="single" w:color="000000" w:sz="4" w:space="0"/>
              <w:bottom w:val="single" w:color="000000" w:sz="4" w:space="0"/>
              <w:right w:val="single" w:color="000000" w:sz="4" w:space="0"/>
              <w:tl2br w:val="nil"/>
              <w:tr2bl w:val="nil"/>
            </w:tcBorders>
            <w:noWrap w:val="0"/>
            <w:vAlign w:val="center"/>
          </w:tcPr>
          <w:p w14:paraId="2B1D384F">
            <w:pPr>
              <w:spacing w:beforeLines="0" w:afterLines="0"/>
              <w:jc w:val="center"/>
              <w:rPr>
                <w:rFonts w:hint="eastAsia" w:hAnsi="宋体" w:cs="宋体"/>
                <w:color w:val="000000"/>
                <w:sz w:val="16"/>
                <w:szCs w:val="16"/>
              </w:rPr>
            </w:pPr>
          </w:p>
        </w:tc>
      </w:tr>
      <w:tr w14:paraId="4C37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5" w:hRule="atLeast"/>
        </w:trPr>
        <w:tc>
          <w:tcPr>
            <w:tcW w:w="134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D93CFD">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nil"/>
              <w:right w:val="nil"/>
              <w:tl2br w:val="nil"/>
              <w:tr2bl w:val="nil"/>
            </w:tcBorders>
            <w:noWrap w:val="0"/>
            <w:vAlign w:val="center"/>
          </w:tcPr>
          <w:p w14:paraId="1B6624DD">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（二）其他资金</w:t>
            </w:r>
          </w:p>
        </w:tc>
        <w:tc>
          <w:tcPr>
            <w:tcW w:w="2193" w:type="dxa"/>
            <w:tcBorders>
              <w:top w:val="single" w:color="000000" w:sz="4" w:space="0"/>
              <w:left w:val="single" w:color="000000" w:sz="4" w:space="0"/>
              <w:bottom w:val="nil"/>
              <w:right w:val="single" w:color="000000" w:sz="4" w:space="0"/>
              <w:tl2br w:val="nil"/>
              <w:tr2bl w:val="nil"/>
            </w:tcBorders>
            <w:noWrap w:val="0"/>
            <w:vAlign w:val="center"/>
          </w:tcPr>
          <w:p w14:paraId="56DAB170">
            <w:pPr>
              <w:spacing w:beforeLines="0" w:afterLines="0"/>
              <w:jc w:val="center"/>
              <w:rPr>
                <w:rFonts w:hint="eastAsia" w:hAnsi="宋体" w:cs="宋体"/>
                <w:color w:val="000000"/>
                <w:sz w:val="16"/>
                <w:szCs w:val="16"/>
              </w:rPr>
            </w:pPr>
          </w:p>
        </w:tc>
        <w:tc>
          <w:tcPr>
            <w:tcW w:w="1102" w:type="dxa"/>
            <w:tcBorders>
              <w:top w:val="single" w:color="000000" w:sz="4" w:space="0"/>
              <w:left w:val="single" w:color="000000" w:sz="4" w:space="0"/>
              <w:bottom w:val="nil"/>
              <w:right w:val="single" w:color="000000" w:sz="4" w:space="0"/>
              <w:tl2br w:val="nil"/>
              <w:tr2bl w:val="nil"/>
            </w:tcBorders>
            <w:noWrap w:val="0"/>
            <w:vAlign w:val="center"/>
          </w:tcPr>
          <w:p w14:paraId="1EF768FE">
            <w:pPr>
              <w:spacing w:beforeLines="0" w:afterLines="0"/>
              <w:jc w:val="center"/>
              <w:rPr>
                <w:rFonts w:hint="eastAsia" w:hAnsi="宋体" w:cs="宋体"/>
                <w:color w:val="000000"/>
                <w:sz w:val="16"/>
                <w:szCs w:val="16"/>
              </w:rPr>
            </w:pPr>
          </w:p>
        </w:tc>
        <w:tc>
          <w:tcPr>
            <w:tcW w:w="1661" w:type="dxa"/>
            <w:tcBorders>
              <w:top w:val="single" w:color="000000" w:sz="4" w:space="0"/>
              <w:left w:val="single" w:color="000000" w:sz="4" w:space="0"/>
              <w:bottom w:val="nil"/>
              <w:right w:val="single" w:color="000000" w:sz="4" w:space="0"/>
              <w:tl2br w:val="nil"/>
              <w:tr2bl w:val="nil"/>
            </w:tcBorders>
            <w:noWrap w:val="0"/>
            <w:vAlign w:val="center"/>
          </w:tcPr>
          <w:p w14:paraId="1E04D73D">
            <w:pPr>
              <w:spacing w:beforeLines="0" w:afterLines="0"/>
              <w:jc w:val="center"/>
              <w:rPr>
                <w:rFonts w:hint="eastAsia" w:hAnsi="宋体" w:cs="宋体"/>
                <w:color w:val="000000"/>
                <w:sz w:val="16"/>
                <w:szCs w:val="16"/>
              </w:rPr>
            </w:pPr>
          </w:p>
        </w:tc>
        <w:tc>
          <w:tcPr>
            <w:tcW w:w="1489" w:type="dxa"/>
            <w:tcBorders>
              <w:top w:val="nil"/>
              <w:left w:val="single" w:color="000000" w:sz="4" w:space="0"/>
              <w:bottom w:val="nil"/>
              <w:right w:val="single" w:color="000000" w:sz="4" w:space="0"/>
              <w:tl2br w:val="nil"/>
              <w:tr2bl w:val="nil"/>
            </w:tcBorders>
            <w:noWrap w:val="0"/>
            <w:vAlign w:val="center"/>
          </w:tcPr>
          <w:p w14:paraId="06CC6AF4">
            <w:pPr>
              <w:spacing w:beforeLines="0" w:afterLines="0"/>
              <w:jc w:val="center"/>
              <w:rPr>
                <w:rFonts w:hint="eastAsia" w:hAnsi="宋体" w:cs="宋体"/>
                <w:color w:val="000000"/>
                <w:sz w:val="16"/>
                <w:szCs w:val="16"/>
              </w:rPr>
            </w:pPr>
          </w:p>
        </w:tc>
      </w:tr>
      <w:tr w14:paraId="77B7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5" w:hRule="atLeast"/>
        </w:trPr>
        <w:tc>
          <w:tcPr>
            <w:tcW w:w="5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428E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整体</w:t>
            </w:r>
            <w:r>
              <w:rPr>
                <w:rFonts w:hint="eastAsia" w:hAnsi="宋体" w:cs="宋体"/>
                <w:color w:val="000000"/>
                <w:sz w:val="16"/>
                <w:szCs w:val="16"/>
                <w:lang w:bidi="ar"/>
              </w:rPr>
              <w:br w:type="textWrapping"/>
            </w:r>
            <w:r>
              <w:rPr>
                <w:rFonts w:hint="eastAsia" w:hAnsi="宋体" w:cs="宋体"/>
                <w:color w:val="000000"/>
                <w:sz w:val="16"/>
                <w:szCs w:val="16"/>
                <w:lang w:bidi="ar"/>
              </w:rPr>
              <w:t>目标</w:t>
            </w:r>
          </w:p>
        </w:tc>
        <w:tc>
          <w:tcPr>
            <w:tcW w:w="555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1DD1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年度目标</w:t>
            </w:r>
          </w:p>
        </w:tc>
        <w:tc>
          <w:tcPr>
            <w:tcW w:w="31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648D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完成情况</w:t>
            </w:r>
          </w:p>
        </w:tc>
      </w:tr>
      <w:tr w14:paraId="092D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66"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0FE59">
            <w:pPr>
              <w:spacing w:beforeLines="0" w:afterLines="0"/>
              <w:jc w:val="center"/>
              <w:rPr>
                <w:rFonts w:hint="eastAsia" w:hAnsi="宋体" w:cs="宋体"/>
                <w:color w:val="000000"/>
                <w:sz w:val="16"/>
                <w:szCs w:val="16"/>
              </w:rPr>
            </w:pPr>
          </w:p>
        </w:tc>
        <w:tc>
          <w:tcPr>
            <w:tcW w:w="555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46436">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完成各项接待任务，做好副厅级及以上领导来昭的服务保障工作，做好市级及以上党委、政府派出的巡、视、检查、督查（督导、督察）、考察、调研、考核、审计等综合性工作组来昭的服务保障工作，会同区级有关部门承担区委、区政府交办的大型会议、活动的接待服务保障工作。同时加强多方学习，牢树服务意识，提高创新意识，从而不断提高接待水平和质量，树立昭化接待新名片，也为政府开展其他工作做好后勤保障。</w:t>
            </w:r>
          </w:p>
        </w:tc>
        <w:tc>
          <w:tcPr>
            <w:tcW w:w="31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13A30">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较好的完成了各项接待任务，一年来，我区共接待来宾292批次，其中省部级领导 15次，全区各类重大会议活动17次，省、市各类现场会12次。加强多方学习，牢树服务意识，提高创新意识，接待水平和质量明显提高。除接待工作外，我中心扎实做好对区政府机关职工食堂和县级领导周转房的管理工作，后勤保障基础牢固。</w:t>
            </w:r>
          </w:p>
        </w:tc>
      </w:tr>
      <w:tr w14:paraId="352C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36" w:hRule="atLeast"/>
        </w:trPr>
        <w:tc>
          <w:tcPr>
            <w:tcW w:w="5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C812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部门整体绩效指标</w:t>
            </w:r>
          </w:p>
        </w:tc>
        <w:tc>
          <w:tcPr>
            <w:tcW w:w="8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E056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一级指标</w:t>
            </w:r>
          </w:p>
        </w:tc>
        <w:tc>
          <w:tcPr>
            <w:tcW w:w="14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F3E1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二级指标</w:t>
            </w:r>
          </w:p>
        </w:tc>
        <w:tc>
          <w:tcPr>
            <w:tcW w:w="2193" w:type="dxa"/>
            <w:tcBorders>
              <w:top w:val="single" w:color="000000" w:sz="4" w:space="0"/>
              <w:left w:val="nil"/>
              <w:bottom w:val="single" w:color="000000" w:sz="4" w:space="0"/>
              <w:right w:val="single" w:color="000000" w:sz="4" w:space="0"/>
              <w:tl2br w:val="nil"/>
              <w:tr2bl w:val="nil"/>
            </w:tcBorders>
            <w:noWrap w:val="0"/>
            <w:vAlign w:val="center"/>
          </w:tcPr>
          <w:p w14:paraId="7D2F6BB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三级指标</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5F97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年度指标值</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70DA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实际完成值</w:t>
            </w:r>
          </w:p>
        </w:tc>
        <w:tc>
          <w:tcPr>
            <w:tcW w:w="1489" w:type="dxa"/>
            <w:tcBorders>
              <w:top w:val="nil"/>
              <w:left w:val="nil"/>
              <w:bottom w:val="nil"/>
              <w:right w:val="single" w:color="000000" w:sz="4" w:space="0"/>
              <w:tl2br w:val="nil"/>
              <w:tr2bl w:val="nil"/>
            </w:tcBorders>
            <w:noWrap w:val="0"/>
            <w:vAlign w:val="center"/>
          </w:tcPr>
          <w:p w14:paraId="7623CFB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偏差原因分析及改进措施</w:t>
            </w:r>
          </w:p>
        </w:tc>
      </w:tr>
      <w:tr w14:paraId="2169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6"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0B3A0">
            <w:pPr>
              <w:spacing w:beforeLines="0" w:afterLines="0"/>
              <w:jc w:val="center"/>
              <w:rPr>
                <w:rFonts w:hint="eastAsia" w:hAnsi="宋体" w:cs="宋体"/>
                <w:color w:val="000000"/>
                <w:sz w:val="16"/>
                <w:szCs w:val="16"/>
              </w:rPr>
            </w:pPr>
          </w:p>
        </w:tc>
        <w:tc>
          <w:tcPr>
            <w:tcW w:w="8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A878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14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398D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数量指标</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71E2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保障在职职工人数</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9DBA7">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＝7人</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720F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8人</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A5E8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调入1人</w:t>
            </w:r>
          </w:p>
        </w:tc>
      </w:tr>
      <w:tr w14:paraId="30CD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23"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FCD63">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BD8A5">
            <w:pPr>
              <w:spacing w:beforeLines="0" w:afterLines="0"/>
              <w:jc w:val="center"/>
              <w:rPr>
                <w:rFonts w:hint="eastAsia" w:hAnsi="宋体" w:cs="宋体"/>
                <w:color w:val="000000"/>
                <w:sz w:val="16"/>
                <w:szCs w:val="16"/>
              </w:rPr>
            </w:pPr>
          </w:p>
        </w:tc>
        <w:tc>
          <w:tcPr>
            <w:tcW w:w="14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0C39B">
            <w:pPr>
              <w:spacing w:beforeLines="0" w:afterLines="0"/>
              <w:jc w:val="center"/>
              <w:rPr>
                <w:rFonts w:hint="eastAsia" w:hAnsi="宋体" w:cs="宋体"/>
                <w:color w:val="000000"/>
                <w:sz w:val="16"/>
                <w:szCs w:val="16"/>
              </w:rPr>
            </w:pP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F8F6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公务车数量</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2D8F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＝1辆</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9472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1辆</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1C64F">
            <w:pPr>
              <w:spacing w:beforeLines="0" w:afterLines="0"/>
              <w:jc w:val="center"/>
              <w:rPr>
                <w:rFonts w:hint="eastAsia" w:hAnsi="宋体" w:cs="宋体"/>
                <w:color w:val="000000"/>
                <w:sz w:val="16"/>
                <w:szCs w:val="16"/>
              </w:rPr>
            </w:pPr>
          </w:p>
        </w:tc>
      </w:tr>
      <w:tr w14:paraId="06C6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4"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BFDB3">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AE0E8">
            <w:pPr>
              <w:spacing w:beforeLines="0" w:afterLines="0"/>
              <w:jc w:val="center"/>
              <w:rPr>
                <w:rFonts w:hint="eastAsia" w:hAnsi="宋体" w:cs="宋体"/>
                <w:color w:val="000000"/>
                <w:sz w:val="16"/>
                <w:szCs w:val="16"/>
              </w:rPr>
            </w:pPr>
          </w:p>
        </w:tc>
        <w:tc>
          <w:tcPr>
            <w:tcW w:w="14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03B83">
            <w:pPr>
              <w:spacing w:beforeLines="0" w:afterLines="0"/>
              <w:jc w:val="center"/>
              <w:rPr>
                <w:rFonts w:hint="eastAsia" w:hAnsi="宋体" w:cs="宋体"/>
                <w:color w:val="000000"/>
                <w:sz w:val="16"/>
                <w:szCs w:val="16"/>
              </w:rPr>
            </w:pP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CEB98">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接待批次</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FE2D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＞100次</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B218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292批次</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6124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接待量增加</w:t>
            </w:r>
          </w:p>
        </w:tc>
      </w:tr>
      <w:tr w14:paraId="0090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3"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5387F">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D81D1">
            <w:pPr>
              <w:spacing w:beforeLines="0" w:afterLines="0"/>
              <w:jc w:val="center"/>
              <w:rPr>
                <w:rFonts w:hint="eastAsia" w:hAnsi="宋体" w:cs="宋体"/>
                <w:color w:val="000000"/>
                <w:sz w:val="16"/>
                <w:szCs w:val="16"/>
              </w:rPr>
            </w:pPr>
          </w:p>
        </w:tc>
        <w:tc>
          <w:tcPr>
            <w:tcW w:w="14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2B80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质量指标</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F2493">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职工工作完成情况</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32E3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定性其他</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67EE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471B9">
            <w:pPr>
              <w:spacing w:beforeLines="0" w:afterLines="0"/>
              <w:jc w:val="center"/>
              <w:rPr>
                <w:rFonts w:hint="eastAsia" w:hAnsi="宋体" w:cs="宋体"/>
                <w:color w:val="000000"/>
                <w:sz w:val="16"/>
                <w:szCs w:val="16"/>
              </w:rPr>
            </w:pPr>
          </w:p>
        </w:tc>
      </w:tr>
      <w:tr w14:paraId="7C90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3"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DC6EF">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D2728">
            <w:pPr>
              <w:spacing w:beforeLines="0" w:afterLines="0"/>
              <w:jc w:val="center"/>
              <w:rPr>
                <w:rFonts w:hint="eastAsia" w:hAnsi="宋体" w:cs="宋体"/>
                <w:color w:val="000000"/>
                <w:sz w:val="16"/>
                <w:szCs w:val="16"/>
              </w:rPr>
            </w:pPr>
          </w:p>
        </w:tc>
        <w:tc>
          <w:tcPr>
            <w:tcW w:w="14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2E386">
            <w:pPr>
              <w:spacing w:beforeLines="0" w:afterLines="0"/>
              <w:jc w:val="center"/>
              <w:rPr>
                <w:rFonts w:hint="eastAsia" w:hAnsi="宋体" w:cs="宋体"/>
                <w:color w:val="000000"/>
                <w:sz w:val="16"/>
                <w:szCs w:val="16"/>
              </w:rPr>
            </w:pP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D9D8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接待完成质量</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8C96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定性其他</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E9E1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5C129">
            <w:pPr>
              <w:spacing w:beforeLines="0" w:afterLines="0"/>
              <w:jc w:val="center"/>
              <w:rPr>
                <w:rFonts w:hint="eastAsia" w:hAnsi="宋体" w:cs="宋体"/>
                <w:color w:val="000000"/>
                <w:sz w:val="16"/>
                <w:szCs w:val="16"/>
              </w:rPr>
            </w:pPr>
          </w:p>
        </w:tc>
      </w:tr>
      <w:tr w14:paraId="3597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17"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16D09">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89F0D">
            <w:pPr>
              <w:spacing w:beforeLines="0" w:afterLines="0"/>
              <w:jc w:val="center"/>
              <w:rPr>
                <w:rFonts w:hint="eastAsia" w:hAnsi="宋体" w:cs="宋体"/>
                <w:color w:val="000000"/>
                <w:sz w:val="16"/>
                <w:szCs w:val="16"/>
              </w:rPr>
            </w:pPr>
          </w:p>
        </w:tc>
        <w:tc>
          <w:tcPr>
            <w:tcW w:w="14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6930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时效指标</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86A9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资金支付及时率（计划完成时间-实际完成时间）/计划完成时间*100%</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E2BDF">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≥0%</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4072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100%</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9FD07">
            <w:pPr>
              <w:spacing w:beforeLines="0" w:afterLines="0"/>
              <w:jc w:val="center"/>
              <w:rPr>
                <w:rFonts w:hint="eastAsia" w:hAnsi="宋体" w:cs="宋体"/>
                <w:color w:val="000000"/>
                <w:sz w:val="16"/>
                <w:szCs w:val="16"/>
              </w:rPr>
            </w:pPr>
          </w:p>
        </w:tc>
      </w:tr>
      <w:tr w14:paraId="7E44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6"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38774">
            <w:pPr>
              <w:spacing w:beforeLines="0" w:afterLines="0"/>
              <w:jc w:val="center"/>
              <w:rPr>
                <w:rFonts w:hint="eastAsia" w:hAnsi="宋体" w:cs="宋体"/>
                <w:color w:val="000000"/>
                <w:sz w:val="16"/>
                <w:szCs w:val="16"/>
              </w:rPr>
            </w:pPr>
          </w:p>
        </w:tc>
        <w:tc>
          <w:tcPr>
            <w:tcW w:w="8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F30D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效益指标</w:t>
            </w:r>
          </w:p>
        </w:tc>
        <w:tc>
          <w:tcPr>
            <w:tcW w:w="14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D301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社会效益指标</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32D2D">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杜绝浪费、绿色办公</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92E9A">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定性其他</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C63D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0663F">
            <w:pPr>
              <w:spacing w:beforeLines="0" w:afterLines="0"/>
              <w:jc w:val="center"/>
              <w:rPr>
                <w:rFonts w:hint="eastAsia" w:hAnsi="宋体" w:cs="宋体"/>
                <w:color w:val="000000"/>
                <w:sz w:val="16"/>
                <w:szCs w:val="16"/>
              </w:rPr>
            </w:pPr>
          </w:p>
        </w:tc>
      </w:tr>
      <w:tr w14:paraId="06D2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4"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EC39D">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E1894">
            <w:pPr>
              <w:spacing w:beforeLines="0" w:afterLines="0"/>
              <w:jc w:val="center"/>
              <w:rPr>
                <w:rFonts w:hint="eastAsia" w:hAnsi="宋体" w:cs="宋体"/>
                <w:color w:val="000000"/>
                <w:sz w:val="16"/>
                <w:szCs w:val="16"/>
              </w:rPr>
            </w:pPr>
          </w:p>
        </w:tc>
        <w:tc>
          <w:tcPr>
            <w:tcW w:w="14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A3C2E">
            <w:pPr>
              <w:spacing w:beforeLines="0" w:afterLines="0"/>
              <w:jc w:val="center"/>
              <w:rPr>
                <w:rFonts w:hint="eastAsia" w:hAnsi="宋体" w:cs="宋体"/>
                <w:color w:val="000000"/>
                <w:sz w:val="16"/>
                <w:szCs w:val="16"/>
              </w:rPr>
            </w:pP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5C30A">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增加就业人数</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363C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＝8人</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D9D9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8人</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1C36F">
            <w:pPr>
              <w:spacing w:beforeLines="0" w:afterLines="0"/>
              <w:jc w:val="center"/>
              <w:rPr>
                <w:rFonts w:hint="eastAsia" w:hAnsi="宋体" w:cs="宋体"/>
                <w:color w:val="000000"/>
                <w:sz w:val="16"/>
                <w:szCs w:val="16"/>
              </w:rPr>
            </w:pPr>
          </w:p>
        </w:tc>
      </w:tr>
      <w:tr w14:paraId="707A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3"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A4535">
            <w:pPr>
              <w:spacing w:beforeLines="0" w:afterLines="0"/>
              <w:jc w:val="center"/>
              <w:rPr>
                <w:rFonts w:hint="eastAsia" w:hAnsi="宋体" w:cs="宋体"/>
                <w:color w:val="000000"/>
                <w:sz w:val="16"/>
                <w:szCs w:val="16"/>
              </w:rPr>
            </w:pPr>
          </w:p>
        </w:tc>
        <w:tc>
          <w:tcPr>
            <w:tcW w:w="8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FADA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满意度指标</w:t>
            </w:r>
          </w:p>
        </w:tc>
        <w:tc>
          <w:tcPr>
            <w:tcW w:w="14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64D6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服务对象满意度指标</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8C5CB">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接待对象满意度</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ADE4D">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≥98%</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7B2B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98%</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3C1B5">
            <w:pPr>
              <w:spacing w:beforeLines="0" w:afterLines="0"/>
              <w:jc w:val="center"/>
              <w:rPr>
                <w:rFonts w:hint="eastAsia" w:hAnsi="宋体" w:cs="宋体"/>
                <w:color w:val="000000"/>
                <w:sz w:val="16"/>
                <w:szCs w:val="16"/>
              </w:rPr>
            </w:pPr>
          </w:p>
        </w:tc>
      </w:tr>
      <w:tr w14:paraId="602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3"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81150">
            <w:pPr>
              <w:spacing w:beforeLines="0" w:afterLines="0"/>
              <w:jc w:val="center"/>
              <w:rPr>
                <w:rFonts w:hint="eastAsia" w:hAnsi="宋体" w:cs="宋体"/>
                <w:color w:val="000000"/>
                <w:sz w:val="16"/>
                <w:szCs w:val="16"/>
              </w:rPr>
            </w:pPr>
          </w:p>
        </w:tc>
        <w:tc>
          <w:tcPr>
            <w:tcW w:w="8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ACA9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成本指标</w:t>
            </w:r>
          </w:p>
        </w:tc>
        <w:tc>
          <w:tcPr>
            <w:tcW w:w="14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DAFB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经济成本指标</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DA4C7">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各项接待任务顺利完成及后勤保障</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F9EB9">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≤1903000元</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EDBD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190.3万元</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E5185">
            <w:pPr>
              <w:spacing w:beforeLines="0" w:afterLines="0"/>
              <w:jc w:val="center"/>
              <w:rPr>
                <w:rFonts w:hint="eastAsia" w:hAnsi="宋体" w:cs="宋体"/>
                <w:color w:val="000000"/>
                <w:sz w:val="16"/>
                <w:szCs w:val="16"/>
              </w:rPr>
            </w:pPr>
          </w:p>
        </w:tc>
      </w:tr>
      <w:tr w14:paraId="331D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1"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F7391">
            <w:pPr>
              <w:spacing w:beforeLines="0" w:afterLines="0"/>
              <w:jc w:val="center"/>
              <w:rPr>
                <w:rFonts w:hint="eastAsia" w:hAnsi="宋体" w:cs="宋体"/>
                <w:color w:val="000000"/>
                <w:sz w:val="16"/>
                <w:szCs w:val="16"/>
              </w:rPr>
            </w:pPr>
          </w:p>
        </w:tc>
        <w:tc>
          <w:tcPr>
            <w:tcW w:w="8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3BEFB">
            <w:pPr>
              <w:spacing w:beforeLines="0" w:afterLines="0"/>
              <w:jc w:val="center"/>
              <w:rPr>
                <w:rFonts w:hint="eastAsia" w:hAnsi="宋体" w:cs="宋体"/>
                <w:color w:val="000000"/>
                <w:sz w:val="16"/>
                <w:szCs w:val="16"/>
              </w:rPr>
            </w:pPr>
          </w:p>
        </w:tc>
        <w:tc>
          <w:tcPr>
            <w:tcW w:w="14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35A36">
            <w:pPr>
              <w:spacing w:beforeLines="0" w:afterLines="0"/>
              <w:jc w:val="center"/>
              <w:rPr>
                <w:rFonts w:hint="eastAsia" w:hAnsi="宋体" w:cs="宋体"/>
                <w:color w:val="000000"/>
                <w:sz w:val="16"/>
                <w:szCs w:val="16"/>
              </w:rPr>
            </w:pP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4C03A">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保障本单位日常运转</w:t>
            </w:r>
          </w:p>
        </w:tc>
        <w:tc>
          <w:tcPr>
            <w:tcW w:w="11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E936A">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≤948954.2元</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4293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108.86万元</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CC7E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人员增加、经费增加</w:t>
            </w:r>
          </w:p>
        </w:tc>
      </w:tr>
    </w:tbl>
    <w:p w14:paraId="33D6A039">
      <w:pPr>
        <w:autoSpaceDE/>
        <w:autoSpaceDN/>
        <w:spacing w:beforeLines="0" w:afterLines="0" w:line="576" w:lineRule="exact"/>
        <w:jc w:val="center"/>
        <w:rPr>
          <w:rFonts w:hint="default" w:ascii="Times New Roman" w:eastAsia="方正小标宋简体"/>
          <w:color w:val="000000"/>
          <w:sz w:val="44"/>
          <w:szCs w:val="44"/>
        </w:rPr>
      </w:pPr>
      <w:r>
        <w:rPr>
          <w:rFonts w:hint="eastAsia" w:ascii="Times New Roman" w:eastAsia="方正小标宋简体"/>
          <w:color w:val="000000"/>
          <w:sz w:val="44"/>
          <w:szCs w:val="44"/>
        </w:rPr>
        <w:t>广元市昭化区公务服务中心</w:t>
      </w:r>
    </w:p>
    <w:p w14:paraId="4CB409E7">
      <w:pPr>
        <w:autoSpaceDE/>
        <w:autoSpaceDN/>
        <w:spacing w:beforeLines="0" w:afterLines="0" w:line="576" w:lineRule="exact"/>
        <w:jc w:val="center"/>
        <w:rPr>
          <w:rFonts w:hint="default" w:ascii="Times New Roman" w:eastAsia="方正小标宋简体"/>
          <w:color w:val="000000"/>
          <w:sz w:val="44"/>
          <w:szCs w:val="44"/>
        </w:rPr>
      </w:pPr>
      <w:r>
        <w:rPr>
          <w:rFonts w:hint="default" w:ascii="Times New Roman" w:eastAsia="方正小标宋简体"/>
          <w:color w:val="000000"/>
          <w:sz w:val="44"/>
          <w:szCs w:val="44"/>
        </w:rPr>
        <w:t>202</w:t>
      </w:r>
      <w:r>
        <w:rPr>
          <w:rFonts w:hint="eastAsia" w:ascii="Times New Roman" w:eastAsia="方正小标宋简体"/>
          <w:color w:val="000000"/>
          <w:sz w:val="44"/>
          <w:szCs w:val="44"/>
        </w:rPr>
        <w:t>3年公务接待费项目支出绩效自评报告</w:t>
      </w:r>
    </w:p>
    <w:p w14:paraId="76C72E1B">
      <w:pPr>
        <w:pStyle w:val="11"/>
        <w:widowControl/>
        <w:shd w:val="clear" w:color="auto" w:fill="FFFFFF"/>
        <w:spacing w:before="0" w:beforeLines="0" w:beforeAutospacing="0" w:after="0" w:afterLines="0" w:afterAutospacing="0"/>
        <w:rPr>
          <w:rFonts w:hint="eastAsia" w:ascii="Times New Roman" w:eastAsia="仿宋_GB2312"/>
          <w:color w:val="000000"/>
          <w:kern w:val="2"/>
          <w:sz w:val="32"/>
          <w:szCs w:val="32"/>
          <w:lang w:bidi="ar-SA"/>
        </w:rPr>
      </w:pPr>
    </w:p>
    <w:p w14:paraId="32FF0B9A">
      <w:pPr>
        <w:pStyle w:val="11"/>
        <w:widowControl/>
        <w:shd w:val="clear" w:color="auto" w:fill="FFFFFF"/>
        <w:spacing w:before="0" w:beforeLines="0" w:beforeAutospacing="0" w:after="0" w:afterLines="0" w:afterAutospacing="0" w:line="576" w:lineRule="exact"/>
        <w:jc w:val="both"/>
        <w:rPr>
          <w:rFonts w:hint="eastAsia" w:ascii="Times New Roman" w:eastAsia="仿宋_GB2312"/>
          <w:color w:val="000000"/>
          <w:kern w:val="2"/>
          <w:sz w:val="32"/>
          <w:szCs w:val="32"/>
          <w:lang w:bidi="ar-SA"/>
        </w:rPr>
      </w:pPr>
      <w:r>
        <w:rPr>
          <w:rFonts w:hint="eastAsia" w:ascii="Times New Roman" w:eastAsia="仿宋_GB2312"/>
          <w:color w:val="000000"/>
          <w:kern w:val="2"/>
          <w:sz w:val="32"/>
          <w:szCs w:val="32"/>
          <w:lang w:bidi="ar-SA"/>
        </w:rPr>
        <w:t>区财政局：</w:t>
      </w:r>
    </w:p>
    <w:p w14:paraId="261D1C1E">
      <w:pPr>
        <w:pStyle w:val="11"/>
        <w:widowControl/>
        <w:shd w:val="clear" w:color="auto" w:fill="FFFFFF"/>
        <w:spacing w:before="0" w:beforeLines="0" w:beforeAutospacing="0" w:after="0" w:afterLines="0" w:afterAutospacing="0" w:line="576" w:lineRule="exact"/>
        <w:ind w:firstLine="640" w:firstLineChars="200"/>
        <w:jc w:val="both"/>
        <w:rPr>
          <w:rFonts w:hint="eastAsia" w:ascii="Times New Roman" w:eastAsia="仿宋_GB2312"/>
          <w:color w:val="000000"/>
          <w:kern w:val="2"/>
          <w:sz w:val="32"/>
          <w:szCs w:val="32"/>
          <w:lang w:bidi="ar-SA"/>
        </w:rPr>
      </w:pPr>
      <w:r>
        <w:rPr>
          <w:rFonts w:hint="eastAsia" w:ascii="Times New Roman" w:eastAsia="仿宋_GB2312"/>
          <w:color w:val="000000"/>
          <w:kern w:val="2"/>
          <w:sz w:val="32"/>
          <w:szCs w:val="32"/>
          <w:lang w:val="zh-CN" w:bidi="ar-SA"/>
        </w:rPr>
        <w:t>贵单位《关于开展202</w:t>
      </w:r>
      <w:r>
        <w:rPr>
          <w:rFonts w:hint="eastAsia" w:ascii="Times New Roman" w:eastAsia="仿宋_GB2312"/>
          <w:color w:val="000000"/>
          <w:kern w:val="2"/>
          <w:sz w:val="32"/>
          <w:szCs w:val="32"/>
          <w:lang w:bidi="ar-SA"/>
        </w:rPr>
        <w:t>4</w:t>
      </w:r>
      <w:r>
        <w:rPr>
          <w:rFonts w:hint="eastAsia" w:ascii="Times New Roman" w:eastAsia="仿宋_GB2312"/>
          <w:color w:val="000000"/>
          <w:kern w:val="2"/>
          <w:sz w:val="32"/>
          <w:szCs w:val="32"/>
          <w:lang w:val="zh-CN" w:bidi="ar-SA"/>
        </w:rPr>
        <w:t>年部门、政策和项目支出绩效评价工作的通知》（昭财发</w:t>
      </w:r>
      <w:r>
        <w:rPr>
          <w:rFonts w:hint="eastAsia" w:ascii="Times New Roman" w:eastAsia="仿宋_GB2312"/>
          <w:color w:val="000000"/>
          <w:kern w:val="2"/>
          <w:sz w:val="32"/>
          <w:szCs w:val="32"/>
          <w:lang w:bidi="ar-SA"/>
        </w:rPr>
        <w:t>〔</w:t>
      </w:r>
      <w:r>
        <w:rPr>
          <w:rFonts w:hint="default" w:ascii="Times New Roman" w:eastAsia="仿宋_GB2312"/>
          <w:color w:val="000000"/>
          <w:kern w:val="2"/>
          <w:sz w:val="32"/>
          <w:szCs w:val="32"/>
          <w:lang w:val="zh-CN" w:bidi="ar-SA"/>
        </w:rPr>
        <w:t>202</w:t>
      </w:r>
      <w:r>
        <w:rPr>
          <w:rFonts w:hint="eastAsia" w:ascii="Times New Roman" w:eastAsia="仿宋_GB2312"/>
          <w:color w:val="000000"/>
          <w:kern w:val="2"/>
          <w:sz w:val="32"/>
          <w:szCs w:val="32"/>
          <w:lang w:bidi="ar-SA"/>
        </w:rPr>
        <w:t>4〕11</w:t>
      </w:r>
      <w:r>
        <w:rPr>
          <w:rFonts w:hint="eastAsia" w:ascii="Times New Roman" w:eastAsia="仿宋_GB2312"/>
          <w:color w:val="000000"/>
          <w:kern w:val="2"/>
          <w:sz w:val="32"/>
          <w:szCs w:val="32"/>
          <w:lang w:val="zh-CN" w:bidi="ar-SA"/>
        </w:rPr>
        <w:t>号）已收悉，</w:t>
      </w:r>
      <w:r>
        <w:rPr>
          <w:rFonts w:hint="eastAsia" w:ascii="Times New Roman" w:eastAsia="仿宋_GB2312"/>
          <w:color w:val="000000"/>
          <w:kern w:val="2"/>
          <w:sz w:val="32"/>
          <w:szCs w:val="32"/>
          <w:lang w:bidi="ar-SA"/>
        </w:rPr>
        <w:t>结合我中心的具体情况，认真组织开展了2023年度项目支出绩效自评工作，现将我中心公务接待费项目支出绩效评价情况报告如下：</w:t>
      </w:r>
    </w:p>
    <w:p w14:paraId="0BFAB040">
      <w:pPr>
        <w:pStyle w:val="11"/>
        <w:numPr>
          <w:ilvl w:val="0"/>
          <w:numId w:val="0"/>
        </w:numPr>
        <w:autoSpaceDE/>
        <w:autoSpaceDN/>
        <w:adjustRightInd/>
        <w:spacing w:before="0" w:beforeLines="0" w:beforeAutospacing="0" w:after="0" w:afterLines="0" w:afterAutospacing="0" w:line="576" w:lineRule="exact"/>
        <w:ind w:firstLine="672" w:firstLineChars="200"/>
        <w:jc w:val="both"/>
        <w:rPr>
          <w:rFonts w:hint="eastAsia" w:ascii="Times New Roman" w:eastAsia="黑体"/>
          <w:color w:val="000000"/>
          <w:spacing w:val="8"/>
          <w:sz w:val="32"/>
          <w:szCs w:val="32"/>
          <w:shd w:val="clear" w:color="auto" w:fill="FFFFFF"/>
        </w:rPr>
      </w:pPr>
      <w:r>
        <w:rPr>
          <w:rFonts w:hint="eastAsia" w:ascii="Times New Roman" w:eastAsia="黑体"/>
          <w:color w:val="000000"/>
          <w:spacing w:val="8"/>
          <w:sz w:val="32"/>
          <w:szCs w:val="32"/>
          <w:shd w:val="clear" w:color="auto" w:fill="FFFFFF"/>
        </w:rPr>
        <w:t>一、项目概况</w:t>
      </w:r>
    </w:p>
    <w:p w14:paraId="0D20CF2A">
      <w:pPr>
        <w:pStyle w:val="11"/>
        <w:widowControl/>
        <w:shd w:val="clear" w:color="auto" w:fill="FFFFFF"/>
        <w:spacing w:before="0" w:beforeLines="0" w:beforeAutospacing="0" w:after="0" w:afterLines="0" w:afterAutospacing="0" w:line="576" w:lineRule="exact"/>
        <w:ind w:firstLine="640" w:firstLineChars="200"/>
        <w:jc w:val="both"/>
        <w:rPr>
          <w:rFonts w:hint="eastAsia" w:ascii="Times New Roman" w:eastAsia="仿宋_GB2312"/>
          <w:color w:val="000000"/>
          <w:kern w:val="2"/>
          <w:sz w:val="32"/>
          <w:szCs w:val="32"/>
          <w:lang w:bidi="ar-SA"/>
        </w:rPr>
      </w:pPr>
      <w:r>
        <w:rPr>
          <w:rFonts w:hint="eastAsia" w:ascii="Times New Roman" w:eastAsia="仿宋_GB2312"/>
          <w:color w:val="000000"/>
          <w:kern w:val="2"/>
          <w:sz w:val="32"/>
          <w:szCs w:val="32"/>
          <w:lang w:bidi="ar-SA"/>
        </w:rPr>
        <w:t>项目主管单位：广元市昭化区公务服务中心。</w:t>
      </w:r>
    </w:p>
    <w:p w14:paraId="73F4DAE5">
      <w:pPr>
        <w:pStyle w:val="11"/>
        <w:widowControl/>
        <w:shd w:val="clear" w:color="auto" w:fill="FFFFFF"/>
        <w:spacing w:before="0" w:beforeLines="0" w:beforeAutospacing="0" w:after="0" w:afterLines="0" w:afterAutospacing="0" w:line="576" w:lineRule="exact"/>
        <w:ind w:firstLine="640" w:firstLineChars="200"/>
        <w:jc w:val="both"/>
        <w:rPr>
          <w:rFonts w:hint="default" w:ascii="Times New Roman" w:eastAsia="仿宋_GB2312"/>
          <w:color w:val="000000"/>
          <w:kern w:val="2"/>
          <w:sz w:val="32"/>
          <w:szCs w:val="32"/>
          <w:lang w:bidi="ar-SA"/>
        </w:rPr>
      </w:pPr>
      <w:r>
        <w:rPr>
          <w:rFonts w:hint="eastAsia" w:ascii="Times New Roman" w:eastAsia="仿宋_GB2312"/>
          <w:color w:val="000000"/>
          <w:kern w:val="2"/>
          <w:sz w:val="32"/>
          <w:szCs w:val="32"/>
          <w:lang w:bidi="ar-SA"/>
        </w:rPr>
        <w:t>职能：承担副厅级及以上领导（含曾经担任）来昭的服务保障工作。按照有关规定负责和参与市级及以上党委、政府派出的巡、视、检查、督查（督导、督察）、考察、调研、考核、审计等综合性工作组来昭的服务保障工作。会同有关部门做好中央、国家机关各部委（含各民主党派、工商联等）和省、市级正县级实职领导来昭的服务保障工作。负责外县（区）党政代表团和人大、政协主要领导率队的考察团来昭的协调联络和服务保障工作。负责区委、区政府交办的由区公务服务中心承担的公务服务和招商引资事项的服务保障工作。会同区级有关部门承担区委、区政府交办的大型会议、活动的接待服务保障工作。指导镇、区级部门的公务活动服务保障工作；负责拟订全区公务服务相关规定。完成区委、区政府交办的其他任务。</w:t>
      </w:r>
    </w:p>
    <w:p w14:paraId="2C9742DE">
      <w:pPr>
        <w:spacing w:beforeLines="0" w:afterLines="0" w:line="576" w:lineRule="exact"/>
        <w:ind w:firstLine="640" w:firstLine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（一）项目资金申报及批复情况</w:t>
      </w:r>
    </w:p>
    <w:p w14:paraId="0185DE28">
      <w:pPr>
        <w:spacing w:beforeLines="0" w:afterLines="0" w:line="576" w:lineRule="exact"/>
        <w:ind w:firstLine="640" w:firstLineChars="20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公务接待费年初预算资金90万元，年初预算批复90万元，其中财政拨款金额为90万元，2023年财政拨款金额为90万元，经财政局批复下达后，全部用于全区接待工作，为区委、区政府重要工作提供保障。</w:t>
      </w:r>
    </w:p>
    <w:p w14:paraId="461EDE13">
      <w:pPr>
        <w:numPr>
          <w:ilvl w:val="0"/>
          <w:numId w:val="0"/>
        </w:numPr>
        <w:spacing w:beforeLines="0" w:afterLines="0" w:line="576" w:lineRule="exact"/>
        <w:ind w:firstLine="640" w:firstLine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（二）项目绩效目标</w:t>
      </w:r>
    </w:p>
    <w:p w14:paraId="3003BDD3">
      <w:pPr>
        <w:spacing w:beforeLines="0" w:afterLines="0" w:line="576" w:lineRule="exact"/>
        <w:ind w:firstLine="640" w:firstLineChars="20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利用公务接待费项目资金90万元，完成了接待区内重大、重要事务来昭领导、社群等客人的接待工作，为区委、区政府重要工作提供保障，接待对象满意度达98%。一年来，我区共接待来宾292批次，其中省部级领导 15次，全区各类重大会议活动17次，省、市各类现场会12次。</w:t>
      </w:r>
    </w:p>
    <w:p w14:paraId="70A2F820">
      <w:pPr>
        <w:autoSpaceDE/>
        <w:autoSpaceDN/>
        <w:snapToGrid w:val="0"/>
        <w:spacing w:beforeLines="0" w:afterLines="0" w:line="576" w:lineRule="exact"/>
        <w:ind w:firstLine="640" w:firstLine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（三）项目资金申报相符性</w:t>
      </w:r>
    </w:p>
    <w:p w14:paraId="300205B6">
      <w:pPr>
        <w:autoSpaceDE/>
        <w:autoSpaceDN/>
        <w:adjustRightInd/>
        <w:spacing w:beforeLines="0" w:afterLines="0"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 xml:space="preserve"> </w:t>
      </w:r>
      <w:r>
        <w:rPr>
          <w:rFonts w:hint="eastAsia" w:ascii="Times New Roman" w:eastAsia="仿宋_GB2312"/>
          <w:color w:val="000000"/>
          <w:kern w:val="2"/>
          <w:sz w:val="32"/>
          <w:szCs w:val="32"/>
        </w:rPr>
        <w:t>2023年公务接待费项目资金严格按照年初项目经费申报要求执行，项目经费申报符合当年本单位工作需要，并达到预期目标。</w:t>
      </w:r>
    </w:p>
    <w:p w14:paraId="5038FA89">
      <w:pPr>
        <w:numPr>
          <w:ilvl w:val="0"/>
          <w:numId w:val="0"/>
        </w:numPr>
        <w:spacing w:beforeLines="0" w:afterLines="0" w:line="576" w:lineRule="exact"/>
        <w:ind w:firstLine="640" w:firstLine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（四）自评步骤及方法</w:t>
      </w:r>
    </w:p>
    <w:p w14:paraId="58B8C409">
      <w:pPr>
        <w:pStyle w:val="6"/>
        <w:spacing w:beforeLines="0" w:afterLines="0" w:line="576" w:lineRule="exact"/>
        <w:ind w:leftChars="0" w:firstLine="64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1.前期准备。一是加强组织领导。成立由主要领导任组长、分管领导任副组长，各业务股室负责人为成员的绩效评价领导小组和办公室，统一安排部署202</w:t>
      </w:r>
      <w:r>
        <w:rPr>
          <w:rFonts w:hint="eastAsia"/>
          <w:color w:val="000000"/>
          <w:kern w:val="2"/>
          <w:sz w:val="32"/>
          <w:szCs w:val="32"/>
        </w:rPr>
        <w:t>3</w:t>
      </w:r>
      <w:r>
        <w:rPr>
          <w:rFonts w:hint="eastAsia" w:ascii="Times New Roman" w:eastAsia="仿宋_GB2312"/>
          <w:color w:val="000000"/>
          <w:kern w:val="2"/>
          <w:sz w:val="32"/>
          <w:szCs w:val="32"/>
        </w:rPr>
        <w:t>年度绩效评价工作；二是确定评价范围。项目支出绩效评价包括区财政局202</w:t>
      </w:r>
      <w:r>
        <w:rPr>
          <w:rFonts w:hint="eastAsia"/>
          <w:color w:val="000000"/>
          <w:kern w:val="2"/>
          <w:sz w:val="32"/>
          <w:szCs w:val="32"/>
        </w:rPr>
        <w:t>3</w:t>
      </w:r>
      <w:r>
        <w:rPr>
          <w:rFonts w:hint="eastAsia" w:ascii="Times New Roman" w:eastAsia="仿宋_GB2312"/>
          <w:color w:val="000000"/>
          <w:kern w:val="2"/>
          <w:sz w:val="32"/>
          <w:szCs w:val="32"/>
        </w:rPr>
        <w:t>年部门项目支出；三是制定评价指标表。单位围绕202</w:t>
      </w:r>
      <w:r>
        <w:rPr>
          <w:rFonts w:hint="eastAsia"/>
          <w:color w:val="000000"/>
          <w:kern w:val="2"/>
          <w:sz w:val="32"/>
          <w:szCs w:val="32"/>
        </w:rPr>
        <w:t>3</w:t>
      </w:r>
      <w:r>
        <w:rPr>
          <w:rFonts w:hint="eastAsia" w:ascii="Times New Roman" w:eastAsia="仿宋_GB2312"/>
          <w:color w:val="000000"/>
          <w:kern w:val="2"/>
          <w:sz w:val="32"/>
          <w:szCs w:val="32"/>
        </w:rPr>
        <w:t>年年初确定的重点工作目标及区委区政府202</w:t>
      </w:r>
      <w:r>
        <w:rPr>
          <w:rFonts w:hint="eastAsia"/>
          <w:color w:val="000000"/>
          <w:kern w:val="2"/>
          <w:sz w:val="32"/>
          <w:szCs w:val="32"/>
        </w:rPr>
        <w:t>3</w:t>
      </w:r>
      <w:r>
        <w:rPr>
          <w:rFonts w:hint="eastAsia" w:ascii="Times New Roman" w:eastAsia="仿宋_GB2312"/>
          <w:color w:val="000000"/>
          <w:kern w:val="2"/>
          <w:sz w:val="32"/>
          <w:szCs w:val="32"/>
        </w:rPr>
        <w:t>年度综合考核指标要求，梳理了各项工作的完成情况，制定了项目支出绩效评价指标；四是汇总分析单位项目支出绩效情况。查找单位在项目预算执行过程中存在的问题，有针对性的制定整改措施并组织抓好落实。</w:t>
      </w:r>
    </w:p>
    <w:p w14:paraId="6F490C6E">
      <w:pPr>
        <w:pStyle w:val="6"/>
        <w:spacing w:beforeLines="0" w:afterLines="0" w:line="576" w:lineRule="exact"/>
        <w:ind w:leftChars="0" w:firstLine="64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2.组织实施。在年度预算执行过程中，由绩效评价领导小组办公室牵头对等项目进行了督促检查工作，要求各项目股室对202</w:t>
      </w:r>
      <w:r>
        <w:rPr>
          <w:rFonts w:hint="eastAsia"/>
          <w:color w:val="000000"/>
          <w:kern w:val="2"/>
          <w:sz w:val="32"/>
          <w:szCs w:val="32"/>
        </w:rPr>
        <w:t>3</w:t>
      </w:r>
      <w:r>
        <w:rPr>
          <w:rFonts w:hint="eastAsia" w:ascii="Times New Roman" w:eastAsia="仿宋_GB2312"/>
          <w:color w:val="000000"/>
          <w:kern w:val="2"/>
          <w:sz w:val="32"/>
          <w:szCs w:val="32"/>
        </w:rPr>
        <w:t>年所有财政支出项目开展自评。</w:t>
      </w:r>
    </w:p>
    <w:p w14:paraId="3C8E141A">
      <w:pPr>
        <w:numPr>
          <w:ilvl w:val="0"/>
          <w:numId w:val="0"/>
        </w:numPr>
        <w:spacing w:beforeLines="0" w:afterLines="0" w:line="576" w:lineRule="exact"/>
        <w:ind w:leftChars="200" w:firstLine="640" w:firstLineChars="200"/>
        <w:jc w:val="both"/>
        <w:rPr>
          <w:rFonts w:hint="eastAsia" w:ascii="黑体" w:hAnsi="黑体" w:eastAsia="黑体" w:cs="黑体"/>
          <w:sz w:val="32"/>
          <w:szCs w:val="32"/>
        </w:rPr>
      </w:pPr>
      <w:r>
        <w:rPr>
          <w:rFonts w:hint="eastAsia" w:ascii="黑体" w:hAnsi="黑体" w:eastAsia="黑体" w:cs="黑体"/>
          <w:sz w:val="32"/>
          <w:szCs w:val="32"/>
        </w:rPr>
        <w:t>二、项目实施及管理情况</w:t>
      </w:r>
    </w:p>
    <w:p w14:paraId="3A97B800">
      <w:pPr>
        <w:spacing w:beforeLines="0" w:afterLines="0" w:line="576" w:lineRule="exact"/>
        <w:ind w:firstLine="640" w:firstLine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（一）资金计划、到位及使用情况</w:t>
      </w:r>
    </w:p>
    <w:p w14:paraId="33918E99">
      <w:pPr>
        <w:spacing w:beforeLines="0" w:afterLines="0" w:line="576" w:lineRule="exact"/>
        <w:ind w:firstLine="640" w:firstLineChars="20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1.资金计划及到位。2023年公务接待费计划资金90万元，区级资金90万元、到位资金90万元，资金到位率100%。</w:t>
      </w:r>
    </w:p>
    <w:p w14:paraId="779F0B34">
      <w:pPr>
        <w:spacing w:beforeLines="0" w:afterLines="0" w:line="576" w:lineRule="exact"/>
        <w:ind w:firstLine="640" w:firstLineChars="20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2.资金使用。截止2023年底，接待办工作经费项目资金支出90万元，资金执行率为100%。资金使用范围为接待区内重大、重要事务来昭领导、社群等客人，为区委、区政府重要工作提供保障。</w:t>
      </w:r>
    </w:p>
    <w:p w14:paraId="7B4B9D8B">
      <w:pPr>
        <w:pStyle w:val="6"/>
        <w:spacing w:beforeLines="0" w:afterLines="0" w:line="576" w:lineRule="exact"/>
        <w:ind w:leftChars="0" w:firstLine="64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 xml:space="preserve">（二）项目财务管理情况   </w:t>
      </w:r>
    </w:p>
    <w:p w14:paraId="0829BC5C">
      <w:pPr>
        <w:autoSpaceDE/>
        <w:autoSpaceDN/>
        <w:spacing w:beforeLines="0" w:afterLines="0" w:line="576" w:lineRule="exact"/>
        <w:ind w:firstLine="640" w:firstLineChars="200"/>
        <w:jc w:val="both"/>
        <w:rPr>
          <w:rFonts w:hint="eastAsia" w:ascii="Times New Roman" w:eastAsia="仿宋_GB2312"/>
          <w:color w:val="000000"/>
          <w:kern w:val="2"/>
          <w:sz w:val="32"/>
          <w:szCs w:val="32"/>
        </w:rPr>
      </w:pPr>
      <w:r>
        <w:rPr>
          <w:rFonts w:hint="eastAsia" w:ascii="Times New Roman" w:eastAsia="仿宋_GB2312"/>
          <w:color w:val="000000"/>
          <w:kern w:val="2"/>
          <w:sz w:val="32"/>
          <w:szCs w:val="32"/>
        </w:rPr>
        <w:t>有健全的财务制度，资金拨付严格按照财务管理制度进行管理，保证专款专用，资金发放复查由财务人员按照财务制度进行资金的审核、支付和核算，在具体支付时，具备了资金发票等相关材料，手续完善，不存在虚假会计凭证的情况，会计严格执行财务管理制度，财务处理及时，核算规范。</w:t>
      </w:r>
    </w:p>
    <w:p w14:paraId="3AE2E759">
      <w:pPr>
        <w:pStyle w:val="11"/>
        <w:widowControl/>
        <w:numPr>
          <w:ilvl w:val="0"/>
          <w:numId w:val="0"/>
        </w:numPr>
        <w:shd w:val="clear" w:color="auto" w:fill="FFFFFF"/>
        <w:spacing w:before="0" w:beforeLines="0" w:beforeAutospacing="0" w:after="0" w:afterLines="0" w:afterAutospacing="0" w:line="576" w:lineRule="exact"/>
        <w:ind w:left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（三）项目组织实施及管理情况</w:t>
      </w:r>
    </w:p>
    <w:p w14:paraId="3270E0A0">
      <w:pPr>
        <w:widowControl/>
        <w:kinsoku w:val="0"/>
        <w:snapToGrid w:val="0"/>
        <w:spacing w:beforeLines="0" w:afterLines="0" w:line="576" w:lineRule="exact"/>
        <w:ind w:firstLine="640" w:firstLineChars="200"/>
        <w:jc w:val="both"/>
        <w:textAlignment w:val="baseline"/>
        <w:rPr>
          <w:rFonts w:hint="eastAsia" w:ascii="Times New Roman" w:eastAsia="仿宋_GB2312"/>
          <w:color w:val="000000"/>
          <w:kern w:val="2"/>
          <w:sz w:val="32"/>
          <w:szCs w:val="32"/>
        </w:rPr>
      </w:pPr>
      <w:r>
        <w:rPr>
          <w:rFonts w:hint="eastAsia" w:ascii="Times New Roman" w:eastAsia="仿宋_GB2312"/>
          <w:color w:val="000000"/>
          <w:kern w:val="2"/>
          <w:sz w:val="32"/>
          <w:szCs w:val="32"/>
        </w:rPr>
        <w:t>我中心高度重视该项目工作，成立了以主任为组长，分管领导为副组长，两名财务人员为组员的项目实施小组，依法守规，合理管控开支，按照年初预算计划，做到申请、审核、支付依规合法，全力保障工作的正常运转。</w:t>
      </w:r>
    </w:p>
    <w:p w14:paraId="3C710594">
      <w:pPr>
        <w:numPr>
          <w:ilvl w:val="0"/>
          <w:numId w:val="0"/>
        </w:numPr>
        <w:spacing w:beforeLines="0" w:afterLines="0" w:line="576" w:lineRule="exact"/>
        <w:ind w:firstLine="640" w:firstLineChars="200"/>
        <w:jc w:val="both"/>
        <w:rPr>
          <w:rFonts w:hint="eastAsia"/>
          <w:sz w:val="24"/>
          <w:szCs w:val="24"/>
        </w:rPr>
      </w:pPr>
      <w:r>
        <w:rPr>
          <w:rFonts w:hint="eastAsia" w:ascii="黑体" w:hAnsi="黑体" w:eastAsia="黑体" w:cs="黑体"/>
          <w:sz w:val="32"/>
          <w:szCs w:val="32"/>
        </w:rPr>
        <w:t>三、项目绩效情况</w:t>
      </w:r>
    </w:p>
    <w:p w14:paraId="7BCCDA7F">
      <w:pPr>
        <w:numPr>
          <w:ilvl w:val="0"/>
          <w:numId w:val="0"/>
        </w:numPr>
        <w:spacing w:beforeLines="0" w:afterLines="0" w:line="576" w:lineRule="exact"/>
        <w:ind w:firstLine="640" w:firstLineChars="200"/>
        <w:jc w:val="both"/>
        <w:rPr>
          <w:rFonts w:hint="eastAsia" w:ascii="华文楷体" w:hAnsi="华文楷体" w:eastAsia="华文楷体" w:cs="华文楷体"/>
          <w:sz w:val="32"/>
          <w:szCs w:val="32"/>
        </w:rPr>
      </w:pPr>
      <w:r>
        <w:rPr>
          <w:rFonts w:hint="eastAsia" w:ascii="华文楷体" w:hAnsi="华文楷体" w:eastAsia="华文楷体" w:cs="华文楷体"/>
          <w:sz w:val="32"/>
          <w:szCs w:val="32"/>
        </w:rPr>
        <w:t>（一）项目完成情况</w:t>
      </w:r>
    </w:p>
    <w:p w14:paraId="175A6AE6">
      <w:pPr>
        <w:widowControl/>
        <w:kinsoku w:val="0"/>
        <w:snapToGrid w:val="0"/>
        <w:spacing w:beforeLines="0" w:afterLines="0" w:line="576" w:lineRule="exact"/>
        <w:ind w:firstLine="640" w:firstLineChars="200"/>
        <w:jc w:val="both"/>
        <w:textAlignment w:val="baseline"/>
        <w:rPr>
          <w:rFonts w:hint="eastAsia" w:ascii="Times New Roman" w:eastAsia="仿宋_GB2312"/>
          <w:color w:val="000000"/>
          <w:kern w:val="2"/>
          <w:sz w:val="32"/>
          <w:szCs w:val="32"/>
        </w:rPr>
      </w:pPr>
      <w:r>
        <w:rPr>
          <w:rFonts w:hint="eastAsia" w:ascii="Times New Roman" w:eastAsia="仿宋_GB2312"/>
          <w:color w:val="000000"/>
          <w:kern w:val="2"/>
          <w:sz w:val="32"/>
          <w:szCs w:val="32"/>
        </w:rPr>
        <w:t>一年来，我区共接待来宾292批次，其中省部级领导15次，全区各类重大会议活动17次，省、市各类现场会12次。完成了接待区内重大、重要事务来昭领导、社群等客人的接待工作，为区委、区政府重要工作提供保障，接待对象满意度达98%。</w:t>
      </w:r>
    </w:p>
    <w:p w14:paraId="1660B7B8">
      <w:pPr>
        <w:widowControl/>
        <w:kinsoku w:val="0"/>
        <w:snapToGrid w:val="0"/>
        <w:spacing w:beforeLines="0" w:afterLines="0" w:line="576" w:lineRule="exact"/>
        <w:ind w:firstLine="640" w:firstLineChars="200"/>
        <w:jc w:val="both"/>
        <w:textAlignment w:val="baseline"/>
        <w:rPr>
          <w:rFonts w:hint="eastAsia" w:ascii="华文楷体" w:hAnsi="华文楷体" w:eastAsia="华文楷体" w:cs="华文楷体"/>
          <w:kern w:val="2"/>
          <w:sz w:val="32"/>
          <w:szCs w:val="32"/>
        </w:rPr>
      </w:pPr>
      <w:r>
        <w:rPr>
          <w:rFonts w:hint="eastAsia" w:ascii="华文楷体" w:hAnsi="华文楷体" w:eastAsia="华文楷体" w:cs="华文楷体"/>
          <w:kern w:val="2"/>
          <w:sz w:val="32"/>
          <w:szCs w:val="32"/>
        </w:rPr>
        <w:t>（二）项目效益情况</w:t>
      </w:r>
    </w:p>
    <w:p w14:paraId="0228D8ED">
      <w:pPr>
        <w:widowControl/>
        <w:kinsoku w:val="0"/>
        <w:snapToGrid w:val="0"/>
        <w:spacing w:beforeLines="0" w:afterLines="0" w:line="576" w:lineRule="exact"/>
        <w:ind w:firstLine="640" w:firstLineChars="200"/>
        <w:jc w:val="both"/>
        <w:textAlignment w:val="baseline"/>
        <w:rPr>
          <w:rFonts w:hint="eastAsia" w:ascii="Times New Roman" w:eastAsia="仿宋_GB2312"/>
          <w:color w:val="000000"/>
          <w:kern w:val="2"/>
          <w:sz w:val="32"/>
          <w:szCs w:val="32"/>
        </w:rPr>
      </w:pPr>
      <w:r>
        <w:rPr>
          <w:rFonts w:hint="eastAsia" w:ascii="Times New Roman" w:eastAsia="仿宋_GB2312"/>
          <w:color w:val="000000"/>
          <w:kern w:val="2"/>
          <w:sz w:val="32"/>
          <w:szCs w:val="32"/>
        </w:rPr>
        <w:t>一年来，我区共接待来宾292批次，其中省部级领导15次，全区各类重大会议活动17次，省、市各类现场会12次。</w:t>
      </w:r>
      <w:r>
        <w:rPr>
          <w:rFonts w:hint="eastAsia" w:ascii="仿宋_GB2312" w:hAnsi="仿宋_GB2312" w:eastAsia="仿宋_GB2312" w:cs="仿宋_GB2312"/>
          <w:color w:val="auto"/>
          <w:sz w:val="32"/>
          <w:szCs w:val="32"/>
        </w:rPr>
        <w:t>高水平完成了三国文化旅游节、“司马错来蜀与中国大统一”研讨会、“我们的节日”重阳四川省示范活动、全市2023年三季度项目投资“拉练评比”暨四季度重大项目现场推进活动等重大会议活动的公务服务保障任务，并在昭化区创建省级法治政府示范区、创建天府旅游名县等重大创建工作中表现出色。</w:t>
      </w:r>
      <w:r>
        <w:rPr>
          <w:rFonts w:hint="eastAsia" w:ascii="Times New Roman" w:eastAsia="仿宋_GB2312"/>
          <w:color w:val="000000"/>
          <w:kern w:val="2"/>
          <w:sz w:val="32"/>
          <w:szCs w:val="32"/>
        </w:rPr>
        <w:t>在面对接待宾客层次高，人员多，任务重，保密性强时，我中心上下一心，精心组织，周密安排，热情服务，讲政治，讲大局，讲奉献，圆满完成了各项接待任务。</w:t>
      </w:r>
    </w:p>
    <w:p w14:paraId="424EB6E5">
      <w:pPr>
        <w:numPr>
          <w:ilvl w:val="0"/>
          <w:numId w:val="0"/>
        </w:numPr>
        <w:spacing w:beforeLines="0" w:afterLines="0" w:line="576"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四、自评结论及建议</w:t>
      </w:r>
    </w:p>
    <w:p w14:paraId="32018404">
      <w:pPr>
        <w:pStyle w:val="11"/>
        <w:widowControl/>
        <w:shd w:val="clear" w:color="auto" w:fill="FFFFFF"/>
        <w:spacing w:before="0" w:beforeLines="0" w:beforeAutospacing="0" w:after="0" w:afterLines="0" w:afterAutospacing="0" w:line="576" w:lineRule="exact"/>
        <w:ind w:firstLine="640" w:firstLineChars="200"/>
        <w:jc w:val="both"/>
        <w:rPr>
          <w:rFonts w:hint="eastAsia" w:ascii="华文楷体" w:hAnsi="华文楷体" w:eastAsia="华文楷体" w:cs="华文楷体"/>
          <w:kern w:val="2"/>
          <w:sz w:val="32"/>
          <w:szCs w:val="32"/>
          <w:lang w:bidi="ar-SA"/>
        </w:rPr>
      </w:pPr>
      <w:r>
        <w:rPr>
          <w:rFonts w:hint="eastAsia" w:ascii="华文楷体" w:hAnsi="华文楷体" w:eastAsia="华文楷体" w:cs="华文楷体"/>
          <w:kern w:val="2"/>
          <w:sz w:val="32"/>
          <w:szCs w:val="32"/>
          <w:lang w:bidi="ar-SA"/>
        </w:rPr>
        <w:t>（一）评价结论</w:t>
      </w:r>
    </w:p>
    <w:p w14:paraId="515CCEA5">
      <w:pPr>
        <w:widowControl/>
        <w:kinsoku w:val="0"/>
        <w:snapToGrid w:val="0"/>
        <w:spacing w:beforeLines="0" w:afterLines="0" w:line="576" w:lineRule="exact"/>
        <w:ind w:firstLine="640" w:firstLineChars="200"/>
        <w:jc w:val="both"/>
        <w:textAlignment w:val="baseline"/>
        <w:rPr>
          <w:rFonts w:hint="eastAsia" w:ascii="Times New Roman" w:eastAsia="仿宋_GB2312"/>
          <w:color w:val="000000"/>
          <w:kern w:val="2"/>
          <w:sz w:val="32"/>
          <w:szCs w:val="32"/>
        </w:rPr>
      </w:pPr>
      <w:r>
        <w:rPr>
          <w:rFonts w:hint="eastAsia" w:ascii="Times New Roman" w:eastAsia="仿宋_GB2312"/>
          <w:color w:val="000000"/>
          <w:kern w:val="2"/>
          <w:sz w:val="32"/>
          <w:szCs w:val="32"/>
        </w:rPr>
        <w:t>广元市昭化区公务服务中心项目资金支出合规合法，较好地完成了年度目标绩效任务，对标项目支出绩效评价指标体系，我中心对本项目进行总体自评，评价结果为：优，得分97分。</w:t>
      </w:r>
    </w:p>
    <w:p w14:paraId="01546199">
      <w:pPr>
        <w:pStyle w:val="11"/>
        <w:widowControl/>
        <w:shd w:val="clear" w:color="auto" w:fill="FFFFFF"/>
        <w:spacing w:before="0" w:beforeLines="0" w:beforeAutospacing="0" w:after="0" w:afterLines="0" w:afterAutospacing="0" w:line="576" w:lineRule="exact"/>
        <w:ind w:firstLine="640" w:firstLineChars="200"/>
        <w:jc w:val="both"/>
        <w:rPr>
          <w:rFonts w:hint="eastAsia" w:ascii="华文楷体" w:hAnsi="华文楷体" w:eastAsia="华文楷体" w:cs="华文楷体"/>
          <w:kern w:val="2"/>
          <w:sz w:val="32"/>
          <w:szCs w:val="32"/>
          <w:lang w:bidi="ar-SA"/>
        </w:rPr>
      </w:pPr>
      <w:r>
        <w:rPr>
          <w:rFonts w:hint="eastAsia" w:ascii="华文楷体" w:hAnsi="华文楷体" w:eastAsia="华文楷体" w:cs="华文楷体"/>
          <w:kern w:val="2"/>
          <w:sz w:val="32"/>
          <w:szCs w:val="32"/>
          <w:lang w:bidi="ar-SA"/>
        </w:rPr>
        <w:t>（二）存在的问题</w:t>
      </w:r>
    </w:p>
    <w:p w14:paraId="2288C7FB">
      <w:pPr>
        <w:pStyle w:val="11"/>
        <w:widowControl/>
        <w:shd w:val="clear" w:color="auto" w:fill="FFFFFF"/>
        <w:spacing w:before="0" w:beforeLines="0" w:beforeAutospacing="0" w:after="0" w:afterLines="0" w:afterAutospacing="0" w:line="576" w:lineRule="exact"/>
        <w:ind w:firstLine="640" w:firstLineChars="200"/>
        <w:jc w:val="both"/>
        <w:rPr>
          <w:rFonts w:hint="eastAsia" w:ascii="Times New Roman" w:eastAsia="仿宋_GB2312"/>
          <w:color w:val="000000"/>
          <w:spacing w:val="8"/>
          <w:sz w:val="32"/>
          <w:szCs w:val="32"/>
          <w:shd w:val="clear" w:color="auto" w:fill="FFFFFF"/>
        </w:rPr>
      </w:pPr>
      <w:r>
        <w:rPr>
          <w:rFonts w:hint="eastAsia" w:ascii="Times New Roman" w:eastAsia="仿宋_GB2312"/>
          <w:color w:val="000000"/>
          <w:kern w:val="2"/>
          <w:sz w:val="32"/>
          <w:szCs w:val="32"/>
          <w:lang w:bidi="ar-SA"/>
        </w:rPr>
        <w:t>无。</w:t>
      </w:r>
    </w:p>
    <w:p w14:paraId="5D8580E5">
      <w:pPr>
        <w:pStyle w:val="11"/>
        <w:widowControl/>
        <w:shd w:val="clear" w:color="auto" w:fill="FFFFFF"/>
        <w:spacing w:before="0" w:beforeLines="0" w:beforeAutospacing="0" w:after="0" w:afterLines="0" w:afterAutospacing="0" w:line="576" w:lineRule="exact"/>
        <w:ind w:firstLine="640" w:firstLineChars="200"/>
        <w:jc w:val="both"/>
        <w:rPr>
          <w:rFonts w:hint="eastAsia" w:ascii="华文楷体" w:hAnsi="华文楷体" w:eastAsia="华文楷体" w:cs="华文楷体"/>
          <w:kern w:val="2"/>
          <w:sz w:val="32"/>
          <w:szCs w:val="32"/>
          <w:lang w:bidi="ar-SA"/>
        </w:rPr>
      </w:pPr>
      <w:r>
        <w:rPr>
          <w:rFonts w:hint="eastAsia" w:ascii="华文楷体" w:hAnsi="华文楷体" w:eastAsia="华文楷体" w:cs="华文楷体"/>
          <w:kern w:val="2"/>
          <w:sz w:val="32"/>
          <w:szCs w:val="32"/>
          <w:lang w:bidi="ar-SA"/>
        </w:rPr>
        <w:t>（三）相关建议</w:t>
      </w:r>
    </w:p>
    <w:p w14:paraId="2273E756">
      <w:pPr>
        <w:pStyle w:val="11"/>
        <w:autoSpaceDE/>
        <w:autoSpaceDN/>
        <w:adjustRightInd/>
        <w:spacing w:before="0" w:beforeLines="0" w:beforeAutospacing="0" w:after="0" w:afterLines="0" w:afterAutospacing="0" w:line="576" w:lineRule="exact"/>
        <w:ind w:firstLine="636" w:firstLineChars="200"/>
        <w:rPr>
          <w:rFonts w:hint="eastAsia" w:ascii="仿宋" w:hAnsi="仿宋" w:eastAsia="仿宋" w:cs="仿宋"/>
          <w:spacing w:val="4"/>
          <w:sz w:val="31"/>
          <w:szCs w:val="31"/>
        </w:rPr>
      </w:pPr>
      <w:r>
        <w:rPr>
          <w:rFonts w:hint="eastAsia" w:ascii="仿宋" w:hAnsi="仿宋" w:eastAsia="仿宋" w:cs="仿宋"/>
          <w:spacing w:val="4"/>
          <w:sz w:val="31"/>
          <w:szCs w:val="31"/>
        </w:rPr>
        <w:t>进一步健全和完善财务管理制度及内部控制制度，不断更新管理思路，在规范收支和控制经费增长上，创新管理手段，用新思路、新方法，改进和完善财务管理办法。按照财政支出绩效管理的要求，建立科学的财政资金效益考评制度体系，不断提高财政资金使用管理的水平和效率。</w:t>
      </w:r>
    </w:p>
    <w:p w14:paraId="5A7F5EA0">
      <w:pPr>
        <w:pStyle w:val="11"/>
        <w:autoSpaceDE/>
        <w:autoSpaceDN/>
        <w:adjustRightInd/>
        <w:spacing w:before="0" w:beforeLines="0" w:beforeAutospacing="0" w:after="0" w:afterLines="0" w:afterAutospacing="0" w:line="576" w:lineRule="exact"/>
        <w:ind w:firstLine="636" w:firstLineChars="200"/>
        <w:rPr>
          <w:rFonts w:hint="eastAsia" w:ascii="仿宋" w:hAnsi="仿宋" w:eastAsia="仿宋" w:cs="仿宋"/>
          <w:spacing w:val="4"/>
          <w:sz w:val="31"/>
          <w:szCs w:val="31"/>
        </w:rPr>
      </w:pPr>
    </w:p>
    <w:p w14:paraId="5F7D77A4">
      <w:pPr>
        <w:widowControl/>
        <w:kinsoku w:val="0"/>
        <w:snapToGrid w:val="0"/>
        <w:spacing w:beforeLines="0" w:afterLines="0" w:line="576" w:lineRule="exact"/>
        <w:ind w:left="2010" w:leftChars="304" w:hanging="1280" w:hangingChars="400"/>
        <w:textAlignment w:val="baseline"/>
        <w:rPr>
          <w:rFonts w:hint="eastAsia" w:ascii="仿宋_GB2312" w:hAnsi="仿宋_GB2312" w:eastAsia="仿宋_GB2312" w:cs="仿宋_GB2312"/>
          <w:color w:val="000000"/>
          <w:sz w:val="30"/>
          <w:szCs w:val="30"/>
        </w:rPr>
      </w:pPr>
      <w:r>
        <w:rPr>
          <w:rFonts w:hint="eastAsia" w:ascii="Times New Roman" w:eastAsia="仿宋"/>
          <w:sz w:val="32"/>
          <w:szCs w:val="24"/>
        </w:rPr>
        <w:t>附</w:t>
      </w:r>
      <w:r>
        <w:rPr>
          <w:rFonts w:hint="eastAsia" w:ascii="Times New Roman" w:eastAsia="仿宋"/>
          <w:color w:val="000000"/>
          <w:sz w:val="32"/>
          <w:szCs w:val="24"/>
        </w:rPr>
        <w:t>件：</w:t>
      </w:r>
      <w:r>
        <w:rPr>
          <w:rFonts w:hint="eastAsia" w:ascii="仿宋" w:hAnsi="仿宋" w:eastAsia="仿宋" w:cs="仿宋"/>
          <w:spacing w:val="4"/>
          <w:sz w:val="31"/>
          <w:szCs w:val="31"/>
        </w:rPr>
        <w:t>广元市昭化区公务服务中心2023年公务接待费</w:t>
      </w:r>
      <w:r>
        <w:rPr>
          <w:rFonts w:hint="eastAsia" w:ascii="仿宋_GB2312" w:hAnsi="仿宋_GB2312" w:eastAsia="仿宋_GB2312" w:cs="仿宋_GB2312"/>
          <w:color w:val="000000"/>
          <w:sz w:val="30"/>
          <w:szCs w:val="30"/>
        </w:rPr>
        <w:t>项目支出绩效自评表</w:t>
      </w:r>
    </w:p>
    <w:p w14:paraId="62463C60">
      <w:pPr>
        <w:overflowPunct w:val="0"/>
        <w:topLinePunct/>
        <w:spacing w:beforeLines="0" w:afterLines="0" w:line="576" w:lineRule="exact"/>
        <w:jc w:val="both"/>
        <w:rPr>
          <w:rFonts w:hint="eastAsia" w:ascii="黑体" w:hAnsi="黑体" w:eastAsia="黑体"/>
          <w:kern w:val="2"/>
          <w:sz w:val="32"/>
          <w:szCs w:val="24"/>
        </w:rPr>
      </w:pPr>
      <w:r>
        <w:rPr>
          <w:rFonts w:hint="eastAsia" w:ascii="黑体" w:hAnsi="宋体" w:eastAsia="黑体" w:cs="黑体"/>
          <w:color w:val="000000"/>
          <w:sz w:val="32"/>
          <w:szCs w:val="32"/>
        </w:rPr>
        <w:t>附件</w:t>
      </w:r>
    </w:p>
    <w:p w14:paraId="654DAD20">
      <w:pPr>
        <w:pStyle w:val="4"/>
        <w:autoSpaceDE/>
        <w:autoSpaceDN/>
        <w:adjustRightInd/>
        <w:spacing w:beforeLines="0" w:afterLines="0" w:line="576" w:lineRule="exact"/>
        <w:jc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广元市昭化区公务服务中心2023年公务接待费项目支出绩效自评表</w:t>
      </w:r>
    </w:p>
    <w:tbl>
      <w:tblPr>
        <w:tblStyle w:val="12"/>
        <w:tblW w:w="9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2"/>
        <w:gridCol w:w="169"/>
        <w:gridCol w:w="15"/>
        <w:gridCol w:w="59"/>
        <w:gridCol w:w="453"/>
        <w:gridCol w:w="67"/>
        <w:gridCol w:w="231"/>
        <w:gridCol w:w="80"/>
        <w:gridCol w:w="489"/>
        <w:gridCol w:w="294"/>
        <w:gridCol w:w="344"/>
        <w:gridCol w:w="137"/>
        <w:gridCol w:w="33"/>
        <w:gridCol w:w="52"/>
        <w:gridCol w:w="7"/>
        <w:gridCol w:w="1121"/>
        <w:gridCol w:w="8"/>
        <w:gridCol w:w="302"/>
        <w:gridCol w:w="42"/>
        <w:gridCol w:w="42"/>
        <w:gridCol w:w="770"/>
        <w:gridCol w:w="8"/>
        <w:gridCol w:w="91"/>
        <w:gridCol w:w="11"/>
        <w:gridCol w:w="41"/>
        <w:gridCol w:w="693"/>
        <w:gridCol w:w="116"/>
        <w:gridCol w:w="110"/>
        <w:gridCol w:w="3"/>
        <w:gridCol w:w="180"/>
        <w:gridCol w:w="2128"/>
        <w:gridCol w:w="139"/>
        <w:gridCol w:w="18"/>
      </w:tblGrid>
      <w:tr w14:paraId="2FD2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64" w:hRule="atLeast"/>
        </w:trPr>
        <w:tc>
          <w:tcPr>
            <w:tcW w:w="9020" w:type="dxa"/>
            <w:gridSpan w:val="32"/>
            <w:tcBorders>
              <w:top w:val="nil"/>
              <w:left w:val="nil"/>
              <w:bottom w:val="nil"/>
              <w:right w:val="nil"/>
              <w:tl2br w:val="nil"/>
              <w:tr2bl w:val="nil"/>
            </w:tcBorders>
            <w:noWrap w:val="0"/>
            <w:vAlign w:val="top"/>
          </w:tcPr>
          <w:p w14:paraId="3F92A502">
            <w:pPr>
              <w:widowControl/>
              <w:spacing w:beforeLines="0" w:afterLines="0"/>
              <w:jc w:val="center"/>
              <w:textAlignment w:val="top"/>
              <w:rPr>
                <w:rFonts w:hint="eastAsia" w:hAnsi="宋体" w:cs="宋体"/>
                <w:color w:val="000000"/>
                <w:sz w:val="22"/>
                <w:szCs w:val="22"/>
              </w:rPr>
            </w:pPr>
            <w:r>
              <w:rPr>
                <w:rFonts w:hint="eastAsia" w:hAnsi="宋体" w:cs="宋体"/>
                <w:color w:val="000000"/>
                <w:sz w:val="22"/>
                <w:szCs w:val="22"/>
                <w:lang w:bidi="ar"/>
              </w:rPr>
              <w:t>（2023年度）</w:t>
            </w:r>
          </w:p>
        </w:tc>
      </w:tr>
      <w:tr w14:paraId="0299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15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E8A9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项目（政策）名称</w:t>
            </w:r>
          </w:p>
        </w:tc>
        <w:tc>
          <w:tcPr>
            <w:tcW w:w="7482"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8725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公务接待费</w:t>
            </w:r>
          </w:p>
        </w:tc>
      </w:tr>
      <w:tr w14:paraId="21BF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15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E4C7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主管部门</w:t>
            </w:r>
          </w:p>
        </w:tc>
        <w:tc>
          <w:tcPr>
            <w:tcW w:w="413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A303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广元市昭化区公务服务中心</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BCDE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实施单位</w:t>
            </w:r>
          </w:p>
        </w:tc>
        <w:tc>
          <w:tcPr>
            <w:tcW w:w="2189" w:type="dxa"/>
            <w:tcBorders>
              <w:top w:val="single" w:color="000000" w:sz="4" w:space="0"/>
              <w:left w:val="single" w:color="000000" w:sz="4" w:space="0"/>
              <w:bottom w:val="nil"/>
              <w:right w:val="single" w:color="000000" w:sz="4" w:space="0"/>
              <w:tl2br w:val="nil"/>
              <w:tr2bl w:val="nil"/>
            </w:tcBorders>
            <w:noWrap w:val="0"/>
            <w:vAlign w:val="center"/>
          </w:tcPr>
          <w:p w14:paraId="27FFA2F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广元市昭化区公务服务中心</w:t>
            </w:r>
          </w:p>
        </w:tc>
      </w:tr>
      <w:tr w14:paraId="797A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40" w:hRule="atLeast"/>
        </w:trPr>
        <w:tc>
          <w:tcPr>
            <w:tcW w:w="1538" w:type="dxa"/>
            <w:gridSpan w:val="7"/>
            <w:vMerge w:val="restart"/>
            <w:tcBorders>
              <w:top w:val="single" w:color="000000" w:sz="4" w:space="0"/>
              <w:left w:val="single" w:color="000000" w:sz="4" w:space="0"/>
              <w:bottom w:val="nil"/>
              <w:right w:val="single" w:color="000000" w:sz="4" w:space="0"/>
              <w:tl2br w:val="nil"/>
              <w:tr2bl w:val="nil"/>
            </w:tcBorders>
            <w:noWrap w:val="0"/>
            <w:vAlign w:val="center"/>
          </w:tcPr>
          <w:p w14:paraId="46ABDD2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项目（政策）资金（万元）</w:t>
            </w:r>
          </w:p>
        </w:tc>
        <w:tc>
          <w:tcPr>
            <w:tcW w:w="1604" w:type="dxa"/>
            <w:gridSpan w:val="6"/>
            <w:tcBorders>
              <w:top w:val="nil"/>
              <w:left w:val="single" w:color="000000" w:sz="4" w:space="0"/>
              <w:bottom w:val="single" w:color="000000" w:sz="4" w:space="0"/>
              <w:right w:val="single" w:color="000000" w:sz="4" w:space="0"/>
              <w:tl2br w:val="nil"/>
              <w:tr2bl w:val="nil"/>
            </w:tcBorders>
            <w:noWrap w:val="0"/>
            <w:vAlign w:val="center"/>
          </w:tcPr>
          <w:p w14:paraId="592F95A6">
            <w:pPr>
              <w:spacing w:beforeLines="0" w:afterLines="0"/>
              <w:jc w:val="center"/>
              <w:rPr>
                <w:rFonts w:hint="eastAsia" w:hAnsi="宋体" w:cs="宋体"/>
                <w:color w:val="000000"/>
                <w:sz w:val="15"/>
                <w:szCs w:val="15"/>
              </w:rPr>
            </w:pPr>
          </w:p>
        </w:tc>
        <w:tc>
          <w:tcPr>
            <w:tcW w:w="1245" w:type="dxa"/>
            <w:gridSpan w:val="4"/>
            <w:tcBorders>
              <w:top w:val="nil"/>
              <w:left w:val="single" w:color="000000" w:sz="4" w:space="0"/>
              <w:bottom w:val="single" w:color="000000" w:sz="4" w:space="0"/>
              <w:right w:val="single" w:color="000000" w:sz="4" w:space="0"/>
              <w:tl2br w:val="nil"/>
              <w:tr2bl w:val="nil"/>
            </w:tcBorders>
            <w:noWrap w:val="0"/>
            <w:vAlign w:val="center"/>
          </w:tcPr>
          <w:p w14:paraId="3EC42BB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年初预算数</w:t>
            </w:r>
          </w:p>
        </w:tc>
        <w:tc>
          <w:tcPr>
            <w:tcW w:w="1287" w:type="dxa"/>
            <w:gridSpan w:val="8"/>
            <w:tcBorders>
              <w:top w:val="nil"/>
              <w:left w:val="single" w:color="000000" w:sz="4" w:space="0"/>
              <w:bottom w:val="single" w:color="000000" w:sz="4" w:space="0"/>
              <w:right w:val="single" w:color="000000" w:sz="4" w:space="0"/>
              <w:tl2br w:val="nil"/>
              <w:tr2bl w:val="nil"/>
            </w:tcBorders>
            <w:noWrap w:val="0"/>
            <w:vAlign w:val="center"/>
          </w:tcPr>
          <w:p w14:paraId="4ABDB23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全年预算数</w:t>
            </w:r>
          </w:p>
        </w:tc>
        <w:tc>
          <w:tcPr>
            <w:tcW w:w="1157" w:type="dxa"/>
            <w:gridSpan w:val="6"/>
            <w:tcBorders>
              <w:top w:val="nil"/>
              <w:left w:val="single" w:color="000000" w:sz="4" w:space="0"/>
              <w:bottom w:val="single" w:color="000000" w:sz="4" w:space="0"/>
              <w:right w:val="single" w:color="000000" w:sz="4" w:space="0"/>
              <w:tl2br w:val="nil"/>
              <w:tr2bl w:val="nil"/>
            </w:tcBorders>
            <w:noWrap w:val="0"/>
            <w:vAlign w:val="center"/>
          </w:tcPr>
          <w:p w14:paraId="6379A0C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全年执行数</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532E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执行率（%）</w:t>
            </w:r>
          </w:p>
        </w:tc>
      </w:tr>
      <w:tr w14:paraId="01CE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40"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4B8B0BEE">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35897">
            <w:pPr>
              <w:widowControl/>
              <w:spacing w:beforeLines="0" w:afterLines="0"/>
              <w:jc w:val="both"/>
              <w:textAlignment w:val="center"/>
              <w:rPr>
                <w:rFonts w:hint="eastAsia" w:hAnsi="宋体" w:cs="宋体"/>
                <w:color w:val="000000"/>
                <w:sz w:val="15"/>
                <w:szCs w:val="15"/>
              </w:rPr>
            </w:pPr>
            <w:r>
              <w:rPr>
                <w:rFonts w:hint="eastAsia" w:hAnsi="宋体" w:cs="宋体"/>
                <w:color w:val="000000"/>
                <w:sz w:val="15"/>
                <w:szCs w:val="15"/>
                <w:lang w:bidi="ar"/>
              </w:rPr>
              <w:t>年度资金总额</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12CC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F889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C2B3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2189" w:type="dxa"/>
            <w:tcBorders>
              <w:top w:val="nil"/>
              <w:left w:val="single" w:color="000000" w:sz="4" w:space="0"/>
              <w:bottom w:val="single" w:color="000000" w:sz="4" w:space="0"/>
              <w:right w:val="single" w:color="000000" w:sz="4" w:space="0"/>
              <w:tl2br w:val="nil"/>
              <w:tr2bl w:val="nil"/>
            </w:tcBorders>
            <w:noWrap w:val="0"/>
            <w:vAlign w:val="center"/>
          </w:tcPr>
          <w:p w14:paraId="05C12FB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r>
      <w:tr w14:paraId="46CF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325C2DF1">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43C3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（一）财政拨款小计</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365A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1D61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C1B0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2189" w:type="dxa"/>
            <w:tcBorders>
              <w:top w:val="nil"/>
              <w:left w:val="single" w:color="000000" w:sz="4" w:space="0"/>
              <w:bottom w:val="single" w:color="000000" w:sz="4" w:space="0"/>
              <w:right w:val="single" w:color="000000" w:sz="4" w:space="0"/>
              <w:tl2br w:val="nil"/>
              <w:tr2bl w:val="nil"/>
            </w:tcBorders>
            <w:noWrap w:val="0"/>
            <w:vAlign w:val="center"/>
          </w:tcPr>
          <w:p w14:paraId="0FC1199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r>
      <w:tr w14:paraId="236A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1D8BAAA6">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7E0E1">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1.一般公共预算</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8614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C799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B0C8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90</w:t>
            </w:r>
          </w:p>
        </w:tc>
        <w:tc>
          <w:tcPr>
            <w:tcW w:w="2189" w:type="dxa"/>
            <w:tcBorders>
              <w:top w:val="nil"/>
              <w:left w:val="single" w:color="000000" w:sz="4" w:space="0"/>
              <w:bottom w:val="single" w:color="000000" w:sz="4" w:space="0"/>
              <w:right w:val="single" w:color="000000" w:sz="4" w:space="0"/>
              <w:tl2br w:val="nil"/>
              <w:tr2bl w:val="nil"/>
            </w:tcBorders>
            <w:noWrap w:val="0"/>
            <w:vAlign w:val="center"/>
          </w:tcPr>
          <w:p w14:paraId="272F46C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r>
      <w:tr w14:paraId="47F7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40"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3ABA3C5">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A55A7">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2.政府性基金</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82660">
            <w:pPr>
              <w:spacing w:beforeLines="0" w:afterLines="0"/>
              <w:rPr>
                <w:rFonts w:hint="eastAsia" w:hAnsi="宋体" w:cs="宋体"/>
                <w:color w:val="000000"/>
                <w:sz w:val="15"/>
                <w:szCs w:val="15"/>
              </w:rPr>
            </w:pP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00F32">
            <w:pPr>
              <w:spacing w:beforeLines="0" w:afterLines="0"/>
              <w:jc w:val="center"/>
              <w:rPr>
                <w:rFonts w:hint="eastAsia" w:hAnsi="宋体" w:cs="宋体"/>
                <w:color w:val="000000"/>
                <w:sz w:val="15"/>
                <w:szCs w:val="15"/>
              </w:rPr>
            </w:pP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A38B2">
            <w:pPr>
              <w:spacing w:beforeLines="0" w:afterLines="0"/>
              <w:jc w:val="center"/>
              <w:rPr>
                <w:rFonts w:hint="eastAsia" w:hAnsi="宋体" w:cs="宋体"/>
                <w:color w:val="000000"/>
                <w:sz w:val="15"/>
                <w:szCs w:val="15"/>
              </w:rPr>
            </w:pP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E3FEF">
            <w:pPr>
              <w:spacing w:beforeLines="0" w:afterLines="0"/>
              <w:jc w:val="center"/>
              <w:rPr>
                <w:rFonts w:hint="eastAsia" w:hAnsi="宋体" w:cs="宋体"/>
                <w:color w:val="000000"/>
                <w:sz w:val="15"/>
                <w:szCs w:val="15"/>
              </w:rPr>
            </w:pPr>
          </w:p>
        </w:tc>
      </w:tr>
      <w:tr w14:paraId="2E7A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65D9845A">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DE794">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3.国有资本经营预算</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1CEAD">
            <w:pPr>
              <w:spacing w:beforeLines="0" w:afterLines="0"/>
              <w:rPr>
                <w:rFonts w:hint="eastAsia" w:hAnsi="宋体" w:cs="宋体"/>
                <w:color w:val="000000"/>
                <w:sz w:val="15"/>
                <w:szCs w:val="15"/>
              </w:rPr>
            </w:pP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34967">
            <w:pPr>
              <w:spacing w:beforeLines="0" w:afterLines="0"/>
              <w:jc w:val="center"/>
              <w:rPr>
                <w:rFonts w:hint="eastAsia" w:hAnsi="宋体" w:cs="宋体"/>
                <w:color w:val="000000"/>
                <w:sz w:val="15"/>
                <w:szCs w:val="15"/>
              </w:rPr>
            </w:pP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F13A5">
            <w:pPr>
              <w:spacing w:beforeLines="0" w:afterLines="0"/>
              <w:jc w:val="center"/>
              <w:rPr>
                <w:rFonts w:hint="eastAsia" w:hAnsi="宋体" w:cs="宋体"/>
                <w:color w:val="000000"/>
                <w:sz w:val="15"/>
                <w:szCs w:val="15"/>
              </w:rPr>
            </w:pP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D6913">
            <w:pPr>
              <w:spacing w:beforeLines="0" w:afterLines="0"/>
              <w:jc w:val="center"/>
              <w:rPr>
                <w:rFonts w:hint="eastAsia" w:hAnsi="宋体" w:cs="宋体"/>
                <w:color w:val="000000"/>
                <w:sz w:val="15"/>
                <w:szCs w:val="15"/>
              </w:rPr>
            </w:pPr>
          </w:p>
        </w:tc>
      </w:tr>
      <w:tr w14:paraId="0DBC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40"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67CFA330">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5FF11">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4.社保基金</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3D908">
            <w:pPr>
              <w:spacing w:beforeLines="0" w:afterLines="0"/>
              <w:rPr>
                <w:rFonts w:hint="eastAsia" w:hAnsi="宋体" w:cs="宋体"/>
                <w:color w:val="000000"/>
                <w:sz w:val="15"/>
                <w:szCs w:val="15"/>
              </w:rPr>
            </w:pP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43F4F">
            <w:pPr>
              <w:spacing w:beforeLines="0" w:afterLines="0"/>
              <w:jc w:val="center"/>
              <w:rPr>
                <w:rFonts w:hint="eastAsia" w:hAnsi="宋体" w:cs="宋体"/>
                <w:color w:val="000000"/>
                <w:sz w:val="15"/>
                <w:szCs w:val="15"/>
              </w:rPr>
            </w:pP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962FE">
            <w:pPr>
              <w:spacing w:beforeLines="0" w:afterLines="0"/>
              <w:jc w:val="center"/>
              <w:rPr>
                <w:rFonts w:hint="eastAsia" w:hAnsi="宋体" w:cs="宋体"/>
                <w:color w:val="000000"/>
                <w:sz w:val="15"/>
                <w:szCs w:val="15"/>
              </w:rPr>
            </w:pP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F586C">
            <w:pPr>
              <w:spacing w:beforeLines="0" w:afterLines="0"/>
              <w:jc w:val="center"/>
              <w:rPr>
                <w:rFonts w:hint="eastAsia" w:hAnsi="宋体" w:cs="宋体"/>
                <w:color w:val="000000"/>
                <w:sz w:val="15"/>
                <w:szCs w:val="15"/>
              </w:rPr>
            </w:pPr>
          </w:p>
        </w:tc>
      </w:tr>
      <w:tr w14:paraId="745E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40" w:hRule="atLeast"/>
        </w:trPr>
        <w:tc>
          <w:tcPr>
            <w:tcW w:w="1538"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32B9EF77">
            <w:pPr>
              <w:spacing w:beforeLines="0" w:afterLines="0"/>
              <w:jc w:val="center"/>
              <w:rPr>
                <w:rFonts w:hint="eastAsia" w:hAnsi="宋体" w:cs="宋体"/>
                <w:color w:val="000000"/>
                <w:sz w:val="15"/>
                <w:szCs w:val="15"/>
              </w:rPr>
            </w:pPr>
          </w:p>
        </w:tc>
        <w:tc>
          <w:tcPr>
            <w:tcW w:w="16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BF1B0">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（二）其他资金</w:t>
            </w:r>
          </w:p>
        </w:tc>
        <w:tc>
          <w:tcPr>
            <w:tcW w:w="12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E6BFF">
            <w:pPr>
              <w:spacing w:beforeLines="0" w:afterLines="0"/>
              <w:rPr>
                <w:rFonts w:hint="eastAsia" w:hAnsi="宋体" w:cs="宋体"/>
                <w:color w:val="000000"/>
                <w:sz w:val="15"/>
                <w:szCs w:val="15"/>
              </w:rPr>
            </w:pP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EC765">
            <w:pPr>
              <w:spacing w:beforeLines="0" w:afterLines="0"/>
              <w:jc w:val="center"/>
              <w:rPr>
                <w:rFonts w:hint="eastAsia" w:hAnsi="宋体" w:cs="宋体"/>
                <w:color w:val="000000"/>
                <w:sz w:val="15"/>
                <w:szCs w:val="15"/>
              </w:rPr>
            </w:pP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2DF2B">
            <w:pPr>
              <w:spacing w:beforeLines="0" w:afterLines="0"/>
              <w:jc w:val="center"/>
              <w:rPr>
                <w:rFonts w:hint="eastAsia" w:hAnsi="宋体" w:cs="宋体"/>
                <w:color w:val="000000"/>
                <w:sz w:val="15"/>
                <w:szCs w:val="15"/>
              </w:rPr>
            </w:pP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7F7E2">
            <w:pPr>
              <w:spacing w:beforeLines="0" w:afterLines="0"/>
              <w:jc w:val="center"/>
              <w:rPr>
                <w:rFonts w:hint="eastAsia" w:hAnsi="宋体" w:cs="宋体"/>
                <w:color w:val="000000"/>
                <w:sz w:val="15"/>
                <w:szCs w:val="15"/>
              </w:rPr>
            </w:pPr>
          </w:p>
        </w:tc>
      </w:tr>
      <w:tr w14:paraId="4E4E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140" w:hRule="atLeast"/>
        </w:trPr>
        <w:tc>
          <w:tcPr>
            <w:tcW w:w="93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3D2D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年度总体目标</w:t>
            </w:r>
          </w:p>
        </w:tc>
        <w:tc>
          <w:tcPr>
            <w:tcW w:w="5895"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9200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预期目标</w:t>
            </w:r>
          </w:p>
        </w:tc>
        <w:tc>
          <w:tcPr>
            <w:tcW w:w="2189" w:type="dxa"/>
            <w:tcBorders>
              <w:top w:val="nil"/>
              <w:left w:val="single" w:color="000000" w:sz="4" w:space="0"/>
              <w:bottom w:val="single" w:color="000000" w:sz="4" w:space="0"/>
              <w:right w:val="single" w:color="000000" w:sz="4" w:space="0"/>
              <w:tl2br w:val="nil"/>
              <w:tr2bl w:val="nil"/>
            </w:tcBorders>
            <w:noWrap w:val="0"/>
            <w:vAlign w:val="center"/>
          </w:tcPr>
          <w:p w14:paraId="6CED034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实际完成情况</w:t>
            </w:r>
          </w:p>
        </w:tc>
      </w:tr>
      <w:tr w14:paraId="2A03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3621" w:hRule="atLeast"/>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65D74">
            <w:pPr>
              <w:spacing w:beforeLines="0" w:afterLines="0"/>
              <w:jc w:val="center"/>
              <w:rPr>
                <w:rFonts w:hint="eastAsia" w:hAnsi="宋体" w:cs="宋体"/>
                <w:color w:val="000000"/>
                <w:sz w:val="15"/>
                <w:szCs w:val="15"/>
              </w:rPr>
            </w:pPr>
          </w:p>
        </w:tc>
        <w:tc>
          <w:tcPr>
            <w:tcW w:w="5895"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49E3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（1）承担副厅级及以上领导（含曾经担任）来昭的服务保障工作。 （2）按照有关规定负责和参与市级及以上党委、政府派出的巡、视、检查、督查（督导、督察）、考察、调研、考核、审计等综合性工作组来昭的服务保障工作。 （3）会同有关部门做好中央、国家机关各部委（含各民主党派、工商联等）和省、市级正县级实职领导来昭的服务保障工作。 （4）负责外县（区）党政代表团和人大、政协主要领导率队的考察团来昭的协调联络和服务保障工作。 （5）负责区委、区政府交办的由区公务服务中心承担的公务服务和招商引资事项的服务保障工作。 （6）会同区级有关部门承担区委、区政府交办的大型会议、活动的接待服务保障工作。</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A5A9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（1）完成了副厅级及以上领导（含曾经担任）来昭的服务保障工作。 （2）按照有关规定完成了市级及以上党委、政府派出的巡、视、检查、督查（督导、督察）、考察、调研、考核、审计等综合性工作组来昭的服务保障工作。 （3）会同有关部门完成了中央、国家机关各部委（含各民主党派、工商联等）和省、市级正县级实职领导来昭的服务保障工作。 （4）完成了外县（区）党政代表团和人大、政协主要领导率队的考察团来昭的协调联络和服务保障工作。 （5）完成了区委、区政府交办的公务服务和招商引资事项的服务保障工作。 （6）会同区级有关部门完成了区委、区政府交办的大型会议、活动的接待服务保障工作。</w:t>
            </w:r>
          </w:p>
        </w:tc>
      </w:tr>
      <w:tr w14:paraId="69CD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0" w:type="auto"/>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0A9EA1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绩效指标</w:t>
            </w:r>
          </w:p>
        </w:tc>
        <w:tc>
          <w:tcPr>
            <w:tcW w:w="6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5808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一级指标</w:t>
            </w:r>
          </w:p>
        </w:tc>
        <w:tc>
          <w:tcPr>
            <w:tcW w:w="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0559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二级指标</w:t>
            </w:r>
          </w:p>
        </w:tc>
        <w:tc>
          <w:tcPr>
            <w:tcW w:w="2034" w:type="dxa"/>
            <w:gridSpan w:val="7"/>
            <w:tcBorders>
              <w:top w:val="single" w:color="000000" w:sz="4" w:space="0"/>
              <w:left w:val="single" w:color="000000" w:sz="4" w:space="0"/>
              <w:bottom w:val="nil"/>
              <w:right w:val="single" w:color="000000" w:sz="4" w:space="0"/>
              <w:tl2br w:val="nil"/>
              <w:tr2bl w:val="nil"/>
            </w:tcBorders>
            <w:noWrap w:val="0"/>
            <w:vAlign w:val="center"/>
          </w:tcPr>
          <w:p w14:paraId="6D54771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三级指标</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C750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年度指标值</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D658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实际完成值</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1E5C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偏差原因分析及改进措施</w:t>
            </w:r>
          </w:p>
        </w:tc>
      </w:tr>
      <w:tr w14:paraId="439A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FDA63B">
            <w:pPr>
              <w:spacing w:beforeLines="0" w:afterLines="0"/>
              <w:jc w:val="center"/>
              <w:rPr>
                <w:rFonts w:hint="eastAsia" w:hAnsi="宋体" w:cs="宋体"/>
                <w:color w:val="000000"/>
                <w:sz w:val="15"/>
                <w:szCs w:val="15"/>
              </w:rPr>
            </w:pPr>
          </w:p>
        </w:tc>
        <w:tc>
          <w:tcPr>
            <w:tcW w:w="6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E0486">
            <w:pPr>
              <w:widowControl/>
              <w:spacing w:beforeLines="0" w:afterLines="0"/>
              <w:textAlignment w:val="center"/>
              <w:rPr>
                <w:rFonts w:hint="eastAsia" w:hAnsi="宋体" w:cs="宋体"/>
                <w:color w:val="000000"/>
                <w:sz w:val="15"/>
                <w:szCs w:val="15"/>
              </w:rPr>
            </w:pPr>
            <w:r>
              <w:rPr>
                <w:rStyle w:val="23"/>
                <w:rFonts w:hint="eastAsia"/>
                <w:sz w:val="15"/>
                <w:szCs w:val="15"/>
                <w:lang w:bidi="ar"/>
              </w:rPr>
              <w:t>产出指标</w:t>
            </w:r>
          </w:p>
        </w:tc>
        <w:tc>
          <w:tcPr>
            <w:tcW w:w="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36238">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数量指标</w:t>
            </w:r>
          </w:p>
        </w:tc>
        <w:tc>
          <w:tcPr>
            <w:tcW w:w="203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B524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接待次数</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91DC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1DDA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292批次</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45F1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76FF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408"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C30B01C">
            <w:pPr>
              <w:spacing w:beforeLines="0" w:afterLines="0"/>
              <w:jc w:val="center"/>
              <w:rPr>
                <w:rFonts w:hint="eastAsia" w:hAnsi="宋体" w:cs="宋体"/>
                <w:color w:val="000000"/>
                <w:sz w:val="15"/>
                <w:szCs w:val="15"/>
              </w:rPr>
            </w:pPr>
          </w:p>
        </w:tc>
        <w:tc>
          <w:tcPr>
            <w:tcW w:w="6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B0EA3">
            <w:pPr>
              <w:widowControl/>
              <w:spacing w:beforeLines="0" w:afterLines="0"/>
              <w:textAlignment w:val="center"/>
              <w:rPr>
                <w:rFonts w:hint="eastAsia" w:hAnsi="宋体" w:cs="宋体"/>
                <w:color w:val="000000"/>
                <w:sz w:val="15"/>
                <w:szCs w:val="15"/>
              </w:rPr>
            </w:pPr>
            <w:r>
              <w:rPr>
                <w:rStyle w:val="23"/>
                <w:rFonts w:hint="eastAsia"/>
                <w:sz w:val="15"/>
                <w:szCs w:val="15"/>
                <w:lang w:bidi="ar"/>
              </w:rPr>
              <w:t>产出指标</w:t>
            </w:r>
          </w:p>
        </w:tc>
        <w:tc>
          <w:tcPr>
            <w:tcW w:w="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06AB9">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时效指标</w:t>
            </w:r>
          </w:p>
        </w:tc>
        <w:tc>
          <w:tcPr>
            <w:tcW w:w="203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9A60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资金支付及时率（计划完成时间-实际完成时间）/计划完成时间*100%</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9797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≥0%</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159E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98BF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12C0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274"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834A77">
            <w:pPr>
              <w:spacing w:beforeLines="0" w:afterLines="0"/>
              <w:jc w:val="center"/>
              <w:rPr>
                <w:rFonts w:hint="eastAsia" w:hAnsi="宋体" w:cs="宋体"/>
                <w:color w:val="000000"/>
                <w:sz w:val="15"/>
                <w:szCs w:val="15"/>
              </w:rPr>
            </w:pPr>
          </w:p>
        </w:tc>
        <w:tc>
          <w:tcPr>
            <w:tcW w:w="6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ADC78">
            <w:pPr>
              <w:widowControl/>
              <w:spacing w:beforeLines="0" w:afterLines="0"/>
              <w:textAlignment w:val="center"/>
              <w:rPr>
                <w:rFonts w:hint="eastAsia" w:hAnsi="宋体" w:cs="宋体"/>
                <w:color w:val="000000"/>
                <w:sz w:val="15"/>
                <w:szCs w:val="15"/>
              </w:rPr>
            </w:pPr>
            <w:r>
              <w:rPr>
                <w:rStyle w:val="23"/>
                <w:rFonts w:hint="eastAsia"/>
                <w:sz w:val="15"/>
                <w:szCs w:val="15"/>
                <w:lang w:bidi="ar"/>
              </w:rPr>
              <w:t>产出指标</w:t>
            </w:r>
          </w:p>
        </w:tc>
        <w:tc>
          <w:tcPr>
            <w:tcW w:w="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61FB6">
            <w:pPr>
              <w:widowControl/>
              <w:spacing w:beforeLines="0" w:afterLines="0"/>
              <w:textAlignment w:val="center"/>
              <w:rPr>
                <w:rFonts w:hint="eastAsia" w:hAnsi="宋体" w:cs="宋体"/>
                <w:color w:val="000000"/>
                <w:sz w:val="15"/>
                <w:szCs w:val="15"/>
              </w:rPr>
            </w:pPr>
            <w:r>
              <w:rPr>
                <w:rStyle w:val="23"/>
                <w:rFonts w:hint="eastAsia"/>
                <w:sz w:val="15"/>
                <w:szCs w:val="15"/>
                <w:lang w:bidi="ar"/>
              </w:rPr>
              <w:t>质量指标</w:t>
            </w:r>
          </w:p>
        </w:tc>
        <w:tc>
          <w:tcPr>
            <w:tcW w:w="203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A4190">
            <w:pPr>
              <w:widowControl/>
              <w:spacing w:beforeLines="0" w:afterLines="0"/>
              <w:jc w:val="center"/>
              <w:textAlignment w:val="center"/>
              <w:rPr>
                <w:rFonts w:hint="eastAsia" w:hAnsi="宋体" w:cs="宋体"/>
                <w:color w:val="000000"/>
                <w:sz w:val="15"/>
                <w:szCs w:val="15"/>
              </w:rPr>
            </w:pPr>
            <w:r>
              <w:rPr>
                <w:rStyle w:val="23"/>
                <w:rFonts w:hint="eastAsia"/>
                <w:sz w:val="15"/>
                <w:szCs w:val="15"/>
                <w:lang w:bidi="ar"/>
              </w:rPr>
              <w:t>接待完成质量</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6019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定性优良中低差</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4B73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优</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34B0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1B5F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408"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530581">
            <w:pPr>
              <w:spacing w:beforeLines="0" w:afterLines="0"/>
              <w:jc w:val="center"/>
              <w:rPr>
                <w:rFonts w:hint="eastAsia" w:hAnsi="宋体" w:cs="宋体"/>
                <w:color w:val="000000"/>
                <w:sz w:val="15"/>
                <w:szCs w:val="15"/>
              </w:rPr>
            </w:pPr>
          </w:p>
        </w:tc>
        <w:tc>
          <w:tcPr>
            <w:tcW w:w="6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DF746">
            <w:pPr>
              <w:widowControl/>
              <w:spacing w:beforeLines="0" w:afterLines="0"/>
              <w:textAlignment w:val="center"/>
              <w:rPr>
                <w:rFonts w:hint="eastAsia" w:hAnsi="宋体" w:cs="宋体"/>
                <w:color w:val="000000"/>
                <w:sz w:val="15"/>
                <w:szCs w:val="15"/>
              </w:rPr>
            </w:pPr>
            <w:r>
              <w:rPr>
                <w:rStyle w:val="23"/>
                <w:rFonts w:hint="eastAsia"/>
                <w:sz w:val="15"/>
                <w:szCs w:val="15"/>
                <w:lang w:bidi="ar"/>
              </w:rPr>
              <w:t>效益指标</w:t>
            </w:r>
          </w:p>
        </w:tc>
        <w:tc>
          <w:tcPr>
            <w:tcW w:w="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7A034">
            <w:pPr>
              <w:widowControl/>
              <w:spacing w:beforeLines="0" w:afterLines="0"/>
              <w:textAlignment w:val="center"/>
              <w:rPr>
                <w:rFonts w:hint="eastAsia" w:hAnsi="宋体" w:cs="宋体"/>
                <w:color w:val="000000"/>
                <w:sz w:val="15"/>
                <w:szCs w:val="15"/>
              </w:rPr>
            </w:pPr>
            <w:r>
              <w:rPr>
                <w:rStyle w:val="23"/>
                <w:rFonts w:hint="eastAsia"/>
                <w:sz w:val="15"/>
                <w:szCs w:val="15"/>
                <w:lang w:bidi="ar"/>
              </w:rPr>
              <w:t>社会效益指标</w:t>
            </w:r>
          </w:p>
        </w:tc>
        <w:tc>
          <w:tcPr>
            <w:tcW w:w="203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0BD2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全年接待任务完成率（全年实际完成任务数/本年全部任务数*100%）</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B95C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4670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192%</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C9EE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232D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0" w:type="dxa"/>
          <w:trHeight w:val="413"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1DE23DB">
            <w:pPr>
              <w:spacing w:beforeLines="0" w:afterLines="0"/>
              <w:jc w:val="center"/>
              <w:rPr>
                <w:rFonts w:hint="eastAsia" w:hAnsi="宋体" w:cs="宋体"/>
                <w:color w:val="000000"/>
                <w:sz w:val="15"/>
                <w:szCs w:val="15"/>
              </w:rPr>
            </w:pPr>
          </w:p>
        </w:tc>
        <w:tc>
          <w:tcPr>
            <w:tcW w:w="6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C2736">
            <w:pPr>
              <w:widowControl/>
              <w:spacing w:beforeLines="0" w:afterLines="0"/>
              <w:textAlignment w:val="center"/>
              <w:rPr>
                <w:rFonts w:hint="eastAsia" w:hAnsi="宋体" w:cs="宋体"/>
                <w:color w:val="000000"/>
                <w:sz w:val="15"/>
                <w:szCs w:val="15"/>
              </w:rPr>
            </w:pPr>
            <w:r>
              <w:rPr>
                <w:rStyle w:val="23"/>
                <w:rFonts w:hint="eastAsia"/>
                <w:sz w:val="15"/>
                <w:szCs w:val="15"/>
                <w:lang w:bidi="ar"/>
              </w:rPr>
              <w:t>满意度指标</w:t>
            </w:r>
          </w:p>
        </w:tc>
        <w:tc>
          <w:tcPr>
            <w:tcW w:w="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1DBFD">
            <w:pPr>
              <w:widowControl/>
              <w:spacing w:beforeLines="0" w:afterLines="0"/>
              <w:textAlignment w:val="center"/>
              <w:rPr>
                <w:rFonts w:hint="eastAsia" w:hAnsi="宋体" w:cs="宋体"/>
                <w:color w:val="000000"/>
                <w:sz w:val="15"/>
                <w:szCs w:val="15"/>
              </w:rPr>
            </w:pPr>
            <w:r>
              <w:rPr>
                <w:rStyle w:val="23"/>
                <w:rFonts w:hint="eastAsia"/>
                <w:sz w:val="15"/>
                <w:szCs w:val="15"/>
                <w:lang w:bidi="ar"/>
              </w:rPr>
              <w:t>服务对象满意度指标</w:t>
            </w:r>
          </w:p>
        </w:tc>
        <w:tc>
          <w:tcPr>
            <w:tcW w:w="203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AA6B9">
            <w:pPr>
              <w:widowControl/>
              <w:spacing w:beforeLines="0" w:afterLines="0"/>
              <w:jc w:val="center"/>
              <w:textAlignment w:val="center"/>
              <w:rPr>
                <w:rFonts w:hint="eastAsia" w:hAnsi="宋体" w:cs="宋体"/>
                <w:color w:val="000000"/>
                <w:sz w:val="15"/>
                <w:szCs w:val="15"/>
              </w:rPr>
            </w:pPr>
            <w:r>
              <w:rPr>
                <w:rStyle w:val="23"/>
                <w:rFonts w:hint="eastAsia"/>
                <w:sz w:val="15"/>
                <w:szCs w:val="15"/>
                <w:lang w:bidi="ar"/>
              </w:rPr>
              <w:t>接待对象满意度</w:t>
            </w:r>
          </w:p>
        </w:tc>
        <w:tc>
          <w:tcPr>
            <w:tcW w:w="128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07D1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11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5DBB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2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6F10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0B0F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28" w:hRule="atLeast"/>
        </w:trPr>
        <w:tc>
          <w:tcPr>
            <w:tcW w:w="9183" w:type="dxa"/>
            <w:gridSpan w:val="34"/>
            <w:tcBorders>
              <w:top w:val="nil"/>
              <w:left w:val="nil"/>
              <w:bottom w:val="nil"/>
              <w:right w:val="nil"/>
              <w:tl2br w:val="nil"/>
              <w:tr2bl w:val="nil"/>
            </w:tcBorders>
            <w:noWrap w:val="0"/>
            <w:vAlign w:val="center"/>
          </w:tcPr>
          <w:p w14:paraId="306381B4">
            <w:pPr>
              <w:widowControl/>
              <w:spacing w:beforeLines="0" w:afterLines="0"/>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3541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05" w:hRule="atLeast"/>
        </w:trPr>
        <w:tc>
          <w:tcPr>
            <w:tcW w:w="9183" w:type="dxa"/>
            <w:gridSpan w:val="34"/>
            <w:tcBorders>
              <w:top w:val="nil"/>
              <w:left w:val="nil"/>
              <w:bottom w:val="nil"/>
              <w:right w:val="nil"/>
              <w:tl2br w:val="nil"/>
              <w:tr2bl w:val="nil"/>
            </w:tcBorders>
            <w:noWrap w:val="0"/>
            <w:vAlign w:val="top"/>
          </w:tcPr>
          <w:p w14:paraId="3424CE99">
            <w:pPr>
              <w:widowControl/>
              <w:spacing w:beforeLines="0" w:afterLines="0"/>
              <w:jc w:val="center"/>
              <w:textAlignment w:val="top"/>
              <w:rPr>
                <w:rFonts w:hint="eastAsia" w:hAnsi="宋体" w:cs="宋体"/>
                <w:color w:val="000000"/>
                <w:sz w:val="22"/>
                <w:szCs w:val="22"/>
              </w:rPr>
            </w:pPr>
            <w:r>
              <w:rPr>
                <w:rFonts w:hint="eastAsia" w:hAnsi="宋体" w:cs="宋体"/>
                <w:color w:val="000000"/>
                <w:sz w:val="22"/>
                <w:szCs w:val="22"/>
                <w:lang w:bidi="ar"/>
              </w:rPr>
              <w:t>（</w:t>
            </w:r>
            <w:r>
              <w:rPr>
                <w:rFonts w:hint="eastAsia" w:cs="宋体"/>
                <w:color w:val="000000"/>
                <w:sz w:val="22"/>
                <w:szCs w:val="22"/>
                <w:lang w:bidi="ar"/>
              </w:rPr>
              <w:t>2023</w:t>
            </w:r>
            <w:r>
              <w:rPr>
                <w:rFonts w:hint="eastAsia" w:hAnsi="宋体" w:cs="宋体"/>
                <w:color w:val="000000"/>
                <w:sz w:val="22"/>
                <w:szCs w:val="22"/>
                <w:lang w:bidi="ar"/>
              </w:rPr>
              <w:t>年度）</w:t>
            </w:r>
          </w:p>
        </w:tc>
      </w:tr>
      <w:tr w14:paraId="455D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3"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CB9C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项目（政策）名称</w:t>
            </w:r>
          </w:p>
        </w:tc>
        <w:tc>
          <w:tcPr>
            <w:tcW w:w="7327"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5331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临聘人员经费</w:t>
            </w:r>
          </w:p>
        </w:tc>
      </w:tr>
      <w:tr w14:paraId="486B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79"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45CC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主管部门</w:t>
            </w:r>
          </w:p>
        </w:tc>
        <w:tc>
          <w:tcPr>
            <w:tcW w:w="380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C8FE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F05D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实施单位</w:t>
            </w:r>
          </w:p>
        </w:tc>
        <w:tc>
          <w:tcPr>
            <w:tcW w:w="2652" w:type="dxa"/>
            <w:gridSpan w:val="6"/>
            <w:tcBorders>
              <w:top w:val="single" w:color="000000" w:sz="4" w:space="0"/>
              <w:left w:val="single" w:color="000000" w:sz="4" w:space="0"/>
              <w:bottom w:val="nil"/>
              <w:right w:val="single" w:color="000000" w:sz="4" w:space="0"/>
              <w:tl2br w:val="nil"/>
              <w:tr2bl w:val="nil"/>
            </w:tcBorders>
            <w:noWrap w:val="0"/>
            <w:vAlign w:val="center"/>
          </w:tcPr>
          <w:p w14:paraId="55EDC5A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r>
      <w:tr w14:paraId="79BF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79" w:hRule="atLeast"/>
        </w:trPr>
        <w:tc>
          <w:tcPr>
            <w:tcW w:w="1856"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585D786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项目（政策）资金（万元）</w:t>
            </w:r>
          </w:p>
        </w:tc>
        <w:tc>
          <w:tcPr>
            <w:tcW w:w="1373" w:type="dxa"/>
            <w:gridSpan w:val="6"/>
            <w:tcBorders>
              <w:top w:val="nil"/>
              <w:left w:val="single" w:color="000000" w:sz="4" w:space="0"/>
              <w:bottom w:val="single" w:color="000000" w:sz="4" w:space="0"/>
              <w:right w:val="single" w:color="000000" w:sz="4" w:space="0"/>
              <w:tl2br w:val="nil"/>
              <w:tr2bl w:val="nil"/>
            </w:tcBorders>
            <w:noWrap w:val="0"/>
            <w:vAlign w:val="center"/>
          </w:tcPr>
          <w:p w14:paraId="073575EB">
            <w:pPr>
              <w:spacing w:beforeLines="0" w:afterLines="0"/>
              <w:jc w:val="center"/>
              <w:rPr>
                <w:rFonts w:hint="eastAsia" w:hAnsi="宋体" w:cs="宋体"/>
                <w:color w:val="000000"/>
                <w:sz w:val="16"/>
                <w:szCs w:val="16"/>
              </w:rPr>
            </w:pPr>
          </w:p>
        </w:tc>
        <w:tc>
          <w:tcPr>
            <w:tcW w:w="1519" w:type="dxa"/>
            <w:gridSpan w:val="5"/>
            <w:tcBorders>
              <w:top w:val="nil"/>
              <w:left w:val="single" w:color="000000" w:sz="4" w:space="0"/>
              <w:bottom w:val="single" w:color="000000" w:sz="4" w:space="0"/>
              <w:right w:val="single" w:color="000000" w:sz="4" w:space="0"/>
              <w:tl2br w:val="nil"/>
              <w:tr2bl w:val="nil"/>
            </w:tcBorders>
            <w:noWrap w:val="0"/>
            <w:vAlign w:val="center"/>
          </w:tcPr>
          <w:p w14:paraId="02DB044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年初预算数</w:t>
            </w:r>
          </w:p>
        </w:tc>
        <w:tc>
          <w:tcPr>
            <w:tcW w:w="915" w:type="dxa"/>
            <w:gridSpan w:val="4"/>
            <w:tcBorders>
              <w:top w:val="nil"/>
              <w:left w:val="single" w:color="000000" w:sz="4" w:space="0"/>
              <w:bottom w:val="single" w:color="000000" w:sz="4" w:space="0"/>
              <w:right w:val="single" w:color="000000" w:sz="4" w:space="0"/>
              <w:tl2br w:val="nil"/>
              <w:tr2bl w:val="nil"/>
            </w:tcBorders>
            <w:noWrap w:val="0"/>
            <w:vAlign w:val="center"/>
          </w:tcPr>
          <w:p w14:paraId="0FE3275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全年预算数</w:t>
            </w:r>
          </w:p>
        </w:tc>
        <w:tc>
          <w:tcPr>
            <w:tcW w:w="868" w:type="dxa"/>
            <w:gridSpan w:val="4"/>
            <w:tcBorders>
              <w:top w:val="nil"/>
              <w:left w:val="single" w:color="000000" w:sz="4" w:space="0"/>
              <w:bottom w:val="single" w:color="000000" w:sz="4" w:space="0"/>
              <w:right w:val="single" w:color="000000" w:sz="4" w:space="0"/>
              <w:tl2br w:val="nil"/>
              <w:tr2bl w:val="nil"/>
            </w:tcBorders>
            <w:noWrap w:val="0"/>
            <w:vAlign w:val="center"/>
          </w:tcPr>
          <w:p w14:paraId="5C5D322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全年执行数</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9FE1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执行率</w:t>
            </w:r>
          </w:p>
        </w:tc>
      </w:tr>
      <w:tr w14:paraId="1261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42F8F14">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7CFA6">
            <w:pPr>
              <w:widowControl/>
              <w:spacing w:beforeLines="0" w:afterLines="0"/>
              <w:jc w:val="both"/>
              <w:textAlignment w:val="center"/>
              <w:rPr>
                <w:rFonts w:hint="eastAsia" w:hAnsi="宋体" w:cs="宋体"/>
                <w:color w:val="000000"/>
                <w:sz w:val="16"/>
                <w:szCs w:val="16"/>
              </w:rPr>
            </w:pPr>
            <w:r>
              <w:rPr>
                <w:rFonts w:hint="eastAsia" w:hAnsi="宋体" w:cs="宋体"/>
                <w:color w:val="000000"/>
                <w:sz w:val="16"/>
                <w:szCs w:val="16"/>
                <w:lang w:bidi="ar"/>
              </w:rPr>
              <w:t>年度资金总额</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F8E9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F1BAE">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614E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2652" w:type="dxa"/>
            <w:gridSpan w:val="6"/>
            <w:tcBorders>
              <w:top w:val="nil"/>
              <w:left w:val="single" w:color="000000" w:sz="4" w:space="0"/>
              <w:bottom w:val="single" w:color="000000" w:sz="4" w:space="0"/>
              <w:right w:val="single" w:color="000000" w:sz="4" w:space="0"/>
              <w:tl2br w:val="nil"/>
              <w:tr2bl w:val="nil"/>
            </w:tcBorders>
            <w:noWrap w:val="0"/>
            <w:vAlign w:val="center"/>
          </w:tcPr>
          <w:p w14:paraId="4F3A5011">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5F3A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79"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116C99F">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EFA3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（一）财政拨款小计</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2369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9A9BA">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2872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2652" w:type="dxa"/>
            <w:gridSpan w:val="6"/>
            <w:tcBorders>
              <w:top w:val="nil"/>
              <w:left w:val="single" w:color="000000" w:sz="4" w:space="0"/>
              <w:bottom w:val="single" w:color="000000" w:sz="4" w:space="0"/>
              <w:right w:val="single" w:color="000000" w:sz="4" w:space="0"/>
              <w:tl2br w:val="nil"/>
              <w:tr2bl w:val="nil"/>
            </w:tcBorders>
            <w:noWrap w:val="0"/>
            <w:vAlign w:val="center"/>
          </w:tcPr>
          <w:p w14:paraId="30D56B37">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6745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79"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3944D5A">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A59B9">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1</w:t>
            </w:r>
            <w:r>
              <w:rPr>
                <w:rFonts w:hint="eastAsia" w:hAnsi="宋体" w:cs="宋体"/>
                <w:color w:val="000000"/>
                <w:sz w:val="16"/>
                <w:szCs w:val="16"/>
                <w:lang w:bidi="ar"/>
              </w:rPr>
              <w:t>.一般公共预算</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E7094">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66BA9">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6461D">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p>
        </w:tc>
        <w:tc>
          <w:tcPr>
            <w:tcW w:w="2652" w:type="dxa"/>
            <w:gridSpan w:val="6"/>
            <w:tcBorders>
              <w:top w:val="nil"/>
              <w:left w:val="single" w:color="000000" w:sz="4" w:space="0"/>
              <w:bottom w:val="single" w:color="000000" w:sz="4" w:space="0"/>
              <w:right w:val="single" w:color="000000" w:sz="4" w:space="0"/>
              <w:tl2br w:val="nil"/>
              <w:tr2bl w:val="nil"/>
            </w:tcBorders>
            <w:noWrap w:val="0"/>
            <w:vAlign w:val="center"/>
          </w:tcPr>
          <w:p w14:paraId="008FCAD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33CC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E5A59FE">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5CA9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2</w:t>
            </w:r>
            <w:r>
              <w:rPr>
                <w:rFonts w:hint="eastAsia" w:hAnsi="宋体" w:cs="宋体"/>
                <w:color w:val="000000"/>
                <w:sz w:val="16"/>
                <w:szCs w:val="16"/>
                <w:lang w:bidi="ar"/>
              </w:rPr>
              <w:t>.政府性基金</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B7B45">
            <w:pPr>
              <w:widowControl/>
              <w:spacing w:beforeLines="0" w:afterLines="0"/>
              <w:textAlignment w:val="center"/>
              <w:rPr>
                <w:rFonts w:hint="eastAsia" w:hAnsi="宋体" w:cs="宋体"/>
                <w:color w:val="000000"/>
                <w:sz w:val="16"/>
                <w:szCs w:val="16"/>
              </w:rPr>
            </w:pPr>
            <w:r>
              <w:rPr>
                <w:rFonts w:hint="eastAsia" w:cs="宋体"/>
                <w:color w:val="000000"/>
                <w:sz w:val="16"/>
                <w:szCs w:val="16"/>
                <w:lang w:bidi="ar"/>
              </w:rPr>
              <w:t>0</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8519C">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3C7D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714D8">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r>
      <w:tr w14:paraId="1CEC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79"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70786328">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8B3D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3</w:t>
            </w:r>
            <w:r>
              <w:rPr>
                <w:rFonts w:hint="eastAsia" w:hAnsi="宋体" w:cs="宋体"/>
                <w:color w:val="000000"/>
                <w:sz w:val="16"/>
                <w:szCs w:val="16"/>
                <w:lang w:bidi="ar"/>
              </w:rPr>
              <w:t>.国有资本经营预算</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E20B6">
            <w:pPr>
              <w:widowControl/>
              <w:spacing w:beforeLines="0" w:afterLines="0"/>
              <w:textAlignment w:val="center"/>
              <w:rPr>
                <w:rFonts w:hint="eastAsia" w:hAnsi="宋体" w:cs="宋体"/>
                <w:color w:val="000000"/>
                <w:sz w:val="16"/>
                <w:szCs w:val="16"/>
              </w:rPr>
            </w:pPr>
            <w:r>
              <w:rPr>
                <w:rFonts w:hint="eastAsia" w:cs="宋体"/>
                <w:color w:val="000000"/>
                <w:sz w:val="16"/>
                <w:szCs w:val="16"/>
                <w:lang w:bidi="ar"/>
              </w:rPr>
              <w:t>0</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FE8A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B9F52">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2AC5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r>
      <w:tr w14:paraId="7443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1DA8EC5A">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F8CCD">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4</w:t>
            </w:r>
            <w:r>
              <w:rPr>
                <w:rFonts w:hint="eastAsia" w:hAnsi="宋体" w:cs="宋体"/>
                <w:color w:val="000000"/>
                <w:sz w:val="16"/>
                <w:szCs w:val="16"/>
                <w:lang w:bidi="ar"/>
              </w:rPr>
              <w:t>.社保基金</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6587D">
            <w:pPr>
              <w:widowControl/>
              <w:spacing w:beforeLines="0" w:afterLines="0"/>
              <w:textAlignment w:val="center"/>
              <w:rPr>
                <w:rFonts w:hint="eastAsia" w:hAnsi="宋体" w:cs="宋体"/>
                <w:color w:val="000000"/>
                <w:sz w:val="16"/>
                <w:szCs w:val="16"/>
              </w:rPr>
            </w:pPr>
            <w:r>
              <w:rPr>
                <w:rFonts w:hint="eastAsia" w:cs="宋体"/>
                <w:color w:val="000000"/>
                <w:sz w:val="16"/>
                <w:szCs w:val="16"/>
                <w:lang w:bidi="ar"/>
              </w:rPr>
              <w:t>0</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35038">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3B36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5E1F4">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r>
      <w:tr w14:paraId="06B1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7A7ECE63">
            <w:pPr>
              <w:spacing w:beforeLines="0" w:afterLines="0"/>
              <w:jc w:val="center"/>
              <w:rPr>
                <w:rFonts w:hint="eastAsia"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C6BD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（二）其他资金</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3E572">
            <w:pPr>
              <w:widowControl/>
              <w:spacing w:beforeLines="0" w:afterLines="0"/>
              <w:textAlignment w:val="center"/>
              <w:rPr>
                <w:rFonts w:hint="eastAsia" w:hAnsi="宋体" w:cs="宋体"/>
                <w:color w:val="000000"/>
                <w:sz w:val="16"/>
                <w:szCs w:val="16"/>
              </w:rPr>
            </w:pPr>
            <w:r>
              <w:rPr>
                <w:rFonts w:hint="eastAsia" w:cs="宋体"/>
                <w:color w:val="000000"/>
                <w:sz w:val="16"/>
                <w:szCs w:val="16"/>
                <w:lang w:bidi="ar"/>
              </w:rPr>
              <w:t>0</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8F46D">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C0D93">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B4D2A">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p>
        </w:tc>
      </w:tr>
      <w:tr w14:paraId="372F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3" w:hRule="atLeast"/>
        </w:trPr>
        <w:tc>
          <w:tcPr>
            <w:tcW w:w="101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1505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年度总体目标</w:t>
            </w:r>
          </w:p>
        </w:tc>
        <w:tc>
          <w:tcPr>
            <w:tcW w:w="5521"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82BF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预期目标</w:t>
            </w:r>
          </w:p>
        </w:tc>
        <w:tc>
          <w:tcPr>
            <w:tcW w:w="2652" w:type="dxa"/>
            <w:gridSpan w:val="6"/>
            <w:tcBorders>
              <w:top w:val="nil"/>
              <w:left w:val="single" w:color="000000" w:sz="4" w:space="0"/>
              <w:bottom w:val="single" w:color="000000" w:sz="4" w:space="0"/>
              <w:right w:val="single" w:color="000000" w:sz="4" w:space="0"/>
              <w:tl2br w:val="nil"/>
              <w:tr2bl w:val="nil"/>
            </w:tcBorders>
            <w:noWrap w:val="0"/>
            <w:vAlign w:val="center"/>
          </w:tcPr>
          <w:p w14:paraId="6694133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实际完成情况</w:t>
            </w:r>
          </w:p>
        </w:tc>
      </w:tr>
      <w:tr w14:paraId="6B55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50"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19E62">
            <w:pPr>
              <w:spacing w:beforeLines="0" w:afterLines="0"/>
              <w:jc w:val="center"/>
              <w:rPr>
                <w:rFonts w:hint="eastAsia" w:hAnsi="宋体" w:cs="宋体"/>
                <w:color w:val="000000"/>
                <w:sz w:val="16"/>
                <w:szCs w:val="16"/>
              </w:rPr>
            </w:pPr>
          </w:p>
        </w:tc>
        <w:tc>
          <w:tcPr>
            <w:tcW w:w="5521"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0804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因工作需要单位需通过第三方机构聘用八名工作人员从事政府食堂及职工食堂所有工作，临聘人员经费按月支付给第三方人力资源机构。该支出涉及八名临聘人员工资、保险，从而激发两名聘用人员工资积极性，提高工作效率，确保工作正常运转。</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123E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保障政府食堂每天</w:t>
            </w:r>
            <w:r>
              <w:rPr>
                <w:rFonts w:hint="eastAsia" w:cs="宋体"/>
                <w:color w:val="000000"/>
                <w:sz w:val="16"/>
                <w:szCs w:val="16"/>
                <w:lang w:bidi="ar"/>
              </w:rPr>
              <w:t>40</w:t>
            </w:r>
            <w:r>
              <w:rPr>
                <w:rFonts w:hint="eastAsia" w:hAnsi="宋体" w:cs="宋体"/>
                <w:color w:val="000000"/>
                <w:sz w:val="16"/>
                <w:szCs w:val="16"/>
                <w:lang w:bidi="ar"/>
              </w:rPr>
              <w:t>余人、职工食堂</w:t>
            </w:r>
            <w:r>
              <w:rPr>
                <w:rFonts w:hint="eastAsia" w:cs="宋体"/>
                <w:color w:val="000000"/>
                <w:sz w:val="16"/>
                <w:szCs w:val="16"/>
                <w:lang w:bidi="ar"/>
              </w:rPr>
              <w:t>240</w:t>
            </w:r>
            <w:r>
              <w:rPr>
                <w:rFonts w:hint="eastAsia" w:hAnsi="宋体" w:cs="宋体"/>
                <w:color w:val="000000"/>
                <w:sz w:val="16"/>
                <w:szCs w:val="16"/>
                <w:lang w:bidi="ar"/>
              </w:rPr>
              <w:t>余人正常用餐，保证了食品健康安全。</w:t>
            </w:r>
          </w:p>
        </w:tc>
      </w:tr>
      <w:tr w14:paraId="7F2C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95" w:hRule="atLeast"/>
        </w:trPr>
        <w:tc>
          <w:tcPr>
            <w:tcW w:w="101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4A0F13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绩效指标</w:t>
            </w: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6953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一级指标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4BCC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二级指标</w:t>
            </w:r>
          </w:p>
        </w:tc>
        <w:tc>
          <w:tcPr>
            <w:tcW w:w="2096" w:type="dxa"/>
            <w:gridSpan w:val="9"/>
            <w:tcBorders>
              <w:top w:val="single" w:color="000000" w:sz="4" w:space="0"/>
              <w:left w:val="single" w:color="000000" w:sz="4" w:space="0"/>
              <w:bottom w:val="nil"/>
              <w:right w:val="single" w:color="000000" w:sz="4" w:space="0"/>
              <w:tl2br w:val="nil"/>
              <w:tr2bl w:val="nil"/>
            </w:tcBorders>
            <w:noWrap w:val="0"/>
            <w:vAlign w:val="center"/>
          </w:tcPr>
          <w:p w14:paraId="3C1F154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三级指标</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9BD2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年度指标值</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F606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实际完成值</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8B9F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偏差原因分析及改进措施</w:t>
            </w:r>
          </w:p>
        </w:tc>
      </w:tr>
      <w:tr w14:paraId="7197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08"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8E5ACB">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A8D17">
            <w:pPr>
              <w:widowControl/>
              <w:spacing w:beforeLines="0" w:afterLines="0"/>
              <w:textAlignment w:val="center"/>
              <w:rPr>
                <w:rFonts w:hint="eastAsia" w:hAnsi="宋体" w:cs="宋体"/>
                <w:color w:val="000000"/>
                <w:sz w:val="16"/>
                <w:szCs w:val="16"/>
              </w:rPr>
            </w:pPr>
            <w:r>
              <w:rPr>
                <w:rStyle w:val="20"/>
                <w:rFonts w:hint="eastAsia"/>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04FF3">
            <w:pPr>
              <w:widowControl/>
              <w:spacing w:beforeLines="0" w:afterLines="0"/>
              <w:textAlignment w:val="center"/>
              <w:rPr>
                <w:rFonts w:hint="eastAsia" w:hAnsi="宋体" w:cs="宋体"/>
                <w:color w:val="000000"/>
                <w:sz w:val="16"/>
                <w:szCs w:val="16"/>
              </w:rPr>
            </w:pPr>
            <w:r>
              <w:rPr>
                <w:rStyle w:val="20"/>
                <w:rFonts w:hint="eastAsia"/>
                <w:sz w:val="16"/>
                <w:szCs w:val="16"/>
                <w:lang w:bidi="ar"/>
              </w:rPr>
              <w:t>质量指标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507C2">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临聘人员工作完成情况</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B3527">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定性优良中差</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A56E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6B8B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7204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65"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A83869">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FEF5C">
            <w:pPr>
              <w:widowControl/>
              <w:spacing w:beforeLines="0" w:afterLines="0"/>
              <w:textAlignment w:val="center"/>
              <w:rPr>
                <w:rFonts w:hint="eastAsia" w:hAnsi="宋体" w:cs="宋体"/>
                <w:color w:val="000000"/>
                <w:sz w:val="16"/>
                <w:szCs w:val="16"/>
              </w:rPr>
            </w:pPr>
            <w:r>
              <w:rPr>
                <w:rStyle w:val="20"/>
                <w:rFonts w:hint="eastAsia"/>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F7466">
            <w:pPr>
              <w:widowControl/>
              <w:spacing w:beforeLines="0" w:afterLines="0"/>
              <w:textAlignment w:val="center"/>
              <w:rPr>
                <w:rFonts w:hint="eastAsia" w:hAnsi="宋体" w:cs="宋体"/>
                <w:color w:val="000000"/>
                <w:sz w:val="16"/>
                <w:szCs w:val="16"/>
              </w:rPr>
            </w:pPr>
            <w:r>
              <w:rPr>
                <w:rStyle w:val="20"/>
                <w:rFonts w:hint="eastAsia"/>
                <w:sz w:val="16"/>
                <w:szCs w:val="16"/>
                <w:lang w:bidi="ar"/>
              </w:rPr>
              <w:t>满意度指标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D0632">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单位对临聘人员的满意度</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F5D7D">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95</w:t>
            </w:r>
            <w:r>
              <w:rPr>
                <w:rFonts w:hint="eastAsia" w:hAnsi="宋体" w:cs="宋体"/>
                <w:color w:val="000000"/>
                <w:sz w:val="16"/>
                <w:szCs w:val="16"/>
                <w:lang w:bidi="ar"/>
              </w:rPr>
              <w:t>%</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AA91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98</w:t>
            </w:r>
            <w:r>
              <w:rPr>
                <w:rFonts w:hint="eastAsia" w:hAnsi="宋体" w:cs="宋体"/>
                <w:color w:val="000000"/>
                <w:sz w:val="16"/>
                <w:szCs w:val="16"/>
                <w:lang w:bidi="ar"/>
              </w:rPr>
              <w:t>%</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FDCA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28C6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65"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E5683D">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8D1FA">
            <w:pPr>
              <w:widowControl/>
              <w:spacing w:beforeLines="0" w:afterLines="0"/>
              <w:textAlignment w:val="center"/>
              <w:rPr>
                <w:rFonts w:hint="eastAsia" w:hAnsi="宋体" w:cs="宋体"/>
                <w:color w:val="000000"/>
                <w:sz w:val="16"/>
                <w:szCs w:val="16"/>
              </w:rPr>
            </w:pPr>
            <w:r>
              <w:rPr>
                <w:rStyle w:val="20"/>
                <w:rFonts w:hint="eastAsia"/>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045D4">
            <w:pPr>
              <w:widowControl/>
              <w:spacing w:beforeLines="0" w:afterLines="0"/>
              <w:textAlignment w:val="center"/>
              <w:rPr>
                <w:rFonts w:hint="eastAsia" w:hAnsi="宋体" w:cs="宋体"/>
                <w:color w:val="000000"/>
                <w:sz w:val="16"/>
                <w:szCs w:val="16"/>
              </w:rPr>
            </w:pPr>
            <w:r>
              <w:rPr>
                <w:rStyle w:val="20"/>
                <w:rFonts w:hint="eastAsia"/>
                <w:sz w:val="16"/>
                <w:szCs w:val="16"/>
                <w:lang w:bidi="ar"/>
              </w:rPr>
              <w:t>时效指标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EDC96">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资金支付及时率（计划完成时间-实际完成时间）/计划完成时间*</w:t>
            </w:r>
            <w:r>
              <w:rPr>
                <w:rStyle w:val="20"/>
                <w:rFonts w:hint="eastAsia" w:hAnsi="Times New Roman"/>
                <w:sz w:val="16"/>
                <w:szCs w:val="16"/>
                <w:lang w:bidi="ar"/>
              </w:rPr>
              <w:t>100</w:t>
            </w:r>
            <w:r>
              <w:rPr>
                <w:rStyle w:val="20"/>
                <w:rFonts w:hint="eastAsia"/>
                <w:sz w:val="16"/>
                <w:szCs w:val="16"/>
                <w:lang w:bidi="ar"/>
              </w:rPr>
              <w:t>%</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C6FD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0</w:t>
            </w:r>
            <w:r>
              <w:rPr>
                <w:rFonts w:hint="eastAsia" w:hAnsi="宋体" w:cs="宋体"/>
                <w:color w:val="000000"/>
                <w:sz w:val="16"/>
                <w:szCs w:val="16"/>
                <w:lang w:bidi="ar"/>
              </w:rPr>
              <w:t>%</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EE94D">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B56C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1C2F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21"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8324BE">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4F80A">
            <w:pPr>
              <w:widowControl/>
              <w:spacing w:beforeLines="0" w:afterLines="0"/>
              <w:textAlignment w:val="center"/>
              <w:rPr>
                <w:rFonts w:hint="eastAsia" w:hAnsi="宋体" w:cs="宋体"/>
                <w:color w:val="000000"/>
                <w:sz w:val="16"/>
                <w:szCs w:val="16"/>
              </w:rPr>
            </w:pPr>
            <w:r>
              <w:rPr>
                <w:rStyle w:val="20"/>
                <w:rFonts w:hint="eastAsia"/>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7728D">
            <w:pPr>
              <w:widowControl/>
              <w:spacing w:beforeLines="0" w:afterLines="0"/>
              <w:textAlignment w:val="center"/>
              <w:rPr>
                <w:rFonts w:hint="eastAsia" w:hAnsi="宋体" w:cs="宋体"/>
                <w:color w:val="000000"/>
                <w:sz w:val="16"/>
                <w:szCs w:val="16"/>
              </w:rPr>
            </w:pPr>
            <w:r>
              <w:rPr>
                <w:rStyle w:val="20"/>
                <w:rFonts w:hint="eastAsia"/>
                <w:sz w:val="16"/>
                <w:szCs w:val="16"/>
                <w:lang w:bidi="ar"/>
              </w:rPr>
              <w:t>社会效益指标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E1F78">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增加就业人数</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C1800">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8</w:t>
            </w:r>
            <w:r>
              <w:rPr>
                <w:rFonts w:hint="eastAsia" w:hAnsi="宋体" w:cs="宋体"/>
                <w:color w:val="000000"/>
                <w:sz w:val="16"/>
                <w:szCs w:val="16"/>
                <w:lang w:bidi="ar"/>
              </w:rPr>
              <w:t>人</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299E7">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8</w:t>
            </w:r>
            <w:r>
              <w:rPr>
                <w:rFonts w:hint="eastAsia" w:hAnsi="宋体" w:cs="宋体"/>
                <w:color w:val="000000"/>
                <w:sz w:val="16"/>
                <w:szCs w:val="16"/>
                <w:lang w:bidi="ar"/>
              </w:rPr>
              <w:t>人</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E64F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321D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43"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DC72E8">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CBECF">
            <w:pPr>
              <w:widowControl/>
              <w:spacing w:beforeLines="0" w:afterLines="0"/>
              <w:textAlignment w:val="center"/>
              <w:rPr>
                <w:rFonts w:hint="eastAsia" w:hAnsi="宋体" w:cs="宋体"/>
                <w:color w:val="000000"/>
                <w:sz w:val="16"/>
                <w:szCs w:val="16"/>
              </w:rPr>
            </w:pPr>
            <w:r>
              <w:rPr>
                <w:rStyle w:val="20"/>
                <w:rFonts w:hint="eastAsia"/>
                <w:sz w:val="16"/>
                <w:szCs w:val="16"/>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AFCE7">
            <w:pPr>
              <w:widowControl/>
              <w:spacing w:beforeLines="0" w:afterLines="0"/>
              <w:textAlignment w:val="center"/>
              <w:rPr>
                <w:rFonts w:hint="eastAsia" w:hAnsi="宋体" w:cs="宋体"/>
                <w:color w:val="000000"/>
                <w:sz w:val="16"/>
                <w:szCs w:val="16"/>
              </w:rPr>
            </w:pPr>
            <w:r>
              <w:rPr>
                <w:rStyle w:val="20"/>
                <w:rFonts w:hint="eastAsia"/>
                <w:sz w:val="16"/>
                <w:szCs w:val="16"/>
                <w:lang w:bidi="ar"/>
              </w:rPr>
              <w:t>经济成本指标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2E413">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临聘人员经费</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C40A0">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r>
              <w:rPr>
                <w:rFonts w:hint="eastAsia" w:hAnsi="宋体" w:cs="宋体"/>
                <w:color w:val="000000"/>
                <w:sz w:val="16"/>
                <w:szCs w:val="16"/>
                <w:lang w:bidi="ar"/>
              </w:rPr>
              <w:t>万元</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B0545">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52</w:t>
            </w:r>
            <w:r>
              <w:rPr>
                <w:rFonts w:hint="eastAsia" w:hAnsi="宋体" w:cs="宋体"/>
                <w:color w:val="000000"/>
                <w:sz w:val="16"/>
                <w:szCs w:val="16"/>
                <w:lang w:bidi="ar"/>
              </w:rPr>
              <w:t>.</w:t>
            </w:r>
            <w:r>
              <w:rPr>
                <w:rFonts w:hint="eastAsia" w:cs="宋体"/>
                <w:color w:val="000000"/>
                <w:sz w:val="16"/>
                <w:szCs w:val="16"/>
                <w:lang w:bidi="ar"/>
              </w:rPr>
              <w:t>8</w:t>
            </w:r>
            <w:r>
              <w:rPr>
                <w:rFonts w:hint="eastAsia" w:hAnsi="宋体" w:cs="宋体"/>
                <w:color w:val="000000"/>
                <w:sz w:val="16"/>
                <w:szCs w:val="16"/>
                <w:lang w:bidi="ar"/>
              </w:rPr>
              <w:t>万元</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303D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0134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41"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F327AC">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nil"/>
              <w:right w:val="single" w:color="000000" w:sz="4" w:space="0"/>
              <w:tl2br w:val="nil"/>
              <w:tr2bl w:val="nil"/>
            </w:tcBorders>
            <w:noWrap w:val="0"/>
            <w:vAlign w:val="center"/>
          </w:tcPr>
          <w:p w14:paraId="237D61FD">
            <w:pPr>
              <w:widowControl/>
              <w:spacing w:beforeLines="0" w:afterLines="0"/>
              <w:textAlignment w:val="center"/>
              <w:rPr>
                <w:rFonts w:hint="eastAsia" w:hAnsi="宋体" w:cs="宋体"/>
                <w:color w:val="000000"/>
                <w:sz w:val="16"/>
                <w:szCs w:val="16"/>
              </w:rPr>
            </w:pPr>
            <w:r>
              <w:rPr>
                <w:rStyle w:val="20"/>
                <w:rFonts w:hint="eastAsia"/>
                <w:sz w:val="16"/>
                <w:szCs w:val="16"/>
                <w:lang w:bidi="ar"/>
              </w:rPr>
              <w:t>产出指标</w:t>
            </w:r>
          </w:p>
        </w:tc>
        <w:tc>
          <w:tcPr>
            <w:tcW w:w="796" w:type="dxa"/>
            <w:gridSpan w:val="2"/>
            <w:tcBorders>
              <w:top w:val="single" w:color="000000" w:sz="4" w:space="0"/>
              <w:left w:val="single" w:color="000000" w:sz="4" w:space="0"/>
              <w:bottom w:val="nil"/>
              <w:right w:val="single" w:color="000000" w:sz="4" w:space="0"/>
              <w:tl2br w:val="nil"/>
              <w:tr2bl w:val="nil"/>
            </w:tcBorders>
            <w:noWrap w:val="0"/>
            <w:vAlign w:val="center"/>
          </w:tcPr>
          <w:p w14:paraId="38A196AE">
            <w:pPr>
              <w:widowControl/>
              <w:spacing w:beforeLines="0" w:afterLines="0"/>
              <w:textAlignment w:val="center"/>
              <w:rPr>
                <w:rFonts w:hint="eastAsia" w:hAnsi="宋体" w:cs="宋体"/>
                <w:color w:val="000000"/>
                <w:sz w:val="16"/>
                <w:szCs w:val="16"/>
              </w:rPr>
            </w:pPr>
            <w:r>
              <w:rPr>
                <w:rStyle w:val="20"/>
                <w:rFonts w:hint="eastAsia"/>
                <w:sz w:val="16"/>
                <w:szCs w:val="16"/>
                <w:lang w:bidi="ar"/>
              </w:rPr>
              <w:t>数量指标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14FF3">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临聘人员人数</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64718">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8</w:t>
            </w:r>
            <w:r>
              <w:rPr>
                <w:rFonts w:hint="eastAsia" w:hAnsi="宋体" w:cs="宋体"/>
                <w:color w:val="000000"/>
                <w:sz w:val="16"/>
                <w:szCs w:val="16"/>
                <w:lang w:bidi="ar"/>
              </w:rPr>
              <w:t>人</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7850E">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8</w:t>
            </w:r>
            <w:r>
              <w:rPr>
                <w:rFonts w:hint="eastAsia" w:hAnsi="宋体" w:cs="宋体"/>
                <w:color w:val="000000"/>
                <w:sz w:val="16"/>
                <w:szCs w:val="16"/>
                <w:lang w:bidi="ar"/>
              </w:rPr>
              <w:t>人</w:t>
            </w:r>
          </w:p>
        </w:tc>
        <w:tc>
          <w:tcPr>
            <w:tcW w:w="2652" w:type="dxa"/>
            <w:gridSpan w:val="6"/>
            <w:tcBorders>
              <w:top w:val="single" w:color="000000" w:sz="4" w:space="0"/>
              <w:left w:val="single" w:color="000000" w:sz="4" w:space="0"/>
              <w:bottom w:val="nil"/>
              <w:right w:val="single" w:color="000000" w:sz="4" w:space="0"/>
              <w:tl2br w:val="nil"/>
              <w:tr2bl w:val="nil"/>
            </w:tcBorders>
            <w:noWrap w:val="0"/>
            <w:vAlign w:val="center"/>
          </w:tcPr>
          <w:p w14:paraId="77C4392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42AE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71"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909DAF4">
            <w:pPr>
              <w:spacing w:beforeLines="0" w:afterLines="0"/>
              <w:jc w:val="center"/>
              <w:rPr>
                <w:rFonts w:hint="eastAsia"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FBDCE">
            <w:pPr>
              <w:widowControl/>
              <w:spacing w:beforeLines="0" w:afterLines="0"/>
              <w:textAlignment w:val="center"/>
              <w:rPr>
                <w:rFonts w:hint="eastAsia" w:hAnsi="宋体" w:cs="宋体"/>
                <w:color w:val="000000"/>
                <w:sz w:val="16"/>
                <w:szCs w:val="16"/>
              </w:rPr>
            </w:pPr>
            <w:r>
              <w:rPr>
                <w:rStyle w:val="20"/>
                <w:rFonts w:hint="eastAsia"/>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C0BED">
            <w:pPr>
              <w:widowControl/>
              <w:spacing w:beforeLines="0" w:afterLines="0"/>
              <w:textAlignment w:val="center"/>
              <w:rPr>
                <w:rFonts w:hint="eastAsia" w:hAnsi="宋体" w:cs="宋体"/>
                <w:color w:val="000000"/>
                <w:sz w:val="16"/>
                <w:szCs w:val="16"/>
              </w:rPr>
            </w:pPr>
            <w:r>
              <w:rPr>
                <w:rStyle w:val="20"/>
                <w:rFonts w:hint="eastAsia"/>
                <w:sz w:val="16"/>
                <w:szCs w:val="16"/>
                <w:lang w:bidi="ar"/>
              </w:rPr>
              <w:t>满意度指标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64009">
            <w:pPr>
              <w:widowControl/>
              <w:spacing w:beforeLines="0" w:afterLines="0"/>
              <w:jc w:val="center"/>
              <w:textAlignment w:val="center"/>
              <w:rPr>
                <w:rFonts w:hint="eastAsia" w:hAnsi="宋体" w:cs="宋体"/>
                <w:color w:val="000000"/>
                <w:sz w:val="16"/>
                <w:szCs w:val="16"/>
              </w:rPr>
            </w:pPr>
            <w:r>
              <w:rPr>
                <w:rStyle w:val="20"/>
                <w:rFonts w:hint="eastAsia"/>
                <w:sz w:val="16"/>
                <w:szCs w:val="16"/>
                <w:lang w:bidi="ar"/>
              </w:rPr>
              <w:t>临聘人员对单位的满意度</w:t>
            </w:r>
          </w:p>
        </w:tc>
        <w:tc>
          <w:tcPr>
            <w:tcW w:w="9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4F9B0">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95</w:t>
            </w:r>
            <w:r>
              <w:rPr>
                <w:rFonts w:hint="eastAsia" w:hAnsi="宋体" w:cs="宋体"/>
                <w:color w:val="000000"/>
                <w:sz w:val="16"/>
                <w:szCs w:val="16"/>
                <w:lang w:bidi="ar"/>
              </w:rPr>
              <w:t>%</w:t>
            </w:r>
          </w:p>
        </w:tc>
        <w:tc>
          <w:tcPr>
            <w:tcW w:w="86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3050">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98</w:t>
            </w:r>
            <w:r>
              <w:rPr>
                <w:rFonts w:hint="eastAsia" w:hAnsi="宋体" w:cs="宋体"/>
                <w:color w:val="000000"/>
                <w:sz w:val="16"/>
                <w:szCs w:val="16"/>
                <w:lang w:bidi="ar"/>
              </w:rPr>
              <w:t>%</w:t>
            </w:r>
          </w:p>
        </w:tc>
        <w:tc>
          <w:tcPr>
            <w:tcW w:w="26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D4EC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23EF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91" w:hRule="atLeast"/>
        </w:trPr>
        <w:tc>
          <w:tcPr>
            <w:tcW w:w="9183" w:type="dxa"/>
            <w:gridSpan w:val="34"/>
            <w:tcBorders>
              <w:top w:val="nil"/>
              <w:left w:val="nil"/>
              <w:bottom w:val="nil"/>
              <w:right w:val="nil"/>
              <w:tl2br w:val="nil"/>
              <w:tr2bl w:val="nil"/>
            </w:tcBorders>
            <w:noWrap w:val="0"/>
            <w:vAlign w:val="center"/>
          </w:tcPr>
          <w:p w14:paraId="2A09C606">
            <w:pPr>
              <w:widowControl/>
              <w:spacing w:beforeLines="0" w:afterLines="0"/>
              <w:jc w:val="center"/>
              <w:textAlignment w:val="center"/>
              <w:rPr>
                <w:rFonts w:hint="eastAsia" w:ascii="方正小标宋简体" w:hAnsi="方正小标宋简体" w:eastAsia="方正小标宋简体" w:cs="方正小标宋简体"/>
                <w:color w:val="000000"/>
                <w:sz w:val="40"/>
                <w:szCs w:val="40"/>
                <w:lang w:bidi="ar"/>
              </w:rPr>
            </w:pPr>
          </w:p>
          <w:p w14:paraId="7E889703">
            <w:pPr>
              <w:widowControl/>
              <w:spacing w:beforeLines="0" w:afterLines="0"/>
              <w:jc w:val="center"/>
              <w:textAlignment w:val="center"/>
              <w:rPr>
                <w:rFonts w:hint="eastAsia" w:ascii="方正小标宋简体" w:hAnsi="方正小标宋简体" w:eastAsia="方正小标宋简体" w:cs="方正小标宋简体"/>
                <w:color w:val="000000"/>
                <w:sz w:val="40"/>
                <w:szCs w:val="40"/>
                <w:lang w:bidi="ar"/>
              </w:rPr>
            </w:pPr>
          </w:p>
          <w:p w14:paraId="48FC3DAB">
            <w:pPr>
              <w:widowControl/>
              <w:spacing w:beforeLines="0" w:afterLines="0"/>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0F89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81" w:hRule="atLeast"/>
        </w:trPr>
        <w:tc>
          <w:tcPr>
            <w:tcW w:w="9183" w:type="dxa"/>
            <w:gridSpan w:val="34"/>
            <w:tcBorders>
              <w:top w:val="nil"/>
              <w:left w:val="nil"/>
              <w:bottom w:val="nil"/>
              <w:right w:val="nil"/>
              <w:tl2br w:val="nil"/>
              <w:tr2bl w:val="nil"/>
            </w:tcBorders>
            <w:noWrap w:val="0"/>
            <w:vAlign w:val="top"/>
          </w:tcPr>
          <w:p w14:paraId="28A19850">
            <w:pPr>
              <w:widowControl/>
              <w:spacing w:beforeLines="0" w:afterLines="0"/>
              <w:jc w:val="center"/>
              <w:textAlignment w:val="top"/>
              <w:rPr>
                <w:rFonts w:hint="eastAsia" w:hAnsi="宋体" w:cs="宋体"/>
                <w:color w:val="000000"/>
                <w:sz w:val="22"/>
                <w:szCs w:val="22"/>
              </w:rPr>
            </w:pPr>
            <w:r>
              <w:rPr>
                <w:rFonts w:hint="eastAsia" w:hAnsi="宋体" w:cs="宋体"/>
                <w:color w:val="000000"/>
                <w:sz w:val="22"/>
                <w:szCs w:val="22"/>
                <w:lang w:bidi="ar"/>
              </w:rPr>
              <w:t>（</w:t>
            </w:r>
            <w:r>
              <w:rPr>
                <w:rFonts w:hint="eastAsia" w:cs="宋体"/>
                <w:color w:val="000000"/>
                <w:sz w:val="22"/>
                <w:szCs w:val="22"/>
                <w:lang w:bidi="ar"/>
              </w:rPr>
              <w:t>2023</w:t>
            </w:r>
            <w:r>
              <w:rPr>
                <w:rFonts w:hint="eastAsia" w:hAnsi="宋体" w:cs="宋体"/>
                <w:color w:val="000000"/>
                <w:sz w:val="22"/>
                <w:szCs w:val="22"/>
                <w:lang w:bidi="ar"/>
              </w:rPr>
              <w:t>年度）</w:t>
            </w:r>
          </w:p>
        </w:tc>
      </w:tr>
      <w:tr w14:paraId="5CCF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04" w:hRule="atLeast"/>
        </w:trPr>
        <w:tc>
          <w:tcPr>
            <w:tcW w:w="14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5FC5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项目（政策）名称</w:t>
            </w:r>
          </w:p>
        </w:tc>
        <w:tc>
          <w:tcPr>
            <w:tcW w:w="7713"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A5AD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后勤综合保障</w:t>
            </w:r>
          </w:p>
        </w:tc>
      </w:tr>
      <w:tr w14:paraId="343C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14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D304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主管部门</w:t>
            </w:r>
          </w:p>
        </w:tc>
        <w:tc>
          <w:tcPr>
            <w:tcW w:w="4245"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E0B9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DA67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实施单位</w:t>
            </w:r>
          </w:p>
        </w:tc>
        <w:tc>
          <w:tcPr>
            <w:tcW w:w="2536" w:type="dxa"/>
            <w:gridSpan w:val="4"/>
            <w:tcBorders>
              <w:top w:val="single" w:color="000000" w:sz="4" w:space="0"/>
              <w:left w:val="single" w:color="000000" w:sz="4" w:space="0"/>
              <w:bottom w:val="nil"/>
              <w:right w:val="single" w:color="000000" w:sz="4" w:space="0"/>
              <w:tl2br w:val="nil"/>
              <w:tr2bl w:val="nil"/>
            </w:tcBorders>
            <w:noWrap w:val="0"/>
            <w:vAlign w:val="center"/>
          </w:tcPr>
          <w:p w14:paraId="1E1849E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r>
      <w:tr w14:paraId="064E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1470"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789C616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项目（政策）资金（万元）</w:t>
            </w:r>
          </w:p>
        </w:tc>
        <w:tc>
          <w:tcPr>
            <w:tcW w:w="1766" w:type="dxa"/>
            <w:gridSpan w:val="10"/>
            <w:tcBorders>
              <w:top w:val="nil"/>
              <w:left w:val="single" w:color="000000" w:sz="4" w:space="0"/>
              <w:bottom w:val="single" w:color="000000" w:sz="4" w:space="0"/>
              <w:right w:val="single" w:color="000000" w:sz="4" w:space="0"/>
              <w:tl2br w:val="nil"/>
              <w:tr2bl w:val="nil"/>
            </w:tcBorders>
            <w:noWrap w:val="0"/>
            <w:vAlign w:val="center"/>
          </w:tcPr>
          <w:p w14:paraId="6507FE26">
            <w:pPr>
              <w:spacing w:beforeLines="0" w:afterLines="0"/>
              <w:jc w:val="center"/>
              <w:rPr>
                <w:rFonts w:hint="eastAsia" w:hAnsi="宋体" w:cs="宋体"/>
                <w:color w:val="000000"/>
                <w:sz w:val="16"/>
                <w:szCs w:val="16"/>
              </w:rPr>
            </w:pPr>
          </w:p>
        </w:tc>
        <w:tc>
          <w:tcPr>
            <w:tcW w:w="1554" w:type="dxa"/>
            <w:gridSpan w:val="5"/>
            <w:tcBorders>
              <w:top w:val="nil"/>
              <w:left w:val="single" w:color="000000" w:sz="4" w:space="0"/>
              <w:bottom w:val="single" w:color="000000" w:sz="4" w:space="0"/>
              <w:right w:val="single" w:color="000000" w:sz="4" w:space="0"/>
              <w:tl2br w:val="nil"/>
              <w:tr2bl w:val="nil"/>
            </w:tcBorders>
            <w:noWrap w:val="0"/>
            <w:vAlign w:val="center"/>
          </w:tcPr>
          <w:p w14:paraId="7A3D0B0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年初预算数</w:t>
            </w:r>
          </w:p>
        </w:tc>
        <w:tc>
          <w:tcPr>
            <w:tcW w:w="925" w:type="dxa"/>
            <w:gridSpan w:val="5"/>
            <w:tcBorders>
              <w:top w:val="nil"/>
              <w:left w:val="single" w:color="000000" w:sz="4" w:space="0"/>
              <w:bottom w:val="single" w:color="000000" w:sz="4" w:space="0"/>
              <w:right w:val="single" w:color="000000" w:sz="4" w:space="0"/>
              <w:tl2br w:val="nil"/>
              <w:tr2bl w:val="nil"/>
            </w:tcBorders>
            <w:noWrap w:val="0"/>
            <w:vAlign w:val="center"/>
          </w:tcPr>
          <w:p w14:paraId="0E22776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全年预算数</w:t>
            </w:r>
          </w:p>
        </w:tc>
        <w:tc>
          <w:tcPr>
            <w:tcW w:w="932" w:type="dxa"/>
            <w:gridSpan w:val="4"/>
            <w:tcBorders>
              <w:top w:val="nil"/>
              <w:left w:val="single" w:color="000000" w:sz="4" w:space="0"/>
              <w:bottom w:val="single" w:color="000000" w:sz="4" w:space="0"/>
              <w:right w:val="single" w:color="000000" w:sz="4" w:space="0"/>
              <w:tl2br w:val="nil"/>
              <w:tr2bl w:val="nil"/>
            </w:tcBorders>
            <w:noWrap w:val="0"/>
            <w:vAlign w:val="center"/>
          </w:tcPr>
          <w:p w14:paraId="36E7C99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全年执行数</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BA5C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执行率</w:t>
            </w:r>
          </w:p>
        </w:tc>
      </w:tr>
      <w:tr w14:paraId="515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2"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EE1AF98">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74259">
            <w:pPr>
              <w:widowControl/>
              <w:spacing w:beforeLines="0" w:afterLines="0"/>
              <w:jc w:val="both"/>
              <w:textAlignment w:val="center"/>
              <w:rPr>
                <w:rFonts w:hint="eastAsia" w:hAnsi="宋体" w:cs="宋体"/>
                <w:color w:val="000000"/>
                <w:sz w:val="16"/>
                <w:szCs w:val="16"/>
              </w:rPr>
            </w:pPr>
            <w:r>
              <w:rPr>
                <w:rFonts w:hint="eastAsia" w:hAnsi="宋体" w:cs="宋体"/>
                <w:color w:val="000000"/>
                <w:sz w:val="16"/>
                <w:szCs w:val="16"/>
                <w:lang w:bidi="ar"/>
              </w:rPr>
              <w:t>年度资金总额</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A9A8E">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29158">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8003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2536" w:type="dxa"/>
            <w:gridSpan w:val="4"/>
            <w:tcBorders>
              <w:top w:val="nil"/>
              <w:left w:val="single" w:color="000000" w:sz="4" w:space="0"/>
              <w:bottom w:val="single" w:color="000000" w:sz="4" w:space="0"/>
              <w:right w:val="single" w:color="000000" w:sz="4" w:space="0"/>
              <w:tl2br w:val="nil"/>
              <w:tr2bl w:val="nil"/>
            </w:tcBorders>
            <w:noWrap w:val="0"/>
            <w:vAlign w:val="center"/>
          </w:tcPr>
          <w:p w14:paraId="5AD274FE">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5D68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5FA8E53F">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FA09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（一）财政拨款小计</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E7FE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97CF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30995">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2536" w:type="dxa"/>
            <w:gridSpan w:val="4"/>
            <w:tcBorders>
              <w:top w:val="nil"/>
              <w:left w:val="single" w:color="000000" w:sz="4" w:space="0"/>
              <w:bottom w:val="single" w:color="000000" w:sz="4" w:space="0"/>
              <w:right w:val="single" w:color="000000" w:sz="4" w:space="0"/>
              <w:tl2br w:val="nil"/>
              <w:tr2bl w:val="nil"/>
            </w:tcBorders>
            <w:noWrap w:val="0"/>
            <w:vAlign w:val="center"/>
          </w:tcPr>
          <w:p w14:paraId="36698FD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1304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103A4AFD">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C561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1</w:t>
            </w:r>
            <w:r>
              <w:rPr>
                <w:rFonts w:hint="eastAsia" w:hAnsi="宋体" w:cs="宋体"/>
                <w:color w:val="000000"/>
                <w:sz w:val="16"/>
                <w:szCs w:val="16"/>
                <w:lang w:bidi="ar"/>
              </w:rPr>
              <w:t>.一般公共预算</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7BA41">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6F8D2">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14AB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25</w:t>
            </w:r>
            <w:r>
              <w:rPr>
                <w:rFonts w:hint="eastAsia" w:hAnsi="宋体" w:cs="宋体"/>
                <w:color w:val="000000"/>
                <w:sz w:val="16"/>
                <w:szCs w:val="16"/>
                <w:lang w:bidi="ar"/>
              </w:rPr>
              <w:t>.</w:t>
            </w:r>
            <w:r>
              <w:rPr>
                <w:rFonts w:hint="eastAsia" w:cs="宋体"/>
                <w:color w:val="000000"/>
                <w:sz w:val="16"/>
                <w:szCs w:val="16"/>
                <w:lang w:bidi="ar"/>
              </w:rPr>
              <w:t>5</w:t>
            </w:r>
          </w:p>
        </w:tc>
        <w:tc>
          <w:tcPr>
            <w:tcW w:w="2536" w:type="dxa"/>
            <w:gridSpan w:val="4"/>
            <w:tcBorders>
              <w:top w:val="nil"/>
              <w:left w:val="single" w:color="000000" w:sz="4" w:space="0"/>
              <w:bottom w:val="single" w:color="000000" w:sz="4" w:space="0"/>
              <w:right w:val="single" w:color="000000" w:sz="4" w:space="0"/>
              <w:tl2br w:val="nil"/>
              <w:tr2bl w:val="nil"/>
            </w:tcBorders>
            <w:noWrap w:val="0"/>
            <w:vAlign w:val="center"/>
          </w:tcPr>
          <w:p w14:paraId="529E3A57">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4433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2"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16FEEA8E">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1E78F">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2</w:t>
            </w:r>
            <w:r>
              <w:rPr>
                <w:rFonts w:hint="eastAsia" w:hAnsi="宋体" w:cs="宋体"/>
                <w:color w:val="000000"/>
                <w:sz w:val="16"/>
                <w:szCs w:val="16"/>
                <w:lang w:bidi="ar"/>
              </w:rPr>
              <w:t>.政府性基金</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04C9C">
            <w:pPr>
              <w:spacing w:beforeLines="0" w:afterLines="0"/>
              <w:rPr>
                <w:rFonts w:hint="eastAsia"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DCF7E">
            <w:pPr>
              <w:spacing w:beforeLines="0" w:afterLines="0"/>
              <w:jc w:val="center"/>
              <w:rPr>
                <w:rFonts w:hint="eastAsia"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8274C">
            <w:pPr>
              <w:spacing w:beforeLines="0" w:afterLines="0"/>
              <w:jc w:val="center"/>
              <w:rPr>
                <w:rFonts w:hint="eastAsia" w:hAnsi="宋体" w:cs="宋体"/>
                <w:color w:val="000000"/>
                <w:sz w:val="16"/>
                <w:szCs w:val="16"/>
              </w:rPr>
            </w:pP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5366F">
            <w:pPr>
              <w:spacing w:beforeLines="0" w:afterLines="0"/>
              <w:jc w:val="center"/>
              <w:rPr>
                <w:rFonts w:hint="eastAsia" w:hAnsi="宋体" w:cs="宋体"/>
                <w:color w:val="000000"/>
                <w:sz w:val="16"/>
                <w:szCs w:val="16"/>
              </w:rPr>
            </w:pPr>
          </w:p>
        </w:tc>
      </w:tr>
      <w:tr w14:paraId="38C1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3D5E05D">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76E2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3</w:t>
            </w:r>
            <w:r>
              <w:rPr>
                <w:rFonts w:hint="eastAsia" w:hAnsi="宋体" w:cs="宋体"/>
                <w:color w:val="000000"/>
                <w:sz w:val="16"/>
                <w:szCs w:val="16"/>
                <w:lang w:bidi="ar"/>
              </w:rPr>
              <w:t>.国有资本经营预算</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90A35">
            <w:pPr>
              <w:spacing w:beforeLines="0" w:afterLines="0"/>
              <w:rPr>
                <w:rFonts w:hint="eastAsia"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E5307">
            <w:pPr>
              <w:spacing w:beforeLines="0" w:afterLines="0"/>
              <w:jc w:val="center"/>
              <w:rPr>
                <w:rFonts w:hint="eastAsia"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0CFE9">
            <w:pPr>
              <w:spacing w:beforeLines="0" w:afterLines="0"/>
              <w:jc w:val="center"/>
              <w:rPr>
                <w:rFonts w:hint="eastAsia" w:hAnsi="宋体" w:cs="宋体"/>
                <w:color w:val="000000"/>
                <w:sz w:val="16"/>
                <w:szCs w:val="16"/>
              </w:rPr>
            </w:pP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43DCB">
            <w:pPr>
              <w:spacing w:beforeLines="0" w:afterLines="0"/>
              <w:jc w:val="center"/>
              <w:rPr>
                <w:rFonts w:hint="eastAsia" w:hAnsi="宋体" w:cs="宋体"/>
                <w:color w:val="000000"/>
                <w:sz w:val="16"/>
                <w:szCs w:val="16"/>
              </w:rPr>
            </w:pPr>
          </w:p>
        </w:tc>
      </w:tr>
      <w:tr w14:paraId="6072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2"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6BC14A31">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F2527">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4</w:t>
            </w:r>
            <w:r>
              <w:rPr>
                <w:rFonts w:hint="eastAsia" w:hAnsi="宋体" w:cs="宋体"/>
                <w:color w:val="000000"/>
                <w:sz w:val="16"/>
                <w:szCs w:val="16"/>
                <w:lang w:bidi="ar"/>
              </w:rPr>
              <w:t>.社保基金</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2783B">
            <w:pPr>
              <w:spacing w:beforeLines="0" w:afterLines="0"/>
              <w:rPr>
                <w:rFonts w:hint="eastAsia"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FD956">
            <w:pPr>
              <w:spacing w:beforeLines="0" w:afterLines="0"/>
              <w:jc w:val="center"/>
              <w:rPr>
                <w:rFonts w:hint="eastAsia"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A43E4">
            <w:pPr>
              <w:spacing w:beforeLines="0" w:afterLines="0"/>
              <w:jc w:val="center"/>
              <w:rPr>
                <w:rFonts w:hint="eastAsia" w:hAnsi="宋体" w:cs="宋体"/>
                <w:color w:val="000000"/>
                <w:sz w:val="16"/>
                <w:szCs w:val="16"/>
              </w:rPr>
            </w:pP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A3A37">
            <w:pPr>
              <w:spacing w:beforeLines="0" w:afterLines="0"/>
              <w:jc w:val="center"/>
              <w:rPr>
                <w:rFonts w:hint="eastAsia" w:hAnsi="宋体" w:cs="宋体"/>
                <w:color w:val="000000"/>
                <w:sz w:val="16"/>
                <w:szCs w:val="16"/>
              </w:rPr>
            </w:pPr>
          </w:p>
        </w:tc>
      </w:tr>
      <w:tr w14:paraId="41ED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2" w:hRule="atLeast"/>
        </w:trPr>
        <w:tc>
          <w:tcPr>
            <w:tcW w:w="147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0C10706E">
            <w:pPr>
              <w:spacing w:beforeLines="0" w:afterLines="0"/>
              <w:jc w:val="center"/>
              <w:rPr>
                <w:rFonts w:hint="eastAsia" w:hAnsi="宋体" w:cs="宋体"/>
                <w:color w:val="000000"/>
                <w:sz w:val="16"/>
                <w:szCs w:val="16"/>
              </w:rPr>
            </w:pPr>
          </w:p>
        </w:tc>
        <w:tc>
          <w:tcPr>
            <w:tcW w:w="176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22E7C">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（二）其他资金</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B3D32">
            <w:pPr>
              <w:spacing w:beforeLines="0" w:afterLines="0"/>
              <w:rPr>
                <w:rFonts w:hint="eastAsia"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C3313">
            <w:pPr>
              <w:spacing w:beforeLines="0" w:afterLines="0"/>
              <w:jc w:val="center"/>
              <w:rPr>
                <w:rFonts w:hint="eastAsia"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2B931">
            <w:pPr>
              <w:spacing w:beforeLines="0" w:afterLines="0"/>
              <w:jc w:val="center"/>
              <w:rPr>
                <w:rFonts w:hint="eastAsia" w:hAnsi="宋体" w:cs="宋体"/>
                <w:color w:val="000000"/>
                <w:sz w:val="16"/>
                <w:szCs w:val="16"/>
              </w:rPr>
            </w:pP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791E9">
            <w:pPr>
              <w:spacing w:beforeLines="0" w:afterLines="0"/>
              <w:jc w:val="center"/>
              <w:rPr>
                <w:rFonts w:hint="eastAsia" w:hAnsi="宋体" w:cs="宋体"/>
                <w:color w:val="000000"/>
                <w:sz w:val="16"/>
                <w:szCs w:val="16"/>
              </w:rPr>
            </w:pPr>
          </w:p>
        </w:tc>
      </w:tr>
      <w:tr w14:paraId="4FE8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2" w:hRule="atLeast"/>
        </w:trPr>
        <w:tc>
          <w:tcPr>
            <w:tcW w:w="76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93D6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年度总体目标</w:t>
            </w:r>
          </w:p>
        </w:tc>
        <w:tc>
          <w:tcPr>
            <w:tcW w:w="5880"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E34A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预期目标</w:t>
            </w:r>
          </w:p>
        </w:tc>
        <w:tc>
          <w:tcPr>
            <w:tcW w:w="2536" w:type="dxa"/>
            <w:gridSpan w:val="4"/>
            <w:tcBorders>
              <w:top w:val="nil"/>
              <w:left w:val="single" w:color="000000" w:sz="4" w:space="0"/>
              <w:bottom w:val="single" w:color="000000" w:sz="4" w:space="0"/>
              <w:right w:val="single" w:color="000000" w:sz="4" w:space="0"/>
              <w:tl2br w:val="nil"/>
              <w:tr2bl w:val="nil"/>
            </w:tcBorders>
            <w:noWrap w:val="0"/>
            <w:vAlign w:val="center"/>
          </w:tcPr>
          <w:p w14:paraId="6B12820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实际完成情况</w:t>
            </w:r>
          </w:p>
        </w:tc>
      </w:tr>
      <w:tr w14:paraId="3268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085"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66A07">
            <w:pPr>
              <w:spacing w:beforeLines="0" w:afterLines="0"/>
              <w:jc w:val="center"/>
              <w:rPr>
                <w:rFonts w:hint="eastAsia" w:hAnsi="宋体" w:cs="宋体"/>
                <w:color w:val="000000"/>
                <w:sz w:val="16"/>
                <w:szCs w:val="16"/>
              </w:rPr>
            </w:pPr>
          </w:p>
        </w:tc>
        <w:tc>
          <w:tcPr>
            <w:tcW w:w="5880"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079C3">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1</w:t>
            </w:r>
            <w:r>
              <w:rPr>
                <w:rFonts w:hint="eastAsia" w:hAnsi="宋体" w:cs="宋体"/>
                <w:color w:val="000000"/>
                <w:sz w:val="16"/>
                <w:szCs w:val="16"/>
                <w:lang w:bidi="ar"/>
              </w:rPr>
              <w:t>）承担副厅级及以上领导（含曾经担任）来昭的服务保障工作。 （</w:t>
            </w:r>
            <w:r>
              <w:rPr>
                <w:rFonts w:hint="eastAsia" w:cs="宋体"/>
                <w:color w:val="000000"/>
                <w:sz w:val="16"/>
                <w:szCs w:val="16"/>
                <w:lang w:bidi="ar"/>
              </w:rPr>
              <w:t>2</w:t>
            </w:r>
            <w:r>
              <w:rPr>
                <w:rFonts w:hint="eastAsia" w:hAnsi="宋体" w:cs="宋体"/>
                <w:color w:val="000000"/>
                <w:sz w:val="16"/>
                <w:szCs w:val="16"/>
                <w:lang w:bidi="ar"/>
              </w:rPr>
              <w:t>）按照有关规定负责和参与市级及以上党委、政府派出的巡、视、检查、督查（督导、督察）、考察、调研、考核、审计等综合性工作组来昭的服务保障工作。 （</w:t>
            </w:r>
            <w:r>
              <w:rPr>
                <w:rFonts w:hint="eastAsia" w:cs="宋体"/>
                <w:color w:val="000000"/>
                <w:sz w:val="16"/>
                <w:szCs w:val="16"/>
                <w:lang w:bidi="ar"/>
              </w:rPr>
              <w:t>3</w:t>
            </w:r>
            <w:r>
              <w:rPr>
                <w:rFonts w:hint="eastAsia" w:hAnsi="宋体" w:cs="宋体"/>
                <w:color w:val="000000"/>
                <w:sz w:val="16"/>
                <w:szCs w:val="16"/>
                <w:lang w:bidi="ar"/>
              </w:rPr>
              <w:t>）会同有关部门做好中央、国家机关各部委（含各民主党派、工商联等）和省、市级正县级实职领导来昭的服务保障工作。 （</w:t>
            </w:r>
            <w:r>
              <w:rPr>
                <w:rFonts w:hint="eastAsia" w:cs="宋体"/>
                <w:color w:val="000000"/>
                <w:sz w:val="16"/>
                <w:szCs w:val="16"/>
                <w:lang w:bidi="ar"/>
              </w:rPr>
              <w:t>4</w:t>
            </w:r>
            <w:r>
              <w:rPr>
                <w:rFonts w:hint="eastAsia" w:hAnsi="宋体" w:cs="宋体"/>
                <w:color w:val="000000"/>
                <w:sz w:val="16"/>
                <w:szCs w:val="16"/>
                <w:lang w:bidi="ar"/>
              </w:rPr>
              <w:t>）负责外县（区）党政代表团和人大、政协主要领导率队的考察团来昭的协调联络和服务保障工作。 （</w:t>
            </w:r>
            <w:r>
              <w:rPr>
                <w:rFonts w:hint="eastAsia" w:cs="宋体"/>
                <w:color w:val="000000"/>
                <w:sz w:val="16"/>
                <w:szCs w:val="16"/>
                <w:lang w:bidi="ar"/>
              </w:rPr>
              <w:t>5</w:t>
            </w:r>
            <w:r>
              <w:rPr>
                <w:rFonts w:hint="eastAsia" w:hAnsi="宋体" w:cs="宋体"/>
                <w:color w:val="000000"/>
                <w:sz w:val="16"/>
                <w:szCs w:val="16"/>
                <w:lang w:bidi="ar"/>
              </w:rPr>
              <w:t>）负责区委、区政府交办的由区公务服务中心承担的公务服务和招商引资事项的服务保障工作。 （</w:t>
            </w:r>
            <w:r>
              <w:rPr>
                <w:rFonts w:hint="eastAsia" w:cs="宋体"/>
                <w:color w:val="000000"/>
                <w:sz w:val="16"/>
                <w:szCs w:val="16"/>
                <w:lang w:bidi="ar"/>
              </w:rPr>
              <w:t>6</w:t>
            </w:r>
            <w:r>
              <w:rPr>
                <w:rFonts w:hint="eastAsia" w:hAnsi="宋体" w:cs="宋体"/>
                <w:color w:val="000000"/>
                <w:sz w:val="16"/>
                <w:szCs w:val="16"/>
                <w:lang w:bidi="ar"/>
              </w:rPr>
              <w:t>）会同区级有关部门承担区委、区政府交办的大型会议、活动的接待服务保障工作。 （</w:t>
            </w:r>
            <w:r>
              <w:rPr>
                <w:rFonts w:hint="eastAsia" w:cs="宋体"/>
                <w:color w:val="000000"/>
                <w:sz w:val="16"/>
                <w:szCs w:val="16"/>
                <w:lang w:bidi="ar"/>
              </w:rPr>
              <w:t>7</w:t>
            </w:r>
            <w:r>
              <w:rPr>
                <w:rFonts w:hint="eastAsia" w:hAnsi="宋体" w:cs="宋体"/>
                <w:color w:val="000000"/>
                <w:sz w:val="16"/>
                <w:szCs w:val="16"/>
                <w:lang w:bidi="ar"/>
              </w:rPr>
              <w:t>）承担四大班子后勤保障相关工作。</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7B12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5"/>
                <w:szCs w:val="15"/>
                <w:lang w:bidi="ar"/>
              </w:rPr>
              <w:t>承担副厅级及以上领导（含曾经担任）来昭的服务保障工作。 会同有关部门做好中央、国家机关各部委（含各民主党派、工商联等）和省、市级正县级实职领导来昭的服务保障工作。 负责外县（区）党政代表团和人大、政协主要领导率队的考察团来昭的协调联络和服务保障工作。负责区委、区政府交办的由区公务服务中心承担的公务服务和招商引资事项的服务保障工作。 会同区级有关部门承担区委、区政府交办的大型会议、活动的接待服务保障工作。承担四大班子后勤保障相关工作。</w:t>
            </w:r>
          </w:p>
        </w:tc>
      </w:tr>
      <w:tr w14:paraId="3962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76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8C28F6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绩效指标</w:t>
            </w:r>
          </w:p>
        </w:tc>
        <w:tc>
          <w:tcPr>
            <w:tcW w:w="7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42B1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一级指标</w:t>
            </w:r>
          </w:p>
        </w:tc>
        <w:tc>
          <w:tcPr>
            <w:tcW w:w="118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A830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二级指标</w:t>
            </w:r>
          </w:p>
        </w:tc>
        <w:tc>
          <w:tcPr>
            <w:tcW w:w="2138" w:type="dxa"/>
            <w:gridSpan w:val="10"/>
            <w:tcBorders>
              <w:top w:val="single" w:color="000000" w:sz="4" w:space="0"/>
              <w:left w:val="single" w:color="000000" w:sz="4" w:space="0"/>
              <w:bottom w:val="nil"/>
              <w:right w:val="single" w:color="000000" w:sz="4" w:space="0"/>
              <w:tl2br w:val="nil"/>
              <w:tr2bl w:val="nil"/>
            </w:tcBorders>
            <w:noWrap w:val="0"/>
            <w:vAlign w:val="center"/>
          </w:tcPr>
          <w:p w14:paraId="40FE529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三级指标</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E2C2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年度指标值</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1A31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实际完成值</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A508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偏差原因分析及改进措施</w:t>
            </w:r>
          </w:p>
        </w:tc>
      </w:tr>
      <w:tr w14:paraId="4563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82"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8C1674">
            <w:pPr>
              <w:spacing w:beforeLines="0" w:afterLines="0"/>
              <w:jc w:val="center"/>
              <w:rPr>
                <w:rFonts w:hint="eastAsia" w:hAnsi="宋体" w:cs="宋体"/>
                <w:color w:val="000000"/>
                <w:sz w:val="15"/>
                <w:szCs w:val="15"/>
              </w:rPr>
            </w:pPr>
          </w:p>
        </w:tc>
        <w:tc>
          <w:tcPr>
            <w:tcW w:w="7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33152">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产出指标</w:t>
            </w:r>
          </w:p>
        </w:tc>
        <w:tc>
          <w:tcPr>
            <w:tcW w:w="118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BC31F">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质量指标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ABAC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服务保障完成质量</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1594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定性优良中差</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9753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优</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5780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42E5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67DF5F">
            <w:pPr>
              <w:spacing w:beforeLines="0" w:afterLines="0"/>
              <w:jc w:val="center"/>
              <w:rPr>
                <w:rFonts w:hint="eastAsia"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82FAE">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99AD2">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生态效益指标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533D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杜绝铺张浪费，节省服务保障开支</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9C23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定性优良中差</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C77D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优</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8168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3D6F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941CFF">
            <w:pPr>
              <w:spacing w:beforeLines="0" w:afterLines="0"/>
              <w:jc w:val="center"/>
              <w:rPr>
                <w:rFonts w:hint="eastAsia"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18CF5">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0890F">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经济成本指标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584D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后勤综合保障运行经费</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314E7">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w:t>
            </w:r>
            <w:r>
              <w:rPr>
                <w:rFonts w:hint="eastAsia" w:cs="宋体"/>
                <w:color w:val="000000"/>
                <w:sz w:val="15"/>
                <w:szCs w:val="15"/>
                <w:lang w:bidi="ar"/>
              </w:rPr>
              <w:t>25</w:t>
            </w:r>
            <w:r>
              <w:rPr>
                <w:rFonts w:hint="eastAsia" w:hAnsi="宋体" w:cs="宋体"/>
                <w:color w:val="000000"/>
                <w:sz w:val="15"/>
                <w:szCs w:val="15"/>
                <w:lang w:bidi="ar"/>
              </w:rPr>
              <w:t>.</w:t>
            </w:r>
            <w:r>
              <w:rPr>
                <w:rFonts w:hint="eastAsia" w:cs="宋体"/>
                <w:color w:val="000000"/>
                <w:sz w:val="15"/>
                <w:szCs w:val="15"/>
                <w:lang w:bidi="ar"/>
              </w:rPr>
              <w:t>5</w:t>
            </w:r>
            <w:r>
              <w:rPr>
                <w:rFonts w:hint="eastAsia" w:hAnsi="宋体" w:cs="宋体"/>
                <w:color w:val="000000"/>
                <w:sz w:val="15"/>
                <w:szCs w:val="15"/>
                <w:lang w:bidi="ar"/>
              </w:rPr>
              <w:t>万元</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F53E9">
            <w:pPr>
              <w:widowControl/>
              <w:spacing w:beforeLines="0" w:afterLines="0"/>
              <w:jc w:val="center"/>
              <w:textAlignment w:val="center"/>
              <w:rPr>
                <w:rFonts w:hint="eastAsia" w:hAnsi="宋体" w:cs="宋体"/>
                <w:color w:val="000000"/>
                <w:sz w:val="15"/>
                <w:szCs w:val="15"/>
              </w:rPr>
            </w:pPr>
            <w:r>
              <w:rPr>
                <w:rFonts w:hint="eastAsia" w:cs="宋体"/>
                <w:color w:val="000000"/>
                <w:sz w:val="15"/>
                <w:szCs w:val="15"/>
                <w:lang w:bidi="ar"/>
              </w:rPr>
              <w:t>25</w:t>
            </w:r>
            <w:r>
              <w:rPr>
                <w:rFonts w:hint="eastAsia" w:hAnsi="宋体" w:cs="宋体"/>
                <w:color w:val="000000"/>
                <w:sz w:val="15"/>
                <w:szCs w:val="15"/>
                <w:lang w:bidi="ar"/>
              </w:rPr>
              <w:t>.</w:t>
            </w:r>
            <w:r>
              <w:rPr>
                <w:rFonts w:hint="eastAsia" w:cs="宋体"/>
                <w:color w:val="000000"/>
                <w:sz w:val="15"/>
                <w:szCs w:val="15"/>
                <w:lang w:bidi="ar"/>
              </w:rPr>
              <w:t>5</w:t>
            </w:r>
            <w:r>
              <w:rPr>
                <w:rFonts w:hint="eastAsia" w:hAnsi="宋体" w:cs="宋体"/>
                <w:color w:val="000000"/>
                <w:sz w:val="15"/>
                <w:szCs w:val="15"/>
                <w:lang w:bidi="ar"/>
              </w:rPr>
              <w:t>万元</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5412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16C3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6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616896">
            <w:pPr>
              <w:spacing w:beforeLines="0" w:afterLines="0"/>
              <w:jc w:val="center"/>
              <w:rPr>
                <w:rFonts w:hint="eastAsia"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96474">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397A9">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数量指标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43B3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服务保障次数</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B43B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w:t>
            </w:r>
            <w:r>
              <w:rPr>
                <w:rFonts w:hint="eastAsia" w:cs="宋体"/>
                <w:color w:val="000000"/>
                <w:sz w:val="15"/>
                <w:szCs w:val="15"/>
                <w:lang w:bidi="ar"/>
              </w:rPr>
              <w:t>120</w:t>
            </w:r>
            <w:r>
              <w:rPr>
                <w:rFonts w:hint="eastAsia" w:hAnsi="宋体" w:cs="宋体"/>
                <w:color w:val="000000"/>
                <w:sz w:val="15"/>
                <w:szCs w:val="15"/>
                <w:lang w:bidi="ar"/>
              </w:rPr>
              <w:t>次</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BCEC0">
            <w:pPr>
              <w:widowControl/>
              <w:spacing w:beforeLines="0" w:afterLines="0"/>
              <w:jc w:val="center"/>
              <w:textAlignment w:val="center"/>
              <w:rPr>
                <w:rFonts w:hint="eastAsia" w:hAnsi="宋体" w:cs="宋体"/>
                <w:color w:val="000000"/>
                <w:sz w:val="15"/>
                <w:szCs w:val="15"/>
              </w:rPr>
            </w:pPr>
            <w:r>
              <w:rPr>
                <w:rFonts w:hint="eastAsia" w:cs="宋体"/>
                <w:color w:val="000000"/>
                <w:sz w:val="15"/>
                <w:szCs w:val="15"/>
                <w:lang w:bidi="ar"/>
              </w:rPr>
              <w:t>196</w:t>
            </w:r>
            <w:r>
              <w:rPr>
                <w:rFonts w:hint="eastAsia" w:hAnsi="宋体" w:cs="宋体"/>
                <w:color w:val="000000"/>
                <w:sz w:val="15"/>
                <w:szCs w:val="15"/>
                <w:lang w:bidi="ar"/>
              </w:rPr>
              <w:t>次</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6859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5A34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0"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9D5968">
            <w:pPr>
              <w:spacing w:beforeLines="0" w:afterLines="0"/>
              <w:jc w:val="center"/>
              <w:rPr>
                <w:rFonts w:hint="eastAsia"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A0156">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21CB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时效指标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0F58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资金支付及时率（计划完成时间-实际完成时间）/计划完成时间*</w:t>
            </w:r>
            <w:r>
              <w:rPr>
                <w:rFonts w:hint="eastAsia" w:cs="宋体"/>
                <w:color w:val="000000"/>
                <w:sz w:val="15"/>
                <w:szCs w:val="15"/>
                <w:lang w:bidi="ar"/>
              </w:rPr>
              <w:t>100</w:t>
            </w:r>
            <w:r>
              <w:rPr>
                <w:rFonts w:hint="eastAsia" w:hAnsi="宋体" w:cs="宋体"/>
                <w:color w:val="000000"/>
                <w:sz w:val="15"/>
                <w:szCs w:val="15"/>
                <w:lang w:bidi="ar"/>
              </w:rPr>
              <w:t>%</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961D0">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w:t>
            </w:r>
            <w:r>
              <w:rPr>
                <w:rFonts w:hint="eastAsia" w:cs="宋体"/>
                <w:color w:val="000000"/>
                <w:sz w:val="15"/>
                <w:szCs w:val="15"/>
                <w:lang w:bidi="ar"/>
              </w:rPr>
              <w:t>0</w:t>
            </w:r>
            <w:r>
              <w:rPr>
                <w:rFonts w:hint="eastAsia" w:hAnsi="宋体" w:cs="宋体"/>
                <w:color w:val="000000"/>
                <w:sz w:val="15"/>
                <w:szCs w:val="15"/>
                <w:lang w:bidi="ar"/>
              </w:rPr>
              <w:t>%</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06A78">
            <w:pPr>
              <w:widowControl/>
              <w:spacing w:beforeLines="0" w:afterLines="0"/>
              <w:jc w:val="center"/>
              <w:textAlignment w:val="center"/>
              <w:rPr>
                <w:rFonts w:hint="eastAsia" w:hAnsi="宋体" w:cs="宋体"/>
                <w:color w:val="000000"/>
                <w:sz w:val="15"/>
                <w:szCs w:val="15"/>
              </w:rPr>
            </w:pPr>
            <w:r>
              <w:rPr>
                <w:rFonts w:hint="eastAsia" w:cs="宋体"/>
                <w:color w:val="000000"/>
                <w:sz w:val="15"/>
                <w:szCs w:val="15"/>
                <w:lang w:bidi="ar"/>
              </w:rPr>
              <w:t>100</w:t>
            </w:r>
            <w:r>
              <w:rPr>
                <w:rFonts w:hint="eastAsia" w:hAnsi="宋体" w:cs="宋体"/>
                <w:color w:val="000000"/>
                <w:sz w:val="15"/>
                <w:szCs w:val="15"/>
                <w:lang w:bidi="ar"/>
              </w:rPr>
              <w:t>%</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9B37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003C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8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671896C">
            <w:pPr>
              <w:spacing w:beforeLines="0" w:afterLines="0"/>
              <w:jc w:val="center"/>
              <w:rPr>
                <w:rFonts w:hint="eastAsia"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850E5">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9C924">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服务对象满意度指标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0CC8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服务保障对象满意度</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5FE81">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w:t>
            </w:r>
            <w:r>
              <w:rPr>
                <w:rFonts w:hint="eastAsia" w:cs="宋体"/>
                <w:color w:val="000000"/>
                <w:sz w:val="15"/>
                <w:szCs w:val="15"/>
                <w:lang w:bidi="ar"/>
              </w:rPr>
              <w:t>95</w:t>
            </w:r>
            <w:r>
              <w:rPr>
                <w:rFonts w:hint="eastAsia" w:hAnsi="宋体" w:cs="宋体"/>
                <w:color w:val="000000"/>
                <w:sz w:val="15"/>
                <w:szCs w:val="15"/>
                <w:lang w:bidi="ar"/>
              </w:rPr>
              <w:t>%</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FE211">
            <w:pPr>
              <w:widowControl/>
              <w:spacing w:beforeLines="0" w:afterLines="0"/>
              <w:jc w:val="center"/>
              <w:textAlignment w:val="center"/>
              <w:rPr>
                <w:rFonts w:hint="eastAsia" w:hAnsi="宋体" w:cs="宋体"/>
                <w:color w:val="000000"/>
                <w:sz w:val="15"/>
                <w:szCs w:val="15"/>
              </w:rPr>
            </w:pPr>
            <w:r>
              <w:rPr>
                <w:rFonts w:hint="eastAsia" w:cs="宋体"/>
                <w:color w:val="000000"/>
                <w:sz w:val="15"/>
                <w:szCs w:val="15"/>
                <w:lang w:bidi="ar"/>
              </w:rPr>
              <w:t>98</w:t>
            </w:r>
            <w:r>
              <w:rPr>
                <w:rFonts w:hint="eastAsia" w:hAnsi="宋体" w:cs="宋体"/>
                <w:color w:val="000000"/>
                <w:sz w:val="15"/>
                <w:szCs w:val="15"/>
                <w:lang w:bidi="ar"/>
              </w:rPr>
              <w:t>%</w:t>
            </w:r>
          </w:p>
        </w:tc>
        <w:tc>
          <w:tcPr>
            <w:tcW w:w="25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C4B4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无</w:t>
            </w:r>
          </w:p>
        </w:tc>
      </w:tr>
      <w:tr w14:paraId="28B9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658" w:hRule="atLeast"/>
        </w:trPr>
        <w:tc>
          <w:tcPr>
            <w:tcW w:w="9165" w:type="dxa"/>
            <w:gridSpan w:val="33"/>
            <w:tcBorders>
              <w:top w:val="nil"/>
              <w:left w:val="nil"/>
              <w:bottom w:val="nil"/>
              <w:right w:val="nil"/>
              <w:tl2br w:val="nil"/>
              <w:tr2bl w:val="nil"/>
            </w:tcBorders>
            <w:noWrap w:val="0"/>
            <w:vAlign w:val="center"/>
          </w:tcPr>
          <w:p w14:paraId="11E8DF1B">
            <w:pPr>
              <w:widowControl/>
              <w:spacing w:beforeLines="0" w:afterLines="0"/>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46A9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488" w:hRule="atLeast"/>
        </w:trPr>
        <w:tc>
          <w:tcPr>
            <w:tcW w:w="9165" w:type="dxa"/>
            <w:gridSpan w:val="33"/>
            <w:tcBorders>
              <w:top w:val="nil"/>
              <w:left w:val="nil"/>
              <w:bottom w:val="nil"/>
              <w:right w:val="nil"/>
              <w:tl2br w:val="nil"/>
              <w:tr2bl w:val="nil"/>
            </w:tcBorders>
            <w:noWrap w:val="0"/>
            <w:vAlign w:val="top"/>
          </w:tcPr>
          <w:p w14:paraId="2FAF4EA1">
            <w:pPr>
              <w:widowControl/>
              <w:spacing w:beforeLines="0" w:afterLines="0"/>
              <w:jc w:val="center"/>
              <w:textAlignment w:val="top"/>
              <w:rPr>
                <w:rFonts w:hint="eastAsia" w:hAnsi="宋体" w:cs="宋体"/>
                <w:color w:val="000000"/>
                <w:sz w:val="22"/>
                <w:szCs w:val="22"/>
              </w:rPr>
            </w:pPr>
            <w:r>
              <w:rPr>
                <w:rFonts w:hint="eastAsia" w:hAnsi="宋体" w:cs="宋体"/>
                <w:color w:val="000000"/>
                <w:sz w:val="22"/>
                <w:szCs w:val="22"/>
                <w:lang w:bidi="ar"/>
              </w:rPr>
              <w:t>（</w:t>
            </w:r>
            <w:r>
              <w:rPr>
                <w:rFonts w:hint="eastAsia" w:cs="宋体"/>
                <w:color w:val="000000"/>
                <w:sz w:val="22"/>
                <w:szCs w:val="22"/>
                <w:lang w:bidi="ar"/>
              </w:rPr>
              <w:t>2023</w:t>
            </w:r>
            <w:r>
              <w:rPr>
                <w:rFonts w:hint="eastAsia" w:hAnsi="宋体" w:cs="宋体"/>
                <w:color w:val="000000"/>
                <w:sz w:val="22"/>
                <w:szCs w:val="22"/>
                <w:lang w:bidi="ar"/>
              </w:rPr>
              <w:t>年度）</w:t>
            </w:r>
          </w:p>
        </w:tc>
      </w:tr>
      <w:tr w14:paraId="0728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CF9C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项目（政策）名称</w:t>
            </w:r>
          </w:p>
        </w:tc>
        <w:tc>
          <w:tcPr>
            <w:tcW w:w="7309"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968B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公务用车运行费</w:t>
            </w:r>
          </w:p>
        </w:tc>
      </w:tr>
      <w:tr w14:paraId="1BD7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F273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主管部门</w:t>
            </w:r>
          </w:p>
        </w:tc>
        <w:tc>
          <w:tcPr>
            <w:tcW w:w="370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55C7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70F7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实施单位</w:t>
            </w:r>
          </w:p>
        </w:tc>
        <w:tc>
          <w:tcPr>
            <w:tcW w:w="2752" w:type="dxa"/>
            <w:gridSpan w:val="6"/>
            <w:tcBorders>
              <w:top w:val="single" w:color="000000" w:sz="4" w:space="0"/>
              <w:left w:val="single" w:color="000000" w:sz="4" w:space="0"/>
              <w:bottom w:val="nil"/>
              <w:right w:val="single" w:color="000000" w:sz="4" w:space="0"/>
              <w:tl2br w:val="nil"/>
              <w:tr2bl w:val="nil"/>
            </w:tcBorders>
            <w:noWrap w:val="0"/>
            <w:vAlign w:val="center"/>
          </w:tcPr>
          <w:p w14:paraId="61089C3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r>
      <w:tr w14:paraId="41EF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6D6E3C6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项目（政策）资金（万元）</w:t>
            </w:r>
          </w:p>
        </w:tc>
        <w:tc>
          <w:tcPr>
            <w:tcW w:w="1320" w:type="dxa"/>
            <w:gridSpan w:val="5"/>
            <w:tcBorders>
              <w:top w:val="nil"/>
              <w:left w:val="single" w:color="000000" w:sz="4" w:space="0"/>
              <w:bottom w:val="single" w:color="000000" w:sz="4" w:space="0"/>
              <w:right w:val="single" w:color="000000" w:sz="4" w:space="0"/>
              <w:tl2br w:val="nil"/>
              <w:tr2bl w:val="nil"/>
            </w:tcBorders>
            <w:noWrap w:val="0"/>
            <w:vAlign w:val="center"/>
          </w:tcPr>
          <w:p w14:paraId="5829AD37">
            <w:pPr>
              <w:spacing w:beforeLines="0" w:afterLines="0"/>
              <w:jc w:val="center"/>
              <w:rPr>
                <w:rFonts w:hint="eastAsia" w:hAnsi="宋体" w:cs="宋体"/>
                <w:color w:val="000000"/>
                <w:sz w:val="16"/>
                <w:szCs w:val="16"/>
              </w:rPr>
            </w:pPr>
          </w:p>
        </w:tc>
        <w:tc>
          <w:tcPr>
            <w:tcW w:w="1529" w:type="dxa"/>
            <w:gridSpan w:val="5"/>
            <w:tcBorders>
              <w:top w:val="nil"/>
              <w:left w:val="single" w:color="000000" w:sz="4" w:space="0"/>
              <w:bottom w:val="single" w:color="000000" w:sz="4" w:space="0"/>
              <w:right w:val="single" w:color="000000" w:sz="4" w:space="0"/>
              <w:tl2br w:val="nil"/>
              <w:tr2bl w:val="nil"/>
            </w:tcBorders>
            <w:noWrap w:val="0"/>
            <w:vAlign w:val="center"/>
          </w:tcPr>
          <w:p w14:paraId="1144974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年初预算数</w:t>
            </w:r>
          </w:p>
        </w:tc>
        <w:tc>
          <w:tcPr>
            <w:tcW w:w="858" w:type="dxa"/>
            <w:gridSpan w:val="3"/>
            <w:tcBorders>
              <w:top w:val="nil"/>
              <w:left w:val="single" w:color="000000" w:sz="4" w:space="0"/>
              <w:bottom w:val="single" w:color="000000" w:sz="4" w:space="0"/>
              <w:right w:val="single" w:color="000000" w:sz="4" w:space="0"/>
              <w:tl2br w:val="nil"/>
              <w:tr2bl w:val="nil"/>
            </w:tcBorders>
            <w:noWrap w:val="0"/>
            <w:vAlign w:val="center"/>
          </w:tcPr>
          <w:p w14:paraId="369332E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全年预算数</w:t>
            </w:r>
          </w:p>
        </w:tc>
        <w:tc>
          <w:tcPr>
            <w:tcW w:w="850" w:type="dxa"/>
            <w:gridSpan w:val="5"/>
            <w:tcBorders>
              <w:top w:val="nil"/>
              <w:left w:val="single" w:color="000000" w:sz="4" w:space="0"/>
              <w:bottom w:val="single" w:color="000000" w:sz="4" w:space="0"/>
              <w:right w:val="single" w:color="000000" w:sz="4" w:space="0"/>
              <w:tl2br w:val="nil"/>
              <w:tr2bl w:val="nil"/>
            </w:tcBorders>
            <w:noWrap w:val="0"/>
            <w:vAlign w:val="center"/>
          </w:tcPr>
          <w:p w14:paraId="5BBD098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全年执行数</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DAFC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执行率</w:t>
            </w:r>
          </w:p>
        </w:tc>
      </w:tr>
      <w:tr w14:paraId="3D53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1CB74DE">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3B960">
            <w:pPr>
              <w:widowControl/>
              <w:spacing w:beforeLines="0" w:afterLines="0"/>
              <w:jc w:val="both"/>
              <w:textAlignment w:val="center"/>
              <w:rPr>
                <w:rFonts w:hint="eastAsia" w:hAnsi="宋体" w:cs="宋体"/>
                <w:color w:val="000000"/>
                <w:sz w:val="16"/>
                <w:szCs w:val="16"/>
              </w:rPr>
            </w:pPr>
            <w:r>
              <w:rPr>
                <w:rFonts w:hint="eastAsia" w:hAnsi="宋体" w:cs="宋体"/>
                <w:color w:val="000000"/>
                <w:sz w:val="16"/>
                <w:szCs w:val="16"/>
                <w:lang w:bidi="ar"/>
              </w:rPr>
              <w:t>年度资金总额</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1D668">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1F2D6">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751B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2752" w:type="dxa"/>
            <w:gridSpan w:val="6"/>
            <w:tcBorders>
              <w:top w:val="nil"/>
              <w:left w:val="single" w:color="000000" w:sz="4" w:space="0"/>
              <w:bottom w:val="single" w:color="000000" w:sz="4" w:space="0"/>
              <w:right w:val="single" w:color="000000" w:sz="4" w:space="0"/>
              <w:tl2br w:val="nil"/>
              <w:tr2bl w:val="nil"/>
            </w:tcBorders>
            <w:noWrap w:val="0"/>
            <w:vAlign w:val="center"/>
          </w:tcPr>
          <w:p w14:paraId="2E7089A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5C5E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5B4F8F8">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A5637">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（一）财政拨款小计</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C99B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D2871">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A6C1E">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2752" w:type="dxa"/>
            <w:gridSpan w:val="6"/>
            <w:tcBorders>
              <w:top w:val="nil"/>
              <w:left w:val="single" w:color="000000" w:sz="4" w:space="0"/>
              <w:bottom w:val="single" w:color="000000" w:sz="4" w:space="0"/>
              <w:right w:val="single" w:color="000000" w:sz="4" w:space="0"/>
              <w:tl2br w:val="nil"/>
              <w:tr2bl w:val="nil"/>
            </w:tcBorders>
            <w:noWrap w:val="0"/>
            <w:vAlign w:val="center"/>
          </w:tcPr>
          <w:p w14:paraId="5854C27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4B0B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9013C14">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1FC78">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1</w:t>
            </w:r>
            <w:r>
              <w:rPr>
                <w:rFonts w:hint="eastAsia" w:hAnsi="宋体" w:cs="宋体"/>
                <w:color w:val="000000"/>
                <w:sz w:val="16"/>
                <w:szCs w:val="16"/>
                <w:lang w:bidi="ar"/>
              </w:rPr>
              <w:t>.一般公共预算</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FD122">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8334E">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D5B54">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w:t>
            </w:r>
          </w:p>
        </w:tc>
        <w:tc>
          <w:tcPr>
            <w:tcW w:w="2752" w:type="dxa"/>
            <w:gridSpan w:val="6"/>
            <w:tcBorders>
              <w:top w:val="nil"/>
              <w:left w:val="single" w:color="000000" w:sz="4" w:space="0"/>
              <w:bottom w:val="single" w:color="000000" w:sz="4" w:space="0"/>
              <w:right w:val="single" w:color="000000" w:sz="4" w:space="0"/>
              <w:tl2br w:val="nil"/>
              <w:tr2bl w:val="nil"/>
            </w:tcBorders>
            <w:noWrap w:val="0"/>
            <w:vAlign w:val="center"/>
          </w:tcPr>
          <w:p w14:paraId="4439058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6599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76731174">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1749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2</w:t>
            </w:r>
            <w:r>
              <w:rPr>
                <w:rFonts w:hint="eastAsia" w:hAnsi="宋体" w:cs="宋体"/>
                <w:color w:val="000000"/>
                <w:sz w:val="16"/>
                <w:szCs w:val="16"/>
                <w:lang w:bidi="ar"/>
              </w:rPr>
              <w:t>.政府性基金</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37D40">
            <w:pPr>
              <w:spacing w:beforeLines="0" w:afterLines="0"/>
              <w:rPr>
                <w:rFonts w:hint="eastAsia"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265C6">
            <w:pPr>
              <w:spacing w:beforeLines="0" w:afterLines="0"/>
              <w:jc w:val="center"/>
              <w:rPr>
                <w:rFonts w:hint="eastAsia"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E696F">
            <w:pPr>
              <w:spacing w:beforeLines="0" w:afterLines="0"/>
              <w:jc w:val="center"/>
              <w:rPr>
                <w:rFonts w:hint="eastAsia" w:hAnsi="宋体" w:cs="宋体"/>
                <w:color w:val="000000"/>
                <w:sz w:val="16"/>
                <w:szCs w:val="16"/>
              </w:rPr>
            </w:pP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64230">
            <w:pPr>
              <w:spacing w:beforeLines="0" w:afterLines="0"/>
              <w:jc w:val="center"/>
              <w:rPr>
                <w:rFonts w:hint="eastAsia" w:hAnsi="宋体" w:cs="宋体"/>
                <w:color w:val="000000"/>
                <w:sz w:val="16"/>
                <w:szCs w:val="16"/>
              </w:rPr>
            </w:pPr>
          </w:p>
        </w:tc>
      </w:tr>
      <w:tr w14:paraId="5630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477"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5A725314">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45E6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3</w:t>
            </w:r>
            <w:r>
              <w:rPr>
                <w:rFonts w:hint="eastAsia" w:hAnsi="宋体" w:cs="宋体"/>
                <w:color w:val="000000"/>
                <w:sz w:val="16"/>
                <w:szCs w:val="16"/>
                <w:lang w:bidi="ar"/>
              </w:rPr>
              <w:t>.国有资本经营预算</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2FCB0">
            <w:pPr>
              <w:spacing w:beforeLines="0" w:afterLines="0"/>
              <w:rPr>
                <w:rFonts w:hint="eastAsia"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4A4B1">
            <w:pPr>
              <w:spacing w:beforeLines="0" w:afterLines="0"/>
              <w:jc w:val="center"/>
              <w:rPr>
                <w:rFonts w:hint="eastAsia"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7E67F">
            <w:pPr>
              <w:spacing w:beforeLines="0" w:afterLines="0"/>
              <w:jc w:val="center"/>
              <w:rPr>
                <w:rFonts w:hint="eastAsia" w:hAnsi="宋体" w:cs="宋体"/>
                <w:color w:val="000000"/>
                <w:sz w:val="16"/>
                <w:szCs w:val="16"/>
              </w:rPr>
            </w:pP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F92FE">
            <w:pPr>
              <w:spacing w:beforeLines="0" w:afterLines="0"/>
              <w:jc w:val="center"/>
              <w:rPr>
                <w:rFonts w:hint="eastAsia" w:hAnsi="宋体" w:cs="宋体"/>
                <w:color w:val="000000"/>
                <w:sz w:val="16"/>
                <w:szCs w:val="16"/>
              </w:rPr>
            </w:pPr>
          </w:p>
        </w:tc>
      </w:tr>
      <w:tr w14:paraId="6DC2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D38B1BA">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6EB4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4</w:t>
            </w:r>
            <w:r>
              <w:rPr>
                <w:rFonts w:hint="eastAsia" w:hAnsi="宋体" w:cs="宋体"/>
                <w:color w:val="000000"/>
                <w:sz w:val="16"/>
                <w:szCs w:val="16"/>
                <w:lang w:bidi="ar"/>
              </w:rPr>
              <w:t>.社保基金</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468FF">
            <w:pPr>
              <w:spacing w:beforeLines="0" w:afterLines="0"/>
              <w:rPr>
                <w:rFonts w:hint="eastAsia"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A62A2">
            <w:pPr>
              <w:spacing w:beforeLines="0" w:afterLines="0"/>
              <w:jc w:val="center"/>
              <w:rPr>
                <w:rFonts w:hint="eastAsia"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C0219">
            <w:pPr>
              <w:spacing w:beforeLines="0" w:afterLines="0"/>
              <w:jc w:val="center"/>
              <w:rPr>
                <w:rFonts w:hint="eastAsia" w:hAnsi="宋体" w:cs="宋体"/>
                <w:color w:val="000000"/>
                <w:sz w:val="16"/>
                <w:szCs w:val="16"/>
              </w:rPr>
            </w:pP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6B764">
            <w:pPr>
              <w:spacing w:beforeLines="0" w:afterLines="0"/>
              <w:jc w:val="center"/>
              <w:rPr>
                <w:rFonts w:hint="eastAsia" w:hAnsi="宋体" w:cs="宋体"/>
                <w:color w:val="000000"/>
                <w:sz w:val="16"/>
                <w:szCs w:val="16"/>
              </w:rPr>
            </w:pPr>
          </w:p>
        </w:tc>
      </w:tr>
      <w:tr w14:paraId="32FD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5D08AE8">
            <w:pPr>
              <w:spacing w:beforeLines="0" w:afterLines="0"/>
              <w:jc w:val="center"/>
              <w:rPr>
                <w:rFonts w:hint="eastAsia"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617B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（二）其他资金</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68114">
            <w:pPr>
              <w:spacing w:beforeLines="0" w:afterLines="0"/>
              <w:rPr>
                <w:rFonts w:hint="eastAsia"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2FD28">
            <w:pPr>
              <w:spacing w:beforeLines="0" w:afterLines="0"/>
              <w:jc w:val="center"/>
              <w:rPr>
                <w:rFonts w:hint="eastAsia"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91CE7">
            <w:pPr>
              <w:spacing w:beforeLines="0" w:afterLines="0"/>
              <w:jc w:val="center"/>
              <w:rPr>
                <w:rFonts w:hint="eastAsia" w:hAnsi="宋体" w:cs="宋体"/>
                <w:color w:val="000000"/>
                <w:sz w:val="16"/>
                <w:szCs w:val="16"/>
              </w:rPr>
            </w:pP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1D398">
            <w:pPr>
              <w:spacing w:beforeLines="0" w:afterLines="0"/>
              <w:jc w:val="center"/>
              <w:rPr>
                <w:rFonts w:hint="eastAsia" w:hAnsi="宋体" w:cs="宋体"/>
                <w:color w:val="000000"/>
                <w:sz w:val="16"/>
                <w:szCs w:val="16"/>
              </w:rPr>
            </w:pPr>
          </w:p>
        </w:tc>
      </w:tr>
      <w:tr w14:paraId="3018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647" w:hRule="atLeast"/>
        </w:trPr>
        <w:tc>
          <w:tcPr>
            <w:tcW w:w="7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41C0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年度总体目标</w:t>
            </w:r>
          </w:p>
        </w:tc>
        <w:tc>
          <w:tcPr>
            <w:tcW w:w="5648"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57C9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预期目标</w:t>
            </w:r>
          </w:p>
        </w:tc>
        <w:tc>
          <w:tcPr>
            <w:tcW w:w="2752" w:type="dxa"/>
            <w:gridSpan w:val="6"/>
            <w:tcBorders>
              <w:top w:val="nil"/>
              <w:left w:val="single" w:color="000000" w:sz="4" w:space="0"/>
              <w:bottom w:val="single" w:color="000000" w:sz="4" w:space="0"/>
              <w:right w:val="single" w:color="000000" w:sz="4" w:space="0"/>
              <w:tl2br w:val="nil"/>
              <w:tr2bl w:val="nil"/>
            </w:tcBorders>
            <w:noWrap w:val="0"/>
            <w:vAlign w:val="center"/>
          </w:tcPr>
          <w:p w14:paraId="02265B9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实际完成情况</w:t>
            </w:r>
          </w:p>
        </w:tc>
      </w:tr>
      <w:tr w14:paraId="5D73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1522"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3832F">
            <w:pPr>
              <w:spacing w:beforeLines="0" w:afterLines="0"/>
              <w:jc w:val="center"/>
              <w:rPr>
                <w:rFonts w:hint="eastAsia" w:hAnsi="宋体" w:cs="宋体"/>
                <w:color w:val="000000"/>
                <w:sz w:val="16"/>
                <w:szCs w:val="16"/>
              </w:rPr>
            </w:pPr>
          </w:p>
        </w:tc>
        <w:tc>
          <w:tcPr>
            <w:tcW w:w="5648"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EBE1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保障全区现场会、大型接待及领导调研公务用车。</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90E6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保障了全区现场会、大型接待及领导调研公务用车。一年来，全区共接待来宾</w:t>
            </w:r>
            <w:r>
              <w:rPr>
                <w:rFonts w:hint="eastAsia" w:cs="宋体"/>
                <w:color w:val="000000"/>
                <w:sz w:val="16"/>
                <w:szCs w:val="16"/>
                <w:lang w:bidi="ar"/>
              </w:rPr>
              <w:t>292</w:t>
            </w:r>
            <w:r>
              <w:rPr>
                <w:rFonts w:hint="eastAsia" w:hAnsi="宋体" w:cs="宋体"/>
                <w:color w:val="000000"/>
                <w:sz w:val="16"/>
                <w:szCs w:val="16"/>
                <w:lang w:bidi="ar"/>
              </w:rPr>
              <w:t>人次，全区各类重大会议活动</w:t>
            </w:r>
            <w:r>
              <w:rPr>
                <w:rFonts w:hint="eastAsia" w:cs="宋体"/>
                <w:color w:val="000000"/>
                <w:sz w:val="16"/>
                <w:szCs w:val="16"/>
                <w:lang w:bidi="ar"/>
              </w:rPr>
              <w:t>17</w:t>
            </w:r>
            <w:r>
              <w:rPr>
                <w:rFonts w:hint="eastAsia" w:hAnsi="宋体" w:cs="宋体"/>
                <w:color w:val="000000"/>
                <w:sz w:val="16"/>
                <w:szCs w:val="16"/>
                <w:lang w:bidi="ar"/>
              </w:rPr>
              <w:t>次，省、市各类现场会</w:t>
            </w:r>
            <w:r>
              <w:rPr>
                <w:rFonts w:hint="eastAsia" w:cs="宋体"/>
                <w:color w:val="000000"/>
                <w:sz w:val="16"/>
                <w:szCs w:val="16"/>
                <w:lang w:bidi="ar"/>
              </w:rPr>
              <w:t>12</w:t>
            </w:r>
            <w:r>
              <w:rPr>
                <w:rFonts w:hint="eastAsia" w:hAnsi="宋体" w:cs="宋体"/>
                <w:color w:val="000000"/>
                <w:sz w:val="16"/>
                <w:szCs w:val="16"/>
                <w:lang w:bidi="ar"/>
              </w:rPr>
              <w:t>次。全年无违法记录，无安全事故发生。</w:t>
            </w:r>
          </w:p>
        </w:tc>
      </w:tr>
      <w:tr w14:paraId="6008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562" w:hRule="atLeast"/>
        </w:trPr>
        <w:tc>
          <w:tcPr>
            <w:tcW w:w="76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C1B6BE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绩效指标</w:t>
            </w: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6FCD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一级指标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1CD2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二级指标</w:t>
            </w:r>
          </w:p>
        </w:tc>
        <w:tc>
          <w:tcPr>
            <w:tcW w:w="2053" w:type="dxa"/>
            <w:gridSpan w:val="8"/>
            <w:tcBorders>
              <w:top w:val="single" w:color="000000" w:sz="4" w:space="0"/>
              <w:left w:val="single" w:color="000000" w:sz="4" w:space="0"/>
              <w:bottom w:val="nil"/>
              <w:right w:val="single" w:color="000000" w:sz="4" w:space="0"/>
              <w:tl2br w:val="nil"/>
              <w:tr2bl w:val="nil"/>
            </w:tcBorders>
            <w:noWrap w:val="0"/>
            <w:vAlign w:val="center"/>
          </w:tcPr>
          <w:p w14:paraId="2D2D11C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三级指标</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B7A9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年度指标值</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0932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实际完成值</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A105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偏差原因分析及改进措施</w:t>
            </w:r>
          </w:p>
        </w:tc>
      </w:tr>
      <w:tr w14:paraId="2919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50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BA86404">
            <w:pPr>
              <w:spacing w:beforeLines="0" w:afterLines="0"/>
              <w:jc w:val="center"/>
              <w:rPr>
                <w:rFonts w:hint="eastAsia"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402A3">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0BC9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经济成本指标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2D17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公务用车运行费</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FC52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120000</w:t>
            </w:r>
            <w:r>
              <w:rPr>
                <w:rFonts w:hint="eastAsia" w:hAnsi="宋体" w:cs="宋体"/>
                <w:color w:val="000000"/>
                <w:sz w:val="16"/>
                <w:szCs w:val="16"/>
                <w:lang w:bidi="ar"/>
              </w:rPr>
              <w:t>元</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EEF67">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120000</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A009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3D74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50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FB4B1B">
            <w:pPr>
              <w:spacing w:beforeLines="0" w:afterLines="0"/>
              <w:jc w:val="center"/>
              <w:rPr>
                <w:rFonts w:hint="eastAsia"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31F1A">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D984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经济效益指标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0357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降低运行成本，节省开支</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7E0A8">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定性优良中差</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9B69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31E3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751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50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38CDCF">
            <w:pPr>
              <w:spacing w:beforeLines="0" w:afterLines="0"/>
              <w:jc w:val="center"/>
              <w:rPr>
                <w:rFonts w:hint="eastAsia"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03D7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E9B98">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质量指标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E2EC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道路交通违法记录</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8E95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0</w:t>
            </w:r>
            <w:r>
              <w:rPr>
                <w:rFonts w:hint="eastAsia" w:hAnsi="宋体" w:cs="宋体"/>
                <w:color w:val="000000"/>
                <w:sz w:val="16"/>
                <w:szCs w:val="16"/>
                <w:lang w:bidi="ar"/>
              </w:rPr>
              <w:t>次</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4703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0</w:t>
            </w:r>
            <w:r>
              <w:rPr>
                <w:rFonts w:hint="eastAsia" w:hAnsi="宋体" w:cs="宋体"/>
                <w:color w:val="000000"/>
                <w:sz w:val="16"/>
                <w:szCs w:val="16"/>
                <w:lang w:bidi="ar"/>
              </w:rPr>
              <w:t>次</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F137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0F47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440"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861CD48">
            <w:pPr>
              <w:spacing w:beforeLines="0" w:afterLines="0"/>
              <w:jc w:val="center"/>
              <w:rPr>
                <w:rFonts w:hint="eastAsia"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6512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E6630">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数量指标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B18C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公务车数量</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D182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1</w:t>
            </w:r>
            <w:r>
              <w:rPr>
                <w:rFonts w:hint="eastAsia" w:hAnsi="宋体" w:cs="宋体"/>
                <w:color w:val="000000"/>
                <w:sz w:val="16"/>
                <w:szCs w:val="16"/>
                <w:lang w:bidi="ar"/>
              </w:rPr>
              <w:t>辆</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204B6">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w:t>
            </w:r>
            <w:r>
              <w:rPr>
                <w:rFonts w:hint="eastAsia" w:hAnsi="宋体" w:cs="宋体"/>
                <w:color w:val="000000"/>
                <w:sz w:val="16"/>
                <w:szCs w:val="16"/>
                <w:lang w:bidi="ar"/>
              </w:rPr>
              <w:t>辆%</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285C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4BA1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879"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DCEC1E">
            <w:pPr>
              <w:spacing w:beforeLines="0" w:afterLines="0"/>
              <w:jc w:val="center"/>
              <w:rPr>
                <w:rFonts w:hint="eastAsia"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3931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18F9F">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时效指标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E87B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出车准时率资金支付及时率（计划完成时间-实际完成时间）/计划完成时间*</w:t>
            </w:r>
            <w:r>
              <w:rPr>
                <w:rFonts w:hint="eastAsia" w:cs="宋体"/>
                <w:color w:val="000000"/>
                <w:sz w:val="16"/>
                <w:szCs w:val="16"/>
                <w:lang w:bidi="ar"/>
              </w:rPr>
              <w:t>100</w:t>
            </w:r>
            <w:r>
              <w:rPr>
                <w:rFonts w:hint="eastAsia" w:hAnsi="宋体" w:cs="宋体"/>
                <w:color w:val="000000"/>
                <w:sz w:val="16"/>
                <w:szCs w:val="16"/>
                <w:lang w:bidi="ar"/>
              </w:rPr>
              <w:t>%</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DC0BC">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0</w:t>
            </w:r>
            <w:r>
              <w:rPr>
                <w:rFonts w:hint="eastAsia" w:hAnsi="宋体" w:cs="宋体"/>
                <w:color w:val="000000"/>
                <w:sz w:val="16"/>
                <w:szCs w:val="16"/>
                <w:lang w:bidi="ar"/>
              </w:rPr>
              <w:t>%</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6A859">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FC6D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1711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8" w:type="dxa"/>
          <w:trHeight w:val="51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A30C969">
            <w:pPr>
              <w:spacing w:beforeLines="0" w:afterLines="0"/>
              <w:jc w:val="center"/>
              <w:rPr>
                <w:rFonts w:hint="eastAsia"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5847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00F7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服务对象满意度指标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FF2E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用车人员满意度</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ECF4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95</w:t>
            </w:r>
            <w:r>
              <w:rPr>
                <w:rFonts w:hint="eastAsia" w:hAnsi="宋体" w:cs="宋体"/>
                <w:color w:val="000000"/>
                <w:sz w:val="16"/>
                <w:szCs w:val="16"/>
                <w:lang w:bidi="ar"/>
              </w:rPr>
              <w:t>%</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0EDBC">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98</w:t>
            </w:r>
            <w:r>
              <w:rPr>
                <w:rFonts w:hint="eastAsia" w:hAnsi="宋体" w:cs="宋体"/>
                <w:color w:val="000000"/>
                <w:sz w:val="16"/>
                <w:szCs w:val="16"/>
                <w:lang w:bidi="ar"/>
              </w:rPr>
              <w:t>%</w:t>
            </w:r>
          </w:p>
        </w:tc>
        <w:tc>
          <w:tcPr>
            <w:tcW w:w="27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6F82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672F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62" w:hRule="atLeast"/>
        </w:trPr>
        <w:tc>
          <w:tcPr>
            <w:tcW w:w="9183" w:type="dxa"/>
            <w:gridSpan w:val="34"/>
            <w:tcBorders>
              <w:top w:val="nil"/>
              <w:left w:val="nil"/>
              <w:bottom w:val="nil"/>
              <w:right w:val="nil"/>
              <w:tl2br w:val="nil"/>
              <w:tr2bl w:val="nil"/>
            </w:tcBorders>
            <w:noWrap w:val="0"/>
            <w:vAlign w:val="center"/>
          </w:tcPr>
          <w:p w14:paraId="1294E517">
            <w:pPr>
              <w:widowControl/>
              <w:spacing w:beforeLines="0" w:afterLines="0"/>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4D76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04" w:hRule="atLeast"/>
        </w:trPr>
        <w:tc>
          <w:tcPr>
            <w:tcW w:w="9183" w:type="dxa"/>
            <w:gridSpan w:val="34"/>
            <w:tcBorders>
              <w:top w:val="nil"/>
              <w:left w:val="nil"/>
              <w:bottom w:val="nil"/>
              <w:right w:val="nil"/>
              <w:tl2br w:val="nil"/>
              <w:tr2bl w:val="nil"/>
            </w:tcBorders>
            <w:noWrap w:val="0"/>
            <w:vAlign w:val="top"/>
          </w:tcPr>
          <w:p w14:paraId="3C957DB7">
            <w:pPr>
              <w:widowControl/>
              <w:spacing w:beforeLines="0" w:afterLines="0"/>
              <w:jc w:val="center"/>
              <w:textAlignment w:val="top"/>
              <w:rPr>
                <w:rFonts w:hint="eastAsia" w:hAnsi="宋体" w:cs="宋体"/>
                <w:color w:val="000000"/>
                <w:sz w:val="21"/>
                <w:szCs w:val="21"/>
              </w:rPr>
            </w:pPr>
            <w:r>
              <w:rPr>
                <w:rFonts w:hint="eastAsia" w:hAnsi="宋体" w:cs="宋体"/>
                <w:color w:val="000000"/>
                <w:sz w:val="21"/>
                <w:szCs w:val="21"/>
                <w:lang w:bidi="ar"/>
              </w:rPr>
              <w:t>（</w:t>
            </w:r>
            <w:r>
              <w:rPr>
                <w:rFonts w:hint="eastAsia" w:cs="宋体"/>
                <w:color w:val="000000"/>
                <w:sz w:val="21"/>
                <w:szCs w:val="21"/>
                <w:lang w:bidi="ar"/>
              </w:rPr>
              <w:t>2023</w:t>
            </w:r>
            <w:r>
              <w:rPr>
                <w:rFonts w:hint="eastAsia" w:hAnsi="宋体" w:cs="宋体"/>
                <w:color w:val="000000"/>
                <w:sz w:val="21"/>
                <w:szCs w:val="21"/>
                <w:lang w:bidi="ar"/>
              </w:rPr>
              <w:t>年度）</w:t>
            </w:r>
          </w:p>
        </w:tc>
      </w:tr>
      <w:tr w14:paraId="7816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7122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项目（政策）名称</w:t>
            </w:r>
          </w:p>
        </w:tc>
        <w:tc>
          <w:tcPr>
            <w:tcW w:w="7409"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99E8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接待办工作经费</w:t>
            </w:r>
          </w:p>
        </w:tc>
      </w:tr>
      <w:tr w14:paraId="424E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1ADB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主管部门</w:t>
            </w:r>
          </w:p>
        </w:tc>
        <w:tc>
          <w:tcPr>
            <w:tcW w:w="379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16A5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8857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实施单位</w:t>
            </w:r>
          </w:p>
        </w:tc>
        <w:tc>
          <w:tcPr>
            <w:tcW w:w="2539" w:type="dxa"/>
            <w:gridSpan w:val="5"/>
            <w:tcBorders>
              <w:top w:val="single" w:color="000000" w:sz="4" w:space="0"/>
              <w:left w:val="single" w:color="000000" w:sz="4" w:space="0"/>
              <w:bottom w:val="nil"/>
              <w:right w:val="single" w:color="000000" w:sz="4" w:space="0"/>
              <w:tl2br w:val="nil"/>
              <w:tr2bl w:val="nil"/>
            </w:tcBorders>
            <w:noWrap w:val="0"/>
            <w:vAlign w:val="center"/>
          </w:tcPr>
          <w:p w14:paraId="2C61311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广元市昭化区公务服务中心</w:t>
            </w:r>
          </w:p>
        </w:tc>
      </w:tr>
      <w:tr w14:paraId="650C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vMerge w:val="restart"/>
            <w:tcBorders>
              <w:top w:val="single" w:color="000000" w:sz="4" w:space="0"/>
              <w:left w:val="single" w:color="000000" w:sz="4" w:space="0"/>
              <w:bottom w:val="nil"/>
              <w:right w:val="single" w:color="000000" w:sz="4" w:space="0"/>
              <w:tl2br w:val="nil"/>
              <w:tr2bl w:val="nil"/>
            </w:tcBorders>
            <w:noWrap w:val="0"/>
            <w:vAlign w:val="center"/>
          </w:tcPr>
          <w:p w14:paraId="0CD0661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项目（政策）资金（万元）</w:t>
            </w:r>
          </w:p>
        </w:tc>
        <w:tc>
          <w:tcPr>
            <w:tcW w:w="1228" w:type="dxa"/>
            <w:gridSpan w:val="4"/>
            <w:tcBorders>
              <w:top w:val="nil"/>
              <w:left w:val="single" w:color="000000" w:sz="4" w:space="0"/>
              <w:bottom w:val="single" w:color="000000" w:sz="4" w:space="0"/>
              <w:right w:val="single" w:color="000000" w:sz="4" w:space="0"/>
              <w:tl2br w:val="nil"/>
              <w:tr2bl w:val="nil"/>
            </w:tcBorders>
            <w:noWrap w:val="0"/>
            <w:vAlign w:val="center"/>
          </w:tcPr>
          <w:p w14:paraId="5F2E8A26">
            <w:pPr>
              <w:spacing w:beforeLines="0" w:afterLines="0"/>
              <w:jc w:val="center"/>
              <w:rPr>
                <w:rFonts w:hint="eastAsia" w:hAnsi="宋体" w:cs="宋体"/>
                <w:color w:val="000000"/>
                <w:sz w:val="16"/>
                <w:szCs w:val="16"/>
              </w:rPr>
            </w:pPr>
          </w:p>
        </w:tc>
        <w:tc>
          <w:tcPr>
            <w:tcW w:w="1393" w:type="dxa"/>
            <w:gridSpan w:val="6"/>
            <w:tcBorders>
              <w:top w:val="nil"/>
              <w:left w:val="single" w:color="000000" w:sz="4" w:space="0"/>
              <w:bottom w:val="single" w:color="000000" w:sz="4" w:space="0"/>
              <w:right w:val="single" w:color="000000" w:sz="4" w:space="0"/>
              <w:tl2br w:val="nil"/>
              <w:tr2bl w:val="nil"/>
            </w:tcBorders>
            <w:noWrap w:val="0"/>
            <w:vAlign w:val="center"/>
          </w:tcPr>
          <w:p w14:paraId="3FFCCD1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年初预算数</w:t>
            </w:r>
          </w:p>
        </w:tc>
        <w:tc>
          <w:tcPr>
            <w:tcW w:w="1176" w:type="dxa"/>
            <w:gridSpan w:val="5"/>
            <w:tcBorders>
              <w:top w:val="nil"/>
              <w:left w:val="single" w:color="000000" w:sz="4" w:space="0"/>
              <w:bottom w:val="single" w:color="000000" w:sz="4" w:space="0"/>
              <w:right w:val="single" w:color="000000" w:sz="4" w:space="0"/>
              <w:tl2br w:val="nil"/>
              <w:tr2bl w:val="nil"/>
            </w:tcBorders>
            <w:noWrap w:val="0"/>
            <w:vAlign w:val="center"/>
          </w:tcPr>
          <w:p w14:paraId="6AE422A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全年预算数</w:t>
            </w:r>
          </w:p>
        </w:tc>
        <w:tc>
          <w:tcPr>
            <w:tcW w:w="1073" w:type="dxa"/>
            <w:gridSpan w:val="6"/>
            <w:tcBorders>
              <w:top w:val="nil"/>
              <w:left w:val="single" w:color="000000" w:sz="4" w:space="0"/>
              <w:bottom w:val="single" w:color="000000" w:sz="4" w:space="0"/>
              <w:right w:val="single" w:color="000000" w:sz="4" w:space="0"/>
              <w:tl2br w:val="nil"/>
              <w:tr2bl w:val="nil"/>
            </w:tcBorders>
            <w:noWrap w:val="0"/>
            <w:vAlign w:val="center"/>
          </w:tcPr>
          <w:p w14:paraId="553922C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全年执行数</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0AA7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执行率</w:t>
            </w:r>
          </w:p>
        </w:tc>
      </w:tr>
      <w:tr w14:paraId="4233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59"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53F80075">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535A3">
            <w:pPr>
              <w:widowControl/>
              <w:spacing w:beforeLines="0" w:afterLines="0"/>
              <w:jc w:val="both"/>
              <w:textAlignment w:val="center"/>
              <w:rPr>
                <w:rFonts w:hint="eastAsia" w:hAnsi="宋体" w:cs="宋体"/>
                <w:color w:val="000000"/>
                <w:sz w:val="16"/>
                <w:szCs w:val="16"/>
              </w:rPr>
            </w:pPr>
            <w:r>
              <w:rPr>
                <w:rFonts w:hint="eastAsia" w:hAnsi="宋体" w:cs="宋体"/>
                <w:color w:val="000000"/>
                <w:sz w:val="16"/>
                <w:szCs w:val="16"/>
                <w:lang w:bidi="ar"/>
              </w:rPr>
              <w:t>年度资金总额</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9726A">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AA973">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8517C">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2539" w:type="dxa"/>
            <w:gridSpan w:val="5"/>
            <w:tcBorders>
              <w:top w:val="nil"/>
              <w:left w:val="single" w:color="000000" w:sz="4" w:space="0"/>
              <w:bottom w:val="single" w:color="000000" w:sz="4" w:space="0"/>
              <w:right w:val="single" w:color="000000" w:sz="4" w:space="0"/>
              <w:tl2br w:val="nil"/>
              <w:tr2bl w:val="nil"/>
            </w:tcBorders>
            <w:noWrap w:val="0"/>
            <w:vAlign w:val="center"/>
          </w:tcPr>
          <w:p w14:paraId="21941BAA">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7154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28E768F6">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C320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（一）财政拨款小计</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1FA2C">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2349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F8BD3">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2539" w:type="dxa"/>
            <w:gridSpan w:val="5"/>
            <w:tcBorders>
              <w:top w:val="nil"/>
              <w:left w:val="single" w:color="000000" w:sz="4" w:space="0"/>
              <w:bottom w:val="single" w:color="000000" w:sz="4" w:space="0"/>
              <w:right w:val="single" w:color="000000" w:sz="4" w:space="0"/>
              <w:tl2br w:val="nil"/>
              <w:tr2bl w:val="nil"/>
            </w:tcBorders>
            <w:noWrap w:val="0"/>
            <w:vAlign w:val="center"/>
          </w:tcPr>
          <w:p w14:paraId="0B97F82D">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1248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5E471857">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7CE2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1</w:t>
            </w:r>
            <w:r>
              <w:rPr>
                <w:rFonts w:hint="eastAsia" w:hAnsi="宋体" w:cs="宋体"/>
                <w:color w:val="000000"/>
                <w:sz w:val="16"/>
                <w:szCs w:val="16"/>
                <w:lang w:bidi="ar"/>
              </w:rPr>
              <w:t>.一般公共预算</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90EB7">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97771">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8C201">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p>
        </w:tc>
        <w:tc>
          <w:tcPr>
            <w:tcW w:w="2539" w:type="dxa"/>
            <w:gridSpan w:val="5"/>
            <w:tcBorders>
              <w:top w:val="nil"/>
              <w:left w:val="single" w:color="000000" w:sz="4" w:space="0"/>
              <w:bottom w:val="single" w:color="000000" w:sz="4" w:space="0"/>
              <w:right w:val="single" w:color="000000" w:sz="4" w:space="0"/>
              <w:tl2br w:val="nil"/>
              <w:tr2bl w:val="nil"/>
            </w:tcBorders>
            <w:noWrap w:val="0"/>
            <w:vAlign w:val="center"/>
          </w:tcPr>
          <w:p w14:paraId="1780D6E3">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r>
      <w:tr w14:paraId="5420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65C1181E">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3C671">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2</w:t>
            </w:r>
            <w:r>
              <w:rPr>
                <w:rFonts w:hint="eastAsia" w:hAnsi="宋体" w:cs="宋体"/>
                <w:color w:val="000000"/>
                <w:sz w:val="16"/>
                <w:szCs w:val="16"/>
                <w:lang w:bidi="ar"/>
              </w:rPr>
              <w:t>.政府性基金</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CCEEF">
            <w:pPr>
              <w:spacing w:beforeLines="0" w:afterLines="0"/>
              <w:rPr>
                <w:rFonts w:hint="eastAsia" w:hAnsi="宋体" w:cs="宋体"/>
                <w:color w:val="000000"/>
                <w:sz w:val="16"/>
                <w:szCs w:val="16"/>
              </w:rPr>
            </w:pP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928BF">
            <w:pPr>
              <w:spacing w:beforeLines="0" w:afterLines="0"/>
              <w:jc w:val="center"/>
              <w:rPr>
                <w:rFonts w:hint="eastAsia"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A5184">
            <w:pPr>
              <w:spacing w:beforeLines="0" w:afterLines="0"/>
              <w:jc w:val="center"/>
              <w:rPr>
                <w:rFonts w:hint="eastAsia" w:hAnsi="宋体" w:cs="宋体"/>
                <w:color w:val="000000"/>
                <w:sz w:val="16"/>
                <w:szCs w:val="16"/>
              </w:rPr>
            </w:pP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746E1">
            <w:pPr>
              <w:spacing w:beforeLines="0" w:afterLines="0"/>
              <w:jc w:val="center"/>
              <w:rPr>
                <w:rFonts w:hint="eastAsia" w:hAnsi="宋体" w:cs="宋体"/>
                <w:color w:val="000000"/>
                <w:sz w:val="16"/>
                <w:szCs w:val="16"/>
              </w:rPr>
            </w:pPr>
          </w:p>
        </w:tc>
      </w:tr>
      <w:tr w14:paraId="7355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4B8248BA">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B0B0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3</w:t>
            </w:r>
            <w:r>
              <w:rPr>
                <w:rFonts w:hint="eastAsia" w:hAnsi="宋体" w:cs="宋体"/>
                <w:color w:val="000000"/>
                <w:sz w:val="16"/>
                <w:szCs w:val="16"/>
                <w:lang w:bidi="ar"/>
              </w:rPr>
              <w:t>.国有资本经营预算</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04719">
            <w:pPr>
              <w:spacing w:beforeLines="0" w:afterLines="0"/>
              <w:rPr>
                <w:rFonts w:hint="eastAsia" w:hAnsi="宋体" w:cs="宋体"/>
                <w:color w:val="000000"/>
                <w:sz w:val="16"/>
                <w:szCs w:val="16"/>
              </w:rPr>
            </w:pP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0DC9A">
            <w:pPr>
              <w:spacing w:beforeLines="0" w:afterLines="0"/>
              <w:jc w:val="center"/>
              <w:rPr>
                <w:rFonts w:hint="eastAsia"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4ECB5">
            <w:pPr>
              <w:spacing w:beforeLines="0" w:afterLines="0"/>
              <w:jc w:val="center"/>
              <w:rPr>
                <w:rFonts w:hint="eastAsia" w:hAnsi="宋体" w:cs="宋体"/>
                <w:color w:val="000000"/>
                <w:sz w:val="16"/>
                <w:szCs w:val="16"/>
              </w:rPr>
            </w:pP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57FCF">
            <w:pPr>
              <w:spacing w:beforeLines="0" w:afterLines="0"/>
              <w:jc w:val="center"/>
              <w:rPr>
                <w:rFonts w:hint="eastAsia" w:hAnsi="宋体" w:cs="宋体"/>
                <w:color w:val="000000"/>
                <w:sz w:val="16"/>
                <w:szCs w:val="16"/>
              </w:rPr>
            </w:pPr>
          </w:p>
        </w:tc>
      </w:tr>
      <w:tr w14:paraId="51BF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59"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675DCBE9">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6158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 xml:space="preserve">  </w:t>
            </w:r>
            <w:r>
              <w:rPr>
                <w:rFonts w:hint="eastAsia" w:cs="宋体"/>
                <w:color w:val="000000"/>
                <w:sz w:val="16"/>
                <w:szCs w:val="16"/>
                <w:lang w:bidi="ar"/>
              </w:rPr>
              <w:t>4</w:t>
            </w:r>
            <w:r>
              <w:rPr>
                <w:rFonts w:hint="eastAsia" w:hAnsi="宋体" w:cs="宋体"/>
                <w:color w:val="000000"/>
                <w:sz w:val="16"/>
                <w:szCs w:val="16"/>
                <w:lang w:bidi="ar"/>
              </w:rPr>
              <w:t>.社保基金</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6CB9F">
            <w:pPr>
              <w:spacing w:beforeLines="0" w:afterLines="0"/>
              <w:rPr>
                <w:rFonts w:hint="eastAsia" w:hAnsi="宋体" w:cs="宋体"/>
                <w:color w:val="000000"/>
                <w:sz w:val="16"/>
                <w:szCs w:val="16"/>
              </w:rPr>
            </w:pP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FC5C5">
            <w:pPr>
              <w:spacing w:beforeLines="0" w:afterLines="0"/>
              <w:jc w:val="center"/>
              <w:rPr>
                <w:rFonts w:hint="eastAsia"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A05A6">
            <w:pPr>
              <w:spacing w:beforeLines="0" w:afterLines="0"/>
              <w:jc w:val="center"/>
              <w:rPr>
                <w:rFonts w:hint="eastAsia" w:hAnsi="宋体" w:cs="宋体"/>
                <w:color w:val="000000"/>
                <w:sz w:val="16"/>
                <w:szCs w:val="16"/>
              </w:rPr>
            </w:pP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CAAB0">
            <w:pPr>
              <w:spacing w:beforeLines="0" w:afterLines="0"/>
              <w:jc w:val="center"/>
              <w:rPr>
                <w:rFonts w:hint="eastAsia" w:hAnsi="宋体" w:cs="宋体"/>
                <w:color w:val="000000"/>
                <w:sz w:val="16"/>
                <w:szCs w:val="16"/>
              </w:rPr>
            </w:pPr>
          </w:p>
        </w:tc>
      </w:tr>
      <w:tr w14:paraId="562B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59"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11625547">
            <w:pPr>
              <w:spacing w:beforeLines="0" w:afterLines="0"/>
              <w:jc w:val="center"/>
              <w:rPr>
                <w:rFonts w:hint="eastAsia"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5C985">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（二）其他资金</w:t>
            </w:r>
          </w:p>
        </w:tc>
        <w:tc>
          <w:tcPr>
            <w:tcW w:w="13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2E4BA">
            <w:pPr>
              <w:spacing w:beforeLines="0" w:afterLines="0"/>
              <w:rPr>
                <w:rFonts w:hint="eastAsia" w:hAnsi="宋体" w:cs="宋体"/>
                <w:color w:val="000000"/>
                <w:sz w:val="16"/>
                <w:szCs w:val="16"/>
              </w:rPr>
            </w:pP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24C00">
            <w:pPr>
              <w:spacing w:beforeLines="0" w:afterLines="0"/>
              <w:jc w:val="center"/>
              <w:rPr>
                <w:rFonts w:hint="eastAsia"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8C588">
            <w:pPr>
              <w:spacing w:beforeLines="0" w:afterLines="0"/>
              <w:jc w:val="center"/>
              <w:rPr>
                <w:rFonts w:hint="eastAsia" w:hAnsi="宋体" w:cs="宋体"/>
                <w:color w:val="000000"/>
                <w:sz w:val="16"/>
                <w:szCs w:val="16"/>
              </w:rPr>
            </w:pP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D500C">
            <w:pPr>
              <w:spacing w:beforeLines="0" w:afterLines="0"/>
              <w:jc w:val="center"/>
              <w:rPr>
                <w:rFonts w:hint="eastAsia" w:hAnsi="宋体" w:cs="宋体"/>
                <w:color w:val="000000"/>
                <w:sz w:val="16"/>
                <w:szCs w:val="16"/>
              </w:rPr>
            </w:pPr>
          </w:p>
        </w:tc>
      </w:tr>
      <w:tr w14:paraId="0932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59" w:hRule="atLeast"/>
        </w:trPr>
        <w:tc>
          <w:tcPr>
            <w:tcW w:w="95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F5E0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年度总体目标</w:t>
            </w:r>
          </w:p>
        </w:tc>
        <w:tc>
          <w:tcPr>
            <w:tcW w:w="5693"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4321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预期目标</w:t>
            </w:r>
          </w:p>
        </w:tc>
        <w:tc>
          <w:tcPr>
            <w:tcW w:w="2539" w:type="dxa"/>
            <w:gridSpan w:val="5"/>
            <w:tcBorders>
              <w:top w:val="nil"/>
              <w:left w:val="single" w:color="000000" w:sz="4" w:space="0"/>
              <w:bottom w:val="single" w:color="000000" w:sz="4" w:space="0"/>
              <w:right w:val="single" w:color="000000" w:sz="4" w:space="0"/>
              <w:tl2br w:val="nil"/>
              <w:tr2bl w:val="nil"/>
            </w:tcBorders>
            <w:noWrap w:val="0"/>
            <w:vAlign w:val="center"/>
          </w:tcPr>
          <w:p w14:paraId="4C8AAF8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实际完成情况</w:t>
            </w:r>
          </w:p>
        </w:tc>
      </w:tr>
      <w:tr w14:paraId="34B7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365"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19C76">
            <w:pPr>
              <w:spacing w:beforeLines="0" w:afterLines="0"/>
              <w:jc w:val="center"/>
              <w:rPr>
                <w:rFonts w:hint="eastAsia" w:hAnsi="宋体" w:cs="宋体"/>
                <w:color w:val="000000"/>
                <w:sz w:val="16"/>
                <w:szCs w:val="16"/>
              </w:rPr>
            </w:pPr>
          </w:p>
        </w:tc>
        <w:tc>
          <w:tcPr>
            <w:tcW w:w="5693"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719A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接待区内重大、重要事务来昭领导、社群等客人，为区委、区政府重要工作提供保障。</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FB1D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一年来，我区共接待来宾</w:t>
            </w:r>
            <w:r>
              <w:rPr>
                <w:rFonts w:hint="eastAsia" w:cs="宋体"/>
                <w:color w:val="000000"/>
                <w:sz w:val="16"/>
                <w:szCs w:val="16"/>
                <w:lang w:bidi="ar"/>
              </w:rPr>
              <w:t>292</w:t>
            </w:r>
            <w:r>
              <w:rPr>
                <w:rFonts w:hint="eastAsia" w:hAnsi="宋体" w:cs="宋体"/>
                <w:color w:val="000000"/>
                <w:sz w:val="16"/>
                <w:szCs w:val="16"/>
                <w:lang w:bidi="ar"/>
              </w:rPr>
              <w:t xml:space="preserve">批次，其中省部级领导 </w:t>
            </w:r>
            <w:r>
              <w:rPr>
                <w:rFonts w:hint="eastAsia" w:cs="宋体"/>
                <w:color w:val="000000"/>
                <w:sz w:val="16"/>
                <w:szCs w:val="16"/>
                <w:lang w:bidi="ar"/>
              </w:rPr>
              <w:t>15</w:t>
            </w:r>
            <w:r>
              <w:rPr>
                <w:rFonts w:hint="eastAsia" w:hAnsi="宋体" w:cs="宋体"/>
                <w:color w:val="000000"/>
                <w:sz w:val="16"/>
                <w:szCs w:val="16"/>
                <w:lang w:bidi="ar"/>
              </w:rPr>
              <w:t>次，全区各类重大会议活动</w:t>
            </w:r>
            <w:r>
              <w:rPr>
                <w:rFonts w:hint="eastAsia" w:cs="宋体"/>
                <w:color w:val="000000"/>
                <w:sz w:val="16"/>
                <w:szCs w:val="16"/>
                <w:lang w:bidi="ar"/>
              </w:rPr>
              <w:t>17</w:t>
            </w:r>
            <w:r>
              <w:rPr>
                <w:rFonts w:hint="eastAsia" w:hAnsi="宋体" w:cs="宋体"/>
                <w:color w:val="000000"/>
                <w:sz w:val="16"/>
                <w:szCs w:val="16"/>
                <w:lang w:bidi="ar"/>
              </w:rPr>
              <w:t>次，省、市各类现场会</w:t>
            </w:r>
            <w:r>
              <w:rPr>
                <w:rFonts w:hint="eastAsia" w:cs="宋体"/>
                <w:color w:val="000000"/>
                <w:sz w:val="16"/>
                <w:szCs w:val="16"/>
                <w:lang w:bidi="ar"/>
              </w:rPr>
              <w:t>12</w:t>
            </w:r>
            <w:r>
              <w:rPr>
                <w:rFonts w:hint="eastAsia" w:hAnsi="宋体" w:cs="宋体"/>
                <w:color w:val="000000"/>
                <w:sz w:val="16"/>
                <w:szCs w:val="16"/>
                <w:lang w:bidi="ar"/>
              </w:rPr>
              <w:t>次，接待水平和质量明显提高。</w:t>
            </w:r>
          </w:p>
        </w:tc>
      </w:tr>
      <w:tr w14:paraId="5D8F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95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151EF8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绩效指标</w:t>
            </w:r>
          </w:p>
        </w:tc>
        <w:tc>
          <w:tcPr>
            <w:tcW w:w="82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2853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一级指标</w:t>
            </w:r>
          </w:p>
        </w:tc>
        <w:tc>
          <w:tcPr>
            <w:tcW w:w="8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BEB9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二级指标</w:t>
            </w:r>
          </w:p>
        </w:tc>
        <w:tc>
          <w:tcPr>
            <w:tcW w:w="1743" w:type="dxa"/>
            <w:gridSpan w:val="7"/>
            <w:tcBorders>
              <w:top w:val="single" w:color="000000" w:sz="4" w:space="0"/>
              <w:left w:val="single" w:color="000000" w:sz="4" w:space="0"/>
              <w:bottom w:val="nil"/>
              <w:right w:val="single" w:color="000000" w:sz="4" w:space="0"/>
              <w:tl2br w:val="nil"/>
              <w:tr2bl w:val="nil"/>
            </w:tcBorders>
            <w:noWrap w:val="0"/>
            <w:vAlign w:val="center"/>
          </w:tcPr>
          <w:p w14:paraId="381F694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三级指标</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149F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年度指标值</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F4A1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实际完成值</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1A39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偏差原因分析及改进措施</w:t>
            </w:r>
          </w:p>
        </w:tc>
      </w:tr>
      <w:tr w14:paraId="3B88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75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8E43B9">
            <w:pPr>
              <w:spacing w:beforeLines="0" w:afterLines="0"/>
              <w:jc w:val="center"/>
              <w:rPr>
                <w:rFonts w:hint="eastAsia" w:hAnsi="宋体" w:cs="宋体"/>
                <w:color w:val="000000"/>
                <w:sz w:val="16"/>
                <w:szCs w:val="16"/>
              </w:rPr>
            </w:pPr>
          </w:p>
        </w:tc>
        <w:tc>
          <w:tcPr>
            <w:tcW w:w="82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440BB">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8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0B09E">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时效指标</w:t>
            </w:r>
          </w:p>
        </w:tc>
        <w:tc>
          <w:tcPr>
            <w:tcW w:w="17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01DB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资金支付及时率（计划完成时间-实际完成时间）/计划完成时间*</w:t>
            </w:r>
            <w:r>
              <w:rPr>
                <w:rFonts w:hint="eastAsia" w:cs="宋体"/>
                <w:color w:val="000000"/>
                <w:sz w:val="16"/>
                <w:szCs w:val="16"/>
                <w:lang w:bidi="ar"/>
              </w:rPr>
              <w:t>100</w:t>
            </w:r>
            <w:r>
              <w:rPr>
                <w:rFonts w:hint="eastAsia" w:hAnsi="宋体" w:cs="宋体"/>
                <w:color w:val="000000"/>
                <w:sz w:val="16"/>
                <w:szCs w:val="16"/>
                <w:lang w:bidi="ar"/>
              </w:rPr>
              <w:t>%</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0D6A0">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0</w:t>
            </w:r>
            <w:r>
              <w:rPr>
                <w:rFonts w:hint="eastAsia" w:hAnsi="宋体" w:cs="宋体"/>
                <w:color w:val="000000"/>
                <w:sz w:val="16"/>
                <w:szCs w:val="16"/>
                <w:lang w:bidi="ar"/>
              </w:rPr>
              <w:t>%</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915BB">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100</w:t>
            </w:r>
            <w:r>
              <w:rPr>
                <w:rFonts w:hint="eastAsia" w:hAnsi="宋体" w:cs="宋体"/>
                <w:color w:val="000000"/>
                <w:sz w:val="16"/>
                <w:szCs w:val="16"/>
                <w:lang w:bidi="ar"/>
              </w:rPr>
              <w:t>%</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B205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5AF9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75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D6E7DB">
            <w:pPr>
              <w:spacing w:beforeLines="0" w:afterLines="0"/>
              <w:jc w:val="center"/>
              <w:rPr>
                <w:rFonts w:hint="eastAsia"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8247F">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2F66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服务对象满意度指标</w:t>
            </w:r>
          </w:p>
        </w:tc>
        <w:tc>
          <w:tcPr>
            <w:tcW w:w="17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97B3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接待对象满意度</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4577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95</w:t>
            </w:r>
            <w:r>
              <w:rPr>
                <w:rFonts w:hint="eastAsia" w:hAnsi="宋体" w:cs="宋体"/>
                <w:color w:val="000000"/>
                <w:sz w:val="16"/>
                <w:szCs w:val="16"/>
                <w:lang w:bidi="ar"/>
              </w:rPr>
              <w:t>%</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21D21">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98</w:t>
            </w:r>
            <w:r>
              <w:rPr>
                <w:rFonts w:hint="eastAsia" w:hAnsi="宋体" w:cs="宋体"/>
                <w:color w:val="000000"/>
                <w:sz w:val="16"/>
                <w:szCs w:val="16"/>
                <w:lang w:bidi="ar"/>
              </w:rPr>
              <w:t>%</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620A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7D77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7100A67">
            <w:pPr>
              <w:spacing w:beforeLines="0" w:afterLines="0"/>
              <w:jc w:val="center"/>
              <w:rPr>
                <w:rFonts w:hint="eastAsia"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BF303">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93413">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经济成本指标</w:t>
            </w:r>
          </w:p>
        </w:tc>
        <w:tc>
          <w:tcPr>
            <w:tcW w:w="17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AABF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接待办工作经费</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4573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w:t>
            </w:r>
            <w:r>
              <w:rPr>
                <w:rFonts w:hint="eastAsia" w:cs="宋体"/>
                <w:color w:val="000000"/>
                <w:sz w:val="16"/>
                <w:szCs w:val="16"/>
                <w:lang w:bidi="ar"/>
              </w:rPr>
              <w:t>100000</w:t>
            </w:r>
            <w:r>
              <w:rPr>
                <w:rFonts w:hint="eastAsia" w:hAnsi="宋体" w:cs="宋体"/>
                <w:color w:val="000000"/>
                <w:sz w:val="16"/>
                <w:szCs w:val="16"/>
                <w:lang w:bidi="ar"/>
              </w:rPr>
              <w:t>元</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8C33F">
            <w:pPr>
              <w:widowControl/>
              <w:spacing w:beforeLines="0" w:afterLines="0"/>
              <w:jc w:val="center"/>
              <w:textAlignment w:val="center"/>
              <w:rPr>
                <w:rFonts w:hint="eastAsia" w:hAnsi="宋体" w:cs="宋体"/>
                <w:color w:val="000000"/>
                <w:sz w:val="16"/>
                <w:szCs w:val="16"/>
              </w:rPr>
            </w:pPr>
            <w:r>
              <w:rPr>
                <w:rFonts w:hint="eastAsia" w:cs="宋体"/>
                <w:color w:val="000000"/>
                <w:sz w:val="16"/>
                <w:szCs w:val="16"/>
                <w:lang w:bidi="ar"/>
              </w:rPr>
              <w:t>10</w:t>
            </w:r>
            <w:r>
              <w:rPr>
                <w:rFonts w:hint="eastAsia" w:hAnsi="宋体" w:cs="宋体"/>
                <w:color w:val="000000"/>
                <w:sz w:val="16"/>
                <w:szCs w:val="16"/>
                <w:lang w:bidi="ar"/>
              </w:rPr>
              <w:t>万元</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E7DA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550F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08"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0ABBFA">
            <w:pPr>
              <w:spacing w:beforeLines="0" w:afterLines="0"/>
              <w:jc w:val="center"/>
              <w:rPr>
                <w:rFonts w:hint="eastAsia"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032E0">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31C12">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生态效益指标</w:t>
            </w:r>
          </w:p>
        </w:tc>
        <w:tc>
          <w:tcPr>
            <w:tcW w:w="17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EC58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杜绝浪费、绿色办公</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591C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定性优良中差</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A8D0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D78C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4C45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75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50CDD23">
            <w:pPr>
              <w:spacing w:beforeLines="0" w:afterLines="0"/>
              <w:jc w:val="center"/>
              <w:rPr>
                <w:rFonts w:hint="eastAsia"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A76EB">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90A84">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可持续影响指标</w:t>
            </w:r>
          </w:p>
        </w:tc>
        <w:tc>
          <w:tcPr>
            <w:tcW w:w="17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1428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长期工作效率提升</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8B6E3">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定性优良中差</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3AD4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1986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r w14:paraId="4B53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1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DA3F5E">
            <w:pPr>
              <w:spacing w:beforeLines="0" w:afterLines="0"/>
              <w:jc w:val="center"/>
              <w:rPr>
                <w:rFonts w:hint="eastAsia"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07E76">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8BF58">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质量指标</w:t>
            </w:r>
          </w:p>
        </w:tc>
        <w:tc>
          <w:tcPr>
            <w:tcW w:w="17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BF41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职工工作完成情况</w:t>
            </w:r>
          </w:p>
        </w:tc>
        <w:tc>
          <w:tcPr>
            <w:tcW w:w="11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1EBEA">
            <w:pPr>
              <w:widowControl/>
              <w:spacing w:beforeLines="0" w:afterLines="0"/>
              <w:textAlignment w:val="center"/>
              <w:rPr>
                <w:rFonts w:hint="eastAsia" w:hAnsi="宋体" w:cs="宋体"/>
                <w:color w:val="000000"/>
                <w:sz w:val="16"/>
                <w:szCs w:val="16"/>
              </w:rPr>
            </w:pPr>
            <w:r>
              <w:rPr>
                <w:rFonts w:hint="eastAsia" w:hAnsi="宋体" w:cs="宋体"/>
                <w:color w:val="000000"/>
                <w:sz w:val="16"/>
                <w:szCs w:val="16"/>
                <w:lang w:bidi="ar"/>
              </w:rPr>
              <w:t>定性优良中差</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C689E">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优</w:t>
            </w:r>
          </w:p>
        </w:tc>
        <w:tc>
          <w:tcPr>
            <w:tcW w:w="25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AACD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无</w:t>
            </w:r>
          </w:p>
        </w:tc>
      </w:tr>
    </w:tbl>
    <w:p w14:paraId="42B0D1DD">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00EA3692">
      <w:pPr>
        <w:pStyle w:val="4"/>
        <w:spacing w:before="72" w:afterLines="0"/>
        <w:rPr>
          <w:rFonts w:hint="eastAsia"/>
          <w:sz w:val="30"/>
          <w:szCs w:val="24"/>
        </w:rPr>
      </w:pPr>
    </w:p>
    <w:p w14:paraId="7D655D6F">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3CF18BBE">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1573206D">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1F18F40C">
      <w:pPr>
        <w:pStyle w:val="3"/>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08BF8654">
      <w:pPr>
        <w:pStyle w:val="3"/>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63BF38F0">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6121C0F9">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08141E7D">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4D271B33">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68874F1B">
      <w:pPr>
        <w:pStyle w:val="3"/>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2A9E3FBF">
      <w:pPr>
        <w:pStyle w:val="3"/>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279BE944">
      <w:pPr>
        <w:pStyle w:val="3"/>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0D5042BB">
      <w:pPr>
        <w:pStyle w:val="3"/>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4E8C9848">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footerReference r:id="rId4" w:type="default"/>
      <w:pgSz w:w="12240" w:h="15840"/>
      <w:pgMar w:top="2098" w:right="1474" w:bottom="1984" w:left="1587" w:header="850" w:footer="141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3887E2A-F689-4E1D-B942-483B08327DF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CF5BB70-2922-4CAA-8A3D-8F99DCCEA5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5939F66D-71DE-43CD-8475-B5B41EAA2044}"/>
  </w:font>
  <w:font w:name="仿宋">
    <w:panose1 w:val="02010609060101010101"/>
    <w:charset w:val="86"/>
    <w:family w:val="modern"/>
    <w:pitch w:val="default"/>
    <w:sig w:usb0="800002BF" w:usb1="38CF7CFA" w:usb2="00000016" w:usb3="00000000" w:csb0="00040001" w:csb1="00000000"/>
    <w:embedRegular r:id="rId4" w:fontKey="{9048C2F8-5FD4-45B6-8D92-307ADCE0903E}"/>
  </w:font>
  <w:font w:name="Cambria">
    <w:panose1 w:val="02040503050406030204"/>
    <w:charset w:val="00"/>
    <w:family w:val="roman"/>
    <w:pitch w:val="default"/>
    <w:sig w:usb0="E00006FF" w:usb1="420024FF" w:usb2="02000000" w:usb3="00000000" w:csb0="2000019F" w:csb1="00000000"/>
    <w:embedRegular r:id="rId5" w:fontKey="{4CF22565-E7E9-45BC-AA3B-B74B7CA55936}"/>
  </w:font>
  <w:font w:name="方正小标宋简体">
    <w:panose1 w:val="02000000000000000000"/>
    <w:charset w:val="86"/>
    <w:family w:val="auto"/>
    <w:pitch w:val="default"/>
    <w:sig w:usb0="00000001" w:usb1="08000000" w:usb2="00000000" w:usb3="00000000" w:csb0="00040000" w:csb1="00000000"/>
    <w:embedRegular r:id="rId6" w:fontKey="{EE25143E-8385-4A9D-B884-67DA7A5004A7}"/>
  </w:font>
  <w:font w:name="楷体_GB2312">
    <w:panose1 w:val="02010609030101010101"/>
    <w:charset w:val="86"/>
    <w:family w:val="modern"/>
    <w:pitch w:val="default"/>
    <w:sig w:usb0="00000001" w:usb1="080E0000" w:usb2="00000000" w:usb3="00000000" w:csb0="00040000" w:csb1="00000000"/>
    <w:embedRegular r:id="rId7" w:fontKey="{AA92670A-9CDD-4D11-ACBD-FE80C0A6F23F}"/>
  </w:font>
  <w:font w:name="华文仿宋">
    <w:panose1 w:val="02010600040101010101"/>
    <w:charset w:val="86"/>
    <w:family w:val="auto"/>
    <w:pitch w:val="default"/>
    <w:sig w:usb0="00000287" w:usb1="080F0000" w:usb2="00000000" w:usb3="00000000" w:csb0="0004009F" w:csb1="DFD70000"/>
    <w:embedRegular r:id="rId8" w:fontKey="{CC2839F9-E896-4B28-A3C6-647618614A9E}"/>
  </w:font>
  <w:font w:name="华文中宋">
    <w:panose1 w:val="02010600040101010101"/>
    <w:charset w:val="86"/>
    <w:family w:val="auto"/>
    <w:pitch w:val="default"/>
    <w:sig w:usb0="00000287" w:usb1="080F0000" w:usb2="00000000" w:usb3="00000000" w:csb0="0004009F" w:csb1="DFD70000"/>
    <w:embedRegular r:id="rId9" w:fontKey="{B9CC48CF-BE4F-40AA-907F-67F2DA169B84}"/>
  </w:font>
  <w:font w:name="华文楷体">
    <w:panose1 w:val="02010600040101010101"/>
    <w:charset w:val="86"/>
    <w:family w:val="auto"/>
    <w:pitch w:val="default"/>
    <w:sig w:usb0="00000287" w:usb1="080F0000" w:usb2="00000000" w:usb3="00000000" w:csb0="0004009F" w:csb1="DFD70000"/>
    <w:embedRegular r:id="rId10" w:fontKey="{16BF5675-83CB-48E3-9D19-3A00325C7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1E64">
    <w:pPr>
      <w:pStyle w:val="8"/>
      <w:spacing w:beforeLines="0" w:afterLines="0"/>
      <w:rPr>
        <w:rFonts w:hint="eastAsia"/>
        <w:sz w:val="18"/>
        <w:szCs w:val="18"/>
      </w:rPr>
    </w:pPr>
    <w:r>
      <w:rPr>
        <w:rFonts w:hint="default" w:ascii="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A1914">
                          <w:pPr>
                            <w:pStyle w:val="8"/>
                            <w:spacing w:beforeLines="0" w:afterLines="0"/>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14:paraId="261A1914">
                    <w:pPr>
                      <w:pStyle w:val="8"/>
                      <w:spacing w:beforeLines="0" w:afterLines="0"/>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83097"/>
    <w:multiLevelType w:val="multilevel"/>
    <w:tmpl w:val="87E83097"/>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1F3FE3AB"/>
    <w:multiLevelType w:val="multilevel"/>
    <w:tmpl w:val="1F3FE3AB"/>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7E522F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iPriority="34" w:semiHidden="0" w:name="List Paragraph"/>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eastAsia" w:ascii="宋体" w:hAnsi="Times New Roman" w:eastAsia="宋体" w:cs="Times New Roman"/>
      <w:sz w:val="24"/>
      <w:szCs w:val="24"/>
      <w:lang w:val="en-US" w:eastAsia="zh-CN" w:bidi="ar-SA"/>
    </w:rPr>
  </w:style>
  <w:style w:type="paragraph" w:styleId="2">
    <w:name w:val="heading 1"/>
    <w:basedOn w:val="1"/>
    <w:link w:val="21"/>
    <w:unhideWhenUsed/>
    <w:qFormat/>
    <w:uiPriority w:val="99"/>
    <w:pPr>
      <w:spacing w:beforeLines="0" w:afterLines="0"/>
      <w:outlineLvl w:val="0"/>
    </w:pPr>
    <w:rPr>
      <w:rFonts w:hint="eastAsia"/>
      <w:sz w:val="24"/>
      <w:szCs w:val="24"/>
    </w:rPr>
  </w:style>
  <w:style w:type="paragraph" w:styleId="3">
    <w:name w:val="heading 2"/>
    <w:basedOn w:val="1"/>
    <w:link w:val="19"/>
    <w:unhideWhenUsed/>
    <w:qFormat/>
    <w:uiPriority w:val="99"/>
    <w:pPr>
      <w:spacing w:beforeLines="0" w:afterLines="0"/>
      <w:outlineLvl w:val="1"/>
    </w:pPr>
    <w:rPr>
      <w:rFonts w:hint="eastAsia"/>
      <w:sz w:val="24"/>
      <w:szCs w:val="24"/>
    </w:rPr>
  </w:style>
  <w:style w:type="character" w:default="1" w:styleId="13">
    <w:name w:val="Default Paragraph Font"/>
    <w:unhideWhenUsed/>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4">
    <w:name w:val="Body Text"/>
    <w:basedOn w:val="1"/>
    <w:link w:val="18"/>
    <w:unhideWhenUsed/>
    <w:qFormat/>
    <w:uiPriority w:val="99"/>
    <w:pPr>
      <w:spacing w:beforeLines="30" w:afterLines="0"/>
    </w:pPr>
    <w:rPr>
      <w:rFonts w:hint="eastAsia" w:ascii="仿宋_GB2312" w:eastAsia="仿宋_GB2312"/>
      <w:sz w:val="30"/>
      <w:szCs w:val="24"/>
    </w:rPr>
  </w:style>
  <w:style w:type="paragraph" w:styleId="5">
    <w:name w:val="Body Text Indent"/>
    <w:basedOn w:val="1"/>
    <w:next w:val="6"/>
    <w:unhideWhenUsed/>
    <w:qFormat/>
    <w:uiPriority w:val="0"/>
    <w:pPr>
      <w:spacing w:beforeLines="0" w:after="120" w:afterLines="0"/>
      <w:ind w:leftChars="200"/>
    </w:pPr>
    <w:rPr>
      <w:rFonts w:hint="eastAsia"/>
      <w:sz w:val="24"/>
      <w:szCs w:val="32"/>
    </w:rPr>
  </w:style>
  <w:style w:type="paragraph" w:styleId="6">
    <w:name w:val="Body Text First Indent 2"/>
    <w:basedOn w:val="5"/>
    <w:next w:val="1"/>
    <w:unhideWhenUsed/>
    <w:qFormat/>
    <w:uiPriority w:val="99"/>
    <w:pPr>
      <w:spacing w:beforeLines="0" w:afterLines="0"/>
      <w:ind w:firstLine="420" w:firstLineChars="200"/>
    </w:pPr>
    <w:rPr>
      <w:rFonts w:hint="eastAsia"/>
      <w:sz w:val="24"/>
      <w:szCs w:val="32"/>
    </w:rPr>
  </w:style>
  <w:style w:type="paragraph" w:styleId="7">
    <w:name w:val="Body Text Indent 2"/>
    <w:basedOn w:val="1"/>
    <w:unhideWhenUsed/>
    <w:qFormat/>
    <w:uiPriority w:val="0"/>
    <w:pPr>
      <w:spacing w:beforeLines="0" w:afterLines="0"/>
      <w:ind w:firstLine="420" w:firstLineChars="200"/>
    </w:pPr>
    <w:rPr>
      <w:rFonts w:hint="eastAsia"/>
      <w:sz w:val="24"/>
      <w:szCs w:val="24"/>
    </w:rPr>
  </w:style>
  <w:style w:type="paragraph" w:styleId="8">
    <w:name w:val="footer"/>
    <w:basedOn w:val="1"/>
    <w:link w:val="22"/>
    <w:unhideWhenUsed/>
    <w:qFormat/>
    <w:uiPriority w:val="99"/>
    <w:pPr>
      <w:tabs>
        <w:tab w:val="center" w:pos="4153"/>
        <w:tab w:val="right" w:pos="8306"/>
      </w:tabs>
      <w:snapToGrid w:val="0"/>
      <w:spacing w:beforeLines="0" w:afterLines="0"/>
    </w:pPr>
    <w:rPr>
      <w:rFonts w:hint="eastAsia"/>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footnote text"/>
    <w:basedOn w:val="1"/>
    <w:next w:val="6"/>
    <w:unhideWhenUsed/>
    <w:qFormat/>
    <w:uiPriority w:val="0"/>
    <w:pPr>
      <w:snapToGrid w:val="0"/>
      <w:spacing w:beforeLines="0" w:afterLines="0"/>
    </w:pPr>
    <w:rPr>
      <w:rFonts w:hint="eastAsia"/>
      <w:sz w:val="18"/>
      <w:szCs w:val="18"/>
    </w:rPr>
  </w:style>
  <w:style w:type="paragraph" w:styleId="11">
    <w:name w:val="Normal (Web)"/>
    <w:basedOn w:val="1"/>
    <w:unhideWhenUsed/>
    <w:qFormat/>
    <w:uiPriority w:val="0"/>
    <w:pPr>
      <w:spacing w:before="100" w:beforeLines="0" w:beforeAutospacing="1" w:after="100" w:afterLines="0" w:afterAutospacing="1"/>
    </w:pPr>
    <w:rPr>
      <w:rFonts w:hint="eastAsia"/>
      <w:sz w:val="24"/>
      <w:szCs w:val="24"/>
      <w:lang w:bidi="ar"/>
    </w:rPr>
  </w:style>
  <w:style w:type="character" w:styleId="14">
    <w:name w:val="Strong"/>
    <w:basedOn w:val="13"/>
    <w:unhideWhenUsed/>
    <w:qFormat/>
    <w:uiPriority w:val="99"/>
    <w:rPr>
      <w:rFonts w:hint="default"/>
      <w:b/>
      <w:sz w:val="24"/>
      <w:szCs w:val="24"/>
    </w:rPr>
  </w:style>
  <w:style w:type="paragraph" w:styleId="15">
    <w:name w:val="List Paragraph"/>
    <w:basedOn w:val="1"/>
    <w:unhideWhenUsed/>
    <w:qFormat/>
    <w:uiPriority w:val="34"/>
    <w:pPr>
      <w:spacing w:beforeLines="0" w:afterLines="0"/>
      <w:ind w:firstLine="420" w:firstLineChars="200"/>
    </w:pPr>
    <w:rPr>
      <w:rFonts w:hint="eastAsia"/>
      <w:sz w:val="24"/>
      <w:szCs w:val="24"/>
    </w:rPr>
  </w:style>
  <w:style w:type="paragraph" w:customStyle="1" w:styleId="16">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7">
    <w:name w:val="页眉 Char"/>
    <w:basedOn w:val="13"/>
    <w:link w:val="9"/>
    <w:unhideWhenUsed/>
    <w:locked/>
    <w:uiPriority w:val="99"/>
    <w:rPr>
      <w:rFonts w:hint="default" w:cs="Times New Roman"/>
      <w:sz w:val="18"/>
      <w:szCs w:val="18"/>
    </w:rPr>
  </w:style>
  <w:style w:type="character" w:customStyle="1" w:styleId="18">
    <w:name w:val="正文文本 Char"/>
    <w:basedOn w:val="13"/>
    <w:link w:val="4"/>
    <w:unhideWhenUsed/>
    <w:locked/>
    <w:uiPriority w:val="99"/>
    <w:rPr>
      <w:rFonts w:hint="default" w:cs="Times New Roman"/>
      <w:sz w:val="24"/>
      <w:szCs w:val="24"/>
    </w:rPr>
  </w:style>
  <w:style w:type="character" w:customStyle="1" w:styleId="19">
    <w:name w:val="标题 2 Char"/>
    <w:basedOn w:val="13"/>
    <w:link w:val="3"/>
    <w:unhideWhenUsed/>
    <w:locked/>
    <w:uiPriority w:val="9"/>
    <w:rPr>
      <w:rFonts w:hint="eastAsia" w:ascii="宋体" w:hAnsi="Cambria" w:eastAsia="宋体" w:cs="Times New Roman"/>
      <w:b/>
      <w:sz w:val="32"/>
      <w:szCs w:val="32"/>
    </w:rPr>
  </w:style>
  <w:style w:type="character" w:customStyle="1" w:styleId="20">
    <w:name w:val="font31"/>
    <w:basedOn w:val="13"/>
    <w:unhideWhenUsed/>
    <w:uiPriority w:val="0"/>
    <w:rPr>
      <w:rFonts w:hint="eastAsia" w:ascii="宋体" w:hAnsi="宋体" w:eastAsia="宋体" w:cs="宋体"/>
      <w:color w:val="000000"/>
      <w:sz w:val="18"/>
      <w:szCs w:val="18"/>
    </w:rPr>
  </w:style>
  <w:style w:type="character" w:customStyle="1" w:styleId="21">
    <w:name w:val="标题 1 Char"/>
    <w:basedOn w:val="13"/>
    <w:link w:val="2"/>
    <w:unhideWhenUsed/>
    <w:locked/>
    <w:uiPriority w:val="9"/>
    <w:rPr>
      <w:rFonts w:hint="default" w:cs="Times New Roman"/>
      <w:b/>
      <w:kern w:val="44"/>
      <w:sz w:val="44"/>
      <w:szCs w:val="44"/>
    </w:rPr>
  </w:style>
  <w:style w:type="character" w:customStyle="1" w:styleId="22">
    <w:name w:val="页脚 Char"/>
    <w:basedOn w:val="13"/>
    <w:link w:val="8"/>
    <w:unhideWhenUsed/>
    <w:locked/>
    <w:uiPriority w:val="99"/>
    <w:rPr>
      <w:rFonts w:hint="default" w:cs="Times New Roman"/>
      <w:sz w:val="18"/>
      <w:szCs w:val="18"/>
    </w:rPr>
  </w:style>
  <w:style w:type="character" w:customStyle="1" w:styleId="23">
    <w:name w:val="font21"/>
    <w:basedOn w:val="13"/>
    <w:unhideWhenUsed/>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17154</Words>
  <Characters>18255</Characters>
  <TotalTime>0</TotalTime>
  <ScaleCrop>false</ScaleCrop>
  <LinksUpToDate>false</LinksUpToDate>
  <CharactersWithSpaces>18419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2024-09-24T02:54:22Z</dcterms:created>
  <dc:creator>DELL</dc:creator>
  <cp:lastModifiedBy>昭化融媒体</cp:lastModifiedBy>
  <dcterms:modified xsi:type="dcterms:W3CDTF">2024-09-24T02:54:36Z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98535A9CA5B44F70BCC8F3C11CBF7739_13</vt:lpwstr>
  </property>
</Properties>
</file>