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pStyle w:val="7"/>
        <w:keepNext w:val="0"/>
        <w:keepLines w:val="0"/>
        <w:pageBreakBefore w:val="0"/>
        <w:kinsoku/>
        <w:wordWrap/>
        <w:overflowPunct/>
        <w:topLinePunct w:val="0"/>
        <w:autoSpaceDE/>
        <w:autoSpaceDN/>
        <w:bidi w:val="0"/>
        <w:adjustRightInd/>
        <w:snapToGrid/>
        <w:spacing w:line="576" w:lineRule="exact"/>
        <w:textAlignment w:val="auto"/>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pageBreakBefore w:val="0"/>
        <w:kinsoku/>
        <w:wordWrap/>
        <w:overflowPunct/>
        <w:topLinePunct w:val="0"/>
        <w:autoSpaceDE/>
        <w:autoSpaceDN/>
        <w:bidi w:val="0"/>
        <w:adjustRightInd/>
        <w:snapToGrid/>
        <w:spacing w:line="576" w:lineRule="exact"/>
        <w:textAlignment w:val="auto"/>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pStyle w:val="7"/>
        <w:keepNext w:val="0"/>
        <w:keepLines w:val="0"/>
        <w:pageBreakBefore w:val="0"/>
        <w:kinsoku/>
        <w:wordWrap/>
        <w:overflowPunct/>
        <w:topLinePunct w:val="0"/>
        <w:autoSpaceDE/>
        <w:autoSpaceDN/>
        <w:bidi w:val="0"/>
        <w:adjustRightInd/>
        <w:snapToGrid/>
        <w:spacing w:line="576" w:lineRule="exact"/>
        <w:textAlignment w:val="auto"/>
        <w:rPr>
          <w:rFonts w:hint="eastAsia"/>
          <w:lang w:val="en-US" w:eastAsia="zh-CN"/>
        </w:rPr>
      </w:pPr>
      <w:bookmarkStart w:id="25" w:name="_GoBack"/>
      <w:bookmarkEnd w:id="25"/>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outlineLvl w:val="0"/>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bookmarkStart w:id="0" w:name="_Toc6652"/>
      <w: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en-AU"/>
        </w:rPr>
        <w:t>广元市昭化区柏林沟镇卫生院</w:t>
      </w:r>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default" w:ascii="Times New Roman" w:hAnsi="Times New Roman" w:cs="Times New Roman"/>
          <w:i w:val="0"/>
          <w:caps w:val="0"/>
          <w:color w:val="333333"/>
          <w:spacing w:val="0"/>
          <w:sz w:val="32"/>
          <w:szCs w:val="32"/>
        </w:rPr>
      </w:pPr>
      <w:r>
        <w:rPr>
          <w:rFonts w:hint="eastAsia" w:ascii="方正小标宋简体" w:hAnsi="方正小标宋简体" w:eastAsia="方正小标宋简体" w:cs="方正小标宋简体"/>
          <w:i w:val="0"/>
          <w:caps w:val="0"/>
          <w:color w:val="333333"/>
          <w:spacing w:val="0"/>
          <w:kern w:val="0"/>
          <w:sz w:val="44"/>
          <w:szCs w:val="44"/>
          <w:shd w:val="clear" w:color="auto" w:fill="FFFFFF"/>
          <w:lang w:val="en-US" w:eastAsia="zh-CN" w:bidi="en-AU"/>
        </w:rPr>
        <w:t>2023年部门预算编制说明</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p>
    <w:p>
      <w:pPr>
        <w:pStyle w:val="17"/>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p>
    <w:p>
      <w:pPr>
        <w:keepNext w:val="0"/>
        <w:keepLines w:val="0"/>
        <w:pageBreakBefore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rPr>
          <w:rFonts w:ascii="宋体" w:hAnsi="宋体" w:eastAsia="宋体"/>
          <w:sz w:val="21"/>
        </w:rPr>
      </w:pPr>
    </w:p>
    <w:p>
      <w:pPr>
        <w:keepNext w:val="0"/>
        <w:keepLines w:val="0"/>
        <w:pageBreakBefore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rPr>
          <w:rFonts w:ascii="宋体" w:hAnsi="宋体" w:eastAsia="宋体"/>
          <w:sz w:val="21"/>
        </w:rPr>
      </w:pPr>
    </w:p>
    <w:p>
      <w:pPr>
        <w:keepNext w:val="0"/>
        <w:keepLines w:val="0"/>
        <w:pageBreakBefore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rPr>
          <w:rFonts w:ascii="宋体" w:hAnsi="宋体" w:eastAsia="宋体"/>
          <w:sz w:val="21"/>
        </w:rPr>
      </w:pPr>
    </w:p>
    <w:p>
      <w:pPr>
        <w:keepNext w:val="0"/>
        <w:keepLines w:val="0"/>
        <w:pageBreakBefore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rPr>
          <w:rFonts w:ascii="宋体" w:hAnsi="宋体" w:eastAsia="宋体"/>
          <w:sz w:val="21"/>
        </w:rPr>
      </w:pPr>
    </w:p>
    <w:p>
      <w:pPr>
        <w:keepNext w:val="0"/>
        <w:keepLines w:val="0"/>
        <w:pageBreakBefore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rPr>
          <w:rFonts w:ascii="宋体" w:hAnsi="宋体" w:eastAsia="宋体"/>
          <w:sz w:val="21"/>
        </w:rPr>
      </w:pPr>
    </w:p>
    <w:p>
      <w:pPr>
        <w:keepNext w:val="0"/>
        <w:keepLines w:val="0"/>
        <w:pageBreakBefore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rPr>
          <w:rFonts w:ascii="宋体" w:hAnsi="宋体" w:eastAsia="宋体"/>
          <w:sz w:val="21"/>
        </w:rPr>
      </w:pPr>
    </w:p>
    <w:p>
      <w:pPr>
        <w:keepNext w:val="0"/>
        <w:keepLines w:val="0"/>
        <w:pageBreakBefore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rPr>
          <w:rFonts w:ascii="宋体" w:hAnsi="宋体" w:eastAsia="宋体"/>
          <w:sz w:val="21"/>
        </w:rPr>
      </w:pPr>
    </w:p>
    <w:p>
      <w:pPr>
        <w:keepNext w:val="0"/>
        <w:keepLines w:val="0"/>
        <w:pageBreakBefore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rPr>
          <w:rFonts w:ascii="宋体" w:hAnsi="宋体" w:eastAsia="宋体"/>
          <w:sz w:val="21"/>
        </w:rPr>
      </w:pPr>
    </w:p>
    <w:p>
      <w:pPr>
        <w:keepNext w:val="0"/>
        <w:keepLines w:val="0"/>
        <w:pageBreakBefore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rPr>
          <w:rFonts w:ascii="宋体" w:hAnsi="宋体" w:eastAsia="宋体"/>
          <w:sz w:val="21"/>
        </w:rPr>
      </w:pPr>
    </w:p>
    <w:p>
      <w:pPr>
        <w:keepNext w:val="0"/>
        <w:keepLines w:val="0"/>
        <w:pageBreakBefore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rPr>
          <w:rFonts w:ascii="宋体" w:hAnsi="宋体" w:eastAsia="宋体"/>
          <w:sz w:val="21"/>
        </w:rPr>
      </w:pPr>
    </w:p>
    <w:p>
      <w:pPr>
        <w:keepNext w:val="0"/>
        <w:keepLines w:val="0"/>
        <w:pageBreakBefore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rPr>
          <w:rFonts w:ascii="宋体" w:hAnsi="宋体" w:eastAsia="宋体"/>
          <w:sz w:val="21"/>
        </w:rPr>
      </w:pPr>
    </w:p>
    <w:p>
      <w:pPr>
        <w:keepNext w:val="0"/>
        <w:keepLines w:val="0"/>
        <w:pageBreakBefore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center"/>
        <w:textAlignment w:val="auto"/>
        <w:rPr>
          <w:rFonts w:ascii="宋体" w:hAnsi="宋体" w:eastAsia="宋体"/>
          <w:sz w:val="21"/>
        </w:rPr>
      </w:pPr>
    </w:p>
    <w:p>
      <w:pPr>
        <w:keepNext w:val="0"/>
        <w:keepLines w:val="0"/>
        <w:pageBreakBefore w:val="0"/>
        <w:kinsoku/>
        <w:wordWrap/>
        <w:overflowPunct/>
        <w:topLinePunct w:val="0"/>
        <w:autoSpaceDE/>
        <w:autoSpaceDN/>
        <w:bidi w:val="0"/>
        <w:adjustRightInd/>
        <w:snapToGrid/>
        <w:spacing w:before="0" w:beforeLines="0" w:after="0" w:afterLines="0" w:line="576" w:lineRule="exact"/>
        <w:ind w:left="0" w:leftChars="0" w:right="0" w:rightChars="0" w:firstLine="0" w:firstLineChars="0"/>
        <w:jc w:val="both"/>
        <w:textAlignment w:val="auto"/>
        <w:rPr>
          <w:rFonts w:ascii="宋体" w:hAnsi="宋体" w:eastAsia="宋体"/>
          <w:sz w:val="21"/>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r>
        <w:rPr>
          <w:rFonts w:hint="eastAsia" w:ascii="方正小标宋简体" w:hAnsi="方正小标宋简体" w:eastAsia="方正小标宋简体" w:cs="方正小标宋简体"/>
          <w:i w:val="0"/>
          <w:caps w:val="0"/>
          <w:color w:val="333333"/>
          <w:spacing w:val="0"/>
          <w:kern w:val="0"/>
          <w:sz w:val="40"/>
          <w:szCs w:val="40"/>
          <w:shd w:val="clear" w:color="auto" w:fill="FFFFFF"/>
          <w:lang w:val="en-US" w:eastAsia="zh-CN" w:bidi="en-AU"/>
        </w:rPr>
        <w:t>目   录</w:t>
      </w:r>
    </w:p>
    <w:p>
      <w:pPr>
        <w:pStyle w:val="17"/>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rFonts w:hint="eastAsia" w:ascii="方正小标宋简体" w:hAnsi="方正小标宋简体" w:eastAsia="方正小标宋简体" w:cs="方正小标宋简体"/>
          <w:i w:val="0"/>
          <w:caps w:val="0"/>
          <w:color w:val="333333"/>
          <w:spacing w:val="0"/>
          <w:kern w:val="0"/>
          <w:sz w:val="28"/>
          <w:szCs w:val="28"/>
          <w:lang w:val="en-US" w:eastAsia="zh-CN" w:bidi="en-AU"/>
        </w:rPr>
      </w:pPr>
    </w:p>
    <w:p>
      <w:pPr>
        <w:pStyle w:val="17"/>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b/>
          <w:sz w:val="28"/>
          <w:szCs w:val="28"/>
        </w:rPr>
      </w:pP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begin"/>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instrText xml:space="preserve">TOC \o "1-2" \h \u</w:instrText>
      </w:r>
      <w:r>
        <w:rPr>
          <w:rFonts w:hint="eastAsia" w:ascii="方正小标宋简体" w:hAnsi="方正小标宋简体" w:eastAsia="方正小标宋简体" w:cs="方正小标宋简体"/>
          <w:i w:val="0"/>
          <w:caps w:val="0"/>
          <w:color w:val="333333"/>
          <w:spacing w:val="0"/>
          <w:kern w:val="0"/>
          <w:sz w:val="28"/>
          <w:szCs w:val="28"/>
          <w:shd w:val="clear" w:color="auto" w:fill="FFFFFF"/>
          <w:lang w:val="en-US" w:eastAsia="zh-CN" w:bidi="en-AU"/>
        </w:rPr>
        <w:fldChar w:fldCharType="separate"/>
      </w:r>
      <w:r>
        <w:fldChar w:fldCharType="begin"/>
      </w:r>
      <w:r>
        <w:instrText xml:space="preserve"> HYPERLINK \l "_Toc1658" </w:instrText>
      </w:r>
      <w:r>
        <w:fldChar w:fldCharType="separate"/>
      </w:r>
      <w:r>
        <w:rPr>
          <w:rFonts w:ascii="黑体" w:hAnsi="宋体" w:eastAsia="黑体" w:cs="黑体"/>
          <w:b/>
          <w:i w:val="0"/>
          <w:caps w:val="0"/>
          <w:spacing w:val="0"/>
          <w:kern w:val="0"/>
          <w:sz w:val="28"/>
          <w:szCs w:val="28"/>
          <w:shd w:val="clear" w:color="auto" w:fill="FFFFFF"/>
          <w:lang w:val="en-US" w:eastAsia="zh-CN" w:bidi="en-AU"/>
        </w:rPr>
        <w:t>一、基本职能及主要工作</w:t>
      </w:r>
      <w:r>
        <w:rPr>
          <w:b/>
          <w:sz w:val="28"/>
          <w:szCs w:val="28"/>
        </w:rPr>
        <w:tab/>
      </w:r>
      <w:r>
        <w:rPr>
          <w:b/>
          <w:sz w:val="28"/>
          <w:szCs w:val="28"/>
        </w:rPr>
        <w:fldChar w:fldCharType="begin"/>
      </w:r>
      <w:r>
        <w:rPr>
          <w:b/>
          <w:sz w:val="28"/>
          <w:szCs w:val="28"/>
        </w:rPr>
        <w:instrText xml:space="preserve"> PAGEREF _Toc1658 \h </w:instrText>
      </w:r>
      <w:r>
        <w:rPr>
          <w:b/>
          <w:sz w:val="28"/>
          <w:szCs w:val="28"/>
        </w:rPr>
        <w:fldChar w:fldCharType="separate"/>
      </w:r>
      <w:r>
        <w:rPr>
          <w:b/>
          <w:sz w:val="28"/>
          <w:szCs w:val="28"/>
        </w:rPr>
        <w:t>3</w:t>
      </w:r>
      <w:r>
        <w:rPr>
          <w:b/>
          <w:sz w:val="28"/>
          <w:szCs w:val="28"/>
        </w:rPr>
        <w:fldChar w:fldCharType="end"/>
      </w:r>
      <w:r>
        <w:rPr>
          <w:b/>
          <w:sz w:val="28"/>
          <w:szCs w:val="28"/>
        </w:rPr>
        <w:fldChar w:fldCharType="end"/>
      </w:r>
    </w:p>
    <w:p>
      <w:pPr>
        <w:pStyle w:val="17"/>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b/>
          <w:sz w:val="28"/>
          <w:szCs w:val="28"/>
        </w:rPr>
      </w:pPr>
      <w:r>
        <w:fldChar w:fldCharType="begin"/>
      </w:r>
      <w:r>
        <w:instrText xml:space="preserve"> HYPERLINK \l "_Toc13927"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二、部门预算单位构成</w:t>
      </w:r>
      <w:r>
        <w:rPr>
          <w:b/>
          <w:sz w:val="28"/>
          <w:szCs w:val="28"/>
        </w:rPr>
        <w:tab/>
      </w:r>
      <w:r>
        <w:rPr>
          <w:b/>
          <w:sz w:val="28"/>
          <w:szCs w:val="28"/>
        </w:rPr>
        <w:fldChar w:fldCharType="begin"/>
      </w:r>
      <w:r>
        <w:rPr>
          <w:b/>
          <w:sz w:val="28"/>
          <w:szCs w:val="28"/>
        </w:rPr>
        <w:instrText xml:space="preserve"> PAGEREF _Toc13927 \h </w:instrText>
      </w:r>
      <w:r>
        <w:rPr>
          <w:b/>
          <w:sz w:val="28"/>
          <w:szCs w:val="28"/>
        </w:rPr>
        <w:fldChar w:fldCharType="separate"/>
      </w:r>
      <w:r>
        <w:rPr>
          <w:b/>
          <w:sz w:val="28"/>
          <w:szCs w:val="28"/>
        </w:rPr>
        <w:t>3</w:t>
      </w:r>
      <w:r>
        <w:rPr>
          <w:b/>
          <w:sz w:val="28"/>
          <w:szCs w:val="28"/>
        </w:rPr>
        <w:fldChar w:fldCharType="end"/>
      </w:r>
      <w:r>
        <w:rPr>
          <w:b/>
          <w:sz w:val="28"/>
          <w:szCs w:val="28"/>
        </w:rPr>
        <w:fldChar w:fldCharType="end"/>
      </w:r>
    </w:p>
    <w:p>
      <w:pPr>
        <w:pStyle w:val="17"/>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b/>
          <w:sz w:val="28"/>
          <w:szCs w:val="28"/>
        </w:rPr>
      </w:pPr>
      <w:r>
        <w:fldChar w:fldCharType="begin"/>
      </w:r>
      <w:r>
        <w:instrText xml:space="preserve"> HYPERLINK \l "_Toc17249"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三、收支预算情况说明</w:t>
      </w:r>
      <w:r>
        <w:rPr>
          <w:b/>
          <w:sz w:val="28"/>
          <w:szCs w:val="28"/>
        </w:rPr>
        <w:tab/>
      </w:r>
      <w:r>
        <w:rPr>
          <w:b/>
          <w:sz w:val="28"/>
          <w:szCs w:val="28"/>
        </w:rPr>
        <w:fldChar w:fldCharType="begin"/>
      </w:r>
      <w:r>
        <w:rPr>
          <w:b/>
          <w:sz w:val="28"/>
          <w:szCs w:val="28"/>
        </w:rPr>
        <w:instrText xml:space="preserve"> PAGEREF _Toc17249 \h </w:instrText>
      </w:r>
      <w:r>
        <w:rPr>
          <w:b/>
          <w:sz w:val="28"/>
          <w:szCs w:val="28"/>
        </w:rPr>
        <w:fldChar w:fldCharType="separate"/>
      </w:r>
      <w:r>
        <w:rPr>
          <w:b/>
          <w:sz w:val="28"/>
          <w:szCs w:val="28"/>
        </w:rPr>
        <w:t>4</w:t>
      </w:r>
      <w:r>
        <w:rPr>
          <w:b/>
          <w:sz w:val="28"/>
          <w:szCs w:val="28"/>
        </w:rPr>
        <w:fldChar w:fldCharType="end"/>
      </w:r>
      <w:r>
        <w:rPr>
          <w:b/>
          <w:sz w:val="28"/>
          <w:szCs w:val="28"/>
        </w:rPr>
        <w:fldChar w:fldCharType="end"/>
      </w:r>
    </w:p>
    <w:p>
      <w:pPr>
        <w:pStyle w:val="17"/>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b/>
          <w:sz w:val="28"/>
          <w:szCs w:val="28"/>
        </w:rPr>
      </w:pPr>
      <w:r>
        <w:fldChar w:fldCharType="begin"/>
      </w:r>
      <w:r>
        <w:instrText xml:space="preserve"> HYPERLINK \l "_Toc10782"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四、财政拨款收支预算情况说明</w:t>
      </w:r>
      <w:r>
        <w:rPr>
          <w:b/>
          <w:sz w:val="28"/>
          <w:szCs w:val="28"/>
        </w:rPr>
        <w:tab/>
      </w:r>
      <w:r>
        <w:rPr>
          <w:b/>
          <w:sz w:val="28"/>
          <w:szCs w:val="28"/>
        </w:rPr>
        <w:fldChar w:fldCharType="begin"/>
      </w:r>
      <w:r>
        <w:rPr>
          <w:b/>
          <w:sz w:val="28"/>
          <w:szCs w:val="28"/>
        </w:rPr>
        <w:instrText xml:space="preserve"> PAGEREF _Toc10782 \h </w:instrText>
      </w:r>
      <w:r>
        <w:rPr>
          <w:b/>
          <w:sz w:val="28"/>
          <w:szCs w:val="28"/>
        </w:rPr>
        <w:fldChar w:fldCharType="separate"/>
      </w:r>
      <w:r>
        <w:rPr>
          <w:b/>
          <w:sz w:val="28"/>
          <w:szCs w:val="28"/>
        </w:rPr>
        <w:t>4</w:t>
      </w:r>
      <w:r>
        <w:rPr>
          <w:b/>
          <w:sz w:val="28"/>
          <w:szCs w:val="28"/>
        </w:rPr>
        <w:fldChar w:fldCharType="end"/>
      </w:r>
      <w:r>
        <w:rPr>
          <w:b/>
          <w:sz w:val="28"/>
          <w:szCs w:val="28"/>
        </w:rPr>
        <w:fldChar w:fldCharType="end"/>
      </w:r>
    </w:p>
    <w:p>
      <w:pPr>
        <w:pStyle w:val="17"/>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b/>
          <w:sz w:val="28"/>
          <w:szCs w:val="28"/>
        </w:rPr>
      </w:pPr>
      <w:r>
        <w:fldChar w:fldCharType="begin"/>
      </w:r>
      <w:r>
        <w:instrText xml:space="preserve"> HYPERLINK \l "_Toc26454"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五、 一般公共预算当年拨款情况说明</w:t>
      </w:r>
      <w:r>
        <w:rPr>
          <w:b/>
          <w:sz w:val="28"/>
          <w:szCs w:val="28"/>
        </w:rPr>
        <w:tab/>
      </w:r>
      <w:r>
        <w:rPr>
          <w:b/>
          <w:sz w:val="28"/>
          <w:szCs w:val="28"/>
        </w:rPr>
        <w:fldChar w:fldCharType="begin"/>
      </w:r>
      <w:r>
        <w:rPr>
          <w:b/>
          <w:sz w:val="28"/>
          <w:szCs w:val="28"/>
        </w:rPr>
        <w:instrText xml:space="preserve"> PAGEREF _Toc26454 \h </w:instrText>
      </w:r>
      <w:r>
        <w:rPr>
          <w:b/>
          <w:sz w:val="28"/>
          <w:szCs w:val="28"/>
        </w:rPr>
        <w:fldChar w:fldCharType="separate"/>
      </w:r>
      <w:r>
        <w:rPr>
          <w:b/>
          <w:sz w:val="28"/>
          <w:szCs w:val="28"/>
        </w:rPr>
        <w:t>5</w:t>
      </w:r>
      <w:r>
        <w:rPr>
          <w:b/>
          <w:sz w:val="28"/>
          <w:szCs w:val="28"/>
        </w:rPr>
        <w:fldChar w:fldCharType="end"/>
      </w:r>
      <w:r>
        <w:rPr>
          <w:b/>
          <w:sz w:val="28"/>
          <w:szCs w:val="28"/>
        </w:rPr>
        <w:fldChar w:fldCharType="end"/>
      </w:r>
    </w:p>
    <w:p>
      <w:pPr>
        <w:pStyle w:val="17"/>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b/>
          <w:sz w:val="28"/>
          <w:szCs w:val="28"/>
        </w:rPr>
      </w:pPr>
      <w:r>
        <w:fldChar w:fldCharType="begin"/>
      </w:r>
      <w:r>
        <w:instrText xml:space="preserve"> HYPERLINK \l "_Toc32143"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六、一般公共预算基本支出情况说明</w:t>
      </w:r>
      <w:r>
        <w:rPr>
          <w:b/>
          <w:sz w:val="28"/>
          <w:szCs w:val="28"/>
        </w:rPr>
        <w:tab/>
      </w:r>
      <w:r>
        <w:rPr>
          <w:b/>
          <w:sz w:val="28"/>
          <w:szCs w:val="28"/>
        </w:rPr>
        <w:fldChar w:fldCharType="begin"/>
      </w:r>
      <w:r>
        <w:rPr>
          <w:b/>
          <w:sz w:val="28"/>
          <w:szCs w:val="28"/>
        </w:rPr>
        <w:instrText xml:space="preserve"> PAGEREF _Toc32143 \h </w:instrText>
      </w:r>
      <w:r>
        <w:rPr>
          <w:b/>
          <w:sz w:val="28"/>
          <w:szCs w:val="28"/>
        </w:rPr>
        <w:fldChar w:fldCharType="separate"/>
      </w:r>
      <w:r>
        <w:rPr>
          <w:b/>
          <w:sz w:val="28"/>
          <w:szCs w:val="28"/>
        </w:rPr>
        <w:t>6</w:t>
      </w:r>
      <w:r>
        <w:rPr>
          <w:b/>
          <w:sz w:val="28"/>
          <w:szCs w:val="28"/>
        </w:rPr>
        <w:fldChar w:fldCharType="end"/>
      </w:r>
      <w:r>
        <w:rPr>
          <w:b/>
          <w:sz w:val="28"/>
          <w:szCs w:val="28"/>
        </w:rPr>
        <w:fldChar w:fldCharType="end"/>
      </w:r>
    </w:p>
    <w:p>
      <w:pPr>
        <w:pStyle w:val="17"/>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b/>
          <w:sz w:val="28"/>
          <w:szCs w:val="28"/>
        </w:rPr>
      </w:pPr>
      <w:r>
        <w:fldChar w:fldCharType="begin"/>
      </w:r>
      <w:r>
        <w:instrText xml:space="preserve"> HYPERLINK \l "_Toc12208"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七、“三公”经费财政拨款预算安排情况说明</w:t>
      </w:r>
      <w:r>
        <w:rPr>
          <w:b/>
          <w:sz w:val="28"/>
          <w:szCs w:val="28"/>
        </w:rPr>
        <w:tab/>
      </w:r>
      <w:r>
        <w:rPr>
          <w:b/>
          <w:sz w:val="28"/>
          <w:szCs w:val="28"/>
        </w:rPr>
        <w:fldChar w:fldCharType="begin"/>
      </w:r>
      <w:r>
        <w:rPr>
          <w:b/>
          <w:sz w:val="28"/>
          <w:szCs w:val="28"/>
        </w:rPr>
        <w:instrText xml:space="preserve"> PAGEREF _Toc12208 \h </w:instrText>
      </w:r>
      <w:r>
        <w:rPr>
          <w:b/>
          <w:sz w:val="28"/>
          <w:szCs w:val="28"/>
        </w:rPr>
        <w:fldChar w:fldCharType="separate"/>
      </w:r>
      <w:r>
        <w:rPr>
          <w:b/>
          <w:sz w:val="28"/>
          <w:szCs w:val="28"/>
        </w:rPr>
        <w:t>6</w:t>
      </w:r>
      <w:r>
        <w:rPr>
          <w:b/>
          <w:sz w:val="28"/>
          <w:szCs w:val="28"/>
        </w:rPr>
        <w:fldChar w:fldCharType="end"/>
      </w:r>
      <w:r>
        <w:rPr>
          <w:b/>
          <w:sz w:val="28"/>
          <w:szCs w:val="28"/>
        </w:rPr>
        <w:fldChar w:fldCharType="end"/>
      </w:r>
    </w:p>
    <w:p>
      <w:pPr>
        <w:pStyle w:val="17"/>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b/>
          <w:sz w:val="28"/>
          <w:szCs w:val="28"/>
        </w:rPr>
      </w:pPr>
      <w:r>
        <w:fldChar w:fldCharType="begin"/>
      </w:r>
      <w:r>
        <w:instrText xml:space="preserve"> HYPERLINK \l "_Toc6384"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八、政府性基金预算支出情况说明</w:t>
      </w:r>
      <w:r>
        <w:rPr>
          <w:b/>
          <w:sz w:val="28"/>
          <w:szCs w:val="28"/>
        </w:rPr>
        <w:tab/>
      </w:r>
      <w:r>
        <w:rPr>
          <w:b/>
          <w:sz w:val="28"/>
          <w:szCs w:val="28"/>
        </w:rPr>
        <w:fldChar w:fldCharType="begin"/>
      </w:r>
      <w:r>
        <w:rPr>
          <w:b/>
          <w:sz w:val="28"/>
          <w:szCs w:val="28"/>
        </w:rPr>
        <w:instrText xml:space="preserve"> PAGEREF _Toc6384 \h </w:instrText>
      </w:r>
      <w:r>
        <w:rPr>
          <w:b/>
          <w:sz w:val="28"/>
          <w:szCs w:val="28"/>
        </w:rPr>
        <w:fldChar w:fldCharType="separate"/>
      </w:r>
      <w:r>
        <w:rPr>
          <w:b/>
          <w:sz w:val="28"/>
          <w:szCs w:val="28"/>
        </w:rPr>
        <w:t>7</w:t>
      </w:r>
      <w:r>
        <w:rPr>
          <w:b/>
          <w:sz w:val="28"/>
          <w:szCs w:val="28"/>
        </w:rPr>
        <w:fldChar w:fldCharType="end"/>
      </w:r>
      <w:r>
        <w:rPr>
          <w:b/>
          <w:sz w:val="28"/>
          <w:szCs w:val="28"/>
        </w:rPr>
        <w:fldChar w:fldCharType="end"/>
      </w:r>
    </w:p>
    <w:p>
      <w:pPr>
        <w:pStyle w:val="17"/>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b/>
          <w:sz w:val="28"/>
          <w:szCs w:val="28"/>
        </w:rPr>
      </w:pPr>
      <w:r>
        <w:fldChar w:fldCharType="begin"/>
      </w:r>
      <w:r>
        <w:instrText xml:space="preserve"> HYPERLINK \l "_Toc22589"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九、国有资本经营预算支出情况说明</w:t>
      </w:r>
      <w:r>
        <w:rPr>
          <w:b/>
          <w:sz w:val="28"/>
          <w:szCs w:val="28"/>
        </w:rPr>
        <w:tab/>
      </w:r>
      <w:r>
        <w:rPr>
          <w:b/>
          <w:sz w:val="28"/>
          <w:szCs w:val="28"/>
        </w:rPr>
        <w:fldChar w:fldCharType="begin"/>
      </w:r>
      <w:r>
        <w:rPr>
          <w:b/>
          <w:sz w:val="28"/>
          <w:szCs w:val="28"/>
        </w:rPr>
        <w:instrText xml:space="preserve"> PAGEREF _Toc22589 \h </w:instrText>
      </w:r>
      <w:r>
        <w:rPr>
          <w:b/>
          <w:sz w:val="28"/>
          <w:szCs w:val="28"/>
        </w:rPr>
        <w:fldChar w:fldCharType="separate"/>
      </w:r>
      <w:r>
        <w:rPr>
          <w:b/>
          <w:sz w:val="28"/>
          <w:szCs w:val="28"/>
        </w:rPr>
        <w:t>7</w:t>
      </w:r>
      <w:r>
        <w:rPr>
          <w:b/>
          <w:sz w:val="28"/>
          <w:szCs w:val="28"/>
        </w:rPr>
        <w:fldChar w:fldCharType="end"/>
      </w:r>
      <w:r>
        <w:rPr>
          <w:b/>
          <w:sz w:val="28"/>
          <w:szCs w:val="28"/>
        </w:rPr>
        <w:fldChar w:fldCharType="end"/>
      </w:r>
    </w:p>
    <w:p>
      <w:pPr>
        <w:pStyle w:val="17"/>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b/>
          <w:sz w:val="28"/>
          <w:szCs w:val="28"/>
        </w:rPr>
      </w:pPr>
      <w:r>
        <w:fldChar w:fldCharType="begin"/>
      </w:r>
      <w:r>
        <w:instrText xml:space="preserve"> HYPERLINK \l "_Toc9079" </w:instrText>
      </w:r>
      <w:r>
        <w:fldChar w:fldCharType="separate"/>
      </w:r>
      <w:r>
        <w:rPr>
          <w:rFonts w:hint="eastAsia" w:ascii="黑体" w:hAnsi="宋体" w:eastAsia="黑体" w:cs="黑体"/>
          <w:b/>
          <w:i w:val="0"/>
          <w:caps w:val="0"/>
          <w:spacing w:val="0"/>
          <w:kern w:val="0"/>
          <w:sz w:val="28"/>
          <w:szCs w:val="28"/>
          <w:shd w:val="clear" w:color="auto" w:fill="FFFFFF"/>
          <w:lang w:val="en-US" w:eastAsia="zh-CN" w:bidi="en-AU"/>
        </w:rPr>
        <w:t>十、 其他重要事项的情况说明</w:t>
      </w:r>
      <w:r>
        <w:rPr>
          <w:b/>
          <w:sz w:val="28"/>
          <w:szCs w:val="28"/>
        </w:rPr>
        <w:tab/>
      </w:r>
      <w:r>
        <w:rPr>
          <w:b/>
          <w:sz w:val="28"/>
          <w:szCs w:val="28"/>
        </w:rPr>
        <w:fldChar w:fldCharType="begin"/>
      </w:r>
      <w:r>
        <w:rPr>
          <w:b/>
          <w:sz w:val="28"/>
          <w:szCs w:val="28"/>
        </w:rPr>
        <w:instrText xml:space="preserve"> PAGEREF _Toc9079 \h </w:instrText>
      </w:r>
      <w:r>
        <w:rPr>
          <w:b/>
          <w:sz w:val="28"/>
          <w:szCs w:val="28"/>
        </w:rPr>
        <w:fldChar w:fldCharType="separate"/>
      </w:r>
      <w:r>
        <w:rPr>
          <w:b/>
          <w:sz w:val="28"/>
          <w:szCs w:val="28"/>
        </w:rPr>
        <w:t>7</w:t>
      </w:r>
      <w:r>
        <w:rPr>
          <w:b/>
          <w:sz w:val="28"/>
          <w:szCs w:val="28"/>
        </w:rPr>
        <w:fldChar w:fldCharType="end"/>
      </w:r>
      <w:r>
        <w:rPr>
          <w:b/>
          <w:sz w:val="28"/>
          <w:szCs w:val="28"/>
        </w:rPr>
        <w:fldChar w:fldCharType="end"/>
      </w:r>
    </w:p>
    <w:p>
      <w:pPr>
        <w:pStyle w:val="17"/>
        <w:keepNext w:val="0"/>
        <w:keepLines w:val="0"/>
        <w:pageBreakBefore w:val="0"/>
        <w:tabs>
          <w:tab w:val="right" w:leader="dot" w:pos="8306"/>
        </w:tabs>
        <w:kinsoku/>
        <w:wordWrap/>
        <w:overflowPunct/>
        <w:topLinePunct w:val="0"/>
        <w:autoSpaceDE/>
        <w:autoSpaceDN/>
        <w:bidi w:val="0"/>
        <w:adjustRightInd/>
        <w:snapToGrid/>
        <w:spacing w:line="576" w:lineRule="exact"/>
        <w:textAlignment w:val="auto"/>
        <w:rPr>
          <w:b/>
          <w:sz w:val="28"/>
          <w:szCs w:val="28"/>
        </w:rPr>
      </w:pPr>
      <w:r>
        <w:fldChar w:fldCharType="begin"/>
      </w:r>
      <w:r>
        <w:instrText xml:space="preserve"> HYPERLINK \l "_Toc21297" </w:instrText>
      </w:r>
      <w:r>
        <w:fldChar w:fldCharType="separate"/>
      </w:r>
      <w:r>
        <w:rPr>
          <w:rFonts w:hint="eastAsia" w:ascii="黑体" w:hAnsi="黑体" w:eastAsia="黑体" w:cs="黑体"/>
          <w:b/>
          <w:bCs/>
          <w:i w:val="0"/>
          <w:caps w:val="0"/>
          <w:spacing w:val="0"/>
          <w:kern w:val="0"/>
          <w:sz w:val="28"/>
          <w:szCs w:val="28"/>
          <w:shd w:val="clear" w:color="auto" w:fill="FFFFFF"/>
          <w:lang w:val="en-US" w:eastAsia="zh-CN" w:bidi="en-AU"/>
        </w:rPr>
        <w:t>十一、</w:t>
      </w:r>
      <w:r>
        <w:rPr>
          <w:rFonts w:hint="eastAsia" w:ascii="黑体" w:hAnsi="宋体" w:eastAsia="黑体" w:cs="黑体"/>
          <w:b/>
          <w:i w:val="0"/>
          <w:caps w:val="0"/>
          <w:spacing w:val="0"/>
          <w:kern w:val="0"/>
          <w:sz w:val="28"/>
          <w:szCs w:val="28"/>
          <w:shd w:val="clear" w:color="auto" w:fill="FFFFFF"/>
          <w:lang w:val="en-US" w:eastAsia="zh-CN" w:bidi="en-AU"/>
        </w:rPr>
        <w:t>名词解释</w:t>
      </w:r>
      <w:r>
        <w:rPr>
          <w:b/>
          <w:sz w:val="28"/>
          <w:szCs w:val="28"/>
        </w:rPr>
        <w:tab/>
      </w:r>
      <w:r>
        <w:rPr>
          <w:b/>
          <w:sz w:val="28"/>
          <w:szCs w:val="28"/>
        </w:rPr>
        <w:fldChar w:fldCharType="begin"/>
      </w:r>
      <w:r>
        <w:rPr>
          <w:b/>
          <w:sz w:val="28"/>
          <w:szCs w:val="28"/>
        </w:rPr>
        <w:instrText xml:space="preserve"> PAGEREF _Toc21297 \h </w:instrText>
      </w:r>
      <w:r>
        <w:rPr>
          <w:b/>
          <w:sz w:val="28"/>
          <w:szCs w:val="28"/>
        </w:rPr>
        <w:fldChar w:fldCharType="separate"/>
      </w:r>
      <w:r>
        <w:rPr>
          <w:b/>
          <w:sz w:val="28"/>
          <w:szCs w:val="28"/>
        </w:rPr>
        <w:t>8</w:t>
      </w:r>
      <w:r>
        <w:rPr>
          <w:b/>
          <w:sz w:val="28"/>
          <w:szCs w:val="28"/>
        </w:rPr>
        <w:fldChar w:fldCharType="end"/>
      </w:r>
      <w:r>
        <w:rPr>
          <w:b/>
          <w:sz w:val="28"/>
          <w:szCs w:val="28"/>
        </w:rPr>
        <w:fldChar w:fldCharType="end"/>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kern w:val="0"/>
          <w:sz w:val="44"/>
          <w:szCs w:val="44"/>
          <w:lang w:val="en-US" w:eastAsia="zh-CN" w:bidi="en-AU"/>
        </w:rPr>
      </w:pPr>
      <w:r>
        <w:rPr>
          <w:rFonts w:hint="eastAsia" w:ascii="方正小标宋简体" w:hAnsi="方正小标宋简体" w:eastAsia="方正小标宋简体" w:cs="方正小标宋简体"/>
          <w:b/>
          <w:i w:val="0"/>
          <w:caps w:val="0"/>
          <w:color w:val="333333"/>
          <w:spacing w:val="0"/>
          <w:kern w:val="0"/>
          <w:sz w:val="28"/>
          <w:szCs w:val="28"/>
          <w:shd w:val="clear" w:color="auto" w:fill="FFFFFF"/>
          <w:lang w:val="en-US" w:eastAsia="zh-CN" w:bidi="en-AU"/>
        </w:rPr>
        <w:fldChar w:fldCharType="end"/>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30" w:beforeAutospacing="0" w:after="0" w:afterAutospacing="0" w:line="576"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kern w:val="0"/>
          <w:sz w:val="40"/>
          <w:szCs w:val="40"/>
          <w:lang w:val="en-US" w:eastAsia="zh-CN" w:bidi="en-AU"/>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0"/>
        <w:rPr>
          <w:rFonts w:hint="default" w:ascii="Times New Roman" w:hAnsi="Times New Roman" w:cs="Times New Roman"/>
          <w:i w:val="0"/>
          <w:caps w:val="0"/>
          <w:color w:val="333333"/>
          <w:spacing w:val="0"/>
          <w:sz w:val="32"/>
          <w:szCs w:val="32"/>
        </w:rPr>
      </w:pPr>
      <w:bookmarkStart w:id="1" w:name="_Toc1658"/>
      <w:r>
        <w:rPr>
          <w:rFonts w:ascii="黑体" w:hAnsi="宋体" w:eastAsia="黑体" w:cs="黑体"/>
          <w:i w:val="0"/>
          <w:caps w:val="0"/>
          <w:color w:val="333333"/>
          <w:spacing w:val="0"/>
          <w:kern w:val="0"/>
          <w:sz w:val="32"/>
          <w:szCs w:val="32"/>
          <w:shd w:val="clear" w:color="auto" w:fill="FFFFFF"/>
          <w:lang w:val="en-US" w:eastAsia="zh-CN" w:bidi="en-AU"/>
        </w:rPr>
        <w:t>一、基本职能及主要工作</w:t>
      </w:r>
      <w:bookmarkEnd w:id="1"/>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楷体_GB2312" w:hAnsi="楷体_GB2312" w:eastAsia="楷体_GB2312" w:cs="楷体_GB2312"/>
          <w:b w:val="0"/>
          <w:bCs w:val="0"/>
          <w:i w:val="0"/>
          <w:caps w:val="0"/>
          <w:color w:val="333333"/>
          <w:spacing w:val="0"/>
          <w:kern w:val="0"/>
          <w:sz w:val="32"/>
          <w:szCs w:val="32"/>
          <w:lang w:val="en-US" w:eastAsia="zh-CN" w:bidi="en-AU"/>
        </w:rPr>
      </w:pPr>
      <w:r>
        <w:rPr>
          <w:rFonts w:hint="eastAsia" w:ascii="楷体_GB2312" w:hAnsi="楷体_GB2312" w:eastAsia="楷体_GB2312" w:cs="楷体_GB2312"/>
          <w:b w:val="0"/>
          <w:bCs/>
          <w:i w:val="0"/>
          <w:caps w:val="0"/>
          <w:color w:val="333333"/>
          <w:spacing w:val="0"/>
          <w:sz w:val="32"/>
          <w:szCs w:val="32"/>
          <w:shd w:val="clear" w:color="auto" w:fill="FFFFFF"/>
        </w:rPr>
        <w:t>（一）</w:t>
      </w:r>
      <w:r>
        <w:rPr>
          <w:rFonts w:hint="eastAsia" w:ascii="楷体_GB2312" w:hAnsi="楷体_GB2312" w:eastAsia="楷体_GB2312" w:cs="楷体_GB2312"/>
          <w:b w:val="0"/>
          <w:bCs w:val="0"/>
          <w:i w:val="0"/>
          <w:caps w:val="0"/>
          <w:color w:val="333333"/>
          <w:spacing w:val="0"/>
          <w:kern w:val="0"/>
          <w:sz w:val="32"/>
          <w:szCs w:val="32"/>
          <w:shd w:val="clear" w:color="auto" w:fill="FFFFFF"/>
          <w:lang w:val="en-US" w:eastAsia="zh-CN" w:bidi="en-AU"/>
        </w:rPr>
        <w:t>基本职能</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1.乡镇卫生院以公共卫生服务为主，综合提供预防、保健和基本医疗等服务。</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2.加强农村疾病预防控制，做好传染病、地方病防治和疫情等农村突发公共卫生事件报告工作，重点控制严重危害农民身体健康的传染病、地方病、职业病和寄生虫病等重大疾病。</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3.认真执行儿童计划免疫。积极开展慢性非传染性疾病的防治工作。　　</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4.做好农村孕产妇和儿童保健工作，提高住院分娩率，改善儿童营养状况。</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5.积极做好新型农村合作医疗的服务、计划生育技术指导、康复等工作。</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仿宋" w:hAnsi="仿宋" w:eastAsia="仿宋" w:cs="仿宋"/>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6.开展爱国卫生运动，普及疾病预防和卫生保健知识，指导群众改善居住、饮食、饮水和环境卫生条件，引导和帮助农民建立良好的卫生习惯。</w:t>
      </w:r>
      <w:r>
        <w:rPr>
          <w:rFonts w:hint="eastAsia" w:ascii="仿宋" w:hAnsi="仿宋" w:eastAsia="仿宋" w:cs="仿宋"/>
          <w:kern w:val="0"/>
          <w:sz w:val="32"/>
          <w:szCs w:val="32"/>
          <w:lang w:val="en-US" w:eastAsia="zh-CN" w:bidi="en-AU"/>
        </w:rPr>
        <w:t xml:space="preserve"> </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楷体_GB2312" w:hAnsi="楷体_GB2312" w:eastAsia="楷体_GB2312" w:cs="楷体_GB2312"/>
          <w:b w:val="0"/>
          <w:bCs/>
          <w:i w:val="0"/>
          <w:caps w:val="0"/>
          <w:color w:val="333333"/>
          <w:spacing w:val="0"/>
          <w:sz w:val="32"/>
          <w:szCs w:val="32"/>
        </w:rPr>
      </w:pPr>
      <w:bookmarkStart w:id="2" w:name="_Toc9201"/>
      <w:r>
        <w:rPr>
          <w:rFonts w:hint="eastAsia" w:ascii="楷体_GB2312" w:hAnsi="楷体_GB2312" w:eastAsia="楷体_GB2312" w:cs="楷体_GB2312"/>
          <w:b w:val="0"/>
          <w:bCs/>
          <w:i w:val="0"/>
          <w:caps w:val="0"/>
          <w:color w:val="333333"/>
          <w:spacing w:val="0"/>
          <w:sz w:val="32"/>
          <w:szCs w:val="32"/>
          <w:shd w:val="clear" w:color="auto" w:fill="FFFFFF"/>
        </w:rPr>
        <w:t>（二）202</w:t>
      </w:r>
      <w:r>
        <w:rPr>
          <w:rFonts w:hint="eastAsia" w:ascii="楷体_GB2312" w:hAnsi="楷体_GB2312" w:eastAsia="楷体_GB2312" w:cs="楷体_GB2312"/>
          <w:b w:val="0"/>
          <w:bCs/>
          <w:i w:val="0"/>
          <w:caps w:val="0"/>
          <w:color w:val="333333"/>
          <w:spacing w:val="0"/>
          <w:sz w:val="32"/>
          <w:szCs w:val="32"/>
          <w:shd w:val="clear" w:color="auto" w:fill="FFFFFF"/>
          <w:lang w:val="en-US" w:eastAsia="zh-CN"/>
        </w:rPr>
        <w:t>3</w:t>
      </w:r>
      <w:r>
        <w:rPr>
          <w:rFonts w:hint="eastAsia" w:ascii="楷体_GB2312" w:hAnsi="楷体_GB2312" w:eastAsia="楷体_GB2312" w:cs="楷体_GB2312"/>
          <w:b w:val="0"/>
          <w:bCs/>
          <w:i w:val="0"/>
          <w:caps w:val="0"/>
          <w:color w:val="333333"/>
          <w:spacing w:val="0"/>
          <w:sz w:val="32"/>
          <w:szCs w:val="32"/>
          <w:shd w:val="clear" w:color="auto" w:fill="FFFFFF"/>
        </w:rPr>
        <w:t>年重点工作</w:t>
      </w:r>
      <w:bookmarkEnd w:id="2"/>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1.抓医德医风提形象；2.抓公共卫生保民生；3.抓医疗质量能力提升；4.抓医保工作保基本；5.抓安全生产保中心；</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outlineLvl w:val="0"/>
        <w:rPr>
          <w:rFonts w:hint="default" w:ascii="Times New Roman" w:hAnsi="Times New Roman" w:cs="Times New Roman"/>
          <w:i w:val="0"/>
          <w:caps w:val="0"/>
          <w:color w:val="333333"/>
          <w:spacing w:val="0"/>
          <w:sz w:val="32"/>
          <w:szCs w:val="32"/>
        </w:rPr>
      </w:pPr>
      <w:bookmarkStart w:id="3" w:name="_Toc13927"/>
      <w:r>
        <w:rPr>
          <w:rFonts w:hint="eastAsia" w:ascii="黑体" w:hAnsi="宋体" w:eastAsia="黑体" w:cs="黑体"/>
          <w:i w:val="0"/>
          <w:caps w:val="0"/>
          <w:color w:val="333333"/>
          <w:spacing w:val="0"/>
          <w:kern w:val="0"/>
          <w:sz w:val="32"/>
          <w:szCs w:val="32"/>
          <w:shd w:val="clear" w:color="auto" w:fill="FFFFFF"/>
          <w:lang w:val="en-US" w:eastAsia="zh-CN" w:bidi="en-AU"/>
        </w:rPr>
        <w:t>二、部门预算单位构成</w:t>
      </w:r>
      <w:bookmarkEnd w:id="3"/>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柏林沟镇卫生院属二级预算单位（含文村分院），隶属广元市昭化区卫生健康局，为公益一类预算单位，设有内科、儿科、妇产科、防保科、医技等科室。</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68"/>
        <w:jc w:val="both"/>
        <w:textAlignment w:val="auto"/>
        <w:outlineLvl w:val="0"/>
        <w:rPr>
          <w:rFonts w:hint="default" w:ascii="Times New Roman" w:hAnsi="Times New Roman" w:cs="Times New Roman"/>
          <w:i w:val="0"/>
          <w:caps w:val="0"/>
          <w:color w:val="333333"/>
          <w:spacing w:val="0"/>
          <w:sz w:val="32"/>
          <w:szCs w:val="32"/>
        </w:rPr>
      </w:pPr>
      <w:bookmarkStart w:id="4" w:name="_Toc17249"/>
      <w:r>
        <w:rPr>
          <w:rFonts w:hint="eastAsia" w:ascii="黑体" w:hAnsi="宋体" w:eastAsia="黑体" w:cs="黑体"/>
          <w:i w:val="0"/>
          <w:caps w:val="0"/>
          <w:color w:val="333333"/>
          <w:spacing w:val="0"/>
          <w:kern w:val="0"/>
          <w:sz w:val="32"/>
          <w:szCs w:val="32"/>
          <w:shd w:val="clear" w:color="auto" w:fill="FFFFFF"/>
          <w:lang w:val="en-US" w:eastAsia="zh-CN" w:bidi="en-AU"/>
        </w:rPr>
        <w:t>三、收支预算情况说明</w:t>
      </w:r>
      <w:bookmarkEnd w:id="4"/>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按照综合预算的原则，柏林沟镇卫生院所有收入和支出均纳入部门预算管理。收入包括：一般公共预算拨款收入；支出包括：一般公共服务支出、社会保障和就业支出、卫生健康支出、住房保障支出。柏林沟镇卫生院2023年收支总预算196.06万元，比2022年收支预算总数增加107.19万元，主要原因是乡镇卫生院合并、人员调入、新招入人员预算经费增加等。</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楷体_GB2312" w:hAnsi="楷体_GB2312" w:eastAsia="楷体_GB2312" w:cs="楷体_GB2312"/>
          <w:b w:val="0"/>
          <w:bCs/>
          <w:i w:val="0"/>
          <w:caps w:val="0"/>
          <w:color w:val="333333"/>
          <w:spacing w:val="0"/>
          <w:sz w:val="32"/>
          <w:szCs w:val="32"/>
          <w:lang w:val="en-US" w:eastAsia="zh-CN"/>
        </w:rPr>
      </w:pPr>
      <w:bookmarkStart w:id="5" w:name="_Toc146"/>
      <w:r>
        <w:rPr>
          <w:rFonts w:hint="eastAsia" w:ascii="楷体_GB2312" w:hAnsi="楷体_GB2312" w:eastAsia="楷体_GB2312" w:cs="楷体_GB2312"/>
          <w:b w:val="0"/>
          <w:bCs/>
          <w:i w:val="0"/>
          <w:caps w:val="0"/>
          <w:color w:val="333333"/>
          <w:spacing w:val="0"/>
          <w:sz w:val="32"/>
          <w:szCs w:val="32"/>
          <w:shd w:val="clear" w:color="auto" w:fill="FFFFFF"/>
          <w:lang w:val="en-US" w:eastAsia="zh-CN"/>
        </w:rPr>
        <w:t>（一）收入预算情况</w:t>
      </w:r>
      <w:bookmarkEnd w:id="5"/>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2023年收入预算196.06万元，其中：一般公共预算拨款收入196.06万元，占100%。</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楷体_GB2312" w:hAnsi="楷体_GB2312" w:eastAsia="楷体_GB2312" w:cs="楷体_GB2312"/>
          <w:b w:val="0"/>
          <w:bCs/>
          <w:i w:val="0"/>
          <w:caps w:val="0"/>
          <w:color w:val="333333"/>
          <w:spacing w:val="0"/>
          <w:sz w:val="32"/>
          <w:szCs w:val="32"/>
          <w:lang w:val="en-US" w:eastAsia="zh-CN"/>
        </w:rPr>
      </w:pPr>
      <w:bookmarkStart w:id="6" w:name="_Toc18702"/>
      <w:r>
        <w:rPr>
          <w:rFonts w:hint="eastAsia" w:ascii="楷体_GB2312" w:hAnsi="楷体_GB2312" w:eastAsia="楷体_GB2312" w:cs="楷体_GB2312"/>
          <w:b w:val="0"/>
          <w:bCs/>
          <w:i w:val="0"/>
          <w:caps w:val="0"/>
          <w:color w:val="333333"/>
          <w:spacing w:val="0"/>
          <w:sz w:val="32"/>
          <w:szCs w:val="32"/>
          <w:shd w:val="clear" w:color="auto" w:fill="FFFFFF"/>
          <w:lang w:val="en-US" w:eastAsia="zh-CN"/>
        </w:rPr>
        <w:t>（二）支出预算情况</w:t>
      </w:r>
      <w:bookmarkEnd w:id="6"/>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2023年支出预算196.06万元，其中：基本支出196.06万元，占100%。</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0"/>
        <w:rPr>
          <w:rFonts w:hint="default" w:ascii="Times New Roman" w:hAnsi="Times New Roman" w:cs="Times New Roman"/>
          <w:i w:val="0"/>
          <w:caps w:val="0"/>
          <w:color w:val="333333"/>
          <w:spacing w:val="0"/>
          <w:sz w:val="32"/>
          <w:szCs w:val="32"/>
        </w:rPr>
      </w:pPr>
      <w:bookmarkStart w:id="7" w:name="_Toc10782"/>
      <w:r>
        <w:rPr>
          <w:rFonts w:hint="eastAsia" w:ascii="黑体" w:hAnsi="宋体" w:eastAsia="黑体" w:cs="黑体"/>
          <w:i w:val="0"/>
          <w:caps w:val="0"/>
          <w:color w:val="333333"/>
          <w:spacing w:val="0"/>
          <w:kern w:val="0"/>
          <w:sz w:val="32"/>
          <w:szCs w:val="32"/>
          <w:shd w:val="clear" w:color="auto" w:fill="FFFFFF"/>
          <w:lang w:val="en-US" w:eastAsia="zh-CN" w:bidi="en-AU"/>
        </w:rPr>
        <w:t>四、财政拨款收支预算情况说明</w:t>
      </w:r>
      <w:bookmarkEnd w:id="7"/>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2023年财政拨款收支总预算196.06万元，比2022年财政拨款收支总预算增加107.19万元，主要原因是乡镇卫生院合并、人员调入、新招入人员预算经费增加等。</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收入包括：本年一般公共预算拨款收入196.06万元；支出包括：社会保障和就业支出32.25万元、卫生健康支出147.83万元、住房保障支出15.98万元。</w:t>
      </w:r>
    </w:p>
    <w:p>
      <w:pPr>
        <w:keepNext w:val="0"/>
        <w:keepLines w:val="0"/>
        <w:pageBreakBefore w:val="0"/>
        <w:widowControl/>
        <w:numPr>
          <w:ilvl w:val="0"/>
          <w:numId w:val="1"/>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668"/>
        <w:jc w:val="both"/>
        <w:textAlignment w:val="auto"/>
        <w:outlineLvl w:val="0"/>
        <w:rPr>
          <w:rFonts w:hint="eastAsia" w:ascii="黑体" w:hAnsi="宋体" w:eastAsia="黑体" w:cs="黑体"/>
          <w:i w:val="0"/>
          <w:caps w:val="0"/>
          <w:color w:val="333333"/>
          <w:spacing w:val="0"/>
          <w:kern w:val="0"/>
          <w:sz w:val="32"/>
          <w:szCs w:val="32"/>
          <w:lang w:val="en-US" w:eastAsia="zh-CN" w:bidi="en-AU"/>
        </w:rPr>
      </w:pPr>
      <w:bookmarkStart w:id="8" w:name="_Toc26454"/>
      <w:r>
        <w:rPr>
          <w:rFonts w:hint="eastAsia" w:ascii="黑体" w:hAnsi="宋体" w:eastAsia="黑体" w:cs="黑体"/>
          <w:i w:val="0"/>
          <w:caps w:val="0"/>
          <w:color w:val="333333"/>
          <w:spacing w:val="0"/>
          <w:kern w:val="0"/>
          <w:sz w:val="32"/>
          <w:szCs w:val="32"/>
          <w:shd w:val="clear" w:color="auto" w:fill="FFFFFF"/>
          <w:lang w:val="en-US" w:eastAsia="zh-CN" w:bidi="en-AU"/>
        </w:rPr>
        <w:t>一般公共预算当年拨款情况说明</w:t>
      </w:r>
      <w:bookmarkEnd w:id="8"/>
    </w:p>
    <w:p>
      <w:pPr>
        <w:keepNext w:val="0"/>
        <w:keepLines w:val="0"/>
        <w:pageBreakBefore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1"/>
        <w:rPr>
          <w:rFonts w:hint="eastAsia" w:ascii="楷体_GB2312" w:hAnsi="Times New Roman" w:eastAsia="楷体_GB2312" w:cs="楷体_GB2312"/>
          <w:b w:val="0"/>
          <w:bCs/>
          <w:i w:val="0"/>
          <w:caps w:val="0"/>
          <w:color w:val="333333"/>
          <w:spacing w:val="0"/>
          <w:kern w:val="0"/>
          <w:sz w:val="32"/>
          <w:szCs w:val="32"/>
          <w:lang w:val="en-US" w:eastAsia="zh-CN" w:bidi="en-AU"/>
        </w:rPr>
      </w:pPr>
      <w:bookmarkStart w:id="9" w:name="_Toc7851"/>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一般公共预算当年拨款规模变化情况</w:t>
      </w:r>
      <w:bookmarkEnd w:id="9"/>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2023年一般公共预算当年拨款196.06万元，比2022年预算数增加107.19万元，主要原因是乡镇卫生院合并、人员调入、新招入人员预算经费增加等。</w:t>
      </w:r>
    </w:p>
    <w:p>
      <w:pPr>
        <w:keepNext w:val="0"/>
        <w:keepLines w:val="0"/>
        <w:pageBreakBefore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1"/>
        <w:rPr>
          <w:rFonts w:hint="eastAsia" w:ascii="楷体_GB2312" w:hAnsi="Times New Roman" w:eastAsia="楷体_GB2312" w:cs="楷体_GB2312"/>
          <w:b w:val="0"/>
          <w:bCs/>
          <w:i w:val="0"/>
          <w:caps w:val="0"/>
          <w:color w:val="333333"/>
          <w:spacing w:val="0"/>
          <w:kern w:val="0"/>
          <w:sz w:val="32"/>
          <w:szCs w:val="32"/>
          <w:lang w:val="en-US" w:eastAsia="zh-CN" w:bidi="en-AU"/>
        </w:rPr>
      </w:pPr>
      <w:bookmarkStart w:id="10" w:name="_Toc15140"/>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一般公共预算当年拨款结构情况</w:t>
      </w:r>
      <w:bookmarkEnd w:id="10"/>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一般公共服务支出0万元，占0%；教育支出0万元，占0%；社会保障和就业支出32.25万元，占16.45%；卫生健康支出147.83万元，占75.4%；住房保障支出15.98万元，占8.15%。</w:t>
      </w:r>
    </w:p>
    <w:p>
      <w:pPr>
        <w:keepNext w:val="0"/>
        <w:keepLines w:val="0"/>
        <w:pageBreakBefore w:val="0"/>
        <w:widowControl/>
        <w:numPr>
          <w:ilvl w:val="0"/>
          <w:numId w:val="2"/>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1"/>
        <w:rPr>
          <w:rFonts w:hint="eastAsia" w:ascii="楷体_GB2312" w:hAnsi="Times New Roman" w:eastAsia="楷体_GB2312" w:cs="楷体_GB2312"/>
          <w:b w:val="0"/>
          <w:bCs/>
          <w:i w:val="0"/>
          <w:caps w:val="0"/>
          <w:color w:val="333333"/>
          <w:spacing w:val="0"/>
          <w:kern w:val="0"/>
          <w:sz w:val="32"/>
          <w:szCs w:val="32"/>
          <w:lang w:val="en-US" w:eastAsia="zh-CN" w:bidi="en-AU"/>
        </w:rPr>
      </w:pPr>
      <w:bookmarkStart w:id="11" w:name="_Toc12286"/>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一般公共预算当年拨款具体使用情况</w:t>
      </w:r>
      <w:bookmarkEnd w:id="11"/>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1.社会保障和就业（类）行政事业单位养老支出（款）行政单位离退休（项）2023年预算数为4万元，主要用于：事业单位离退休人员目标奖经费支出。</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 xml:space="preserve">    2.社会保障和就业（类）行政事业单位养老支出（款）机关事业单位基本养老保险缴费支出（项）2023年预算数为20.37万元，主要用于：实施养老保险制度由单位缴纳的基本养老保险支出。</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3.社会保障和就业（类）行政事业单位养老支出（款）机关事业单位职业年金缴费支出（项）2023年预算数为7.88万元，主要用于：实施养老保险制度由单位缴纳的职业年金支出。</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4.卫生健康（类）行政事业单位医疗（款）行政单位医疗（项）2023年预算数为137.77万元，主要用于：事业单位按规定由单位发放职工工资待遇支出。</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5.卫生健康（类）行政事业单位医疗（款）事业单位医疗（项）2023年预算数为10.06</w:t>
      </w:r>
      <w:r>
        <w:rPr>
          <w:rFonts w:hint="default" w:ascii="Times New Roman" w:hAnsi="Times New Roman" w:eastAsia="仿宋_GB2312" w:cs="仿宋_GB2312"/>
          <w:kern w:val="0"/>
          <w:sz w:val="32"/>
          <w:szCs w:val="32"/>
          <w:lang w:val="en-US" w:eastAsia="zh-CN" w:bidi="en-AU"/>
        </w:rPr>
        <w:t>万元</w:t>
      </w:r>
      <w:r>
        <w:rPr>
          <w:rFonts w:hint="eastAsia" w:ascii="Times New Roman" w:hAnsi="Times New Roman" w:eastAsia="仿宋_GB2312" w:cs="仿宋_GB2312"/>
          <w:kern w:val="0"/>
          <w:sz w:val="32"/>
          <w:szCs w:val="32"/>
          <w:lang w:val="en-US" w:eastAsia="zh-CN" w:bidi="en-AU"/>
        </w:rPr>
        <w:t>，主要用于：事业单位按规定由单位缴纳的基本医疗保险支出。</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6.住房保障（类）住房改革支出（款）住房公积金（项）2023年预算数为15.98万元，主要用于：单位按规定为职工缴纳的住房公积金支出。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0"/>
        <w:rPr>
          <w:rFonts w:hint="eastAsia" w:ascii="黑体" w:hAnsi="宋体" w:eastAsia="黑体" w:cs="黑体"/>
          <w:i w:val="0"/>
          <w:caps w:val="0"/>
          <w:color w:val="333333"/>
          <w:spacing w:val="0"/>
          <w:kern w:val="0"/>
          <w:sz w:val="32"/>
          <w:szCs w:val="32"/>
          <w:lang w:val="en-US" w:eastAsia="zh-CN" w:bidi="en-AU"/>
        </w:rPr>
      </w:pPr>
      <w:bookmarkStart w:id="12" w:name="_Toc32143"/>
      <w:r>
        <w:rPr>
          <w:rFonts w:hint="eastAsia" w:ascii="黑体" w:hAnsi="宋体" w:eastAsia="黑体" w:cs="黑体"/>
          <w:i w:val="0"/>
          <w:caps w:val="0"/>
          <w:color w:val="333333"/>
          <w:spacing w:val="0"/>
          <w:kern w:val="0"/>
          <w:sz w:val="32"/>
          <w:szCs w:val="32"/>
          <w:shd w:val="clear" w:color="auto" w:fill="FFFFFF"/>
          <w:lang w:val="en-US" w:eastAsia="zh-CN" w:bidi="en-AU"/>
        </w:rPr>
        <w:t>六、一般公共预算基本支出情况说明</w:t>
      </w:r>
      <w:bookmarkEnd w:id="12"/>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2023年一般公共预算基本支出196.06万元，其中：人员经费196.06万元，主要包括：基本工资、津贴补贴、奖金、社会保险缴费、离退休费、住房公积金等支出。</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公用经费0万元。</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0"/>
        <w:rPr>
          <w:rFonts w:hint="eastAsia" w:ascii="黑体" w:hAnsi="宋体" w:eastAsia="黑体" w:cs="黑体"/>
          <w:i w:val="0"/>
          <w:caps w:val="0"/>
          <w:color w:val="333333"/>
          <w:spacing w:val="0"/>
          <w:kern w:val="0"/>
          <w:sz w:val="32"/>
          <w:szCs w:val="32"/>
          <w:lang w:val="en-US" w:eastAsia="zh-CN" w:bidi="en-AU"/>
        </w:rPr>
      </w:pPr>
      <w:bookmarkStart w:id="13" w:name="_Toc12208"/>
      <w:r>
        <w:rPr>
          <w:rFonts w:hint="eastAsia" w:ascii="黑体" w:hAnsi="宋体" w:eastAsia="黑体" w:cs="黑体"/>
          <w:i w:val="0"/>
          <w:caps w:val="0"/>
          <w:color w:val="333333"/>
          <w:spacing w:val="0"/>
          <w:kern w:val="0"/>
          <w:sz w:val="32"/>
          <w:szCs w:val="32"/>
          <w:shd w:val="clear" w:color="auto" w:fill="FFFFFF"/>
          <w:lang w:val="en-US" w:eastAsia="zh-CN" w:bidi="en-AU"/>
        </w:rPr>
        <w:t>七、“三公”经费财政拨款预算安排情况说明</w:t>
      </w:r>
      <w:bookmarkEnd w:id="13"/>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2023年“三公”经费财政拨款预算数0万元（2023年本单位无三公经费预算），其中：公务接待费0万元，公务用车购置及运行维护费0万元，因公出国（境）经费0万元。</w:t>
      </w:r>
    </w:p>
    <w:p>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1"/>
        <w:rPr>
          <w:rFonts w:hint="eastAsia" w:ascii="楷体_GB2312" w:hAnsi="Times New Roman" w:eastAsia="楷体_GB2312" w:cs="楷体_GB2312"/>
          <w:b w:val="0"/>
          <w:bCs/>
          <w:i w:val="0"/>
          <w:caps w:val="0"/>
          <w:color w:val="333333"/>
          <w:spacing w:val="0"/>
          <w:kern w:val="0"/>
          <w:sz w:val="32"/>
          <w:szCs w:val="32"/>
          <w:lang w:val="en-US" w:eastAsia="zh-CN" w:bidi="en-AU"/>
        </w:rPr>
      </w:pPr>
      <w:bookmarkStart w:id="14" w:name="_Toc11068"/>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公务接待费与2022年预算相比</w:t>
      </w:r>
      <w:bookmarkEnd w:id="14"/>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_GB2312" w:hAnsi="Times New Roman" w:eastAsia="仿宋_GB2312" w:cs="仿宋_GB2312"/>
          <w:i w:val="0"/>
          <w:caps w:val="0"/>
          <w:color w:val="333333"/>
          <w:spacing w:val="0"/>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2023年本单位无公务接待费预算，与2022年预算相比持平</w:t>
      </w:r>
      <w:r>
        <w:rPr>
          <w:rFonts w:hint="eastAsia" w:ascii="仿宋_GB2312" w:hAnsi="Times New Roman" w:eastAsia="仿宋_GB2312" w:cs="仿宋_GB2312"/>
          <w:i w:val="0"/>
          <w:caps w:val="0"/>
          <w:color w:val="333333"/>
          <w:spacing w:val="0"/>
          <w:kern w:val="0"/>
          <w:sz w:val="32"/>
          <w:szCs w:val="32"/>
          <w:shd w:val="clear" w:color="auto" w:fill="FFFFFF"/>
          <w:lang w:val="en-US" w:eastAsia="zh-CN" w:bidi="en-AU"/>
        </w:rPr>
        <w:t>。</w:t>
      </w:r>
    </w:p>
    <w:p>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1"/>
        <w:rPr>
          <w:rFonts w:hint="eastAsia" w:ascii="楷体_GB2312" w:hAnsi="Times New Roman" w:eastAsia="楷体_GB2312" w:cs="楷体_GB2312"/>
          <w:b w:val="0"/>
          <w:bCs/>
          <w:i w:val="0"/>
          <w:caps w:val="0"/>
          <w:color w:val="333333"/>
          <w:spacing w:val="0"/>
          <w:kern w:val="0"/>
          <w:sz w:val="32"/>
          <w:szCs w:val="32"/>
          <w:lang w:val="en-US" w:eastAsia="zh-CN" w:bidi="en-AU"/>
        </w:rPr>
      </w:pPr>
      <w:bookmarkStart w:id="15" w:name="_Toc7038"/>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公务用车购置及运行维护费与2022年预算相比</w:t>
      </w:r>
      <w:bookmarkEnd w:id="15"/>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2023年本单位无公务用车购置及运行维护费预算，与2022年预算相比持平。</w:t>
      </w:r>
    </w:p>
    <w:p>
      <w:pPr>
        <w:keepNext w:val="0"/>
        <w:keepLines w:val="0"/>
        <w:pageBreakBefore w:val="0"/>
        <w:widowControl/>
        <w:numPr>
          <w:ilvl w:val="0"/>
          <w:numId w:val="3"/>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1"/>
        <w:rPr>
          <w:rFonts w:hint="eastAsia" w:ascii="楷体_GB2312" w:hAnsi="Times New Roman" w:eastAsia="楷体_GB2312" w:cs="楷体_GB2312"/>
          <w:b w:val="0"/>
          <w:bCs/>
          <w:i w:val="0"/>
          <w:caps w:val="0"/>
          <w:color w:val="333333"/>
          <w:spacing w:val="0"/>
          <w:kern w:val="0"/>
          <w:sz w:val="32"/>
          <w:szCs w:val="32"/>
          <w:lang w:val="en-US" w:eastAsia="zh-CN" w:bidi="en-AU"/>
        </w:rPr>
      </w:pPr>
      <w:bookmarkStart w:id="16" w:name="_Toc6138"/>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因公出国（境）经费与2022年预算相比</w:t>
      </w:r>
      <w:bookmarkEnd w:id="16"/>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仿宋_GB2312" w:hAnsi="Times New Roman" w:eastAsia="仿宋_GB2312" w:cs="仿宋_GB2312"/>
          <w:color w:val="333333"/>
          <w:kern w:val="0"/>
          <w:sz w:val="32"/>
          <w:szCs w:val="32"/>
          <w:lang w:eastAsia="zh-CN" w:bidi="en-AU"/>
        </w:rPr>
      </w:pPr>
      <w:r>
        <w:rPr>
          <w:rFonts w:hint="eastAsia" w:ascii="Times New Roman" w:hAnsi="Times New Roman" w:eastAsia="仿宋_GB2312" w:cs="仿宋_GB2312"/>
          <w:kern w:val="0"/>
          <w:sz w:val="32"/>
          <w:szCs w:val="32"/>
          <w:lang w:val="en-US" w:eastAsia="zh-CN" w:bidi="en-AU"/>
        </w:rPr>
        <w:t>2023年本单位无因公出国（境）经费预算，与2022年预算相比持平。</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0"/>
        <w:rPr>
          <w:rFonts w:hint="eastAsia" w:ascii="黑体" w:hAnsi="宋体" w:eastAsia="黑体" w:cs="黑体"/>
          <w:i w:val="0"/>
          <w:caps w:val="0"/>
          <w:color w:val="333333"/>
          <w:spacing w:val="0"/>
          <w:kern w:val="0"/>
          <w:sz w:val="32"/>
          <w:szCs w:val="32"/>
          <w:lang w:val="en-US" w:eastAsia="zh-CN" w:bidi="en-AU"/>
        </w:rPr>
      </w:pPr>
      <w:bookmarkStart w:id="17" w:name="_Toc6384"/>
      <w:r>
        <w:rPr>
          <w:rFonts w:hint="eastAsia" w:ascii="黑体" w:hAnsi="宋体" w:eastAsia="黑体" w:cs="黑体"/>
          <w:i w:val="0"/>
          <w:caps w:val="0"/>
          <w:color w:val="333333"/>
          <w:spacing w:val="0"/>
          <w:kern w:val="0"/>
          <w:sz w:val="32"/>
          <w:szCs w:val="32"/>
          <w:shd w:val="clear" w:color="auto" w:fill="FFFFFF"/>
          <w:lang w:val="en-US" w:eastAsia="zh-CN" w:bidi="en-AU"/>
        </w:rPr>
        <w:t>八、政府性基金预算支出情况说明</w:t>
      </w:r>
      <w:bookmarkEnd w:id="17"/>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柏林沟镇卫生院2023年无政府性基金预算拨款安排的支出。</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0"/>
        <w:rPr>
          <w:rFonts w:hint="eastAsia" w:ascii="黑体" w:hAnsi="宋体" w:eastAsia="黑体" w:cs="黑体"/>
          <w:i w:val="0"/>
          <w:caps w:val="0"/>
          <w:color w:val="333333"/>
          <w:spacing w:val="0"/>
          <w:kern w:val="0"/>
          <w:sz w:val="32"/>
          <w:szCs w:val="32"/>
          <w:lang w:val="en-US" w:eastAsia="zh-CN" w:bidi="en-AU"/>
        </w:rPr>
      </w:pPr>
      <w:bookmarkStart w:id="18" w:name="_Toc22589"/>
      <w:r>
        <w:rPr>
          <w:rFonts w:hint="eastAsia" w:ascii="黑体" w:hAnsi="宋体" w:eastAsia="黑体" w:cs="黑体"/>
          <w:i w:val="0"/>
          <w:caps w:val="0"/>
          <w:color w:val="333333"/>
          <w:spacing w:val="0"/>
          <w:kern w:val="0"/>
          <w:sz w:val="32"/>
          <w:szCs w:val="32"/>
          <w:shd w:val="clear" w:color="auto" w:fill="FFFFFF"/>
          <w:lang w:val="en-US" w:eastAsia="zh-CN" w:bidi="en-AU"/>
        </w:rPr>
        <w:t>九、国有资本经营预算支出情况说明</w:t>
      </w:r>
      <w:bookmarkEnd w:id="18"/>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柏林沟镇卫生院2023年没有使用国有资本经营预算拨款安排的支出。</w:t>
      </w:r>
    </w:p>
    <w:p>
      <w:pPr>
        <w:keepNext w:val="0"/>
        <w:keepLines w:val="0"/>
        <w:pageBreakBefore w:val="0"/>
        <w:widowControl/>
        <w:numPr>
          <w:ilvl w:val="0"/>
          <w:numId w:val="4"/>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0"/>
        <w:rPr>
          <w:rFonts w:hint="eastAsia" w:ascii="黑体" w:hAnsi="宋体" w:eastAsia="黑体" w:cs="黑体"/>
          <w:i w:val="0"/>
          <w:caps w:val="0"/>
          <w:color w:val="333333"/>
          <w:spacing w:val="0"/>
          <w:kern w:val="0"/>
          <w:sz w:val="32"/>
          <w:szCs w:val="32"/>
          <w:lang w:val="en-US" w:eastAsia="zh-CN" w:bidi="en-AU"/>
        </w:rPr>
      </w:pPr>
      <w:bookmarkStart w:id="19" w:name="_Toc9079"/>
      <w:r>
        <w:rPr>
          <w:rFonts w:hint="eastAsia" w:ascii="黑体" w:hAnsi="宋体" w:eastAsia="黑体" w:cs="黑体"/>
          <w:i w:val="0"/>
          <w:caps w:val="0"/>
          <w:color w:val="333333"/>
          <w:spacing w:val="0"/>
          <w:kern w:val="0"/>
          <w:sz w:val="32"/>
          <w:szCs w:val="32"/>
          <w:shd w:val="clear" w:color="auto" w:fill="FFFFFF"/>
          <w:lang w:val="en-US" w:eastAsia="zh-CN" w:bidi="en-AU"/>
        </w:rPr>
        <w:t>其他重要事项的情况说明</w:t>
      </w:r>
      <w:bookmarkEnd w:id="19"/>
    </w:p>
    <w:p>
      <w:pPr>
        <w:keepNext w:val="0"/>
        <w:keepLines w:val="0"/>
        <w:pageBreakBefore w:val="0"/>
        <w:widowControl/>
        <w:numPr>
          <w:ilvl w:val="0"/>
          <w:numId w:val="5"/>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1"/>
        <w:rPr>
          <w:rFonts w:hint="eastAsia" w:ascii="楷体_GB2312" w:hAnsi="Times New Roman" w:eastAsia="楷体_GB2312" w:cs="楷体_GB2312"/>
          <w:b w:val="0"/>
          <w:bCs/>
          <w:i w:val="0"/>
          <w:caps w:val="0"/>
          <w:color w:val="333333"/>
          <w:spacing w:val="0"/>
          <w:kern w:val="0"/>
          <w:sz w:val="32"/>
          <w:szCs w:val="32"/>
          <w:lang w:val="en-US" w:eastAsia="zh-CN" w:bidi="en-AU"/>
        </w:rPr>
      </w:pPr>
      <w:bookmarkStart w:id="20" w:name="_Toc30554"/>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机关运行经费</w:t>
      </w:r>
      <w:bookmarkEnd w:id="20"/>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2023年，柏林沟镇卫生院无机关运行经费。</w:t>
      </w:r>
    </w:p>
    <w:p>
      <w:pPr>
        <w:keepNext w:val="0"/>
        <w:keepLines w:val="0"/>
        <w:pageBreakBefore w:val="0"/>
        <w:widowControl/>
        <w:numPr>
          <w:ilvl w:val="0"/>
          <w:numId w:val="5"/>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1"/>
        <w:rPr>
          <w:rFonts w:hint="eastAsia" w:ascii="楷体_GB2312" w:hAnsi="Times New Roman" w:eastAsia="楷体_GB2312" w:cs="楷体_GB2312"/>
          <w:b w:val="0"/>
          <w:bCs/>
          <w:i w:val="0"/>
          <w:caps w:val="0"/>
          <w:color w:val="333333"/>
          <w:spacing w:val="0"/>
          <w:kern w:val="0"/>
          <w:sz w:val="32"/>
          <w:szCs w:val="32"/>
          <w:lang w:val="en-US" w:eastAsia="zh-CN" w:bidi="en-AU"/>
        </w:rPr>
      </w:pPr>
      <w:bookmarkStart w:id="21" w:name="_Toc10285"/>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政府采购情况</w:t>
      </w:r>
      <w:bookmarkEnd w:id="21"/>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2023年，柏林沟镇卫生院安排政府采购预算0万元。</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1"/>
        <w:rPr>
          <w:rFonts w:hint="eastAsia" w:ascii="楷体_GB2312" w:hAnsi="Times New Roman" w:eastAsia="楷体_GB2312" w:cs="楷体_GB2312"/>
          <w:b/>
          <w:i w:val="0"/>
          <w:caps w:val="0"/>
          <w:color w:val="333333"/>
          <w:spacing w:val="0"/>
          <w:kern w:val="0"/>
          <w:sz w:val="32"/>
          <w:szCs w:val="32"/>
          <w:lang w:val="en-US" w:eastAsia="zh-CN" w:bidi="en-AU"/>
        </w:rPr>
      </w:pPr>
      <w:bookmarkStart w:id="22" w:name="_Toc26802"/>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（三）国有资产占有使用情况</w:t>
      </w:r>
      <w:bookmarkEnd w:id="22"/>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截至2022年底，单位共有车辆1辆，其中，领导干部用车0辆、定向保障用车1辆、执法执勤用车0辆。单位价值1万元以上大型设备12台（套）。</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outlineLvl w:val="1"/>
        <w:rPr>
          <w:rFonts w:hint="eastAsia" w:ascii="楷体_GB2312" w:hAnsi="Times New Roman" w:eastAsia="楷体_GB2312" w:cs="楷体_GB2312"/>
          <w:b w:val="0"/>
          <w:bCs/>
          <w:i w:val="0"/>
          <w:caps w:val="0"/>
          <w:color w:val="333333"/>
          <w:spacing w:val="0"/>
          <w:kern w:val="0"/>
          <w:sz w:val="32"/>
          <w:szCs w:val="32"/>
          <w:lang w:val="en-US" w:eastAsia="zh-CN" w:bidi="en-AU"/>
        </w:rPr>
      </w:pPr>
      <w:bookmarkStart w:id="23" w:name="_Toc25817"/>
      <w:r>
        <w:rPr>
          <w:rFonts w:hint="eastAsia" w:ascii="楷体_GB2312" w:hAnsi="Times New Roman" w:eastAsia="楷体_GB2312" w:cs="楷体_GB2312"/>
          <w:b w:val="0"/>
          <w:bCs/>
          <w:i w:val="0"/>
          <w:caps w:val="0"/>
          <w:color w:val="333333"/>
          <w:spacing w:val="0"/>
          <w:kern w:val="0"/>
          <w:sz w:val="32"/>
          <w:szCs w:val="32"/>
          <w:shd w:val="clear" w:color="auto" w:fill="FFFFFF"/>
          <w:lang w:val="en-US" w:eastAsia="zh-CN" w:bidi="en-AU"/>
        </w:rPr>
        <w:t>（四）绩效目标编制情况</w:t>
      </w:r>
      <w:bookmarkEnd w:id="23"/>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default" w:ascii="Times New Roman" w:hAnsi="Times New Roman" w:eastAsia="仿宋_GB2312" w:cs="仿宋_GB2312"/>
          <w:kern w:val="0"/>
          <w:sz w:val="32"/>
          <w:szCs w:val="32"/>
          <w:lang w:val="en-US" w:eastAsia="zh-CN" w:bidi="en-AU"/>
        </w:rPr>
      </w:pPr>
      <w:bookmarkStart w:id="24" w:name="_Toc21297"/>
      <w:r>
        <w:rPr>
          <w:rFonts w:hint="eastAsia" w:ascii="Times New Roman" w:hAnsi="Times New Roman" w:eastAsia="仿宋_GB2312" w:cs="仿宋_GB2312"/>
          <w:kern w:val="0"/>
          <w:sz w:val="32"/>
          <w:szCs w:val="32"/>
          <w:lang w:val="en-US" w:eastAsia="zh-CN" w:bidi="en-AU"/>
        </w:rPr>
        <w:t>绩效目标是预算编制的前提和基础，2023年柏林沟镇卫生院部门预算按申请项目资金年度预期达到的产出和效果，编制了“部门预算项目绩效目标申报表（2023年度）”，涉及项目0个（含单位定额公用经费），金额 0 万元；按年度全部部门预算资金达到的总体产出和效果编制了“整体支出绩效目标申报表”。</w:t>
      </w:r>
    </w:p>
    <w:p>
      <w:pPr>
        <w:keepNext w:val="0"/>
        <w:keepLines w:val="0"/>
        <w:pageBreakBefore w:val="0"/>
        <w:widowControl/>
        <w:numPr>
          <w:ilvl w:val="0"/>
          <w:numId w:val="0"/>
        </w:numPr>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textAlignment w:val="auto"/>
        <w:rPr>
          <w:rFonts w:hint="eastAsia" w:ascii="黑体" w:hAnsi="黑体" w:eastAsia="黑体" w:cs="黑体"/>
          <w:i w:val="0"/>
          <w:caps w:val="0"/>
          <w:color w:val="333333"/>
          <w:spacing w:val="0"/>
          <w:kern w:val="0"/>
          <w:sz w:val="32"/>
          <w:szCs w:val="32"/>
          <w:lang w:val="en-US" w:eastAsia="zh-CN" w:bidi="en-AU"/>
        </w:rPr>
      </w:pPr>
      <w:r>
        <w:rPr>
          <w:rFonts w:hint="eastAsia" w:ascii="黑体" w:hAnsi="黑体" w:eastAsia="黑体" w:cs="黑体"/>
          <w:i w:val="0"/>
          <w:caps w:val="0"/>
          <w:color w:val="333333"/>
          <w:spacing w:val="0"/>
          <w:kern w:val="0"/>
          <w:sz w:val="32"/>
          <w:szCs w:val="32"/>
          <w:shd w:val="clear" w:color="auto" w:fill="FFFFFF"/>
          <w:lang w:val="en-US" w:eastAsia="zh-CN" w:bidi="en-AU"/>
        </w:rPr>
        <w:t>十一、名词解释</w:t>
      </w:r>
      <w:bookmarkEnd w:id="24"/>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（一）一般公共预算拨款收入：指省级财政当年拨付的资金。</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320" w:firstLineChars="1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　（二）社会保障和就业（类）行政事业单位养老支出（款）事业单位离退休（项）：指事业单位离退休人员的支出。</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（三）社会保障和就业（类）行政事业单位养老支出（款）行政单位离退休（项）：指行政及参公管理事业单位离退休人员的支出。</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（四）社会保障和就业（类）行政事业单位养老支出（款）机关事业单位基本养老保险缴费支出（项）：指部门实施养老保险制度由单位缴纳的养老保险的支出。</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（五）社会保障和就业（类）行政事业单位养老支出（款）机关事业单位职业年金缴费支出（项）：指部门实施养老保险制度由单位缴纳的职业年金的支出。</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（六）卫生健康（类）行政事业单位医疗（款）行政单位医疗（项）：指机关及参公管理事业单位用于单位应缴纳基本医疗保险支出。</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（七）卫生健康（类）行政事业单位医疗（款）事业单位医疗（项）：指事业单位用于单位应缴纳基本医疗保险支出。</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（八）住房保障（类）住房改革支出（款）住房公积金（项）：指按照《住房公积金管理条例》的规定，由单位及其在职职工缴存的长期住房储金。</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（九）基本支出：指为保证机构正常运转，完成日常工作任务而发生的人员支出和公用支出。</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320" w:firstLineChars="1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　（十）项目支出：指在基本支出之外为完成特定行政任务和事业发展目标所发生的支出。</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十一）“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十二）机关运行经费：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textAlignment w:val="auto"/>
        <w:rPr>
          <w:rFonts w:hint="eastAsia" w:ascii="Times New Roman" w:hAnsi="Times New Roman" w:eastAsia="仿宋_GB2312" w:cs="仿宋_GB2312"/>
          <w:kern w:val="0"/>
          <w:sz w:val="32"/>
          <w:szCs w:val="32"/>
          <w:lang w:val="en-US" w:eastAsia="zh-CN" w:bidi="en-AU"/>
        </w:rPr>
      </w:pPr>
      <w:r>
        <w:rPr>
          <w:rFonts w:hint="eastAsia" w:ascii="Times New Roman" w:hAnsi="Times New Roman" w:eastAsia="仿宋_GB2312" w:cs="仿宋_GB2312"/>
          <w:kern w:val="0"/>
          <w:sz w:val="32"/>
          <w:szCs w:val="32"/>
          <w:lang w:val="en-US" w:eastAsia="zh-CN" w:bidi="en-AU"/>
        </w:rPr>
        <w:t>附件：部门预算公开表</w:t>
      </w:r>
    </w:p>
    <w:p>
      <w:pPr>
        <w:keepNext w:val="0"/>
        <w:keepLines w:val="0"/>
        <w:pageBreakBefore w:val="0"/>
        <w:kinsoku/>
        <w:wordWrap/>
        <w:overflowPunct/>
        <w:topLinePunct w:val="0"/>
        <w:autoSpaceDE/>
        <w:autoSpaceDN/>
        <w:bidi w:val="0"/>
        <w:adjustRightInd/>
        <w:snapToGrid/>
        <w:spacing w:line="576" w:lineRule="exact"/>
        <w:textAlignment w:val="auto"/>
      </w:pPr>
    </w:p>
    <w:sectPr>
      <w:footerReference r:id="rId3" w:type="default"/>
      <w:pgSz w:w="11906" w:h="16838"/>
      <w:pgMar w:top="2098" w:right="1474" w:bottom="1984" w:left="1587" w:header="720" w:footer="720" w:gutter="0"/>
      <w:pgNumType w:fmt="decimal"/>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2" o:spid="_x0000_s2049" o:spt="202" type="#_x0000_t202" style="position:absolute;left:0pt;margin-top:0pt;height:144pt;width:144pt;mso-position-horizontal:outside;mso-position-horizontal-relative:margin;mso-wrap-style:none;z-index:0;mso-width-relative:page;mso-height-relative:page;" filled="f" stroked="f" coordsize="21600,21600">
          <v:path/>
          <v:fill on="f" focussize="0,0"/>
          <v:stroke on="f"/>
          <v:imagedata o:title=""/>
          <o:lock v:ext="edit"/>
          <v:textbox inset="0mm,0mm,0mm,0mm" style="mso-fit-shape-to-text:t;">
            <w:txbxContent>
              <w:p>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singleLevel"/>
    <w:tmpl w:val="B5E306ED"/>
    <w:lvl w:ilvl="0" w:tentative="0">
      <w:start w:val="1"/>
      <w:numFmt w:val="chineseCounting"/>
      <w:suff w:val="nothing"/>
      <w:lvlText w:val="（%1）"/>
      <w:lvlJc w:val="left"/>
      <w:rPr>
        <w:rFonts w:hint="eastAsia"/>
      </w:rPr>
    </w:lvl>
  </w:abstractNum>
  <w:abstractNum w:abstractNumId="1">
    <w:nsid w:val="BF205925"/>
    <w:multiLevelType w:val="singleLevel"/>
    <w:tmpl w:val="BF205925"/>
    <w:lvl w:ilvl="0" w:tentative="0">
      <w:start w:val="10"/>
      <w:numFmt w:val="chineseCounting"/>
      <w:suff w:val="nothing"/>
      <w:lvlText w:val="%1、"/>
      <w:lvlJc w:val="left"/>
      <w:rPr>
        <w:rFonts w:hint="eastAsia"/>
      </w:rPr>
    </w:lvl>
  </w:abstractNum>
  <w:abstractNum w:abstractNumId="2">
    <w:nsid w:val="CF092B84"/>
    <w:multiLevelType w:val="singleLevel"/>
    <w:tmpl w:val="CF092B84"/>
    <w:lvl w:ilvl="0" w:tentative="0">
      <w:start w:val="1"/>
      <w:numFmt w:val="chineseCounting"/>
      <w:suff w:val="nothing"/>
      <w:lvlText w:val="（%1）"/>
      <w:lvlJc w:val="left"/>
      <w:rPr>
        <w:rFonts w:hint="eastAsia"/>
      </w:rPr>
    </w:lvl>
  </w:abstractNum>
  <w:abstractNum w:abstractNumId="3">
    <w:nsid w:val="0053208E"/>
    <w:multiLevelType w:val="singleLevel"/>
    <w:tmpl w:val="0053208E"/>
    <w:lvl w:ilvl="0" w:tentative="0">
      <w:start w:val="5"/>
      <w:numFmt w:val="chineseCounting"/>
      <w:suff w:val="nothing"/>
      <w:lvlText w:val="%1、"/>
      <w:lvlJc w:val="left"/>
      <w:rPr>
        <w:rFonts w:hint="eastAsia"/>
      </w:rPr>
    </w:lvl>
  </w:abstractNum>
  <w:abstractNum w:abstractNumId="4">
    <w:nsid w:val="59ADCABA"/>
    <w:multiLevelType w:val="singleLevel"/>
    <w:tmpl w:val="59ADCABA"/>
    <w:lvl w:ilvl="0" w:tentative="0">
      <w:start w:val="1"/>
      <w:numFmt w:val="chineseCounting"/>
      <w:suff w:val="nothing"/>
      <w:lvlText w:val="（%1）"/>
      <w:lvlJc w:val="left"/>
      <w:rPr>
        <w:rFonts w:hint="eastAsia"/>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noLineBreaksAfter w:lang="zh-CN" w:val="([{·‘“〈《「『【〔〖（．［｛￡￥"/>
  <w:noLineBreaksBefore w:lang="zh-CN" w:val="!),.:;?]}¨·ˇˉ―‖’”…∶、。〃々〉》」』】〕〗！＂＇），．：；？］｀｜｝～￠"/>
  <w:hdrShapeDefaults>
    <o:shapelayout v:ext="edit">
      <o:idmap v:ext="edit" data="2"/>
    </o:shapelayout>
  </w:hdrShapeDefaults>
  <w:compat>
    <w:noLeading/>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enableOpenTypeFeatures" w:uri="http://schemas.microsoft.com/office/word" w:val="1"/>
    <w:compatSetting w:name="doNotFlipMirrorIndents" w:uri="http://schemas.microsoft.com/office/word" w:val="1"/>
  </w:compat>
  <w:docVars>
    <w:docVar w:name="commondata" w:val="eyJoZGlkIjoiOWMwMDdjMDFjZjQ1NWM1ZjZjMDI2NDMyZGQyNmU4MjQifQ=="/>
    <w:docVar w:name="KSO_WPS_MARK_KEY" w:val="5655bd5a-5c6c-429b-856c-362b173140f1"/>
  </w:docVars>
  <w:rsids>
    <w:rsidRoot w:val="00000000"/>
    <w:rsid w:val="21690B35"/>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2">
    <w:name w:val="Default Paragraph Font"/>
    <w:uiPriority w:val="0"/>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 w:type="table" w:styleId="4">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customStyle="1" w:styleId="5">
    <w:name w:val="默认段落字体11"/>
    <w:uiPriority w:val="0"/>
  </w:style>
  <w:style w:type="table" w:customStyle="1" w:styleId="6">
    <w:name w:val="普通表格1"/>
    <w:semiHidden/>
    <w:qFormat/>
    <w:uiPriority w:val="0"/>
    <w:tblPr>
      <w:tblLayout w:type="fixed"/>
      <w:tblCellMar>
        <w:top w:w="0" w:type="dxa"/>
        <w:left w:w="108" w:type="dxa"/>
        <w:bottom w:w="0" w:type="dxa"/>
        <w:right w:w="108" w:type="dxa"/>
      </w:tblCellMar>
    </w:tblPr>
  </w:style>
  <w:style w:type="paragraph" w:customStyle="1" w:styleId="7">
    <w:name w:val="正文文本1"/>
    <w:basedOn w:val="1"/>
    <w:next w:val="1"/>
    <w:qFormat/>
    <w:uiPriority w:val="0"/>
    <w:pPr>
      <w:spacing w:before="0" w:after="140" w:line="276" w:lineRule="auto"/>
    </w:pPr>
  </w:style>
  <w:style w:type="paragraph" w:customStyle="1" w:styleId="8">
    <w:name w:val="题注1"/>
    <w:basedOn w:val="1"/>
    <w:qFormat/>
    <w:uiPriority w:val="0"/>
    <w:pPr>
      <w:widowControl w:val="0"/>
      <w:suppressLineNumbers/>
      <w:suppressAutoHyphens/>
      <w:spacing w:before="120" w:after="120"/>
    </w:pPr>
    <w:rPr>
      <w:i/>
      <w:iCs/>
      <w:sz w:val="24"/>
      <w:szCs w:val="24"/>
    </w:rPr>
  </w:style>
  <w:style w:type="paragraph" w:customStyle="1" w:styleId="9">
    <w:name w:val="页脚1"/>
    <w:basedOn w:val="1"/>
    <w:qFormat/>
    <w:uiPriority w:val="0"/>
    <w:pPr>
      <w:tabs>
        <w:tab w:val="center" w:pos="4153"/>
        <w:tab w:val="right" w:pos="8306"/>
      </w:tabs>
      <w:snapToGrid w:val="0"/>
      <w:jc w:val="left"/>
    </w:pPr>
    <w:rPr>
      <w:sz w:val="18"/>
    </w:rPr>
  </w:style>
  <w:style w:type="paragraph" w:customStyle="1" w:styleId="10">
    <w:name w:val="页眉1"/>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列表1"/>
    <w:basedOn w:val="7"/>
    <w:uiPriority w:val="0"/>
  </w:style>
  <w:style w:type="paragraph" w:customStyle="1" w:styleId="12">
    <w:name w:val="普通(网站)1"/>
    <w:basedOn w:val="1"/>
    <w:qFormat/>
    <w:uiPriority w:val="0"/>
    <w:rPr>
      <w:sz w:val="24"/>
    </w:rPr>
  </w:style>
  <w:style w:type="character" w:customStyle="1" w:styleId="13">
    <w:name w:val="默认段落字体1"/>
    <w:uiPriority w:val="0"/>
  </w:style>
  <w:style w:type="paragraph" w:customStyle="1" w:styleId="14">
    <w:name w:val="Heading"/>
    <w:basedOn w:val="1"/>
    <w:next w:val="7"/>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qFormat/>
    <w:uiPriority w:val="0"/>
    <w:pPr>
      <w:widowControl w:val="0"/>
      <w:suppressLineNumbers/>
      <w:suppressAutoHyphens/>
    </w:pPr>
  </w:style>
  <w:style w:type="character" w:customStyle="1" w:styleId="16">
    <w:name w:val="19"/>
    <w:basedOn w:val="5"/>
    <w:uiPriority w:val="0"/>
    <w:rPr>
      <w:rFonts w:hint="default" w:ascii="Times New Roman" w:hAnsi="Times New Roman" w:eastAsia="楷体_GB2312" w:cs="楷体_GB2312"/>
      <w:sz w:val="32"/>
      <w:szCs w:val="32"/>
    </w:r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10</Pages>
  <Words>3161</Words>
  <Characters>3416</Characters>
  <TotalTime>157276323</TotalTime>
  <ScaleCrop>false</ScaleCrop>
  <LinksUpToDate>false</LinksUpToDate>
  <CharactersWithSpaces>3443</CharactersWithSpaces>
  <Application>WPS Office_10.1.0.7520_F1E327BC-269C-435d-A152-05C5408002CA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2018-11-28T01:47:00Z</dcterms:created>
  <dc:creator>user</dc:creator>
  <cp:lastModifiedBy>lenovo</cp:lastModifiedBy>
  <dcterms:modified xsi:type="dcterms:W3CDTF">2024-08-12T05:41:53Z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0A18899558F145DFBB81678D7681B862_13</vt:lpwstr>
  </property>
</Properties>
</file>