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uppressAutoHyphens/>
        <w:spacing w:before="0" w:beforeAutospacing="0" w:after="0" w:afterAutospacing="0" w:line="580" w:lineRule="atLeast"/>
        <w:ind w:left="0" w:right="0" w:firstLine="0"/>
        <w:jc w:val="center"/>
        <w:outlineLvl w:val="0"/>
        <w:rPr>
          <w:rFonts w:hint="eastAsia" w:ascii="方正小标宋简体" w:eastAsia="方正小标宋简体" w:cs="方正小标宋简体"/>
          <w:b w:val="0"/>
          <w:bCs w:val="0"/>
          <w:i w:val="0"/>
          <w:caps w:val="0"/>
          <w:smallCaps w:val="0"/>
          <w:color w:val="000000"/>
          <w:spacing w:val="0"/>
          <w:sz w:val="44"/>
          <w:szCs w:val="44"/>
          <w:highlight w:val="none"/>
          <w:lang w:val="en-US"/>
        </w:rPr>
      </w:pPr>
      <w:bookmarkStart w:id="0" w:name="_Toc13251"/>
      <w:bookmarkStart w:id="1" w:name="_Toc29223"/>
      <w:r>
        <w:rPr>
          <w:rFonts w:hint="eastAsia" w:ascii="方正小标宋简体" w:eastAsia="方正小标宋简体" w:cs="方正小标宋简体"/>
          <w:b w:val="0"/>
          <w:bCs w:val="0"/>
          <w:i w:val="0"/>
          <w:caps w:val="0"/>
          <w:smallCaps w:val="0"/>
          <w:color w:val="000000"/>
          <w:spacing w:val="0"/>
          <w:kern w:val="0"/>
          <w:sz w:val="44"/>
          <w:szCs w:val="44"/>
          <w:highlight w:val="none"/>
          <w:shd w:val="clear" w:color="auto" w:fill="FFFFFF"/>
          <w:lang w:val="en-US" w:eastAsia="zh-CN"/>
        </w:rPr>
        <w:t>广元市昭化区卫生健康局</w:t>
      </w:r>
      <w:bookmarkEnd w:id="0"/>
      <w:bookmarkEnd w:id="1"/>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uppressAutoHyphens/>
        <w:spacing w:before="0" w:beforeAutospacing="0" w:after="0" w:afterAutospacing="0" w:line="580" w:lineRule="atLeast"/>
        <w:ind w:left="0" w:right="0" w:firstLine="0"/>
        <w:jc w:val="center"/>
        <w:rPr>
          <w:rFonts w:hint="eastAsia" w:ascii="方正小标宋简体" w:eastAsia="方正小标宋简体" w:cs="方正小标宋简体"/>
          <w:b w:val="0"/>
          <w:bCs w:val="0"/>
          <w:i w:val="0"/>
          <w:caps w:val="0"/>
          <w:smallCaps w:val="0"/>
          <w:color w:val="000000"/>
          <w:spacing w:val="0"/>
          <w:kern w:val="0"/>
          <w:sz w:val="44"/>
          <w:szCs w:val="44"/>
          <w:highlight w:val="none"/>
          <w:shd w:val="clear" w:color="auto" w:fill="FFFFFF"/>
          <w:lang w:val="en-US" w:eastAsia="zh-CN"/>
        </w:rPr>
      </w:pPr>
      <w:r>
        <w:rPr>
          <w:rFonts w:hint="eastAsia" w:ascii="方正小标宋简体" w:eastAsia="方正小标宋简体" w:cs="方正小标宋简体"/>
          <w:b w:val="0"/>
          <w:bCs w:val="0"/>
          <w:i w:val="0"/>
          <w:caps w:val="0"/>
          <w:smallCaps w:val="0"/>
          <w:color w:val="000000"/>
          <w:spacing w:val="0"/>
          <w:kern w:val="0"/>
          <w:sz w:val="44"/>
          <w:szCs w:val="44"/>
          <w:highlight w:val="none"/>
          <w:shd w:val="clear" w:color="auto" w:fill="FFFFFF"/>
          <w:lang w:val="en-US" w:eastAsia="zh-CN"/>
        </w:rPr>
        <w:t>2024年部门预算编制说明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uppressAutoHyphens/>
        <w:spacing w:before="0" w:beforeAutospacing="0" w:after="0" w:afterAutospacing="0" w:line="580" w:lineRule="atLeast"/>
        <w:ind w:left="0" w:right="0" w:firstLine="0"/>
        <w:jc w:val="center"/>
        <w:rPr>
          <w:rFonts w:hint="eastAsia" w:ascii="方正小标宋简体" w:eastAsia="方正小标宋简体" w:cs="方正小标宋简体"/>
          <w:b w:val="0"/>
          <w:bCs w:val="0"/>
          <w:i w:val="0"/>
          <w:caps w:val="0"/>
          <w:smallCaps w:val="0"/>
          <w:color w:val="000000"/>
          <w:spacing w:val="0"/>
          <w:kern w:val="0"/>
          <w:sz w:val="44"/>
          <w:szCs w:val="44"/>
          <w:highlight w:val="none"/>
          <w:shd w:val="clear" w:color="auto" w:fill="FFFFFF"/>
          <w:lang w:val="en-US" w:eastAsia="zh-CN"/>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uppressAutoHyphens/>
        <w:spacing w:before="0" w:beforeAutospacing="0" w:after="0" w:afterAutospacing="0" w:line="580" w:lineRule="atLeast"/>
        <w:ind w:left="0" w:right="0" w:firstLine="0"/>
        <w:jc w:val="center"/>
        <w:rPr>
          <w:rFonts w:hint="eastAsia" w:ascii="方正小标宋简体" w:eastAsia="方正小标宋简体" w:cs="方正小标宋简体"/>
          <w:b w:val="0"/>
          <w:bCs w:val="0"/>
          <w:i w:val="0"/>
          <w:caps w:val="0"/>
          <w:smallCaps w:val="0"/>
          <w:color w:val="000000"/>
          <w:spacing w:val="0"/>
          <w:kern w:val="0"/>
          <w:sz w:val="44"/>
          <w:szCs w:val="44"/>
          <w:highlight w:val="none"/>
          <w:shd w:val="clear" w:color="auto" w:fill="FFFFFF"/>
          <w:lang w:val="en-US" w:eastAsia="zh-CN"/>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uppressAutoHyphens/>
        <w:spacing w:before="0" w:beforeAutospacing="0" w:after="0" w:afterAutospacing="0" w:line="580" w:lineRule="atLeast"/>
        <w:ind w:left="0" w:right="0" w:firstLine="0"/>
        <w:jc w:val="center"/>
        <w:rPr>
          <w:rFonts w:hint="eastAsia" w:ascii="方正小标宋简体" w:eastAsia="方正小标宋简体" w:cs="方正小标宋简体"/>
          <w:b w:val="0"/>
          <w:bCs w:val="0"/>
          <w:i w:val="0"/>
          <w:caps w:val="0"/>
          <w:smallCaps w:val="0"/>
          <w:color w:val="000000"/>
          <w:spacing w:val="0"/>
          <w:kern w:val="0"/>
          <w:sz w:val="44"/>
          <w:szCs w:val="44"/>
          <w:highlight w:val="none"/>
          <w:shd w:val="clear" w:color="auto" w:fill="FFFFFF"/>
          <w:lang w:val="en-US" w:eastAsia="zh-CN"/>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uppressAutoHyphens/>
        <w:spacing w:before="0" w:beforeAutospacing="0" w:after="0" w:afterAutospacing="0" w:line="580" w:lineRule="atLeast"/>
        <w:ind w:left="0" w:right="0" w:firstLine="0"/>
        <w:jc w:val="center"/>
        <w:rPr>
          <w:rFonts w:hint="eastAsia" w:ascii="方正小标宋简体" w:eastAsia="方正小标宋简体" w:cs="方正小标宋简体"/>
          <w:b w:val="0"/>
          <w:bCs w:val="0"/>
          <w:i w:val="0"/>
          <w:caps w:val="0"/>
          <w:smallCaps w:val="0"/>
          <w:color w:val="000000"/>
          <w:spacing w:val="0"/>
          <w:kern w:val="0"/>
          <w:sz w:val="44"/>
          <w:szCs w:val="44"/>
          <w:highlight w:val="none"/>
          <w:shd w:val="clear" w:color="auto" w:fill="FFFFFF"/>
          <w:lang w:val="en-US" w:eastAsia="zh-CN"/>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uppressAutoHyphens/>
        <w:spacing w:before="0" w:beforeAutospacing="0" w:after="0" w:afterAutospacing="0" w:line="580" w:lineRule="atLeast"/>
        <w:ind w:left="0" w:right="0" w:firstLine="0"/>
        <w:jc w:val="center"/>
        <w:rPr>
          <w:rFonts w:hint="eastAsia" w:ascii="方正小标宋简体" w:eastAsia="方正小标宋简体" w:cs="方正小标宋简体"/>
          <w:b w:val="0"/>
          <w:bCs w:val="0"/>
          <w:i w:val="0"/>
          <w:caps w:val="0"/>
          <w:smallCaps w:val="0"/>
          <w:color w:val="000000"/>
          <w:spacing w:val="0"/>
          <w:kern w:val="0"/>
          <w:sz w:val="44"/>
          <w:szCs w:val="44"/>
          <w:highlight w:val="none"/>
          <w:shd w:val="clear" w:color="auto" w:fill="FFFFFF"/>
          <w:lang w:val="en-US" w:eastAsia="zh-CN"/>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uppressAutoHyphens/>
        <w:spacing w:before="0" w:beforeAutospacing="0" w:after="0" w:afterAutospacing="0" w:line="580" w:lineRule="atLeast"/>
        <w:ind w:left="0" w:right="0" w:firstLine="0"/>
        <w:jc w:val="center"/>
        <w:rPr>
          <w:rFonts w:hint="eastAsia" w:ascii="方正小标宋简体" w:eastAsia="方正小标宋简体" w:cs="方正小标宋简体"/>
          <w:b w:val="0"/>
          <w:bCs w:val="0"/>
          <w:i w:val="0"/>
          <w:caps w:val="0"/>
          <w:smallCaps w:val="0"/>
          <w:color w:val="000000"/>
          <w:spacing w:val="0"/>
          <w:kern w:val="0"/>
          <w:sz w:val="44"/>
          <w:szCs w:val="44"/>
          <w:highlight w:val="none"/>
          <w:shd w:val="clear" w:color="auto" w:fill="FFFFFF"/>
          <w:lang w:val="en-US" w:eastAsia="zh-CN"/>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uppressAutoHyphens/>
        <w:spacing w:before="0" w:beforeAutospacing="0" w:after="0" w:afterAutospacing="0" w:line="580" w:lineRule="atLeast"/>
        <w:ind w:left="0" w:right="0" w:firstLine="0"/>
        <w:jc w:val="center"/>
        <w:rPr>
          <w:rFonts w:hint="eastAsia" w:ascii="方正小标宋简体" w:eastAsia="方正小标宋简体" w:cs="方正小标宋简体"/>
          <w:b w:val="0"/>
          <w:bCs w:val="0"/>
          <w:i w:val="0"/>
          <w:caps w:val="0"/>
          <w:smallCaps w:val="0"/>
          <w:color w:val="000000"/>
          <w:spacing w:val="0"/>
          <w:kern w:val="0"/>
          <w:sz w:val="44"/>
          <w:szCs w:val="44"/>
          <w:highlight w:val="none"/>
          <w:shd w:val="clear" w:color="auto" w:fill="FFFFFF"/>
          <w:lang w:val="en-US" w:eastAsia="zh-CN"/>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uppressAutoHyphens/>
        <w:spacing w:before="0" w:beforeAutospacing="0" w:after="0" w:afterAutospacing="0" w:line="580" w:lineRule="atLeast"/>
        <w:ind w:left="0" w:right="0" w:firstLine="0"/>
        <w:jc w:val="center"/>
        <w:rPr>
          <w:rFonts w:hint="eastAsia" w:ascii="方正小标宋简体" w:eastAsia="方正小标宋简体" w:cs="方正小标宋简体"/>
          <w:b w:val="0"/>
          <w:bCs w:val="0"/>
          <w:i w:val="0"/>
          <w:caps w:val="0"/>
          <w:smallCaps w:val="0"/>
          <w:color w:val="000000"/>
          <w:spacing w:val="0"/>
          <w:kern w:val="0"/>
          <w:sz w:val="44"/>
          <w:szCs w:val="44"/>
          <w:highlight w:val="none"/>
          <w:shd w:val="clear" w:color="auto" w:fill="FFFFFF"/>
          <w:lang w:val="en-US" w:eastAsia="zh-CN"/>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uppressAutoHyphens/>
        <w:spacing w:before="0" w:beforeAutospacing="0" w:after="0" w:afterAutospacing="0" w:line="580" w:lineRule="atLeast"/>
        <w:ind w:left="0" w:right="0" w:firstLine="0"/>
        <w:jc w:val="center"/>
        <w:rPr>
          <w:rFonts w:hint="eastAsia" w:ascii="方正小标宋简体" w:eastAsia="方正小标宋简体" w:cs="方正小标宋简体"/>
          <w:b w:val="0"/>
          <w:bCs w:val="0"/>
          <w:i w:val="0"/>
          <w:caps w:val="0"/>
          <w:smallCaps w:val="0"/>
          <w:color w:val="000000"/>
          <w:spacing w:val="0"/>
          <w:kern w:val="0"/>
          <w:sz w:val="44"/>
          <w:szCs w:val="44"/>
          <w:highlight w:val="none"/>
          <w:shd w:val="clear" w:color="auto" w:fill="FFFFFF"/>
          <w:lang w:val="en-US" w:eastAsia="zh-CN"/>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uppressAutoHyphens/>
        <w:spacing w:before="0" w:beforeAutospacing="0" w:after="0" w:afterAutospacing="0" w:line="580" w:lineRule="atLeast"/>
        <w:ind w:left="0" w:right="0" w:firstLine="0"/>
        <w:jc w:val="both"/>
        <w:rPr>
          <w:rFonts w:hint="eastAsia" w:ascii="方正小标宋简体" w:eastAsia="方正小标宋简体" w:cs="方正小标宋简体"/>
          <w:b w:val="0"/>
          <w:bCs w:val="0"/>
          <w:i w:val="0"/>
          <w:caps w:val="0"/>
          <w:smallCaps w:val="0"/>
          <w:color w:val="000000"/>
          <w:spacing w:val="0"/>
          <w:kern w:val="0"/>
          <w:sz w:val="44"/>
          <w:szCs w:val="44"/>
          <w:highlight w:val="none"/>
          <w:shd w:val="clear" w:color="auto" w:fill="FFFFFF"/>
          <w:lang w:val="en-US" w:eastAsia="zh-CN"/>
        </w:rPr>
        <w:sectPr>
          <w:pgSz w:w="11906" w:h="16838"/>
          <w:pgMar w:top="2098" w:right="1474" w:bottom="1984" w:left="1587" w:header="720" w:footer="1559" w:gutter="0"/>
          <w:cols w:space="720" w:num="1"/>
          <w:docGrid w:type="lines" w:linePitch="312" w:charSpace="0"/>
        </w:sectPr>
      </w:pPr>
    </w:p>
    <w:p>
      <w:pPr>
        <w:pStyle w:val="9"/>
        <w:rPr>
          <w:rFonts w:hint="eastAsia"/>
          <w:sz w:val="36"/>
          <w:szCs w:val="44"/>
          <w:lang w:val="en-US" w:eastAsia="zh-CN"/>
        </w:rPr>
      </w:pPr>
    </w:p>
    <w:sdt>
      <w:sdtPr>
        <w:rPr>
          <w:rFonts w:ascii="宋体" w:eastAsia="宋体" w:cs="Times New Roman"/>
          <w:color w:val="auto"/>
          <w:kern w:val="2"/>
          <w:sz w:val="36"/>
          <w:szCs w:val="44"/>
          <w:lang w:val="en-US" w:eastAsia="zh-CN" w:bidi="ar-SA"/>
        </w:rPr>
        <w:id w:val="-933900572"/>
        <w15:color w:val="DBDBDB"/>
        <w:docPartObj>
          <w:docPartGallery w:val="Table of Contents"/>
          <w:docPartUnique/>
        </w:docPartObj>
      </w:sdtPr>
      <w:sdtEndPr>
        <w:rPr>
          <w:rFonts w:hint="eastAsia" w:ascii="黑体" w:eastAsia="黑体" w:cs="黑体"/>
          <w:b/>
          <w:color w:val="auto"/>
          <w:kern w:val="2"/>
          <w:sz w:val="21"/>
          <w:szCs w:val="32"/>
          <w:lang w:val="en-US" w:eastAsia="zh-CN" w:bidi="ar-SA"/>
        </w:rPr>
      </w:sdtEndPr>
      <w:sdtContent>
        <w:p>
          <w:pPr>
            <w:spacing w:before="0" w:after="0" w:line="240" w:lineRule="auto"/>
            <w:ind w:left="0" w:right="0" w:firstLine="0"/>
            <w:jc w:val="center"/>
            <w:rPr>
              <w:sz w:val="36"/>
              <w:szCs w:val="44"/>
            </w:rPr>
          </w:pPr>
          <w:r>
            <w:rPr>
              <w:rFonts w:ascii="宋体" w:eastAsia="宋体"/>
              <w:sz w:val="36"/>
              <w:szCs w:val="44"/>
            </w:rPr>
            <w:t>目</w:t>
          </w:r>
          <w:r>
            <w:rPr>
              <w:rFonts w:hint="eastAsia" w:ascii="宋体"/>
              <w:sz w:val="36"/>
              <w:szCs w:val="44"/>
              <w:lang w:val="en-US" w:eastAsia="zh-CN"/>
            </w:rPr>
            <w:t xml:space="preserve"> </w:t>
          </w:r>
          <w:r>
            <w:rPr>
              <w:rFonts w:ascii="宋体" w:eastAsia="宋体"/>
              <w:sz w:val="36"/>
              <w:szCs w:val="44"/>
            </w:rPr>
            <w:t>录</w:t>
          </w:r>
        </w:p>
        <w:p>
          <w:pPr>
            <w:pStyle w:val="20"/>
            <w:tabs>
              <w:tab w:val="right" w:leader="dot" w:pos="8845"/>
            </w:tabs>
            <w:rPr>
              <w:rFonts w:hint="eastAsia" w:ascii="仿宋_GB2312" w:eastAsia="仿宋_GB2312" w:cs="仿宋_GB2312"/>
              <w:color w:val="auto"/>
              <w:kern w:val="2"/>
              <w:sz w:val="32"/>
              <w:szCs w:val="32"/>
              <w:lang w:val="en-US" w:eastAsia="zh-CN" w:bidi="ar-SA"/>
            </w:rPr>
          </w:pPr>
          <w:r>
            <w:rPr>
              <w:rFonts w:hint="eastAsia" w:ascii="仿宋_GB2312" w:eastAsia="仿宋_GB2312" w:cs="仿宋_GB2312"/>
              <w:color w:val="auto"/>
              <w:kern w:val="2"/>
              <w:sz w:val="32"/>
              <w:szCs w:val="32"/>
              <w:lang w:val="en-US" w:eastAsia="zh-CN" w:bidi="ar-SA"/>
            </w:rPr>
            <w:fldChar w:fldCharType="begin"/>
          </w:r>
          <w:r>
            <w:rPr>
              <w:rFonts w:hint="eastAsia" w:ascii="仿宋_GB2312" w:eastAsia="仿宋_GB2312" w:cs="仿宋_GB2312"/>
              <w:color w:val="auto"/>
              <w:kern w:val="2"/>
              <w:sz w:val="32"/>
              <w:szCs w:val="32"/>
              <w:lang w:val="en-US" w:eastAsia="zh-CN" w:bidi="ar-SA"/>
            </w:rPr>
            <w:instrText xml:space="preserve">TOC \o "1-2" \h \u</w:instrText>
          </w:r>
          <w:r>
            <w:rPr>
              <w:rFonts w:hint="eastAsia" w:ascii="仿宋_GB2312" w:eastAsia="仿宋_GB2312" w:cs="仿宋_GB2312"/>
              <w:color w:val="auto"/>
              <w:kern w:val="2"/>
              <w:sz w:val="32"/>
              <w:szCs w:val="32"/>
              <w:lang w:val="en-US" w:eastAsia="zh-CN" w:bidi="ar-SA"/>
            </w:rPr>
            <w:fldChar w:fldCharType="separate"/>
          </w:r>
          <w:r>
            <w:fldChar w:fldCharType="begin"/>
          </w:r>
          <w:r>
            <w:instrText xml:space="preserve"> HYPERLINK \l "_Toc31913" </w:instrText>
          </w:r>
          <w:r>
            <w:fldChar w:fldCharType="separate"/>
          </w:r>
          <w:r>
            <w:rPr>
              <w:rFonts w:hint="eastAsia" w:ascii="仿宋_GB2312" w:eastAsia="仿宋_GB2312" w:cs="仿宋_GB2312"/>
              <w:color w:val="auto"/>
              <w:kern w:val="2"/>
              <w:sz w:val="32"/>
              <w:szCs w:val="32"/>
              <w:lang w:val="en-US" w:eastAsia="zh-CN" w:bidi="ar-SA"/>
            </w:rPr>
            <w:t>一、基本职能及主要工作</w:t>
          </w:r>
          <w:r>
            <w:rPr>
              <w:rFonts w:hint="eastAsia" w:ascii="仿宋_GB2312" w:eastAsia="仿宋_GB2312" w:cs="仿宋_GB2312"/>
              <w:color w:val="auto"/>
              <w:kern w:val="2"/>
              <w:sz w:val="32"/>
              <w:szCs w:val="32"/>
              <w:lang w:val="en-US" w:eastAsia="zh-CN" w:bidi="ar-SA"/>
            </w:rPr>
            <w:tab/>
          </w:r>
          <w:r>
            <w:rPr>
              <w:rFonts w:hint="eastAsia" w:ascii="仿宋_GB2312" w:eastAsia="仿宋_GB2312" w:cs="仿宋_GB2312"/>
              <w:color w:val="auto"/>
              <w:kern w:val="2"/>
              <w:sz w:val="32"/>
              <w:szCs w:val="32"/>
              <w:lang w:val="en-US" w:eastAsia="zh-CN" w:bidi="ar-SA"/>
            </w:rPr>
            <w:fldChar w:fldCharType="begin"/>
          </w:r>
          <w:r>
            <w:rPr>
              <w:rFonts w:hint="eastAsia" w:ascii="仿宋_GB2312" w:eastAsia="仿宋_GB2312" w:cs="仿宋_GB2312"/>
              <w:color w:val="auto"/>
              <w:kern w:val="2"/>
              <w:sz w:val="32"/>
              <w:szCs w:val="32"/>
              <w:lang w:val="en-US" w:eastAsia="zh-CN" w:bidi="ar-SA"/>
            </w:rPr>
            <w:instrText xml:space="preserve"> PAGEREF _Toc31913 \h </w:instrText>
          </w:r>
          <w:r>
            <w:rPr>
              <w:rFonts w:hint="eastAsia" w:ascii="仿宋_GB2312" w:eastAsia="仿宋_GB2312" w:cs="仿宋_GB2312"/>
              <w:color w:val="auto"/>
              <w:kern w:val="2"/>
              <w:sz w:val="32"/>
              <w:szCs w:val="32"/>
              <w:lang w:val="en-US" w:eastAsia="zh-CN" w:bidi="ar-SA"/>
            </w:rPr>
            <w:fldChar w:fldCharType="separate"/>
          </w:r>
          <w:r>
            <w:rPr>
              <w:rFonts w:hint="eastAsia" w:ascii="仿宋_GB2312" w:eastAsia="仿宋_GB2312" w:cs="仿宋_GB2312"/>
              <w:color w:val="auto"/>
              <w:kern w:val="2"/>
              <w:sz w:val="32"/>
              <w:szCs w:val="32"/>
              <w:lang w:val="en-US" w:eastAsia="zh-CN" w:bidi="ar-SA"/>
            </w:rPr>
            <w:t>1</w:t>
          </w:r>
          <w:r>
            <w:rPr>
              <w:rFonts w:hint="eastAsia" w:ascii="仿宋_GB2312" w:eastAsia="仿宋_GB2312" w:cs="仿宋_GB2312"/>
              <w:color w:val="auto"/>
              <w:kern w:val="2"/>
              <w:sz w:val="32"/>
              <w:szCs w:val="32"/>
              <w:lang w:val="en-US" w:eastAsia="zh-CN" w:bidi="ar-SA"/>
            </w:rPr>
            <w:fldChar w:fldCharType="end"/>
          </w:r>
          <w:r>
            <w:rPr>
              <w:rFonts w:hint="eastAsia" w:ascii="仿宋_GB2312" w:eastAsia="仿宋_GB2312" w:cs="仿宋_GB2312"/>
              <w:color w:val="auto"/>
              <w:kern w:val="2"/>
              <w:sz w:val="32"/>
              <w:szCs w:val="32"/>
              <w:lang w:val="en-US" w:eastAsia="zh-CN" w:bidi="ar-SA"/>
            </w:rPr>
            <w:fldChar w:fldCharType="end"/>
          </w:r>
        </w:p>
        <w:p>
          <w:pPr>
            <w:pStyle w:val="21"/>
            <w:tabs>
              <w:tab w:val="right" w:leader="dot" w:pos="8845"/>
            </w:tabs>
            <w:rPr>
              <w:rFonts w:hint="eastAsia" w:ascii="仿宋_GB2312" w:eastAsia="仿宋_GB2312" w:cs="仿宋_GB2312"/>
              <w:color w:val="auto"/>
              <w:kern w:val="2"/>
              <w:sz w:val="32"/>
              <w:szCs w:val="32"/>
              <w:lang w:val="en-US" w:eastAsia="zh-CN" w:bidi="ar-SA"/>
            </w:rPr>
          </w:pPr>
          <w:r>
            <w:fldChar w:fldCharType="begin"/>
          </w:r>
          <w:r>
            <w:instrText xml:space="preserve"> HYPERLINK \l "_Toc12441" </w:instrText>
          </w:r>
          <w:r>
            <w:fldChar w:fldCharType="separate"/>
          </w:r>
          <w:r>
            <w:rPr>
              <w:rFonts w:hint="eastAsia" w:ascii="仿宋_GB2312" w:eastAsia="仿宋_GB2312" w:cs="仿宋_GB2312"/>
              <w:color w:val="auto"/>
              <w:kern w:val="2"/>
              <w:sz w:val="32"/>
              <w:szCs w:val="32"/>
              <w:lang w:val="en-US" w:eastAsia="zh-CN" w:bidi="ar-SA"/>
            </w:rPr>
            <w:t>（一）卫生健康局职能简介</w:t>
          </w:r>
          <w:r>
            <w:rPr>
              <w:rFonts w:hint="eastAsia" w:ascii="仿宋_GB2312" w:eastAsia="仿宋_GB2312" w:cs="仿宋_GB2312"/>
              <w:color w:val="auto"/>
              <w:kern w:val="2"/>
              <w:sz w:val="32"/>
              <w:szCs w:val="32"/>
              <w:lang w:val="en-US" w:eastAsia="zh-CN" w:bidi="ar-SA"/>
            </w:rPr>
            <w:tab/>
          </w:r>
          <w:r>
            <w:rPr>
              <w:rFonts w:hint="eastAsia" w:ascii="仿宋_GB2312" w:eastAsia="仿宋_GB2312" w:cs="仿宋_GB2312"/>
              <w:color w:val="auto"/>
              <w:kern w:val="2"/>
              <w:sz w:val="32"/>
              <w:szCs w:val="32"/>
              <w:lang w:val="en-US" w:eastAsia="zh-CN" w:bidi="ar-SA"/>
            </w:rPr>
            <w:fldChar w:fldCharType="begin"/>
          </w:r>
          <w:r>
            <w:rPr>
              <w:rFonts w:hint="eastAsia" w:ascii="仿宋_GB2312" w:eastAsia="仿宋_GB2312" w:cs="仿宋_GB2312"/>
              <w:color w:val="auto"/>
              <w:kern w:val="2"/>
              <w:sz w:val="32"/>
              <w:szCs w:val="32"/>
              <w:lang w:val="en-US" w:eastAsia="zh-CN" w:bidi="ar-SA"/>
            </w:rPr>
            <w:instrText xml:space="preserve"> PAGEREF _Toc12441 \h </w:instrText>
          </w:r>
          <w:r>
            <w:rPr>
              <w:rFonts w:hint="eastAsia" w:ascii="仿宋_GB2312" w:eastAsia="仿宋_GB2312" w:cs="仿宋_GB2312"/>
              <w:color w:val="auto"/>
              <w:kern w:val="2"/>
              <w:sz w:val="32"/>
              <w:szCs w:val="32"/>
              <w:lang w:val="en-US" w:eastAsia="zh-CN" w:bidi="ar-SA"/>
            </w:rPr>
            <w:fldChar w:fldCharType="separate"/>
          </w:r>
          <w:r>
            <w:rPr>
              <w:rFonts w:hint="eastAsia" w:ascii="仿宋_GB2312" w:eastAsia="仿宋_GB2312" w:cs="仿宋_GB2312"/>
              <w:color w:val="auto"/>
              <w:kern w:val="2"/>
              <w:sz w:val="32"/>
              <w:szCs w:val="32"/>
              <w:lang w:val="en-US" w:eastAsia="zh-CN" w:bidi="ar-SA"/>
            </w:rPr>
            <w:t>1</w:t>
          </w:r>
          <w:r>
            <w:rPr>
              <w:rFonts w:hint="eastAsia" w:ascii="仿宋_GB2312" w:eastAsia="仿宋_GB2312" w:cs="仿宋_GB2312"/>
              <w:color w:val="auto"/>
              <w:kern w:val="2"/>
              <w:sz w:val="32"/>
              <w:szCs w:val="32"/>
              <w:lang w:val="en-US" w:eastAsia="zh-CN" w:bidi="ar-SA"/>
            </w:rPr>
            <w:fldChar w:fldCharType="end"/>
          </w:r>
          <w:r>
            <w:rPr>
              <w:rFonts w:hint="eastAsia" w:ascii="仿宋_GB2312" w:eastAsia="仿宋_GB2312" w:cs="仿宋_GB2312"/>
              <w:color w:val="auto"/>
              <w:kern w:val="2"/>
              <w:sz w:val="32"/>
              <w:szCs w:val="32"/>
              <w:lang w:val="en-US" w:eastAsia="zh-CN" w:bidi="ar-SA"/>
            </w:rPr>
            <w:fldChar w:fldCharType="end"/>
          </w:r>
        </w:p>
        <w:p>
          <w:pPr>
            <w:pStyle w:val="21"/>
            <w:tabs>
              <w:tab w:val="right" w:leader="dot" w:pos="8845"/>
            </w:tabs>
            <w:rPr>
              <w:rFonts w:hint="eastAsia" w:ascii="仿宋_GB2312" w:eastAsia="仿宋_GB2312" w:cs="仿宋_GB2312"/>
              <w:color w:val="auto"/>
              <w:kern w:val="2"/>
              <w:sz w:val="32"/>
              <w:szCs w:val="32"/>
              <w:lang w:val="en-US" w:eastAsia="zh-CN" w:bidi="ar-SA"/>
            </w:rPr>
          </w:pPr>
          <w:r>
            <w:fldChar w:fldCharType="begin"/>
          </w:r>
          <w:r>
            <w:instrText xml:space="preserve"> HYPERLINK \l "_Toc5520" </w:instrText>
          </w:r>
          <w:r>
            <w:fldChar w:fldCharType="separate"/>
          </w:r>
          <w:r>
            <w:rPr>
              <w:rFonts w:hint="eastAsia" w:ascii="仿宋_GB2312" w:eastAsia="仿宋_GB2312" w:cs="仿宋_GB2312"/>
              <w:color w:val="auto"/>
              <w:kern w:val="2"/>
              <w:sz w:val="32"/>
              <w:szCs w:val="32"/>
              <w:lang w:val="en-US" w:eastAsia="zh-CN" w:bidi="ar-SA"/>
            </w:rPr>
            <w:t>（二）卫生健康局2024年重点工作</w:t>
          </w:r>
          <w:r>
            <w:rPr>
              <w:rFonts w:hint="eastAsia" w:ascii="仿宋_GB2312" w:eastAsia="仿宋_GB2312" w:cs="仿宋_GB2312"/>
              <w:color w:val="auto"/>
              <w:kern w:val="2"/>
              <w:sz w:val="32"/>
              <w:szCs w:val="32"/>
              <w:lang w:val="en-US" w:eastAsia="zh-CN" w:bidi="ar-SA"/>
            </w:rPr>
            <w:tab/>
          </w:r>
          <w:r>
            <w:rPr>
              <w:rFonts w:hint="eastAsia" w:ascii="仿宋_GB2312" w:eastAsia="仿宋_GB2312" w:cs="仿宋_GB2312"/>
              <w:color w:val="auto"/>
              <w:kern w:val="2"/>
              <w:sz w:val="32"/>
              <w:szCs w:val="32"/>
              <w:lang w:val="en-US" w:eastAsia="zh-CN" w:bidi="ar-SA"/>
            </w:rPr>
            <w:fldChar w:fldCharType="begin"/>
          </w:r>
          <w:r>
            <w:rPr>
              <w:rFonts w:hint="eastAsia" w:ascii="仿宋_GB2312" w:eastAsia="仿宋_GB2312" w:cs="仿宋_GB2312"/>
              <w:color w:val="auto"/>
              <w:kern w:val="2"/>
              <w:sz w:val="32"/>
              <w:szCs w:val="32"/>
              <w:lang w:val="en-US" w:eastAsia="zh-CN" w:bidi="ar-SA"/>
            </w:rPr>
            <w:instrText xml:space="preserve"> PAGEREF _Toc5520 \h </w:instrText>
          </w:r>
          <w:r>
            <w:rPr>
              <w:rFonts w:hint="eastAsia" w:ascii="仿宋_GB2312" w:eastAsia="仿宋_GB2312" w:cs="仿宋_GB2312"/>
              <w:color w:val="auto"/>
              <w:kern w:val="2"/>
              <w:sz w:val="32"/>
              <w:szCs w:val="32"/>
              <w:lang w:val="en-US" w:eastAsia="zh-CN" w:bidi="ar-SA"/>
            </w:rPr>
            <w:fldChar w:fldCharType="separate"/>
          </w:r>
          <w:r>
            <w:rPr>
              <w:rFonts w:hint="eastAsia" w:ascii="仿宋_GB2312" w:eastAsia="仿宋_GB2312" w:cs="仿宋_GB2312"/>
              <w:color w:val="auto"/>
              <w:kern w:val="2"/>
              <w:sz w:val="32"/>
              <w:szCs w:val="32"/>
              <w:lang w:val="en-US" w:eastAsia="zh-CN" w:bidi="ar-SA"/>
            </w:rPr>
            <w:t>3</w:t>
          </w:r>
          <w:r>
            <w:rPr>
              <w:rFonts w:hint="eastAsia" w:ascii="仿宋_GB2312" w:eastAsia="仿宋_GB2312" w:cs="仿宋_GB2312"/>
              <w:color w:val="auto"/>
              <w:kern w:val="2"/>
              <w:sz w:val="32"/>
              <w:szCs w:val="32"/>
              <w:lang w:val="en-US" w:eastAsia="zh-CN" w:bidi="ar-SA"/>
            </w:rPr>
            <w:fldChar w:fldCharType="end"/>
          </w:r>
          <w:r>
            <w:rPr>
              <w:rFonts w:hint="eastAsia" w:ascii="仿宋_GB2312" w:eastAsia="仿宋_GB2312" w:cs="仿宋_GB2312"/>
              <w:color w:val="auto"/>
              <w:kern w:val="2"/>
              <w:sz w:val="32"/>
              <w:szCs w:val="32"/>
              <w:lang w:val="en-US" w:eastAsia="zh-CN" w:bidi="ar-SA"/>
            </w:rPr>
            <w:fldChar w:fldCharType="end"/>
          </w:r>
        </w:p>
        <w:p>
          <w:pPr>
            <w:pStyle w:val="20"/>
            <w:tabs>
              <w:tab w:val="right" w:leader="dot" w:pos="8845"/>
            </w:tabs>
            <w:rPr>
              <w:rFonts w:hint="eastAsia" w:ascii="仿宋_GB2312" w:eastAsia="仿宋_GB2312" w:cs="仿宋_GB2312"/>
              <w:color w:val="auto"/>
              <w:kern w:val="2"/>
              <w:sz w:val="32"/>
              <w:szCs w:val="32"/>
              <w:lang w:val="en-US" w:eastAsia="zh-CN" w:bidi="ar-SA"/>
            </w:rPr>
          </w:pPr>
          <w:r>
            <w:fldChar w:fldCharType="begin"/>
          </w:r>
          <w:r>
            <w:instrText xml:space="preserve"> HYPERLINK \l "_Toc7754" </w:instrText>
          </w:r>
          <w:r>
            <w:fldChar w:fldCharType="separate"/>
          </w:r>
          <w:r>
            <w:rPr>
              <w:rFonts w:hint="eastAsia" w:ascii="仿宋_GB2312" w:eastAsia="仿宋_GB2312" w:cs="仿宋_GB2312"/>
              <w:color w:val="auto"/>
              <w:kern w:val="2"/>
              <w:sz w:val="32"/>
              <w:szCs w:val="32"/>
              <w:lang w:val="en-US" w:eastAsia="zh-CN" w:bidi="ar-SA"/>
            </w:rPr>
            <w:t>二、部门预算单位构成</w:t>
          </w:r>
          <w:r>
            <w:rPr>
              <w:rFonts w:hint="eastAsia" w:ascii="仿宋_GB2312" w:eastAsia="仿宋_GB2312" w:cs="仿宋_GB2312"/>
              <w:color w:val="auto"/>
              <w:kern w:val="2"/>
              <w:sz w:val="32"/>
              <w:szCs w:val="32"/>
              <w:lang w:val="en-US" w:eastAsia="zh-CN" w:bidi="ar-SA"/>
            </w:rPr>
            <w:tab/>
          </w:r>
          <w:r>
            <w:rPr>
              <w:rFonts w:hint="eastAsia" w:ascii="仿宋_GB2312" w:eastAsia="仿宋_GB2312" w:cs="仿宋_GB2312"/>
              <w:color w:val="auto"/>
              <w:kern w:val="2"/>
              <w:sz w:val="32"/>
              <w:szCs w:val="32"/>
              <w:lang w:val="en-US" w:eastAsia="zh-CN" w:bidi="ar-SA"/>
            </w:rPr>
            <w:fldChar w:fldCharType="begin"/>
          </w:r>
          <w:r>
            <w:rPr>
              <w:rFonts w:hint="eastAsia" w:ascii="仿宋_GB2312" w:eastAsia="仿宋_GB2312" w:cs="仿宋_GB2312"/>
              <w:color w:val="auto"/>
              <w:kern w:val="2"/>
              <w:sz w:val="32"/>
              <w:szCs w:val="32"/>
              <w:lang w:val="en-US" w:eastAsia="zh-CN" w:bidi="ar-SA"/>
            </w:rPr>
            <w:instrText xml:space="preserve"> PAGEREF _Toc7754 \h </w:instrText>
          </w:r>
          <w:r>
            <w:rPr>
              <w:rFonts w:hint="eastAsia" w:ascii="仿宋_GB2312" w:eastAsia="仿宋_GB2312" w:cs="仿宋_GB2312"/>
              <w:color w:val="auto"/>
              <w:kern w:val="2"/>
              <w:sz w:val="32"/>
              <w:szCs w:val="32"/>
              <w:lang w:val="en-US" w:eastAsia="zh-CN" w:bidi="ar-SA"/>
            </w:rPr>
            <w:fldChar w:fldCharType="separate"/>
          </w:r>
          <w:r>
            <w:rPr>
              <w:rFonts w:hint="eastAsia" w:ascii="仿宋_GB2312" w:eastAsia="仿宋_GB2312" w:cs="仿宋_GB2312"/>
              <w:color w:val="auto"/>
              <w:kern w:val="2"/>
              <w:sz w:val="32"/>
              <w:szCs w:val="32"/>
              <w:lang w:val="en-US" w:eastAsia="zh-CN" w:bidi="ar-SA"/>
            </w:rPr>
            <w:t>3</w:t>
          </w:r>
          <w:r>
            <w:rPr>
              <w:rFonts w:hint="eastAsia" w:ascii="仿宋_GB2312" w:eastAsia="仿宋_GB2312" w:cs="仿宋_GB2312"/>
              <w:color w:val="auto"/>
              <w:kern w:val="2"/>
              <w:sz w:val="32"/>
              <w:szCs w:val="32"/>
              <w:lang w:val="en-US" w:eastAsia="zh-CN" w:bidi="ar-SA"/>
            </w:rPr>
            <w:fldChar w:fldCharType="end"/>
          </w:r>
          <w:r>
            <w:rPr>
              <w:rFonts w:hint="eastAsia" w:ascii="仿宋_GB2312" w:eastAsia="仿宋_GB2312" w:cs="仿宋_GB2312"/>
              <w:color w:val="auto"/>
              <w:kern w:val="2"/>
              <w:sz w:val="32"/>
              <w:szCs w:val="32"/>
              <w:lang w:val="en-US" w:eastAsia="zh-CN" w:bidi="ar-SA"/>
            </w:rPr>
            <w:fldChar w:fldCharType="end"/>
          </w:r>
        </w:p>
        <w:p>
          <w:pPr>
            <w:pStyle w:val="20"/>
            <w:tabs>
              <w:tab w:val="right" w:leader="dot" w:pos="8845"/>
            </w:tabs>
            <w:rPr>
              <w:rFonts w:hint="eastAsia" w:ascii="仿宋_GB2312" w:eastAsia="仿宋_GB2312" w:cs="仿宋_GB2312"/>
              <w:color w:val="auto"/>
              <w:kern w:val="2"/>
              <w:sz w:val="32"/>
              <w:szCs w:val="32"/>
              <w:lang w:val="en-US" w:eastAsia="zh-CN" w:bidi="ar-SA"/>
            </w:rPr>
          </w:pPr>
          <w:r>
            <w:fldChar w:fldCharType="begin"/>
          </w:r>
          <w:r>
            <w:instrText xml:space="preserve"> HYPERLINK \l "_Toc28527" </w:instrText>
          </w:r>
          <w:r>
            <w:fldChar w:fldCharType="separate"/>
          </w:r>
          <w:r>
            <w:rPr>
              <w:rFonts w:hint="eastAsia" w:ascii="仿宋_GB2312" w:eastAsia="仿宋_GB2312" w:cs="仿宋_GB2312"/>
              <w:color w:val="auto"/>
              <w:kern w:val="2"/>
              <w:sz w:val="32"/>
              <w:szCs w:val="32"/>
              <w:lang w:val="en-US" w:eastAsia="zh-CN" w:bidi="ar-SA"/>
            </w:rPr>
            <w:t>三、收支预算情况说明</w:t>
          </w:r>
          <w:r>
            <w:rPr>
              <w:rFonts w:hint="eastAsia" w:ascii="仿宋_GB2312" w:eastAsia="仿宋_GB2312" w:cs="仿宋_GB2312"/>
              <w:color w:val="auto"/>
              <w:kern w:val="2"/>
              <w:sz w:val="32"/>
              <w:szCs w:val="32"/>
              <w:lang w:val="en-US" w:eastAsia="zh-CN" w:bidi="ar-SA"/>
            </w:rPr>
            <w:tab/>
          </w:r>
          <w:r>
            <w:rPr>
              <w:rFonts w:hint="eastAsia" w:ascii="仿宋_GB2312" w:eastAsia="仿宋_GB2312" w:cs="仿宋_GB2312"/>
              <w:color w:val="auto"/>
              <w:kern w:val="2"/>
              <w:sz w:val="32"/>
              <w:szCs w:val="32"/>
              <w:lang w:val="en-US" w:eastAsia="zh-CN" w:bidi="ar-SA"/>
            </w:rPr>
            <w:fldChar w:fldCharType="begin"/>
          </w:r>
          <w:r>
            <w:rPr>
              <w:rFonts w:hint="eastAsia" w:ascii="仿宋_GB2312" w:eastAsia="仿宋_GB2312" w:cs="仿宋_GB2312"/>
              <w:color w:val="auto"/>
              <w:kern w:val="2"/>
              <w:sz w:val="32"/>
              <w:szCs w:val="32"/>
              <w:lang w:val="en-US" w:eastAsia="zh-CN" w:bidi="ar-SA"/>
            </w:rPr>
            <w:instrText xml:space="preserve"> PAGEREF _Toc28527 \h </w:instrText>
          </w:r>
          <w:r>
            <w:rPr>
              <w:rFonts w:hint="eastAsia" w:ascii="仿宋_GB2312" w:eastAsia="仿宋_GB2312" w:cs="仿宋_GB2312"/>
              <w:color w:val="auto"/>
              <w:kern w:val="2"/>
              <w:sz w:val="32"/>
              <w:szCs w:val="32"/>
              <w:lang w:val="en-US" w:eastAsia="zh-CN" w:bidi="ar-SA"/>
            </w:rPr>
            <w:fldChar w:fldCharType="separate"/>
          </w:r>
          <w:r>
            <w:rPr>
              <w:rFonts w:hint="eastAsia" w:ascii="仿宋_GB2312" w:eastAsia="仿宋_GB2312" w:cs="仿宋_GB2312"/>
              <w:color w:val="auto"/>
              <w:kern w:val="2"/>
              <w:sz w:val="32"/>
              <w:szCs w:val="32"/>
              <w:lang w:val="en-US" w:eastAsia="zh-CN" w:bidi="ar-SA"/>
            </w:rPr>
            <w:t>10</w:t>
          </w:r>
          <w:r>
            <w:rPr>
              <w:rFonts w:hint="eastAsia" w:ascii="仿宋_GB2312" w:eastAsia="仿宋_GB2312" w:cs="仿宋_GB2312"/>
              <w:color w:val="auto"/>
              <w:kern w:val="2"/>
              <w:sz w:val="32"/>
              <w:szCs w:val="32"/>
              <w:lang w:val="en-US" w:eastAsia="zh-CN" w:bidi="ar-SA"/>
            </w:rPr>
            <w:fldChar w:fldCharType="end"/>
          </w:r>
          <w:r>
            <w:rPr>
              <w:rFonts w:hint="eastAsia" w:ascii="仿宋_GB2312" w:eastAsia="仿宋_GB2312" w:cs="仿宋_GB2312"/>
              <w:color w:val="auto"/>
              <w:kern w:val="2"/>
              <w:sz w:val="32"/>
              <w:szCs w:val="32"/>
              <w:lang w:val="en-US" w:eastAsia="zh-CN" w:bidi="ar-SA"/>
            </w:rPr>
            <w:fldChar w:fldCharType="end"/>
          </w:r>
        </w:p>
        <w:p>
          <w:pPr>
            <w:pStyle w:val="21"/>
            <w:tabs>
              <w:tab w:val="right" w:leader="dot" w:pos="8845"/>
            </w:tabs>
            <w:rPr>
              <w:rFonts w:hint="eastAsia" w:ascii="仿宋_GB2312" w:eastAsia="仿宋_GB2312" w:cs="仿宋_GB2312"/>
              <w:color w:val="auto"/>
              <w:kern w:val="2"/>
              <w:sz w:val="32"/>
              <w:szCs w:val="32"/>
              <w:lang w:val="en-US" w:eastAsia="zh-CN" w:bidi="ar-SA"/>
            </w:rPr>
          </w:pPr>
          <w:r>
            <w:fldChar w:fldCharType="begin"/>
          </w:r>
          <w:r>
            <w:instrText xml:space="preserve"> HYPERLINK \l "_Toc17269" </w:instrText>
          </w:r>
          <w:r>
            <w:fldChar w:fldCharType="separate"/>
          </w:r>
          <w:r>
            <w:rPr>
              <w:rFonts w:hint="eastAsia" w:ascii="仿宋_GB2312" w:eastAsia="仿宋_GB2312" w:cs="仿宋_GB2312"/>
              <w:color w:val="auto"/>
              <w:kern w:val="2"/>
              <w:sz w:val="32"/>
              <w:szCs w:val="32"/>
              <w:lang w:val="en-US" w:eastAsia="zh-CN" w:bidi="ar-SA"/>
            </w:rPr>
            <w:t>（一）收入预算情况</w:t>
          </w:r>
          <w:r>
            <w:rPr>
              <w:rFonts w:hint="eastAsia" w:ascii="仿宋_GB2312" w:eastAsia="仿宋_GB2312" w:cs="仿宋_GB2312"/>
              <w:color w:val="auto"/>
              <w:kern w:val="2"/>
              <w:sz w:val="32"/>
              <w:szCs w:val="32"/>
              <w:lang w:val="en-US" w:eastAsia="zh-CN" w:bidi="ar-SA"/>
            </w:rPr>
            <w:tab/>
          </w:r>
          <w:r>
            <w:rPr>
              <w:rFonts w:hint="eastAsia" w:ascii="仿宋_GB2312" w:eastAsia="仿宋_GB2312" w:cs="仿宋_GB2312"/>
              <w:color w:val="auto"/>
              <w:kern w:val="2"/>
              <w:sz w:val="32"/>
              <w:szCs w:val="32"/>
              <w:lang w:val="en-US" w:eastAsia="zh-CN" w:bidi="ar-SA"/>
            </w:rPr>
            <w:fldChar w:fldCharType="begin"/>
          </w:r>
          <w:r>
            <w:rPr>
              <w:rFonts w:hint="eastAsia" w:ascii="仿宋_GB2312" w:eastAsia="仿宋_GB2312" w:cs="仿宋_GB2312"/>
              <w:color w:val="auto"/>
              <w:kern w:val="2"/>
              <w:sz w:val="32"/>
              <w:szCs w:val="32"/>
              <w:lang w:val="en-US" w:eastAsia="zh-CN" w:bidi="ar-SA"/>
            </w:rPr>
            <w:instrText xml:space="preserve"> PAGEREF _Toc17269 \h </w:instrText>
          </w:r>
          <w:r>
            <w:rPr>
              <w:rFonts w:hint="eastAsia" w:ascii="仿宋_GB2312" w:eastAsia="仿宋_GB2312" w:cs="仿宋_GB2312"/>
              <w:color w:val="auto"/>
              <w:kern w:val="2"/>
              <w:sz w:val="32"/>
              <w:szCs w:val="32"/>
              <w:lang w:val="en-US" w:eastAsia="zh-CN" w:bidi="ar-SA"/>
            </w:rPr>
            <w:fldChar w:fldCharType="separate"/>
          </w:r>
          <w:r>
            <w:rPr>
              <w:rFonts w:hint="eastAsia" w:ascii="仿宋_GB2312" w:eastAsia="仿宋_GB2312" w:cs="仿宋_GB2312"/>
              <w:color w:val="auto"/>
              <w:kern w:val="2"/>
              <w:sz w:val="32"/>
              <w:szCs w:val="32"/>
              <w:lang w:val="en-US" w:eastAsia="zh-CN" w:bidi="ar-SA"/>
            </w:rPr>
            <w:t>10</w:t>
          </w:r>
          <w:r>
            <w:rPr>
              <w:rFonts w:hint="eastAsia" w:ascii="仿宋_GB2312" w:eastAsia="仿宋_GB2312" w:cs="仿宋_GB2312"/>
              <w:color w:val="auto"/>
              <w:kern w:val="2"/>
              <w:sz w:val="32"/>
              <w:szCs w:val="32"/>
              <w:lang w:val="en-US" w:eastAsia="zh-CN" w:bidi="ar-SA"/>
            </w:rPr>
            <w:fldChar w:fldCharType="end"/>
          </w:r>
          <w:r>
            <w:rPr>
              <w:rFonts w:hint="eastAsia" w:ascii="仿宋_GB2312" w:eastAsia="仿宋_GB2312" w:cs="仿宋_GB2312"/>
              <w:color w:val="auto"/>
              <w:kern w:val="2"/>
              <w:sz w:val="32"/>
              <w:szCs w:val="32"/>
              <w:lang w:val="en-US" w:eastAsia="zh-CN" w:bidi="ar-SA"/>
            </w:rPr>
            <w:fldChar w:fldCharType="end"/>
          </w:r>
        </w:p>
        <w:p>
          <w:pPr>
            <w:pStyle w:val="21"/>
            <w:tabs>
              <w:tab w:val="right" w:leader="dot" w:pos="8845"/>
            </w:tabs>
            <w:rPr>
              <w:rFonts w:hint="eastAsia" w:ascii="仿宋_GB2312" w:eastAsia="仿宋_GB2312" w:cs="仿宋_GB2312"/>
              <w:color w:val="auto"/>
              <w:kern w:val="2"/>
              <w:sz w:val="32"/>
              <w:szCs w:val="32"/>
              <w:lang w:val="en-US" w:eastAsia="zh-CN" w:bidi="ar-SA"/>
            </w:rPr>
          </w:pPr>
          <w:r>
            <w:fldChar w:fldCharType="begin"/>
          </w:r>
          <w:r>
            <w:instrText xml:space="preserve"> HYPERLINK \l "_Toc5300" </w:instrText>
          </w:r>
          <w:r>
            <w:fldChar w:fldCharType="separate"/>
          </w:r>
          <w:r>
            <w:rPr>
              <w:rFonts w:hint="eastAsia" w:ascii="仿宋_GB2312" w:eastAsia="仿宋_GB2312" w:cs="仿宋_GB2312"/>
              <w:color w:val="auto"/>
              <w:kern w:val="2"/>
              <w:sz w:val="32"/>
              <w:szCs w:val="32"/>
              <w:lang w:val="en-US" w:eastAsia="zh-CN" w:bidi="ar-SA"/>
            </w:rPr>
            <w:t>（二）支出预算情况</w:t>
          </w:r>
          <w:r>
            <w:rPr>
              <w:rFonts w:hint="eastAsia" w:ascii="仿宋_GB2312" w:eastAsia="仿宋_GB2312" w:cs="仿宋_GB2312"/>
              <w:color w:val="auto"/>
              <w:kern w:val="2"/>
              <w:sz w:val="32"/>
              <w:szCs w:val="32"/>
              <w:lang w:val="en-US" w:eastAsia="zh-CN" w:bidi="ar-SA"/>
            </w:rPr>
            <w:tab/>
          </w:r>
          <w:r>
            <w:rPr>
              <w:rFonts w:hint="eastAsia" w:ascii="仿宋_GB2312" w:eastAsia="仿宋_GB2312" w:cs="仿宋_GB2312"/>
              <w:color w:val="auto"/>
              <w:kern w:val="2"/>
              <w:sz w:val="32"/>
              <w:szCs w:val="32"/>
              <w:lang w:val="en-US" w:eastAsia="zh-CN" w:bidi="ar-SA"/>
            </w:rPr>
            <w:fldChar w:fldCharType="begin"/>
          </w:r>
          <w:r>
            <w:rPr>
              <w:rFonts w:hint="eastAsia" w:ascii="仿宋_GB2312" w:eastAsia="仿宋_GB2312" w:cs="仿宋_GB2312"/>
              <w:color w:val="auto"/>
              <w:kern w:val="2"/>
              <w:sz w:val="32"/>
              <w:szCs w:val="32"/>
              <w:lang w:val="en-US" w:eastAsia="zh-CN" w:bidi="ar-SA"/>
            </w:rPr>
            <w:instrText xml:space="preserve"> PAGEREF _Toc5300 \h </w:instrText>
          </w:r>
          <w:r>
            <w:rPr>
              <w:rFonts w:hint="eastAsia" w:ascii="仿宋_GB2312" w:eastAsia="仿宋_GB2312" w:cs="仿宋_GB2312"/>
              <w:color w:val="auto"/>
              <w:kern w:val="2"/>
              <w:sz w:val="32"/>
              <w:szCs w:val="32"/>
              <w:lang w:val="en-US" w:eastAsia="zh-CN" w:bidi="ar-SA"/>
            </w:rPr>
            <w:fldChar w:fldCharType="separate"/>
          </w:r>
          <w:r>
            <w:rPr>
              <w:rFonts w:hint="eastAsia" w:ascii="仿宋_GB2312" w:eastAsia="仿宋_GB2312" w:cs="仿宋_GB2312"/>
              <w:color w:val="auto"/>
              <w:kern w:val="2"/>
              <w:sz w:val="32"/>
              <w:szCs w:val="32"/>
              <w:lang w:val="en-US" w:eastAsia="zh-CN" w:bidi="ar-SA"/>
            </w:rPr>
            <w:t>10</w:t>
          </w:r>
          <w:r>
            <w:rPr>
              <w:rFonts w:hint="eastAsia" w:ascii="仿宋_GB2312" w:eastAsia="仿宋_GB2312" w:cs="仿宋_GB2312"/>
              <w:color w:val="auto"/>
              <w:kern w:val="2"/>
              <w:sz w:val="32"/>
              <w:szCs w:val="32"/>
              <w:lang w:val="en-US" w:eastAsia="zh-CN" w:bidi="ar-SA"/>
            </w:rPr>
            <w:fldChar w:fldCharType="end"/>
          </w:r>
          <w:r>
            <w:rPr>
              <w:rFonts w:hint="eastAsia" w:ascii="仿宋_GB2312" w:eastAsia="仿宋_GB2312" w:cs="仿宋_GB2312"/>
              <w:color w:val="auto"/>
              <w:kern w:val="2"/>
              <w:sz w:val="32"/>
              <w:szCs w:val="32"/>
              <w:lang w:val="en-US" w:eastAsia="zh-CN" w:bidi="ar-SA"/>
            </w:rPr>
            <w:fldChar w:fldCharType="end"/>
          </w:r>
        </w:p>
        <w:p>
          <w:pPr>
            <w:pStyle w:val="20"/>
            <w:tabs>
              <w:tab w:val="right" w:leader="dot" w:pos="8845"/>
            </w:tabs>
            <w:rPr>
              <w:rFonts w:hint="eastAsia" w:ascii="仿宋_GB2312" w:eastAsia="仿宋_GB2312" w:cs="仿宋_GB2312"/>
              <w:color w:val="auto"/>
              <w:kern w:val="2"/>
              <w:sz w:val="32"/>
              <w:szCs w:val="32"/>
              <w:lang w:val="en-US" w:eastAsia="zh-CN" w:bidi="ar-SA"/>
            </w:rPr>
          </w:pPr>
          <w:r>
            <w:fldChar w:fldCharType="begin"/>
          </w:r>
          <w:r>
            <w:instrText xml:space="preserve"> HYPERLINK \l "_Toc3573" </w:instrText>
          </w:r>
          <w:r>
            <w:fldChar w:fldCharType="separate"/>
          </w:r>
          <w:r>
            <w:rPr>
              <w:rFonts w:hint="eastAsia" w:ascii="仿宋_GB2312" w:eastAsia="仿宋_GB2312" w:cs="仿宋_GB2312"/>
              <w:color w:val="auto"/>
              <w:kern w:val="2"/>
              <w:sz w:val="32"/>
              <w:szCs w:val="32"/>
              <w:lang w:val="en-US" w:eastAsia="zh-CN" w:bidi="ar-SA"/>
            </w:rPr>
            <w:t>四、财政拨款收支预算情况说明</w:t>
          </w:r>
          <w:r>
            <w:rPr>
              <w:rFonts w:hint="eastAsia" w:ascii="仿宋_GB2312" w:eastAsia="仿宋_GB2312" w:cs="仿宋_GB2312"/>
              <w:color w:val="auto"/>
              <w:kern w:val="2"/>
              <w:sz w:val="32"/>
              <w:szCs w:val="32"/>
              <w:lang w:val="en-US" w:eastAsia="zh-CN" w:bidi="ar-SA"/>
            </w:rPr>
            <w:tab/>
          </w:r>
          <w:r>
            <w:rPr>
              <w:rFonts w:hint="eastAsia" w:ascii="仿宋_GB2312" w:eastAsia="仿宋_GB2312" w:cs="仿宋_GB2312"/>
              <w:color w:val="auto"/>
              <w:kern w:val="2"/>
              <w:sz w:val="32"/>
              <w:szCs w:val="32"/>
              <w:lang w:val="en-US" w:eastAsia="zh-CN" w:bidi="ar-SA"/>
            </w:rPr>
            <w:fldChar w:fldCharType="begin"/>
          </w:r>
          <w:r>
            <w:rPr>
              <w:rFonts w:hint="eastAsia" w:ascii="仿宋_GB2312" w:eastAsia="仿宋_GB2312" w:cs="仿宋_GB2312"/>
              <w:color w:val="auto"/>
              <w:kern w:val="2"/>
              <w:sz w:val="32"/>
              <w:szCs w:val="32"/>
              <w:lang w:val="en-US" w:eastAsia="zh-CN" w:bidi="ar-SA"/>
            </w:rPr>
            <w:instrText xml:space="preserve"> PAGEREF _Toc3573 \h </w:instrText>
          </w:r>
          <w:r>
            <w:rPr>
              <w:rFonts w:hint="eastAsia" w:ascii="仿宋_GB2312" w:eastAsia="仿宋_GB2312" w:cs="仿宋_GB2312"/>
              <w:color w:val="auto"/>
              <w:kern w:val="2"/>
              <w:sz w:val="32"/>
              <w:szCs w:val="32"/>
              <w:lang w:val="en-US" w:eastAsia="zh-CN" w:bidi="ar-SA"/>
            </w:rPr>
            <w:fldChar w:fldCharType="separate"/>
          </w:r>
          <w:r>
            <w:rPr>
              <w:rFonts w:hint="eastAsia" w:ascii="仿宋_GB2312" w:eastAsia="仿宋_GB2312" w:cs="仿宋_GB2312"/>
              <w:color w:val="auto"/>
              <w:kern w:val="2"/>
              <w:sz w:val="32"/>
              <w:szCs w:val="32"/>
              <w:lang w:val="en-US" w:eastAsia="zh-CN" w:bidi="ar-SA"/>
            </w:rPr>
            <w:t>10</w:t>
          </w:r>
          <w:r>
            <w:rPr>
              <w:rFonts w:hint="eastAsia" w:ascii="仿宋_GB2312" w:eastAsia="仿宋_GB2312" w:cs="仿宋_GB2312"/>
              <w:color w:val="auto"/>
              <w:kern w:val="2"/>
              <w:sz w:val="32"/>
              <w:szCs w:val="32"/>
              <w:lang w:val="en-US" w:eastAsia="zh-CN" w:bidi="ar-SA"/>
            </w:rPr>
            <w:fldChar w:fldCharType="end"/>
          </w:r>
          <w:r>
            <w:rPr>
              <w:rFonts w:hint="eastAsia" w:ascii="仿宋_GB2312" w:eastAsia="仿宋_GB2312" w:cs="仿宋_GB2312"/>
              <w:color w:val="auto"/>
              <w:kern w:val="2"/>
              <w:sz w:val="32"/>
              <w:szCs w:val="32"/>
              <w:lang w:val="en-US" w:eastAsia="zh-CN" w:bidi="ar-SA"/>
            </w:rPr>
            <w:fldChar w:fldCharType="end"/>
          </w:r>
        </w:p>
        <w:p>
          <w:pPr>
            <w:pStyle w:val="20"/>
            <w:tabs>
              <w:tab w:val="right" w:leader="dot" w:pos="8845"/>
            </w:tabs>
            <w:rPr>
              <w:rFonts w:hint="eastAsia" w:ascii="仿宋_GB2312" w:eastAsia="仿宋_GB2312" w:cs="仿宋_GB2312"/>
              <w:color w:val="auto"/>
              <w:kern w:val="2"/>
              <w:sz w:val="32"/>
              <w:szCs w:val="32"/>
              <w:lang w:val="en-US" w:eastAsia="zh-CN" w:bidi="ar-SA"/>
            </w:rPr>
          </w:pPr>
          <w:r>
            <w:fldChar w:fldCharType="begin"/>
          </w:r>
          <w:r>
            <w:instrText xml:space="preserve"> HYPERLINK \l "_Toc7270" </w:instrText>
          </w:r>
          <w:r>
            <w:fldChar w:fldCharType="separate"/>
          </w:r>
          <w:r>
            <w:rPr>
              <w:rFonts w:hint="eastAsia" w:ascii="仿宋_GB2312" w:eastAsia="仿宋_GB2312" w:cs="仿宋_GB2312"/>
              <w:color w:val="auto"/>
              <w:kern w:val="2"/>
              <w:sz w:val="32"/>
              <w:szCs w:val="32"/>
              <w:lang w:val="en-US" w:eastAsia="zh-CN" w:bidi="ar-SA"/>
            </w:rPr>
            <w:t>五、一般公共预算当年拨款情况说明</w:t>
          </w:r>
          <w:r>
            <w:rPr>
              <w:rFonts w:hint="eastAsia" w:ascii="仿宋_GB2312" w:eastAsia="仿宋_GB2312" w:cs="仿宋_GB2312"/>
              <w:color w:val="auto"/>
              <w:kern w:val="2"/>
              <w:sz w:val="32"/>
              <w:szCs w:val="32"/>
              <w:lang w:val="en-US" w:eastAsia="zh-CN" w:bidi="ar-SA"/>
            </w:rPr>
            <w:tab/>
          </w:r>
          <w:r>
            <w:rPr>
              <w:rFonts w:hint="eastAsia" w:ascii="仿宋_GB2312" w:eastAsia="仿宋_GB2312" w:cs="仿宋_GB2312"/>
              <w:color w:val="auto"/>
              <w:kern w:val="2"/>
              <w:sz w:val="32"/>
              <w:szCs w:val="32"/>
              <w:lang w:val="en-US" w:eastAsia="zh-CN" w:bidi="ar-SA"/>
            </w:rPr>
            <w:fldChar w:fldCharType="begin"/>
          </w:r>
          <w:r>
            <w:rPr>
              <w:rFonts w:hint="eastAsia" w:ascii="仿宋_GB2312" w:eastAsia="仿宋_GB2312" w:cs="仿宋_GB2312"/>
              <w:color w:val="auto"/>
              <w:kern w:val="2"/>
              <w:sz w:val="32"/>
              <w:szCs w:val="32"/>
              <w:lang w:val="en-US" w:eastAsia="zh-CN" w:bidi="ar-SA"/>
            </w:rPr>
            <w:instrText xml:space="preserve"> PAGEREF _Toc7270 \h </w:instrText>
          </w:r>
          <w:r>
            <w:rPr>
              <w:rFonts w:hint="eastAsia" w:ascii="仿宋_GB2312" w:eastAsia="仿宋_GB2312" w:cs="仿宋_GB2312"/>
              <w:color w:val="auto"/>
              <w:kern w:val="2"/>
              <w:sz w:val="32"/>
              <w:szCs w:val="32"/>
              <w:lang w:val="en-US" w:eastAsia="zh-CN" w:bidi="ar-SA"/>
            </w:rPr>
            <w:fldChar w:fldCharType="separate"/>
          </w:r>
          <w:r>
            <w:rPr>
              <w:rFonts w:hint="eastAsia" w:ascii="仿宋_GB2312" w:eastAsia="仿宋_GB2312" w:cs="仿宋_GB2312"/>
              <w:color w:val="auto"/>
              <w:kern w:val="2"/>
              <w:sz w:val="32"/>
              <w:szCs w:val="32"/>
              <w:lang w:val="en-US" w:eastAsia="zh-CN" w:bidi="ar-SA"/>
            </w:rPr>
            <w:t>11</w:t>
          </w:r>
          <w:r>
            <w:rPr>
              <w:rFonts w:hint="eastAsia" w:ascii="仿宋_GB2312" w:eastAsia="仿宋_GB2312" w:cs="仿宋_GB2312"/>
              <w:color w:val="auto"/>
              <w:kern w:val="2"/>
              <w:sz w:val="32"/>
              <w:szCs w:val="32"/>
              <w:lang w:val="en-US" w:eastAsia="zh-CN" w:bidi="ar-SA"/>
            </w:rPr>
            <w:fldChar w:fldCharType="end"/>
          </w:r>
          <w:r>
            <w:rPr>
              <w:rFonts w:hint="eastAsia" w:ascii="仿宋_GB2312" w:eastAsia="仿宋_GB2312" w:cs="仿宋_GB2312"/>
              <w:color w:val="auto"/>
              <w:kern w:val="2"/>
              <w:sz w:val="32"/>
              <w:szCs w:val="32"/>
              <w:lang w:val="en-US" w:eastAsia="zh-CN" w:bidi="ar-SA"/>
            </w:rPr>
            <w:fldChar w:fldCharType="end"/>
          </w:r>
        </w:p>
        <w:p>
          <w:pPr>
            <w:pStyle w:val="21"/>
            <w:tabs>
              <w:tab w:val="right" w:leader="dot" w:pos="8845"/>
            </w:tabs>
            <w:rPr>
              <w:rFonts w:hint="eastAsia" w:ascii="仿宋_GB2312" w:eastAsia="仿宋_GB2312" w:cs="仿宋_GB2312"/>
              <w:color w:val="auto"/>
              <w:kern w:val="2"/>
              <w:sz w:val="32"/>
              <w:szCs w:val="32"/>
              <w:lang w:val="en-US" w:eastAsia="zh-CN" w:bidi="ar-SA"/>
            </w:rPr>
          </w:pPr>
          <w:r>
            <w:fldChar w:fldCharType="begin"/>
          </w:r>
          <w:r>
            <w:instrText xml:space="preserve"> HYPERLINK \l "_Toc32485" </w:instrText>
          </w:r>
          <w:r>
            <w:fldChar w:fldCharType="separate"/>
          </w:r>
          <w:r>
            <w:rPr>
              <w:rFonts w:hint="eastAsia" w:ascii="仿宋_GB2312" w:eastAsia="仿宋_GB2312" w:cs="仿宋_GB2312"/>
              <w:color w:val="auto"/>
              <w:kern w:val="2"/>
              <w:sz w:val="32"/>
              <w:szCs w:val="32"/>
              <w:lang w:val="en-US" w:eastAsia="zh-CN" w:bidi="ar-SA"/>
            </w:rPr>
            <w:t>（一）一般公共预算当年拨款规模变化情况</w:t>
          </w:r>
          <w:r>
            <w:rPr>
              <w:rFonts w:hint="eastAsia" w:ascii="仿宋_GB2312" w:eastAsia="仿宋_GB2312" w:cs="仿宋_GB2312"/>
              <w:color w:val="auto"/>
              <w:kern w:val="2"/>
              <w:sz w:val="32"/>
              <w:szCs w:val="32"/>
              <w:lang w:val="en-US" w:eastAsia="zh-CN" w:bidi="ar-SA"/>
            </w:rPr>
            <w:tab/>
          </w:r>
          <w:r>
            <w:rPr>
              <w:rFonts w:hint="eastAsia" w:ascii="仿宋_GB2312" w:eastAsia="仿宋_GB2312" w:cs="仿宋_GB2312"/>
              <w:color w:val="auto"/>
              <w:kern w:val="2"/>
              <w:sz w:val="32"/>
              <w:szCs w:val="32"/>
              <w:lang w:val="en-US" w:eastAsia="zh-CN" w:bidi="ar-SA"/>
            </w:rPr>
            <w:fldChar w:fldCharType="begin"/>
          </w:r>
          <w:r>
            <w:rPr>
              <w:rFonts w:hint="eastAsia" w:ascii="仿宋_GB2312" w:eastAsia="仿宋_GB2312" w:cs="仿宋_GB2312"/>
              <w:color w:val="auto"/>
              <w:kern w:val="2"/>
              <w:sz w:val="32"/>
              <w:szCs w:val="32"/>
              <w:lang w:val="en-US" w:eastAsia="zh-CN" w:bidi="ar-SA"/>
            </w:rPr>
            <w:instrText xml:space="preserve"> PAGEREF _Toc32485 \h </w:instrText>
          </w:r>
          <w:r>
            <w:rPr>
              <w:rFonts w:hint="eastAsia" w:ascii="仿宋_GB2312" w:eastAsia="仿宋_GB2312" w:cs="仿宋_GB2312"/>
              <w:color w:val="auto"/>
              <w:kern w:val="2"/>
              <w:sz w:val="32"/>
              <w:szCs w:val="32"/>
              <w:lang w:val="en-US" w:eastAsia="zh-CN" w:bidi="ar-SA"/>
            </w:rPr>
            <w:fldChar w:fldCharType="separate"/>
          </w:r>
          <w:r>
            <w:rPr>
              <w:rFonts w:hint="eastAsia" w:ascii="仿宋_GB2312" w:eastAsia="仿宋_GB2312" w:cs="仿宋_GB2312"/>
              <w:color w:val="auto"/>
              <w:kern w:val="2"/>
              <w:sz w:val="32"/>
              <w:szCs w:val="32"/>
              <w:lang w:val="en-US" w:eastAsia="zh-CN" w:bidi="ar-SA"/>
            </w:rPr>
            <w:t>11</w:t>
          </w:r>
          <w:r>
            <w:rPr>
              <w:rFonts w:hint="eastAsia" w:ascii="仿宋_GB2312" w:eastAsia="仿宋_GB2312" w:cs="仿宋_GB2312"/>
              <w:color w:val="auto"/>
              <w:kern w:val="2"/>
              <w:sz w:val="32"/>
              <w:szCs w:val="32"/>
              <w:lang w:val="en-US" w:eastAsia="zh-CN" w:bidi="ar-SA"/>
            </w:rPr>
            <w:fldChar w:fldCharType="end"/>
          </w:r>
          <w:r>
            <w:rPr>
              <w:rFonts w:hint="eastAsia" w:ascii="仿宋_GB2312" w:eastAsia="仿宋_GB2312" w:cs="仿宋_GB2312"/>
              <w:color w:val="auto"/>
              <w:kern w:val="2"/>
              <w:sz w:val="32"/>
              <w:szCs w:val="32"/>
              <w:lang w:val="en-US" w:eastAsia="zh-CN" w:bidi="ar-SA"/>
            </w:rPr>
            <w:fldChar w:fldCharType="end"/>
          </w:r>
        </w:p>
        <w:p>
          <w:pPr>
            <w:pStyle w:val="21"/>
            <w:tabs>
              <w:tab w:val="right" w:leader="dot" w:pos="8845"/>
            </w:tabs>
            <w:rPr>
              <w:rFonts w:hint="eastAsia" w:ascii="仿宋_GB2312" w:eastAsia="仿宋_GB2312" w:cs="仿宋_GB2312"/>
              <w:color w:val="auto"/>
              <w:kern w:val="2"/>
              <w:sz w:val="32"/>
              <w:szCs w:val="32"/>
              <w:lang w:val="en-US" w:eastAsia="zh-CN" w:bidi="ar-SA"/>
            </w:rPr>
          </w:pPr>
          <w:r>
            <w:fldChar w:fldCharType="begin"/>
          </w:r>
          <w:r>
            <w:instrText xml:space="preserve"> HYPERLINK \l "_Toc30882" </w:instrText>
          </w:r>
          <w:r>
            <w:fldChar w:fldCharType="separate"/>
          </w:r>
          <w:r>
            <w:rPr>
              <w:rFonts w:hint="eastAsia" w:ascii="仿宋_GB2312" w:eastAsia="仿宋_GB2312" w:cs="仿宋_GB2312"/>
              <w:color w:val="auto"/>
              <w:kern w:val="2"/>
              <w:sz w:val="32"/>
              <w:szCs w:val="32"/>
              <w:lang w:val="en-US" w:eastAsia="zh-CN" w:bidi="ar-SA"/>
            </w:rPr>
            <w:t>（二）一般公共预算当年拨款结构情况</w:t>
          </w:r>
          <w:r>
            <w:rPr>
              <w:rFonts w:hint="eastAsia" w:ascii="仿宋_GB2312" w:eastAsia="仿宋_GB2312" w:cs="仿宋_GB2312"/>
              <w:color w:val="auto"/>
              <w:kern w:val="2"/>
              <w:sz w:val="32"/>
              <w:szCs w:val="32"/>
              <w:lang w:val="en-US" w:eastAsia="zh-CN" w:bidi="ar-SA"/>
            </w:rPr>
            <w:tab/>
          </w:r>
          <w:r>
            <w:rPr>
              <w:rFonts w:hint="eastAsia" w:ascii="仿宋_GB2312" w:eastAsia="仿宋_GB2312" w:cs="仿宋_GB2312"/>
              <w:color w:val="auto"/>
              <w:kern w:val="2"/>
              <w:sz w:val="32"/>
              <w:szCs w:val="32"/>
              <w:lang w:val="en-US" w:eastAsia="zh-CN" w:bidi="ar-SA"/>
            </w:rPr>
            <w:fldChar w:fldCharType="begin"/>
          </w:r>
          <w:r>
            <w:rPr>
              <w:rFonts w:hint="eastAsia" w:ascii="仿宋_GB2312" w:eastAsia="仿宋_GB2312" w:cs="仿宋_GB2312"/>
              <w:color w:val="auto"/>
              <w:kern w:val="2"/>
              <w:sz w:val="32"/>
              <w:szCs w:val="32"/>
              <w:lang w:val="en-US" w:eastAsia="zh-CN" w:bidi="ar-SA"/>
            </w:rPr>
            <w:instrText xml:space="preserve"> PAGEREF _Toc30882 \h </w:instrText>
          </w:r>
          <w:r>
            <w:rPr>
              <w:rFonts w:hint="eastAsia" w:ascii="仿宋_GB2312" w:eastAsia="仿宋_GB2312" w:cs="仿宋_GB2312"/>
              <w:color w:val="auto"/>
              <w:kern w:val="2"/>
              <w:sz w:val="32"/>
              <w:szCs w:val="32"/>
              <w:lang w:val="en-US" w:eastAsia="zh-CN" w:bidi="ar-SA"/>
            </w:rPr>
            <w:fldChar w:fldCharType="separate"/>
          </w:r>
          <w:r>
            <w:rPr>
              <w:rFonts w:hint="eastAsia" w:ascii="仿宋_GB2312" w:eastAsia="仿宋_GB2312" w:cs="仿宋_GB2312"/>
              <w:color w:val="auto"/>
              <w:kern w:val="2"/>
              <w:sz w:val="32"/>
              <w:szCs w:val="32"/>
              <w:lang w:val="en-US" w:eastAsia="zh-CN" w:bidi="ar-SA"/>
            </w:rPr>
            <w:t>11</w:t>
          </w:r>
          <w:r>
            <w:rPr>
              <w:rFonts w:hint="eastAsia" w:ascii="仿宋_GB2312" w:eastAsia="仿宋_GB2312" w:cs="仿宋_GB2312"/>
              <w:color w:val="auto"/>
              <w:kern w:val="2"/>
              <w:sz w:val="32"/>
              <w:szCs w:val="32"/>
              <w:lang w:val="en-US" w:eastAsia="zh-CN" w:bidi="ar-SA"/>
            </w:rPr>
            <w:fldChar w:fldCharType="end"/>
          </w:r>
          <w:r>
            <w:rPr>
              <w:rFonts w:hint="eastAsia" w:ascii="仿宋_GB2312" w:eastAsia="仿宋_GB2312" w:cs="仿宋_GB2312"/>
              <w:color w:val="auto"/>
              <w:kern w:val="2"/>
              <w:sz w:val="32"/>
              <w:szCs w:val="32"/>
              <w:lang w:val="en-US" w:eastAsia="zh-CN" w:bidi="ar-SA"/>
            </w:rPr>
            <w:fldChar w:fldCharType="end"/>
          </w:r>
        </w:p>
        <w:p>
          <w:pPr>
            <w:pStyle w:val="21"/>
            <w:tabs>
              <w:tab w:val="right" w:leader="dot" w:pos="8845"/>
            </w:tabs>
            <w:rPr>
              <w:rFonts w:hint="eastAsia" w:ascii="仿宋_GB2312" w:eastAsia="仿宋_GB2312" w:cs="仿宋_GB2312"/>
              <w:color w:val="auto"/>
              <w:kern w:val="2"/>
              <w:sz w:val="32"/>
              <w:szCs w:val="32"/>
              <w:lang w:val="en-US" w:eastAsia="zh-CN" w:bidi="ar-SA"/>
            </w:rPr>
          </w:pPr>
          <w:r>
            <w:fldChar w:fldCharType="begin"/>
          </w:r>
          <w:r>
            <w:instrText xml:space="preserve"> HYPERLINK \l "_Toc1973" </w:instrText>
          </w:r>
          <w:r>
            <w:fldChar w:fldCharType="separate"/>
          </w:r>
          <w:r>
            <w:rPr>
              <w:rFonts w:hint="eastAsia" w:ascii="仿宋_GB2312" w:eastAsia="仿宋_GB2312" w:cs="仿宋_GB2312"/>
              <w:color w:val="auto"/>
              <w:kern w:val="2"/>
              <w:sz w:val="32"/>
              <w:szCs w:val="32"/>
              <w:lang w:val="en-US" w:eastAsia="zh-CN" w:bidi="ar-SA"/>
            </w:rPr>
            <w:t>（三）一般公共预算当年拨款具体使用情况</w:t>
          </w:r>
          <w:r>
            <w:rPr>
              <w:rFonts w:hint="eastAsia" w:ascii="仿宋_GB2312" w:eastAsia="仿宋_GB2312" w:cs="仿宋_GB2312"/>
              <w:color w:val="auto"/>
              <w:kern w:val="2"/>
              <w:sz w:val="32"/>
              <w:szCs w:val="32"/>
              <w:lang w:val="en-US" w:eastAsia="zh-CN" w:bidi="ar-SA"/>
            </w:rPr>
            <w:tab/>
          </w:r>
          <w:r>
            <w:rPr>
              <w:rFonts w:hint="eastAsia" w:ascii="仿宋_GB2312" w:eastAsia="仿宋_GB2312" w:cs="仿宋_GB2312"/>
              <w:color w:val="auto"/>
              <w:kern w:val="2"/>
              <w:sz w:val="32"/>
              <w:szCs w:val="32"/>
              <w:lang w:val="en-US" w:eastAsia="zh-CN" w:bidi="ar-SA"/>
            </w:rPr>
            <w:fldChar w:fldCharType="begin"/>
          </w:r>
          <w:r>
            <w:rPr>
              <w:rFonts w:hint="eastAsia" w:ascii="仿宋_GB2312" w:eastAsia="仿宋_GB2312" w:cs="仿宋_GB2312"/>
              <w:color w:val="auto"/>
              <w:kern w:val="2"/>
              <w:sz w:val="32"/>
              <w:szCs w:val="32"/>
              <w:lang w:val="en-US" w:eastAsia="zh-CN" w:bidi="ar-SA"/>
            </w:rPr>
            <w:instrText xml:space="preserve"> PAGEREF _Toc1973 \h </w:instrText>
          </w:r>
          <w:r>
            <w:rPr>
              <w:rFonts w:hint="eastAsia" w:ascii="仿宋_GB2312" w:eastAsia="仿宋_GB2312" w:cs="仿宋_GB2312"/>
              <w:color w:val="auto"/>
              <w:kern w:val="2"/>
              <w:sz w:val="32"/>
              <w:szCs w:val="32"/>
              <w:lang w:val="en-US" w:eastAsia="zh-CN" w:bidi="ar-SA"/>
            </w:rPr>
            <w:fldChar w:fldCharType="separate"/>
          </w:r>
          <w:r>
            <w:rPr>
              <w:rFonts w:hint="eastAsia" w:ascii="仿宋_GB2312" w:eastAsia="仿宋_GB2312" w:cs="仿宋_GB2312"/>
              <w:color w:val="auto"/>
              <w:kern w:val="2"/>
              <w:sz w:val="32"/>
              <w:szCs w:val="32"/>
              <w:lang w:val="en-US" w:eastAsia="zh-CN" w:bidi="ar-SA"/>
            </w:rPr>
            <w:t>11</w:t>
          </w:r>
          <w:r>
            <w:rPr>
              <w:rFonts w:hint="eastAsia" w:ascii="仿宋_GB2312" w:eastAsia="仿宋_GB2312" w:cs="仿宋_GB2312"/>
              <w:color w:val="auto"/>
              <w:kern w:val="2"/>
              <w:sz w:val="32"/>
              <w:szCs w:val="32"/>
              <w:lang w:val="en-US" w:eastAsia="zh-CN" w:bidi="ar-SA"/>
            </w:rPr>
            <w:fldChar w:fldCharType="end"/>
          </w:r>
          <w:r>
            <w:rPr>
              <w:rFonts w:hint="eastAsia" w:ascii="仿宋_GB2312" w:eastAsia="仿宋_GB2312" w:cs="仿宋_GB2312"/>
              <w:color w:val="auto"/>
              <w:kern w:val="2"/>
              <w:sz w:val="32"/>
              <w:szCs w:val="32"/>
              <w:lang w:val="en-US" w:eastAsia="zh-CN" w:bidi="ar-SA"/>
            </w:rPr>
            <w:fldChar w:fldCharType="end"/>
          </w:r>
        </w:p>
        <w:p>
          <w:pPr>
            <w:pStyle w:val="20"/>
            <w:tabs>
              <w:tab w:val="right" w:leader="dot" w:pos="8845"/>
            </w:tabs>
            <w:rPr>
              <w:rFonts w:hint="eastAsia" w:ascii="仿宋_GB2312" w:eastAsia="仿宋_GB2312" w:cs="仿宋_GB2312"/>
              <w:color w:val="auto"/>
              <w:kern w:val="2"/>
              <w:sz w:val="32"/>
              <w:szCs w:val="32"/>
              <w:lang w:val="en-US" w:eastAsia="zh-CN" w:bidi="ar-SA"/>
            </w:rPr>
          </w:pPr>
          <w:r>
            <w:fldChar w:fldCharType="begin"/>
          </w:r>
          <w:r>
            <w:instrText xml:space="preserve"> HYPERLINK \l "_Toc1485" </w:instrText>
          </w:r>
          <w:r>
            <w:fldChar w:fldCharType="separate"/>
          </w:r>
          <w:r>
            <w:rPr>
              <w:rFonts w:hint="eastAsia" w:ascii="仿宋_GB2312" w:eastAsia="仿宋_GB2312" w:cs="仿宋_GB2312"/>
              <w:color w:val="auto"/>
              <w:kern w:val="2"/>
              <w:sz w:val="32"/>
              <w:szCs w:val="32"/>
              <w:lang w:val="en-US" w:eastAsia="zh-CN" w:bidi="ar-SA"/>
            </w:rPr>
            <w:t>六、一般公共预算基本支出情况说明</w:t>
          </w:r>
          <w:r>
            <w:rPr>
              <w:rFonts w:hint="eastAsia" w:ascii="仿宋_GB2312" w:eastAsia="仿宋_GB2312" w:cs="仿宋_GB2312"/>
              <w:color w:val="auto"/>
              <w:kern w:val="2"/>
              <w:sz w:val="32"/>
              <w:szCs w:val="32"/>
              <w:lang w:val="en-US" w:eastAsia="zh-CN" w:bidi="ar-SA"/>
            </w:rPr>
            <w:tab/>
          </w:r>
          <w:r>
            <w:rPr>
              <w:rFonts w:hint="eastAsia" w:ascii="仿宋_GB2312" w:eastAsia="仿宋_GB2312" w:cs="仿宋_GB2312"/>
              <w:color w:val="auto"/>
              <w:kern w:val="2"/>
              <w:sz w:val="32"/>
              <w:szCs w:val="32"/>
              <w:lang w:val="en-US" w:eastAsia="zh-CN" w:bidi="ar-SA"/>
            </w:rPr>
            <w:fldChar w:fldCharType="begin"/>
          </w:r>
          <w:r>
            <w:rPr>
              <w:rFonts w:hint="eastAsia" w:ascii="仿宋_GB2312" w:eastAsia="仿宋_GB2312" w:cs="仿宋_GB2312"/>
              <w:color w:val="auto"/>
              <w:kern w:val="2"/>
              <w:sz w:val="32"/>
              <w:szCs w:val="32"/>
              <w:lang w:val="en-US" w:eastAsia="zh-CN" w:bidi="ar-SA"/>
            </w:rPr>
            <w:instrText xml:space="preserve"> PAGEREF _Toc1485 \h </w:instrText>
          </w:r>
          <w:r>
            <w:rPr>
              <w:rFonts w:hint="eastAsia" w:ascii="仿宋_GB2312" w:eastAsia="仿宋_GB2312" w:cs="仿宋_GB2312"/>
              <w:color w:val="auto"/>
              <w:kern w:val="2"/>
              <w:sz w:val="32"/>
              <w:szCs w:val="32"/>
              <w:lang w:val="en-US" w:eastAsia="zh-CN" w:bidi="ar-SA"/>
            </w:rPr>
            <w:fldChar w:fldCharType="separate"/>
          </w:r>
          <w:r>
            <w:rPr>
              <w:rFonts w:hint="eastAsia" w:ascii="仿宋_GB2312" w:eastAsia="仿宋_GB2312" w:cs="仿宋_GB2312"/>
              <w:color w:val="auto"/>
              <w:kern w:val="2"/>
              <w:sz w:val="32"/>
              <w:szCs w:val="32"/>
              <w:lang w:val="en-US" w:eastAsia="zh-CN" w:bidi="ar-SA"/>
            </w:rPr>
            <w:t>11</w:t>
          </w:r>
          <w:r>
            <w:rPr>
              <w:rFonts w:hint="eastAsia" w:ascii="仿宋_GB2312" w:eastAsia="仿宋_GB2312" w:cs="仿宋_GB2312"/>
              <w:color w:val="auto"/>
              <w:kern w:val="2"/>
              <w:sz w:val="32"/>
              <w:szCs w:val="32"/>
              <w:lang w:val="en-US" w:eastAsia="zh-CN" w:bidi="ar-SA"/>
            </w:rPr>
            <w:fldChar w:fldCharType="end"/>
          </w:r>
          <w:r>
            <w:rPr>
              <w:rFonts w:hint="eastAsia" w:ascii="仿宋_GB2312" w:eastAsia="仿宋_GB2312" w:cs="仿宋_GB2312"/>
              <w:color w:val="auto"/>
              <w:kern w:val="2"/>
              <w:sz w:val="32"/>
              <w:szCs w:val="32"/>
              <w:lang w:val="en-US" w:eastAsia="zh-CN" w:bidi="ar-SA"/>
            </w:rPr>
            <w:fldChar w:fldCharType="end"/>
          </w:r>
        </w:p>
        <w:p>
          <w:pPr>
            <w:pStyle w:val="20"/>
            <w:tabs>
              <w:tab w:val="right" w:leader="dot" w:pos="8845"/>
            </w:tabs>
            <w:rPr>
              <w:rFonts w:hint="eastAsia" w:ascii="仿宋_GB2312" w:eastAsia="仿宋_GB2312" w:cs="仿宋_GB2312"/>
              <w:color w:val="auto"/>
              <w:kern w:val="2"/>
              <w:sz w:val="32"/>
              <w:szCs w:val="32"/>
              <w:lang w:val="en-US" w:eastAsia="zh-CN" w:bidi="ar-SA"/>
            </w:rPr>
          </w:pPr>
          <w:r>
            <w:fldChar w:fldCharType="begin"/>
          </w:r>
          <w:r>
            <w:instrText xml:space="preserve"> HYPERLINK \l "_Toc26881" </w:instrText>
          </w:r>
          <w:r>
            <w:fldChar w:fldCharType="separate"/>
          </w:r>
          <w:r>
            <w:rPr>
              <w:rFonts w:hint="eastAsia" w:ascii="仿宋_GB2312" w:eastAsia="仿宋_GB2312" w:cs="仿宋_GB2312"/>
              <w:color w:val="auto"/>
              <w:kern w:val="2"/>
              <w:sz w:val="32"/>
              <w:szCs w:val="32"/>
              <w:lang w:val="en-US" w:eastAsia="zh-CN" w:bidi="ar-SA"/>
            </w:rPr>
            <w:t>七、“三公”经费财政拨款预算安排情况说明</w:t>
          </w:r>
          <w:r>
            <w:rPr>
              <w:rFonts w:hint="eastAsia" w:ascii="仿宋_GB2312" w:eastAsia="仿宋_GB2312" w:cs="仿宋_GB2312"/>
              <w:color w:val="auto"/>
              <w:kern w:val="2"/>
              <w:sz w:val="32"/>
              <w:szCs w:val="32"/>
              <w:lang w:val="en-US" w:eastAsia="zh-CN" w:bidi="ar-SA"/>
            </w:rPr>
            <w:tab/>
          </w:r>
          <w:r>
            <w:rPr>
              <w:rFonts w:hint="eastAsia" w:ascii="仿宋_GB2312" w:eastAsia="仿宋_GB2312" w:cs="仿宋_GB2312"/>
              <w:color w:val="auto"/>
              <w:kern w:val="2"/>
              <w:sz w:val="32"/>
              <w:szCs w:val="32"/>
              <w:lang w:val="en-US" w:eastAsia="zh-CN" w:bidi="ar-SA"/>
            </w:rPr>
            <w:fldChar w:fldCharType="begin"/>
          </w:r>
          <w:r>
            <w:rPr>
              <w:rFonts w:hint="eastAsia" w:ascii="仿宋_GB2312" w:eastAsia="仿宋_GB2312" w:cs="仿宋_GB2312"/>
              <w:color w:val="auto"/>
              <w:kern w:val="2"/>
              <w:sz w:val="32"/>
              <w:szCs w:val="32"/>
              <w:lang w:val="en-US" w:eastAsia="zh-CN" w:bidi="ar-SA"/>
            </w:rPr>
            <w:instrText xml:space="preserve"> PAGEREF _Toc26881 \h </w:instrText>
          </w:r>
          <w:r>
            <w:rPr>
              <w:rFonts w:hint="eastAsia" w:ascii="仿宋_GB2312" w:eastAsia="仿宋_GB2312" w:cs="仿宋_GB2312"/>
              <w:color w:val="auto"/>
              <w:kern w:val="2"/>
              <w:sz w:val="32"/>
              <w:szCs w:val="32"/>
              <w:lang w:val="en-US" w:eastAsia="zh-CN" w:bidi="ar-SA"/>
            </w:rPr>
            <w:fldChar w:fldCharType="separate"/>
          </w:r>
          <w:r>
            <w:rPr>
              <w:rFonts w:hint="eastAsia" w:ascii="仿宋_GB2312" w:eastAsia="仿宋_GB2312" w:cs="仿宋_GB2312"/>
              <w:color w:val="auto"/>
              <w:kern w:val="2"/>
              <w:sz w:val="32"/>
              <w:szCs w:val="32"/>
              <w:lang w:val="en-US" w:eastAsia="zh-CN" w:bidi="ar-SA"/>
            </w:rPr>
            <w:t>14</w:t>
          </w:r>
          <w:r>
            <w:rPr>
              <w:rFonts w:hint="eastAsia" w:ascii="仿宋_GB2312" w:eastAsia="仿宋_GB2312" w:cs="仿宋_GB2312"/>
              <w:color w:val="auto"/>
              <w:kern w:val="2"/>
              <w:sz w:val="32"/>
              <w:szCs w:val="32"/>
              <w:lang w:val="en-US" w:eastAsia="zh-CN" w:bidi="ar-SA"/>
            </w:rPr>
            <w:fldChar w:fldCharType="end"/>
          </w:r>
          <w:r>
            <w:rPr>
              <w:rFonts w:hint="eastAsia" w:ascii="仿宋_GB2312" w:eastAsia="仿宋_GB2312" w:cs="仿宋_GB2312"/>
              <w:color w:val="auto"/>
              <w:kern w:val="2"/>
              <w:sz w:val="32"/>
              <w:szCs w:val="32"/>
              <w:lang w:val="en-US" w:eastAsia="zh-CN" w:bidi="ar-SA"/>
            </w:rPr>
            <w:fldChar w:fldCharType="end"/>
          </w:r>
        </w:p>
        <w:p>
          <w:pPr>
            <w:pStyle w:val="21"/>
            <w:tabs>
              <w:tab w:val="right" w:leader="dot" w:pos="8845"/>
            </w:tabs>
            <w:rPr>
              <w:rFonts w:hint="eastAsia" w:ascii="仿宋_GB2312" w:eastAsia="仿宋_GB2312" w:cs="仿宋_GB2312"/>
              <w:color w:val="auto"/>
              <w:kern w:val="2"/>
              <w:sz w:val="32"/>
              <w:szCs w:val="32"/>
              <w:lang w:val="en-US" w:eastAsia="zh-CN" w:bidi="ar-SA"/>
            </w:rPr>
          </w:pPr>
          <w:r>
            <w:fldChar w:fldCharType="begin"/>
          </w:r>
          <w:r>
            <w:instrText xml:space="preserve"> HYPERLINK \l "_Toc18589" </w:instrText>
          </w:r>
          <w:r>
            <w:fldChar w:fldCharType="separate"/>
          </w:r>
          <w:r>
            <w:rPr>
              <w:rFonts w:hint="eastAsia" w:ascii="仿宋_GB2312" w:eastAsia="仿宋_GB2312" w:cs="仿宋_GB2312"/>
              <w:color w:val="auto"/>
              <w:kern w:val="2"/>
              <w:sz w:val="32"/>
              <w:szCs w:val="32"/>
              <w:lang w:val="en-US" w:eastAsia="zh-CN" w:bidi="ar-SA"/>
            </w:rPr>
            <w:t>（一）公务接待费</w:t>
          </w:r>
          <w:r>
            <w:rPr>
              <w:rFonts w:hint="eastAsia" w:ascii="仿宋_GB2312" w:eastAsia="仿宋_GB2312" w:cs="仿宋_GB2312"/>
              <w:color w:val="auto"/>
              <w:kern w:val="2"/>
              <w:sz w:val="32"/>
              <w:szCs w:val="32"/>
              <w:lang w:val="en-US" w:eastAsia="zh-CN" w:bidi="ar-SA"/>
            </w:rPr>
            <w:tab/>
          </w:r>
          <w:r>
            <w:rPr>
              <w:rFonts w:hint="eastAsia" w:ascii="仿宋_GB2312" w:eastAsia="仿宋_GB2312" w:cs="仿宋_GB2312"/>
              <w:color w:val="auto"/>
              <w:kern w:val="2"/>
              <w:sz w:val="32"/>
              <w:szCs w:val="32"/>
              <w:lang w:val="en-US" w:eastAsia="zh-CN" w:bidi="ar-SA"/>
            </w:rPr>
            <w:fldChar w:fldCharType="begin"/>
          </w:r>
          <w:r>
            <w:rPr>
              <w:rFonts w:hint="eastAsia" w:ascii="仿宋_GB2312" w:eastAsia="仿宋_GB2312" w:cs="仿宋_GB2312"/>
              <w:color w:val="auto"/>
              <w:kern w:val="2"/>
              <w:sz w:val="32"/>
              <w:szCs w:val="32"/>
              <w:lang w:val="en-US" w:eastAsia="zh-CN" w:bidi="ar-SA"/>
            </w:rPr>
            <w:instrText xml:space="preserve"> PAGEREF _Toc18589 \h </w:instrText>
          </w:r>
          <w:r>
            <w:rPr>
              <w:rFonts w:hint="eastAsia" w:ascii="仿宋_GB2312" w:eastAsia="仿宋_GB2312" w:cs="仿宋_GB2312"/>
              <w:color w:val="auto"/>
              <w:kern w:val="2"/>
              <w:sz w:val="32"/>
              <w:szCs w:val="32"/>
              <w:lang w:val="en-US" w:eastAsia="zh-CN" w:bidi="ar-SA"/>
            </w:rPr>
            <w:fldChar w:fldCharType="separate"/>
          </w:r>
          <w:r>
            <w:rPr>
              <w:rFonts w:hint="eastAsia" w:ascii="仿宋_GB2312" w:eastAsia="仿宋_GB2312" w:cs="仿宋_GB2312"/>
              <w:color w:val="auto"/>
              <w:kern w:val="2"/>
              <w:sz w:val="32"/>
              <w:szCs w:val="32"/>
              <w:lang w:val="en-US" w:eastAsia="zh-CN" w:bidi="ar-SA"/>
            </w:rPr>
            <w:t>15</w:t>
          </w:r>
          <w:r>
            <w:rPr>
              <w:rFonts w:hint="eastAsia" w:ascii="仿宋_GB2312" w:eastAsia="仿宋_GB2312" w:cs="仿宋_GB2312"/>
              <w:color w:val="auto"/>
              <w:kern w:val="2"/>
              <w:sz w:val="32"/>
              <w:szCs w:val="32"/>
              <w:lang w:val="en-US" w:eastAsia="zh-CN" w:bidi="ar-SA"/>
            </w:rPr>
            <w:fldChar w:fldCharType="end"/>
          </w:r>
          <w:r>
            <w:rPr>
              <w:rFonts w:hint="eastAsia" w:ascii="仿宋_GB2312" w:eastAsia="仿宋_GB2312" w:cs="仿宋_GB2312"/>
              <w:color w:val="auto"/>
              <w:kern w:val="2"/>
              <w:sz w:val="32"/>
              <w:szCs w:val="32"/>
              <w:lang w:val="en-US" w:eastAsia="zh-CN" w:bidi="ar-SA"/>
            </w:rPr>
            <w:fldChar w:fldCharType="end"/>
          </w:r>
        </w:p>
        <w:p>
          <w:pPr>
            <w:pStyle w:val="21"/>
            <w:tabs>
              <w:tab w:val="right" w:leader="dot" w:pos="8845"/>
            </w:tabs>
            <w:rPr>
              <w:rFonts w:hint="eastAsia" w:ascii="仿宋_GB2312" w:eastAsia="仿宋_GB2312" w:cs="仿宋_GB2312"/>
              <w:color w:val="auto"/>
              <w:kern w:val="2"/>
              <w:sz w:val="32"/>
              <w:szCs w:val="32"/>
              <w:lang w:val="en-US" w:eastAsia="zh-CN" w:bidi="ar-SA"/>
            </w:rPr>
          </w:pPr>
          <w:r>
            <w:fldChar w:fldCharType="begin"/>
          </w:r>
          <w:r>
            <w:instrText xml:space="preserve"> HYPERLINK \l "_Toc26892" </w:instrText>
          </w:r>
          <w:r>
            <w:fldChar w:fldCharType="separate"/>
          </w:r>
          <w:r>
            <w:rPr>
              <w:rFonts w:hint="eastAsia" w:ascii="仿宋_GB2312" w:eastAsia="仿宋_GB2312" w:cs="仿宋_GB2312"/>
              <w:color w:val="auto"/>
              <w:kern w:val="2"/>
              <w:sz w:val="32"/>
              <w:szCs w:val="32"/>
              <w:lang w:val="en-US" w:eastAsia="zh-CN" w:bidi="ar-SA"/>
            </w:rPr>
            <w:t>（二） 公务用车购置及运行维护费</w:t>
          </w:r>
          <w:r>
            <w:rPr>
              <w:rFonts w:hint="eastAsia" w:ascii="仿宋_GB2312" w:eastAsia="仿宋_GB2312" w:cs="仿宋_GB2312"/>
              <w:color w:val="auto"/>
              <w:kern w:val="2"/>
              <w:sz w:val="32"/>
              <w:szCs w:val="32"/>
              <w:lang w:val="en-US" w:eastAsia="zh-CN" w:bidi="ar-SA"/>
            </w:rPr>
            <w:tab/>
          </w:r>
          <w:r>
            <w:rPr>
              <w:rFonts w:hint="eastAsia" w:ascii="仿宋_GB2312" w:eastAsia="仿宋_GB2312" w:cs="仿宋_GB2312"/>
              <w:color w:val="auto"/>
              <w:kern w:val="2"/>
              <w:sz w:val="32"/>
              <w:szCs w:val="32"/>
              <w:lang w:val="en-US" w:eastAsia="zh-CN" w:bidi="ar-SA"/>
            </w:rPr>
            <w:fldChar w:fldCharType="begin"/>
          </w:r>
          <w:r>
            <w:rPr>
              <w:rFonts w:hint="eastAsia" w:ascii="仿宋_GB2312" w:eastAsia="仿宋_GB2312" w:cs="仿宋_GB2312"/>
              <w:color w:val="auto"/>
              <w:kern w:val="2"/>
              <w:sz w:val="32"/>
              <w:szCs w:val="32"/>
              <w:lang w:val="en-US" w:eastAsia="zh-CN" w:bidi="ar-SA"/>
            </w:rPr>
            <w:instrText xml:space="preserve"> PAGEREF _Toc26892 \h </w:instrText>
          </w:r>
          <w:r>
            <w:rPr>
              <w:rFonts w:hint="eastAsia" w:ascii="仿宋_GB2312" w:eastAsia="仿宋_GB2312" w:cs="仿宋_GB2312"/>
              <w:color w:val="auto"/>
              <w:kern w:val="2"/>
              <w:sz w:val="32"/>
              <w:szCs w:val="32"/>
              <w:lang w:val="en-US" w:eastAsia="zh-CN" w:bidi="ar-SA"/>
            </w:rPr>
            <w:fldChar w:fldCharType="separate"/>
          </w:r>
          <w:r>
            <w:rPr>
              <w:rFonts w:hint="eastAsia" w:ascii="仿宋_GB2312" w:eastAsia="仿宋_GB2312" w:cs="仿宋_GB2312"/>
              <w:color w:val="auto"/>
              <w:kern w:val="2"/>
              <w:sz w:val="32"/>
              <w:szCs w:val="32"/>
              <w:lang w:val="en-US" w:eastAsia="zh-CN" w:bidi="ar-SA"/>
            </w:rPr>
            <w:t>15</w:t>
          </w:r>
          <w:r>
            <w:rPr>
              <w:rFonts w:hint="eastAsia" w:ascii="仿宋_GB2312" w:eastAsia="仿宋_GB2312" w:cs="仿宋_GB2312"/>
              <w:color w:val="auto"/>
              <w:kern w:val="2"/>
              <w:sz w:val="32"/>
              <w:szCs w:val="32"/>
              <w:lang w:val="en-US" w:eastAsia="zh-CN" w:bidi="ar-SA"/>
            </w:rPr>
            <w:fldChar w:fldCharType="end"/>
          </w:r>
          <w:r>
            <w:rPr>
              <w:rFonts w:hint="eastAsia" w:ascii="仿宋_GB2312" w:eastAsia="仿宋_GB2312" w:cs="仿宋_GB2312"/>
              <w:color w:val="auto"/>
              <w:kern w:val="2"/>
              <w:sz w:val="32"/>
              <w:szCs w:val="32"/>
              <w:lang w:val="en-US" w:eastAsia="zh-CN" w:bidi="ar-SA"/>
            </w:rPr>
            <w:fldChar w:fldCharType="end"/>
          </w:r>
        </w:p>
        <w:p>
          <w:pPr>
            <w:pStyle w:val="21"/>
            <w:tabs>
              <w:tab w:val="right" w:leader="dot" w:pos="8845"/>
            </w:tabs>
            <w:rPr>
              <w:rFonts w:hint="eastAsia" w:ascii="仿宋_GB2312" w:eastAsia="仿宋_GB2312" w:cs="仿宋_GB2312"/>
              <w:color w:val="auto"/>
              <w:kern w:val="2"/>
              <w:sz w:val="32"/>
              <w:szCs w:val="32"/>
              <w:lang w:val="en-US" w:eastAsia="zh-CN" w:bidi="ar-SA"/>
            </w:rPr>
          </w:pPr>
          <w:r>
            <w:fldChar w:fldCharType="begin"/>
          </w:r>
          <w:r>
            <w:instrText xml:space="preserve"> HYPERLINK \l "_Toc31019" </w:instrText>
          </w:r>
          <w:r>
            <w:fldChar w:fldCharType="separate"/>
          </w:r>
          <w:r>
            <w:rPr>
              <w:rFonts w:hint="eastAsia" w:ascii="仿宋_GB2312" w:eastAsia="仿宋_GB2312" w:cs="仿宋_GB2312"/>
              <w:color w:val="auto"/>
              <w:kern w:val="2"/>
              <w:sz w:val="32"/>
              <w:szCs w:val="32"/>
              <w:lang w:val="en-US" w:eastAsia="zh-CN" w:bidi="ar-SA"/>
            </w:rPr>
            <w:t>（三）因公出国（境）经费</w:t>
          </w:r>
          <w:r>
            <w:rPr>
              <w:rFonts w:hint="eastAsia" w:ascii="仿宋_GB2312" w:eastAsia="仿宋_GB2312" w:cs="仿宋_GB2312"/>
              <w:color w:val="auto"/>
              <w:kern w:val="2"/>
              <w:sz w:val="32"/>
              <w:szCs w:val="32"/>
              <w:lang w:val="en-US" w:eastAsia="zh-CN" w:bidi="ar-SA"/>
            </w:rPr>
            <w:tab/>
          </w:r>
          <w:r>
            <w:rPr>
              <w:rFonts w:hint="eastAsia" w:ascii="仿宋_GB2312" w:eastAsia="仿宋_GB2312" w:cs="仿宋_GB2312"/>
              <w:color w:val="auto"/>
              <w:kern w:val="2"/>
              <w:sz w:val="32"/>
              <w:szCs w:val="32"/>
              <w:lang w:val="en-US" w:eastAsia="zh-CN" w:bidi="ar-SA"/>
            </w:rPr>
            <w:fldChar w:fldCharType="begin"/>
          </w:r>
          <w:r>
            <w:rPr>
              <w:rFonts w:hint="eastAsia" w:ascii="仿宋_GB2312" w:eastAsia="仿宋_GB2312" w:cs="仿宋_GB2312"/>
              <w:color w:val="auto"/>
              <w:kern w:val="2"/>
              <w:sz w:val="32"/>
              <w:szCs w:val="32"/>
              <w:lang w:val="en-US" w:eastAsia="zh-CN" w:bidi="ar-SA"/>
            </w:rPr>
            <w:instrText xml:space="preserve"> PAGEREF _Toc31019 \h </w:instrText>
          </w:r>
          <w:r>
            <w:rPr>
              <w:rFonts w:hint="eastAsia" w:ascii="仿宋_GB2312" w:eastAsia="仿宋_GB2312" w:cs="仿宋_GB2312"/>
              <w:color w:val="auto"/>
              <w:kern w:val="2"/>
              <w:sz w:val="32"/>
              <w:szCs w:val="32"/>
              <w:lang w:val="en-US" w:eastAsia="zh-CN" w:bidi="ar-SA"/>
            </w:rPr>
            <w:fldChar w:fldCharType="separate"/>
          </w:r>
          <w:r>
            <w:rPr>
              <w:rFonts w:hint="eastAsia" w:ascii="仿宋_GB2312" w:eastAsia="仿宋_GB2312" w:cs="仿宋_GB2312"/>
              <w:color w:val="auto"/>
              <w:kern w:val="2"/>
              <w:sz w:val="32"/>
              <w:szCs w:val="32"/>
              <w:lang w:val="en-US" w:eastAsia="zh-CN" w:bidi="ar-SA"/>
            </w:rPr>
            <w:t>15</w:t>
          </w:r>
          <w:r>
            <w:rPr>
              <w:rFonts w:hint="eastAsia" w:ascii="仿宋_GB2312" w:eastAsia="仿宋_GB2312" w:cs="仿宋_GB2312"/>
              <w:color w:val="auto"/>
              <w:kern w:val="2"/>
              <w:sz w:val="32"/>
              <w:szCs w:val="32"/>
              <w:lang w:val="en-US" w:eastAsia="zh-CN" w:bidi="ar-SA"/>
            </w:rPr>
            <w:fldChar w:fldCharType="end"/>
          </w:r>
          <w:r>
            <w:rPr>
              <w:rFonts w:hint="eastAsia" w:ascii="仿宋_GB2312" w:eastAsia="仿宋_GB2312" w:cs="仿宋_GB2312"/>
              <w:color w:val="auto"/>
              <w:kern w:val="2"/>
              <w:sz w:val="32"/>
              <w:szCs w:val="32"/>
              <w:lang w:val="en-US" w:eastAsia="zh-CN" w:bidi="ar-SA"/>
            </w:rPr>
            <w:fldChar w:fldCharType="end"/>
          </w:r>
        </w:p>
        <w:p>
          <w:pPr>
            <w:pStyle w:val="20"/>
            <w:tabs>
              <w:tab w:val="right" w:leader="dot" w:pos="8845"/>
            </w:tabs>
            <w:rPr>
              <w:rFonts w:hint="eastAsia" w:ascii="仿宋_GB2312" w:eastAsia="仿宋_GB2312" w:cs="仿宋_GB2312"/>
              <w:color w:val="auto"/>
              <w:kern w:val="2"/>
              <w:sz w:val="32"/>
              <w:szCs w:val="32"/>
              <w:lang w:val="en-US" w:eastAsia="zh-CN" w:bidi="ar-SA"/>
            </w:rPr>
          </w:pPr>
          <w:r>
            <w:fldChar w:fldCharType="begin"/>
          </w:r>
          <w:r>
            <w:instrText xml:space="preserve"> HYPERLINK \l "_Toc9984" </w:instrText>
          </w:r>
          <w:r>
            <w:fldChar w:fldCharType="separate"/>
          </w:r>
          <w:r>
            <w:rPr>
              <w:rFonts w:hint="eastAsia" w:ascii="仿宋_GB2312" w:eastAsia="仿宋_GB2312" w:cs="仿宋_GB2312"/>
              <w:color w:val="auto"/>
              <w:kern w:val="2"/>
              <w:sz w:val="32"/>
              <w:szCs w:val="32"/>
              <w:lang w:val="en-US" w:eastAsia="zh-CN" w:bidi="ar-SA"/>
            </w:rPr>
            <w:t>八、政府性基金预算支出情况说明</w:t>
          </w:r>
          <w:r>
            <w:rPr>
              <w:rFonts w:hint="eastAsia" w:ascii="仿宋_GB2312" w:eastAsia="仿宋_GB2312" w:cs="仿宋_GB2312"/>
              <w:color w:val="auto"/>
              <w:kern w:val="2"/>
              <w:sz w:val="32"/>
              <w:szCs w:val="32"/>
              <w:lang w:val="en-US" w:eastAsia="zh-CN" w:bidi="ar-SA"/>
            </w:rPr>
            <w:tab/>
          </w:r>
          <w:r>
            <w:rPr>
              <w:rFonts w:hint="eastAsia" w:ascii="仿宋_GB2312" w:eastAsia="仿宋_GB2312" w:cs="仿宋_GB2312"/>
              <w:color w:val="auto"/>
              <w:kern w:val="2"/>
              <w:sz w:val="32"/>
              <w:szCs w:val="32"/>
              <w:lang w:val="en-US" w:eastAsia="zh-CN" w:bidi="ar-SA"/>
            </w:rPr>
            <w:fldChar w:fldCharType="begin"/>
          </w:r>
          <w:r>
            <w:rPr>
              <w:rFonts w:hint="eastAsia" w:ascii="仿宋_GB2312" w:eastAsia="仿宋_GB2312" w:cs="仿宋_GB2312"/>
              <w:color w:val="auto"/>
              <w:kern w:val="2"/>
              <w:sz w:val="32"/>
              <w:szCs w:val="32"/>
              <w:lang w:val="en-US" w:eastAsia="zh-CN" w:bidi="ar-SA"/>
            </w:rPr>
            <w:instrText xml:space="preserve"> PAGEREF _Toc9984 \h </w:instrText>
          </w:r>
          <w:r>
            <w:rPr>
              <w:rFonts w:hint="eastAsia" w:ascii="仿宋_GB2312" w:eastAsia="仿宋_GB2312" w:cs="仿宋_GB2312"/>
              <w:color w:val="auto"/>
              <w:kern w:val="2"/>
              <w:sz w:val="32"/>
              <w:szCs w:val="32"/>
              <w:lang w:val="en-US" w:eastAsia="zh-CN" w:bidi="ar-SA"/>
            </w:rPr>
            <w:fldChar w:fldCharType="separate"/>
          </w:r>
          <w:r>
            <w:rPr>
              <w:rFonts w:hint="eastAsia" w:ascii="仿宋_GB2312" w:eastAsia="仿宋_GB2312" w:cs="仿宋_GB2312"/>
              <w:color w:val="auto"/>
              <w:kern w:val="2"/>
              <w:sz w:val="32"/>
              <w:szCs w:val="32"/>
              <w:lang w:val="en-US" w:eastAsia="zh-CN" w:bidi="ar-SA"/>
            </w:rPr>
            <w:t>15</w:t>
          </w:r>
          <w:r>
            <w:rPr>
              <w:rFonts w:hint="eastAsia" w:ascii="仿宋_GB2312" w:eastAsia="仿宋_GB2312" w:cs="仿宋_GB2312"/>
              <w:color w:val="auto"/>
              <w:kern w:val="2"/>
              <w:sz w:val="32"/>
              <w:szCs w:val="32"/>
              <w:lang w:val="en-US" w:eastAsia="zh-CN" w:bidi="ar-SA"/>
            </w:rPr>
            <w:fldChar w:fldCharType="end"/>
          </w:r>
          <w:r>
            <w:rPr>
              <w:rFonts w:hint="eastAsia" w:ascii="仿宋_GB2312" w:eastAsia="仿宋_GB2312" w:cs="仿宋_GB2312"/>
              <w:color w:val="auto"/>
              <w:kern w:val="2"/>
              <w:sz w:val="32"/>
              <w:szCs w:val="32"/>
              <w:lang w:val="en-US" w:eastAsia="zh-CN" w:bidi="ar-SA"/>
            </w:rPr>
            <w:fldChar w:fldCharType="end"/>
          </w:r>
        </w:p>
        <w:p>
          <w:pPr>
            <w:pStyle w:val="20"/>
            <w:tabs>
              <w:tab w:val="right" w:leader="dot" w:pos="8845"/>
            </w:tabs>
            <w:rPr>
              <w:rFonts w:hint="eastAsia" w:ascii="仿宋_GB2312" w:eastAsia="仿宋_GB2312" w:cs="仿宋_GB2312"/>
              <w:color w:val="auto"/>
              <w:kern w:val="2"/>
              <w:sz w:val="32"/>
              <w:szCs w:val="32"/>
              <w:lang w:val="en-US" w:eastAsia="zh-CN" w:bidi="ar-SA"/>
            </w:rPr>
          </w:pPr>
          <w:r>
            <w:fldChar w:fldCharType="begin"/>
          </w:r>
          <w:r>
            <w:instrText xml:space="preserve"> HYPERLINK \l "_Toc11162" </w:instrText>
          </w:r>
          <w:r>
            <w:fldChar w:fldCharType="separate"/>
          </w:r>
          <w:r>
            <w:rPr>
              <w:rFonts w:hint="eastAsia" w:ascii="仿宋_GB2312" w:eastAsia="仿宋_GB2312" w:cs="仿宋_GB2312"/>
              <w:color w:val="auto"/>
              <w:kern w:val="2"/>
              <w:sz w:val="32"/>
              <w:szCs w:val="32"/>
              <w:lang w:val="en-US" w:eastAsia="zh-CN" w:bidi="ar-SA"/>
            </w:rPr>
            <w:t>九、国有资本经营预算支出情况说明</w:t>
          </w:r>
          <w:r>
            <w:rPr>
              <w:rFonts w:hint="eastAsia" w:ascii="仿宋_GB2312" w:eastAsia="仿宋_GB2312" w:cs="仿宋_GB2312"/>
              <w:color w:val="auto"/>
              <w:kern w:val="2"/>
              <w:sz w:val="32"/>
              <w:szCs w:val="32"/>
              <w:lang w:val="en-US" w:eastAsia="zh-CN" w:bidi="ar-SA"/>
            </w:rPr>
            <w:tab/>
          </w:r>
          <w:r>
            <w:rPr>
              <w:rFonts w:hint="eastAsia" w:ascii="仿宋_GB2312" w:eastAsia="仿宋_GB2312" w:cs="仿宋_GB2312"/>
              <w:color w:val="auto"/>
              <w:kern w:val="2"/>
              <w:sz w:val="32"/>
              <w:szCs w:val="32"/>
              <w:lang w:val="en-US" w:eastAsia="zh-CN" w:bidi="ar-SA"/>
            </w:rPr>
            <w:fldChar w:fldCharType="begin"/>
          </w:r>
          <w:r>
            <w:rPr>
              <w:rFonts w:hint="eastAsia" w:ascii="仿宋_GB2312" w:eastAsia="仿宋_GB2312" w:cs="仿宋_GB2312"/>
              <w:color w:val="auto"/>
              <w:kern w:val="2"/>
              <w:sz w:val="32"/>
              <w:szCs w:val="32"/>
              <w:lang w:val="en-US" w:eastAsia="zh-CN" w:bidi="ar-SA"/>
            </w:rPr>
            <w:instrText xml:space="preserve"> PAGEREF _Toc11162 \h </w:instrText>
          </w:r>
          <w:r>
            <w:rPr>
              <w:rFonts w:hint="eastAsia" w:ascii="仿宋_GB2312" w:eastAsia="仿宋_GB2312" w:cs="仿宋_GB2312"/>
              <w:color w:val="auto"/>
              <w:kern w:val="2"/>
              <w:sz w:val="32"/>
              <w:szCs w:val="32"/>
              <w:lang w:val="en-US" w:eastAsia="zh-CN" w:bidi="ar-SA"/>
            </w:rPr>
            <w:fldChar w:fldCharType="separate"/>
          </w:r>
          <w:r>
            <w:rPr>
              <w:rFonts w:hint="eastAsia" w:ascii="仿宋_GB2312" w:eastAsia="仿宋_GB2312" w:cs="仿宋_GB2312"/>
              <w:color w:val="auto"/>
              <w:kern w:val="2"/>
              <w:sz w:val="32"/>
              <w:szCs w:val="32"/>
              <w:lang w:val="en-US" w:eastAsia="zh-CN" w:bidi="ar-SA"/>
            </w:rPr>
            <w:t>15</w:t>
          </w:r>
          <w:r>
            <w:rPr>
              <w:rFonts w:hint="eastAsia" w:ascii="仿宋_GB2312" w:eastAsia="仿宋_GB2312" w:cs="仿宋_GB2312"/>
              <w:color w:val="auto"/>
              <w:kern w:val="2"/>
              <w:sz w:val="32"/>
              <w:szCs w:val="32"/>
              <w:lang w:val="en-US" w:eastAsia="zh-CN" w:bidi="ar-SA"/>
            </w:rPr>
            <w:fldChar w:fldCharType="end"/>
          </w:r>
          <w:r>
            <w:rPr>
              <w:rFonts w:hint="eastAsia" w:ascii="仿宋_GB2312" w:eastAsia="仿宋_GB2312" w:cs="仿宋_GB2312"/>
              <w:color w:val="auto"/>
              <w:kern w:val="2"/>
              <w:sz w:val="32"/>
              <w:szCs w:val="32"/>
              <w:lang w:val="en-US" w:eastAsia="zh-CN" w:bidi="ar-SA"/>
            </w:rPr>
            <w:fldChar w:fldCharType="end"/>
          </w:r>
        </w:p>
        <w:p>
          <w:pPr>
            <w:pStyle w:val="20"/>
            <w:tabs>
              <w:tab w:val="right" w:leader="dot" w:pos="8845"/>
            </w:tabs>
            <w:rPr>
              <w:rFonts w:hint="eastAsia" w:ascii="仿宋_GB2312" w:eastAsia="仿宋_GB2312" w:cs="仿宋_GB2312"/>
              <w:color w:val="auto"/>
              <w:kern w:val="2"/>
              <w:sz w:val="32"/>
              <w:szCs w:val="32"/>
              <w:lang w:val="en-US" w:eastAsia="zh-CN" w:bidi="ar-SA"/>
            </w:rPr>
          </w:pPr>
          <w:r>
            <w:fldChar w:fldCharType="begin"/>
          </w:r>
          <w:r>
            <w:instrText xml:space="preserve"> HYPERLINK \l "_Toc14705" </w:instrText>
          </w:r>
          <w:r>
            <w:fldChar w:fldCharType="separate"/>
          </w:r>
          <w:r>
            <w:rPr>
              <w:rFonts w:hint="eastAsia" w:ascii="仿宋_GB2312" w:eastAsia="仿宋_GB2312" w:cs="仿宋_GB2312"/>
              <w:color w:val="auto"/>
              <w:kern w:val="2"/>
              <w:sz w:val="32"/>
              <w:szCs w:val="32"/>
              <w:lang w:val="en-US" w:eastAsia="zh-CN" w:bidi="ar-SA"/>
            </w:rPr>
            <w:t>十、其他重要事项的情况说明</w:t>
          </w:r>
          <w:r>
            <w:rPr>
              <w:rFonts w:hint="eastAsia" w:ascii="仿宋_GB2312" w:eastAsia="仿宋_GB2312" w:cs="仿宋_GB2312"/>
              <w:color w:val="auto"/>
              <w:kern w:val="2"/>
              <w:sz w:val="32"/>
              <w:szCs w:val="32"/>
              <w:lang w:val="en-US" w:eastAsia="zh-CN" w:bidi="ar-SA"/>
            </w:rPr>
            <w:tab/>
          </w:r>
          <w:r>
            <w:rPr>
              <w:rFonts w:hint="eastAsia" w:ascii="仿宋_GB2312" w:eastAsia="仿宋_GB2312" w:cs="仿宋_GB2312"/>
              <w:color w:val="auto"/>
              <w:kern w:val="2"/>
              <w:sz w:val="32"/>
              <w:szCs w:val="32"/>
              <w:lang w:val="en-US" w:eastAsia="zh-CN" w:bidi="ar-SA"/>
            </w:rPr>
            <w:fldChar w:fldCharType="begin"/>
          </w:r>
          <w:r>
            <w:rPr>
              <w:rFonts w:hint="eastAsia" w:ascii="仿宋_GB2312" w:eastAsia="仿宋_GB2312" w:cs="仿宋_GB2312"/>
              <w:color w:val="auto"/>
              <w:kern w:val="2"/>
              <w:sz w:val="32"/>
              <w:szCs w:val="32"/>
              <w:lang w:val="en-US" w:eastAsia="zh-CN" w:bidi="ar-SA"/>
            </w:rPr>
            <w:instrText xml:space="preserve"> PAGEREF _Toc14705 \h </w:instrText>
          </w:r>
          <w:r>
            <w:rPr>
              <w:rFonts w:hint="eastAsia" w:ascii="仿宋_GB2312" w:eastAsia="仿宋_GB2312" w:cs="仿宋_GB2312"/>
              <w:color w:val="auto"/>
              <w:kern w:val="2"/>
              <w:sz w:val="32"/>
              <w:szCs w:val="32"/>
              <w:lang w:val="en-US" w:eastAsia="zh-CN" w:bidi="ar-SA"/>
            </w:rPr>
            <w:fldChar w:fldCharType="separate"/>
          </w:r>
          <w:r>
            <w:rPr>
              <w:rFonts w:hint="eastAsia" w:ascii="仿宋_GB2312" w:eastAsia="仿宋_GB2312" w:cs="仿宋_GB2312"/>
              <w:color w:val="auto"/>
              <w:kern w:val="2"/>
              <w:sz w:val="32"/>
              <w:szCs w:val="32"/>
              <w:lang w:val="en-US" w:eastAsia="zh-CN" w:bidi="ar-SA"/>
            </w:rPr>
            <w:t>15</w:t>
          </w:r>
          <w:r>
            <w:rPr>
              <w:rFonts w:hint="eastAsia" w:ascii="仿宋_GB2312" w:eastAsia="仿宋_GB2312" w:cs="仿宋_GB2312"/>
              <w:color w:val="auto"/>
              <w:kern w:val="2"/>
              <w:sz w:val="32"/>
              <w:szCs w:val="32"/>
              <w:lang w:val="en-US" w:eastAsia="zh-CN" w:bidi="ar-SA"/>
            </w:rPr>
            <w:fldChar w:fldCharType="end"/>
          </w:r>
          <w:r>
            <w:rPr>
              <w:rFonts w:hint="eastAsia" w:ascii="仿宋_GB2312" w:eastAsia="仿宋_GB2312" w:cs="仿宋_GB2312"/>
              <w:color w:val="auto"/>
              <w:kern w:val="2"/>
              <w:sz w:val="32"/>
              <w:szCs w:val="32"/>
              <w:lang w:val="en-US" w:eastAsia="zh-CN" w:bidi="ar-SA"/>
            </w:rPr>
            <w:fldChar w:fldCharType="end"/>
          </w:r>
        </w:p>
        <w:p>
          <w:pPr>
            <w:pStyle w:val="21"/>
            <w:tabs>
              <w:tab w:val="right" w:leader="dot" w:pos="8845"/>
            </w:tabs>
            <w:rPr>
              <w:rFonts w:hint="eastAsia" w:ascii="仿宋_GB2312" w:eastAsia="仿宋_GB2312" w:cs="仿宋_GB2312"/>
              <w:color w:val="auto"/>
              <w:kern w:val="2"/>
              <w:sz w:val="32"/>
              <w:szCs w:val="32"/>
              <w:lang w:val="en-US" w:eastAsia="zh-CN" w:bidi="ar-SA"/>
            </w:rPr>
          </w:pPr>
          <w:r>
            <w:fldChar w:fldCharType="begin"/>
          </w:r>
          <w:r>
            <w:instrText xml:space="preserve"> HYPERLINK \l "_Toc11050" </w:instrText>
          </w:r>
          <w:r>
            <w:fldChar w:fldCharType="separate"/>
          </w:r>
          <w:r>
            <w:rPr>
              <w:rFonts w:hint="eastAsia" w:ascii="仿宋_GB2312" w:eastAsia="仿宋_GB2312" w:cs="仿宋_GB2312"/>
              <w:color w:val="auto"/>
              <w:kern w:val="2"/>
              <w:sz w:val="32"/>
              <w:szCs w:val="32"/>
              <w:lang w:val="en-US" w:eastAsia="zh-CN" w:bidi="ar-SA"/>
            </w:rPr>
            <w:t>（一）机关运行经费</w:t>
          </w:r>
          <w:r>
            <w:rPr>
              <w:rFonts w:hint="eastAsia" w:ascii="仿宋_GB2312" w:eastAsia="仿宋_GB2312" w:cs="仿宋_GB2312"/>
              <w:color w:val="auto"/>
              <w:kern w:val="2"/>
              <w:sz w:val="32"/>
              <w:szCs w:val="32"/>
              <w:lang w:val="en-US" w:eastAsia="zh-CN" w:bidi="ar-SA"/>
            </w:rPr>
            <w:tab/>
          </w:r>
          <w:r>
            <w:rPr>
              <w:rFonts w:hint="eastAsia" w:ascii="仿宋_GB2312" w:eastAsia="仿宋_GB2312" w:cs="仿宋_GB2312"/>
              <w:color w:val="auto"/>
              <w:kern w:val="2"/>
              <w:sz w:val="32"/>
              <w:szCs w:val="32"/>
              <w:lang w:val="en-US" w:eastAsia="zh-CN" w:bidi="ar-SA"/>
            </w:rPr>
            <w:fldChar w:fldCharType="begin"/>
          </w:r>
          <w:r>
            <w:rPr>
              <w:rFonts w:hint="eastAsia" w:ascii="仿宋_GB2312" w:eastAsia="仿宋_GB2312" w:cs="仿宋_GB2312"/>
              <w:color w:val="auto"/>
              <w:kern w:val="2"/>
              <w:sz w:val="32"/>
              <w:szCs w:val="32"/>
              <w:lang w:val="en-US" w:eastAsia="zh-CN" w:bidi="ar-SA"/>
            </w:rPr>
            <w:instrText xml:space="preserve"> PAGEREF _Toc11050 \h </w:instrText>
          </w:r>
          <w:r>
            <w:rPr>
              <w:rFonts w:hint="eastAsia" w:ascii="仿宋_GB2312" w:eastAsia="仿宋_GB2312" w:cs="仿宋_GB2312"/>
              <w:color w:val="auto"/>
              <w:kern w:val="2"/>
              <w:sz w:val="32"/>
              <w:szCs w:val="32"/>
              <w:lang w:val="en-US" w:eastAsia="zh-CN" w:bidi="ar-SA"/>
            </w:rPr>
            <w:fldChar w:fldCharType="separate"/>
          </w:r>
          <w:r>
            <w:rPr>
              <w:rFonts w:hint="eastAsia" w:ascii="仿宋_GB2312" w:eastAsia="仿宋_GB2312" w:cs="仿宋_GB2312"/>
              <w:color w:val="auto"/>
              <w:kern w:val="2"/>
              <w:sz w:val="32"/>
              <w:szCs w:val="32"/>
              <w:lang w:val="en-US" w:eastAsia="zh-CN" w:bidi="ar-SA"/>
            </w:rPr>
            <w:t>15</w:t>
          </w:r>
          <w:r>
            <w:rPr>
              <w:rFonts w:hint="eastAsia" w:ascii="仿宋_GB2312" w:eastAsia="仿宋_GB2312" w:cs="仿宋_GB2312"/>
              <w:color w:val="auto"/>
              <w:kern w:val="2"/>
              <w:sz w:val="32"/>
              <w:szCs w:val="32"/>
              <w:lang w:val="en-US" w:eastAsia="zh-CN" w:bidi="ar-SA"/>
            </w:rPr>
            <w:fldChar w:fldCharType="end"/>
          </w:r>
          <w:r>
            <w:rPr>
              <w:rFonts w:hint="eastAsia" w:ascii="仿宋_GB2312" w:eastAsia="仿宋_GB2312" w:cs="仿宋_GB2312"/>
              <w:color w:val="auto"/>
              <w:kern w:val="2"/>
              <w:sz w:val="32"/>
              <w:szCs w:val="32"/>
              <w:lang w:val="en-US" w:eastAsia="zh-CN" w:bidi="ar-SA"/>
            </w:rPr>
            <w:fldChar w:fldCharType="end"/>
          </w:r>
        </w:p>
        <w:p>
          <w:pPr>
            <w:pStyle w:val="21"/>
            <w:tabs>
              <w:tab w:val="right" w:leader="dot" w:pos="8845"/>
            </w:tabs>
            <w:rPr>
              <w:rFonts w:hint="eastAsia" w:ascii="仿宋_GB2312" w:eastAsia="仿宋_GB2312" w:cs="仿宋_GB2312"/>
              <w:color w:val="auto"/>
              <w:kern w:val="2"/>
              <w:sz w:val="32"/>
              <w:szCs w:val="32"/>
              <w:lang w:val="en-US" w:eastAsia="zh-CN" w:bidi="ar-SA"/>
            </w:rPr>
          </w:pPr>
          <w:r>
            <w:fldChar w:fldCharType="begin"/>
          </w:r>
          <w:r>
            <w:instrText xml:space="preserve"> HYPERLINK \l "_Toc31155" </w:instrText>
          </w:r>
          <w:r>
            <w:fldChar w:fldCharType="separate"/>
          </w:r>
          <w:r>
            <w:rPr>
              <w:rFonts w:hint="eastAsia" w:ascii="仿宋_GB2312" w:eastAsia="仿宋_GB2312" w:cs="仿宋_GB2312"/>
              <w:color w:val="auto"/>
              <w:kern w:val="2"/>
              <w:sz w:val="32"/>
              <w:szCs w:val="32"/>
              <w:lang w:val="en-US" w:eastAsia="zh-CN" w:bidi="ar-SA"/>
            </w:rPr>
            <w:t>（二）政府采购情况</w:t>
          </w:r>
          <w:r>
            <w:rPr>
              <w:rFonts w:hint="eastAsia" w:ascii="仿宋_GB2312" w:eastAsia="仿宋_GB2312" w:cs="仿宋_GB2312"/>
              <w:color w:val="auto"/>
              <w:kern w:val="2"/>
              <w:sz w:val="32"/>
              <w:szCs w:val="32"/>
              <w:lang w:val="en-US" w:eastAsia="zh-CN" w:bidi="ar-SA"/>
            </w:rPr>
            <w:tab/>
          </w:r>
          <w:r>
            <w:rPr>
              <w:rFonts w:hint="eastAsia" w:ascii="仿宋_GB2312" w:eastAsia="仿宋_GB2312" w:cs="仿宋_GB2312"/>
              <w:color w:val="auto"/>
              <w:kern w:val="2"/>
              <w:sz w:val="32"/>
              <w:szCs w:val="32"/>
              <w:lang w:val="en-US" w:eastAsia="zh-CN" w:bidi="ar-SA"/>
            </w:rPr>
            <w:fldChar w:fldCharType="begin"/>
          </w:r>
          <w:r>
            <w:rPr>
              <w:rFonts w:hint="eastAsia" w:ascii="仿宋_GB2312" w:eastAsia="仿宋_GB2312" w:cs="仿宋_GB2312"/>
              <w:color w:val="auto"/>
              <w:kern w:val="2"/>
              <w:sz w:val="32"/>
              <w:szCs w:val="32"/>
              <w:lang w:val="en-US" w:eastAsia="zh-CN" w:bidi="ar-SA"/>
            </w:rPr>
            <w:instrText xml:space="preserve"> PAGEREF _Toc31155 \h </w:instrText>
          </w:r>
          <w:r>
            <w:rPr>
              <w:rFonts w:hint="eastAsia" w:ascii="仿宋_GB2312" w:eastAsia="仿宋_GB2312" w:cs="仿宋_GB2312"/>
              <w:color w:val="auto"/>
              <w:kern w:val="2"/>
              <w:sz w:val="32"/>
              <w:szCs w:val="32"/>
              <w:lang w:val="en-US" w:eastAsia="zh-CN" w:bidi="ar-SA"/>
            </w:rPr>
            <w:fldChar w:fldCharType="separate"/>
          </w:r>
          <w:r>
            <w:rPr>
              <w:rFonts w:hint="eastAsia" w:ascii="仿宋_GB2312" w:eastAsia="仿宋_GB2312" w:cs="仿宋_GB2312"/>
              <w:color w:val="auto"/>
              <w:kern w:val="2"/>
              <w:sz w:val="32"/>
              <w:szCs w:val="32"/>
              <w:lang w:val="en-US" w:eastAsia="zh-CN" w:bidi="ar-SA"/>
            </w:rPr>
            <w:t>16</w:t>
          </w:r>
          <w:r>
            <w:rPr>
              <w:rFonts w:hint="eastAsia" w:ascii="仿宋_GB2312" w:eastAsia="仿宋_GB2312" w:cs="仿宋_GB2312"/>
              <w:color w:val="auto"/>
              <w:kern w:val="2"/>
              <w:sz w:val="32"/>
              <w:szCs w:val="32"/>
              <w:lang w:val="en-US" w:eastAsia="zh-CN" w:bidi="ar-SA"/>
            </w:rPr>
            <w:fldChar w:fldCharType="end"/>
          </w:r>
          <w:r>
            <w:rPr>
              <w:rFonts w:hint="eastAsia" w:ascii="仿宋_GB2312" w:eastAsia="仿宋_GB2312" w:cs="仿宋_GB2312"/>
              <w:color w:val="auto"/>
              <w:kern w:val="2"/>
              <w:sz w:val="32"/>
              <w:szCs w:val="32"/>
              <w:lang w:val="en-US" w:eastAsia="zh-CN" w:bidi="ar-SA"/>
            </w:rPr>
            <w:fldChar w:fldCharType="end"/>
          </w:r>
        </w:p>
        <w:p>
          <w:pPr>
            <w:pStyle w:val="21"/>
            <w:tabs>
              <w:tab w:val="right" w:leader="dot" w:pos="8845"/>
            </w:tabs>
            <w:rPr>
              <w:rFonts w:hint="eastAsia" w:ascii="仿宋_GB2312" w:eastAsia="仿宋_GB2312" w:cs="仿宋_GB2312"/>
              <w:color w:val="auto"/>
              <w:kern w:val="2"/>
              <w:sz w:val="32"/>
              <w:szCs w:val="32"/>
              <w:lang w:val="en-US" w:eastAsia="zh-CN" w:bidi="ar-SA"/>
            </w:rPr>
          </w:pPr>
          <w:r>
            <w:fldChar w:fldCharType="begin"/>
          </w:r>
          <w:r>
            <w:instrText xml:space="preserve"> HYPERLINK \l "_Toc684" </w:instrText>
          </w:r>
          <w:r>
            <w:fldChar w:fldCharType="separate"/>
          </w:r>
          <w:r>
            <w:rPr>
              <w:rFonts w:hint="eastAsia" w:ascii="仿宋_GB2312" w:eastAsia="仿宋_GB2312" w:cs="仿宋_GB2312"/>
              <w:color w:val="auto"/>
              <w:kern w:val="2"/>
              <w:sz w:val="32"/>
              <w:szCs w:val="32"/>
              <w:lang w:val="en-US" w:eastAsia="zh-CN" w:bidi="ar-SA"/>
            </w:rPr>
            <w:t>（三）国有资产占有使用情况</w:t>
          </w:r>
          <w:r>
            <w:rPr>
              <w:rFonts w:hint="eastAsia" w:ascii="仿宋_GB2312" w:eastAsia="仿宋_GB2312" w:cs="仿宋_GB2312"/>
              <w:color w:val="auto"/>
              <w:kern w:val="2"/>
              <w:sz w:val="32"/>
              <w:szCs w:val="32"/>
              <w:lang w:val="en-US" w:eastAsia="zh-CN" w:bidi="ar-SA"/>
            </w:rPr>
            <w:tab/>
          </w:r>
          <w:r>
            <w:rPr>
              <w:rFonts w:hint="eastAsia" w:ascii="仿宋_GB2312" w:eastAsia="仿宋_GB2312" w:cs="仿宋_GB2312"/>
              <w:color w:val="auto"/>
              <w:kern w:val="2"/>
              <w:sz w:val="32"/>
              <w:szCs w:val="32"/>
              <w:lang w:val="en-US" w:eastAsia="zh-CN" w:bidi="ar-SA"/>
            </w:rPr>
            <w:fldChar w:fldCharType="begin"/>
          </w:r>
          <w:r>
            <w:rPr>
              <w:rFonts w:hint="eastAsia" w:ascii="仿宋_GB2312" w:eastAsia="仿宋_GB2312" w:cs="仿宋_GB2312"/>
              <w:color w:val="auto"/>
              <w:kern w:val="2"/>
              <w:sz w:val="32"/>
              <w:szCs w:val="32"/>
              <w:lang w:val="en-US" w:eastAsia="zh-CN" w:bidi="ar-SA"/>
            </w:rPr>
            <w:instrText xml:space="preserve"> PAGEREF _Toc684 \h </w:instrText>
          </w:r>
          <w:r>
            <w:rPr>
              <w:rFonts w:hint="eastAsia" w:ascii="仿宋_GB2312" w:eastAsia="仿宋_GB2312" w:cs="仿宋_GB2312"/>
              <w:color w:val="auto"/>
              <w:kern w:val="2"/>
              <w:sz w:val="32"/>
              <w:szCs w:val="32"/>
              <w:lang w:val="en-US" w:eastAsia="zh-CN" w:bidi="ar-SA"/>
            </w:rPr>
            <w:fldChar w:fldCharType="separate"/>
          </w:r>
          <w:r>
            <w:rPr>
              <w:rFonts w:hint="eastAsia" w:ascii="仿宋_GB2312" w:eastAsia="仿宋_GB2312" w:cs="仿宋_GB2312"/>
              <w:color w:val="auto"/>
              <w:kern w:val="2"/>
              <w:sz w:val="32"/>
              <w:szCs w:val="32"/>
              <w:lang w:val="en-US" w:eastAsia="zh-CN" w:bidi="ar-SA"/>
            </w:rPr>
            <w:t>16</w:t>
          </w:r>
          <w:r>
            <w:rPr>
              <w:rFonts w:hint="eastAsia" w:ascii="仿宋_GB2312" w:eastAsia="仿宋_GB2312" w:cs="仿宋_GB2312"/>
              <w:color w:val="auto"/>
              <w:kern w:val="2"/>
              <w:sz w:val="32"/>
              <w:szCs w:val="32"/>
              <w:lang w:val="en-US" w:eastAsia="zh-CN" w:bidi="ar-SA"/>
            </w:rPr>
            <w:fldChar w:fldCharType="end"/>
          </w:r>
          <w:r>
            <w:rPr>
              <w:rFonts w:hint="eastAsia" w:ascii="仿宋_GB2312" w:eastAsia="仿宋_GB2312" w:cs="仿宋_GB2312"/>
              <w:color w:val="auto"/>
              <w:kern w:val="2"/>
              <w:sz w:val="32"/>
              <w:szCs w:val="32"/>
              <w:lang w:val="en-US" w:eastAsia="zh-CN" w:bidi="ar-SA"/>
            </w:rPr>
            <w:fldChar w:fldCharType="end"/>
          </w:r>
        </w:p>
        <w:p>
          <w:pPr>
            <w:pStyle w:val="21"/>
            <w:tabs>
              <w:tab w:val="right" w:leader="dot" w:pos="8845"/>
            </w:tabs>
            <w:rPr>
              <w:rFonts w:hint="eastAsia" w:ascii="仿宋_GB2312" w:eastAsia="仿宋_GB2312" w:cs="仿宋_GB2312"/>
              <w:color w:val="auto"/>
              <w:kern w:val="2"/>
              <w:sz w:val="32"/>
              <w:szCs w:val="32"/>
              <w:lang w:val="en-US" w:eastAsia="zh-CN" w:bidi="ar-SA"/>
            </w:rPr>
          </w:pPr>
          <w:r>
            <w:fldChar w:fldCharType="begin"/>
          </w:r>
          <w:r>
            <w:instrText xml:space="preserve"> HYPERLINK \l "_Toc10998" </w:instrText>
          </w:r>
          <w:r>
            <w:fldChar w:fldCharType="separate"/>
          </w:r>
          <w:r>
            <w:rPr>
              <w:rFonts w:hint="eastAsia" w:ascii="仿宋_GB2312" w:eastAsia="仿宋_GB2312" w:cs="仿宋_GB2312"/>
              <w:color w:val="auto"/>
              <w:kern w:val="2"/>
              <w:sz w:val="32"/>
              <w:szCs w:val="32"/>
              <w:lang w:val="en-US" w:eastAsia="zh-CN" w:bidi="ar-SA"/>
            </w:rPr>
            <w:t>（四）绩效目标设置情况</w:t>
          </w:r>
          <w:r>
            <w:rPr>
              <w:rFonts w:hint="eastAsia" w:ascii="仿宋_GB2312" w:eastAsia="仿宋_GB2312" w:cs="仿宋_GB2312"/>
              <w:color w:val="auto"/>
              <w:kern w:val="2"/>
              <w:sz w:val="32"/>
              <w:szCs w:val="32"/>
              <w:lang w:val="en-US" w:eastAsia="zh-CN" w:bidi="ar-SA"/>
            </w:rPr>
            <w:tab/>
          </w:r>
          <w:r>
            <w:rPr>
              <w:rFonts w:hint="eastAsia" w:ascii="仿宋_GB2312" w:eastAsia="仿宋_GB2312" w:cs="仿宋_GB2312"/>
              <w:color w:val="auto"/>
              <w:kern w:val="2"/>
              <w:sz w:val="32"/>
              <w:szCs w:val="32"/>
              <w:lang w:val="en-US" w:eastAsia="zh-CN" w:bidi="ar-SA"/>
            </w:rPr>
            <w:fldChar w:fldCharType="begin"/>
          </w:r>
          <w:r>
            <w:rPr>
              <w:rFonts w:hint="eastAsia" w:ascii="仿宋_GB2312" w:eastAsia="仿宋_GB2312" w:cs="仿宋_GB2312"/>
              <w:color w:val="auto"/>
              <w:kern w:val="2"/>
              <w:sz w:val="32"/>
              <w:szCs w:val="32"/>
              <w:lang w:val="en-US" w:eastAsia="zh-CN" w:bidi="ar-SA"/>
            </w:rPr>
            <w:instrText xml:space="preserve"> PAGEREF _Toc10998 \h </w:instrText>
          </w:r>
          <w:r>
            <w:rPr>
              <w:rFonts w:hint="eastAsia" w:ascii="仿宋_GB2312" w:eastAsia="仿宋_GB2312" w:cs="仿宋_GB2312"/>
              <w:color w:val="auto"/>
              <w:kern w:val="2"/>
              <w:sz w:val="32"/>
              <w:szCs w:val="32"/>
              <w:lang w:val="en-US" w:eastAsia="zh-CN" w:bidi="ar-SA"/>
            </w:rPr>
            <w:fldChar w:fldCharType="separate"/>
          </w:r>
          <w:r>
            <w:rPr>
              <w:rFonts w:hint="eastAsia" w:ascii="仿宋_GB2312" w:eastAsia="仿宋_GB2312" w:cs="仿宋_GB2312"/>
              <w:color w:val="auto"/>
              <w:kern w:val="2"/>
              <w:sz w:val="32"/>
              <w:szCs w:val="32"/>
              <w:lang w:val="en-US" w:eastAsia="zh-CN" w:bidi="ar-SA"/>
            </w:rPr>
            <w:t>16</w:t>
          </w:r>
          <w:r>
            <w:rPr>
              <w:rFonts w:hint="eastAsia" w:ascii="仿宋_GB2312" w:eastAsia="仿宋_GB2312" w:cs="仿宋_GB2312"/>
              <w:color w:val="auto"/>
              <w:kern w:val="2"/>
              <w:sz w:val="32"/>
              <w:szCs w:val="32"/>
              <w:lang w:val="en-US" w:eastAsia="zh-CN" w:bidi="ar-SA"/>
            </w:rPr>
            <w:fldChar w:fldCharType="end"/>
          </w:r>
          <w:r>
            <w:rPr>
              <w:rFonts w:hint="eastAsia" w:ascii="仿宋_GB2312" w:eastAsia="仿宋_GB2312" w:cs="仿宋_GB2312"/>
              <w:color w:val="auto"/>
              <w:kern w:val="2"/>
              <w:sz w:val="32"/>
              <w:szCs w:val="32"/>
              <w:lang w:val="en-US" w:eastAsia="zh-CN" w:bidi="ar-SA"/>
            </w:rPr>
            <w:fldChar w:fldCharType="end"/>
          </w:r>
        </w:p>
        <w:p>
          <w:pPr>
            <w:pStyle w:val="20"/>
            <w:tabs>
              <w:tab w:val="right" w:leader="dot" w:pos="8845"/>
            </w:tabs>
            <w:rPr>
              <w:rFonts w:hint="eastAsia" w:ascii="仿宋_GB2312" w:eastAsia="仿宋_GB2312" w:cs="仿宋_GB2312"/>
              <w:color w:val="auto"/>
              <w:kern w:val="2"/>
              <w:sz w:val="32"/>
              <w:szCs w:val="32"/>
              <w:lang w:val="en-US" w:eastAsia="zh-CN" w:bidi="ar-SA"/>
            </w:rPr>
          </w:pPr>
          <w:r>
            <w:fldChar w:fldCharType="begin"/>
          </w:r>
          <w:r>
            <w:instrText xml:space="preserve"> HYPERLINK \l "_Toc17832" </w:instrText>
          </w:r>
          <w:r>
            <w:fldChar w:fldCharType="separate"/>
          </w:r>
          <w:r>
            <w:rPr>
              <w:rFonts w:hint="eastAsia" w:ascii="仿宋_GB2312" w:eastAsia="仿宋_GB2312" w:cs="仿宋_GB2312"/>
              <w:color w:val="auto"/>
              <w:kern w:val="2"/>
              <w:sz w:val="32"/>
              <w:szCs w:val="32"/>
              <w:lang w:val="en-US" w:eastAsia="zh-CN" w:bidi="ar-SA"/>
            </w:rPr>
            <w:t>十一、名词解释</w:t>
          </w:r>
          <w:r>
            <w:rPr>
              <w:rFonts w:hint="eastAsia" w:ascii="仿宋_GB2312" w:eastAsia="仿宋_GB2312" w:cs="仿宋_GB2312"/>
              <w:color w:val="auto"/>
              <w:kern w:val="2"/>
              <w:sz w:val="32"/>
              <w:szCs w:val="32"/>
              <w:lang w:val="en-US" w:eastAsia="zh-CN" w:bidi="ar-SA"/>
            </w:rPr>
            <w:tab/>
          </w:r>
          <w:r>
            <w:rPr>
              <w:rFonts w:hint="eastAsia" w:ascii="仿宋_GB2312" w:eastAsia="仿宋_GB2312" w:cs="仿宋_GB2312"/>
              <w:color w:val="auto"/>
              <w:kern w:val="2"/>
              <w:sz w:val="32"/>
              <w:szCs w:val="32"/>
              <w:lang w:val="en-US" w:eastAsia="zh-CN" w:bidi="ar-SA"/>
            </w:rPr>
            <w:fldChar w:fldCharType="begin"/>
          </w:r>
          <w:r>
            <w:rPr>
              <w:rFonts w:hint="eastAsia" w:ascii="仿宋_GB2312" w:eastAsia="仿宋_GB2312" w:cs="仿宋_GB2312"/>
              <w:color w:val="auto"/>
              <w:kern w:val="2"/>
              <w:sz w:val="32"/>
              <w:szCs w:val="32"/>
              <w:lang w:val="en-US" w:eastAsia="zh-CN" w:bidi="ar-SA"/>
            </w:rPr>
            <w:instrText xml:space="preserve"> PAGEREF _Toc17832 \h </w:instrText>
          </w:r>
          <w:r>
            <w:rPr>
              <w:rFonts w:hint="eastAsia" w:ascii="仿宋_GB2312" w:eastAsia="仿宋_GB2312" w:cs="仿宋_GB2312"/>
              <w:color w:val="auto"/>
              <w:kern w:val="2"/>
              <w:sz w:val="32"/>
              <w:szCs w:val="32"/>
              <w:lang w:val="en-US" w:eastAsia="zh-CN" w:bidi="ar-SA"/>
            </w:rPr>
            <w:fldChar w:fldCharType="separate"/>
          </w:r>
          <w:r>
            <w:rPr>
              <w:rFonts w:hint="eastAsia" w:ascii="仿宋_GB2312" w:eastAsia="仿宋_GB2312" w:cs="仿宋_GB2312"/>
              <w:color w:val="auto"/>
              <w:kern w:val="2"/>
              <w:sz w:val="32"/>
              <w:szCs w:val="32"/>
              <w:lang w:val="en-US" w:eastAsia="zh-CN" w:bidi="ar-SA"/>
            </w:rPr>
            <w:t>16</w:t>
          </w:r>
          <w:r>
            <w:rPr>
              <w:rFonts w:hint="eastAsia" w:ascii="仿宋_GB2312" w:eastAsia="仿宋_GB2312" w:cs="仿宋_GB2312"/>
              <w:color w:val="auto"/>
              <w:kern w:val="2"/>
              <w:sz w:val="32"/>
              <w:szCs w:val="32"/>
              <w:lang w:val="en-US" w:eastAsia="zh-CN" w:bidi="ar-SA"/>
            </w:rPr>
            <w:fldChar w:fldCharType="end"/>
          </w:r>
          <w:r>
            <w:rPr>
              <w:rFonts w:hint="eastAsia" w:ascii="仿宋_GB2312" w:eastAsia="仿宋_GB2312" w:cs="仿宋_GB2312"/>
              <w:color w:val="auto"/>
              <w:kern w:val="2"/>
              <w:sz w:val="32"/>
              <w:szCs w:val="32"/>
              <w:lang w:val="en-US" w:eastAsia="zh-CN" w:bidi="ar-SA"/>
            </w:rPr>
            <w:fldChar w:fldCharType="end"/>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outlineLvl w:val="9"/>
            <w:rPr>
              <w:rFonts w:hint="eastAsia" w:ascii="黑体" w:eastAsia="黑体" w:cs="黑体"/>
              <w:sz w:val="32"/>
              <w:szCs w:val="32"/>
              <w:lang w:val="en-US" w:eastAsia="zh-CN"/>
            </w:rPr>
          </w:pPr>
          <w:r>
            <w:rPr>
              <w:rFonts w:hint="eastAsia" w:ascii="仿宋_GB2312" w:eastAsia="仿宋_GB2312" w:cs="仿宋_GB2312"/>
              <w:color w:val="auto"/>
              <w:kern w:val="2"/>
              <w:sz w:val="32"/>
              <w:szCs w:val="32"/>
              <w:lang w:val="en-US" w:eastAsia="zh-CN" w:bidi="ar-SA"/>
            </w:rPr>
            <w:fldChar w:fldCharType="end"/>
          </w:r>
        </w:p>
      </w:sdtContent>
    </w:sdt>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outlineLvl w:val="9"/>
        <w:rPr>
          <w:rFonts w:hint="eastAsia" w:ascii="黑体" w:eastAsia="黑体" w:cs="黑体"/>
          <w:sz w:val="32"/>
          <w:szCs w:val="32"/>
          <w:lang w:val="en-US" w:eastAsia="zh-CN"/>
        </w:rPr>
      </w:pP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outlineLvl w:val="9"/>
        <w:rPr>
          <w:rFonts w:hint="eastAsia" w:ascii="黑体" w:eastAsia="黑体" w:cs="黑体"/>
          <w:sz w:val="32"/>
          <w:szCs w:val="32"/>
          <w:lang w:val="en-US" w:eastAsia="zh-CN"/>
        </w:rPr>
      </w:pPr>
    </w:p>
    <w:p>
      <w:pPr>
        <w:pStyle w:val="9"/>
        <w:rPr>
          <w:rFonts w:hint="eastAsia" w:ascii="黑体" w:eastAsia="黑体" w:cs="黑体"/>
          <w:sz w:val="32"/>
          <w:szCs w:val="32"/>
          <w:lang w:val="en-US" w:eastAsia="zh-CN"/>
        </w:rPr>
      </w:pPr>
    </w:p>
    <w:p>
      <w:pPr>
        <w:rPr>
          <w:rFonts w:hint="eastAsia"/>
          <w:lang w:val="en-US" w:eastAsia="zh-CN"/>
        </w:rPr>
      </w:pP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outlineLvl w:val="9"/>
        <w:rPr>
          <w:rFonts w:hint="eastAsia" w:ascii="黑体" w:eastAsia="黑体" w:cs="黑体"/>
          <w:sz w:val="32"/>
          <w:szCs w:val="32"/>
          <w:lang w:val="en-US" w:eastAsia="zh-CN"/>
        </w:rPr>
      </w:pP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outlineLvl w:val="9"/>
        <w:rPr>
          <w:rFonts w:hint="eastAsia" w:ascii="黑体" w:eastAsia="黑体" w:cs="黑体"/>
          <w:sz w:val="32"/>
          <w:szCs w:val="32"/>
          <w:lang w:val="en-US" w:eastAsia="zh-CN"/>
        </w:rPr>
        <w:sectPr>
          <w:footerReference r:id="rId3" w:type="default"/>
          <w:pgSz w:w="11906" w:h="16838"/>
          <w:pgMar w:top="2098" w:right="1474" w:bottom="1984" w:left="1587" w:header="720" w:footer="1559" w:gutter="0"/>
          <w:pgNumType w:start="1"/>
          <w:cols w:space="720" w:num="1"/>
          <w:docGrid w:type="lines" w:linePitch="312" w:charSpace="0"/>
        </w:sectPr>
      </w:pP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outlineLvl w:val="0"/>
        <w:rPr>
          <w:rFonts w:hint="eastAsia" w:ascii="黑体" w:eastAsia="黑体" w:cs="黑体"/>
          <w:sz w:val="32"/>
          <w:szCs w:val="32"/>
        </w:rPr>
      </w:pPr>
      <w:bookmarkStart w:id="2" w:name="_Toc31913"/>
      <w:r>
        <w:rPr>
          <w:rFonts w:hint="eastAsia" w:ascii="黑体" w:eastAsia="黑体" w:cs="黑体"/>
          <w:sz w:val="32"/>
          <w:szCs w:val="32"/>
          <w:lang w:val="en-US" w:eastAsia="zh-CN"/>
        </w:rPr>
        <w:t>一、基本职能及主要工作</w:t>
      </w:r>
      <w:bookmarkEnd w:id="2"/>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eastAsia="楷体_GB2312" w:cs="楷体_GB2312"/>
          <w:b w:val="0"/>
          <w:bCs/>
          <w:i w:val="0"/>
          <w:caps w:val="0"/>
          <w:smallCaps w:val="0"/>
          <w:color w:val="333333"/>
          <w:spacing w:val="0"/>
          <w:sz w:val="32"/>
          <w:szCs w:val="32"/>
          <w:shd w:val="clear" w:color="auto" w:fill="FFFFFF"/>
        </w:rPr>
      </w:pPr>
      <w:bookmarkStart w:id="3" w:name="_Toc12441"/>
      <w:r>
        <w:rPr>
          <w:rFonts w:hint="eastAsia" w:ascii="楷体_GB2312" w:eastAsia="楷体_GB2312" w:cs="楷体_GB2312"/>
          <w:sz w:val="32"/>
          <w:szCs w:val="32"/>
        </w:rPr>
        <w:t>（一）</w:t>
      </w:r>
      <w:r>
        <w:rPr>
          <w:rFonts w:hint="eastAsia" w:ascii="楷体_GB2312" w:eastAsia="楷体_GB2312" w:cs="楷体_GB2312"/>
          <w:b w:val="0"/>
          <w:bCs/>
          <w:i w:val="0"/>
          <w:caps w:val="0"/>
          <w:smallCaps w:val="0"/>
          <w:color w:val="333333"/>
          <w:spacing w:val="0"/>
          <w:sz w:val="32"/>
          <w:szCs w:val="32"/>
          <w:shd w:val="clear" w:color="auto" w:fill="FFFFFF"/>
          <w:lang w:val="en-US" w:eastAsia="zh-CN"/>
        </w:rPr>
        <w:t>卫生健康局</w:t>
      </w:r>
      <w:r>
        <w:rPr>
          <w:rFonts w:hint="eastAsia" w:ascii="楷体_GB2312" w:eastAsia="楷体_GB2312" w:cs="楷体_GB2312"/>
          <w:b w:val="0"/>
          <w:bCs/>
          <w:i w:val="0"/>
          <w:caps w:val="0"/>
          <w:smallCaps w:val="0"/>
          <w:color w:val="333333"/>
          <w:spacing w:val="0"/>
          <w:sz w:val="32"/>
          <w:szCs w:val="32"/>
          <w:shd w:val="clear" w:color="auto" w:fill="FFFFFF"/>
        </w:rPr>
        <w:t>职能简介</w:t>
      </w:r>
      <w:bookmarkEnd w:id="3"/>
    </w:p>
    <w:p>
      <w:pPr>
        <w:keepNext w:val="0"/>
        <w:keepLines w:val="0"/>
        <w:pageBreakBefore w:val="0"/>
        <w:widowControl w:val="0"/>
        <w:suppressAutoHyphens/>
        <w:kinsoku/>
        <w:wordWrap/>
        <w:overflowPunct/>
        <w:topLinePunct w:val="0"/>
        <w:autoSpaceDE/>
        <w:autoSpaceDN/>
        <w:bidi w:val="0"/>
        <w:adjustRightInd/>
        <w:snapToGrid/>
        <w:ind w:firstLine="640" w:firstLineChars="200"/>
        <w:textAlignment w:val="auto"/>
        <w:rPr>
          <w:rFonts w:hint="eastAsia" w:ascii="仿宋_GB2312" w:eastAsia="仿宋_GB2312" w:cs="仿宋_GB2312"/>
          <w:sz w:val="32"/>
          <w:szCs w:val="32"/>
        </w:rPr>
      </w:pPr>
      <w:r>
        <w:rPr>
          <w:rFonts w:hint="eastAsia" w:ascii="仿宋_GB2312" w:eastAsia="仿宋_GB2312" w:cs="仿宋_GB2312"/>
          <w:sz w:val="32"/>
          <w:szCs w:val="32"/>
          <w:lang w:val="en-US" w:eastAsia="zh-CN"/>
        </w:rPr>
        <w:t>1.</w:t>
      </w:r>
      <w:r>
        <w:rPr>
          <w:rFonts w:hint="eastAsia" w:ascii="仿宋_GB2312" w:eastAsia="仿宋_GB2312" w:cs="仿宋_GB2312"/>
          <w:sz w:val="32"/>
          <w:szCs w:val="32"/>
        </w:rPr>
        <w:t>组织拟订全区卫生健康政策。负责拟</w:t>
      </w:r>
      <w:r>
        <w:rPr>
          <w:rFonts w:hint="eastAsia" w:ascii="仿宋_GB2312" w:eastAsia="仿宋_GB2312" w:cs="仿宋_GB2312"/>
          <w:sz w:val="32"/>
          <w:szCs w:val="32"/>
          <w:lang w:val="en-US" w:eastAsia="zh-CN"/>
        </w:rPr>
        <w:t>定</w:t>
      </w:r>
      <w:r>
        <w:rPr>
          <w:rFonts w:hint="eastAsia" w:ascii="仿宋_GB2312" w:eastAsia="仿宋_GB2312" w:cs="仿宋_GB2312"/>
          <w:sz w:val="32"/>
          <w:szCs w:val="32"/>
        </w:rPr>
        <w:t>卫生健康事业发展规划、政策措施</w:t>
      </w:r>
      <w:r>
        <w:rPr>
          <w:rFonts w:hint="eastAsia" w:ascii="仿宋_GB2312" w:eastAsia="仿宋_GB2312" w:cs="仿宋_GB2312"/>
          <w:sz w:val="32"/>
          <w:szCs w:val="32"/>
          <w:lang w:eastAsia="zh-CN"/>
        </w:rPr>
        <w:t>，</w:t>
      </w:r>
      <w:r>
        <w:rPr>
          <w:rFonts w:hint="eastAsia" w:ascii="仿宋_GB2312" w:eastAsia="仿宋_GB2312" w:cs="仿宋_GB2312"/>
          <w:sz w:val="32"/>
          <w:szCs w:val="32"/>
        </w:rPr>
        <w:t>组织实施卫生健康政策标准与技术规范。统筹规划全区卫生健康资源配置。制定并组织实施推进卫生健康基本公共服务均等化、普惠化、便捷化和公共资源向基层延伸等政策措施。</w:t>
      </w:r>
    </w:p>
    <w:p>
      <w:pPr>
        <w:keepNext w:val="0"/>
        <w:keepLines w:val="0"/>
        <w:pageBreakBefore w:val="0"/>
        <w:widowControl w:val="0"/>
        <w:suppressAutoHyphens/>
        <w:kinsoku/>
        <w:wordWrap/>
        <w:overflowPunct/>
        <w:topLinePunct w:val="0"/>
        <w:autoSpaceDE/>
        <w:autoSpaceDN/>
        <w:bidi w:val="0"/>
        <w:adjustRightInd/>
        <w:snapToGrid/>
        <w:ind w:firstLine="640" w:firstLineChars="200"/>
        <w:textAlignment w:val="auto"/>
        <w:rPr>
          <w:rFonts w:hint="eastAsia" w:ascii="仿宋_GB2312" w:eastAsia="仿宋_GB2312" w:cs="仿宋_GB2312"/>
          <w:sz w:val="32"/>
          <w:szCs w:val="32"/>
        </w:rPr>
      </w:pPr>
      <w:r>
        <w:rPr>
          <w:rFonts w:hint="eastAsia" w:ascii="仿宋_GB2312" w:eastAsia="仿宋_GB2312" w:cs="仿宋_GB2312"/>
          <w:sz w:val="32"/>
          <w:szCs w:val="32"/>
          <w:lang w:val="en-US" w:eastAsia="zh-CN"/>
        </w:rPr>
        <w:t>2.</w:t>
      </w:r>
      <w:r>
        <w:rPr>
          <w:rFonts w:hint="eastAsia" w:ascii="仿宋_GB2312" w:eastAsia="仿宋_GB2312" w:cs="仿宋_GB2312"/>
          <w:sz w:val="32"/>
          <w:szCs w:val="32"/>
        </w:rPr>
        <w:t>牵头推进全区深化医药卫生体制改革。研究提出深化改革重大政策、措施的建议。牵头组织全区分级诊疗、现代 医院管理、全民医保、药品供应保障、综合监督管理5项基本医疗卫生制度建设。制定并组织实施推动卫生健康公共服务提供主体多元化、方式多样化的政策措施。</w:t>
      </w:r>
    </w:p>
    <w:p>
      <w:pPr>
        <w:keepNext w:val="0"/>
        <w:keepLines w:val="0"/>
        <w:pageBreakBefore w:val="0"/>
        <w:widowControl w:val="0"/>
        <w:suppressAutoHyphens/>
        <w:kinsoku/>
        <w:wordWrap/>
        <w:overflowPunct/>
        <w:topLinePunct w:val="0"/>
        <w:autoSpaceDE/>
        <w:autoSpaceDN/>
        <w:bidi w:val="0"/>
        <w:adjustRightInd/>
        <w:snapToGrid/>
        <w:ind w:firstLine="640" w:firstLineChars="200"/>
        <w:textAlignment w:val="auto"/>
        <w:rPr>
          <w:rFonts w:hint="eastAsia" w:ascii="仿宋_GB2312" w:eastAsia="仿宋_GB2312" w:cs="仿宋_GB2312"/>
          <w:sz w:val="32"/>
          <w:szCs w:val="32"/>
        </w:rPr>
      </w:pPr>
      <w:r>
        <w:rPr>
          <w:rFonts w:hint="eastAsia" w:ascii="仿宋_GB2312" w:eastAsia="仿宋_GB2312" w:cs="仿宋_GB2312"/>
          <w:sz w:val="32"/>
          <w:szCs w:val="32"/>
          <w:lang w:val="en-US" w:eastAsia="zh-CN"/>
        </w:rPr>
        <w:t>3.</w:t>
      </w:r>
      <w:r>
        <w:rPr>
          <w:rFonts w:hint="eastAsia" w:ascii="仿宋_GB2312" w:eastAsia="仿宋_GB2312" w:cs="仿宋_GB2312"/>
          <w:sz w:val="32"/>
          <w:szCs w:val="32"/>
        </w:rPr>
        <w:t>制定并组织落实全区疾病预防控制规划、免疫规划以及严重危害人民健康的艾滋病等重大传染病、寄生虫病、地方病等公共卫生问题的干预措施。负责全区卫生应急工作，组织和指导全区突发公共卫生事件预防控制和各类突发公共事件的医疗卫生救援。发布法定报告传染病疫情信息、突发公共卫生事件应急处置信息。依照国家检疫传染病和监测传染病目录</w:t>
      </w:r>
      <w:r>
        <w:rPr>
          <w:rFonts w:hint="eastAsia" w:ascii="仿宋_GB2312" w:eastAsia="仿宋_GB2312" w:cs="仿宋_GB2312"/>
          <w:sz w:val="32"/>
          <w:szCs w:val="32"/>
          <w:lang w:eastAsia="zh-CN"/>
        </w:rPr>
        <w:t>，</w:t>
      </w:r>
      <w:r>
        <w:rPr>
          <w:rFonts w:hint="eastAsia" w:ascii="仿宋_GB2312" w:eastAsia="仿宋_GB2312" w:cs="仿宋_GB2312"/>
          <w:sz w:val="32"/>
          <w:szCs w:val="32"/>
        </w:rPr>
        <w:t>参与开展检疫监测工作。</w:t>
      </w:r>
    </w:p>
    <w:p>
      <w:pPr>
        <w:keepNext w:val="0"/>
        <w:keepLines w:val="0"/>
        <w:pageBreakBefore w:val="0"/>
        <w:widowControl w:val="0"/>
        <w:suppressAutoHyphens/>
        <w:kinsoku/>
        <w:wordWrap/>
        <w:overflowPunct/>
        <w:topLinePunct w:val="0"/>
        <w:autoSpaceDE/>
        <w:autoSpaceDN/>
        <w:bidi w:val="0"/>
        <w:adjustRightInd/>
        <w:snapToGrid/>
        <w:ind w:firstLine="640" w:firstLineChars="200"/>
        <w:textAlignment w:val="auto"/>
        <w:rPr>
          <w:rFonts w:hint="eastAsia" w:ascii="仿宋_GB2312" w:eastAsia="仿宋_GB2312" w:cs="仿宋_GB2312"/>
          <w:sz w:val="32"/>
          <w:szCs w:val="32"/>
        </w:rPr>
      </w:pPr>
      <w:r>
        <w:rPr>
          <w:rFonts w:hint="eastAsia" w:ascii="仿宋_GB2312" w:eastAsia="仿宋_GB2312" w:cs="仿宋_GB2312"/>
          <w:sz w:val="32"/>
          <w:szCs w:val="32"/>
          <w:lang w:val="en-US" w:eastAsia="zh-CN"/>
        </w:rPr>
        <w:t>4.</w:t>
      </w:r>
      <w:r>
        <w:rPr>
          <w:rFonts w:hint="eastAsia" w:ascii="仿宋_GB2312" w:eastAsia="仿宋_GB2312" w:cs="仿宋_GB2312"/>
          <w:sz w:val="32"/>
          <w:szCs w:val="32"/>
        </w:rPr>
        <w:t>贯彻落实国家应对人口老龄化政策措施</w:t>
      </w:r>
      <w:r>
        <w:rPr>
          <w:rFonts w:hint="eastAsia" w:ascii="仿宋_GB2312" w:eastAsia="仿宋_GB2312" w:cs="仿宋_GB2312"/>
          <w:sz w:val="32"/>
          <w:szCs w:val="32"/>
          <w:lang w:eastAsia="zh-CN"/>
        </w:rPr>
        <w:t>。</w:t>
      </w:r>
      <w:r>
        <w:rPr>
          <w:rFonts w:hint="eastAsia" w:ascii="仿宋_GB2312" w:eastAsia="仿宋_GB2312" w:cs="仿宋_GB2312"/>
          <w:sz w:val="32"/>
          <w:szCs w:val="32"/>
        </w:rPr>
        <w:t>负责推进老年健康服务体系建设和医养结合工作。承担区老龄工作委员会日常工作。</w:t>
      </w:r>
    </w:p>
    <w:p>
      <w:pPr>
        <w:keepNext w:val="0"/>
        <w:keepLines w:val="0"/>
        <w:pageBreakBefore w:val="0"/>
        <w:widowControl w:val="0"/>
        <w:suppressAutoHyphens/>
        <w:kinsoku/>
        <w:wordWrap/>
        <w:overflowPunct/>
        <w:topLinePunct w:val="0"/>
        <w:autoSpaceDE/>
        <w:autoSpaceDN/>
        <w:bidi w:val="0"/>
        <w:adjustRightInd/>
        <w:snapToGrid/>
        <w:ind w:firstLine="640" w:firstLineChars="200"/>
        <w:textAlignment w:val="auto"/>
        <w:rPr>
          <w:rFonts w:hint="eastAsia" w:ascii="仿宋_GB2312" w:eastAsia="仿宋_GB2312" w:cs="仿宋_GB2312"/>
          <w:sz w:val="32"/>
          <w:szCs w:val="32"/>
        </w:rPr>
      </w:pPr>
      <w:r>
        <w:rPr>
          <w:rFonts w:hint="eastAsia" w:ascii="仿宋_GB2312" w:eastAsia="仿宋_GB2312" w:cs="仿宋_GB2312"/>
          <w:sz w:val="32"/>
          <w:szCs w:val="32"/>
          <w:lang w:val="en-US" w:eastAsia="zh-CN"/>
        </w:rPr>
        <w:t>5.</w:t>
      </w:r>
      <w:r>
        <w:rPr>
          <w:rFonts w:hint="eastAsia" w:ascii="仿宋_GB2312" w:eastAsia="仿宋_GB2312" w:cs="仿宋_GB2312"/>
          <w:sz w:val="32"/>
          <w:szCs w:val="32"/>
        </w:rPr>
        <w:t>贯彻落实国家药物政策和国家基本药物制度。开展药械使用监测、临床综合评价和短缺药品预警</w:t>
      </w:r>
      <w:r>
        <w:rPr>
          <w:rFonts w:hint="eastAsia" w:ascii="仿宋_GB2312" w:eastAsia="仿宋_GB2312" w:cs="仿宋_GB2312"/>
          <w:sz w:val="32"/>
          <w:szCs w:val="32"/>
          <w:lang w:eastAsia="zh-CN"/>
        </w:rPr>
        <w:t>，</w:t>
      </w:r>
      <w:r>
        <w:rPr>
          <w:rFonts w:hint="eastAsia" w:ascii="仿宋_GB2312" w:eastAsia="仿宋_GB2312" w:cs="仿宋_GB2312"/>
          <w:sz w:val="32"/>
          <w:szCs w:val="32"/>
        </w:rPr>
        <w:t>组织执行国家药典和国家基本药物目录、省药品增补</w:t>
      </w:r>
      <w:r>
        <w:rPr>
          <w:rFonts w:hint="eastAsia" w:ascii="仿宋_GB2312" w:eastAsia="仿宋_GB2312" w:cs="仿宋_GB2312"/>
          <w:sz w:val="32"/>
          <w:szCs w:val="32"/>
          <w:lang w:eastAsia="zh-CN"/>
        </w:rPr>
        <w:t>目录</w:t>
      </w:r>
      <w:r>
        <w:rPr>
          <w:rFonts w:hint="eastAsia" w:ascii="仿宋_GB2312" w:eastAsia="仿宋_GB2312" w:cs="仿宋_GB2312"/>
          <w:sz w:val="32"/>
          <w:szCs w:val="32"/>
        </w:rPr>
        <w:t>和基本药物使用的政策措施。组织实施食品安全风险监测。</w:t>
      </w:r>
    </w:p>
    <w:p>
      <w:pPr>
        <w:keepNext w:val="0"/>
        <w:keepLines w:val="0"/>
        <w:pageBreakBefore w:val="0"/>
        <w:widowControl w:val="0"/>
        <w:suppressAutoHyphens/>
        <w:kinsoku/>
        <w:wordWrap/>
        <w:overflowPunct/>
        <w:topLinePunct w:val="0"/>
        <w:autoSpaceDE/>
        <w:autoSpaceDN/>
        <w:bidi w:val="0"/>
        <w:adjustRightInd/>
        <w:snapToGrid/>
        <w:ind w:firstLine="640" w:firstLineChars="200"/>
        <w:textAlignment w:val="auto"/>
        <w:rPr>
          <w:rFonts w:hint="eastAsia" w:ascii="仿宋_GB2312" w:eastAsia="仿宋_GB2312" w:cs="仿宋_GB2312"/>
          <w:sz w:val="32"/>
          <w:szCs w:val="32"/>
        </w:rPr>
      </w:pPr>
      <w:r>
        <w:rPr>
          <w:rFonts w:hint="eastAsia" w:ascii="仿宋_GB2312" w:eastAsia="仿宋_GB2312" w:cs="仿宋_GB2312"/>
          <w:sz w:val="32"/>
          <w:szCs w:val="32"/>
          <w:lang w:val="en-US" w:eastAsia="zh-CN"/>
        </w:rPr>
        <w:t>6.</w:t>
      </w:r>
      <w:r>
        <w:rPr>
          <w:rFonts w:hint="eastAsia" w:ascii="仿宋_GB2312" w:eastAsia="仿宋_GB2312" w:cs="仿宋_GB2312"/>
          <w:sz w:val="32"/>
          <w:szCs w:val="32"/>
        </w:rPr>
        <w:t>负责职责范围内的职业卫生、放射卫生、环境卫生、学校卫生、公共场所卫生、饮用水卫生等公共卫生的监督管理。负责传染病防治监督</w:t>
      </w:r>
      <w:r>
        <w:rPr>
          <w:rFonts w:hint="eastAsia" w:ascii="仿宋_GB2312" w:eastAsia="仿宋_GB2312" w:cs="仿宋_GB2312"/>
          <w:sz w:val="32"/>
          <w:szCs w:val="32"/>
          <w:lang w:eastAsia="zh-CN"/>
        </w:rPr>
        <w:t>，</w:t>
      </w:r>
      <w:r>
        <w:rPr>
          <w:rFonts w:hint="eastAsia" w:ascii="仿宋_GB2312" w:eastAsia="仿宋_GB2312" w:cs="仿宋_GB2312"/>
          <w:sz w:val="32"/>
          <w:szCs w:val="32"/>
        </w:rPr>
        <w:t>健全卫生健康综合监管体系</w:t>
      </w:r>
      <w:r>
        <w:rPr>
          <w:rFonts w:hint="eastAsia" w:ascii="仿宋_GB2312" w:eastAsia="仿宋_GB2312" w:cs="仿宋_GB2312"/>
          <w:sz w:val="32"/>
          <w:szCs w:val="32"/>
          <w:lang w:eastAsia="zh-CN"/>
        </w:rPr>
        <w:t>，</w:t>
      </w:r>
      <w:r>
        <w:rPr>
          <w:rFonts w:hint="eastAsia" w:ascii="仿宋_GB2312" w:eastAsia="仿宋_GB2312" w:cs="仿宋_GB2312"/>
          <w:sz w:val="32"/>
          <w:szCs w:val="32"/>
        </w:rPr>
        <w:t>规范卫生健康行政执法行为</w:t>
      </w:r>
      <w:r>
        <w:rPr>
          <w:rFonts w:hint="eastAsia" w:ascii="仿宋_GB2312" w:eastAsia="仿宋_GB2312" w:cs="仿宋_GB2312"/>
          <w:sz w:val="32"/>
          <w:szCs w:val="32"/>
          <w:lang w:eastAsia="zh-CN"/>
        </w:rPr>
        <w:t>，</w:t>
      </w:r>
      <w:r>
        <w:rPr>
          <w:rFonts w:hint="eastAsia" w:ascii="仿宋_GB2312" w:eastAsia="仿宋_GB2312" w:cs="仿宋_GB2312"/>
          <w:sz w:val="32"/>
          <w:szCs w:val="32"/>
        </w:rPr>
        <w:t>监督检查有关法律法规和政策措施的落实</w:t>
      </w:r>
      <w:r>
        <w:rPr>
          <w:rFonts w:hint="eastAsia" w:ascii="仿宋_GB2312" w:eastAsia="仿宋_GB2312" w:cs="仿宋_GB2312"/>
          <w:sz w:val="32"/>
          <w:szCs w:val="32"/>
          <w:lang w:eastAsia="zh-CN"/>
        </w:rPr>
        <w:t>，</w:t>
      </w:r>
      <w:r>
        <w:rPr>
          <w:rFonts w:hint="eastAsia" w:ascii="仿宋_GB2312" w:eastAsia="仿宋_GB2312" w:cs="仿宋_GB2312"/>
          <w:sz w:val="32"/>
          <w:szCs w:val="32"/>
        </w:rPr>
        <w:t>组织查处重大违法行为。</w:t>
      </w:r>
    </w:p>
    <w:p>
      <w:pPr>
        <w:keepNext w:val="0"/>
        <w:keepLines w:val="0"/>
        <w:pageBreakBefore w:val="0"/>
        <w:widowControl w:val="0"/>
        <w:suppressAutoHyphens/>
        <w:kinsoku/>
        <w:wordWrap/>
        <w:overflowPunct/>
        <w:topLinePunct w:val="0"/>
        <w:autoSpaceDE/>
        <w:autoSpaceDN/>
        <w:bidi w:val="0"/>
        <w:adjustRightInd/>
        <w:snapToGrid/>
        <w:ind w:firstLine="640" w:firstLineChars="200"/>
        <w:textAlignment w:val="auto"/>
        <w:rPr>
          <w:rFonts w:hint="eastAsia" w:ascii="仿宋_GB2312" w:eastAsia="仿宋_GB2312" w:cs="仿宋_GB2312"/>
          <w:sz w:val="32"/>
          <w:szCs w:val="32"/>
        </w:rPr>
      </w:pPr>
      <w:r>
        <w:rPr>
          <w:rFonts w:hint="eastAsia" w:ascii="仿宋_GB2312" w:eastAsia="仿宋_GB2312" w:cs="仿宋_GB2312"/>
          <w:sz w:val="32"/>
          <w:szCs w:val="32"/>
          <w:lang w:val="en-US" w:eastAsia="zh-CN"/>
        </w:rPr>
        <w:t>7.</w:t>
      </w:r>
      <w:r>
        <w:rPr>
          <w:rFonts w:hint="eastAsia" w:ascii="仿宋_GB2312" w:eastAsia="仿宋_GB2312" w:cs="仿宋_GB2312"/>
          <w:sz w:val="32"/>
          <w:szCs w:val="32"/>
        </w:rPr>
        <w:t>制定全区医疗机构、医疗服务行业管理办法并监督实施</w:t>
      </w:r>
      <w:r>
        <w:rPr>
          <w:rFonts w:hint="eastAsia" w:ascii="仿宋_GB2312" w:eastAsia="仿宋_GB2312" w:cs="仿宋_GB2312"/>
          <w:sz w:val="32"/>
          <w:szCs w:val="32"/>
          <w:lang w:eastAsia="zh-CN"/>
        </w:rPr>
        <w:t>，</w:t>
      </w:r>
      <w:r>
        <w:rPr>
          <w:rFonts w:hint="eastAsia" w:ascii="仿宋_GB2312" w:eastAsia="仿宋_GB2312" w:cs="仿宋_GB2312"/>
          <w:sz w:val="32"/>
          <w:szCs w:val="32"/>
        </w:rPr>
        <w:t>建立医疗服务评价和监督管理体系。会同有关部门实施卫生健康专业技术人员资格标准。制定并组织实施医疗服务规范、标准和卫生健康专业技术人员执业规则、服务规范。负责医疗机构、人员和行为的日常监管。</w:t>
      </w:r>
    </w:p>
    <w:p>
      <w:pPr>
        <w:keepNext w:val="0"/>
        <w:keepLines w:val="0"/>
        <w:pageBreakBefore w:val="0"/>
        <w:widowControl w:val="0"/>
        <w:suppressAutoHyphens/>
        <w:kinsoku/>
        <w:wordWrap/>
        <w:overflowPunct/>
        <w:topLinePunct w:val="0"/>
        <w:autoSpaceDE/>
        <w:autoSpaceDN/>
        <w:bidi w:val="0"/>
        <w:adjustRightInd/>
        <w:snapToGrid/>
        <w:ind w:firstLine="640" w:firstLineChars="200"/>
        <w:textAlignment w:val="auto"/>
        <w:rPr>
          <w:rFonts w:hint="eastAsia" w:ascii="仿宋_GB2312" w:eastAsia="仿宋_GB2312" w:cs="仿宋_GB2312"/>
          <w:sz w:val="32"/>
          <w:szCs w:val="32"/>
        </w:rPr>
      </w:pPr>
      <w:r>
        <w:rPr>
          <w:rFonts w:hint="eastAsia" w:ascii="仿宋_GB2312" w:eastAsia="仿宋_GB2312" w:cs="仿宋_GB2312"/>
          <w:sz w:val="32"/>
          <w:szCs w:val="32"/>
          <w:lang w:val="en-US" w:eastAsia="zh-CN"/>
        </w:rPr>
        <w:t>8.</w:t>
      </w:r>
      <w:r>
        <w:rPr>
          <w:rFonts w:hint="eastAsia" w:ascii="仿宋_GB2312" w:eastAsia="仿宋_GB2312" w:cs="仿宋_GB2312"/>
          <w:sz w:val="32"/>
          <w:szCs w:val="32"/>
        </w:rPr>
        <w:t>负责全区计划生育管理和服务工作。开展人口监测 预警</w:t>
      </w:r>
      <w:r>
        <w:rPr>
          <w:rFonts w:hint="eastAsia" w:ascii="仿宋_GB2312" w:eastAsia="仿宋_GB2312" w:cs="仿宋_GB2312"/>
          <w:sz w:val="32"/>
          <w:szCs w:val="32"/>
          <w:lang w:eastAsia="zh-CN"/>
        </w:rPr>
        <w:t>，</w:t>
      </w:r>
      <w:r>
        <w:rPr>
          <w:rFonts w:hint="eastAsia" w:ascii="仿宋_GB2312" w:eastAsia="仿宋_GB2312" w:cs="仿宋_GB2312"/>
          <w:sz w:val="32"/>
          <w:szCs w:val="32"/>
        </w:rPr>
        <w:t>研究提出人口与家庭发展相关政策建议</w:t>
      </w:r>
      <w:r>
        <w:rPr>
          <w:rFonts w:hint="eastAsia" w:ascii="仿宋_GB2312" w:eastAsia="仿宋_GB2312" w:cs="仿宋_GB2312"/>
          <w:sz w:val="32"/>
          <w:szCs w:val="32"/>
          <w:lang w:eastAsia="zh-CN"/>
        </w:rPr>
        <w:t>，</w:t>
      </w:r>
      <w:r>
        <w:rPr>
          <w:rFonts w:hint="eastAsia" w:ascii="仿宋_GB2312" w:eastAsia="仿宋_GB2312" w:cs="仿宋_GB2312"/>
          <w:sz w:val="32"/>
          <w:szCs w:val="32"/>
        </w:rPr>
        <w:t>依法实施计划生育政策。</w:t>
      </w:r>
    </w:p>
    <w:p>
      <w:pPr>
        <w:keepNext w:val="0"/>
        <w:keepLines w:val="0"/>
        <w:pageBreakBefore w:val="0"/>
        <w:widowControl w:val="0"/>
        <w:suppressAutoHyphens/>
        <w:kinsoku/>
        <w:wordWrap/>
        <w:overflowPunct/>
        <w:topLinePunct w:val="0"/>
        <w:autoSpaceDE/>
        <w:autoSpaceDN/>
        <w:bidi w:val="0"/>
        <w:adjustRightInd/>
        <w:snapToGrid/>
        <w:ind w:firstLine="640" w:firstLineChars="200"/>
        <w:textAlignment w:val="auto"/>
        <w:rPr>
          <w:rFonts w:hint="eastAsia" w:ascii="仿宋_GB2312" w:eastAsia="仿宋_GB2312" w:cs="仿宋_GB2312"/>
          <w:sz w:val="32"/>
          <w:szCs w:val="32"/>
        </w:rPr>
      </w:pPr>
      <w:r>
        <w:rPr>
          <w:rFonts w:hint="eastAsia" w:ascii="仿宋_GB2312" w:eastAsia="仿宋_GB2312" w:cs="仿宋_GB2312"/>
          <w:sz w:val="32"/>
          <w:szCs w:val="32"/>
          <w:lang w:val="en-US" w:eastAsia="zh-CN"/>
        </w:rPr>
        <w:t>9.</w:t>
      </w:r>
      <w:r>
        <w:rPr>
          <w:rFonts w:hint="eastAsia" w:ascii="仿宋_GB2312" w:eastAsia="仿宋_GB2312" w:cs="仿宋_GB2312"/>
          <w:sz w:val="32"/>
          <w:szCs w:val="32"/>
        </w:rPr>
        <w:t>负责全区卫生健康工作。负责基层医疗卫生、妇幼健康服务体系和基层卫生队伍建设。推进卫生健康科技创新发展。</w:t>
      </w:r>
    </w:p>
    <w:p>
      <w:pPr>
        <w:keepNext w:val="0"/>
        <w:keepLines w:val="0"/>
        <w:pageBreakBefore w:val="0"/>
        <w:widowControl w:val="0"/>
        <w:suppressAutoHyphens/>
        <w:kinsoku/>
        <w:wordWrap/>
        <w:overflowPunct/>
        <w:topLinePunct w:val="0"/>
        <w:autoSpaceDE/>
        <w:autoSpaceDN/>
        <w:bidi w:val="0"/>
        <w:adjustRightInd/>
        <w:snapToGrid/>
        <w:ind w:firstLine="640" w:firstLineChars="200"/>
        <w:textAlignment w:val="auto"/>
        <w:rPr>
          <w:rFonts w:hint="eastAsia" w:ascii="仿宋_GB2312" w:eastAsia="仿宋_GB2312" w:cs="仿宋_GB2312"/>
          <w:sz w:val="32"/>
          <w:szCs w:val="32"/>
        </w:rPr>
      </w:pPr>
      <w:r>
        <w:rPr>
          <w:rFonts w:hint="eastAsia" w:ascii="仿宋_GB2312" w:eastAsia="仿宋_GB2312" w:cs="仿宋_GB2312"/>
          <w:sz w:val="32"/>
          <w:szCs w:val="32"/>
          <w:lang w:val="en-US" w:eastAsia="zh-CN"/>
        </w:rPr>
        <w:t>10.</w:t>
      </w:r>
      <w:r>
        <w:rPr>
          <w:rFonts w:hint="eastAsia" w:ascii="仿宋_GB2312" w:eastAsia="仿宋_GB2312" w:cs="仿宋_GB2312"/>
          <w:sz w:val="32"/>
          <w:szCs w:val="32"/>
        </w:rPr>
        <w:t>贯彻执行国家、省促进中医药事业发展的法律法规</w:t>
      </w:r>
      <w:r>
        <w:rPr>
          <w:rFonts w:hint="eastAsia" w:ascii="仿宋_GB2312" w:eastAsia="仿宋_GB2312" w:cs="仿宋_GB2312"/>
          <w:sz w:val="32"/>
          <w:szCs w:val="32"/>
          <w:lang w:eastAsia="zh-CN"/>
        </w:rPr>
        <w:t>，</w:t>
      </w:r>
      <w:r>
        <w:rPr>
          <w:rFonts w:hint="eastAsia" w:ascii="仿宋_GB2312" w:eastAsia="仿宋_GB2312" w:cs="仿宋_GB2312"/>
          <w:sz w:val="32"/>
          <w:szCs w:val="32"/>
        </w:rPr>
        <w:t>拟订全区中医药中长期发展规划并组织实施</w:t>
      </w:r>
      <w:r>
        <w:rPr>
          <w:rFonts w:hint="eastAsia" w:ascii="仿宋_GB2312" w:eastAsia="仿宋_GB2312" w:cs="仿宋_GB2312"/>
          <w:sz w:val="32"/>
          <w:szCs w:val="32"/>
          <w:lang w:eastAsia="zh-CN"/>
        </w:rPr>
        <w:t>，</w:t>
      </w:r>
      <w:r>
        <w:rPr>
          <w:rFonts w:hint="eastAsia" w:ascii="仿宋_GB2312" w:eastAsia="仿宋_GB2312" w:cs="仿宋_GB2312"/>
          <w:sz w:val="32"/>
          <w:szCs w:val="32"/>
        </w:rPr>
        <w:t>促进中药资源的保护、开发和合理利用</w:t>
      </w:r>
      <w:r>
        <w:rPr>
          <w:rFonts w:hint="eastAsia" w:ascii="仿宋_GB2312" w:eastAsia="仿宋_GB2312" w:cs="仿宋_GB2312"/>
          <w:sz w:val="32"/>
          <w:szCs w:val="32"/>
          <w:lang w:eastAsia="zh-CN"/>
        </w:rPr>
        <w:t>，</w:t>
      </w:r>
      <w:r>
        <w:rPr>
          <w:rFonts w:hint="eastAsia" w:ascii="仿宋_GB2312" w:eastAsia="仿宋_GB2312" w:cs="仿宋_GB2312"/>
          <w:sz w:val="32"/>
          <w:szCs w:val="32"/>
        </w:rPr>
        <w:t>拟订全区中医药产业发展规划、产业政策和中药的扶持政策并组织指导实施。监督指导全区中医药工作。</w:t>
      </w:r>
    </w:p>
    <w:p>
      <w:pPr>
        <w:keepNext w:val="0"/>
        <w:keepLines w:val="0"/>
        <w:pageBreakBefore w:val="0"/>
        <w:widowControl w:val="0"/>
        <w:suppressAutoHyphens/>
        <w:kinsoku/>
        <w:wordWrap/>
        <w:overflowPunct/>
        <w:topLinePunct w:val="0"/>
        <w:autoSpaceDE/>
        <w:autoSpaceDN/>
        <w:bidi w:val="0"/>
        <w:adjustRightInd/>
        <w:snapToGrid/>
        <w:ind w:firstLine="640" w:firstLineChars="200"/>
        <w:textAlignment w:val="auto"/>
        <w:rPr>
          <w:rFonts w:hint="eastAsia" w:ascii="仿宋_GB2312" w:eastAsia="仿宋_GB2312" w:cs="仿宋_GB2312"/>
          <w:sz w:val="32"/>
          <w:szCs w:val="32"/>
        </w:rPr>
      </w:pPr>
      <w:r>
        <w:rPr>
          <w:rFonts w:hint="eastAsia" w:ascii="仿宋_GB2312" w:eastAsia="仿宋_GB2312" w:cs="仿宋_GB2312"/>
          <w:sz w:val="32"/>
          <w:szCs w:val="32"/>
          <w:lang w:val="en-US" w:eastAsia="zh-CN"/>
        </w:rPr>
        <w:t>11.</w:t>
      </w:r>
      <w:r>
        <w:rPr>
          <w:rFonts w:hint="eastAsia" w:ascii="仿宋_GB2312" w:eastAsia="仿宋_GB2312" w:cs="仿宋_GB2312"/>
          <w:sz w:val="32"/>
          <w:szCs w:val="32"/>
        </w:rPr>
        <w:t>负责区确定的保健对象的医疗保健工作。负责区直有关部门</w:t>
      </w:r>
      <w:r>
        <w:rPr>
          <w:rFonts w:hint="eastAsia" w:ascii="仿宋_GB2312" w:eastAsia="仿宋_GB2312" w:cs="仿宋_GB2312"/>
          <w:sz w:val="32"/>
          <w:szCs w:val="32"/>
          <w:lang w:eastAsia="zh-CN"/>
        </w:rPr>
        <w:t>（</w:t>
      </w:r>
      <w:r>
        <w:rPr>
          <w:rFonts w:hint="eastAsia" w:ascii="仿宋_GB2312" w:eastAsia="仿宋_GB2312" w:cs="仿宋_GB2312"/>
          <w:sz w:val="32"/>
          <w:szCs w:val="32"/>
        </w:rPr>
        <w:t>单位</w:t>
      </w:r>
      <w:r>
        <w:rPr>
          <w:rFonts w:hint="eastAsia" w:ascii="仿宋_GB2312" w:eastAsia="仿宋_GB2312" w:cs="仿宋_GB2312"/>
          <w:sz w:val="32"/>
          <w:szCs w:val="32"/>
          <w:lang w:eastAsia="zh-CN"/>
        </w:rPr>
        <w:t>）</w:t>
      </w:r>
      <w:r>
        <w:rPr>
          <w:rFonts w:hint="eastAsia" w:ascii="仿宋_GB2312" w:eastAsia="仿宋_GB2312" w:cs="仿宋_GB2312"/>
          <w:sz w:val="32"/>
          <w:szCs w:val="32"/>
        </w:rPr>
        <w:t>离休干部医疗管理工作。负责重要会议与重大活动的医疗卫生保障工作。</w:t>
      </w:r>
    </w:p>
    <w:p>
      <w:pPr>
        <w:keepNext w:val="0"/>
        <w:keepLines w:val="0"/>
        <w:pageBreakBefore w:val="0"/>
        <w:widowControl w:val="0"/>
        <w:suppressAutoHyphens/>
        <w:kinsoku/>
        <w:wordWrap/>
        <w:overflowPunct/>
        <w:topLinePunct w:val="0"/>
        <w:autoSpaceDE/>
        <w:autoSpaceDN/>
        <w:bidi w:val="0"/>
        <w:adjustRightInd/>
        <w:snapToGrid/>
        <w:ind w:firstLine="640" w:firstLineChars="200"/>
        <w:textAlignment w:val="auto"/>
        <w:rPr>
          <w:rFonts w:hint="eastAsia" w:ascii="仿宋_GB2312" w:eastAsia="仿宋_GB2312" w:cs="仿宋_GB2312"/>
          <w:sz w:val="32"/>
          <w:szCs w:val="32"/>
        </w:rPr>
      </w:pPr>
      <w:r>
        <w:rPr>
          <w:rFonts w:hint="eastAsia" w:ascii="仿宋_GB2312" w:eastAsia="仿宋_GB2312" w:cs="仿宋_GB2312"/>
          <w:sz w:val="32"/>
          <w:szCs w:val="32"/>
          <w:lang w:val="en-US" w:eastAsia="zh-CN"/>
        </w:rPr>
        <w:t>12.</w:t>
      </w:r>
      <w:r>
        <w:rPr>
          <w:rFonts w:hint="eastAsia" w:ascii="仿宋_GB2312" w:eastAsia="仿宋_GB2312" w:cs="仿宋_GB2312"/>
          <w:sz w:val="32"/>
          <w:szCs w:val="32"/>
        </w:rPr>
        <w:t>指导区计划生育协会的业务工作。</w:t>
      </w:r>
    </w:p>
    <w:p>
      <w:pPr>
        <w:keepNext w:val="0"/>
        <w:keepLines w:val="0"/>
        <w:pageBreakBefore w:val="0"/>
        <w:widowControl w:val="0"/>
        <w:suppressAutoHyphens/>
        <w:kinsoku/>
        <w:wordWrap/>
        <w:overflowPunct/>
        <w:topLinePunct w:val="0"/>
        <w:autoSpaceDE/>
        <w:autoSpaceDN/>
        <w:bidi w:val="0"/>
        <w:adjustRightInd/>
        <w:snapToGrid/>
        <w:ind w:firstLine="640" w:firstLineChars="200"/>
        <w:textAlignment w:val="auto"/>
        <w:rPr>
          <w:rFonts w:hint="eastAsia" w:ascii="仿宋_GB2312" w:eastAsia="仿宋_GB2312" w:cs="仿宋_GB2312"/>
          <w:sz w:val="32"/>
          <w:szCs w:val="32"/>
        </w:rPr>
      </w:pPr>
      <w:r>
        <w:rPr>
          <w:rFonts w:hint="eastAsia" w:ascii="仿宋_GB2312" w:eastAsia="仿宋_GB2312" w:cs="仿宋_GB2312"/>
          <w:sz w:val="32"/>
          <w:szCs w:val="32"/>
          <w:lang w:val="en-US" w:eastAsia="zh-CN"/>
        </w:rPr>
        <w:t>13.</w:t>
      </w:r>
      <w:r>
        <w:rPr>
          <w:rFonts w:hint="eastAsia" w:ascii="仿宋_GB2312" w:eastAsia="仿宋_GB2312" w:cs="仿宋_GB2312"/>
          <w:sz w:val="32"/>
          <w:szCs w:val="32"/>
        </w:rPr>
        <w:t>依法依规履行卫生健康行业安全生产监督管理职责</w:t>
      </w:r>
      <w:r>
        <w:rPr>
          <w:rFonts w:hint="eastAsia" w:ascii="仿宋_GB2312" w:eastAsia="仿宋_GB2312" w:cs="仿宋_GB2312"/>
          <w:sz w:val="32"/>
          <w:szCs w:val="32"/>
          <w:lang w:eastAsia="zh-CN"/>
        </w:rPr>
        <w:t>。</w:t>
      </w:r>
      <w:r>
        <w:rPr>
          <w:rFonts w:hint="eastAsia" w:ascii="仿宋_GB2312" w:eastAsia="仿宋_GB2312" w:cs="仿宋_GB2312"/>
          <w:sz w:val="32"/>
          <w:szCs w:val="32"/>
        </w:rPr>
        <w:t>负责职责范围内的生态环境保护、审批服务便民化等工作。</w:t>
      </w:r>
    </w:p>
    <w:p>
      <w:pPr>
        <w:keepNext w:val="0"/>
        <w:keepLines w:val="0"/>
        <w:pageBreakBefore w:val="0"/>
        <w:widowControl w:val="0"/>
        <w:suppressAutoHyphens/>
        <w:kinsoku/>
        <w:wordWrap/>
        <w:overflowPunct/>
        <w:topLinePunct w:val="0"/>
        <w:autoSpaceDE/>
        <w:autoSpaceDN/>
        <w:bidi w:val="0"/>
        <w:adjustRightInd/>
        <w:snapToGrid/>
        <w:ind w:firstLine="640" w:firstLineChars="200"/>
        <w:textAlignment w:val="auto"/>
        <w:rPr>
          <w:rFonts w:hint="eastAsia" w:ascii="楷体_GB2312" w:eastAsia="楷体_GB2312" w:cs="楷体_GB2312"/>
          <w:b w:val="0"/>
          <w:bCs/>
          <w:i w:val="0"/>
          <w:caps w:val="0"/>
          <w:smallCaps w:val="0"/>
          <w:color w:val="333333"/>
          <w:spacing w:val="0"/>
          <w:sz w:val="32"/>
          <w:szCs w:val="32"/>
          <w:shd w:val="clear" w:color="auto" w:fill="FFFFFF"/>
        </w:rPr>
      </w:pPr>
      <w:r>
        <w:rPr>
          <w:rFonts w:hint="eastAsia" w:ascii="仿宋_GB2312" w:eastAsia="仿宋_GB2312" w:cs="仿宋_GB2312"/>
          <w:sz w:val="32"/>
          <w:szCs w:val="32"/>
          <w:lang w:val="en-US" w:eastAsia="zh-CN"/>
        </w:rPr>
        <w:t>14.</w:t>
      </w:r>
      <w:r>
        <w:rPr>
          <w:rFonts w:hint="eastAsia" w:ascii="仿宋_GB2312" w:eastAsia="仿宋_GB2312" w:cs="仿宋_GB2312"/>
          <w:sz w:val="32"/>
          <w:szCs w:val="32"/>
        </w:rPr>
        <w:t>完成区委、区政府交办的其他任务。</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eastAsia="楷体_GB2312" w:cs="楷体_GB2312"/>
          <w:sz w:val="32"/>
          <w:szCs w:val="32"/>
          <w:highlight w:val="none"/>
          <w:shd w:val="clear" w:color="auto" w:fill="auto"/>
        </w:rPr>
      </w:pPr>
      <w:bookmarkStart w:id="4" w:name="_Toc5520"/>
      <w:r>
        <w:rPr>
          <w:rFonts w:hint="eastAsia" w:ascii="楷体_GB2312" w:eastAsia="楷体_GB2312" w:cs="楷体_GB2312"/>
          <w:sz w:val="32"/>
          <w:szCs w:val="32"/>
          <w:highlight w:val="none"/>
          <w:shd w:val="clear" w:color="auto" w:fill="auto"/>
        </w:rPr>
        <w:t>（二）</w:t>
      </w:r>
      <w:r>
        <w:rPr>
          <w:rFonts w:hint="eastAsia" w:ascii="楷体_GB2312" w:eastAsia="楷体_GB2312" w:cs="楷体_GB2312"/>
          <w:sz w:val="32"/>
          <w:szCs w:val="32"/>
          <w:highlight w:val="none"/>
          <w:shd w:val="clear" w:color="auto" w:fill="auto"/>
          <w:lang w:val="en-US" w:eastAsia="zh-CN"/>
        </w:rPr>
        <w:t>卫生健康局</w:t>
      </w:r>
      <w:r>
        <w:rPr>
          <w:rFonts w:hint="eastAsia" w:ascii="楷体_GB2312" w:eastAsia="楷体_GB2312" w:cs="楷体_GB2312"/>
          <w:sz w:val="32"/>
          <w:szCs w:val="32"/>
          <w:highlight w:val="none"/>
          <w:shd w:val="clear" w:color="auto" w:fill="auto"/>
          <w:lang w:val="en-US"/>
        </w:rPr>
        <w:t>2024</w:t>
      </w:r>
      <w:r>
        <w:rPr>
          <w:rFonts w:hint="eastAsia" w:ascii="楷体_GB2312" w:eastAsia="楷体_GB2312" w:cs="楷体_GB2312"/>
          <w:sz w:val="32"/>
          <w:szCs w:val="32"/>
          <w:highlight w:val="none"/>
          <w:shd w:val="clear" w:color="auto" w:fill="auto"/>
        </w:rPr>
        <w:t>年重点工作</w:t>
      </w:r>
      <w:bookmarkEnd w:id="4"/>
    </w:p>
    <w:p>
      <w:pPr>
        <w:keepNext w:val="0"/>
        <w:keepLines w:val="0"/>
        <w:pageBreakBefore w:val="0"/>
        <w:widowControl w:val="0"/>
        <w:kinsoku w:val="0"/>
        <w:wordWrap/>
        <w:overflowPunct/>
        <w:topLinePunct w:val="0"/>
        <w:autoSpaceDE w:val="0"/>
        <w:autoSpaceDN w:val="0"/>
        <w:bidi w:val="0"/>
        <w:adjustRightInd w:val="0"/>
        <w:snapToGrid w:val="0"/>
        <w:spacing w:line="576" w:lineRule="exact"/>
        <w:ind w:left="0" w:firstLine="640" w:firstLineChars="200"/>
        <w:jc w:val="both"/>
        <w:textAlignment w:val="baseline"/>
        <w:rPr>
          <w:rFonts w:hint="eastAsia" w:ascii="仿宋_GB2312" w:hAnsi="仿宋_GB2312" w:eastAsia="仿宋_GB2312" w:cs="仿宋_GB2312"/>
          <w:color w:val="auto"/>
          <w:sz w:val="32"/>
          <w:szCs w:val="32"/>
          <w:lang w:val="en-US" w:eastAsia="zh-CN"/>
        </w:rPr>
      </w:pPr>
      <w:bookmarkStart w:id="5" w:name="_Toc7754"/>
      <w:r>
        <w:rPr>
          <w:rFonts w:hint="default" w:ascii="Times New Roman" w:hAnsi="Times New Roman" w:eastAsia="仿宋_GB2312" w:cs="Times New Roman"/>
          <w:color w:val="auto"/>
          <w:sz w:val="32"/>
          <w:szCs w:val="32"/>
          <w:lang w:val="en-US" w:eastAsia="zh-CN"/>
        </w:rPr>
        <w:t>2024</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全区卫生健康系统要坚持</w:t>
      </w:r>
      <w:r>
        <w:rPr>
          <w:rFonts w:hint="eastAsia" w:ascii="仿宋_GB2312" w:hAnsi="仿宋_GB2312" w:eastAsia="仿宋_GB2312" w:cs="仿宋_GB2312"/>
          <w:color w:val="auto"/>
          <w:sz w:val="32"/>
          <w:szCs w:val="32"/>
        </w:rPr>
        <w:t>以习近平新时代中国特色社会主义思想为指导，深入贯彻习近平总书记来川来广视察重要指示精神，全面贯彻党的二十大精神以及省委十二届、市委八届</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区委八届</w:t>
      </w:r>
      <w:r>
        <w:rPr>
          <w:rFonts w:hint="eastAsia" w:ascii="仿宋_GB2312" w:hAnsi="仿宋_GB2312" w:eastAsia="仿宋_GB2312" w:cs="仿宋_GB2312"/>
          <w:color w:val="auto"/>
          <w:sz w:val="32"/>
          <w:szCs w:val="32"/>
        </w:rPr>
        <w:t>历次全会精神，聚焦实施“</w:t>
      </w:r>
      <w:r>
        <w:rPr>
          <w:rFonts w:hint="eastAsia" w:ascii="Times New Roman" w:hAnsi="Times New Roman" w:eastAsia="仿宋_GB2312" w:cs="Times New Roman"/>
          <w:color w:val="auto"/>
          <w:sz w:val="32"/>
          <w:szCs w:val="32"/>
          <w:lang w:val="en-US" w:eastAsia="zh-CN"/>
        </w:rPr>
        <w:t>1456</w:t>
      </w:r>
      <w:r>
        <w:rPr>
          <w:rFonts w:hint="eastAsia" w:ascii="仿宋_GB2312" w:hAnsi="仿宋_GB2312" w:eastAsia="仿宋_GB2312" w:cs="仿宋_GB2312"/>
          <w:color w:val="auto"/>
          <w:sz w:val="32"/>
          <w:szCs w:val="32"/>
        </w:rPr>
        <w:t>”发展战略，紧紧围绕高质</w:t>
      </w:r>
      <w:r>
        <w:rPr>
          <w:rFonts w:hint="eastAsia" w:ascii="仿宋_GB2312" w:hAnsi="仿宋_GB2312" w:eastAsia="仿宋_GB2312" w:cs="仿宋_GB2312"/>
          <w:color w:val="auto"/>
          <w:sz w:val="32"/>
          <w:szCs w:val="32"/>
          <w:lang w:val="en-US" w:eastAsia="zh-CN"/>
        </w:rPr>
        <w:t>量发展主题，以“五大行动”为抓手，集中攻坚重点领域的创新突破，奋力开创全区卫生健康事业发展新局面。</w:t>
      </w:r>
    </w:p>
    <w:p>
      <w:pPr>
        <w:keepNext w:val="0"/>
        <w:keepLines w:val="0"/>
        <w:pageBreakBefore w:val="0"/>
        <w:widowControl w:val="0"/>
        <w:kinsoku w:val="0"/>
        <w:wordWrap/>
        <w:overflowPunct/>
        <w:topLinePunct w:val="0"/>
        <w:autoSpaceDE w:val="0"/>
        <w:autoSpaceDN w:val="0"/>
        <w:bidi w:val="0"/>
        <w:adjustRightInd w:val="0"/>
        <w:snapToGrid w:val="0"/>
        <w:spacing w:line="576" w:lineRule="exact"/>
        <w:ind w:left="0" w:firstLine="640" w:firstLineChars="200"/>
        <w:jc w:val="both"/>
        <w:textAlignment w:val="baseline"/>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持续优化医疗资源布局。进一步优化区内各医疗机构床位设置，按照床位使用率高低实行动态调整机制，持续控制住院床日增幅。全面落实“项目攻坚年”决策部署，以公立医院病房改造、医疗设备更新换代、医养结合等重点方面以及卫生健康领域相关政策，谋划储备中央预算内资金、专项债资金、超长国债资金项目16个，总投资3.7亿元。卫子县域医疗次中心项目年底建成投用。</w:t>
      </w:r>
    </w:p>
    <w:p>
      <w:pPr>
        <w:keepNext w:val="0"/>
        <w:keepLines w:val="0"/>
        <w:pageBreakBefore w:val="0"/>
        <w:widowControl w:val="0"/>
        <w:kinsoku w:val="0"/>
        <w:wordWrap/>
        <w:overflowPunct/>
        <w:topLinePunct w:val="0"/>
        <w:autoSpaceDE w:val="0"/>
        <w:autoSpaceDN w:val="0"/>
        <w:bidi w:val="0"/>
        <w:adjustRightInd w:val="0"/>
        <w:snapToGrid w:val="0"/>
        <w:spacing w:line="576" w:lineRule="exact"/>
        <w:ind w:left="0" w:firstLine="640" w:firstLineChars="200"/>
        <w:jc w:val="both"/>
        <w:textAlignment w:val="baseline"/>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深化医药卫生体制改革。全域推进紧密型县域医共体建设，聚焦“十大中心+六个共同体”两个关键，优先实现管理+利益“两个紧密”，稳步推动“八个统一”。以探索实施公立医院主要负责人“目标制+年薪制”为核心内容的薪酬制度改革，确保分级诊疗上转、下转率同比增长10%以上。全面扩大检查检验结果互认范围，区内中心卫生院全面落实同质条件下检查检验结果互认。扎实推进改善医疗质量“五大专项”行动，强化院前急救、院中救治和离院随访等全链条“三升四心”服务，持续改善患者就医体验，三家直属医疗机构全面推行入、出院“一站式”服务，区人民医院、区妇幼保健院全面推行“一次挂号管三天”就医模式，确保门诊+住院患者及员工满意度均达90%以上。基药+医保集中网采率、平均住院日、药占比等医改核心指标达到上级要求，三级区级医院绩效考核持续保持在全市“第一方阵”，力争晋位10位以上，医保DRG清算扣款率控制在5%以内。</w:t>
      </w:r>
    </w:p>
    <w:p>
      <w:pPr>
        <w:keepNext w:val="0"/>
        <w:keepLines w:val="0"/>
        <w:pageBreakBefore w:val="0"/>
        <w:widowControl w:val="0"/>
        <w:kinsoku w:val="0"/>
        <w:wordWrap/>
        <w:overflowPunct/>
        <w:topLinePunct w:val="0"/>
        <w:autoSpaceDE w:val="0"/>
        <w:autoSpaceDN w:val="0"/>
        <w:bidi w:val="0"/>
        <w:adjustRightInd w:val="0"/>
        <w:snapToGrid w:val="0"/>
        <w:spacing w:line="576" w:lineRule="exact"/>
        <w:ind w:left="0" w:firstLine="640" w:firstLineChars="200"/>
        <w:jc w:val="both"/>
        <w:textAlignment w:val="baseline"/>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全面推进健康昭化建设。巩固提升健康促进和慢病综合防控示范区成果，深化健康乡村、健康家庭建设，建成并命名一批健康企业、健康餐厅、营养食堂。落实好医疗卫生、职业卫生、学校卫生、传染病防治等监督执法，深入推进职业卫生分类监督执法试点工作，开展职业病危害专项治理行动，完成全国职业病危害专项治理企业6家，抓好尘肺病康复站规范化建设运行，完善尘肺病人档案管理，加大对常住昭化的尘肺病人救治康复力度。强化部门协同治理，压实行业主管部门监管责任，健全安全生产与职业病防治一体化监督执法机制。完善以“双随机、一公开”为手段、重点监管为补充的监管体制建设。大力实施重大慢性病综合防治“四早”工程，推进重大慢性病早期筛查与综合干预。2024年重大慢性病过早死亡率低于14%，严重精神障碍患者规范管理率达90%，全区居民健康素养水平达30%以上。</w:t>
      </w:r>
    </w:p>
    <w:p>
      <w:pPr>
        <w:keepNext w:val="0"/>
        <w:keepLines w:val="0"/>
        <w:pageBreakBefore w:val="0"/>
        <w:widowControl w:val="0"/>
        <w:kinsoku w:val="0"/>
        <w:wordWrap/>
        <w:overflowPunct/>
        <w:topLinePunct w:val="0"/>
        <w:autoSpaceDE w:val="0"/>
        <w:autoSpaceDN w:val="0"/>
        <w:bidi w:val="0"/>
        <w:adjustRightInd w:val="0"/>
        <w:snapToGrid w:val="0"/>
        <w:spacing w:line="576" w:lineRule="exact"/>
        <w:ind w:left="0" w:firstLine="640" w:firstLineChars="200"/>
        <w:jc w:val="both"/>
        <w:textAlignment w:val="baseline"/>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稳步推进疾控体系改革。按照时间节点要求，完成疾控机构整合重组。加强疾控网络体系建设，健全完善专业公共卫生机构与医疗机构分工协作、优势互补、业务融合的合作机制。完成4家预防接种数字化门诊达标建设。强化食源性疾病监测预警能力，全区二级及以上医疗机构全部实现食源性疾病病例监测网络直报。规范区人民医院传染病区设置，开展公卫医师处方权试点、医疗卫生机构“两个清单”落实情况抽查。建立公共卫生专业技术人员和医疗机构临床医生交叉培训制度，鼓励疾控中心、医疗机构符合条件的专业人员双向流动。健全完善应急预案和应急体系建设，全面提升传染病防控和应急处置能力。加强重点传染病防控，健全艾滋病、结核病、丙肝、梅毒“四病同防”，进一步优化“三线一网底”体系。全区艾滋病检测覆盖率达50%、治疗覆盖率和成功率达94%以上。持续巩固疟疾消除成果。</w:t>
      </w:r>
    </w:p>
    <w:p>
      <w:pPr>
        <w:keepNext w:val="0"/>
        <w:keepLines w:val="0"/>
        <w:pageBreakBefore w:val="0"/>
        <w:widowControl w:val="0"/>
        <w:kinsoku w:val="0"/>
        <w:wordWrap/>
        <w:overflowPunct/>
        <w:topLinePunct w:val="0"/>
        <w:autoSpaceDE w:val="0"/>
        <w:autoSpaceDN w:val="0"/>
        <w:bidi w:val="0"/>
        <w:adjustRightInd w:val="0"/>
        <w:snapToGrid w:val="0"/>
        <w:spacing w:line="576" w:lineRule="exact"/>
        <w:ind w:left="0" w:firstLine="640" w:firstLineChars="200"/>
        <w:jc w:val="both"/>
        <w:textAlignment w:val="baseline"/>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5.强化公立医院内涵建设。区人民医院年内顺利通过二甲复审。PCCM呼吸内科年内达标验收，消化内科、普外科创县级重点专科，区妇幼保健院妇产科创县级重点专科。以“专科联盟”为纽带，积极推进重点学科（专科联盟）建设，区人民医院建成国家级1个、省级2个，区妇幼保健院建成省级1个、市级1个，区中医医院建成省级1个。区人民医院年内实现与上级医院联盟建设两个“五大中心”。区妇幼保健院积极争创省级儿童早教基地，社区卫生服务中心、太公镇中心卫生院年内分别建成“优质服务基层行”基本标准、推荐标准。强化区级16个质控小组能力建设，加强督导检查，助推医疗提质，确保医疗纠纷只减不增，区级医疗机构出院患者临床路径管理率同比增幅大于15%，力争达到70%。认真落实不良事件信息采集、记录和报告制度。持续优化医疗服务性收入结构，严格控制药占比，以“100个负面清单”为遵循，强化医院精细化管理，提升“两个效益”。推动全民健康信息化建设，</w:t>
      </w:r>
      <w:r>
        <w:rPr>
          <w:rFonts w:hint="eastAsia" w:ascii="仿宋_GB2312" w:hAnsi="仿宋_GB2312" w:eastAsia="仿宋_GB2312" w:cs="仿宋_GB2312"/>
          <w:color w:val="auto"/>
          <w:sz w:val="32"/>
          <w:szCs w:val="32"/>
          <w:lang w:val="en-US" w:eastAsia="en-US"/>
        </w:rPr>
        <w:t>优化智慧广元全民健康信息平台昭化分平台建设，持续推进区级公立医疗机构智慧医院建设，力争建成1家互联网医院。大力推进电子健康卡全流程就诊，全面实施分时段预约诊疗、诊间结算、移动支付、远程诊疗等应用服务。打造广元市昭化区卫生健康“医疗云”，提升网络信息安全水平。</w:t>
      </w:r>
    </w:p>
    <w:p>
      <w:pPr>
        <w:keepNext w:val="0"/>
        <w:keepLines w:val="0"/>
        <w:pageBreakBefore w:val="0"/>
        <w:widowControl w:val="0"/>
        <w:kinsoku w:val="0"/>
        <w:wordWrap/>
        <w:overflowPunct/>
        <w:topLinePunct w:val="0"/>
        <w:autoSpaceDE w:val="0"/>
        <w:autoSpaceDN w:val="0"/>
        <w:bidi w:val="0"/>
        <w:adjustRightInd w:val="0"/>
        <w:snapToGrid w:val="0"/>
        <w:spacing w:line="576" w:lineRule="exact"/>
        <w:ind w:left="0" w:firstLine="640" w:firstLineChars="200"/>
        <w:jc w:val="both"/>
        <w:textAlignment w:val="baseline"/>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6.加快健康四川示范县建设。</w:t>
      </w:r>
      <w:r>
        <w:rPr>
          <w:rFonts w:hint="default" w:ascii="仿宋_GB2312" w:hAnsi="仿宋_GB2312" w:eastAsia="仿宋_GB2312" w:cs="仿宋_GB2312"/>
          <w:color w:val="auto"/>
          <w:sz w:val="32"/>
          <w:szCs w:val="32"/>
          <w:lang w:val="en-US" w:eastAsia="zh-CN"/>
        </w:rPr>
        <w:t>出台健康四川示范县建设工作方案，组建工作专班。对标先行，在健康投入、健康治理、健康水平、健康生活、健康服务、健康保障、健康支撑、健康环境、健康产业九大领域“提档升级”，</w:t>
      </w:r>
      <w:r>
        <w:rPr>
          <w:rFonts w:hint="eastAsia" w:ascii="仿宋_GB2312" w:hAnsi="仿宋_GB2312" w:eastAsia="仿宋_GB2312" w:cs="仿宋_GB2312"/>
          <w:color w:val="auto"/>
          <w:sz w:val="32"/>
          <w:szCs w:val="32"/>
          <w:lang w:val="en-US" w:eastAsia="zh-CN"/>
        </w:rPr>
        <w:t>3</w:t>
      </w:r>
      <w:r>
        <w:rPr>
          <w:rFonts w:hint="default" w:ascii="仿宋_GB2312" w:hAnsi="仿宋_GB2312" w:eastAsia="仿宋_GB2312" w:cs="仿宋_GB2312"/>
          <w:color w:val="auto"/>
          <w:sz w:val="32"/>
          <w:szCs w:val="32"/>
          <w:lang w:val="en-US" w:eastAsia="zh-CN"/>
        </w:rPr>
        <w:t>月启动、6月基本完成指标建设，并接受各级督导，争取10月验收</w:t>
      </w:r>
      <w:r>
        <w:rPr>
          <w:rFonts w:hint="eastAsia" w:ascii="仿宋_GB2312" w:hAnsi="仿宋_GB2312" w:eastAsia="仿宋_GB2312" w:cs="仿宋_GB2312"/>
          <w:color w:val="auto"/>
          <w:sz w:val="32"/>
          <w:szCs w:val="32"/>
          <w:lang w:val="en-US" w:eastAsia="zh-CN"/>
        </w:rPr>
        <w:t>达标</w:t>
      </w:r>
      <w:r>
        <w:rPr>
          <w:rFonts w:hint="default" w:ascii="仿宋_GB2312" w:hAnsi="仿宋_GB2312" w:eastAsia="仿宋_GB2312" w:cs="仿宋_GB2312"/>
          <w:color w:val="auto"/>
          <w:sz w:val="32"/>
          <w:szCs w:val="32"/>
          <w:lang w:val="en-US" w:eastAsia="zh-CN"/>
        </w:rPr>
        <w:t>。主要健康指标优于全省平均水平。</w:t>
      </w:r>
    </w:p>
    <w:p>
      <w:pPr>
        <w:keepNext w:val="0"/>
        <w:keepLines w:val="0"/>
        <w:pageBreakBefore w:val="0"/>
        <w:widowControl w:val="0"/>
        <w:kinsoku w:val="0"/>
        <w:wordWrap/>
        <w:overflowPunct/>
        <w:topLinePunct w:val="0"/>
        <w:autoSpaceDE w:val="0"/>
        <w:autoSpaceDN w:val="0"/>
        <w:bidi w:val="0"/>
        <w:adjustRightInd w:val="0"/>
        <w:snapToGrid w:val="0"/>
        <w:spacing w:line="576" w:lineRule="exact"/>
        <w:ind w:left="0" w:firstLine="640" w:firstLineChars="200"/>
        <w:jc w:val="both"/>
        <w:textAlignment w:val="baseline"/>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7.促进中医药传承创新发展。推动区中医院针灸康复科、脾胃科、中医适宜技术推广中心建设，强化区中医医院绩效考核，提升“一老一小”及特殊人群医、康、养融合服务能力，力争区中医医院创等升级。推动卫子镇中心卫生院、昭化镇中心卫生院针灸理疗科创建省级基层临床特色科室。开展中医服务能力提升行动，积极推广20种中医治未病干预方案，协同推进省中医强基层“百千万”行动，大力培训宣传推广中医药适宜技术，提升基层中医服务量占比。</w:t>
      </w:r>
    </w:p>
    <w:p>
      <w:pPr>
        <w:keepNext w:val="0"/>
        <w:keepLines w:val="0"/>
        <w:pageBreakBefore w:val="0"/>
        <w:widowControl w:val="0"/>
        <w:kinsoku w:val="0"/>
        <w:wordWrap/>
        <w:overflowPunct/>
        <w:topLinePunct w:val="0"/>
        <w:autoSpaceDE w:val="0"/>
        <w:autoSpaceDN w:val="0"/>
        <w:bidi w:val="0"/>
        <w:adjustRightInd w:val="0"/>
        <w:snapToGrid w:val="0"/>
        <w:spacing w:line="576" w:lineRule="exact"/>
        <w:ind w:left="0" w:firstLine="640" w:firstLineChars="200"/>
        <w:jc w:val="both"/>
        <w:textAlignment w:val="baseline"/>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8.办好卫生健康民生实事。开展失能老年人“健康敲门”行动，为全区650名65岁及以上失能老年人提供健康敲门服务。深入推进医养结合、老年友善医疗机构建设，加快卫子镇养老中心改造。持续巩固健康扶贫成果，强化对重点监测对象的管理，确保入户率达</w:t>
      </w:r>
      <w:r>
        <w:rPr>
          <w:rFonts w:hint="eastAsia" w:ascii="仿宋_GB2312" w:hAnsi="仿宋_GB2312" w:eastAsia="仿宋_GB2312" w:cs="仿宋_GB2312"/>
          <w:color w:val="auto"/>
          <w:sz w:val="32"/>
          <w:szCs w:val="32"/>
          <w:lang w:val="en-US" w:eastAsia="en-US"/>
        </w:rPr>
        <w:t>100%</w:t>
      </w:r>
      <w:r>
        <w:rPr>
          <w:rFonts w:hint="eastAsia" w:ascii="仿宋_GB2312" w:hAnsi="仿宋_GB2312" w:eastAsia="仿宋_GB2312" w:cs="仿宋_GB2312"/>
          <w:color w:val="auto"/>
          <w:sz w:val="32"/>
          <w:szCs w:val="32"/>
          <w:lang w:val="en-US" w:eastAsia="zh-CN"/>
        </w:rPr>
        <w:t>，患病救治率达</w:t>
      </w:r>
      <w:r>
        <w:rPr>
          <w:rFonts w:hint="eastAsia" w:ascii="仿宋_GB2312" w:hAnsi="仿宋_GB2312" w:eastAsia="仿宋_GB2312" w:cs="仿宋_GB2312"/>
          <w:color w:val="auto"/>
          <w:sz w:val="32"/>
          <w:szCs w:val="32"/>
          <w:lang w:val="en-US" w:eastAsia="en-US"/>
        </w:rPr>
        <w:t>100%</w:t>
      </w:r>
      <w:r>
        <w:rPr>
          <w:rFonts w:hint="eastAsia" w:ascii="仿宋_GB2312" w:hAnsi="仿宋_GB2312" w:eastAsia="仿宋_GB2312" w:cs="仿宋_GB2312"/>
          <w:color w:val="auto"/>
          <w:sz w:val="32"/>
          <w:szCs w:val="32"/>
          <w:lang w:val="en-US" w:eastAsia="zh-CN"/>
        </w:rPr>
        <w:t>，家庭医生签约率达</w:t>
      </w:r>
      <w:r>
        <w:rPr>
          <w:rFonts w:hint="eastAsia" w:ascii="仿宋_GB2312" w:hAnsi="仿宋_GB2312" w:eastAsia="仿宋_GB2312" w:cs="仿宋_GB2312"/>
          <w:color w:val="auto"/>
          <w:sz w:val="32"/>
          <w:szCs w:val="32"/>
          <w:lang w:val="en-US" w:eastAsia="en-US"/>
        </w:rPr>
        <w:t>100%</w:t>
      </w:r>
      <w:r>
        <w:rPr>
          <w:rFonts w:hint="eastAsia" w:ascii="仿宋_GB2312" w:hAnsi="仿宋_GB2312" w:eastAsia="仿宋_GB2312" w:cs="仿宋_GB2312"/>
          <w:color w:val="auto"/>
          <w:sz w:val="32"/>
          <w:szCs w:val="32"/>
          <w:lang w:val="en-US" w:eastAsia="zh-CN"/>
        </w:rPr>
        <w:t>，高血压、糖尿病、结核病的规范管理率达</w:t>
      </w:r>
      <w:r>
        <w:rPr>
          <w:rFonts w:hint="eastAsia" w:ascii="仿宋_GB2312" w:hAnsi="仿宋_GB2312" w:eastAsia="仿宋_GB2312" w:cs="仿宋_GB2312"/>
          <w:color w:val="auto"/>
          <w:sz w:val="32"/>
          <w:szCs w:val="32"/>
          <w:lang w:val="en-US" w:eastAsia="en-US"/>
        </w:rPr>
        <w:t>99%</w:t>
      </w:r>
      <w:r>
        <w:rPr>
          <w:rFonts w:hint="eastAsia" w:ascii="仿宋_GB2312" w:hAnsi="仿宋_GB2312" w:eastAsia="仿宋_GB2312" w:cs="仿宋_GB2312"/>
          <w:color w:val="auto"/>
          <w:sz w:val="32"/>
          <w:szCs w:val="32"/>
          <w:lang w:val="en-US" w:eastAsia="zh-CN"/>
        </w:rPr>
        <w:t>及以上。持续开展适龄农村妇女“两癌”筛查，新生儿先天性心脏病筛查率达</w:t>
      </w:r>
      <w:r>
        <w:rPr>
          <w:rFonts w:hint="eastAsia" w:ascii="仿宋_GB2312" w:hAnsi="仿宋_GB2312" w:eastAsia="仿宋_GB2312" w:cs="仿宋_GB2312"/>
          <w:color w:val="auto"/>
          <w:sz w:val="32"/>
          <w:szCs w:val="32"/>
          <w:lang w:val="en-US" w:eastAsia="en-US"/>
        </w:rPr>
        <w:t>90%</w:t>
      </w:r>
      <w:r>
        <w:rPr>
          <w:rFonts w:hint="eastAsia" w:ascii="仿宋_GB2312" w:hAnsi="仿宋_GB2312" w:eastAsia="仿宋_GB2312" w:cs="仿宋_GB2312"/>
          <w:color w:val="auto"/>
          <w:sz w:val="32"/>
          <w:szCs w:val="32"/>
          <w:lang w:val="en-US" w:eastAsia="zh-CN"/>
        </w:rPr>
        <w:t>以上。实施好出生缺陷遗传代谢病救助、先天性结构畸形救助和功能性出生缺陷救助项目，确保孕产妇、新生儿等死亡率低于全省平均水平。加强出生医学证明规范管理。深入推进12项基本公共卫生在辖区内实施，提高居民对项目的满意度和获得感。强化家庭医生签约服务，十类重点人群签约覆盖率不低于</w:t>
      </w:r>
      <w:r>
        <w:rPr>
          <w:rFonts w:hint="eastAsia" w:ascii="仿宋_GB2312" w:hAnsi="仿宋_GB2312" w:eastAsia="仿宋_GB2312" w:cs="仿宋_GB2312"/>
          <w:color w:val="auto"/>
          <w:sz w:val="32"/>
          <w:szCs w:val="32"/>
          <w:lang w:val="en-US" w:eastAsia="en-US"/>
        </w:rPr>
        <w:t>80%</w:t>
      </w:r>
      <w:r>
        <w:rPr>
          <w:rFonts w:hint="eastAsia" w:ascii="仿宋_GB2312" w:hAnsi="仿宋_GB2312" w:eastAsia="仿宋_GB2312" w:cs="仿宋_GB2312"/>
          <w:color w:val="auto"/>
          <w:sz w:val="32"/>
          <w:szCs w:val="32"/>
          <w:lang w:val="en-US" w:eastAsia="zh-CN"/>
        </w:rPr>
        <w:t>。促进人口长期均衡发展，加快发展婴幼儿照护服务体系，启动3家公立托育机构建设项目，新增托位数130个以上。健全完善计划生育家庭权益维护体系，全面落实计生家庭奖励扶助政策。强化人口预警机制，加大人口监测力度。</w:t>
      </w:r>
    </w:p>
    <w:p>
      <w:pPr>
        <w:keepNext w:val="0"/>
        <w:keepLines w:val="0"/>
        <w:pageBreakBefore w:val="0"/>
        <w:widowControl w:val="0"/>
        <w:kinsoku w:val="0"/>
        <w:wordWrap/>
        <w:overflowPunct/>
        <w:topLinePunct w:val="0"/>
        <w:autoSpaceDE w:val="0"/>
        <w:autoSpaceDN w:val="0"/>
        <w:bidi w:val="0"/>
        <w:adjustRightInd w:val="0"/>
        <w:snapToGrid w:val="0"/>
        <w:spacing w:line="576" w:lineRule="exact"/>
        <w:ind w:left="0" w:firstLine="640" w:firstLineChars="200"/>
        <w:jc w:val="both"/>
        <w:textAlignment w:val="baseline"/>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9.引育人才汇集发展活力。</w:t>
      </w:r>
      <w:r>
        <w:rPr>
          <w:rFonts w:hint="default" w:ascii="仿宋_GB2312" w:hAnsi="仿宋_GB2312" w:eastAsia="仿宋_GB2312" w:cs="仿宋_GB2312"/>
          <w:color w:val="auto"/>
          <w:sz w:val="32"/>
          <w:szCs w:val="32"/>
          <w:lang w:val="en-US" w:eastAsia="zh-CN"/>
        </w:rPr>
        <w:t>实施卫生人才引育计划</w:t>
      </w:r>
      <w:r>
        <w:rPr>
          <w:rFonts w:hint="eastAsia" w:ascii="仿宋_GB2312" w:hAnsi="仿宋_GB2312" w:eastAsia="仿宋_GB2312" w:cs="仿宋_GB2312"/>
          <w:color w:val="auto"/>
          <w:sz w:val="32"/>
          <w:szCs w:val="32"/>
          <w:lang w:val="en-US" w:eastAsia="zh-CN"/>
        </w:rPr>
        <w:t>，</w:t>
      </w:r>
      <w:r>
        <w:rPr>
          <w:rFonts w:hint="default" w:ascii="仿宋_GB2312" w:hAnsi="仿宋_GB2312" w:eastAsia="仿宋_GB2312" w:cs="仿宋_GB2312"/>
          <w:color w:val="auto"/>
          <w:sz w:val="32"/>
          <w:szCs w:val="32"/>
          <w:lang w:val="en-US" w:eastAsia="zh-CN"/>
        </w:rPr>
        <w:t>健全卫生人才引育留用等政策机制，探索“高精</w:t>
      </w:r>
      <w:r>
        <w:rPr>
          <w:rFonts w:hint="eastAsia" w:ascii="仿宋_GB2312" w:hAnsi="仿宋_GB2312" w:eastAsia="仿宋_GB2312" w:cs="仿宋_GB2312"/>
          <w:color w:val="auto"/>
          <w:sz w:val="32"/>
          <w:szCs w:val="32"/>
          <w:lang w:val="en-US" w:eastAsia="zh-CN"/>
        </w:rPr>
        <w:t>急</w:t>
      </w:r>
      <w:r>
        <w:rPr>
          <w:rFonts w:hint="default" w:ascii="仿宋_GB2312" w:hAnsi="仿宋_GB2312" w:eastAsia="仿宋_GB2312" w:cs="仿宋_GB2312"/>
          <w:color w:val="auto"/>
          <w:sz w:val="32"/>
          <w:szCs w:val="32"/>
          <w:lang w:val="en-US" w:eastAsia="zh-CN"/>
        </w:rPr>
        <w:t>缺”人才“一事一议”个性化引进，全年引进本科及以上高层次和急需紧缺专业人才不少于5名。积极推荐申报“天府青城计划”、医疗卫生领军人才“蜀道英才计划”、市第八批学术和技术带头人及后备人选等人才项目。深化拱昭协作，继续加强双方人员交流互派，持续推进“医联体”建设，力争促成区人民医院与四川大学华西第四医院，区妇幼保健院与省妇幼保健院，区中医医院与四川省第二中医医院建成专科联盟。推行“区招镇用”“乡聘村用”，落实农村订单定向免费本科医学生培养和全科医生培养任务，实施大学生乡村医生专项计划，落实大学生乡村医生编制保障，逐步提高大学生村医比例和乡村医生具备执业</w:t>
      </w:r>
      <w:r>
        <w:rPr>
          <w:rFonts w:hint="eastAsia" w:ascii="仿宋_GB2312" w:hAnsi="仿宋_GB2312" w:eastAsia="仿宋_GB2312" w:cs="仿宋_GB2312"/>
          <w:color w:val="auto"/>
          <w:sz w:val="32"/>
          <w:szCs w:val="32"/>
          <w:lang w:val="en-US" w:eastAsia="zh-CN"/>
        </w:rPr>
        <w:t>（</w:t>
      </w:r>
      <w:r>
        <w:rPr>
          <w:rFonts w:hint="default" w:ascii="仿宋_GB2312" w:hAnsi="仿宋_GB2312" w:eastAsia="仿宋_GB2312" w:cs="仿宋_GB2312"/>
          <w:color w:val="auto"/>
          <w:sz w:val="32"/>
          <w:szCs w:val="32"/>
          <w:lang w:val="en-US" w:eastAsia="zh-CN"/>
        </w:rPr>
        <w:t>助理</w:t>
      </w:r>
      <w:r>
        <w:rPr>
          <w:rFonts w:hint="eastAsia" w:ascii="仿宋_GB2312" w:hAnsi="仿宋_GB2312" w:eastAsia="仿宋_GB2312" w:cs="仿宋_GB2312"/>
          <w:color w:val="auto"/>
          <w:sz w:val="32"/>
          <w:szCs w:val="32"/>
          <w:lang w:val="en-US" w:eastAsia="zh-CN"/>
        </w:rPr>
        <w:t>）</w:t>
      </w:r>
      <w:r>
        <w:rPr>
          <w:rFonts w:hint="default" w:ascii="仿宋_GB2312" w:hAnsi="仿宋_GB2312" w:eastAsia="仿宋_GB2312" w:cs="仿宋_GB2312"/>
          <w:color w:val="auto"/>
          <w:sz w:val="32"/>
          <w:szCs w:val="32"/>
          <w:lang w:val="en-US" w:eastAsia="zh-CN"/>
        </w:rPr>
        <w:t>医师资格比例。扎实开展对口支援“传帮带”和葭萌英才“五进”活动，持续引导优秀人才服务基层一线。</w:t>
      </w:r>
    </w:p>
    <w:p>
      <w:pPr>
        <w:keepNext w:val="0"/>
        <w:keepLines w:val="0"/>
        <w:pageBreakBefore w:val="0"/>
        <w:widowControl w:val="0"/>
        <w:kinsoku w:val="0"/>
        <w:wordWrap/>
        <w:overflowPunct/>
        <w:topLinePunct w:val="0"/>
        <w:autoSpaceDE w:val="0"/>
        <w:autoSpaceDN w:val="0"/>
        <w:bidi w:val="0"/>
        <w:adjustRightInd w:val="0"/>
        <w:snapToGrid w:val="0"/>
        <w:spacing w:line="576" w:lineRule="exact"/>
        <w:ind w:left="0" w:firstLine="640" w:firstLineChars="200"/>
        <w:jc w:val="both"/>
        <w:textAlignment w:val="baseline"/>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10.纵深推进全面从严治党。深化卫生健康行业党委建设，全面落实公立医院党组织领导下的院长负责制，明确组织、纪检、宣传、统战等工作“专员”。扎实开展党纪学习教育，深化拓展主题教育成果，推动全区卫生健康系统党员干部在深化内化转化上下功夫。持续开展支部标准化规范化建设，完成50名以上正式党员的公立医院成立党委。严格落实意识形态工作责任制，加强网络舆情监测，重点分析研判意识形态风险，用好新媒体传播矩阵，树立卫健新形象，传播卫健正能量。持续推动全区卫生健康系统纪律作风建设三年提升行动，完成八届区委第五轮巡察反馈问题整改，高质量打造一批“党风清明、院风清朗、医风清正、行风清新”的清廉医院。</w:t>
      </w:r>
    </w:p>
    <w:p>
      <w:pPr>
        <w:keepNext w:val="0"/>
        <w:keepLines w:val="0"/>
        <w:pageBreakBefore w:val="0"/>
        <w:widowControl w:val="0"/>
        <w:kinsoku w:val="0"/>
        <w:wordWrap/>
        <w:overflowPunct/>
        <w:topLinePunct w:val="0"/>
        <w:autoSpaceDE w:val="0"/>
        <w:autoSpaceDN w:val="0"/>
        <w:bidi w:val="0"/>
        <w:adjustRightInd w:val="0"/>
        <w:snapToGrid w:val="0"/>
        <w:spacing w:line="576" w:lineRule="exact"/>
        <w:ind w:left="0" w:firstLine="640" w:firstLineChars="200"/>
        <w:jc w:val="both"/>
        <w:textAlignment w:val="baseline"/>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11.平安护航防范安全隐患。提高行业法治素养水平，把法治建设纳入医疗机构发展总体规划，建立以章程为统领的现代医院管理制度。深入推进全员学法用法，提升医疗机构党政负责人法治意识，提高医务人员依法执业和服务水平。完善医院法治和惩防体系，深化医疗“三监管”坚定稳妥推进医药领域腐败问题集中整治，着力解决一批群众反映强烈的突出问题，积极构建医疗纠纷多元化解机制，营造和谐医患关系。全面落实安全生产“党政同责、一岗双责”工作要求，坚持系统观念，树牢底线思维，健全完善制度体系。各级医疗机构要切实履行主体责任，坚持“三管三必须”原则，织密织牢安全生产责任链条，有效防范各类风险挑战。抓实风险排查整治与管控，紧盯消防、危险化学品、建筑施工、燃气安全等关键环节，全面排查整治全系统安全生产风险隐患，健全完善重大隐患全过程闭环管理机制。强化信访维稳，全面起底排查卫生健康领域各种信访突出问题、矛盾纠纷和</w:t>
      </w:r>
      <w:r>
        <w:rPr>
          <w:rFonts w:hint="eastAsia" w:ascii="Times New Roman" w:hAnsi="Times New Roman" w:eastAsia="仿宋_GB2312" w:cs="Times New Roman"/>
          <w:color w:val="auto"/>
          <w:sz w:val="32"/>
          <w:szCs w:val="32"/>
          <w:lang w:val="en-US" w:eastAsia="zh-CN"/>
        </w:rPr>
        <w:t>苗头隐患，持续加强信访问题源头治理、疏导稳控和集案化解。落实开展“卫您办”行动。规范做好机要保密、档案管理、信息公开等工作。</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outlineLvl w:val="0"/>
        <w:rPr>
          <w:rFonts w:hint="eastAsia" w:ascii="黑体" w:eastAsia="黑体" w:cs="黑体"/>
          <w:sz w:val="32"/>
          <w:szCs w:val="32"/>
          <w:lang w:val="en-US" w:eastAsia="zh-CN"/>
        </w:rPr>
      </w:pPr>
      <w:r>
        <w:rPr>
          <w:rFonts w:hint="eastAsia" w:ascii="黑体" w:eastAsia="黑体" w:cs="黑体"/>
          <w:sz w:val="32"/>
          <w:szCs w:val="32"/>
          <w:lang w:val="en-US" w:eastAsia="zh-CN"/>
        </w:rPr>
        <w:t>二、部门预算单位构成</w:t>
      </w:r>
      <w:bookmarkEnd w:id="5"/>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仿宋_GB2312"/>
          <w:sz w:val="32"/>
          <w:szCs w:val="32"/>
          <w:highlight w:val="green"/>
          <w:lang w:val="en-US" w:eastAsia="zh-CN"/>
        </w:rPr>
      </w:pPr>
      <w:r>
        <w:rPr>
          <w:rFonts w:ascii="Times New Roman" w:hAnsi="Times New Roman" w:eastAsia="仿宋_GB2312" w:cs="Times New Roman"/>
          <w:color w:val="auto"/>
          <w:sz w:val="32"/>
          <w:szCs w:val="32"/>
          <w:lang w:eastAsia="zh-CN"/>
        </w:rPr>
        <w:t>区卫生健康局及</w:t>
      </w:r>
      <w:r>
        <w:rPr>
          <w:rFonts w:ascii="Times New Roman" w:hAnsi="Times New Roman" w:eastAsia="仿宋_GB2312" w:cs="Times New Roman"/>
          <w:color w:val="auto"/>
          <w:sz w:val="32"/>
          <w:szCs w:val="32"/>
        </w:rPr>
        <w:t>下属二级预算单位</w:t>
      </w:r>
      <w:r>
        <w:rPr>
          <w:rFonts w:ascii="Times New Roman" w:hAnsi="Times New Roman" w:eastAsia="仿宋_GB2312" w:cs="Times New Roman"/>
          <w:color w:val="auto"/>
          <w:sz w:val="32"/>
          <w:szCs w:val="32"/>
          <w:lang w:val="en-US" w:eastAsia="zh-CN"/>
        </w:rPr>
        <w:t>16</w:t>
      </w:r>
      <w:r>
        <w:rPr>
          <w:rFonts w:ascii="Times New Roman" w:hAnsi="Times New Roman" w:eastAsia="仿宋_GB2312" w:cs="Times New Roman"/>
          <w:color w:val="auto"/>
          <w:sz w:val="32"/>
          <w:szCs w:val="32"/>
        </w:rPr>
        <w:t>个，其中</w:t>
      </w:r>
      <w:r>
        <w:rPr>
          <w:rFonts w:hint="eastAsia" w:ascii="Times New Roman" w:hAnsi="Times New Roman" w:eastAsia="仿宋_GB2312" w:cs="Times New Roman"/>
          <w:color w:val="auto"/>
          <w:sz w:val="32"/>
          <w:szCs w:val="32"/>
          <w:lang w:eastAsia="zh-CN"/>
        </w:rPr>
        <w:t>：</w:t>
      </w:r>
      <w:r>
        <w:rPr>
          <w:rFonts w:ascii="Times New Roman" w:hAnsi="Times New Roman" w:eastAsia="仿宋_GB2312" w:cs="Times New Roman"/>
          <w:color w:val="auto"/>
          <w:sz w:val="32"/>
          <w:szCs w:val="32"/>
        </w:rPr>
        <w:t>行政单位</w:t>
      </w:r>
      <w:r>
        <w:rPr>
          <w:rFonts w:ascii="Times New Roman" w:hAnsi="Times New Roman" w:eastAsia="仿宋_GB2312" w:cs="Times New Roman"/>
          <w:color w:val="auto"/>
          <w:sz w:val="32"/>
          <w:szCs w:val="32"/>
          <w:lang w:val="en-US" w:eastAsia="zh-CN"/>
        </w:rPr>
        <w:t>1</w:t>
      </w:r>
      <w:r>
        <w:rPr>
          <w:rFonts w:ascii="Times New Roman" w:hAnsi="Times New Roman" w:eastAsia="仿宋_GB2312" w:cs="Times New Roman"/>
          <w:color w:val="auto"/>
          <w:sz w:val="32"/>
          <w:szCs w:val="32"/>
        </w:rPr>
        <w:t>个，其他事业单位</w:t>
      </w:r>
      <w:r>
        <w:rPr>
          <w:rFonts w:ascii="Times New Roman" w:hAnsi="Times New Roman" w:eastAsia="仿宋_GB2312" w:cs="Times New Roman"/>
          <w:color w:val="auto"/>
          <w:sz w:val="32"/>
          <w:szCs w:val="32"/>
          <w:lang w:val="en-US" w:eastAsia="zh-CN"/>
        </w:rPr>
        <w:t>15</w:t>
      </w:r>
      <w:r>
        <w:rPr>
          <w:rFonts w:ascii="Times New Roman" w:hAnsi="Times New Roman" w:eastAsia="仿宋_GB2312" w:cs="Times New Roman"/>
          <w:color w:val="auto"/>
          <w:sz w:val="32"/>
          <w:szCs w:val="32"/>
        </w:rPr>
        <w:t>个。</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outlineLvl w:val="0"/>
        <w:rPr>
          <w:rFonts w:hint="eastAsia" w:ascii="黑体" w:eastAsia="黑体" w:cs="黑体"/>
          <w:sz w:val="32"/>
          <w:szCs w:val="32"/>
        </w:rPr>
      </w:pPr>
      <w:bookmarkStart w:id="6" w:name="_Toc28527"/>
      <w:r>
        <w:rPr>
          <w:rFonts w:hint="eastAsia" w:ascii="黑体" w:eastAsia="黑体" w:cs="黑体"/>
          <w:sz w:val="32"/>
          <w:szCs w:val="32"/>
          <w:lang w:val="en-US" w:eastAsia="zh-CN"/>
        </w:rPr>
        <w:t>三、收支预算情况说明</w:t>
      </w:r>
      <w:bookmarkEnd w:id="6"/>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仿宋_GB2312"/>
          <w:sz w:val="32"/>
          <w:szCs w:val="32"/>
        </w:rPr>
      </w:pPr>
      <w:r>
        <w:rPr>
          <w:rFonts w:hint="eastAsia" w:ascii="仿宋_GB2312" w:eastAsia="仿宋_GB2312" w:cs="仿宋_GB2312"/>
          <w:sz w:val="32"/>
          <w:szCs w:val="32"/>
          <w:lang w:val="en-US" w:eastAsia="zh-CN"/>
        </w:rPr>
        <w:t>按照综合预算的原则，卫生健康局所有收入和支出均纳入部门预算管理。收入包括：一般公共预算拨款收入；支出包括：社会保障和就业支出、卫生健康支出、住房保障支出。卫生健康局2024年收支预算总数7692.38万元，比2023年收支预算总数增加47.38万元，主要原因是</w:t>
      </w:r>
      <w:r>
        <w:rPr>
          <w:rFonts w:ascii="Times New Roman" w:hAnsi="Times New Roman" w:eastAsia="仿宋_GB2312" w:cs="Times New Roman"/>
          <w:color w:val="auto"/>
          <w:sz w:val="32"/>
          <w:szCs w:val="32"/>
          <w:highlight w:val="none"/>
          <w:lang w:eastAsia="zh-CN"/>
        </w:rPr>
        <w:t>新</w:t>
      </w:r>
      <w:r>
        <w:rPr>
          <w:rFonts w:hint="eastAsia" w:ascii="Times New Roman" w:hAnsi="Times New Roman" w:eastAsia="仿宋_GB2312" w:cs="Times New Roman"/>
          <w:color w:val="auto"/>
          <w:sz w:val="32"/>
          <w:szCs w:val="32"/>
          <w:highlight w:val="none"/>
          <w:lang w:eastAsia="zh-CN"/>
        </w:rPr>
        <w:t>增加了乡镇工作补贴和职业年金做实项目</w:t>
      </w:r>
      <w:r>
        <w:rPr>
          <w:rFonts w:hint="eastAsia" w:ascii="仿宋_GB2312" w:eastAsia="仿宋_GB2312" w:cs="仿宋_GB2312"/>
          <w:sz w:val="32"/>
          <w:szCs w:val="32"/>
          <w:lang w:val="en-US" w:eastAsia="zh-CN"/>
        </w:rPr>
        <w:t>。</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eastAsia="楷体_GB2312" w:cs="楷体_GB2312"/>
          <w:sz w:val="32"/>
          <w:szCs w:val="32"/>
          <w:lang w:val="en-US" w:eastAsia="zh-CN"/>
        </w:rPr>
      </w:pPr>
      <w:bookmarkStart w:id="7" w:name="_Toc17269"/>
      <w:r>
        <w:rPr>
          <w:rFonts w:hint="eastAsia" w:ascii="楷体_GB2312" w:eastAsia="楷体_GB2312" w:cs="楷体_GB2312"/>
          <w:sz w:val="32"/>
          <w:szCs w:val="32"/>
          <w:lang w:val="en-US" w:eastAsia="zh-CN"/>
        </w:rPr>
        <w:t>（一）收入预算情况</w:t>
      </w:r>
      <w:bookmarkEnd w:id="7"/>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卫生健康局2024年收入预算7692.38万元，其中：一般公共预算拨款收入7692.38万元，占100%。</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eastAsia="楷体_GB2312" w:cs="楷体_GB2312"/>
          <w:sz w:val="32"/>
          <w:szCs w:val="32"/>
          <w:lang w:val="en-US" w:eastAsia="zh-CN"/>
        </w:rPr>
      </w:pPr>
      <w:bookmarkStart w:id="8" w:name="_Toc5300"/>
      <w:r>
        <w:rPr>
          <w:rFonts w:hint="eastAsia" w:ascii="楷体_GB2312" w:eastAsia="楷体_GB2312" w:cs="楷体_GB2312"/>
          <w:sz w:val="32"/>
          <w:szCs w:val="32"/>
          <w:lang w:val="en-US" w:eastAsia="zh-CN"/>
        </w:rPr>
        <w:t>（二）支出预算情况</w:t>
      </w:r>
      <w:bookmarkEnd w:id="8"/>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仿宋_GB2312"/>
          <w:b/>
          <w:bCs/>
          <w:sz w:val="32"/>
          <w:szCs w:val="32"/>
          <w:lang w:val="en-US" w:eastAsia="zh-CN"/>
        </w:rPr>
      </w:pPr>
      <w:r>
        <w:rPr>
          <w:rFonts w:hint="eastAsia" w:ascii="仿宋_GB2312" w:eastAsia="仿宋_GB2312" w:cs="仿宋_GB2312"/>
          <w:sz w:val="32"/>
          <w:szCs w:val="32"/>
          <w:lang w:val="en-US" w:eastAsia="zh-CN"/>
        </w:rPr>
        <w:t>卫生健康局2024年支出预算7692.38万元，其中：基本支出6199.42万元，占80.59%；项目支出1492.96万元，占19.41%</w:t>
      </w:r>
      <w:r>
        <w:rPr>
          <w:rFonts w:hint="eastAsia" w:ascii="仿宋_GB2312" w:eastAsia="仿宋_GB2312" w:cs="仿宋_GB2312"/>
          <w:b w:val="0"/>
          <w:bCs w:val="0"/>
          <w:sz w:val="32"/>
          <w:szCs w:val="32"/>
          <w:lang w:val="en-US" w:eastAsia="zh-CN"/>
        </w:rPr>
        <w:t>。</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outlineLvl w:val="0"/>
        <w:rPr>
          <w:rFonts w:hint="eastAsia" w:ascii="黑体" w:eastAsia="黑体" w:cs="黑体"/>
          <w:sz w:val="32"/>
          <w:szCs w:val="32"/>
        </w:rPr>
      </w:pPr>
      <w:bookmarkStart w:id="9" w:name="_Toc3573"/>
      <w:r>
        <w:rPr>
          <w:rFonts w:hint="eastAsia" w:ascii="黑体" w:eastAsia="黑体" w:cs="黑体"/>
          <w:sz w:val="32"/>
          <w:szCs w:val="32"/>
          <w:lang w:val="en-US" w:eastAsia="zh-CN"/>
        </w:rPr>
        <w:t>四、财政拨款收支预算情况说明</w:t>
      </w:r>
      <w:bookmarkEnd w:id="9"/>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仿宋_GB2312"/>
          <w:sz w:val="32"/>
          <w:szCs w:val="32"/>
        </w:rPr>
      </w:pPr>
      <w:r>
        <w:rPr>
          <w:rFonts w:hint="eastAsia" w:ascii="仿宋_GB2312" w:eastAsia="仿宋_GB2312" w:cs="仿宋_GB2312"/>
          <w:sz w:val="32"/>
          <w:szCs w:val="32"/>
          <w:lang w:val="en-US" w:eastAsia="zh-CN"/>
        </w:rPr>
        <w:t>卫生健康局2024年财政拨款收支预算总数7692.38万元，比2023年财政拨款收支预算总数增加47.38万元，主要原因是</w:t>
      </w:r>
      <w:r>
        <w:rPr>
          <w:rFonts w:ascii="Times New Roman" w:hAnsi="Times New Roman" w:eastAsia="仿宋_GB2312" w:cs="Times New Roman"/>
          <w:color w:val="auto"/>
          <w:sz w:val="32"/>
          <w:szCs w:val="32"/>
          <w:highlight w:val="none"/>
          <w:lang w:eastAsia="zh-CN"/>
        </w:rPr>
        <w:t>新</w:t>
      </w:r>
      <w:r>
        <w:rPr>
          <w:rFonts w:hint="eastAsia" w:ascii="Times New Roman" w:hAnsi="Times New Roman" w:eastAsia="仿宋_GB2312" w:cs="Times New Roman"/>
          <w:color w:val="auto"/>
          <w:sz w:val="32"/>
          <w:szCs w:val="32"/>
          <w:highlight w:val="none"/>
          <w:lang w:eastAsia="zh-CN"/>
        </w:rPr>
        <w:t>增加了乡镇工作补贴和职业年金做实项目</w:t>
      </w:r>
      <w:r>
        <w:rPr>
          <w:rFonts w:hint="eastAsia" w:ascii="仿宋_GB2312" w:eastAsia="仿宋_GB2312" w:cs="仿宋_GB2312"/>
          <w:sz w:val="32"/>
          <w:szCs w:val="32"/>
          <w:lang w:val="en-US" w:eastAsia="zh-CN"/>
        </w:rPr>
        <w:t>。</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仿宋_GB2312"/>
          <w:b/>
          <w:bCs/>
          <w:sz w:val="32"/>
          <w:szCs w:val="32"/>
          <w:lang w:val="en-US" w:eastAsia="zh-CN"/>
        </w:rPr>
      </w:pPr>
      <w:r>
        <w:rPr>
          <w:rFonts w:hint="eastAsia" w:ascii="仿宋_GB2312" w:eastAsia="仿宋_GB2312" w:cs="仿宋_GB2312"/>
          <w:sz w:val="32"/>
          <w:szCs w:val="32"/>
          <w:lang w:val="en-US" w:eastAsia="zh-CN"/>
        </w:rPr>
        <w:t>收入包括：本年一般公共预算拨款收入7692.38万元；支出包括：社会保障和就业支出1238.31万元、卫生健康支出5950.95万元、住房保障支出503.12万元。</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outlineLvl w:val="0"/>
        <w:rPr>
          <w:rFonts w:hint="eastAsia" w:ascii="黑体" w:eastAsia="黑体" w:cs="黑体"/>
          <w:sz w:val="32"/>
          <w:szCs w:val="32"/>
          <w:lang w:val="en-US" w:eastAsia="zh-CN"/>
        </w:rPr>
      </w:pPr>
      <w:bookmarkStart w:id="10" w:name="_Toc7270"/>
      <w:r>
        <w:rPr>
          <w:rFonts w:hint="eastAsia" w:ascii="黑体" w:eastAsia="黑体" w:cs="黑体"/>
          <w:sz w:val="32"/>
          <w:szCs w:val="32"/>
          <w:lang w:val="en-US" w:eastAsia="zh-CN"/>
        </w:rPr>
        <w:t>五、一般公共预算当年拨款情况说明</w:t>
      </w:r>
      <w:bookmarkEnd w:id="10"/>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eastAsia="楷体_GB2312" w:cs="楷体_GB2312"/>
          <w:sz w:val="32"/>
          <w:szCs w:val="32"/>
          <w:lang w:val="en-US" w:eastAsia="zh-CN"/>
        </w:rPr>
      </w:pPr>
      <w:bookmarkStart w:id="11" w:name="_Toc32485"/>
      <w:r>
        <w:rPr>
          <w:rFonts w:hint="eastAsia" w:ascii="楷体_GB2312" w:eastAsia="楷体_GB2312" w:cs="楷体_GB2312"/>
          <w:sz w:val="32"/>
          <w:szCs w:val="32"/>
          <w:lang w:val="en-US" w:eastAsia="zh-CN"/>
        </w:rPr>
        <w:t>（一）一般公共预算当年拨款规模变化情况</w:t>
      </w:r>
      <w:bookmarkEnd w:id="11"/>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仿宋_GB2312"/>
          <w:sz w:val="32"/>
          <w:szCs w:val="32"/>
        </w:rPr>
      </w:pPr>
      <w:r>
        <w:rPr>
          <w:rFonts w:hint="eastAsia" w:ascii="仿宋_GB2312" w:eastAsia="仿宋_GB2312" w:cs="仿宋_GB2312"/>
          <w:sz w:val="32"/>
          <w:szCs w:val="32"/>
          <w:lang w:val="en-US" w:eastAsia="zh-CN"/>
        </w:rPr>
        <w:t>卫生健康局2024年一般公共预算当年拨款7692.38万元，比2023年预算数增加47.38万元，主要原因是</w:t>
      </w:r>
      <w:r>
        <w:rPr>
          <w:rFonts w:ascii="Times New Roman" w:hAnsi="Times New Roman" w:eastAsia="仿宋_GB2312" w:cs="Times New Roman"/>
          <w:color w:val="auto"/>
          <w:sz w:val="32"/>
          <w:szCs w:val="32"/>
          <w:highlight w:val="none"/>
          <w:lang w:eastAsia="zh-CN"/>
        </w:rPr>
        <w:t>新</w:t>
      </w:r>
      <w:r>
        <w:rPr>
          <w:rFonts w:hint="eastAsia" w:ascii="Times New Roman" w:hAnsi="Times New Roman" w:eastAsia="仿宋_GB2312" w:cs="Times New Roman"/>
          <w:color w:val="auto"/>
          <w:sz w:val="32"/>
          <w:szCs w:val="32"/>
          <w:highlight w:val="none"/>
          <w:lang w:eastAsia="zh-CN"/>
        </w:rPr>
        <w:t>增加了乡镇工作补贴和职业年金做实项目</w:t>
      </w:r>
      <w:r>
        <w:rPr>
          <w:rFonts w:hint="eastAsia" w:ascii="仿宋_GB2312" w:eastAsia="仿宋_GB2312" w:cs="仿宋_GB2312"/>
          <w:sz w:val="32"/>
          <w:szCs w:val="32"/>
          <w:lang w:val="en-US" w:eastAsia="zh-CN"/>
        </w:rPr>
        <w:t>。</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eastAsia="楷体_GB2312" w:cs="楷体_GB2312"/>
          <w:sz w:val="32"/>
          <w:szCs w:val="32"/>
          <w:lang w:val="en-US" w:eastAsia="zh-CN"/>
        </w:rPr>
      </w:pPr>
      <w:bookmarkStart w:id="12" w:name="_Toc30882"/>
      <w:r>
        <w:rPr>
          <w:rFonts w:hint="eastAsia" w:ascii="楷体_GB2312" w:eastAsia="楷体_GB2312" w:cs="楷体_GB2312"/>
          <w:sz w:val="32"/>
          <w:szCs w:val="32"/>
          <w:lang w:val="en-US" w:eastAsia="zh-CN"/>
        </w:rPr>
        <w:t>（二）一般公共预算当年拨款结构情况</w:t>
      </w:r>
      <w:bookmarkEnd w:id="12"/>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仿宋_GB2312"/>
          <w:b/>
          <w:bCs/>
          <w:sz w:val="32"/>
          <w:szCs w:val="32"/>
          <w:lang w:val="en-US" w:eastAsia="zh-CN"/>
        </w:rPr>
      </w:pPr>
      <w:r>
        <w:rPr>
          <w:rFonts w:hint="eastAsia" w:ascii="仿宋_GB2312" w:eastAsia="仿宋_GB2312" w:cs="仿宋_GB2312"/>
          <w:sz w:val="32"/>
          <w:szCs w:val="32"/>
          <w:lang w:val="en-US" w:eastAsia="zh-CN"/>
        </w:rPr>
        <w:t>社会保障和就业支出1238.31万元，占16.1%；卫生健康支出5950.95万元，占77.36%；住房保障支出503.12万元，占6.54%。</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outlineLvl w:val="1"/>
        <w:rPr>
          <w:rFonts w:hint="eastAsia" w:ascii="仿宋_GB2312" w:eastAsia="仿宋_GB2312" w:cs="仿宋_GB2312"/>
          <w:sz w:val="32"/>
          <w:szCs w:val="32"/>
          <w:lang w:val="en-US" w:eastAsia="zh-CN"/>
        </w:rPr>
      </w:pPr>
      <w:bookmarkStart w:id="13" w:name="_Toc1973"/>
      <w:r>
        <w:rPr>
          <w:rFonts w:hint="eastAsia" w:ascii="楷体_GB2312" w:eastAsia="楷体_GB2312" w:cs="楷体_GB2312"/>
          <w:sz w:val="32"/>
          <w:szCs w:val="32"/>
          <w:lang w:val="en-US" w:eastAsia="zh-CN"/>
        </w:rPr>
        <w:t>（三）一般公共预算当年拨款具体使用情况</w:t>
      </w:r>
      <w:bookmarkEnd w:id="13"/>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仿宋_GB2312"/>
          <w:sz w:val="32"/>
          <w:szCs w:val="32"/>
          <w:highlight w:val="none"/>
        </w:rPr>
      </w:pPr>
      <w:bookmarkStart w:id="14" w:name="_Toc1485"/>
      <w:r>
        <w:rPr>
          <w:rFonts w:hint="eastAsia" w:ascii="Times New Roman" w:hAnsi="Times New Roman" w:eastAsia="仿宋_GB2312" w:cs="仿宋_GB2312"/>
          <w:sz w:val="32"/>
          <w:szCs w:val="32"/>
          <w:highlight w:val="none"/>
          <w:lang w:val="en-US" w:eastAsia="zh-CN"/>
        </w:rPr>
        <w:t>1.</w:t>
      </w:r>
      <w:r>
        <w:rPr>
          <w:rFonts w:hint="eastAsia" w:ascii="Times New Roman" w:hAnsi="Times New Roman" w:eastAsia="仿宋_GB2312" w:cs="仿宋_GB2312"/>
          <w:sz w:val="32"/>
          <w:szCs w:val="32"/>
          <w:highlight w:val="none"/>
        </w:rPr>
        <w:t>社会保障和就业（类）行政事业单位养老支出（款）行政单位离退休（项）202</w:t>
      </w:r>
      <w:r>
        <w:rPr>
          <w:rFonts w:hint="eastAsia" w:ascii="Times New Roman" w:hAnsi="Times New Roman" w:eastAsia="仿宋_GB2312" w:cs="仿宋_GB2312"/>
          <w:sz w:val="32"/>
          <w:szCs w:val="32"/>
          <w:highlight w:val="none"/>
          <w:lang w:val="en-US" w:eastAsia="zh-CN"/>
        </w:rPr>
        <w:t>4</w:t>
      </w:r>
      <w:r>
        <w:rPr>
          <w:rFonts w:hint="eastAsia" w:ascii="Times New Roman" w:hAnsi="Times New Roman" w:eastAsia="仿宋_GB2312" w:cs="仿宋_GB2312"/>
          <w:sz w:val="32"/>
          <w:szCs w:val="32"/>
          <w:highlight w:val="none"/>
        </w:rPr>
        <w:t>年预算数为4</w:t>
      </w:r>
      <w:r>
        <w:rPr>
          <w:rFonts w:hint="eastAsia" w:ascii="Times New Roman" w:hAnsi="Times New Roman" w:eastAsia="仿宋_GB2312" w:cs="仿宋_GB2312"/>
          <w:sz w:val="32"/>
          <w:szCs w:val="32"/>
          <w:highlight w:val="none"/>
          <w:lang w:val="en-US" w:eastAsia="zh-CN"/>
        </w:rPr>
        <w:t>6</w:t>
      </w:r>
      <w:r>
        <w:rPr>
          <w:rFonts w:hint="eastAsia" w:ascii="Times New Roman" w:hAnsi="Times New Roman" w:eastAsia="仿宋_GB2312" w:cs="仿宋_GB2312"/>
          <w:sz w:val="32"/>
          <w:szCs w:val="32"/>
          <w:highlight w:val="none"/>
        </w:rPr>
        <w:t>万元，主要用于：机关及参公管理事业单位离退休人员经费支出。</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lang w:val="en-US" w:eastAsia="zh-CN"/>
        </w:rPr>
        <w:t>2.</w:t>
      </w:r>
      <w:r>
        <w:rPr>
          <w:rFonts w:hint="eastAsia" w:ascii="Times New Roman" w:hAnsi="Times New Roman" w:eastAsia="仿宋_GB2312" w:cs="仿宋_GB2312"/>
          <w:sz w:val="32"/>
          <w:szCs w:val="32"/>
          <w:highlight w:val="none"/>
        </w:rPr>
        <w:t>社会保障和就业（类）行政事业单位养老支出（款）</w:t>
      </w:r>
      <w:r>
        <w:rPr>
          <w:rFonts w:hint="eastAsia" w:ascii="Times New Roman" w:hAnsi="Times New Roman" w:eastAsia="仿宋_GB2312" w:cs="仿宋_GB2312"/>
          <w:sz w:val="32"/>
          <w:szCs w:val="32"/>
          <w:highlight w:val="none"/>
          <w:lang w:val="en-US" w:eastAsia="zh-CN"/>
        </w:rPr>
        <w:t>事业</w:t>
      </w:r>
      <w:r>
        <w:rPr>
          <w:rFonts w:hint="eastAsia" w:ascii="Times New Roman" w:hAnsi="Times New Roman" w:eastAsia="仿宋_GB2312" w:cs="仿宋_GB2312"/>
          <w:sz w:val="32"/>
          <w:szCs w:val="32"/>
          <w:highlight w:val="none"/>
        </w:rPr>
        <w:t>单位离退休（项）202</w:t>
      </w:r>
      <w:r>
        <w:rPr>
          <w:rFonts w:hint="eastAsia" w:ascii="Times New Roman" w:hAnsi="Times New Roman" w:eastAsia="仿宋_GB2312" w:cs="仿宋_GB2312"/>
          <w:sz w:val="32"/>
          <w:szCs w:val="32"/>
          <w:highlight w:val="none"/>
          <w:lang w:val="en-US" w:eastAsia="zh-CN"/>
        </w:rPr>
        <w:t>4</w:t>
      </w:r>
      <w:r>
        <w:rPr>
          <w:rFonts w:hint="eastAsia" w:ascii="Times New Roman" w:hAnsi="Times New Roman" w:eastAsia="仿宋_GB2312" w:cs="仿宋_GB2312"/>
          <w:sz w:val="32"/>
          <w:szCs w:val="32"/>
          <w:highlight w:val="none"/>
        </w:rPr>
        <w:t>年预算数为</w:t>
      </w:r>
      <w:r>
        <w:rPr>
          <w:rFonts w:hint="eastAsia" w:ascii="Times New Roman" w:hAnsi="Times New Roman" w:eastAsia="仿宋_GB2312" w:cs="仿宋_GB2312"/>
          <w:sz w:val="32"/>
          <w:szCs w:val="32"/>
          <w:highlight w:val="none"/>
          <w:lang w:val="en-US" w:eastAsia="zh-CN"/>
        </w:rPr>
        <w:t>272.25</w:t>
      </w:r>
      <w:r>
        <w:rPr>
          <w:rFonts w:hint="eastAsia" w:ascii="Times New Roman" w:hAnsi="Times New Roman" w:eastAsia="仿宋_GB2312" w:cs="仿宋_GB2312"/>
          <w:sz w:val="32"/>
          <w:szCs w:val="32"/>
          <w:highlight w:val="none"/>
        </w:rPr>
        <w:t>万元，主要用于：机关及事业单位离退休人员经费支出。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lang w:val="en-US" w:eastAsia="zh-CN"/>
        </w:rPr>
        <w:t>3</w:t>
      </w:r>
      <w:r>
        <w:rPr>
          <w:rFonts w:hint="eastAsia" w:ascii="Times New Roman" w:hAnsi="Times New Roman" w:eastAsia="仿宋_GB2312" w:cs="仿宋_GB2312"/>
          <w:sz w:val="32"/>
          <w:szCs w:val="32"/>
          <w:highlight w:val="none"/>
        </w:rPr>
        <w:t>.社会保障和就业（类）行政事业单位养老支出（款）机关事业单位基本养老保险缴费支出（项）202</w:t>
      </w:r>
      <w:r>
        <w:rPr>
          <w:rFonts w:hint="eastAsia" w:ascii="Times New Roman" w:hAnsi="Times New Roman" w:eastAsia="仿宋_GB2312" w:cs="仿宋_GB2312"/>
          <w:sz w:val="32"/>
          <w:szCs w:val="32"/>
          <w:highlight w:val="none"/>
          <w:lang w:val="en-US" w:eastAsia="zh-CN"/>
        </w:rPr>
        <w:t>4</w:t>
      </w:r>
      <w:r>
        <w:rPr>
          <w:rFonts w:hint="eastAsia" w:ascii="Times New Roman" w:hAnsi="Times New Roman" w:eastAsia="仿宋_GB2312" w:cs="仿宋_GB2312"/>
          <w:sz w:val="32"/>
          <w:szCs w:val="32"/>
          <w:highlight w:val="none"/>
        </w:rPr>
        <w:t>年预算数为</w:t>
      </w:r>
      <w:r>
        <w:rPr>
          <w:rFonts w:hint="eastAsia" w:ascii="Times New Roman" w:hAnsi="Times New Roman" w:eastAsia="仿宋_GB2312" w:cs="仿宋_GB2312"/>
          <w:sz w:val="32"/>
          <w:szCs w:val="32"/>
          <w:highlight w:val="none"/>
          <w:lang w:val="en-US" w:eastAsia="zh-CN"/>
        </w:rPr>
        <w:t>670.82</w:t>
      </w:r>
      <w:r>
        <w:rPr>
          <w:rFonts w:hint="eastAsia" w:ascii="Times New Roman" w:hAnsi="Times New Roman" w:eastAsia="仿宋_GB2312" w:cs="仿宋_GB2312"/>
          <w:sz w:val="32"/>
          <w:szCs w:val="32"/>
          <w:highlight w:val="none"/>
        </w:rPr>
        <w:t>万元，主要用于：实施养老保险制度由单位缴纳的基本养老保险支出。</w:t>
      </w:r>
    </w:p>
    <w:p>
      <w:pPr>
        <w:pStyle w:val="6"/>
        <w:rPr>
          <w:rFonts w:hint="eastAsia" w:ascii="Times New Roman" w:hAnsi="Times New Roman"/>
        </w:rPr>
      </w:pPr>
      <w:r>
        <w:rPr>
          <w:rFonts w:hint="eastAsia" w:ascii="Times New Roman" w:hAnsi="Times New Roman" w:eastAsia="仿宋_GB2312" w:cs="仿宋_GB2312"/>
          <w:sz w:val="32"/>
          <w:szCs w:val="32"/>
          <w:highlight w:val="none"/>
          <w:lang w:val="en-US" w:eastAsia="zh-CN"/>
        </w:rPr>
        <w:t>4</w:t>
      </w:r>
      <w:r>
        <w:rPr>
          <w:rFonts w:hint="eastAsia" w:ascii="Times New Roman" w:hAnsi="Times New Roman" w:eastAsia="仿宋_GB2312" w:cs="仿宋_GB2312"/>
          <w:sz w:val="32"/>
          <w:szCs w:val="32"/>
          <w:highlight w:val="none"/>
        </w:rPr>
        <w:t>.社会保障和就业（类）行政事业单位养老支出（款）机关事业单位</w:t>
      </w:r>
      <w:r>
        <w:rPr>
          <w:rFonts w:hint="eastAsia" w:ascii="Times New Roman" w:hAnsi="Times New Roman" w:eastAsia="仿宋_GB2312" w:cs="仿宋_GB2312"/>
          <w:sz w:val="32"/>
          <w:szCs w:val="32"/>
          <w:highlight w:val="none"/>
          <w:lang w:val="en-US" w:eastAsia="zh-CN"/>
        </w:rPr>
        <w:t>职业年金缴费</w:t>
      </w:r>
      <w:r>
        <w:rPr>
          <w:rFonts w:hint="eastAsia" w:ascii="Times New Roman" w:hAnsi="Times New Roman" w:eastAsia="仿宋_GB2312" w:cs="仿宋_GB2312"/>
          <w:sz w:val="32"/>
          <w:szCs w:val="32"/>
          <w:highlight w:val="none"/>
        </w:rPr>
        <w:t>支出（项）202</w:t>
      </w:r>
      <w:r>
        <w:rPr>
          <w:rFonts w:hint="eastAsia" w:ascii="Times New Roman" w:hAnsi="Times New Roman" w:eastAsia="仿宋_GB2312" w:cs="仿宋_GB2312"/>
          <w:sz w:val="32"/>
          <w:szCs w:val="32"/>
          <w:highlight w:val="none"/>
          <w:lang w:val="en-US" w:eastAsia="zh-CN"/>
        </w:rPr>
        <w:t>4</w:t>
      </w:r>
      <w:r>
        <w:rPr>
          <w:rFonts w:hint="eastAsia" w:ascii="Times New Roman" w:hAnsi="Times New Roman" w:eastAsia="仿宋_GB2312" w:cs="仿宋_GB2312"/>
          <w:sz w:val="32"/>
          <w:szCs w:val="32"/>
          <w:highlight w:val="none"/>
        </w:rPr>
        <w:t>年预算数为</w:t>
      </w:r>
      <w:r>
        <w:rPr>
          <w:rFonts w:hint="eastAsia" w:ascii="Times New Roman" w:hAnsi="Times New Roman" w:eastAsia="仿宋_GB2312" w:cs="仿宋_GB2312"/>
          <w:sz w:val="32"/>
          <w:szCs w:val="32"/>
          <w:highlight w:val="none"/>
          <w:lang w:val="en-US" w:eastAsia="zh-CN"/>
        </w:rPr>
        <w:t>218.47</w:t>
      </w:r>
      <w:r>
        <w:rPr>
          <w:rFonts w:hint="eastAsia" w:ascii="Times New Roman" w:hAnsi="Times New Roman" w:eastAsia="仿宋_GB2312" w:cs="仿宋_GB2312"/>
          <w:sz w:val="32"/>
          <w:szCs w:val="32"/>
          <w:highlight w:val="none"/>
        </w:rPr>
        <w:t>万元，主要用于：实施</w:t>
      </w:r>
      <w:r>
        <w:rPr>
          <w:rFonts w:hint="eastAsia" w:ascii="Times New Roman" w:hAnsi="Times New Roman" w:eastAsia="仿宋_GB2312" w:cs="仿宋_GB2312"/>
          <w:sz w:val="32"/>
          <w:szCs w:val="32"/>
          <w:highlight w:val="none"/>
          <w:lang w:val="en-US" w:eastAsia="zh-CN"/>
        </w:rPr>
        <w:t>职业年金</w:t>
      </w:r>
      <w:r>
        <w:rPr>
          <w:rFonts w:hint="eastAsia" w:ascii="Times New Roman" w:hAnsi="Times New Roman" w:eastAsia="仿宋_GB2312" w:cs="仿宋_GB2312"/>
          <w:sz w:val="32"/>
          <w:szCs w:val="32"/>
          <w:highlight w:val="none"/>
        </w:rPr>
        <w:t>制度由单位缴纳的</w:t>
      </w:r>
      <w:r>
        <w:rPr>
          <w:rFonts w:hint="eastAsia" w:ascii="Times New Roman" w:hAnsi="Times New Roman" w:eastAsia="仿宋_GB2312" w:cs="仿宋_GB2312"/>
          <w:sz w:val="32"/>
          <w:szCs w:val="32"/>
          <w:highlight w:val="none"/>
          <w:lang w:val="en-US" w:eastAsia="zh-CN"/>
        </w:rPr>
        <w:t>职业年金</w:t>
      </w:r>
      <w:r>
        <w:rPr>
          <w:rFonts w:hint="eastAsia" w:ascii="Times New Roman" w:hAnsi="Times New Roman" w:eastAsia="仿宋_GB2312" w:cs="仿宋_GB2312"/>
          <w:sz w:val="32"/>
          <w:szCs w:val="32"/>
          <w:highlight w:val="none"/>
        </w:rPr>
        <w:t>支出。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lang w:val="en-US" w:eastAsia="zh-CN"/>
        </w:rPr>
        <w:t>5</w:t>
      </w:r>
      <w:r>
        <w:rPr>
          <w:rFonts w:hint="eastAsia" w:ascii="Times New Roman" w:hAnsi="Times New Roman" w:eastAsia="仿宋_GB2312" w:cs="仿宋_GB2312"/>
          <w:sz w:val="32"/>
          <w:szCs w:val="32"/>
          <w:highlight w:val="none"/>
        </w:rPr>
        <w:t>.卫生健康（类）行政事业单位医疗（款）行政单位医疗（项）202</w:t>
      </w:r>
      <w:r>
        <w:rPr>
          <w:rFonts w:hint="eastAsia" w:ascii="Times New Roman" w:hAnsi="Times New Roman" w:eastAsia="仿宋_GB2312" w:cs="仿宋_GB2312"/>
          <w:sz w:val="32"/>
          <w:szCs w:val="32"/>
          <w:highlight w:val="none"/>
          <w:lang w:val="en-US" w:eastAsia="zh-CN"/>
        </w:rPr>
        <w:t>4</w:t>
      </w:r>
      <w:r>
        <w:rPr>
          <w:rFonts w:hint="eastAsia" w:ascii="Times New Roman" w:hAnsi="Times New Roman" w:eastAsia="仿宋_GB2312" w:cs="仿宋_GB2312"/>
          <w:sz w:val="32"/>
          <w:szCs w:val="32"/>
          <w:highlight w:val="none"/>
        </w:rPr>
        <w:t>年预算数为</w:t>
      </w:r>
      <w:r>
        <w:rPr>
          <w:rFonts w:hint="eastAsia" w:ascii="Times New Roman" w:hAnsi="Times New Roman" w:eastAsia="仿宋_GB2312" w:cs="仿宋_GB2312"/>
          <w:sz w:val="32"/>
          <w:szCs w:val="32"/>
          <w:highlight w:val="none"/>
          <w:lang w:val="en-US" w:eastAsia="zh-CN"/>
        </w:rPr>
        <w:t>36.42</w:t>
      </w:r>
      <w:r>
        <w:rPr>
          <w:rFonts w:hint="eastAsia" w:ascii="Times New Roman" w:hAnsi="Times New Roman" w:eastAsia="仿宋_GB2312" w:cs="仿宋_GB2312"/>
          <w:sz w:val="32"/>
          <w:szCs w:val="32"/>
          <w:highlight w:val="none"/>
        </w:rPr>
        <w:t>万元，主要用于：机关及</w:t>
      </w:r>
      <w:r>
        <w:rPr>
          <w:rFonts w:hint="eastAsia" w:ascii="Times New Roman" w:hAnsi="Times New Roman" w:eastAsia="仿宋_GB2312" w:cs="仿宋_GB2312"/>
          <w:sz w:val="32"/>
          <w:szCs w:val="32"/>
          <w:highlight w:val="none"/>
          <w:lang w:val="en-US" w:eastAsia="zh-CN"/>
        </w:rPr>
        <w:t>参公管理事业</w:t>
      </w:r>
      <w:r>
        <w:rPr>
          <w:rFonts w:hint="eastAsia" w:ascii="Times New Roman" w:hAnsi="Times New Roman" w:eastAsia="仿宋_GB2312" w:cs="仿宋_GB2312"/>
          <w:sz w:val="32"/>
          <w:szCs w:val="32"/>
          <w:highlight w:val="none"/>
        </w:rPr>
        <w:t>单位按规定由单位缴纳的基本医疗保险支出。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lang w:val="en-US" w:eastAsia="zh-CN"/>
        </w:rPr>
        <w:t>6</w:t>
      </w:r>
      <w:r>
        <w:rPr>
          <w:rFonts w:hint="eastAsia" w:ascii="Times New Roman" w:hAnsi="Times New Roman" w:eastAsia="仿宋_GB2312" w:cs="仿宋_GB2312"/>
          <w:sz w:val="32"/>
          <w:szCs w:val="32"/>
          <w:highlight w:val="none"/>
        </w:rPr>
        <w:t>.卫生健康（类）行政事业单位医疗（款）事业单位医疗（项）202</w:t>
      </w:r>
      <w:r>
        <w:rPr>
          <w:rFonts w:hint="eastAsia" w:ascii="Times New Roman" w:hAnsi="Times New Roman" w:eastAsia="仿宋_GB2312" w:cs="仿宋_GB2312"/>
          <w:sz w:val="32"/>
          <w:szCs w:val="32"/>
          <w:highlight w:val="none"/>
          <w:lang w:val="en-US" w:eastAsia="zh-CN"/>
        </w:rPr>
        <w:t>4</w:t>
      </w:r>
      <w:r>
        <w:rPr>
          <w:rFonts w:hint="eastAsia" w:ascii="Times New Roman" w:hAnsi="Times New Roman" w:eastAsia="仿宋_GB2312" w:cs="仿宋_GB2312"/>
          <w:sz w:val="32"/>
          <w:szCs w:val="32"/>
          <w:highlight w:val="none"/>
        </w:rPr>
        <w:t>年预算数为</w:t>
      </w:r>
      <w:r>
        <w:rPr>
          <w:rFonts w:hint="eastAsia" w:ascii="Times New Roman" w:hAnsi="Times New Roman" w:eastAsia="仿宋_GB2312" w:cs="仿宋_GB2312"/>
          <w:sz w:val="32"/>
          <w:szCs w:val="32"/>
          <w:highlight w:val="none"/>
          <w:lang w:val="en-US" w:eastAsia="zh-CN"/>
        </w:rPr>
        <w:t>228.95</w:t>
      </w:r>
      <w:r>
        <w:rPr>
          <w:rFonts w:hint="eastAsia" w:ascii="Times New Roman" w:hAnsi="Times New Roman" w:eastAsia="仿宋_GB2312" w:cs="仿宋_GB2312"/>
          <w:sz w:val="32"/>
          <w:szCs w:val="32"/>
          <w:highlight w:val="none"/>
        </w:rPr>
        <w:t>万元，主要用于：部门事业单位按规定由单位缴纳的基本医疗保险支出。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仿宋_GB2312"/>
          <w:sz w:val="32"/>
          <w:szCs w:val="32"/>
          <w:highlight w:val="none"/>
          <w:lang w:val="en-US" w:eastAsia="zh-CN"/>
        </w:rPr>
      </w:pPr>
      <w:r>
        <w:rPr>
          <w:rFonts w:hint="eastAsia" w:ascii="Times New Roman" w:hAnsi="Times New Roman" w:eastAsia="仿宋_GB2312" w:cs="仿宋_GB2312"/>
          <w:sz w:val="32"/>
          <w:szCs w:val="32"/>
          <w:highlight w:val="none"/>
          <w:lang w:val="en-US" w:eastAsia="zh-CN"/>
        </w:rPr>
        <w:t>7</w:t>
      </w:r>
      <w:r>
        <w:rPr>
          <w:rFonts w:hint="eastAsia" w:ascii="Times New Roman" w:hAnsi="Times New Roman" w:eastAsia="仿宋_GB2312" w:cs="仿宋_GB2312"/>
          <w:sz w:val="32"/>
          <w:szCs w:val="32"/>
          <w:highlight w:val="none"/>
        </w:rPr>
        <w:t>.卫生健康（类）</w:t>
      </w:r>
      <w:r>
        <w:rPr>
          <w:rFonts w:hint="eastAsia" w:ascii="Times New Roman" w:hAnsi="Times New Roman" w:eastAsia="仿宋_GB2312" w:cs="仿宋_GB2312"/>
          <w:sz w:val="32"/>
          <w:szCs w:val="32"/>
          <w:highlight w:val="none"/>
          <w:lang w:val="en-US" w:eastAsia="zh-CN"/>
        </w:rPr>
        <w:t>卫生健康</w:t>
      </w:r>
      <w:r>
        <w:rPr>
          <w:rFonts w:hint="eastAsia" w:ascii="Times New Roman" w:hAnsi="Times New Roman" w:eastAsia="仿宋_GB2312" w:cs="仿宋_GB2312"/>
          <w:i w:val="0"/>
          <w:caps w:val="0"/>
          <w:color w:val="333333"/>
          <w:spacing w:val="0"/>
          <w:kern w:val="0"/>
          <w:sz w:val="32"/>
          <w:szCs w:val="32"/>
          <w:shd w:val="clear" w:color="auto" w:fill="FFFFFF"/>
          <w:lang w:val="en-US" w:eastAsia="zh-CN"/>
        </w:rPr>
        <w:t>管理事务</w:t>
      </w:r>
      <w:r>
        <w:rPr>
          <w:rFonts w:hint="eastAsia" w:ascii="Times New Roman" w:hAnsi="Times New Roman" w:eastAsia="仿宋_GB2312" w:cs="仿宋_GB2312"/>
          <w:sz w:val="32"/>
          <w:szCs w:val="32"/>
          <w:highlight w:val="none"/>
        </w:rPr>
        <w:t>（款）行政</w:t>
      </w:r>
      <w:r>
        <w:rPr>
          <w:rFonts w:hint="eastAsia" w:ascii="Times New Roman" w:hAnsi="Times New Roman" w:eastAsia="仿宋_GB2312" w:cs="仿宋_GB2312"/>
          <w:sz w:val="32"/>
          <w:szCs w:val="32"/>
          <w:highlight w:val="none"/>
          <w:lang w:val="en-US" w:eastAsia="zh-CN"/>
        </w:rPr>
        <w:t>运行</w:t>
      </w:r>
      <w:r>
        <w:rPr>
          <w:rFonts w:hint="eastAsia" w:ascii="Times New Roman" w:hAnsi="Times New Roman" w:eastAsia="仿宋_GB2312" w:cs="仿宋_GB2312"/>
          <w:sz w:val="32"/>
          <w:szCs w:val="32"/>
          <w:highlight w:val="none"/>
        </w:rPr>
        <w:t>（项）202</w:t>
      </w:r>
      <w:r>
        <w:rPr>
          <w:rFonts w:hint="eastAsia" w:ascii="Times New Roman" w:hAnsi="Times New Roman" w:eastAsia="仿宋_GB2312" w:cs="仿宋_GB2312"/>
          <w:sz w:val="32"/>
          <w:szCs w:val="32"/>
          <w:highlight w:val="none"/>
          <w:lang w:val="en-US" w:eastAsia="zh-CN"/>
        </w:rPr>
        <w:t>4</w:t>
      </w:r>
      <w:r>
        <w:rPr>
          <w:rFonts w:hint="eastAsia" w:ascii="Times New Roman" w:hAnsi="Times New Roman" w:eastAsia="仿宋_GB2312" w:cs="仿宋_GB2312"/>
          <w:sz w:val="32"/>
          <w:szCs w:val="32"/>
          <w:highlight w:val="none"/>
        </w:rPr>
        <w:t>年预算数为</w:t>
      </w:r>
      <w:r>
        <w:rPr>
          <w:rFonts w:hint="eastAsia" w:ascii="Times New Roman" w:hAnsi="Times New Roman" w:eastAsia="仿宋_GB2312" w:cs="仿宋_GB2312"/>
          <w:color w:val="000000"/>
          <w:sz w:val="32"/>
          <w:szCs w:val="32"/>
          <w:highlight w:val="none"/>
          <w:lang w:val="en-US" w:eastAsia="zh-CN"/>
        </w:rPr>
        <w:t>1024.46</w:t>
      </w:r>
      <w:r>
        <w:rPr>
          <w:rFonts w:hint="eastAsia" w:ascii="Times New Roman" w:hAnsi="Times New Roman" w:eastAsia="仿宋_GB2312" w:cs="仿宋_GB2312"/>
          <w:sz w:val="32"/>
          <w:szCs w:val="32"/>
          <w:highlight w:val="none"/>
        </w:rPr>
        <w:t>万元，主要用于：</w:t>
      </w:r>
      <w:r>
        <w:rPr>
          <w:rFonts w:hint="eastAsia" w:ascii="Times New Roman" w:hAnsi="Times New Roman" w:eastAsia="仿宋_GB2312" w:cs="仿宋_GB2312"/>
          <w:sz w:val="32"/>
          <w:szCs w:val="32"/>
          <w:highlight w:val="none"/>
          <w:lang w:val="en-US" w:eastAsia="zh-CN"/>
        </w:rPr>
        <w:t>局机关正常保运转支出，包括基本工资、津贴补贴、基础绩效等人员经费以及办公费、印刷费、水电费等日常公用经费，保障部门正常运转。</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仿宋_GB2312"/>
          <w:sz w:val="32"/>
          <w:szCs w:val="32"/>
          <w:highlight w:val="none"/>
          <w:lang w:val="en-US" w:eastAsia="zh-CN"/>
        </w:rPr>
      </w:pPr>
      <w:r>
        <w:rPr>
          <w:rFonts w:hint="eastAsia" w:ascii="Times New Roman" w:hAnsi="Times New Roman" w:eastAsia="仿宋_GB2312" w:cs="仿宋_GB2312"/>
          <w:sz w:val="32"/>
          <w:szCs w:val="32"/>
          <w:highlight w:val="none"/>
          <w:lang w:val="en-US" w:eastAsia="zh-CN"/>
        </w:rPr>
        <w:t>8</w:t>
      </w:r>
      <w:r>
        <w:rPr>
          <w:rFonts w:hint="eastAsia" w:ascii="Times New Roman" w:hAnsi="Times New Roman" w:eastAsia="仿宋_GB2312" w:cs="仿宋_GB2312"/>
          <w:sz w:val="32"/>
          <w:szCs w:val="32"/>
          <w:highlight w:val="none"/>
        </w:rPr>
        <w:t>.卫生健康（类）</w:t>
      </w:r>
      <w:r>
        <w:rPr>
          <w:rFonts w:hint="eastAsia" w:ascii="Times New Roman" w:hAnsi="Times New Roman" w:eastAsia="仿宋_GB2312" w:cs="仿宋_GB2312"/>
          <w:sz w:val="32"/>
          <w:szCs w:val="32"/>
          <w:highlight w:val="none"/>
          <w:lang w:val="en-US" w:eastAsia="zh-CN"/>
        </w:rPr>
        <w:t>公立医院</w:t>
      </w:r>
      <w:r>
        <w:rPr>
          <w:rFonts w:hint="eastAsia" w:ascii="Times New Roman" w:hAnsi="Times New Roman" w:eastAsia="仿宋_GB2312" w:cs="仿宋_GB2312"/>
          <w:sz w:val="32"/>
          <w:szCs w:val="32"/>
          <w:highlight w:val="none"/>
        </w:rPr>
        <w:t>（款）</w:t>
      </w:r>
      <w:r>
        <w:rPr>
          <w:rFonts w:hint="eastAsia" w:ascii="Times New Roman" w:hAnsi="Times New Roman" w:eastAsia="仿宋_GB2312" w:cs="仿宋_GB2312"/>
          <w:sz w:val="32"/>
          <w:szCs w:val="32"/>
          <w:highlight w:val="none"/>
          <w:lang w:val="en-US" w:eastAsia="zh-CN"/>
        </w:rPr>
        <w:t>中医（民族）医院</w:t>
      </w:r>
      <w:r>
        <w:rPr>
          <w:rFonts w:hint="eastAsia" w:ascii="Times New Roman" w:hAnsi="Times New Roman" w:eastAsia="仿宋_GB2312" w:cs="仿宋_GB2312"/>
          <w:sz w:val="32"/>
          <w:szCs w:val="32"/>
          <w:highlight w:val="none"/>
        </w:rPr>
        <w:t>（项）202</w:t>
      </w:r>
      <w:r>
        <w:rPr>
          <w:rFonts w:hint="eastAsia" w:ascii="Times New Roman" w:hAnsi="Times New Roman" w:eastAsia="仿宋_GB2312" w:cs="仿宋_GB2312"/>
          <w:sz w:val="32"/>
          <w:szCs w:val="32"/>
          <w:highlight w:val="none"/>
          <w:lang w:val="en-US" w:eastAsia="zh-CN"/>
        </w:rPr>
        <w:t>4</w:t>
      </w:r>
      <w:r>
        <w:rPr>
          <w:rFonts w:hint="eastAsia" w:ascii="Times New Roman" w:hAnsi="Times New Roman" w:eastAsia="仿宋_GB2312" w:cs="仿宋_GB2312"/>
          <w:sz w:val="32"/>
          <w:szCs w:val="32"/>
          <w:highlight w:val="none"/>
        </w:rPr>
        <w:t>年预算数为</w:t>
      </w:r>
      <w:r>
        <w:rPr>
          <w:rFonts w:hint="eastAsia" w:ascii="Times New Roman" w:hAnsi="Times New Roman" w:eastAsia="仿宋_GB2312" w:cs="仿宋_GB2312"/>
          <w:color w:val="000000"/>
          <w:sz w:val="32"/>
          <w:szCs w:val="32"/>
          <w:highlight w:val="none"/>
          <w:lang w:val="en-US" w:eastAsia="zh-CN"/>
        </w:rPr>
        <w:t>209.46</w:t>
      </w:r>
      <w:r>
        <w:rPr>
          <w:rFonts w:hint="eastAsia" w:ascii="Times New Roman" w:hAnsi="Times New Roman" w:eastAsia="仿宋_GB2312" w:cs="仿宋_GB2312"/>
          <w:sz w:val="32"/>
          <w:szCs w:val="32"/>
          <w:highlight w:val="none"/>
        </w:rPr>
        <w:t>万元，主要用于：</w:t>
      </w:r>
      <w:r>
        <w:rPr>
          <w:rFonts w:hint="eastAsia" w:ascii="Times New Roman" w:hAnsi="Times New Roman" w:eastAsia="仿宋_GB2312" w:cs="仿宋_GB2312"/>
          <w:sz w:val="32"/>
          <w:szCs w:val="32"/>
          <w:highlight w:val="none"/>
          <w:lang w:val="en-US" w:eastAsia="zh-CN"/>
        </w:rPr>
        <w:t>中医院正常保运转支出，包括基本工资、津贴补贴、基础绩效等人员经费。</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仿宋_GB2312"/>
          <w:sz w:val="32"/>
          <w:szCs w:val="32"/>
          <w:highlight w:val="none"/>
          <w:lang w:val="en-US" w:eastAsia="zh-CN"/>
        </w:rPr>
      </w:pPr>
      <w:r>
        <w:rPr>
          <w:rFonts w:hint="eastAsia" w:ascii="Times New Roman" w:hAnsi="Times New Roman" w:eastAsia="仿宋_GB2312" w:cs="仿宋_GB2312"/>
          <w:sz w:val="32"/>
          <w:szCs w:val="32"/>
          <w:highlight w:val="none"/>
          <w:lang w:val="en-US" w:eastAsia="zh-CN"/>
        </w:rPr>
        <w:t>9</w:t>
      </w:r>
      <w:r>
        <w:rPr>
          <w:rFonts w:hint="eastAsia" w:ascii="Times New Roman" w:hAnsi="Times New Roman" w:eastAsia="仿宋_GB2312" w:cs="仿宋_GB2312"/>
          <w:sz w:val="32"/>
          <w:szCs w:val="32"/>
          <w:highlight w:val="none"/>
        </w:rPr>
        <w:t>.卫生健康（类）</w:t>
      </w:r>
      <w:r>
        <w:rPr>
          <w:rFonts w:hint="eastAsia" w:ascii="Times New Roman" w:hAnsi="Times New Roman" w:eastAsia="仿宋_GB2312" w:cs="仿宋_GB2312"/>
          <w:sz w:val="32"/>
          <w:szCs w:val="32"/>
          <w:highlight w:val="none"/>
          <w:lang w:val="en-US" w:eastAsia="zh-CN"/>
        </w:rPr>
        <w:t>基层医疗卫生机构</w:t>
      </w:r>
      <w:r>
        <w:rPr>
          <w:rFonts w:hint="eastAsia" w:ascii="Times New Roman" w:hAnsi="Times New Roman" w:eastAsia="仿宋_GB2312" w:cs="仿宋_GB2312"/>
          <w:sz w:val="32"/>
          <w:szCs w:val="32"/>
          <w:highlight w:val="none"/>
        </w:rPr>
        <w:t>（款）</w:t>
      </w:r>
      <w:r>
        <w:rPr>
          <w:rFonts w:hint="eastAsia" w:ascii="Times New Roman" w:hAnsi="Times New Roman" w:eastAsia="仿宋_GB2312" w:cs="仿宋_GB2312"/>
          <w:sz w:val="32"/>
          <w:szCs w:val="32"/>
          <w:highlight w:val="none"/>
          <w:lang w:val="en-US" w:eastAsia="zh-CN"/>
        </w:rPr>
        <w:t>城市社区卫生机构</w:t>
      </w:r>
      <w:r>
        <w:rPr>
          <w:rFonts w:hint="eastAsia" w:ascii="Times New Roman" w:hAnsi="Times New Roman" w:eastAsia="仿宋_GB2312" w:cs="仿宋_GB2312"/>
          <w:sz w:val="32"/>
          <w:szCs w:val="32"/>
          <w:highlight w:val="none"/>
        </w:rPr>
        <w:t>（项）202</w:t>
      </w:r>
      <w:r>
        <w:rPr>
          <w:rFonts w:hint="eastAsia" w:ascii="Times New Roman" w:hAnsi="Times New Roman" w:eastAsia="仿宋_GB2312" w:cs="仿宋_GB2312"/>
          <w:sz w:val="32"/>
          <w:szCs w:val="32"/>
          <w:highlight w:val="none"/>
          <w:lang w:val="en-US" w:eastAsia="zh-CN"/>
        </w:rPr>
        <w:t>4</w:t>
      </w:r>
      <w:r>
        <w:rPr>
          <w:rFonts w:hint="eastAsia" w:ascii="Times New Roman" w:hAnsi="Times New Roman" w:eastAsia="仿宋_GB2312" w:cs="仿宋_GB2312"/>
          <w:sz w:val="32"/>
          <w:szCs w:val="32"/>
          <w:highlight w:val="none"/>
        </w:rPr>
        <w:t>年预算数为</w:t>
      </w:r>
      <w:r>
        <w:rPr>
          <w:rFonts w:hint="eastAsia" w:ascii="Times New Roman" w:hAnsi="Times New Roman" w:eastAsia="仿宋_GB2312" w:cs="仿宋_GB2312"/>
          <w:color w:val="000000"/>
          <w:sz w:val="32"/>
          <w:szCs w:val="32"/>
          <w:highlight w:val="none"/>
          <w:lang w:val="en-US" w:eastAsia="zh-CN"/>
        </w:rPr>
        <w:t>269.16</w:t>
      </w:r>
      <w:r>
        <w:rPr>
          <w:rFonts w:hint="eastAsia" w:ascii="Times New Roman" w:hAnsi="Times New Roman" w:eastAsia="仿宋_GB2312" w:cs="仿宋_GB2312"/>
          <w:sz w:val="32"/>
          <w:szCs w:val="32"/>
          <w:highlight w:val="none"/>
        </w:rPr>
        <w:t>万元，主要用于：</w:t>
      </w:r>
      <w:r>
        <w:rPr>
          <w:rFonts w:hint="eastAsia" w:ascii="Times New Roman" w:hAnsi="Times New Roman" w:eastAsia="仿宋_GB2312" w:cs="仿宋_GB2312"/>
          <w:sz w:val="32"/>
          <w:szCs w:val="32"/>
          <w:highlight w:val="none"/>
          <w:lang w:val="en-US" w:eastAsia="zh-CN"/>
        </w:rPr>
        <w:t>社区卫生服务中心正常运转支出，包括基本工资、津贴补贴、基础绩效等人员经费。</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仿宋_GB2312"/>
          <w:sz w:val="32"/>
          <w:szCs w:val="32"/>
          <w:highlight w:val="none"/>
          <w:lang w:val="en-US" w:eastAsia="zh-CN"/>
        </w:rPr>
      </w:pPr>
      <w:r>
        <w:rPr>
          <w:rFonts w:hint="eastAsia" w:ascii="Times New Roman" w:hAnsi="Times New Roman" w:eastAsia="仿宋_GB2312" w:cs="仿宋_GB2312"/>
          <w:sz w:val="32"/>
          <w:szCs w:val="32"/>
          <w:highlight w:val="none"/>
          <w:lang w:val="en-US" w:eastAsia="zh-CN"/>
        </w:rPr>
        <w:t>10</w:t>
      </w:r>
      <w:r>
        <w:rPr>
          <w:rFonts w:hint="eastAsia" w:ascii="Times New Roman" w:hAnsi="Times New Roman" w:eastAsia="仿宋_GB2312" w:cs="仿宋_GB2312"/>
          <w:sz w:val="32"/>
          <w:szCs w:val="32"/>
          <w:highlight w:val="none"/>
        </w:rPr>
        <w:t>.卫生健康（类）</w:t>
      </w:r>
      <w:r>
        <w:rPr>
          <w:rFonts w:hint="eastAsia" w:ascii="Times New Roman" w:hAnsi="Times New Roman" w:eastAsia="仿宋_GB2312" w:cs="仿宋_GB2312"/>
          <w:sz w:val="32"/>
          <w:szCs w:val="32"/>
          <w:highlight w:val="none"/>
          <w:lang w:val="en-US" w:eastAsia="zh-CN"/>
        </w:rPr>
        <w:t>基层医疗卫生机构</w:t>
      </w:r>
      <w:r>
        <w:rPr>
          <w:rFonts w:hint="eastAsia" w:ascii="Times New Roman" w:hAnsi="Times New Roman" w:eastAsia="仿宋_GB2312" w:cs="仿宋_GB2312"/>
          <w:sz w:val="32"/>
          <w:szCs w:val="32"/>
          <w:highlight w:val="none"/>
        </w:rPr>
        <w:t>（款）</w:t>
      </w:r>
      <w:r>
        <w:rPr>
          <w:rFonts w:hint="eastAsia" w:ascii="Times New Roman" w:hAnsi="Times New Roman" w:eastAsia="仿宋_GB2312" w:cs="仿宋_GB2312"/>
          <w:sz w:val="32"/>
          <w:szCs w:val="32"/>
          <w:highlight w:val="none"/>
          <w:lang w:val="en-US" w:eastAsia="zh-CN"/>
        </w:rPr>
        <w:t>乡镇卫生院</w:t>
      </w:r>
      <w:r>
        <w:rPr>
          <w:rFonts w:hint="eastAsia" w:ascii="Times New Roman" w:hAnsi="Times New Roman" w:eastAsia="仿宋_GB2312" w:cs="仿宋_GB2312"/>
          <w:sz w:val="32"/>
          <w:szCs w:val="32"/>
          <w:highlight w:val="none"/>
        </w:rPr>
        <w:t>（项）202</w:t>
      </w:r>
      <w:r>
        <w:rPr>
          <w:rFonts w:hint="eastAsia" w:ascii="Times New Roman" w:hAnsi="Times New Roman" w:eastAsia="仿宋_GB2312" w:cs="仿宋_GB2312"/>
          <w:sz w:val="32"/>
          <w:szCs w:val="32"/>
          <w:highlight w:val="none"/>
          <w:lang w:val="en-US" w:eastAsia="zh-CN"/>
        </w:rPr>
        <w:t>4</w:t>
      </w:r>
      <w:r>
        <w:rPr>
          <w:rFonts w:hint="eastAsia" w:ascii="Times New Roman" w:hAnsi="Times New Roman" w:eastAsia="仿宋_GB2312" w:cs="仿宋_GB2312"/>
          <w:sz w:val="32"/>
          <w:szCs w:val="32"/>
          <w:highlight w:val="none"/>
        </w:rPr>
        <w:t>年预算数为</w:t>
      </w:r>
      <w:r>
        <w:rPr>
          <w:rFonts w:hint="eastAsia" w:ascii="Times New Roman" w:hAnsi="Times New Roman" w:eastAsia="仿宋_GB2312" w:cs="仿宋_GB2312"/>
          <w:color w:val="000000"/>
          <w:sz w:val="32"/>
          <w:szCs w:val="32"/>
          <w:highlight w:val="none"/>
          <w:lang w:val="en-US" w:eastAsia="zh-CN"/>
        </w:rPr>
        <w:t>2538.6</w:t>
      </w:r>
      <w:r>
        <w:rPr>
          <w:rFonts w:hint="eastAsia" w:ascii="Times New Roman" w:hAnsi="Times New Roman" w:eastAsia="仿宋_GB2312" w:cs="仿宋_GB2312"/>
          <w:sz w:val="32"/>
          <w:szCs w:val="32"/>
          <w:highlight w:val="none"/>
        </w:rPr>
        <w:t>万元，主要用于：</w:t>
      </w:r>
      <w:r>
        <w:rPr>
          <w:rFonts w:hint="eastAsia" w:ascii="Times New Roman" w:hAnsi="Times New Roman" w:eastAsia="仿宋_GB2312" w:cs="仿宋_GB2312"/>
          <w:sz w:val="32"/>
          <w:szCs w:val="32"/>
          <w:highlight w:val="none"/>
          <w:lang w:val="en-US" w:eastAsia="zh-CN"/>
        </w:rPr>
        <w:t>乡镇卫生院正常保运转支出，包括基本工资、津贴补贴、基础绩效等人员经费。</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仿宋_GB2312"/>
          <w:sz w:val="32"/>
          <w:szCs w:val="32"/>
          <w:highlight w:val="none"/>
          <w:lang w:val="en-US" w:eastAsia="zh-CN"/>
        </w:rPr>
      </w:pPr>
      <w:r>
        <w:rPr>
          <w:rFonts w:hint="eastAsia" w:ascii="Times New Roman" w:hAnsi="Times New Roman" w:eastAsia="仿宋_GB2312" w:cs="仿宋_GB2312"/>
          <w:sz w:val="32"/>
          <w:szCs w:val="32"/>
          <w:highlight w:val="none"/>
          <w:lang w:val="en-US" w:eastAsia="zh-CN"/>
        </w:rPr>
        <w:t>11</w:t>
      </w:r>
      <w:r>
        <w:rPr>
          <w:rFonts w:hint="eastAsia" w:ascii="Times New Roman" w:hAnsi="Times New Roman" w:eastAsia="仿宋_GB2312" w:cs="仿宋_GB2312"/>
          <w:sz w:val="32"/>
          <w:szCs w:val="32"/>
          <w:highlight w:val="none"/>
        </w:rPr>
        <w:t>.卫生健康（类）</w:t>
      </w:r>
      <w:r>
        <w:rPr>
          <w:rFonts w:hint="eastAsia" w:ascii="Times New Roman" w:hAnsi="Times New Roman" w:eastAsia="仿宋_GB2312" w:cs="仿宋_GB2312"/>
          <w:sz w:val="32"/>
          <w:szCs w:val="32"/>
          <w:highlight w:val="none"/>
          <w:lang w:val="en-US" w:eastAsia="zh-CN"/>
        </w:rPr>
        <w:t>基层医疗卫生机构</w:t>
      </w:r>
      <w:r>
        <w:rPr>
          <w:rFonts w:hint="eastAsia" w:ascii="Times New Roman" w:hAnsi="Times New Roman" w:eastAsia="仿宋_GB2312" w:cs="仿宋_GB2312"/>
          <w:sz w:val="32"/>
          <w:szCs w:val="32"/>
          <w:highlight w:val="none"/>
        </w:rPr>
        <w:t>（款）</w:t>
      </w:r>
      <w:r>
        <w:rPr>
          <w:rFonts w:hint="eastAsia" w:ascii="Times New Roman" w:hAnsi="Times New Roman" w:eastAsia="仿宋_GB2312" w:cs="仿宋_GB2312"/>
          <w:sz w:val="32"/>
          <w:szCs w:val="32"/>
          <w:highlight w:val="none"/>
          <w:lang w:val="en-US" w:eastAsia="zh-CN"/>
        </w:rPr>
        <w:t>其他基层医疗卫生机构</w:t>
      </w:r>
      <w:r>
        <w:rPr>
          <w:rFonts w:hint="eastAsia" w:ascii="Times New Roman" w:hAnsi="Times New Roman" w:eastAsia="仿宋_GB2312" w:cs="仿宋_GB2312"/>
          <w:sz w:val="32"/>
          <w:szCs w:val="32"/>
          <w:highlight w:val="none"/>
        </w:rPr>
        <w:t>（项）202</w:t>
      </w:r>
      <w:r>
        <w:rPr>
          <w:rFonts w:hint="eastAsia" w:ascii="Times New Roman" w:hAnsi="Times New Roman" w:eastAsia="仿宋_GB2312" w:cs="仿宋_GB2312"/>
          <w:sz w:val="32"/>
          <w:szCs w:val="32"/>
          <w:highlight w:val="none"/>
          <w:lang w:val="en-US" w:eastAsia="zh-CN"/>
        </w:rPr>
        <w:t>4</w:t>
      </w:r>
      <w:r>
        <w:rPr>
          <w:rFonts w:hint="eastAsia" w:ascii="Times New Roman" w:hAnsi="Times New Roman" w:eastAsia="仿宋_GB2312" w:cs="仿宋_GB2312"/>
          <w:sz w:val="32"/>
          <w:szCs w:val="32"/>
          <w:highlight w:val="none"/>
        </w:rPr>
        <w:t>年预算数为</w:t>
      </w:r>
      <w:r>
        <w:rPr>
          <w:rFonts w:hint="eastAsia" w:ascii="Times New Roman" w:hAnsi="Times New Roman" w:eastAsia="仿宋_GB2312" w:cs="仿宋_GB2312"/>
          <w:color w:val="000000"/>
          <w:sz w:val="32"/>
          <w:szCs w:val="32"/>
          <w:highlight w:val="none"/>
          <w:lang w:val="en-US" w:eastAsia="zh-CN"/>
        </w:rPr>
        <w:t>304.69</w:t>
      </w:r>
      <w:r>
        <w:rPr>
          <w:rFonts w:hint="eastAsia" w:ascii="Times New Roman" w:hAnsi="Times New Roman" w:eastAsia="仿宋_GB2312" w:cs="仿宋_GB2312"/>
          <w:sz w:val="32"/>
          <w:szCs w:val="32"/>
          <w:highlight w:val="none"/>
        </w:rPr>
        <w:t>万元，主要用于：</w:t>
      </w:r>
      <w:r>
        <w:rPr>
          <w:rFonts w:hint="eastAsia" w:ascii="Times New Roman" w:hAnsi="Times New Roman" w:eastAsia="仿宋_GB2312" w:cs="仿宋_GB2312"/>
          <w:sz w:val="32"/>
          <w:szCs w:val="32"/>
          <w:highlight w:val="none"/>
          <w:lang w:val="en-US" w:eastAsia="zh-CN"/>
        </w:rPr>
        <w:t>乡村医生补助、乡村医生养老保险补助、乡镇工作补贴。</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lang w:val="en-US" w:eastAsia="zh-CN"/>
        </w:rPr>
      </w:pPr>
      <w:r>
        <w:rPr>
          <w:rFonts w:hint="eastAsia" w:ascii="Times New Roman" w:hAnsi="Times New Roman" w:eastAsia="仿宋_GB2312" w:cs="仿宋_GB2312"/>
          <w:sz w:val="32"/>
          <w:szCs w:val="32"/>
          <w:highlight w:val="none"/>
          <w:lang w:val="en-US" w:eastAsia="zh-CN"/>
        </w:rPr>
        <w:t>12</w:t>
      </w:r>
      <w:r>
        <w:rPr>
          <w:rFonts w:hint="eastAsia" w:ascii="Times New Roman" w:hAnsi="Times New Roman" w:eastAsia="仿宋_GB2312" w:cs="仿宋_GB2312"/>
          <w:sz w:val="32"/>
          <w:szCs w:val="32"/>
          <w:highlight w:val="none"/>
        </w:rPr>
        <w:t>.卫生健康（类）</w:t>
      </w:r>
      <w:r>
        <w:rPr>
          <w:rFonts w:hint="eastAsia" w:ascii="Times New Roman" w:hAnsi="Times New Roman" w:eastAsia="仿宋_GB2312" w:cs="仿宋_GB2312"/>
          <w:sz w:val="32"/>
          <w:szCs w:val="32"/>
          <w:highlight w:val="none"/>
          <w:lang w:val="en-US" w:eastAsia="zh-CN"/>
        </w:rPr>
        <w:t>公共卫生</w:t>
      </w:r>
      <w:r>
        <w:rPr>
          <w:rFonts w:hint="eastAsia" w:ascii="Times New Roman" w:hAnsi="Times New Roman" w:eastAsia="仿宋_GB2312" w:cs="仿宋_GB2312"/>
          <w:sz w:val="32"/>
          <w:szCs w:val="32"/>
          <w:highlight w:val="none"/>
        </w:rPr>
        <w:t>（款）</w:t>
      </w:r>
      <w:r>
        <w:rPr>
          <w:rFonts w:hint="eastAsia" w:ascii="Times New Roman" w:hAnsi="Times New Roman" w:eastAsia="仿宋_GB2312" w:cs="仿宋_GB2312"/>
          <w:sz w:val="32"/>
          <w:szCs w:val="32"/>
          <w:highlight w:val="none"/>
          <w:lang w:val="en-US" w:eastAsia="zh-CN"/>
        </w:rPr>
        <w:t>疾病预防控制机构</w:t>
      </w:r>
      <w:r>
        <w:rPr>
          <w:rFonts w:hint="eastAsia" w:ascii="Times New Roman" w:hAnsi="Times New Roman" w:eastAsia="仿宋_GB2312" w:cs="仿宋_GB2312"/>
          <w:sz w:val="32"/>
          <w:szCs w:val="32"/>
          <w:highlight w:val="none"/>
        </w:rPr>
        <w:t>（项）202</w:t>
      </w:r>
      <w:r>
        <w:rPr>
          <w:rFonts w:hint="eastAsia" w:ascii="Times New Roman" w:hAnsi="Times New Roman" w:eastAsia="仿宋_GB2312" w:cs="仿宋_GB2312"/>
          <w:sz w:val="32"/>
          <w:szCs w:val="32"/>
          <w:highlight w:val="none"/>
          <w:lang w:val="en-US" w:eastAsia="zh-CN"/>
        </w:rPr>
        <w:t>4</w:t>
      </w:r>
      <w:r>
        <w:rPr>
          <w:rFonts w:hint="eastAsia" w:ascii="Times New Roman" w:hAnsi="Times New Roman" w:eastAsia="仿宋_GB2312" w:cs="仿宋_GB2312"/>
          <w:sz w:val="32"/>
          <w:szCs w:val="32"/>
          <w:highlight w:val="none"/>
        </w:rPr>
        <w:t>年预算数为</w:t>
      </w:r>
      <w:r>
        <w:rPr>
          <w:rFonts w:hint="eastAsia" w:ascii="Times New Roman" w:hAnsi="Times New Roman" w:eastAsia="仿宋_GB2312" w:cs="仿宋_GB2312"/>
          <w:color w:val="000000"/>
          <w:sz w:val="32"/>
          <w:szCs w:val="32"/>
          <w:highlight w:val="none"/>
          <w:lang w:val="en-US" w:eastAsia="zh-CN"/>
        </w:rPr>
        <w:t>384.97</w:t>
      </w:r>
      <w:r>
        <w:rPr>
          <w:rFonts w:hint="eastAsia" w:ascii="Times New Roman" w:hAnsi="Times New Roman" w:eastAsia="仿宋_GB2312" w:cs="仿宋_GB2312"/>
          <w:sz w:val="32"/>
          <w:szCs w:val="32"/>
          <w:highlight w:val="none"/>
        </w:rPr>
        <w:t>万元，主要用于：</w:t>
      </w:r>
      <w:r>
        <w:rPr>
          <w:rFonts w:hint="eastAsia" w:ascii="Times New Roman" w:hAnsi="Times New Roman" w:eastAsia="仿宋_GB2312" w:cs="仿宋_GB2312"/>
          <w:sz w:val="32"/>
          <w:szCs w:val="32"/>
          <w:highlight w:val="none"/>
          <w:lang w:val="en-US" w:eastAsia="zh-CN"/>
        </w:rPr>
        <w:t>疾控中心正常保障运转支出</w:t>
      </w:r>
      <w:bookmarkStart w:id="27" w:name="_GoBack"/>
      <w:bookmarkEnd w:id="27"/>
      <w:r>
        <w:rPr>
          <w:rFonts w:hint="eastAsia" w:ascii="Times New Roman" w:hAnsi="Times New Roman" w:eastAsia="仿宋_GB2312" w:cs="仿宋_GB2312"/>
          <w:sz w:val="32"/>
          <w:szCs w:val="32"/>
          <w:highlight w:val="none"/>
          <w:lang w:val="en-US" w:eastAsia="zh-CN"/>
        </w:rPr>
        <w:t>，包括基本工资、津贴补贴、基础绩效等人员经费。</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仿宋_GB2312"/>
          <w:sz w:val="32"/>
          <w:szCs w:val="32"/>
          <w:highlight w:val="none"/>
          <w:lang w:val="en-US" w:eastAsia="zh-CN"/>
        </w:rPr>
      </w:pPr>
      <w:r>
        <w:rPr>
          <w:rFonts w:hint="eastAsia" w:ascii="Times New Roman" w:hAnsi="Times New Roman" w:eastAsia="仿宋_GB2312" w:cs="仿宋_GB2312"/>
          <w:sz w:val="32"/>
          <w:szCs w:val="32"/>
          <w:highlight w:val="none"/>
          <w:lang w:val="en-US" w:eastAsia="zh-CN"/>
        </w:rPr>
        <w:t>13</w:t>
      </w:r>
      <w:r>
        <w:rPr>
          <w:rFonts w:hint="eastAsia" w:ascii="Times New Roman" w:hAnsi="Times New Roman" w:eastAsia="仿宋_GB2312" w:cs="仿宋_GB2312"/>
          <w:sz w:val="32"/>
          <w:szCs w:val="32"/>
          <w:highlight w:val="none"/>
        </w:rPr>
        <w:t>.卫生健康（类）</w:t>
      </w:r>
      <w:r>
        <w:rPr>
          <w:rFonts w:hint="eastAsia" w:ascii="Times New Roman" w:hAnsi="Times New Roman" w:eastAsia="仿宋_GB2312" w:cs="仿宋_GB2312"/>
          <w:sz w:val="32"/>
          <w:szCs w:val="32"/>
          <w:highlight w:val="none"/>
          <w:lang w:val="en-US" w:eastAsia="zh-CN"/>
        </w:rPr>
        <w:t>公共卫生</w:t>
      </w:r>
      <w:r>
        <w:rPr>
          <w:rFonts w:hint="eastAsia" w:ascii="Times New Roman" w:hAnsi="Times New Roman" w:eastAsia="仿宋_GB2312" w:cs="仿宋_GB2312"/>
          <w:sz w:val="32"/>
          <w:szCs w:val="32"/>
          <w:highlight w:val="none"/>
        </w:rPr>
        <w:t>（款）</w:t>
      </w:r>
      <w:r>
        <w:rPr>
          <w:rFonts w:hint="eastAsia" w:ascii="Times New Roman" w:hAnsi="Times New Roman" w:eastAsia="仿宋_GB2312" w:cs="仿宋_GB2312"/>
          <w:sz w:val="32"/>
          <w:szCs w:val="32"/>
          <w:highlight w:val="none"/>
          <w:lang w:val="en-US" w:eastAsia="zh-CN"/>
        </w:rPr>
        <w:t>妇幼保健机构</w:t>
      </w:r>
      <w:r>
        <w:rPr>
          <w:rFonts w:hint="eastAsia" w:ascii="Times New Roman" w:hAnsi="Times New Roman" w:eastAsia="仿宋_GB2312" w:cs="仿宋_GB2312"/>
          <w:sz w:val="32"/>
          <w:szCs w:val="32"/>
          <w:highlight w:val="none"/>
        </w:rPr>
        <w:t>（项）202</w:t>
      </w:r>
      <w:r>
        <w:rPr>
          <w:rFonts w:hint="eastAsia" w:ascii="Times New Roman" w:hAnsi="Times New Roman" w:eastAsia="仿宋_GB2312" w:cs="仿宋_GB2312"/>
          <w:sz w:val="32"/>
          <w:szCs w:val="32"/>
          <w:highlight w:val="none"/>
          <w:lang w:val="en-US" w:eastAsia="zh-CN"/>
        </w:rPr>
        <w:t>4</w:t>
      </w:r>
      <w:r>
        <w:rPr>
          <w:rFonts w:hint="eastAsia" w:ascii="Times New Roman" w:hAnsi="Times New Roman" w:eastAsia="仿宋_GB2312" w:cs="仿宋_GB2312"/>
          <w:sz w:val="32"/>
          <w:szCs w:val="32"/>
          <w:highlight w:val="none"/>
        </w:rPr>
        <w:t>年预算数为</w:t>
      </w:r>
      <w:r>
        <w:rPr>
          <w:rFonts w:hint="eastAsia" w:ascii="Times New Roman" w:hAnsi="Times New Roman" w:eastAsia="仿宋_GB2312" w:cs="仿宋_GB2312"/>
          <w:color w:val="000000"/>
          <w:sz w:val="32"/>
          <w:szCs w:val="32"/>
          <w:highlight w:val="none"/>
          <w:lang w:val="en-US" w:eastAsia="zh-CN"/>
        </w:rPr>
        <w:t>373.83</w:t>
      </w:r>
      <w:r>
        <w:rPr>
          <w:rFonts w:hint="eastAsia" w:ascii="Times New Roman" w:hAnsi="Times New Roman" w:eastAsia="仿宋_GB2312" w:cs="仿宋_GB2312"/>
          <w:sz w:val="32"/>
          <w:szCs w:val="32"/>
          <w:highlight w:val="none"/>
        </w:rPr>
        <w:t>万元，主要用于：</w:t>
      </w:r>
      <w:r>
        <w:rPr>
          <w:rFonts w:hint="eastAsia" w:ascii="Times New Roman" w:hAnsi="Times New Roman" w:eastAsia="仿宋_GB2312" w:cs="仿宋_GB2312"/>
          <w:sz w:val="32"/>
          <w:szCs w:val="32"/>
          <w:highlight w:val="none"/>
          <w:lang w:val="en-US" w:eastAsia="zh-CN"/>
        </w:rPr>
        <w:t>妇幼保健院正常运转支出，包括基本工资、津贴补贴、基础绩效等人员经费。</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仿宋_GB2312"/>
          <w:sz w:val="32"/>
          <w:szCs w:val="32"/>
          <w:highlight w:val="none"/>
          <w:lang w:val="en-US" w:eastAsia="zh-CN"/>
        </w:rPr>
      </w:pPr>
      <w:r>
        <w:rPr>
          <w:rFonts w:hint="eastAsia" w:ascii="Times New Roman" w:hAnsi="Times New Roman" w:eastAsia="仿宋_GB2312" w:cs="仿宋_GB2312"/>
          <w:sz w:val="32"/>
          <w:szCs w:val="32"/>
          <w:highlight w:val="none"/>
          <w:lang w:val="en-US" w:eastAsia="zh-CN"/>
        </w:rPr>
        <w:t>14</w:t>
      </w:r>
      <w:r>
        <w:rPr>
          <w:rFonts w:hint="eastAsia" w:ascii="Times New Roman" w:hAnsi="Times New Roman" w:eastAsia="仿宋_GB2312" w:cs="仿宋_GB2312"/>
          <w:sz w:val="32"/>
          <w:szCs w:val="32"/>
          <w:highlight w:val="none"/>
        </w:rPr>
        <w:t>.卫生健康（类）</w:t>
      </w:r>
      <w:r>
        <w:rPr>
          <w:rFonts w:hint="eastAsia" w:ascii="Times New Roman" w:hAnsi="Times New Roman" w:eastAsia="仿宋_GB2312" w:cs="仿宋_GB2312"/>
          <w:sz w:val="32"/>
          <w:szCs w:val="32"/>
          <w:highlight w:val="none"/>
          <w:lang w:val="en-US" w:eastAsia="zh-CN"/>
        </w:rPr>
        <w:t>公共卫生</w:t>
      </w:r>
      <w:r>
        <w:rPr>
          <w:rFonts w:hint="eastAsia" w:ascii="Times New Roman" w:hAnsi="Times New Roman" w:eastAsia="仿宋_GB2312" w:cs="仿宋_GB2312"/>
          <w:sz w:val="32"/>
          <w:szCs w:val="32"/>
          <w:highlight w:val="none"/>
        </w:rPr>
        <w:t>（款）</w:t>
      </w:r>
      <w:r>
        <w:rPr>
          <w:rFonts w:hint="eastAsia" w:ascii="Times New Roman" w:hAnsi="Times New Roman" w:eastAsia="仿宋_GB2312" w:cs="仿宋_GB2312"/>
          <w:sz w:val="32"/>
          <w:szCs w:val="32"/>
          <w:highlight w:val="none"/>
          <w:lang w:val="en-US" w:eastAsia="zh-CN"/>
        </w:rPr>
        <w:t>基本公共卫生服务</w:t>
      </w:r>
      <w:r>
        <w:rPr>
          <w:rFonts w:hint="eastAsia" w:ascii="Times New Roman" w:hAnsi="Times New Roman" w:eastAsia="仿宋_GB2312" w:cs="仿宋_GB2312"/>
          <w:sz w:val="32"/>
          <w:szCs w:val="32"/>
          <w:highlight w:val="none"/>
        </w:rPr>
        <w:t>（项）202</w:t>
      </w:r>
      <w:r>
        <w:rPr>
          <w:rFonts w:hint="eastAsia" w:ascii="Times New Roman" w:hAnsi="Times New Roman" w:eastAsia="仿宋_GB2312" w:cs="仿宋_GB2312"/>
          <w:sz w:val="32"/>
          <w:szCs w:val="32"/>
          <w:highlight w:val="none"/>
          <w:lang w:val="en-US" w:eastAsia="zh-CN"/>
        </w:rPr>
        <w:t>4</w:t>
      </w:r>
      <w:r>
        <w:rPr>
          <w:rFonts w:hint="eastAsia" w:ascii="Times New Roman" w:hAnsi="Times New Roman" w:eastAsia="仿宋_GB2312" w:cs="仿宋_GB2312"/>
          <w:sz w:val="32"/>
          <w:szCs w:val="32"/>
          <w:highlight w:val="none"/>
        </w:rPr>
        <w:t>年预算数为</w:t>
      </w:r>
      <w:r>
        <w:rPr>
          <w:rFonts w:hint="eastAsia" w:ascii="Times New Roman" w:hAnsi="Times New Roman" w:eastAsia="仿宋_GB2312" w:cs="仿宋_GB2312"/>
          <w:color w:val="000000"/>
          <w:sz w:val="32"/>
          <w:szCs w:val="32"/>
          <w:highlight w:val="none"/>
          <w:lang w:val="en-US" w:eastAsia="zh-CN"/>
        </w:rPr>
        <w:t>81.43</w:t>
      </w:r>
      <w:r>
        <w:rPr>
          <w:rFonts w:hint="eastAsia" w:ascii="Times New Roman" w:hAnsi="Times New Roman" w:eastAsia="仿宋_GB2312" w:cs="仿宋_GB2312"/>
          <w:sz w:val="32"/>
          <w:szCs w:val="32"/>
          <w:highlight w:val="none"/>
        </w:rPr>
        <w:t>万元，主要用于：</w:t>
      </w:r>
      <w:r>
        <w:rPr>
          <w:rFonts w:hint="eastAsia" w:ascii="Times New Roman" w:hAnsi="Times New Roman" w:eastAsia="仿宋_GB2312" w:cs="仿宋_GB2312"/>
          <w:sz w:val="32"/>
          <w:szCs w:val="32"/>
          <w:highlight w:val="none"/>
          <w:lang w:val="en-US" w:eastAsia="zh-CN"/>
        </w:rPr>
        <w:t>基本公共卫生项目、免费婚检项目。</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仿宋_GB2312"/>
          <w:sz w:val="32"/>
          <w:szCs w:val="32"/>
          <w:highlight w:val="none"/>
          <w:lang w:eastAsia="zh-CN"/>
        </w:rPr>
      </w:pPr>
      <w:r>
        <w:rPr>
          <w:rFonts w:hint="eastAsia" w:ascii="Times New Roman" w:hAnsi="Times New Roman" w:eastAsia="仿宋_GB2312" w:cs="仿宋_GB2312"/>
          <w:sz w:val="32"/>
          <w:szCs w:val="32"/>
          <w:highlight w:val="none"/>
          <w:lang w:val="en-US" w:eastAsia="zh-CN"/>
        </w:rPr>
        <w:t>15</w:t>
      </w:r>
      <w:r>
        <w:rPr>
          <w:rFonts w:hint="eastAsia" w:ascii="Times New Roman" w:hAnsi="Times New Roman" w:eastAsia="仿宋_GB2312" w:cs="仿宋_GB2312"/>
          <w:sz w:val="32"/>
          <w:szCs w:val="32"/>
          <w:highlight w:val="none"/>
        </w:rPr>
        <w:t>.卫生健康（类）</w:t>
      </w:r>
      <w:r>
        <w:rPr>
          <w:rFonts w:hint="eastAsia" w:ascii="Times New Roman" w:hAnsi="Times New Roman" w:eastAsia="仿宋_GB2312" w:cs="仿宋_GB2312"/>
          <w:sz w:val="32"/>
          <w:szCs w:val="32"/>
          <w:highlight w:val="none"/>
          <w:lang w:val="en-US" w:eastAsia="zh-CN"/>
        </w:rPr>
        <w:t>基层医疗卫生机构</w:t>
      </w:r>
      <w:r>
        <w:rPr>
          <w:rFonts w:hint="eastAsia" w:ascii="Times New Roman" w:hAnsi="Times New Roman" w:eastAsia="仿宋_GB2312" w:cs="仿宋_GB2312"/>
          <w:sz w:val="32"/>
          <w:szCs w:val="32"/>
          <w:highlight w:val="none"/>
        </w:rPr>
        <w:t>（款）</w:t>
      </w:r>
      <w:r>
        <w:rPr>
          <w:rFonts w:hint="eastAsia" w:ascii="Times New Roman" w:hAnsi="Times New Roman" w:eastAsia="仿宋_GB2312" w:cs="仿宋_GB2312"/>
          <w:sz w:val="32"/>
          <w:szCs w:val="32"/>
          <w:highlight w:val="none"/>
          <w:lang w:val="en-US" w:eastAsia="zh-CN"/>
        </w:rPr>
        <w:t>其他基层医疗卫生机构</w:t>
      </w:r>
      <w:r>
        <w:rPr>
          <w:rFonts w:hint="eastAsia" w:ascii="Times New Roman" w:hAnsi="Times New Roman" w:eastAsia="仿宋_GB2312" w:cs="仿宋_GB2312"/>
          <w:sz w:val="32"/>
          <w:szCs w:val="32"/>
          <w:highlight w:val="none"/>
        </w:rPr>
        <w:t>（项）202</w:t>
      </w:r>
      <w:r>
        <w:rPr>
          <w:rFonts w:hint="eastAsia" w:ascii="Times New Roman" w:hAnsi="Times New Roman" w:eastAsia="仿宋_GB2312" w:cs="仿宋_GB2312"/>
          <w:sz w:val="32"/>
          <w:szCs w:val="32"/>
          <w:highlight w:val="none"/>
          <w:lang w:val="en-US" w:eastAsia="zh-CN"/>
        </w:rPr>
        <w:t>4</w:t>
      </w:r>
      <w:r>
        <w:rPr>
          <w:rFonts w:hint="eastAsia" w:ascii="Times New Roman" w:hAnsi="Times New Roman" w:eastAsia="仿宋_GB2312" w:cs="仿宋_GB2312"/>
          <w:sz w:val="32"/>
          <w:szCs w:val="32"/>
          <w:highlight w:val="none"/>
        </w:rPr>
        <w:t>年预算数为</w:t>
      </w:r>
      <w:r>
        <w:rPr>
          <w:rFonts w:hint="eastAsia" w:ascii="Times New Roman" w:hAnsi="Times New Roman" w:eastAsia="仿宋_GB2312" w:cs="仿宋_GB2312"/>
          <w:color w:val="000000"/>
          <w:sz w:val="32"/>
          <w:szCs w:val="32"/>
          <w:highlight w:val="none"/>
          <w:lang w:val="en-US" w:eastAsia="zh-CN"/>
        </w:rPr>
        <w:t>30.77</w:t>
      </w:r>
      <w:r>
        <w:rPr>
          <w:rFonts w:hint="eastAsia" w:ascii="Times New Roman" w:hAnsi="Times New Roman" w:eastAsia="仿宋_GB2312" w:cs="仿宋_GB2312"/>
          <w:sz w:val="32"/>
          <w:szCs w:val="32"/>
          <w:highlight w:val="none"/>
        </w:rPr>
        <w:t>万元，主要用于：</w:t>
      </w:r>
      <w:r>
        <w:rPr>
          <w:rFonts w:hint="eastAsia" w:ascii="Times New Roman" w:hAnsi="Times New Roman" w:eastAsia="仿宋_GB2312" w:cs="仿宋_GB2312"/>
          <w:sz w:val="32"/>
          <w:szCs w:val="32"/>
          <w:highlight w:val="none"/>
          <w:lang w:eastAsia="zh-CN"/>
        </w:rPr>
        <w:t>其他社会保障和就业支出。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lang w:val="en-US" w:eastAsia="zh-CN"/>
        </w:rPr>
      </w:pPr>
      <w:r>
        <w:rPr>
          <w:rFonts w:hint="eastAsia" w:ascii="Times New Roman" w:hAnsi="Times New Roman" w:eastAsia="仿宋_GB2312" w:cs="仿宋_GB2312"/>
          <w:sz w:val="32"/>
          <w:szCs w:val="32"/>
          <w:highlight w:val="none"/>
          <w:lang w:val="en-US" w:eastAsia="zh-CN"/>
        </w:rPr>
        <w:t>16</w:t>
      </w:r>
      <w:r>
        <w:rPr>
          <w:rFonts w:hint="eastAsia" w:ascii="Times New Roman" w:hAnsi="Times New Roman" w:eastAsia="仿宋_GB2312" w:cs="仿宋_GB2312"/>
          <w:sz w:val="32"/>
          <w:szCs w:val="32"/>
          <w:highlight w:val="none"/>
        </w:rPr>
        <w:t>.卫生健康（类）</w:t>
      </w:r>
      <w:r>
        <w:rPr>
          <w:rFonts w:hint="eastAsia" w:ascii="Times New Roman" w:hAnsi="Times New Roman" w:eastAsia="仿宋_GB2312" w:cs="仿宋_GB2312"/>
          <w:sz w:val="32"/>
          <w:szCs w:val="32"/>
          <w:highlight w:val="none"/>
          <w:lang w:val="en-US" w:eastAsia="zh-CN"/>
        </w:rPr>
        <w:t>计划生育服务</w:t>
      </w:r>
      <w:r>
        <w:rPr>
          <w:rFonts w:hint="eastAsia" w:ascii="Times New Roman" w:hAnsi="Times New Roman" w:eastAsia="仿宋_GB2312" w:cs="仿宋_GB2312"/>
          <w:sz w:val="32"/>
          <w:szCs w:val="32"/>
          <w:highlight w:val="none"/>
        </w:rPr>
        <w:t>（款）</w:t>
      </w:r>
      <w:r>
        <w:rPr>
          <w:rFonts w:hint="eastAsia" w:ascii="Times New Roman" w:hAnsi="Times New Roman" w:eastAsia="仿宋_GB2312" w:cs="仿宋_GB2312"/>
          <w:sz w:val="32"/>
          <w:szCs w:val="32"/>
          <w:highlight w:val="none"/>
          <w:lang w:val="en-US" w:eastAsia="zh-CN"/>
        </w:rPr>
        <w:t>计划生育事务支出</w:t>
      </w:r>
      <w:r>
        <w:rPr>
          <w:rFonts w:hint="eastAsia" w:ascii="Times New Roman" w:hAnsi="Times New Roman" w:eastAsia="仿宋_GB2312" w:cs="仿宋_GB2312"/>
          <w:sz w:val="32"/>
          <w:szCs w:val="32"/>
          <w:highlight w:val="none"/>
        </w:rPr>
        <w:t>（项）202</w:t>
      </w:r>
      <w:r>
        <w:rPr>
          <w:rFonts w:hint="eastAsia" w:ascii="Times New Roman" w:hAnsi="Times New Roman" w:eastAsia="仿宋_GB2312" w:cs="仿宋_GB2312"/>
          <w:sz w:val="32"/>
          <w:szCs w:val="32"/>
          <w:highlight w:val="none"/>
          <w:lang w:val="en-US" w:eastAsia="zh-CN"/>
        </w:rPr>
        <w:t>4</w:t>
      </w:r>
      <w:r>
        <w:rPr>
          <w:rFonts w:hint="eastAsia" w:ascii="Times New Roman" w:hAnsi="Times New Roman" w:eastAsia="仿宋_GB2312" w:cs="仿宋_GB2312"/>
          <w:sz w:val="32"/>
          <w:szCs w:val="32"/>
          <w:highlight w:val="none"/>
        </w:rPr>
        <w:t>年预算数为</w:t>
      </w:r>
      <w:r>
        <w:rPr>
          <w:rFonts w:hint="eastAsia" w:ascii="Times New Roman" w:hAnsi="Times New Roman" w:eastAsia="仿宋_GB2312" w:cs="仿宋_GB2312"/>
          <w:color w:val="000000"/>
          <w:sz w:val="32"/>
          <w:szCs w:val="32"/>
          <w:highlight w:val="none"/>
          <w:lang w:val="en-US" w:eastAsia="zh-CN"/>
        </w:rPr>
        <w:t>35.38</w:t>
      </w:r>
      <w:r>
        <w:rPr>
          <w:rFonts w:hint="eastAsia" w:ascii="Times New Roman" w:hAnsi="Times New Roman" w:eastAsia="仿宋_GB2312" w:cs="仿宋_GB2312"/>
          <w:sz w:val="32"/>
          <w:szCs w:val="32"/>
          <w:highlight w:val="none"/>
        </w:rPr>
        <w:t>万元，主要用于：</w:t>
      </w:r>
      <w:r>
        <w:rPr>
          <w:rFonts w:hint="eastAsia" w:ascii="Times New Roman" w:hAnsi="Times New Roman" w:eastAsia="仿宋_GB2312" w:cs="仿宋_GB2312"/>
          <w:sz w:val="32"/>
          <w:szCs w:val="32"/>
          <w:highlight w:val="none"/>
          <w:lang w:val="en-US" w:eastAsia="zh-CN"/>
        </w:rPr>
        <w:t>计生奖扶、独子费等。</w:t>
      </w:r>
    </w:p>
    <w:p>
      <w:pPr>
        <w:pStyle w:val="6"/>
        <w:rPr>
          <w:rFonts w:hint="eastAsia" w:ascii="Times New Roman" w:hAnsi="Times New Roman"/>
          <w:lang w:val="en-US" w:eastAsia="zh-CN"/>
        </w:rPr>
      </w:pPr>
      <w:r>
        <w:rPr>
          <w:rFonts w:hint="eastAsia" w:ascii="Times New Roman" w:hAnsi="Times New Roman" w:eastAsia="仿宋_GB2312" w:cs="仿宋_GB2312"/>
          <w:sz w:val="32"/>
          <w:szCs w:val="32"/>
          <w:highlight w:val="none"/>
          <w:lang w:val="en-US" w:eastAsia="zh-CN"/>
        </w:rPr>
        <w:t>17</w:t>
      </w:r>
      <w:r>
        <w:rPr>
          <w:rFonts w:hint="eastAsia" w:ascii="Times New Roman" w:hAnsi="Times New Roman" w:eastAsia="仿宋_GB2312" w:cs="仿宋_GB2312"/>
          <w:sz w:val="32"/>
          <w:szCs w:val="32"/>
          <w:highlight w:val="none"/>
        </w:rPr>
        <w:t>.卫生健康（类）</w:t>
      </w:r>
      <w:r>
        <w:rPr>
          <w:rFonts w:hint="eastAsia" w:ascii="Times New Roman" w:hAnsi="Times New Roman" w:eastAsia="仿宋_GB2312" w:cs="仿宋_GB2312"/>
          <w:sz w:val="32"/>
          <w:szCs w:val="32"/>
          <w:highlight w:val="none"/>
          <w:lang w:val="en-US" w:eastAsia="zh-CN"/>
        </w:rPr>
        <w:t>计划生育服务</w:t>
      </w:r>
      <w:r>
        <w:rPr>
          <w:rFonts w:hint="eastAsia" w:ascii="Times New Roman" w:hAnsi="Times New Roman" w:eastAsia="仿宋_GB2312" w:cs="仿宋_GB2312"/>
          <w:sz w:val="32"/>
          <w:szCs w:val="32"/>
          <w:highlight w:val="none"/>
        </w:rPr>
        <w:t>（款）</w:t>
      </w:r>
      <w:r>
        <w:rPr>
          <w:rFonts w:hint="eastAsia" w:ascii="Times New Roman" w:hAnsi="Times New Roman" w:eastAsia="仿宋_GB2312" w:cs="仿宋_GB2312"/>
          <w:sz w:val="32"/>
          <w:szCs w:val="32"/>
          <w:highlight w:val="none"/>
          <w:lang w:val="en-US" w:eastAsia="zh-CN"/>
        </w:rPr>
        <w:t>其他计划生育事务支出</w:t>
      </w:r>
      <w:r>
        <w:rPr>
          <w:rFonts w:hint="eastAsia" w:ascii="Times New Roman" w:hAnsi="Times New Roman" w:eastAsia="仿宋_GB2312" w:cs="仿宋_GB2312"/>
          <w:sz w:val="32"/>
          <w:szCs w:val="32"/>
          <w:highlight w:val="none"/>
        </w:rPr>
        <w:t>（项）202</w:t>
      </w:r>
      <w:r>
        <w:rPr>
          <w:rFonts w:hint="eastAsia" w:ascii="Times New Roman" w:hAnsi="Times New Roman" w:eastAsia="仿宋_GB2312" w:cs="仿宋_GB2312"/>
          <w:sz w:val="32"/>
          <w:szCs w:val="32"/>
          <w:highlight w:val="none"/>
          <w:lang w:val="en-US" w:eastAsia="zh-CN"/>
        </w:rPr>
        <w:t>4</w:t>
      </w:r>
      <w:r>
        <w:rPr>
          <w:rFonts w:hint="eastAsia" w:ascii="Times New Roman" w:hAnsi="Times New Roman" w:eastAsia="仿宋_GB2312" w:cs="仿宋_GB2312"/>
          <w:sz w:val="32"/>
          <w:szCs w:val="32"/>
          <w:highlight w:val="none"/>
        </w:rPr>
        <w:t>年预算数为</w:t>
      </w:r>
      <w:r>
        <w:rPr>
          <w:rFonts w:hint="eastAsia" w:ascii="Times New Roman" w:hAnsi="Times New Roman" w:eastAsia="仿宋_GB2312" w:cs="仿宋_GB2312"/>
          <w:color w:val="000000"/>
          <w:sz w:val="32"/>
          <w:szCs w:val="32"/>
          <w:highlight w:val="none"/>
          <w:lang w:val="en-US" w:eastAsia="zh-CN"/>
        </w:rPr>
        <w:t>463.6</w:t>
      </w:r>
      <w:r>
        <w:rPr>
          <w:rFonts w:hint="eastAsia" w:ascii="Times New Roman" w:hAnsi="Times New Roman" w:eastAsia="仿宋_GB2312" w:cs="仿宋_GB2312"/>
          <w:sz w:val="32"/>
          <w:szCs w:val="32"/>
          <w:highlight w:val="none"/>
        </w:rPr>
        <w:t>万元，主要用于：</w:t>
      </w:r>
      <w:r>
        <w:rPr>
          <w:rFonts w:hint="eastAsia" w:ascii="Times New Roman" w:hAnsi="Times New Roman" w:eastAsia="仿宋_GB2312" w:cs="仿宋_GB2312"/>
          <w:sz w:val="32"/>
          <w:szCs w:val="32"/>
          <w:highlight w:val="none"/>
          <w:lang w:val="en-US" w:eastAsia="zh-CN"/>
        </w:rPr>
        <w:t>计生奖扶、独子费等。</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lang w:val="en-US" w:eastAsia="zh-CN"/>
        </w:rPr>
        <w:t>18</w:t>
      </w:r>
      <w:r>
        <w:rPr>
          <w:rFonts w:hint="eastAsia" w:ascii="Times New Roman" w:hAnsi="Times New Roman" w:eastAsia="仿宋_GB2312" w:cs="仿宋_GB2312"/>
          <w:sz w:val="32"/>
          <w:szCs w:val="32"/>
          <w:highlight w:val="none"/>
        </w:rPr>
        <w:t>.住房保障（类）住房改革支出（款）住房公积金（项）202</w:t>
      </w:r>
      <w:r>
        <w:rPr>
          <w:rFonts w:hint="eastAsia" w:ascii="Times New Roman" w:hAnsi="Times New Roman" w:eastAsia="仿宋_GB2312" w:cs="仿宋_GB2312"/>
          <w:sz w:val="32"/>
          <w:szCs w:val="32"/>
          <w:highlight w:val="none"/>
          <w:lang w:val="en-US" w:eastAsia="zh-CN"/>
        </w:rPr>
        <w:t>4</w:t>
      </w:r>
      <w:r>
        <w:rPr>
          <w:rFonts w:hint="eastAsia" w:ascii="Times New Roman" w:hAnsi="Times New Roman" w:eastAsia="仿宋_GB2312" w:cs="仿宋_GB2312"/>
          <w:sz w:val="32"/>
          <w:szCs w:val="32"/>
          <w:highlight w:val="none"/>
        </w:rPr>
        <w:t>年预算数为</w:t>
      </w:r>
      <w:r>
        <w:rPr>
          <w:rFonts w:hint="eastAsia" w:ascii="Times New Roman" w:hAnsi="Times New Roman" w:eastAsia="仿宋_GB2312" w:cs="仿宋_GB2312"/>
          <w:sz w:val="32"/>
          <w:szCs w:val="32"/>
          <w:highlight w:val="none"/>
          <w:lang w:val="en-US" w:eastAsia="zh-CN"/>
        </w:rPr>
        <w:t>503.12</w:t>
      </w:r>
      <w:r>
        <w:rPr>
          <w:rFonts w:hint="eastAsia" w:ascii="Times New Roman" w:hAnsi="Times New Roman" w:eastAsia="仿宋_GB2312" w:cs="仿宋_GB2312"/>
          <w:sz w:val="32"/>
          <w:szCs w:val="32"/>
          <w:highlight w:val="none"/>
        </w:rPr>
        <w:t>万元，主要用于：部门按规定为职工缴纳的住房公积金支出。</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outlineLvl w:val="0"/>
        <w:rPr>
          <w:rFonts w:hint="eastAsia" w:ascii="黑体" w:eastAsia="黑体" w:cs="黑体"/>
          <w:sz w:val="32"/>
          <w:szCs w:val="32"/>
        </w:rPr>
      </w:pPr>
      <w:r>
        <w:rPr>
          <w:rFonts w:hint="eastAsia" w:ascii="黑体" w:eastAsia="黑体" w:cs="黑体"/>
          <w:sz w:val="32"/>
          <w:szCs w:val="32"/>
          <w:lang w:val="en-US" w:eastAsia="zh-CN"/>
        </w:rPr>
        <w:t>六、一般公共预算基本支出情况说明</w:t>
      </w:r>
      <w:bookmarkEnd w:id="14"/>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卫生健康局2024年一般公共预算基本支出6199.42万元，其中：</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仿宋_GB2312"/>
          <w:sz w:val="32"/>
          <w:szCs w:val="32"/>
        </w:rPr>
      </w:pPr>
      <w:r>
        <w:rPr>
          <w:rFonts w:hint="eastAsia" w:ascii="仿宋_GB2312" w:eastAsia="仿宋_GB2312" w:cs="仿宋_GB2312"/>
          <w:sz w:val="32"/>
          <w:szCs w:val="32"/>
          <w:lang w:val="en-US" w:eastAsia="zh-CN"/>
        </w:rPr>
        <w:t>人员经费6089.49万元，主要包括：基本工资、津贴补贴、奖金、社会保险缴费、离退休费、住房公积金等支出。</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公用经费109.93万元，主要包括：办公费、印刷费、水费、电费、差旅费、维修（护）费、会议费、培训费、工会经费、其他交通费用等支出。</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outlineLvl w:val="0"/>
        <w:rPr>
          <w:rFonts w:hint="eastAsia" w:ascii="黑体" w:eastAsia="黑体" w:cs="黑体"/>
          <w:sz w:val="32"/>
          <w:szCs w:val="32"/>
        </w:rPr>
      </w:pPr>
      <w:bookmarkStart w:id="15" w:name="_Toc26881"/>
      <w:r>
        <w:rPr>
          <w:rFonts w:hint="eastAsia" w:ascii="黑体" w:eastAsia="黑体" w:cs="黑体"/>
          <w:sz w:val="32"/>
          <w:szCs w:val="32"/>
          <w:lang w:val="en-US" w:eastAsia="zh-CN"/>
        </w:rPr>
        <w:t>七、“三公”经费财政拨款预算安排情况说明</w:t>
      </w:r>
      <w:bookmarkEnd w:id="15"/>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卫生健康局2024年“三公”经费财政拨款预算数8.5万元，其中：公务接待费8.5万元，公务用车购置及运行维护费0万元，因公出国（境）经费0万元。</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eastAsia="楷体_GB2312" w:cs="楷体_GB2312"/>
          <w:sz w:val="32"/>
          <w:szCs w:val="32"/>
          <w:lang w:val="en-US" w:eastAsia="zh-CN"/>
        </w:rPr>
      </w:pPr>
      <w:bookmarkStart w:id="16" w:name="_Toc18589"/>
      <w:r>
        <w:rPr>
          <w:rFonts w:hint="eastAsia" w:ascii="楷体_GB2312" w:eastAsia="楷体_GB2312" w:cs="楷体_GB2312"/>
          <w:sz w:val="32"/>
          <w:szCs w:val="32"/>
          <w:lang w:val="en-US" w:eastAsia="zh-CN"/>
        </w:rPr>
        <w:t>（一）公务接待费</w:t>
      </w:r>
      <w:bookmarkEnd w:id="16"/>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公务接待费与2023年预算相比减少9.2万元，主要原因是</w:t>
      </w:r>
      <w:r>
        <w:rPr>
          <w:rFonts w:hint="eastAsia" w:ascii="Times New Roman" w:hAnsi="Times New Roman" w:eastAsia="仿宋_GB2312" w:cs="Times New Roman"/>
          <w:color w:val="auto"/>
          <w:sz w:val="32"/>
          <w:szCs w:val="32"/>
          <w:highlight w:val="none"/>
          <w:lang w:val="en-US" w:eastAsia="zh-CN"/>
        </w:rPr>
        <w:t>厉行节约，严控</w:t>
      </w:r>
      <w:r>
        <w:rPr>
          <w:rFonts w:ascii="Times New Roman" w:hAnsi="Times New Roman" w:eastAsia="仿宋_GB2312" w:cs="Times New Roman"/>
          <w:color w:val="auto"/>
          <w:sz w:val="32"/>
          <w:szCs w:val="32"/>
          <w:highlight w:val="none"/>
          <w:lang w:val="en-US" w:eastAsia="zh-CN"/>
        </w:rPr>
        <w:t>公务接待</w:t>
      </w:r>
      <w:r>
        <w:rPr>
          <w:rFonts w:hint="eastAsia" w:ascii="Times New Roman" w:hAnsi="Times New Roman" w:eastAsia="仿宋_GB2312" w:cs="Times New Roman"/>
          <w:color w:val="auto"/>
          <w:sz w:val="32"/>
          <w:szCs w:val="32"/>
          <w:highlight w:val="none"/>
          <w:lang w:val="en-US" w:eastAsia="zh-CN"/>
        </w:rPr>
        <w:t>标准</w:t>
      </w:r>
      <w:r>
        <w:rPr>
          <w:rFonts w:hint="eastAsia" w:ascii="仿宋_GB2312" w:eastAsia="仿宋_GB2312" w:cs="仿宋_GB2312"/>
          <w:sz w:val="32"/>
          <w:szCs w:val="32"/>
          <w:lang w:val="en-US" w:eastAsia="zh-CN"/>
        </w:rPr>
        <w:t>。</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仿宋_GB2312"/>
          <w:b/>
          <w:bCs/>
          <w:sz w:val="32"/>
          <w:szCs w:val="32"/>
        </w:rPr>
      </w:pPr>
      <w:r>
        <w:rPr>
          <w:rFonts w:hint="eastAsia" w:ascii="仿宋_GB2312" w:eastAsia="仿宋_GB2312" w:cs="仿宋_GB2312"/>
          <w:sz w:val="32"/>
          <w:szCs w:val="32"/>
          <w:lang w:val="en-US" w:eastAsia="zh-CN"/>
        </w:rPr>
        <w:t>2024年公务接待费计划用于执行接待考察调研、检查指导等公务活动开支的交通费、住宿费、用餐费等。</w:t>
      </w:r>
    </w:p>
    <w:p>
      <w:pPr>
        <w:keepNext w:val="0"/>
        <w:keepLines w:val="0"/>
        <w:pageBreakBefore w:val="0"/>
        <w:widowControl w:val="0"/>
        <w:numPr>
          <w:ilvl w:val="0"/>
          <w:numId w:val="1"/>
        </w:numPr>
        <w:suppressAutoHyphens/>
        <w:kinsoku/>
        <w:wordWrap/>
        <w:overflowPunct/>
        <w:topLinePunct w:val="0"/>
        <w:autoSpaceDE/>
        <w:autoSpaceDN/>
        <w:bidi w:val="0"/>
        <w:adjustRightInd/>
        <w:snapToGrid/>
        <w:spacing w:line="576" w:lineRule="exact"/>
        <w:ind w:left="0" w:firstLine="640" w:firstLineChars="200"/>
        <w:textAlignment w:val="auto"/>
        <w:outlineLvl w:val="1"/>
        <w:rPr>
          <w:rFonts w:hint="eastAsia" w:ascii="楷体_GB2312" w:eastAsia="楷体_GB2312" w:cs="楷体_GB2312"/>
          <w:sz w:val="32"/>
          <w:szCs w:val="32"/>
          <w:lang w:val="en-US" w:eastAsia="zh-CN"/>
        </w:rPr>
      </w:pPr>
      <w:bookmarkStart w:id="17" w:name="_Toc26892"/>
      <w:r>
        <w:rPr>
          <w:rFonts w:hint="eastAsia" w:ascii="楷体_GB2312" w:eastAsia="楷体_GB2312" w:cs="楷体_GB2312"/>
          <w:sz w:val="32"/>
          <w:szCs w:val="32"/>
          <w:lang w:val="en-US" w:eastAsia="zh-CN"/>
        </w:rPr>
        <w:t>公务用车购置及运行维护费</w:t>
      </w:r>
      <w:bookmarkEnd w:id="17"/>
    </w:p>
    <w:p>
      <w:pPr>
        <w:keepNext w:val="0"/>
        <w:keepLines w:val="0"/>
        <w:pageBreakBefore w:val="0"/>
        <w:widowControl w:val="0"/>
        <w:suppressAutoHyphens/>
        <w:kinsoku/>
        <w:wordWrap/>
        <w:overflowPunct/>
        <w:topLinePunct w:val="0"/>
        <w:autoSpaceDE/>
        <w:autoSpaceDN/>
        <w:bidi w:val="0"/>
        <w:adjustRightInd/>
        <w:snapToGrid/>
        <w:spacing w:line="576" w:lineRule="exact"/>
        <w:ind w:left="0" w:firstLine="640" w:firstLineChars="200"/>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公务用车购置及运行维护费与2023年预算相比减少3.3万元，主要原因是将经费安排在其他交通费用（公用）中。</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仿宋_GB2312"/>
          <w:sz w:val="32"/>
          <w:szCs w:val="32"/>
          <w:highlight w:val="green"/>
          <w:lang w:val="en-US" w:eastAsia="zh-CN"/>
        </w:rPr>
      </w:pPr>
      <w:r>
        <w:rPr>
          <w:rFonts w:hint="eastAsia" w:ascii="仿宋_GB2312" w:eastAsia="仿宋_GB2312" w:cs="仿宋_GB2312"/>
          <w:sz w:val="32"/>
          <w:szCs w:val="32"/>
          <w:lang w:val="en-US" w:eastAsia="zh-CN"/>
        </w:rPr>
        <w:t>单位现有公务用车</w:t>
      </w:r>
      <w:r>
        <w:rPr>
          <w:rFonts w:hint="eastAsia" w:ascii="Times New Roman" w:hAnsi="Times New Roman" w:eastAsia="仿宋_GB2312" w:cs="仿宋_GB2312"/>
          <w:sz w:val="32"/>
          <w:szCs w:val="32"/>
          <w:highlight w:val="none"/>
          <w:lang w:val="en-US" w:eastAsia="zh-CN"/>
        </w:rPr>
        <w:t>0</w:t>
      </w:r>
      <w:r>
        <w:rPr>
          <w:rFonts w:hint="eastAsia" w:ascii="仿宋_GB2312" w:eastAsia="仿宋_GB2312" w:cs="仿宋_GB2312"/>
          <w:sz w:val="32"/>
          <w:szCs w:val="32"/>
          <w:lang w:val="en-US" w:eastAsia="zh-CN"/>
        </w:rPr>
        <w:t>辆。</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2024年未安排公务用车购置费。</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仿宋_GB2312"/>
          <w:sz w:val="32"/>
          <w:szCs w:val="32"/>
          <w:highlight w:val="green"/>
          <w:lang w:val="en-US" w:eastAsia="zh-CN"/>
        </w:rPr>
      </w:pPr>
      <w:r>
        <w:rPr>
          <w:rFonts w:hint="eastAsia" w:ascii="仿宋_GB2312" w:eastAsia="仿宋_GB2312" w:cs="仿宋_GB2312"/>
          <w:sz w:val="32"/>
          <w:szCs w:val="32"/>
          <w:lang w:val="en-US" w:eastAsia="zh-CN"/>
        </w:rPr>
        <w:t>2024年安排公务用车运行维护费0万元。</w:t>
      </w:r>
    </w:p>
    <w:p>
      <w:pPr>
        <w:keepNext w:val="0"/>
        <w:keepLines w:val="0"/>
        <w:pageBreakBefore w:val="0"/>
        <w:widowControl w:val="0"/>
        <w:suppressAutoHyphens/>
        <w:kinsoku/>
        <w:wordWrap/>
        <w:overflowPunct/>
        <w:topLinePunct w:val="0"/>
        <w:autoSpaceDE/>
        <w:autoSpaceDN/>
        <w:bidi w:val="0"/>
        <w:adjustRightInd/>
        <w:snapToGrid/>
        <w:spacing w:line="576" w:lineRule="exact"/>
        <w:textAlignment w:val="auto"/>
        <w:outlineLvl w:val="1"/>
        <w:rPr>
          <w:rFonts w:ascii="仿宋_GB2312" w:eastAsia="仿宋_GB2312" w:cs="仿宋_GB2312"/>
          <w:sz w:val="32"/>
          <w:szCs w:val="32"/>
          <w:lang w:val="en-US" w:eastAsia="zh-CN"/>
        </w:rPr>
      </w:pPr>
      <w:r>
        <w:rPr>
          <w:rFonts w:hint="eastAsia" w:ascii="仿宋_GB2312" w:eastAsia="仿宋_GB2312" w:cs="仿宋_GB2312"/>
          <w:sz w:val="32"/>
          <w:szCs w:val="32"/>
          <w:lang w:val="en-US" w:eastAsia="zh-CN"/>
        </w:rPr>
        <w:t xml:space="preserve">    </w:t>
      </w:r>
      <w:bookmarkStart w:id="18" w:name="_Toc31019"/>
      <w:r>
        <w:rPr>
          <w:rFonts w:hint="eastAsia" w:ascii="仿宋_GB2312" w:eastAsia="仿宋_GB2312" w:cs="仿宋_GB2312"/>
          <w:sz w:val="32"/>
          <w:szCs w:val="32"/>
          <w:lang w:val="en-US" w:eastAsia="zh-CN"/>
        </w:rPr>
        <w:t>（</w:t>
      </w:r>
      <w:r>
        <w:rPr>
          <w:rFonts w:hint="eastAsia" w:ascii="楷体_GB2312" w:eastAsia="楷体_GB2312" w:cs="楷体_GB2312"/>
          <w:sz w:val="32"/>
          <w:szCs w:val="32"/>
          <w:lang w:val="en-US" w:eastAsia="zh-CN"/>
        </w:rPr>
        <w:t>三）因公出国（境）经费</w:t>
      </w:r>
      <w:bookmarkEnd w:id="18"/>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因公出国（境）经费与</w:t>
      </w:r>
      <w:r>
        <w:rPr>
          <w:rFonts w:hint="eastAsia" w:ascii="仿宋_GB2312" w:eastAsia="仿宋_GB2312" w:cs="仿宋_GB2312"/>
          <w:sz w:val="32"/>
          <w:szCs w:val="32"/>
          <w:highlight w:val="none"/>
          <w:lang w:val="en-US" w:eastAsia="zh-CN"/>
        </w:rPr>
        <w:t>2023</w:t>
      </w:r>
      <w:r>
        <w:rPr>
          <w:rFonts w:hint="eastAsia" w:ascii="仿宋_GB2312" w:eastAsia="仿宋_GB2312" w:cs="仿宋_GB2312"/>
          <w:sz w:val="32"/>
          <w:szCs w:val="32"/>
          <w:lang w:val="en-US" w:eastAsia="zh-CN"/>
        </w:rPr>
        <w:t>年预算相比持平。</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outlineLvl w:val="0"/>
        <w:rPr>
          <w:rFonts w:hint="eastAsia" w:ascii="黑体" w:eastAsia="黑体" w:cs="黑体"/>
          <w:sz w:val="32"/>
          <w:szCs w:val="32"/>
          <w:lang w:val="en-US" w:eastAsia="zh-CN"/>
        </w:rPr>
      </w:pPr>
      <w:bookmarkStart w:id="19" w:name="_Toc9984"/>
      <w:r>
        <w:rPr>
          <w:rFonts w:hint="eastAsia" w:ascii="黑体" w:eastAsia="黑体" w:cs="黑体"/>
          <w:sz w:val="32"/>
          <w:szCs w:val="32"/>
          <w:lang w:val="en-US" w:eastAsia="zh-CN"/>
        </w:rPr>
        <w:t>八、政府性基金预算支出情况说明</w:t>
      </w:r>
      <w:bookmarkEnd w:id="19"/>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仿宋_GB2312"/>
          <w:sz w:val="32"/>
          <w:szCs w:val="32"/>
        </w:rPr>
      </w:pPr>
      <w:r>
        <w:rPr>
          <w:rFonts w:hint="eastAsia" w:ascii="仿宋_GB2312" w:eastAsia="仿宋_GB2312" w:cs="仿宋_GB2312"/>
          <w:sz w:val="32"/>
          <w:szCs w:val="32"/>
          <w:lang w:val="en-US" w:eastAsia="zh-CN"/>
        </w:rPr>
        <w:t>卫生健康局2024年无政府性基金预算拨款安排的支出。</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outlineLvl w:val="0"/>
        <w:rPr>
          <w:rFonts w:hint="eastAsia" w:ascii="黑体" w:eastAsia="黑体" w:cs="黑体"/>
          <w:sz w:val="32"/>
          <w:szCs w:val="32"/>
          <w:lang w:val="en-US" w:eastAsia="zh-CN"/>
        </w:rPr>
      </w:pPr>
      <w:bookmarkStart w:id="20" w:name="_Toc11162"/>
      <w:r>
        <w:rPr>
          <w:rFonts w:hint="eastAsia" w:ascii="黑体" w:eastAsia="黑体" w:cs="黑体"/>
          <w:sz w:val="32"/>
          <w:szCs w:val="32"/>
          <w:lang w:val="en-US" w:eastAsia="zh-CN"/>
        </w:rPr>
        <w:t>九、国有资本经营预算支出情况说明</w:t>
      </w:r>
      <w:bookmarkEnd w:id="20"/>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仿宋_GB2312"/>
          <w:sz w:val="32"/>
          <w:szCs w:val="32"/>
        </w:rPr>
      </w:pPr>
      <w:r>
        <w:rPr>
          <w:rFonts w:hint="eastAsia" w:ascii="仿宋_GB2312" w:eastAsia="仿宋_GB2312" w:cs="仿宋_GB2312"/>
          <w:sz w:val="32"/>
          <w:szCs w:val="32"/>
          <w:lang w:val="en-US" w:eastAsia="zh-CN"/>
        </w:rPr>
        <w:t>卫生健康局2024年无国有资本经营预算拨款安排的支出。</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outlineLvl w:val="0"/>
        <w:rPr>
          <w:rFonts w:hint="eastAsia" w:ascii="黑体" w:eastAsia="黑体" w:cs="黑体"/>
          <w:sz w:val="32"/>
          <w:szCs w:val="32"/>
        </w:rPr>
      </w:pPr>
      <w:bookmarkStart w:id="21" w:name="_Toc14705"/>
      <w:r>
        <w:rPr>
          <w:rFonts w:hint="eastAsia" w:ascii="黑体" w:eastAsia="黑体" w:cs="黑体"/>
          <w:sz w:val="32"/>
          <w:szCs w:val="32"/>
          <w:lang w:val="en-US" w:eastAsia="zh-CN"/>
        </w:rPr>
        <w:t>十、其他重要事项的情况说明</w:t>
      </w:r>
      <w:bookmarkEnd w:id="21"/>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eastAsia="楷体_GB2312" w:cs="楷体_GB2312"/>
          <w:sz w:val="32"/>
          <w:szCs w:val="32"/>
          <w:lang w:val="en-US" w:eastAsia="zh-CN"/>
        </w:rPr>
      </w:pPr>
      <w:bookmarkStart w:id="22" w:name="_Toc11050"/>
      <w:r>
        <w:rPr>
          <w:rFonts w:hint="eastAsia" w:ascii="楷体_GB2312" w:eastAsia="楷体_GB2312" w:cs="楷体_GB2312"/>
          <w:sz w:val="32"/>
          <w:szCs w:val="32"/>
          <w:lang w:val="en-US" w:eastAsia="zh-CN"/>
        </w:rPr>
        <w:t>（一）机关运行经费</w:t>
      </w:r>
      <w:bookmarkEnd w:id="22"/>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2024年，卫生健康局本级机关运行经费财政拨款预算为109.93万元，比2023年预算增加18.93万元，增长20.8%。主要原因在编人数增加，增加公务交通补贴。</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eastAsia="楷体_GB2312" w:cs="楷体_GB2312"/>
          <w:sz w:val="32"/>
          <w:szCs w:val="32"/>
          <w:lang w:val="en-US" w:eastAsia="zh-CN"/>
        </w:rPr>
      </w:pPr>
      <w:bookmarkStart w:id="23" w:name="_Toc31155"/>
      <w:r>
        <w:rPr>
          <w:rFonts w:hint="eastAsia" w:ascii="楷体_GB2312" w:eastAsia="楷体_GB2312" w:cs="楷体_GB2312"/>
          <w:sz w:val="32"/>
          <w:szCs w:val="32"/>
          <w:lang w:val="en-US" w:eastAsia="zh-CN"/>
        </w:rPr>
        <w:t>（二）政府采购情况</w:t>
      </w:r>
      <w:bookmarkEnd w:id="23"/>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uppressAutoHyphens/>
        <w:spacing w:before="0" w:beforeAutospacing="0" w:after="0" w:afterAutospacing="0" w:line="580" w:lineRule="atLeast"/>
        <w:ind w:left="0" w:right="0" w:firstLine="668"/>
        <w:jc w:val="both"/>
        <w:rPr>
          <w:rFonts w:hint="eastAsia" w:ascii="仿宋_GB2312" w:eastAsia="仿宋_GB2312" w:cs="仿宋_GB2312"/>
          <w:sz w:val="32"/>
          <w:szCs w:val="32"/>
        </w:rPr>
      </w:pPr>
      <w:r>
        <w:rPr>
          <w:rFonts w:hint="eastAsia" w:ascii="仿宋_GB2312" w:eastAsia="仿宋_GB2312" w:cs="仿宋_GB2312"/>
          <w:sz w:val="32"/>
          <w:szCs w:val="32"/>
          <w:lang w:val="en-US" w:eastAsia="zh-CN"/>
        </w:rPr>
        <w:t>2024年，</w:t>
      </w:r>
      <w:r>
        <w:rPr>
          <w:rFonts w:hint="eastAsia" w:ascii="仿宋_GB2312" w:eastAsia="仿宋_GB2312" w:cs="仿宋_GB2312"/>
          <w:i w:val="0"/>
          <w:caps w:val="0"/>
          <w:smallCaps w:val="0"/>
          <w:color w:val="333333"/>
          <w:spacing w:val="0"/>
          <w:kern w:val="0"/>
          <w:sz w:val="32"/>
          <w:szCs w:val="32"/>
          <w:shd w:val="clear" w:color="auto" w:fill="FFFFFF"/>
          <w:lang w:val="en-US" w:eastAsia="zh-CN"/>
        </w:rPr>
        <w:t>卫生健康局安排政府采购预算</w:t>
      </w:r>
      <w:r>
        <w:rPr>
          <w:rFonts w:hint="eastAsia" w:ascii="Times New Roman" w:hAnsi="Times New Roman" w:eastAsia="仿宋_GB2312" w:cs="Times New Roman"/>
          <w:i w:val="0"/>
          <w:caps w:val="0"/>
          <w:smallCaps w:val="0"/>
          <w:color w:val="333333"/>
          <w:spacing w:val="0"/>
          <w:kern w:val="0"/>
          <w:sz w:val="32"/>
          <w:szCs w:val="32"/>
          <w:shd w:val="clear" w:color="auto" w:fill="FFFFFF"/>
          <w:lang w:val="en-US" w:eastAsia="zh-CN"/>
        </w:rPr>
        <w:t>0</w:t>
      </w:r>
      <w:r>
        <w:rPr>
          <w:rFonts w:hint="eastAsia" w:ascii="仿宋_GB2312" w:eastAsia="仿宋_GB2312" w:cs="仿宋_GB2312"/>
          <w:i w:val="0"/>
          <w:caps w:val="0"/>
          <w:smallCaps w:val="0"/>
          <w:color w:val="333333"/>
          <w:spacing w:val="0"/>
          <w:kern w:val="0"/>
          <w:sz w:val="32"/>
          <w:szCs w:val="32"/>
          <w:shd w:val="clear" w:color="auto" w:fill="FFFFFF"/>
          <w:lang w:val="en-US" w:eastAsia="zh-CN"/>
        </w:rPr>
        <w:t>万元。</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eastAsia="楷体_GB2312" w:cs="楷体_GB2312"/>
          <w:sz w:val="32"/>
          <w:szCs w:val="32"/>
          <w:lang w:val="en-US" w:eastAsia="zh-CN"/>
        </w:rPr>
      </w:pPr>
      <w:bookmarkStart w:id="24" w:name="_Toc684"/>
      <w:r>
        <w:rPr>
          <w:rFonts w:hint="eastAsia" w:ascii="楷体_GB2312" w:eastAsia="楷体_GB2312" w:cs="楷体_GB2312"/>
          <w:sz w:val="32"/>
          <w:szCs w:val="32"/>
          <w:lang w:val="en-US" w:eastAsia="zh-CN"/>
        </w:rPr>
        <w:t>（三）国有资产占有使用情况</w:t>
      </w:r>
      <w:bookmarkEnd w:id="24"/>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截至2023年底，</w:t>
      </w:r>
      <w:r>
        <w:rPr>
          <w:rFonts w:hint="eastAsia" w:ascii="仿宋_GB2312" w:eastAsia="仿宋_GB2312" w:cs="仿宋_GB2312"/>
          <w:i w:val="0"/>
          <w:caps w:val="0"/>
          <w:smallCaps w:val="0"/>
          <w:color w:val="333333"/>
          <w:spacing w:val="0"/>
          <w:kern w:val="0"/>
          <w:sz w:val="32"/>
          <w:szCs w:val="32"/>
          <w:shd w:val="clear" w:color="auto" w:fill="FFFFFF"/>
          <w:lang w:val="en-US" w:eastAsia="zh-CN"/>
        </w:rPr>
        <w:t>卫生健康系统</w:t>
      </w:r>
      <w:r>
        <w:rPr>
          <w:rFonts w:hint="eastAsia" w:ascii="仿宋_GB2312" w:eastAsia="仿宋_GB2312" w:cs="仿宋_GB2312"/>
          <w:sz w:val="32"/>
          <w:szCs w:val="32"/>
          <w:lang w:val="en-US" w:eastAsia="zh-CN"/>
        </w:rPr>
        <w:t>共有车辆43辆，均为救护车。单位价值200万元以上的大型设备2台（套）。</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2024年部门预算未安排购置车辆及单位价值200万元以上大型设备。</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eastAsia="楷体_GB2312" w:cs="楷体_GB2312"/>
          <w:sz w:val="32"/>
          <w:szCs w:val="32"/>
        </w:rPr>
      </w:pPr>
      <w:bookmarkStart w:id="25" w:name="_Toc10998"/>
      <w:r>
        <w:rPr>
          <w:rFonts w:hint="eastAsia" w:ascii="楷体_GB2312" w:eastAsia="楷体_GB2312" w:cs="楷体_GB2312"/>
          <w:sz w:val="32"/>
          <w:szCs w:val="32"/>
          <w:lang w:val="en-US" w:eastAsia="zh-CN"/>
        </w:rPr>
        <w:t>（四）绩效目标设置情况</w:t>
      </w:r>
      <w:bookmarkEnd w:id="25"/>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2024年</w:t>
      </w:r>
      <w:r>
        <w:rPr>
          <w:rFonts w:hint="eastAsia" w:ascii="仿宋_GB2312" w:eastAsia="仿宋_GB2312" w:cs="仿宋_GB2312"/>
          <w:i w:val="0"/>
          <w:caps w:val="0"/>
          <w:smallCaps w:val="0"/>
          <w:color w:val="333333"/>
          <w:spacing w:val="0"/>
          <w:kern w:val="0"/>
          <w:sz w:val="32"/>
          <w:szCs w:val="32"/>
          <w:shd w:val="clear" w:color="auto" w:fill="FFFFFF"/>
          <w:lang w:val="en-US" w:eastAsia="zh-CN"/>
        </w:rPr>
        <w:t>卫生健康局</w:t>
      </w:r>
      <w:r>
        <w:rPr>
          <w:rFonts w:hint="eastAsia" w:ascii="仿宋_GB2312" w:eastAsia="仿宋_GB2312" w:cs="仿宋_GB2312"/>
          <w:sz w:val="32"/>
          <w:szCs w:val="32"/>
          <w:lang w:val="en-US" w:eastAsia="zh-CN"/>
        </w:rPr>
        <w:t>开展绩效目标管理的项目93个，涉及预算7692.38万元。其中：人员类项目71个，涉及预算6089.49万元；运转类项目10个，涉及预算299.34万元；特定目标类项目12个，涉及预算1303.55万元。因部分项目内容涉密，不予公开。</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outlineLvl w:val="0"/>
        <w:rPr>
          <w:rFonts w:hint="eastAsia" w:ascii="黑体" w:eastAsia="黑体" w:cs="黑体"/>
          <w:sz w:val="32"/>
          <w:szCs w:val="32"/>
        </w:rPr>
      </w:pPr>
      <w:bookmarkStart w:id="26" w:name="_Toc17832"/>
      <w:r>
        <w:rPr>
          <w:rFonts w:hint="eastAsia" w:ascii="黑体" w:eastAsia="黑体" w:cs="黑体"/>
          <w:sz w:val="32"/>
          <w:szCs w:val="32"/>
          <w:lang w:val="en-US" w:eastAsia="zh-CN"/>
        </w:rPr>
        <w:t>十一、名词解释</w:t>
      </w:r>
      <w:bookmarkEnd w:id="26"/>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仿宋_GB2312"/>
          <w:sz w:val="32"/>
          <w:szCs w:val="32"/>
          <w:lang w:val="en-US" w:eastAsia="zh-CN"/>
        </w:rPr>
      </w:pPr>
      <w:r>
        <w:rPr>
          <w:rFonts w:hint="eastAsia" w:ascii="楷体_GB2312" w:eastAsia="楷体_GB2312" w:cs="楷体_GB2312"/>
          <w:sz w:val="32"/>
          <w:szCs w:val="32"/>
          <w:lang w:val="en-US" w:eastAsia="zh-CN"/>
        </w:rPr>
        <w:t>（一）财政拨款收入：</w:t>
      </w:r>
      <w:r>
        <w:rPr>
          <w:rFonts w:hint="eastAsia" w:ascii="仿宋_GB2312" w:eastAsia="仿宋_GB2312" w:cs="仿宋_GB2312"/>
          <w:sz w:val="32"/>
          <w:szCs w:val="32"/>
          <w:lang w:val="en-US" w:eastAsia="zh-CN"/>
        </w:rPr>
        <w:t>指区财政当年安排的财政预算收入。按现行管理制度，部门预算中反映的财政拨款包括一般公共预算拨款和政府性基金预算拨款。</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仿宋_GB2312"/>
          <w:sz w:val="32"/>
          <w:szCs w:val="32"/>
          <w:lang w:val="en-US" w:eastAsia="zh-CN"/>
        </w:rPr>
      </w:pPr>
      <w:r>
        <w:rPr>
          <w:rFonts w:hint="eastAsia" w:ascii="楷体_GB2312" w:eastAsia="楷体_GB2312" w:cs="楷体_GB2312"/>
          <w:sz w:val="32"/>
          <w:szCs w:val="32"/>
          <w:lang w:val="en-US" w:eastAsia="zh-CN"/>
        </w:rPr>
        <w:t>（二）事业收入：</w:t>
      </w:r>
      <w:r>
        <w:rPr>
          <w:rFonts w:hint="eastAsia" w:ascii="仿宋_GB2312" w:eastAsia="仿宋_GB2312" w:cs="仿宋_GB2312"/>
          <w:sz w:val="32"/>
          <w:szCs w:val="32"/>
          <w:lang w:val="en-US" w:eastAsia="zh-CN"/>
        </w:rPr>
        <w:t>指事业单位开展专业业务活动及辅助活动所取得的收入。主要为学校根据国家有关部门批准的项目和标准收取的学费、住宿费等（或医院收取的医疗收入）。</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仿宋_GB2312"/>
          <w:sz w:val="32"/>
          <w:szCs w:val="32"/>
          <w:lang w:val="en-US" w:eastAsia="zh-CN"/>
        </w:rPr>
      </w:pPr>
      <w:r>
        <w:rPr>
          <w:rFonts w:hint="eastAsia" w:ascii="楷体_GB2312" w:eastAsia="楷体_GB2312" w:cs="楷体_GB2312"/>
          <w:sz w:val="32"/>
          <w:szCs w:val="32"/>
          <w:lang w:val="en-US" w:eastAsia="zh-CN"/>
        </w:rPr>
        <w:t>（三）其他收入：</w:t>
      </w:r>
      <w:r>
        <w:rPr>
          <w:rFonts w:hint="eastAsia" w:ascii="仿宋_GB2312" w:eastAsia="仿宋_GB2312" w:cs="仿宋_GB2312"/>
          <w:sz w:val="32"/>
          <w:szCs w:val="32"/>
          <w:lang w:val="en-US" w:eastAsia="zh-CN"/>
        </w:rPr>
        <w:t>指除上述“一般公共预算拨款收入” “事业收入”等以外的收入。如银行存款利息收入、社会考试服务收入、校企合作收入、课时收入等。</w:t>
      </w:r>
    </w:p>
    <w:p>
      <w:pPr>
        <w:keepNext w:val="0"/>
        <w:keepLines w:val="0"/>
        <w:pageBreakBefore w:val="0"/>
        <w:widowControl w:val="0"/>
        <w:suppressAutoHyphens/>
        <w:kinsoku/>
        <w:wordWrap/>
        <w:overflowPunct/>
        <w:topLinePunct w:val="0"/>
        <w:autoSpaceDE/>
        <w:autoSpaceDN/>
        <w:bidi w:val="0"/>
        <w:adjustRightInd/>
        <w:snapToGrid/>
        <w:spacing w:line="576" w:lineRule="exact"/>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　　</w:t>
      </w:r>
      <w:r>
        <w:rPr>
          <w:rFonts w:hint="eastAsia" w:ascii="楷体_GB2312" w:eastAsia="楷体_GB2312" w:cs="楷体_GB2312"/>
          <w:sz w:val="32"/>
          <w:szCs w:val="32"/>
          <w:lang w:val="en-US" w:eastAsia="zh-CN"/>
        </w:rPr>
        <w:t>（四）社会保障和就业（类）行政事业单位养老支出（款）事业单位离退休（项）：</w:t>
      </w:r>
      <w:r>
        <w:rPr>
          <w:rFonts w:hint="eastAsia" w:ascii="仿宋_GB2312" w:eastAsia="仿宋_GB2312" w:cs="仿宋_GB2312"/>
          <w:sz w:val="32"/>
          <w:szCs w:val="32"/>
          <w:lang w:val="en-US" w:eastAsia="zh-CN"/>
        </w:rPr>
        <w:t>指事业单位离退休人员的支出。</w:t>
      </w:r>
    </w:p>
    <w:p>
      <w:pPr>
        <w:keepNext w:val="0"/>
        <w:keepLines w:val="0"/>
        <w:pageBreakBefore w:val="0"/>
        <w:widowControl w:val="0"/>
        <w:suppressAutoHyphens/>
        <w:kinsoku/>
        <w:wordWrap/>
        <w:overflowPunct/>
        <w:topLinePunct w:val="0"/>
        <w:autoSpaceDE/>
        <w:autoSpaceDN/>
        <w:bidi w:val="0"/>
        <w:adjustRightInd/>
        <w:snapToGrid/>
        <w:spacing w:line="576" w:lineRule="exact"/>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　　</w:t>
      </w:r>
      <w:r>
        <w:rPr>
          <w:rFonts w:hint="eastAsia" w:ascii="楷体_GB2312" w:eastAsia="楷体_GB2312" w:cs="楷体_GB2312"/>
          <w:sz w:val="32"/>
          <w:szCs w:val="32"/>
          <w:lang w:val="en-US" w:eastAsia="zh-CN"/>
        </w:rPr>
        <w:t>（五）社会保障和就业（类）行政事业单位养老支出（款）行政单位离退休（项）：</w:t>
      </w:r>
      <w:r>
        <w:rPr>
          <w:rFonts w:hint="eastAsia" w:ascii="仿宋_GB2312" w:eastAsia="仿宋_GB2312" w:cs="仿宋_GB2312"/>
          <w:sz w:val="32"/>
          <w:szCs w:val="32"/>
          <w:lang w:val="en-US" w:eastAsia="zh-CN"/>
        </w:rPr>
        <w:t>指行政及参公管理事业单位离退休人员的支出。</w:t>
      </w:r>
    </w:p>
    <w:p>
      <w:pPr>
        <w:keepNext w:val="0"/>
        <w:keepLines w:val="0"/>
        <w:pageBreakBefore w:val="0"/>
        <w:widowControl w:val="0"/>
        <w:suppressAutoHyphens/>
        <w:kinsoku/>
        <w:wordWrap/>
        <w:overflowPunct/>
        <w:topLinePunct w:val="0"/>
        <w:autoSpaceDE/>
        <w:autoSpaceDN/>
        <w:bidi w:val="0"/>
        <w:adjustRightInd/>
        <w:snapToGrid/>
        <w:spacing w:line="576" w:lineRule="exact"/>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　　</w:t>
      </w:r>
      <w:r>
        <w:rPr>
          <w:rFonts w:hint="eastAsia" w:ascii="楷体_GB2312" w:eastAsia="楷体_GB2312" w:cs="楷体_GB2312"/>
          <w:sz w:val="32"/>
          <w:szCs w:val="32"/>
          <w:lang w:val="en-US" w:eastAsia="zh-CN"/>
        </w:rPr>
        <w:t>（六）社会保障和就业（类）行政事业单位养老支出（款）机关事业单位基本养老保险缴费支出（项）：</w:t>
      </w:r>
      <w:r>
        <w:rPr>
          <w:rFonts w:hint="eastAsia" w:ascii="仿宋_GB2312" w:eastAsia="仿宋_GB2312" w:cs="仿宋_GB2312"/>
          <w:sz w:val="32"/>
          <w:szCs w:val="32"/>
          <w:lang w:val="en-US" w:eastAsia="zh-CN"/>
        </w:rPr>
        <w:t>指部门实施养老保险制度由单位缴纳的养老保险的支出。</w:t>
      </w:r>
    </w:p>
    <w:p>
      <w:pPr>
        <w:keepNext w:val="0"/>
        <w:keepLines w:val="0"/>
        <w:pageBreakBefore w:val="0"/>
        <w:widowControl w:val="0"/>
        <w:suppressAutoHyphens/>
        <w:kinsoku/>
        <w:wordWrap/>
        <w:overflowPunct/>
        <w:topLinePunct w:val="0"/>
        <w:autoSpaceDE/>
        <w:autoSpaceDN/>
        <w:bidi w:val="0"/>
        <w:adjustRightInd/>
        <w:snapToGrid/>
        <w:spacing w:line="576" w:lineRule="exact"/>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　　</w:t>
      </w:r>
      <w:r>
        <w:rPr>
          <w:rFonts w:hint="eastAsia" w:ascii="楷体_GB2312" w:eastAsia="楷体_GB2312" w:cs="楷体_GB2312"/>
          <w:sz w:val="32"/>
          <w:szCs w:val="32"/>
          <w:lang w:val="en-US" w:eastAsia="zh-CN"/>
        </w:rPr>
        <w:t>（七）社会保障和就业（类）行政事业单位养老支出（款）机关事业单位职业年金缴费支出（项）：</w:t>
      </w:r>
      <w:r>
        <w:rPr>
          <w:rFonts w:hint="eastAsia" w:ascii="仿宋_GB2312" w:eastAsia="仿宋_GB2312" w:cs="仿宋_GB2312"/>
          <w:sz w:val="32"/>
          <w:szCs w:val="32"/>
          <w:lang w:val="en-US" w:eastAsia="zh-CN"/>
        </w:rPr>
        <w:t>指部门实施养老保险制度由单位缴纳的职业年金的支出。</w:t>
      </w:r>
    </w:p>
    <w:p>
      <w:pPr>
        <w:keepNext w:val="0"/>
        <w:keepLines w:val="0"/>
        <w:pageBreakBefore w:val="0"/>
        <w:widowControl w:val="0"/>
        <w:suppressAutoHyphens/>
        <w:kinsoku/>
        <w:wordWrap/>
        <w:overflowPunct/>
        <w:topLinePunct w:val="0"/>
        <w:autoSpaceDE/>
        <w:autoSpaceDN/>
        <w:bidi w:val="0"/>
        <w:adjustRightInd/>
        <w:snapToGrid/>
        <w:spacing w:line="576" w:lineRule="exact"/>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　　</w:t>
      </w:r>
      <w:r>
        <w:rPr>
          <w:rFonts w:hint="eastAsia" w:ascii="楷体_GB2312" w:eastAsia="楷体_GB2312" w:cs="楷体_GB2312"/>
          <w:sz w:val="32"/>
          <w:szCs w:val="32"/>
          <w:lang w:val="en-US" w:eastAsia="zh-CN"/>
        </w:rPr>
        <w:t>（八）卫生健康（类）行政事业单位医疗（款）行政单位医疗（项）：</w:t>
      </w:r>
      <w:r>
        <w:rPr>
          <w:rFonts w:hint="eastAsia" w:ascii="仿宋_GB2312" w:eastAsia="仿宋_GB2312" w:cs="仿宋_GB2312"/>
          <w:sz w:val="32"/>
          <w:szCs w:val="32"/>
          <w:lang w:val="en-US" w:eastAsia="zh-CN"/>
        </w:rPr>
        <w:t>指机关及参公管理事业单位用于单位应缴纳基本医疗保险支出。</w:t>
      </w:r>
    </w:p>
    <w:p>
      <w:pPr>
        <w:keepNext w:val="0"/>
        <w:keepLines w:val="0"/>
        <w:pageBreakBefore w:val="0"/>
        <w:widowControl w:val="0"/>
        <w:suppressAutoHyphens/>
        <w:kinsoku/>
        <w:wordWrap/>
        <w:overflowPunct/>
        <w:topLinePunct w:val="0"/>
        <w:autoSpaceDE/>
        <w:autoSpaceDN/>
        <w:bidi w:val="0"/>
        <w:adjustRightInd/>
        <w:snapToGrid/>
        <w:spacing w:line="576" w:lineRule="exact"/>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　　</w:t>
      </w:r>
      <w:r>
        <w:rPr>
          <w:rFonts w:hint="eastAsia" w:ascii="楷体_GB2312" w:eastAsia="楷体_GB2312" w:cs="楷体_GB2312"/>
          <w:sz w:val="32"/>
          <w:szCs w:val="32"/>
          <w:lang w:val="en-US" w:eastAsia="zh-CN"/>
        </w:rPr>
        <w:t>（九）卫生健康（类）行政事业单位医疗（款）事业单位医疗（项）：</w:t>
      </w:r>
      <w:r>
        <w:rPr>
          <w:rFonts w:hint="eastAsia" w:ascii="仿宋_GB2312" w:eastAsia="仿宋_GB2312" w:cs="仿宋_GB2312"/>
          <w:sz w:val="32"/>
          <w:szCs w:val="32"/>
          <w:lang w:val="en-US" w:eastAsia="zh-CN"/>
        </w:rPr>
        <w:t>指事业单位用于单位应缴纳基本医疗保险支出。</w:t>
      </w:r>
    </w:p>
    <w:p>
      <w:pPr>
        <w:keepNext w:val="0"/>
        <w:keepLines w:val="0"/>
        <w:pageBreakBefore w:val="0"/>
        <w:widowControl w:val="0"/>
        <w:suppressAutoHyphens/>
        <w:kinsoku/>
        <w:wordWrap/>
        <w:overflowPunct/>
        <w:topLinePunct w:val="0"/>
        <w:autoSpaceDE/>
        <w:autoSpaceDN/>
        <w:bidi w:val="0"/>
        <w:adjustRightInd/>
        <w:snapToGrid/>
        <w:spacing w:line="576" w:lineRule="exact"/>
        <w:textAlignment w:val="auto"/>
        <w:rPr>
          <w:rFonts w:hint="eastAsia" w:ascii="仿宋_GB2312" w:eastAsia="仿宋_GB2312" w:cs="仿宋_GB2312"/>
          <w:sz w:val="32"/>
          <w:szCs w:val="32"/>
        </w:rPr>
      </w:pPr>
      <w:r>
        <w:rPr>
          <w:rFonts w:hint="eastAsia" w:ascii="仿宋_GB2312" w:eastAsia="仿宋_GB2312" w:cs="仿宋_GB2312"/>
          <w:sz w:val="32"/>
          <w:szCs w:val="32"/>
          <w:lang w:val="en-US" w:eastAsia="zh-CN"/>
        </w:rPr>
        <w:t>　　</w:t>
      </w:r>
      <w:r>
        <w:rPr>
          <w:rFonts w:hint="eastAsia" w:ascii="楷体_GB2312" w:eastAsia="楷体_GB2312" w:cs="楷体_GB2312"/>
          <w:sz w:val="32"/>
          <w:szCs w:val="32"/>
          <w:lang w:val="en-US" w:eastAsia="zh-CN"/>
        </w:rPr>
        <w:t>（十）卫生健康（类）行政事业单位医疗（款）公务员医疗补助（项）：</w:t>
      </w:r>
      <w:r>
        <w:rPr>
          <w:rFonts w:hint="eastAsia" w:ascii="仿宋_GB2312" w:eastAsia="仿宋_GB2312" w:cs="仿宋_GB2312"/>
          <w:sz w:val="32"/>
          <w:szCs w:val="32"/>
          <w:lang w:val="en-US" w:eastAsia="zh-CN"/>
        </w:rPr>
        <w:t>指机关及参公管理事业单位用于集中缴纳公务员医疗补助支出。</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仿宋_GB2312"/>
          <w:sz w:val="32"/>
          <w:szCs w:val="32"/>
          <w:lang w:val="en-US" w:eastAsia="zh-CN"/>
        </w:rPr>
      </w:pPr>
      <w:r>
        <w:rPr>
          <w:rFonts w:hint="eastAsia" w:ascii="楷体_GB2312" w:eastAsia="楷体_GB2312" w:cs="楷体_GB2312"/>
          <w:sz w:val="32"/>
          <w:szCs w:val="32"/>
          <w:lang w:val="en-US" w:eastAsia="zh-CN"/>
        </w:rPr>
        <w:t>（十一）住房保障（类）住房改革支出（款）住房公积金（项）：</w:t>
      </w:r>
      <w:r>
        <w:rPr>
          <w:rFonts w:hint="eastAsia" w:ascii="仿宋_GB2312" w:eastAsia="仿宋_GB2312" w:cs="仿宋_GB2312"/>
          <w:sz w:val="32"/>
          <w:szCs w:val="32"/>
          <w:lang w:val="en-US" w:eastAsia="zh-CN"/>
        </w:rPr>
        <w:t>指按照《住房公积金管理条例》的规定，由单位及其在职职工缴存的长期住房储金。</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仿宋_GB2312"/>
          <w:sz w:val="32"/>
          <w:szCs w:val="32"/>
          <w:lang w:val="en-US" w:eastAsia="zh-CN"/>
        </w:rPr>
      </w:pPr>
      <w:r>
        <w:rPr>
          <w:rFonts w:hint="eastAsia" w:ascii="楷体_GB2312" w:eastAsia="楷体_GB2312" w:cs="楷体_GB2312"/>
          <w:sz w:val="32"/>
          <w:szCs w:val="32"/>
          <w:lang w:val="en-US" w:eastAsia="zh-CN"/>
        </w:rPr>
        <w:t>（十二）基本支出：</w:t>
      </w:r>
      <w:r>
        <w:rPr>
          <w:rFonts w:hint="eastAsia" w:ascii="仿宋_GB2312" w:eastAsia="仿宋_GB2312" w:cs="仿宋_GB2312"/>
          <w:sz w:val="32"/>
          <w:szCs w:val="32"/>
          <w:lang w:val="en-US" w:eastAsia="zh-CN"/>
        </w:rPr>
        <w:t>指为保证机构正常运转，完成日常工作任务而发生的人员支出和公用支出。</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仿宋_GB2312"/>
          <w:sz w:val="32"/>
          <w:szCs w:val="32"/>
        </w:rPr>
      </w:pPr>
      <w:r>
        <w:rPr>
          <w:rFonts w:hint="eastAsia" w:ascii="楷体_GB2312" w:eastAsia="楷体_GB2312" w:cs="楷体_GB2312"/>
          <w:sz w:val="32"/>
          <w:szCs w:val="32"/>
          <w:lang w:val="en-US" w:eastAsia="zh-CN"/>
        </w:rPr>
        <w:t>（十三）项目支出：</w:t>
      </w:r>
      <w:r>
        <w:rPr>
          <w:rFonts w:hint="eastAsia" w:ascii="仿宋_GB2312" w:eastAsia="仿宋_GB2312" w:cs="仿宋_GB2312"/>
          <w:sz w:val="32"/>
          <w:szCs w:val="32"/>
          <w:lang w:val="en-US" w:eastAsia="zh-CN"/>
        </w:rPr>
        <w:t>指在基本支出之外为完成特定行政任务和事业发展目标所发生的支出。</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仿宋_GB2312"/>
          <w:sz w:val="32"/>
          <w:szCs w:val="32"/>
          <w:lang w:val="en-US" w:eastAsia="zh-CN"/>
        </w:rPr>
      </w:pPr>
      <w:r>
        <w:rPr>
          <w:rFonts w:hint="eastAsia" w:ascii="楷体_GB2312" w:eastAsia="楷体_GB2312" w:cs="楷体_GB2312"/>
          <w:sz w:val="32"/>
          <w:szCs w:val="32"/>
          <w:lang w:val="en-US" w:eastAsia="zh-CN"/>
        </w:rPr>
        <w:t>（十四）“三公”经费：</w:t>
      </w:r>
      <w:r>
        <w:rPr>
          <w:rFonts w:hint="eastAsia" w:ascii="仿宋_GB2312" w:eastAsia="仿宋_GB2312" w:cs="仿宋_GB2312"/>
          <w:sz w:val="32"/>
          <w:szCs w:val="32"/>
          <w:lang w:val="en-US" w:eastAsia="zh-CN"/>
        </w:rPr>
        <w:t>纳入区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keepNext w:val="0"/>
        <w:keepLines w:val="0"/>
        <w:pageBreakBefore w:val="0"/>
        <w:widowControl w:val="0"/>
        <w:suppressAutoHyphens/>
        <w:kinsoku/>
        <w:wordWrap/>
        <w:overflowPunct/>
        <w:topLinePunct w:val="0"/>
        <w:autoSpaceDE/>
        <w:autoSpaceDN/>
        <w:bidi w:val="0"/>
        <w:adjustRightInd/>
        <w:snapToGrid/>
        <w:spacing w:line="576" w:lineRule="exact"/>
        <w:ind w:left="0" w:firstLine="320" w:firstLineChars="100"/>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 xml:space="preserve"> </w:t>
      </w:r>
      <w:r>
        <w:rPr>
          <w:rFonts w:hint="eastAsia" w:ascii="楷体_GB2312" w:eastAsia="楷体_GB2312" w:cs="楷体_GB2312"/>
          <w:sz w:val="32"/>
          <w:szCs w:val="32"/>
          <w:lang w:val="en-US" w:eastAsia="zh-CN"/>
        </w:rPr>
        <w:t>（十五）机关运行经费：</w:t>
      </w:r>
      <w:r>
        <w:rPr>
          <w:rFonts w:hint="eastAsia" w:ascii="仿宋_GB2312" w:eastAsia="仿宋_GB2312" w:cs="仿宋_GB2312"/>
          <w:sz w:val="32"/>
          <w:szCs w:val="32"/>
          <w:lang w:val="en-US" w:eastAsia="zh-CN"/>
        </w:rPr>
        <w:t>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仿宋_GB2312"/>
          <w:sz w:val="32"/>
          <w:szCs w:val="32"/>
          <w:lang w:val="en-US" w:eastAsia="zh-CN"/>
        </w:rPr>
      </w:pP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hint="default" w:ascii="仿宋_GB2312" w:eastAsia="仿宋_GB2312" w:cs="仿宋_GB2312"/>
          <w:sz w:val="32"/>
          <w:szCs w:val="32"/>
          <w:lang w:val="en-US" w:eastAsia="zh-CN"/>
        </w:rPr>
      </w:pPr>
      <w:r>
        <w:rPr>
          <w:rFonts w:hint="eastAsia" w:ascii="仿宋_GB2312" w:eastAsia="仿宋_GB2312" w:cs="仿宋_GB2312"/>
          <w:sz w:val="32"/>
          <w:szCs w:val="32"/>
          <w:lang w:val="en-US" w:eastAsia="zh-CN"/>
        </w:rPr>
        <w:t>附件：1.昭化区卫生健康局2024年部门预算公开报表</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line="576" w:lineRule="exact"/>
        <w:ind w:firstLine="1600" w:firstLineChars="500"/>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2.昭化区卫生健康局2024年部门预算项目绩效目标表</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line="576" w:lineRule="exact"/>
        <w:ind w:firstLine="1600" w:firstLineChars="500"/>
        <w:textAlignment w:val="auto"/>
        <w:rPr>
          <w:rFonts w:hint="default" w:ascii="仿宋_GB2312" w:eastAsia="仿宋_GB2312" w:cs="仿宋_GB2312"/>
          <w:sz w:val="32"/>
          <w:szCs w:val="32"/>
          <w:lang w:val="en-US" w:eastAsia="zh-CN"/>
        </w:rPr>
      </w:pPr>
      <w:r>
        <w:rPr>
          <w:rFonts w:hint="eastAsia" w:ascii="仿宋_GB2312" w:eastAsia="仿宋_GB2312" w:cs="仿宋_GB2312"/>
          <w:sz w:val="32"/>
          <w:szCs w:val="32"/>
          <w:lang w:val="en-US" w:eastAsia="zh-CN"/>
        </w:rPr>
        <w:t>3.昭化区卫生健康局2024年整体支出绩效目标申报表</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3" w:firstLineChars="200"/>
        <w:textAlignment w:val="auto"/>
        <w:rPr>
          <w:rFonts w:hint="eastAsia" w:ascii="仿宋_GB2312" w:eastAsia="仿宋_GB2312" w:cs="仿宋_GB2312"/>
          <w:b/>
          <w:bCs/>
          <w:sz w:val="32"/>
          <w:szCs w:val="32"/>
          <w:lang w:eastAsia="zh-CN"/>
        </w:rPr>
      </w:pPr>
    </w:p>
    <w:sectPr>
      <w:footerReference r:id="rId4" w:type="default"/>
      <w:pgSz w:w="11906" w:h="16838"/>
      <w:pgMar w:top="2098" w:right="1474" w:bottom="1984" w:left="1587" w:header="720" w:footer="1559"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56FF5BB-F2E3-426A-9E9B-455F6803609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Liberation Sans">
    <w:altName w:val="Segoe Print"/>
    <w:panose1 w:val="020B0604020202020204"/>
    <w:charset w:val="00"/>
    <w:family w:val="auto"/>
    <w:pitch w:val="default"/>
    <w:sig w:usb0="00000000" w:usb1="00000000" w:usb2="00000000" w:usb3="00000000" w:csb0="6000009F" w:csb1="DFD7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2000000000000000000"/>
    <w:charset w:val="86"/>
    <w:family w:val="auto"/>
    <w:pitch w:val="default"/>
    <w:sig w:usb0="00000000" w:usb1="00000000" w:usb2="00000000" w:usb3="00000000" w:csb0="00000000" w:csb1="00000000"/>
    <w:embedRegular r:id="rId2" w:fontKey="{71AAEA52-A0C9-45C7-8537-0B5A213A6524}"/>
  </w:font>
  <w:font w:name="仿宋_GB2312">
    <w:panose1 w:val="02010609030101010101"/>
    <w:charset w:val="86"/>
    <w:family w:val="auto"/>
    <w:pitch w:val="default"/>
    <w:sig w:usb0="00000000" w:usb1="00000000" w:usb2="00000000" w:usb3="00000000" w:csb0="00000000" w:csb1="00000000"/>
    <w:embedRegular r:id="rId3" w:fontKey="{F47AD506-0023-483D-ACA1-AD72EB8E8798}"/>
  </w:font>
  <w:font w:name="楷体_GB2312">
    <w:panose1 w:val="02010609030101010101"/>
    <w:charset w:val="86"/>
    <w:family w:val="auto"/>
    <w:pitch w:val="default"/>
    <w:sig w:usb0="00000000" w:usb1="00000000" w:usb2="00000000" w:usb3="00000000" w:csb0="00000000" w:csb1="00000000"/>
    <w:embedRegular r:id="rId4" w:fontKey="{ECB93826-4476-4F4B-929E-4BB407FCF177}"/>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仿宋_GB2312">
    <w:panose1 w:val="02010609030101010101"/>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3665" distR="113665" simplePos="0" relativeHeight="251659264" behindDoc="0" locked="0" layoutInCell="1" allowOverlap="1">
              <wp:simplePos x="0" y="0"/>
              <wp:positionH relativeFrom="margin">
                <wp:align>outside</wp:align>
              </wp:positionH>
              <wp:positionV relativeFrom="paragraph">
                <wp:posOffset>0</wp:posOffset>
              </wp:positionV>
              <wp:extent cx="711200" cy="230505"/>
              <wp:effectExtent l="0" t="0" r="0" b="0"/>
              <wp:wrapNone/>
              <wp:docPr id="314" name="文本框 3"/>
              <wp:cNvGraphicFramePr/>
              <a:graphic xmlns:a="http://schemas.openxmlformats.org/drawingml/2006/main">
                <a:graphicData uri="http://schemas.microsoft.com/office/word/2010/wordprocessingShape">
                  <wps:wsp>
                    <wps:cNvSpPr/>
                    <wps:spPr>
                      <a:xfrm>
                        <a:off x="0" y="0"/>
                        <a:ext cx="711200" cy="230505"/>
                      </a:xfrm>
                      <a:prstGeom prst="rect">
                        <a:avLst/>
                      </a:prstGeom>
                      <a:noFill/>
                      <a:ln>
                        <a:noFill/>
                      </a:ln>
                    </wps:spPr>
                    <wps:txbx>
                      <w:txbxContent>
                        <w:p>
                          <w:pPr>
                            <w:pStyle w:val="10"/>
                            <w:rPr>
                              <w:rFonts w:hint="eastAsia" w:ascii="宋体" w:eastAsia="宋体" w:cs="宋体"/>
                              <w:sz w:val="28"/>
                              <w:szCs w:val="28"/>
                            </w:rPr>
                          </w:pPr>
                          <w:r>
                            <w:rPr>
                              <w:rFonts w:hint="eastAsia" w:ascii="宋体" w:eastAsia="宋体" w:cs="宋体"/>
                              <w:sz w:val="28"/>
                              <w:szCs w:val="28"/>
                            </w:rPr>
                            <w:t xml:space="preserve">— </w:t>
                          </w:r>
                          <w:r>
                            <w:rPr>
                              <w:rFonts w:hint="eastAsia" w:ascii="宋体" w:eastAsia="宋体" w:cs="宋体"/>
                              <w:sz w:val="28"/>
                              <w:szCs w:val="28"/>
                            </w:rPr>
                            <w:fldChar w:fldCharType="begin"/>
                          </w:r>
                          <w:r>
                            <w:rPr>
                              <w:rFonts w:hint="eastAsia" w:ascii="宋体" w:eastAsia="宋体" w:cs="宋体"/>
                              <w:sz w:val="28"/>
                              <w:szCs w:val="28"/>
                            </w:rPr>
                            <w:instrText xml:space="preserve"> PAGE  \* MERGEFORMAT </w:instrText>
                          </w:r>
                          <w:r>
                            <w:rPr>
                              <w:rFonts w:hint="eastAsia" w:ascii="宋体" w:eastAsia="宋体" w:cs="宋体"/>
                              <w:sz w:val="28"/>
                              <w:szCs w:val="28"/>
                            </w:rPr>
                            <w:fldChar w:fldCharType="separate"/>
                          </w:r>
                          <w:r>
                            <w:rPr>
                              <w:rFonts w:hint="eastAsia" w:ascii="宋体" w:eastAsia="宋体" w:cs="宋体"/>
                              <w:sz w:val="28"/>
                              <w:szCs w:val="28"/>
                            </w:rPr>
                            <w:t>1</w:t>
                          </w:r>
                          <w:r>
                            <w:rPr>
                              <w:rFonts w:hint="eastAsia" w:ascii="宋体" w:eastAsia="宋体" w:cs="宋体"/>
                              <w:sz w:val="28"/>
                              <w:szCs w:val="28"/>
                            </w:rPr>
                            <w:fldChar w:fldCharType="end"/>
                          </w:r>
                          <w:r>
                            <w:rPr>
                              <w:rFonts w:hint="eastAsia" w:ascii="宋体" w:eastAsia="宋体" w:cs="宋体"/>
                              <w:sz w:val="28"/>
                              <w:szCs w:val="28"/>
                            </w:rPr>
                            <w:t xml:space="preserve"> —</w:t>
                          </w:r>
                        </w:p>
                      </w:txbxContent>
                    </wps:txbx>
                    <wps:bodyPr rot="0" spcFirstLastPara="0" vertOverflow="overflow" horzOverflow="overflow" vert="horz" wrap="none" lIns="0" tIns="0" rIns="0" bIns="0" numCol="1" anchor="t" upright="0">
                      <a:spAutoFit/>
                    </wps:bodyPr>
                  </wps:wsp>
                </a:graphicData>
              </a:graphic>
            </wp:anchor>
          </w:drawing>
        </mc:Choice>
        <mc:Fallback>
          <w:pict>
            <v:rect id="文本框 3" o:spid="_x0000_s1026" o:spt="1" style="position:absolute;left:0pt;margin-top:0pt;height:18.15pt;width:56pt;mso-position-horizontal:outside;mso-position-horizontal-relative:margin;mso-wrap-style:none;z-index:251659264;mso-width-relative:page;mso-height-relative:page;" filled="f" stroked="f" coordsize="21600,21600" o:gfxdata="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9AkmS0QAAAAQBAAAP&#10;AAAAAAAAAAEAIAAAACIAAABkcnMvZG93bnJldi54bWxQSwECFAAUAAAACACHTuJAkqHtJeYBAACw&#10;AwAADgAAAAAAAAABACAAAAAgAQAAZHJzL2Uyb0RvYy54bWxQSwUGAAAAAAYABgBZAQAAeAUAAAAA&#10;">
              <v:fill on="f" focussize="0,0"/>
              <v:stroke on="f"/>
              <v:imagedata o:title=""/>
              <o:lock v:ext="edit" aspectratio="f"/>
              <v:textbox inset="0mm,0mm,0mm,0mm" style="mso-fit-shape-to-text:t;">
                <w:txbxContent>
                  <w:p>
                    <w:pPr>
                      <w:pStyle w:val="10"/>
                      <w:rPr>
                        <w:rFonts w:hint="eastAsia" w:ascii="宋体" w:eastAsia="宋体" w:cs="宋体"/>
                        <w:sz w:val="28"/>
                        <w:szCs w:val="28"/>
                      </w:rPr>
                    </w:pPr>
                    <w:r>
                      <w:rPr>
                        <w:rFonts w:hint="eastAsia" w:ascii="宋体" w:eastAsia="宋体" w:cs="宋体"/>
                        <w:sz w:val="28"/>
                        <w:szCs w:val="28"/>
                      </w:rPr>
                      <w:t xml:space="preserve">— </w:t>
                    </w:r>
                    <w:r>
                      <w:rPr>
                        <w:rFonts w:hint="eastAsia" w:ascii="宋体" w:eastAsia="宋体" w:cs="宋体"/>
                        <w:sz w:val="28"/>
                        <w:szCs w:val="28"/>
                      </w:rPr>
                      <w:fldChar w:fldCharType="begin"/>
                    </w:r>
                    <w:r>
                      <w:rPr>
                        <w:rFonts w:hint="eastAsia" w:ascii="宋体" w:eastAsia="宋体" w:cs="宋体"/>
                        <w:sz w:val="28"/>
                        <w:szCs w:val="28"/>
                      </w:rPr>
                      <w:instrText xml:space="preserve"> PAGE  \* MERGEFORMAT </w:instrText>
                    </w:r>
                    <w:r>
                      <w:rPr>
                        <w:rFonts w:hint="eastAsia" w:ascii="宋体" w:eastAsia="宋体" w:cs="宋体"/>
                        <w:sz w:val="28"/>
                        <w:szCs w:val="28"/>
                      </w:rPr>
                      <w:fldChar w:fldCharType="separate"/>
                    </w:r>
                    <w:r>
                      <w:rPr>
                        <w:rFonts w:hint="eastAsia" w:ascii="宋体" w:eastAsia="宋体" w:cs="宋体"/>
                        <w:sz w:val="28"/>
                        <w:szCs w:val="28"/>
                      </w:rPr>
                      <w:t>1</w:t>
                    </w:r>
                    <w:r>
                      <w:rPr>
                        <w:rFonts w:hint="eastAsia" w:ascii="宋体" w:eastAsia="宋体" w:cs="宋体"/>
                        <w:sz w:val="28"/>
                        <w:szCs w:val="28"/>
                      </w:rPr>
                      <w:fldChar w:fldCharType="end"/>
                    </w:r>
                    <w:r>
                      <w:rPr>
                        <w:rFonts w:hint="eastAsia" w:ascii="宋体" w:eastAsia="宋体" w:cs="宋体"/>
                        <w:sz w:val="28"/>
                        <w:szCs w:val="28"/>
                      </w:rPr>
                      <w:t xml:space="preserve"> —</w:t>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3208E"/>
    <w:multiLevelType w:val="singleLevel"/>
    <w:tmpl w:val="0053208E"/>
    <w:lvl w:ilvl="0" w:tentative="0">
      <w:start w:val="2"/>
      <w:numFmt w:val="chineseCounting"/>
      <w:suff w:val="nothing"/>
      <w:lvlText w:val="（%1）"/>
      <w:lvlJc w:val="lef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val="1"/>
  <w:embedTrueTypeFonts/>
  <w:saveSubsetFonts/>
  <w:bordersDoNotSurroundHeader w:val="0"/>
  <w:bordersDoNotSurroundFooter w:val="0"/>
  <w:doNotTrackMoves/>
  <w:documentProtection w:enforcement="0"/>
  <w:defaultTabStop w:val="420"/>
  <w:drawingGridHorizontalSpacing w:val="1"/>
  <w:drawingGridVerticalSpacing w:val="1"/>
  <w:doNotUseMarginsForDrawingGridOrigin w:val="1"/>
  <w:drawingGridHorizontalOrigin w:val="0"/>
  <w:drawingGridVerticalOrigin w:val="0"/>
  <w:noPunctuationKerning w:val="1"/>
  <w:characterSpacingControl w:val="compressPunctuation"/>
  <w:compat>
    <w:spaceForUL/>
    <w:balanceSingleByteDoubleByteWidth/>
    <w:ulTrailSpace/>
    <w:doNotExpandShiftReturn/>
    <w:adjustLineHeightInTable/>
    <w:useFELayout/>
    <w:doNotUseIndentAsNumberingTabStop/>
    <w:compatSetting w:name="compatibilityMode" w:uri="http://schemas.microsoft.com/office/word" w:val="15"/>
  </w:compat>
  <w:docVars>
    <w:docVar w:name="commondata" w:val="eyJoZGlkIjoiOWMwMDdjMDFjZjQ1NWM1ZjZjMDI2NDMyZGQyNmU4MjQifQ=="/>
    <w:docVar w:name="KSO_WPS_MARK_KEY" w:val="daa70b14-2c60-476e-bb00-9c96f9f85bb4"/>
  </w:docVars>
  <w:rsids>
    <w:rsidRoot w:val="00000000"/>
    <w:rsid w:val="2B496AA1"/>
  </w:rsids>
  <m:mathPr>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rPr>
  </w:style>
  <w:style w:type="paragraph" w:styleId="4">
    <w:name w:val="heading 2"/>
    <w:basedOn w:val="1"/>
    <w:next w:val="1"/>
    <w:qFormat/>
    <w:uiPriority w:val="0"/>
    <w:pPr>
      <w:keepNext/>
      <w:keepLines/>
      <w:spacing w:before="260" w:after="260" w:line="415" w:lineRule="auto"/>
      <w:outlineLvl w:val="1"/>
    </w:pPr>
    <w:rPr>
      <w:rFonts w:ascii="Times New Roman" w:hAnsi="Times New Roman" w:eastAsia="黑体"/>
      <w:b/>
      <w:sz w:val="32"/>
    </w:rPr>
  </w:style>
  <w:style w:type="paragraph" w:styleId="5">
    <w:name w:val="heading 3"/>
    <w:basedOn w:val="1"/>
    <w:next w:val="1"/>
    <w:qFormat/>
    <w:uiPriority w:val="0"/>
    <w:pPr>
      <w:keepNext/>
      <w:keepLines/>
      <w:spacing w:before="260" w:after="260" w:line="415" w:lineRule="auto"/>
      <w:outlineLvl w:val="2"/>
    </w:pPr>
    <w:rPr>
      <w:b/>
      <w:sz w:val="32"/>
    </w:rPr>
  </w:style>
  <w:style w:type="character" w:default="1" w:styleId="14">
    <w:name w:val="Default Paragraph Font"/>
    <w:qFormat/>
    <w:uiPriority w:val="0"/>
  </w:style>
  <w:style w:type="table" w:default="1" w:styleId="15">
    <w:name w:val="Normal Table"/>
    <w:semiHidden/>
    <w:qFormat/>
    <w:uiPriority w:val="0"/>
    <w:tblPr>
      <w:tblLayout w:type="fixed"/>
      <w:tblCellMar>
        <w:top w:w="0" w:type="dxa"/>
        <w:left w:w="108" w:type="dxa"/>
        <w:bottom w:w="0" w:type="dxa"/>
        <w:right w:w="108" w:type="dxa"/>
      </w:tblCellMar>
    </w:tblPr>
  </w:style>
  <w:style w:type="paragraph" w:styleId="2">
    <w:name w:val="Salutation"/>
    <w:basedOn w:val="1"/>
    <w:next w:val="1"/>
    <w:qFormat/>
    <w:uiPriority w:val="0"/>
  </w:style>
  <w:style w:type="paragraph" w:styleId="6">
    <w:name w:val="Normal Indent"/>
    <w:basedOn w:val="1"/>
    <w:qFormat/>
    <w:uiPriority w:val="0"/>
    <w:pPr>
      <w:ind w:firstLine="420" w:firstLineChars="200"/>
    </w:pPr>
  </w:style>
  <w:style w:type="paragraph" w:styleId="7">
    <w:name w:val="caption"/>
    <w:basedOn w:val="1"/>
    <w:next w:val="1"/>
    <w:qFormat/>
    <w:uiPriority w:val="0"/>
    <w:pPr>
      <w:widowControl w:val="0"/>
      <w:suppressLineNumbers/>
      <w:suppressAutoHyphens/>
      <w:spacing w:before="120" w:after="120"/>
    </w:pPr>
    <w:rPr>
      <w:i/>
      <w:iCs/>
      <w:sz w:val="24"/>
      <w:szCs w:val="24"/>
    </w:rPr>
  </w:style>
  <w:style w:type="paragraph" w:styleId="8">
    <w:name w:val="index 6"/>
    <w:basedOn w:val="1"/>
    <w:next w:val="1"/>
    <w:qFormat/>
    <w:uiPriority w:val="0"/>
    <w:pPr>
      <w:ind w:left="2100"/>
    </w:pPr>
  </w:style>
  <w:style w:type="paragraph" w:styleId="9">
    <w:name w:val="Body Text"/>
    <w:basedOn w:val="1"/>
    <w:next w:val="1"/>
    <w:qFormat/>
    <w:uiPriority w:val="0"/>
    <w:pPr>
      <w:spacing w:before="0" w:after="140" w:line="276" w:lineRule="auto"/>
    </w:p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0"/>
        <w:left w:val="none" w:color="auto" w:sz="0" w:space="0"/>
        <w:bottom w:val="none" w:color="auto" w:sz="0" w:space="0"/>
        <w:right w:val="none" w:color="auto" w:sz="0" w:space="0"/>
      </w:pBdr>
      <w:tabs>
        <w:tab w:val="center" w:pos="4153"/>
        <w:tab w:val="right" w:pos="8306"/>
      </w:tabs>
      <w:snapToGrid w:val="0"/>
      <w:spacing w:line="240" w:lineRule="auto"/>
      <w:jc w:val="both"/>
      <w:outlineLvl w:val="9"/>
    </w:pPr>
    <w:rPr>
      <w:sz w:val="18"/>
    </w:rPr>
  </w:style>
  <w:style w:type="paragraph" w:styleId="12">
    <w:name w:val="List"/>
    <w:basedOn w:val="9"/>
    <w:qFormat/>
    <w:uiPriority w:val="0"/>
  </w:style>
  <w:style w:type="paragraph" w:styleId="13">
    <w:name w:val="Normal (Web)"/>
    <w:basedOn w:val="1"/>
    <w:qFormat/>
    <w:uiPriority w:val="0"/>
    <w:rPr>
      <w:sz w:val="24"/>
    </w:rPr>
  </w:style>
  <w:style w:type="table" w:styleId="16">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customStyle="1" w:styleId="17">
    <w:name w:val="默认段落字体1"/>
    <w:qFormat/>
    <w:uiPriority w:val="0"/>
  </w:style>
  <w:style w:type="paragraph" w:customStyle="1" w:styleId="18">
    <w:name w:val="Heading"/>
    <w:basedOn w:val="1"/>
    <w:next w:val="9"/>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9">
    <w:name w:val="Index"/>
    <w:basedOn w:val="1"/>
    <w:qFormat/>
    <w:uiPriority w:val="0"/>
    <w:pPr>
      <w:widowControl w:val="0"/>
      <w:suppressLineNumbers/>
      <w:suppressAutoHyphens/>
    </w:pPr>
  </w:style>
  <w:style w:type="paragraph" w:customStyle="1" w:styleId="20">
    <w:name w:val="WPSOffice手动目录 1"/>
    <w:qFormat/>
    <w:uiPriority w:val="0"/>
    <w:rPr>
      <w:rFonts w:ascii="Times New Roman" w:hAnsi="Times New Roman" w:eastAsia="宋体" w:cs="Times New Roman"/>
      <w:sz w:val="20"/>
      <w:szCs w:val="20"/>
      <w:lang w:val="en-US" w:eastAsia="zh-CN" w:bidi="ar-SA"/>
    </w:rPr>
  </w:style>
  <w:style w:type="paragraph" w:customStyle="1" w:styleId="21">
    <w:name w:val="WPSOffice手动目录 2"/>
    <w:qFormat/>
    <w:uiPriority w:val="0"/>
    <w:pPr>
      <w:ind w:left="200" w:leftChars="200"/>
    </w:pPr>
    <w:rPr>
      <w:rFonts w:ascii="Times New Roman" w:hAnsi="Times New Roman" w:eastAsia="宋体" w:cs="Times New Roman"/>
      <w:sz w:val="20"/>
      <w:szCs w:val="2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17A8A7275C37461F87749EF325EDEFC2_13</vt:lpwstr>
  </property>
</Properties>
</file>

<file path=customXml/item3.xml><?xml version="1.0" encoding="utf-8"?>
<Properties xmlns="http://schemas.openxmlformats.org/officeDocument/2006/extended-properties" xmlns:vt="http://schemas.openxmlformats.org/officeDocument/2006/docPropsVTypes">
  <Template>Normal.eit</Template>
  <Pages>22</Pages>
  <Words>9297</Words>
  <Characters>9868</Characters>
  <Lines>0</Lines>
  <Paragraphs>150</Paragraphs>
  <TotalTime>20</TotalTime>
  <ScaleCrop>false</ScaleCrop>
  <LinksUpToDate>false</LinksUpToDate>
  <CharactersWithSpaces>9967</CharactersWithSpaces>
  <Application>WPS Office_11.1.0.14309_F1E327BC-269C-435d-A152-05C5408002CA</Application>
</Properties>
</file>

<file path=customXml/item4.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颠颠 </cp:lastModifiedBy>
  <dcterms:modified xsi:type="dcterms:W3CDTF">2024-07-31T02:25:01Z</dcterms:modified>
  <cp:revision>2</cp:revision>
</cp:core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983a9a9-febc-47ce-a188-ccbaf45d5b69}">
  <ds:schemaRefs/>
</ds:datastoreItem>
</file>

<file path=customXml/itemProps3.xml><?xml version="1.0" encoding="utf-8"?>
<ds:datastoreItem xmlns:ds="http://schemas.openxmlformats.org/officeDocument/2006/customXml" ds:itemID="{02764d16-6446-4236-8748-16f62a2a6b8e}">
  <ds:schemaRefs/>
</ds:datastoreItem>
</file>

<file path=customXml/itemProps4.xml><?xml version="1.0" encoding="utf-8"?>
<ds:datastoreItem xmlns:ds="http://schemas.openxmlformats.org/officeDocument/2006/customXml" ds:itemID="{38067418-386d-4227-87f1-1512aba95cfb}">
  <ds:schemaRefs/>
</ds:datastoreItem>
</file>

<file path=docProps/app.xml><?xml version="1.0" encoding="utf-8"?>
<Properties xmlns="http://schemas.openxmlformats.org/officeDocument/2006/extended-properties" xmlns:vt="http://schemas.openxmlformats.org/officeDocument/2006/docPropsVTypes">
  <Template>Normal.eit</Template>
  <Pages>22</Pages>
  <Words>9297</Words>
  <Characters>9868</Characters>
  <Lines>0</Lines>
  <Paragraphs>150</Paragraphs>
  <TotalTime>22</TotalTime>
  <ScaleCrop>false</ScaleCrop>
  <LinksUpToDate>false</LinksUpToDate>
  <CharactersWithSpaces>9967</CharactersWithSpaces>
  <Application>WPS Office_10.1.0.7520_F1E327BC-269C-435d-A152-05C5408002CA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lenovo</cp:lastModifiedBy>
  <dcterms:modified xsi:type="dcterms:W3CDTF">2024-08-12T06:51:27Z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17A8A7275C37461F87749EF325EDEFC2_13</vt:lpwstr>
  </property>
</Properties>
</file>