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  <w:bookmarkStart w:id="0" w:name="_Toc29043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outlineLvl w:val="0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</w:pPr>
      <w:bookmarkStart w:id="1" w:name="_Toc5626"/>
      <w:bookmarkStart w:id="2" w:name="_Toc10806"/>
      <w:bookmarkStart w:id="3" w:name="_Toc19571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en-AU"/>
        </w:rPr>
        <w:t>广元市昭化区疾病预防控制中心</w:t>
      </w:r>
      <w:bookmarkEnd w:id="0"/>
      <w:bookmarkEnd w:id="1"/>
      <w:bookmarkEnd w:id="2"/>
      <w:bookmarkEnd w:id="3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lang w:val="en-US" w:eastAsia="zh-CN" w:bidi="en-AU"/>
        </w:rPr>
        <w:sectPr>
          <w:pgSz w:w="11906" w:h="16838"/>
          <w:pgMar w:top="1440" w:right="1800" w:bottom="1440" w:left="1800" w:header="720" w:footer="720" w:gutter="0"/>
          <w:pgNumType w:fmt="decimal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en-AU"/>
        </w:rPr>
        <w:t>2023年部门预算编制说明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0" w:beforeAutospacing="0" w:after="0" w:afterAutospacing="0" w:line="5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0"/>
          <w:szCs w:val="40"/>
          <w:lang w:val="en-US" w:eastAsia="zh-CN" w:bidi="en-AU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en-AU"/>
        </w:rPr>
        <w:t>目   录</w:t>
      </w: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leader="dot" w:pos="8306"/>
        </w:tabs>
        <w:spacing w:before="0" w:beforeAutospacing="0" w:after="0" w:afterAutospacing="0" w:line="58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20"/>
          <w:szCs w:val="40"/>
          <w:lang w:val="en-US" w:eastAsia="zh-CN" w:bidi="en-AU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en-AU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en-AU"/>
        </w:rPr>
        <w:instrText xml:space="preserve">TOC \o "1-2" \h \u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0"/>
          <w:szCs w:val="40"/>
          <w:shd w:val="clear" w:color="auto" w:fill="FFFFFF"/>
          <w:lang w:val="en-US" w:eastAsia="zh-CN" w:bidi="en-AU"/>
        </w:rPr>
        <w:fldChar w:fldCharType="separate"/>
      </w:r>
    </w:p>
    <w:p>
      <w:pPr>
        <w:pStyle w:val="12"/>
        <w:tabs>
          <w:tab w:val="right" w:leader="dot" w:pos="8306"/>
        </w:tabs>
      </w:pPr>
      <w:r>
        <w:fldChar w:fldCharType="begin"/>
      </w:r>
      <w:r>
        <w:instrText xml:space="preserve"> HYPERLINK \l "_Toc5626"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一、基本职能及主要工作</w:t>
      </w:r>
      <w:r>
        <w:tab/>
      </w:r>
      <w:r>
        <w:fldChar w:fldCharType="begin"/>
      </w:r>
      <w:r>
        <w:instrText xml:space="preserve"> PAGEREF _Toc5626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lang w:val="en-US" w:eastAsia="zh-CN" w:bidi="en-AU"/>
        </w:rPr>
      </w:pPr>
      <w:r>
        <w:fldChar w:fldCharType="begin"/>
      </w:r>
      <w:r>
        <w:instrText xml:space="preserve"> HYPERLINK \l "_Toc16836"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二、部门预算单位构成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ab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instrText xml:space="preserve"> PAGEREF _Toc16836 \h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fldChar w:fldCharType="end"/>
      </w:r>
    </w:p>
    <w:p>
      <w:pPr>
        <w:pStyle w:val="14"/>
        <w:tabs>
          <w:tab w:val="right" w:leader="dot" w:pos="8306"/>
        </w:tabs>
        <w:ind w:left="0" w:leftChars="0" w:firstLine="0" w:firstLineChars="0"/>
      </w:pPr>
      <w:r>
        <w:fldChar w:fldCharType="begin"/>
      </w:r>
      <w:r>
        <w:instrText xml:space="preserve"> HYPERLINK \l "_Toc7177"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三、收支预算情况说明</w:t>
      </w:r>
      <w:r>
        <w:tab/>
      </w:r>
      <w:r>
        <w:fldChar w:fldCharType="begin"/>
      </w:r>
      <w:r>
        <w:instrText xml:space="preserve"> PAGEREF _Toc7177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</w:tabs>
        <w:ind w:left="0" w:leftChars="0" w:firstLine="0" w:firstLineChars="0"/>
      </w:pPr>
      <w:r>
        <w:fldChar w:fldCharType="begin"/>
      </w:r>
      <w:r>
        <w:instrText xml:space="preserve"> HYPERLINK \l "_Toc12205"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四、财政拨款收支预算情况说明</w:t>
      </w:r>
      <w:r>
        <w:tab/>
      </w:r>
      <w:r>
        <w:fldChar w:fldCharType="begin"/>
      </w:r>
      <w:r>
        <w:instrText xml:space="preserve"> PAGEREF _Toc12205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</w:tabs>
        <w:ind w:left="0" w:leftChars="0" w:firstLine="0" w:firstLineChars="0"/>
      </w:pPr>
      <w:r>
        <w:fldChar w:fldCharType="begin"/>
      </w:r>
      <w:r>
        <w:instrText xml:space="preserve"> HYPERLINK \l "_Toc16804"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五、一般公共预算当年拨款情况说明</w:t>
      </w:r>
      <w:r>
        <w:tab/>
      </w:r>
      <w:r>
        <w:fldChar w:fldCharType="begin"/>
      </w:r>
      <w:r>
        <w:instrText xml:space="preserve"> PAGEREF _Toc16804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</w:tabs>
        <w:ind w:left="0" w:leftChars="0" w:firstLine="0" w:firstLineChars="0"/>
      </w:pPr>
      <w:r>
        <w:fldChar w:fldCharType="begin"/>
      </w:r>
      <w:r>
        <w:instrText xml:space="preserve"> HYPERLINK \l "_Toc28216"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六、一般公共预算基本支出情况说明</w:t>
      </w:r>
      <w:r>
        <w:tab/>
      </w:r>
      <w:r>
        <w:fldChar w:fldCharType="begin"/>
      </w:r>
      <w:r>
        <w:instrText xml:space="preserve"> PAGEREF _Toc28216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</w:tabs>
        <w:ind w:left="0" w:leftChars="0" w:firstLine="0" w:firstLineChars="0"/>
      </w:pPr>
      <w:r>
        <w:fldChar w:fldCharType="begin"/>
      </w:r>
      <w:r>
        <w:instrText xml:space="preserve"> HYPERLINK \l "_Toc24054"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七、“三公”经费财政拨款预算安排情况说明</w:t>
      </w:r>
      <w:r>
        <w:tab/>
      </w:r>
      <w:r>
        <w:fldChar w:fldCharType="begin"/>
      </w:r>
      <w:r>
        <w:instrText xml:space="preserve"> PAGEREF _Toc24054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</w:tabs>
        <w:ind w:left="0" w:leftChars="0" w:firstLine="0" w:firstLineChars="0"/>
      </w:pPr>
      <w:r>
        <w:fldChar w:fldCharType="begin"/>
      </w:r>
      <w:r>
        <w:instrText xml:space="preserve"> HYPERLINK \l "_Toc23434"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八、政府性基金预算支出情况说明</w:t>
      </w:r>
      <w:r>
        <w:tab/>
      </w:r>
      <w:r>
        <w:fldChar w:fldCharType="begin"/>
      </w:r>
      <w:r>
        <w:instrText xml:space="preserve"> PAGEREF _Toc23434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</w:tabs>
        <w:ind w:left="0" w:leftChars="0" w:firstLine="0" w:firstLineChars="0"/>
      </w:pPr>
      <w:r>
        <w:fldChar w:fldCharType="begin"/>
      </w:r>
      <w:r>
        <w:instrText xml:space="preserve"> HYPERLINK \l "_Toc24259"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九、国有资本经营预算支出情况说明</w:t>
      </w:r>
      <w:r>
        <w:tab/>
      </w:r>
      <w:r>
        <w:fldChar w:fldCharType="begin"/>
      </w:r>
      <w:r>
        <w:instrText xml:space="preserve"> PAGEREF _Toc24259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</w:tabs>
        <w:ind w:left="0" w:leftChars="0" w:firstLine="0" w:firstLineChars="0"/>
      </w:pPr>
      <w:r>
        <w:fldChar w:fldCharType="begin"/>
      </w:r>
      <w:r>
        <w:instrText xml:space="preserve"> HYPERLINK \l "_Toc7824"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十、其他重要事项的情况说明</w:t>
      </w:r>
      <w:r>
        <w:tab/>
      </w:r>
      <w:r>
        <w:fldChar w:fldCharType="begin"/>
      </w:r>
      <w:r>
        <w:instrText xml:space="preserve"> PAGEREF _Toc7824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</w:tabs>
        <w:ind w:left="0" w:leftChars="0" w:firstLine="0" w:firstLineChars="0"/>
      </w:pPr>
      <w:r>
        <w:fldChar w:fldCharType="begin"/>
      </w:r>
      <w:r>
        <w:instrText xml:space="preserve"> HYPERLINK \l "_Toc9570"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en-AU"/>
        </w:rPr>
        <w:t>十一、名词解释</w:t>
      </w:r>
      <w:r>
        <w:tab/>
      </w:r>
      <w:r>
        <w:fldChar w:fldCharType="begin"/>
      </w:r>
      <w:r>
        <w:instrText xml:space="preserve"> PAGEREF _Toc9570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8306"/>
        </w:tabs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leader="dot" w:pos="8306"/>
        </w:tabs>
        <w:spacing w:before="0" w:beforeAutospacing="0" w:after="0" w:afterAutospacing="0" w:line="58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Cs w:val="40"/>
          <w:lang w:val="en-US" w:eastAsia="zh-CN" w:bidi="en-AU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Cs w:val="40"/>
          <w:shd w:val="clear" w:color="auto" w:fill="FFFFFF"/>
          <w:lang w:val="en-US" w:eastAsia="zh-CN" w:bidi="en-AU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Cs w:val="40"/>
          <w:shd w:val="clear" w:color="auto" w:fill="FFFFFF"/>
          <w:lang w:val="en-US" w:eastAsia="zh-CN" w:bidi="en-AU"/>
        </w:rPr>
        <w:t xml:space="preserve">     </w:t>
      </w: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leader="dot" w:pos="8306"/>
        </w:tabs>
        <w:spacing w:before="0" w:beforeAutospacing="0" w:after="0" w:afterAutospacing="0" w:line="58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Cs w:val="40"/>
          <w:lang w:val="en-US" w:eastAsia="zh-CN" w:bidi="en-AU"/>
        </w:rPr>
      </w:pP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leader="dot" w:pos="8306"/>
        </w:tabs>
        <w:spacing w:before="0" w:beforeAutospacing="0" w:after="0" w:afterAutospacing="0" w:line="58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Cs w:val="40"/>
          <w:lang w:val="en-US" w:eastAsia="zh-CN" w:bidi="en-AU"/>
        </w:rPr>
      </w:pP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leader="dot" w:pos="8306"/>
        </w:tabs>
        <w:spacing w:before="0" w:beforeAutospacing="0" w:after="0" w:afterAutospacing="0" w:line="58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Cs w:val="40"/>
          <w:lang w:val="en-US" w:eastAsia="zh-CN" w:bidi="en-AU"/>
        </w:rPr>
        <w:sectPr>
          <w:footerReference r:id="rId3" w:type="default"/>
          <w:pgSz w:w="11906" w:h="16838"/>
          <w:pgMar w:top="1440" w:right="1800" w:bottom="1440" w:left="1800" w:header="720" w:footer="720" w:gutter="0"/>
          <w:pgNumType w:fmt="decimal" w:start="1" w:chapSep="hyphen"/>
          <w:docGrid w:type="lines" w:linePitch="312" w:charSpace="0"/>
        </w:sectPr>
      </w:pP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leader="dot" w:pos="8306"/>
        </w:tabs>
        <w:spacing w:before="0" w:beforeAutospacing="0" w:after="0" w:afterAutospacing="0" w:line="580" w:lineRule="atLeast"/>
        <w:ind w:right="0" w:firstLine="640" w:firstLineChars="200"/>
        <w:jc w:val="both"/>
        <w:rPr>
          <w:rFonts w:hint="default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一、基本职能及主要工作</w:t>
      </w:r>
    </w:p>
    <w:p>
      <w:pPr>
        <w:pStyle w:val="19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_GB2312" w:eastAsia="楷体_GB2312" w:cs="楷体_GB2312"/>
          <w:b/>
          <w:i w:val="0"/>
          <w:caps w:val="0"/>
          <w:color w:val="333333"/>
          <w:spacing w:val="0"/>
          <w:sz w:val="32"/>
          <w:szCs w:val="32"/>
        </w:rPr>
      </w:pPr>
      <w:bookmarkStart w:id="4" w:name="_Toc20695"/>
      <w:bookmarkStart w:id="5" w:name="_Toc13731"/>
      <w:bookmarkStart w:id="6" w:name="_Toc8593"/>
      <w:r>
        <w:rPr>
          <w:rFonts w:ascii="楷体_GB2312" w:eastAsia="楷体_GB2312" w:cs="楷体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eastAsia="楷体_GB2312" w:cs="楷体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广元市昭化区疾病预防控制中心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职能</w:t>
      </w:r>
      <w:r>
        <w:rPr>
          <w:rFonts w:hint="eastAsia" w:ascii="楷体_GB2312" w:eastAsia="楷体_GB2312" w:cs="楷体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简介</w:t>
      </w:r>
      <w:bookmarkEnd w:id="4"/>
      <w:bookmarkEnd w:id="5"/>
      <w:bookmarkEnd w:id="6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1.疾病预防控制；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2.突发公共卫生事件应急处置；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3.疫情及健康相关因素信息管理；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4.健康危害因素监测与干预；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5.实验室检测检验与评价；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6.健康教育与健康促进等。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firstLine="640" w:firstLineChars="200"/>
        <w:jc w:val="both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7" w:name="_Toc24403"/>
      <w:bookmarkStart w:id="8" w:name="_Toc17375"/>
      <w:bookmarkStart w:id="9" w:name="_Toc29306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（二）广元市昭化区疾病预防控制中心2023年重点工作</w:t>
      </w:r>
      <w:bookmarkEnd w:id="7"/>
      <w:bookmarkEnd w:id="8"/>
      <w:bookmarkEnd w:id="9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1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bookmarkStart w:id="10" w:name="_Toc25095"/>
      <w:bookmarkStart w:id="11" w:name="_Toc13398"/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1.管理工作</w:t>
      </w:r>
      <w:bookmarkEnd w:id="10"/>
      <w:bookmarkEnd w:id="11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1）建立健全管理制度及工作机制。坚持“疾病预防控制、健康和谐昭化”的工作目标和“团结、务实、敬业、奉献”的管理服务理念，坚定三个“两手抓、两手硬”的工作方针，即党建+业务、基本工作+核心工作、内务+外务，确保各项工作有序推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（2）坚持民主集中制，完善议事决策机制。及时召开支委会议、主任会、主任办公会、科主任会及职工会，学习传达贯彻上级文件精神，通报单位工作进展情况，解决重点难点问题，推动各项工作顺利实施。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（3）落实好人才待遇保障，努力为发挥人才作用创造条件。大胆重用年轻人担任科室负责人；组织干部参加上级各种业务培训，配合省、市疾控中心专家对本单位的对口帮扶工作。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（4）加大安全隐患排查和整改。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（5）规范财务管理。实施好中财、省财项目，执行好财经纪律，无乱收乱支行为。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1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bookmarkStart w:id="12" w:name="_Toc5879"/>
      <w:bookmarkStart w:id="13" w:name="_Toc15069"/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2.日常传染病防控工作</w:t>
      </w:r>
      <w:bookmarkEnd w:id="12"/>
      <w:bookmarkEnd w:id="13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（1）加强性病艾滋病防治。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（2）加强肺结核防治。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（3）加强麻风病防治工作。按时完成患者的监测、随访工作。对基层医务人员进行麻风病防治技术培训，提高诊断技术和防治水平。组织开展“世界麻风日”暨“中国麻风节”宣传慰问活动。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（4）加强精神病人管理工作。积极推广长效针剂，切实解决部分病人服药难问题。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（5）强化全人群死因监测。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（6）加强地方病防治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（7）加强慢病管理。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（8）加强健康管理员培训，开展“三减三健”等活动，引导广大群众养成健康生活方式好习惯。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（9）加强免疫规划工作。一是全力推进新冠病毒疫苗接种工作；二是常规推进免疫规划日常工作。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10）积极做好疾病控制、水质监测、食品卫生、突发公共卫生事件等应急采样及各项检测任务，一是新冠疫情防控核酸检测工作；二是完成各种重大传染病的指令性检测任务；三是加强食品、饮用水卫生、公共场所检测工作；四是完成尿碘及盐碘含量检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11）强化质量体系建设。进一步完善认定体系文件，理顺质量管理架构，规范样品采送检管理，监督和指导执行程序，严格按照文件发放和控制管理的要求，理顺质量管理文件的修改、修订思路，严格执行文件更新的审批程序，确保文件的权威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（12）强化业务培训。通过线上线下相结合的方式，加强对镇卫生院业务人员开展疫情防控、新冠病毒疫苗接种、传染病防控等业务知识培训，并开展督导和指导。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rightChars="0" w:firstLine="640" w:firstLineChars="200"/>
        <w:jc w:val="both"/>
        <w:outlineLvl w:val="1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13）强化健康促进。在3·24全国结核病防治日、4·25全国预防接种日、5·15碘缺乏病日、6·26禁毒日、7·28肝炎日、10·10精神卫生日和12·1世界艾滋病日等时间节点，利用区电视台《健康昭化》栏目、微昭化、蜀道昭化（抖音）等平台开展健康宣传教育。同时，积极到街道、机关、企业、学校、村组等开展健康宣教活动，发放各种宣传资料及宣传品。</w:t>
      </w:r>
      <w:bookmarkStart w:id="14" w:name="_Toc16836"/>
      <w:bookmarkStart w:id="15" w:name="_Toc2868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rightChars="0" w:firstLine="640" w:firstLineChars="200"/>
        <w:jc w:val="both"/>
        <w:outlineLvl w:val="1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二、部门预算单位构成</w:t>
      </w:r>
      <w:bookmarkEnd w:id="14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rightChars="0" w:firstLine="640" w:firstLineChars="200"/>
        <w:jc w:val="both"/>
        <w:outlineLvl w:val="1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我单位为二级预算单位，独立编制机构数1个，独立核算机构数1个，隶属于广元市昭化区卫生健康局，为公益一类预算单位，设有质量管理科、地方病慢病科、免疫规划科、疾病控制科、卫生监测科、总务科、财务科、检验科共8个科室。</w:t>
      </w:r>
    </w:p>
    <w:bookmarkEnd w:id="15"/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rightChars="0" w:firstLine="640" w:firstLineChars="200"/>
        <w:jc w:val="both"/>
        <w:outlineLvl w:val="1"/>
        <w:rPr>
          <w:rFonts w:hint="default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bookmarkStart w:id="16" w:name="_Toc7177"/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三、收支预算情况说明</w:t>
      </w:r>
      <w:bookmarkEnd w:id="16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rightChars="0" w:firstLine="64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按照综合预算的原则，区疾控中心所有收入和支出均纳入部门预算管理。收入包括：一般公共预算拨款收入；支出包括：社会保障和就业支出、卫生健康支出、住房保障支出。区疾控中心2023年收支总预算476.54万元，比2022年收支预算总数减少469.82万元，扣除上年结转资金、一次性安排等因素后，同口径增加34.65万元，主要原因是人员经费增加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17" w:name="_Toc17661"/>
      <w:bookmarkStart w:id="18" w:name="_Toc11789"/>
      <w:bookmarkStart w:id="19" w:name="_Toc12490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收入预算情况</w:t>
      </w:r>
      <w:bookmarkEnd w:id="17"/>
      <w:bookmarkEnd w:id="18"/>
      <w:bookmarkEnd w:id="19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rightChars="0" w:firstLine="64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区疾控中心2023年收入预算476.54万元，其中：一般公共预算拨款收入476.54万元，占100%。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20" w:name="_Toc21702"/>
      <w:bookmarkStart w:id="21" w:name="_Toc6200"/>
      <w:bookmarkStart w:id="22" w:name="_Toc17672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支出预算情况</w:t>
      </w:r>
      <w:bookmarkEnd w:id="20"/>
      <w:bookmarkEnd w:id="21"/>
      <w:bookmarkEnd w:id="22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rightChars="0" w:firstLine="64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区疾控中心2023年支出预算476.54万元，其中：基本支出447.95万元，占94%；项目支出28.59万元，占6%。</w:t>
      </w:r>
      <w:bookmarkStart w:id="23" w:name="_Toc14483"/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 w:rightChars="0" w:firstLine="640" w:firstLineChars="200"/>
        <w:jc w:val="both"/>
        <w:outlineLvl w:val="1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</w:rPr>
      </w:pPr>
      <w:bookmarkStart w:id="24" w:name="_Toc12690"/>
      <w:bookmarkStart w:id="25" w:name="_Toc12205"/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四、财政拨款收支预算情况说明</w:t>
      </w:r>
      <w:bookmarkEnd w:id="23"/>
      <w:bookmarkEnd w:id="24"/>
      <w:bookmarkEnd w:id="25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69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区疾控中心2023年财政拨款收支总预算476.54万元，比2022年财政拨款收支总预算减少469.82万元，扣除上年结转资金、一次性安排等因素后，同口径增加34.65万元，减少469.82万元，扣除上年结转资金、一次性安排等因素后，同口径增加34.65万元，主要原因是人员经费增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69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收入包括：本年一般公共预算拨款收入476.54万元；支出包括：社会保障和就业支出52.99万元、卫生健康支出389.81万元、住房保障支出33.74万元。</w:t>
      </w:r>
      <w:bookmarkStart w:id="26" w:name="_Toc17647"/>
      <w:bookmarkStart w:id="27" w:name="_Toc16804"/>
      <w:bookmarkStart w:id="28" w:name="_Toc30209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right="0" w:firstLine="669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五、一般公共预算当年拨款情况说明</w:t>
      </w:r>
      <w:bookmarkEnd w:id="26"/>
      <w:bookmarkEnd w:id="27"/>
    </w:p>
    <w:bookmarkEnd w:id="28"/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29" w:name="_Toc30618"/>
      <w:bookmarkStart w:id="30" w:name="_Toc8044"/>
      <w:bookmarkStart w:id="31" w:name="_Toc15084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一般公共预算当年拨款规模变化情况</w:t>
      </w:r>
      <w:bookmarkEnd w:id="29"/>
      <w:bookmarkEnd w:id="30"/>
      <w:bookmarkEnd w:id="31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区疾控中心2023年一般公共预算当年拨款476.54万元，比2022年预算数增加34.65万元，主要原因是人员经费增加。</w:t>
      </w:r>
      <w:bookmarkStart w:id="32" w:name="_Toc10877"/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33" w:name="_Toc29253"/>
      <w:bookmarkStart w:id="34" w:name="_Toc6138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一般公共预算当年拨款结构情况</w:t>
      </w:r>
      <w:bookmarkEnd w:id="32"/>
      <w:bookmarkEnd w:id="33"/>
      <w:bookmarkEnd w:id="34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社会保障和就业支出52.99万元，占11.12%；卫生健康支出389.81万元，占81.8%；住房保障支出33.74万元，占7.08%。</w:t>
      </w:r>
      <w:bookmarkStart w:id="35" w:name="_Toc16132"/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36" w:name="_Toc20944"/>
      <w:bookmarkStart w:id="37" w:name="_Toc32624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一般公共预算当年拨款具体使用情况</w:t>
      </w:r>
      <w:bookmarkEnd w:id="35"/>
      <w:bookmarkEnd w:id="36"/>
      <w:bookmarkEnd w:id="37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1.社会保障和就业（类）行政事业单位养老支出（款）事业单位离退休（项）2023年预算数为8万元，主要用于：事业单位离退休人员经费支出。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2.社会保障和就业（类）行政事业单位养老支出（款）机关事业单位基本养老保险缴费支出（项）2023年预算数为44.99万元，主要用于：实施养老保险制度由单位缴纳的基本养老保险支出。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3.卫生健康（类）公共卫生（款）疾病预防控制机构（项）2023年预算数为371.94万元，主要用于：疾病预防人员经费。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4.卫生健康（类）行政事业单位医疗（款）事业单位医疗（项）2023年预算数为17.87万元，主要用于：事业单位按规定由单位缴纳的基本医疗保险支出。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5.住房保障（类）住房改革支出（款）住房公积金（项）2023年预算数为33.74万元，主要用于：部门按规定为职工缴纳的住房公积金支出。</w:t>
      </w:r>
      <w:bookmarkStart w:id="38" w:name="_Toc214"/>
      <w:bookmarkStart w:id="39" w:name="_Toc15661"/>
      <w:bookmarkStart w:id="40" w:name="_Toc28216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六、一般公共预算基本支出情况说明</w:t>
      </w:r>
      <w:bookmarkEnd w:id="38"/>
      <w:bookmarkEnd w:id="39"/>
      <w:bookmarkEnd w:id="4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区疾控中心2023年一般公共预算基本支出447.95万元，其中：人员经费407.35万元，主要包括：基本工资、绩效工资、津贴补贴、奖金、社会保险缴费、住房公积金、在职人员目标奖、退休目标奖。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公用经费40.6万元，主要包括：办公费、会议费、咨询费、劳务费、取暖费、手续费、电费、维修（护）费、印刷费、水费、邮电费、公务接待费、专用材料费、差旅费、培训费、其他商品和服务支出、公务用车运行维护费、租赁费。</w:t>
      </w:r>
      <w:bookmarkStart w:id="41" w:name="_Toc24054"/>
      <w:bookmarkStart w:id="42" w:name="_Toc24733"/>
      <w:bookmarkStart w:id="43" w:name="_Toc797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七、“三公”经费财政拨款预算安排情况说明</w:t>
      </w:r>
      <w:bookmarkEnd w:id="41"/>
      <w:bookmarkEnd w:id="42"/>
      <w:bookmarkEnd w:id="43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区疾控中心2023年“三公”经费财政拨款预算数4.8万元，其中：公务接待费1.5万元，公务用车购置及运行维护费3.3万元。</w:t>
      </w:r>
      <w:bookmarkStart w:id="44" w:name="_Toc29926"/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45" w:name="_Toc14672"/>
      <w:bookmarkStart w:id="46" w:name="_Toc6093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公务接待费与2022年预算相比</w:t>
      </w:r>
      <w:bookmarkEnd w:id="44"/>
      <w:bookmarkEnd w:id="45"/>
      <w:bookmarkEnd w:id="46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2023年公务接待费计划用于各项病种的督导、检查等用餐费1.5万元，与2022年预算持平。</w:t>
      </w:r>
      <w:bookmarkStart w:id="47" w:name="_Toc3557"/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48" w:name="_Toc6994"/>
      <w:bookmarkStart w:id="49" w:name="_Toc1861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公务用车购置及运行维护费与2022年预算相比</w:t>
      </w:r>
      <w:bookmarkEnd w:id="47"/>
      <w:bookmarkEnd w:id="48"/>
      <w:bookmarkEnd w:id="49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2023年安排公务用车运行维护费3.3万元，用于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5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辆公务用车燃油、过路（桥）、维修、保险等方面支出，主要保障疫苗配送转运</w:t>
      </w:r>
      <w:bookmarkStart w:id="50" w:name="_Toc3189"/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。比2022年预算数增加0.3万元，主要原因是车辆维修费增加。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51" w:name="_Toc29805"/>
      <w:bookmarkStart w:id="52" w:name="_Toc31055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因公出国（境）经费与2022年预算相比</w:t>
      </w:r>
      <w:bookmarkEnd w:id="50"/>
      <w:bookmarkEnd w:id="51"/>
      <w:bookmarkEnd w:id="52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2023年区疾控中心无因公出国（境）经费预算，与2022年预算持平。</w:t>
      </w:r>
      <w:bookmarkStart w:id="53" w:name="_Toc24934"/>
      <w:bookmarkStart w:id="54" w:name="_Toc23434"/>
      <w:bookmarkStart w:id="55" w:name="_Toc10955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八、政府性基金预算支出情况说明</w:t>
      </w:r>
      <w:bookmarkEnd w:id="53"/>
      <w:bookmarkEnd w:id="54"/>
      <w:bookmarkEnd w:id="55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区疾控中心2023年没有使用政府性基金预算拨款安排的支出。</w:t>
      </w:r>
      <w:bookmarkStart w:id="56" w:name="_Toc24259"/>
      <w:bookmarkStart w:id="57" w:name="_Toc4234"/>
      <w:bookmarkStart w:id="58" w:name="_Toc23974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九、国有资本经营预算支出情况说明</w:t>
      </w:r>
      <w:bookmarkEnd w:id="56"/>
      <w:bookmarkEnd w:id="57"/>
      <w:bookmarkEnd w:id="58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区疾控中心2023年没有使用国有资本经营预算拨款安排的支出。</w:t>
      </w:r>
      <w:bookmarkStart w:id="59" w:name="_Toc17443"/>
      <w:bookmarkStart w:id="60" w:name="_Toc7824"/>
      <w:bookmarkStart w:id="61" w:name="_Toc18351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十、其他重要事项的情况说明</w:t>
      </w:r>
      <w:bookmarkEnd w:id="59"/>
      <w:bookmarkEnd w:id="60"/>
      <w:bookmarkEnd w:id="61"/>
      <w:bookmarkStart w:id="62" w:name="_Toc15674"/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63" w:name="_Toc27953"/>
      <w:bookmarkStart w:id="64" w:name="_Toc15551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机关运行经费</w:t>
      </w:r>
      <w:bookmarkEnd w:id="62"/>
      <w:bookmarkEnd w:id="63"/>
      <w:bookmarkEnd w:id="64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2023年，本单位无机关运行经费。</w:t>
      </w:r>
      <w:bookmarkStart w:id="65" w:name="_Toc20306"/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66" w:name="_Toc21859"/>
      <w:bookmarkStart w:id="67" w:name="_Toc22501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政府采购情况</w:t>
      </w:r>
      <w:bookmarkEnd w:id="65"/>
      <w:bookmarkEnd w:id="66"/>
      <w:bookmarkEnd w:id="67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2023年，本单位无政府采购预算。</w:t>
      </w:r>
      <w:bookmarkStart w:id="68" w:name="_Toc22479"/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69" w:name="_Toc3577"/>
      <w:bookmarkStart w:id="70" w:name="_Toc20980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国有资产占有使用情况</w:t>
      </w:r>
      <w:bookmarkEnd w:id="68"/>
      <w:bookmarkEnd w:id="69"/>
      <w:bookmarkEnd w:id="7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截至2022年底，区疾控中心共有车辆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5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辆，其中，特种专业技术用车5辆。单位价值50万元以上大型设备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4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台（套）。</w:t>
      </w:r>
      <w:bookmarkStart w:id="71" w:name="_Toc32057"/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</w:pPr>
      <w:bookmarkStart w:id="72" w:name="_Toc32479"/>
      <w:bookmarkStart w:id="73" w:name="_Toc15219"/>
      <w:r>
        <w:rPr>
          <w:rFonts w:hint="eastAsia" w:ascii="楷体_GB2312" w:hAnsi="Calibri" w:eastAsia="楷体_GB2312" w:cs="楷体_GB2312"/>
          <w:b w:val="0"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绩效目标编制情况</w:t>
      </w:r>
      <w:bookmarkEnd w:id="71"/>
      <w:bookmarkEnd w:id="72"/>
      <w:bookmarkEnd w:id="73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en-AU"/>
        </w:rPr>
        <w:t>绩效目标是预算编制的前提和基础，2023年区疾控中心部门预算按申请项目资金年度预期达到的产出和效果，编制了“部门预算项目绩效目标申报表（2023年度）”，涉及项目3个 （含单位定额公用经费），金额69.19万元；按年度全部部门预算资金达到的总体产出和效果编制了“整体支出绩效目标申报表”。</w:t>
      </w:r>
      <w:bookmarkStart w:id="74" w:name="_Toc13735"/>
      <w:bookmarkStart w:id="75" w:name="_Toc7882"/>
      <w:bookmarkStart w:id="76" w:name="_Toc957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十一、名词解释</w:t>
      </w:r>
      <w:bookmarkEnd w:id="74"/>
      <w:bookmarkEnd w:id="75"/>
      <w:bookmarkEnd w:id="76"/>
      <w:bookmarkStart w:id="77" w:name="_Toc22878"/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outlineLvl w:val="0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bookmarkStart w:id="78" w:name="_Toc10388"/>
      <w:bookmarkStart w:id="79" w:name="_Toc11270"/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一般公共预算拨款收入：指省级财政当年拨付的资金。</w:t>
      </w:r>
      <w:bookmarkEnd w:id="77"/>
      <w:bookmarkEnd w:id="78"/>
      <w:bookmarkEnd w:id="79"/>
      <w:bookmarkStart w:id="80" w:name="_GoBack"/>
      <w:bookmarkEnd w:id="80"/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社会保障和就业（类）行政事业单位养老支出（款）事业单位离退休（项）：指事业单位离退休人员经费支出。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社会保障和就业（类）行政事业单位养老支出（款）机关事业单位基本养老保险缴费支出（项）：指实施养老保险制度由单位缴纳的基本养老保险支出。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卫生健康（类）公共卫生（款）疾病预防控制机构（项）：指疾病预防人员经费。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卫生健康（类）行政事业单位医疗（款）事业单位医疗（项）：指事业单位按规定由单位缴纳的基本医疗保险支出。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住房保障（类）住房改革支出（款）住房公积金（项）：指部门按规定为职工缴纳的住房公积金支出。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基本支出：指为保证机构正常运转，完成日常工作任务而发生的人员支出和公用支出。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项目支出：指在基本支出之外为完成事业发展目标所发生的支出。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single" w:color="FFFFFF" w:sz="8" w:space="31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（九）“三公”经费：纳入财政厅预算管理的“三公”经费，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668"/>
        <w:jc w:val="both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附件：1.部门预算公开表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0" w:firstLine="1654" w:firstLineChars="517"/>
        <w:jc w:val="both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en-AU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en-AU"/>
        </w:rPr>
        <w:t>2.部门预算绩效目标表</w:t>
      </w:r>
    </w:p>
    <w:sectPr>
      <w:footerReference r:id="rId4" w:type="default"/>
      <w:pgSz w:w="11906" w:h="16838"/>
      <w:pgMar w:top="2098" w:right="1474" w:bottom="1984" w:left="1587" w:header="720" w:footer="720" w:gutter="0"/>
      <w:pgNumType w:fmt="decimal" w:start="1" w:chapSep="hyphen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w:pict>
        <v:shape id="文本框 7" o:spid="_x0000_s2049" o:spt="202" type="#_x0000_t202" style="position:absolute;left:0pt;margin-top:0pt;height:144pt;width:144pt;mso-position-horizontal:outside;mso-position-horizontal-relative:margin;mso-wrap-style:none;z-index: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1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9ADCABA"/>
    <w:multiLevelType w:val="singleLevel"/>
    <w:tmpl w:val="59ADCA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NotTrackMoves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noLeading/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DdjMDFjZjQ1NWM1ZjZjMDI2NDMyZGQyNmU4MjQifQ=="/>
    <w:docVar w:name="KSO_WPS_MARK_KEY" w:val="bd76fa09-345b-4e08-8e84-dcc9abc461b4"/>
  </w:docVars>
  <w:rsids>
    <w:rsidRoot w:val="00000000"/>
    <w:rsid w:val="58872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5">
    <w:name w:val="默认段落字体11"/>
    <w:qFormat/>
    <w:uiPriority w:val="0"/>
  </w:style>
  <w:style w:type="table" w:customStyle="1" w:styleId="6">
    <w:name w:val="普通表格1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称呼1"/>
    <w:basedOn w:val="1"/>
    <w:next w:val="1"/>
    <w:qFormat/>
    <w:uiPriority w:val="0"/>
  </w:style>
  <w:style w:type="paragraph" w:customStyle="1" w:styleId="8">
    <w:name w:val="题注1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customStyle="1" w:styleId="9">
    <w:name w:val="正文文本1"/>
    <w:basedOn w:val="1"/>
    <w:next w:val="1"/>
    <w:uiPriority w:val="0"/>
    <w:pPr>
      <w:spacing w:before="0" w:after="140" w:line="276" w:lineRule="auto"/>
    </w:p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目录 11"/>
    <w:basedOn w:val="1"/>
    <w:next w:val="1"/>
    <w:qFormat/>
    <w:uiPriority w:val="0"/>
  </w:style>
  <w:style w:type="paragraph" w:customStyle="1" w:styleId="13">
    <w:name w:val="列表1"/>
    <w:basedOn w:val="9"/>
    <w:uiPriority w:val="0"/>
  </w:style>
  <w:style w:type="paragraph" w:customStyle="1" w:styleId="14">
    <w:name w:val="目录 21"/>
    <w:basedOn w:val="1"/>
    <w:next w:val="1"/>
    <w:qFormat/>
    <w:uiPriority w:val="0"/>
    <w:pPr>
      <w:ind w:left="420" w:leftChars="200"/>
    </w:pPr>
  </w:style>
  <w:style w:type="paragraph" w:customStyle="1" w:styleId="15">
    <w:name w:val="普通(网站)1"/>
    <w:basedOn w:val="1"/>
    <w:qFormat/>
    <w:uiPriority w:val="0"/>
    <w:rPr>
      <w:sz w:val="24"/>
    </w:rPr>
  </w:style>
  <w:style w:type="character" w:customStyle="1" w:styleId="16">
    <w:name w:val="默认段落字体1"/>
    <w:qFormat/>
    <w:uiPriority w:val="0"/>
  </w:style>
  <w:style w:type="paragraph" w:customStyle="1" w:styleId="17">
    <w:name w:val="Heading"/>
    <w:basedOn w:val="1"/>
    <w:next w:val="9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8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3789</Words>
  <Characters>4082</Characters>
  <TotalTime>157256161</TotalTime>
  <ScaleCrop>false</ScaleCrop>
  <LinksUpToDate>false</LinksUpToDate>
  <CharactersWithSpaces>4103</CharactersWithSpaces>
  <Application>WPS Office_10.1.0.7520_F1E327BC-269C-435d-A152-05C5408002CA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2018-11-28T01:47:00Z</dcterms:created>
  <dc:creator>user</dc:creator>
  <cp:lastModifiedBy>lenovo</cp:lastModifiedBy>
  <dcterms:modified xsi:type="dcterms:W3CDTF">2024-08-12T06:00:08Z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B8C761D964AF4B4C93830E3EFDE2CE47_13</vt:lpwstr>
  </property>
</Properties>
</file>