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b w:val="0"/>
          <w:bCs w:val="0"/>
          <w:color w:val="000000" w:themeColor="text1"/>
          <w:spacing w:val="0"/>
          <w:sz w:val="72"/>
          <w:szCs w:val="72"/>
          <w:highlight w:val="none"/>
          <w:lang w:val="en-US" w:eastAsia="zh-CN"/>
          <w14:textFill>
            <w14:solidFill>
              <w14:schemeClr w14:val="tx1"/>
            </w14:solidFill>
          </w14:textFill>
        </w:rPr>
      </w:pPr>
      <w:bookmarkStart w:id="0" w:name="_Toc15306267"/>
      <w:bookmarkStart w:id="1" w:name="_Toc15396597"/>
      <w:bookmarkStart w:id="2" w:name="_Toc15377425"/>
      <w:bookmarkStart w:id="3" w:name="_Toc15378441"/>
      <w:bookmarkStart w:id="4" w:name="_Toc15377193"/>
      <w:bookmarkStart w:id="5" w:name="_Toc15396475"/>
      <w:r>
        <w:rPr>
          <w:rFonts w:hint="eastAsia" w:ascii="方正小标宋简体" w:hAnsi="宋体" w:eastAsia="方正小标宋简体"/>
          <w:b w:val="0"/>
          <w:bCs w:val="0"/>
          <w:color w:val="000000" w:themeColor="text1"/>
          <w:spacing w:val="0"/>
          <w:sz w:val="72"/>
          <w:szCs w:val="72"/>
          <w:highlight w:val="none"/>
          <w:lang w:val="en-US" w:eastAsia="zh-CN"/>
          <w14:textFill>
            <w14:solidFill>
              <w14:schemeClr w14:val="tx1"/>
            </w14:solidFill>
          </w14:textFill>
        </w:rPr>
        <w:t xml:space="preserve">                                                                                                                    </w:t>
      </w:r>
    </w:p>
    <w:p>
      <w:pPr>
        <w:spacing w:line="600" w:lineRule="exact"/>
        <w:jc w:val="center"/>
        <w:outlineLvl w:val="0"/>
        <w:rPr>
          <w:rFonts w:ascii="方正小标宋简体" w:hAnsi="宋体" w:eastAsia="方正小标宋简体"/>
          <w:b w:val="0"/>
          <w:bCs w:val="0"/>
          <w:color w:val="000000" w:themeColor="text1"/>
          <w:spacing w:val="0"/>
          <w:sz w:val="72"/>
          <w:szCs w:val="72"/>
          <w:highlight w:val="none"/>
          <w14:textFill>
            <w14:solidFill>
              <w14:schemeClr w14:val="tx1"/>
            </w14:solidFill>
          </w14:textFill>
        </w:rPr>
      </w:pPr>
    </w:p>
    <w:p>
      <w:pPr>
        <w:spacing w:line="600" w:lineRule="exact"/>
        <w:jc w:val="center"/>
        <w:outlineLvl w:val="0"/>
        <w:rPr>
          <w:rFonts w:ascii="方正小标宋简体" w:hAnsi="宋体" w:eastAsia="方正小标宋简体"/>
          <w:b w:val="0"/>
          <w:bCs w:val="0"/>
          <w:color w:val="000000" w:themeColor="text1"/>
          <w:spacing w:val="0"/>
          <w:sz w:val="72"/>
          <w:szCs w:val="72"/>
          <w:highlight w:val="none"/>
          <w14:textFill>
            <w14:solidFill>
              <w14:schemeClr w14:val="tx1"/>
            </w14:solidFill>
          </w14:textFill>
        </w:rPr>
      </w:pPr>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themeColor="text1"/>
          <w:spacing w:val="0"/>
          <w:sz w:val="72"/>
          <w:szCs w:val="72"/>
          <w:highlight w:val="none"/>
          <w14:textFill>
            <w14:solidFill>
              <w14:schemeClr w14:val="tx1"/>
            </w14:solidFill>
          </w14:textFill>
        </w:rPr>
      </w:pPr>
      <w:bookmarkStart w:id="6" w:name="_Toc16865"/>
      <w:bookmarkStart w:id="7" w:name="_Toc2575"/>
      <w:r>
        <w:rPr>
          <w:rFonts w:hint="eastAsia" w:ascii="Times New Roman" w:hAnsi="Times New Roman" w:eastAsia="方正小标宋简体" w:cs="方正小标宋简体"/>
          <w:b w:val="0"/>
          <w:bCs w:val="0"/>
          <w:color w:val="000000" w:themeColor="text1"/>
          <w:spacing w:val="0"/>
          <w:sz w:val="72"/>
          <w:szCs w:val="72"/>
          <w:highlight w:val="none"/>
          <w14:textFill>
            <w14:solidFill>
              <w14:schemeClr w14:val="tx1"/>
            </w14:solidFill>
          </w14:textFill>
        </w:rPr>
        <w:t>20</w:t>
      </w:r>
      <w:r>
        <w:rPr>
          <w:rFonts w:hint="eastAsia" w:ascii="Times New Roman" w:hAnsi="Times New Roman" w:eastAsia="方正小标宋简体" w:cs="方正小标宋简体"/>
          <w:b w:val="0"/>
          <w:bCs w:val="0"/>
          <w:color w:val="000000" w:themeColor="text1"/>
          <w:spacing w:val="0"/>
          <w:sz w:val="72"/>
          <w:szCs w:val="72"/>
          <w:highlight w:val="none"/>
          <w:lang w:val="en-US" w:eastAsia="zh-CN"/>
          <w14:textFill>
            <w14:solidFill>
              <w14:schemeClr w14:val="tx1"/>
            </w14:solidFill>
          </w14:textFill>
        </w:rPr>
        <w:t>22</w:t>
      </w:r>
      <w:r>
        <w:rPr>
          <w:rFonts w:hint="eastAsia" w:ascii="方正小标宋简体" w:hAnsi="方正小标宋简体" w:eastAsia="方正小标宋简体" w:cs="方正小标宋简体"/>
          <w:b w:val="0"/>
          <w:bCs w:val="0"/>
          <w:color w:val="000000" w:themeColor="text1"/>
          <w:spacing w:val="0"/>
          <w:sz w:val="72"/>
          <w:szCs w:val="72"/>
          <w:highlight w:val="none"/>
          <w14:textFill>
            <w14:solidFill>
              <w14:schemeClr w14:val="tx1"/>
            </w14:solidFill>
          </w14:textFill>
        </w:rPr>
        <w:t>年度</w:t>
      </w:r>
      <w:bookmarkEnd w:id="0"/>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themeColor="text1"/>
          <w:spacing w:val="0"/>
          <w:sz w:val="72"/>
          <w:szCs w:val="72"/>
          <w:highlight w:val="none"/>
          <w:lang w:val="en-US" w:eastAsia="zh-CN"/>
          <w14:textFill>
            <w14:solidFill>
              <w14:schemeClr w14:val="tx1"/>
            </w14:solidFill>
          </w14:textFill>
        </w:rPr>
      </w:pPr>
      <w:bookmarkStart w:id="8" w:name="_Toc29062"/>
      <w:bookmarkStart w:id="9" w:name="_Toc4100"/>
      <w:bookmarkStart w:id="10" w:name="_Toc28556"/>
      <w:bookmarkStart w:id="11" w:name="_Toc15378442"/>
      <w:bookmarkStart w:id="12" w:name="_Toc15396476"/>
      <w:bookmarkStart w:id="13" w:name="_Toc15377194"/>
      <w:bookmarkStart w:id="14" w:name="_Toc7735"/>
      <w:bookmarkStart w:id="15" w:name="_Toc15396598"/>
      <w:bookmarkStart w:id="16" w:name="_Toc15377426"/>
      <w:r>
        <w:rPr>
          <w:rFonts w:hint="eastAsia" w:ascii="方正小标宋简体" w:hAnsi="方正小标宋简体" w:eastAsia="方正小标宋简体" w:cs="方正小标宋简体"/>
          <w:b w:val="0"/>
          <w:bCs w:val="0"/>
          <w:color w:val="000000" w:themeColor="text1"/>
          <w:spacing w:val="0"/>
          <w:sz w:val="72"/>
          <w:szCs w:val="72"/>
          <w:highlight w:val="none"/>
          <w14:textFill>
            <w14:solidFill>
              <w14:schemeClr w14:val="tx1"/>
            </w14:solidFill>
          </w14:textFill>
        </w:rPr>
        <w:t>四川省</w:t>
      </w:r>
      <w:bookmarkStart w:id="17" w:name="_Toc15306268"/>
      <w:r>
        <w:rPr>
          <w:rFonts w:hint="eastAsia" w:ascii="方正小标宋简体" w:hAnsi="方正小标宋简体" w:eastAsia="方正小标宋简体" w:cs="方正小标宋简体"/>
          <w:b w:val="0"/>
          <w:bCs w:val="0"/>
          <w:color w:val="000000" w:themeColor="text1"/>
          <w:spacing w:val="0"/>
          <w:sz w:val="72"/>
          <w:szCs w:val="72"/>
          <w:highlight w:val="none"/>
          <w:lang w:val="en-US" w:eastAsia="zh-CN"/>
          <w14:textFill>
            <w14:solidFill>
              <w14:schemeClr w14:val="tx1"/>
            </w14:solidFill>
          </w14:textFill>
        </w:rPr>
        <w:t>广元市昭化区市场</w:t>
      </w:r>
      <w:bookmarkEnd w:id="8"/>
      <w:bookmarkEnd w:id="9"/>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themeColor="text1"/>
          <w:spacing w:val="0"/>
          <w:sz w:val="72"/>
          <w:szCs w:val="72"/>
          <w:highlight w:val="none"/>
          <w14:textFill>
            <w14:solidFill>
              <w14:schemeClr w14:val="tx1"/>
            </w14:solidFill>
          </w14:textFill>
        </w:rPr>
      </w:pPr>
      <w:bookmarkStart w:id="18" w:name="_Toc2176"/>
      <w:bookmarkStart w:id="19" w:name="_Toc5898"/>
      <w:r>
        <w:rPr>
          <w:rFonts w:hint="eastAsia" w:ascii="方正小标宋简体" w:hAnsi="方正小标宋简体" w:eastAsia="方正小标宋简体" w:cs="方正小标宋简体"/>
          <w:b w:val="0"/>
          <w:bCs w:val="0"/>
          <w:color w:val="000000" w:themeColor="text1"/>
          <w:spacing w:val="0"/>
          <w:sz w:val="72"/>
          <w:szCs w:val="72"/>
          <w:highlight w:val="none"/>
          <w:lang w:val="en-US" w:eastAsia="zh-CN"/>
          <w14:textFill>
            <w14:solidFill>
              <w14:schemeClr w14:val="tx1"/>
            </w14:solidFill>
          </w14:textFill>
        </w:rPr>
        <w:t>监督管理局部门</w:t>
      </w:r>
      <w:r>
        <w:rPr>
          <w:rFonts w:hint="eastAsia" w:ascii="方正小标宋简体" w:hAnsi="方正小标宋简体" w:eastAsia="方正小标宋简体" w:cs="方正小标宋简体"/>
          <w:b w:val="0"/>
          <w:bCs w:val="0"/>
          <w:color w:val="000000" w:themeColor="text1"/>
          <w:spacing w:val="0"/>
          <w:sz w:val="72"/>
          <w:szCs w:val="72"/>
          <w:highlight w:val="none"/>
          <w14:textFill>
            <w14:solidFill>
              <w14:schemeClr w14:val="tx1"/>
            </w14:solidFill>
          </w14:textFill>
        </w:rPr>
        <w:t>决算</w:t>
      </w:r>
      <w:bookmarkEnd w:id="10"/>
      <w:bookmarkEnd w:id="11"/>
      <w:bookmarkEnd w:id="12"/>
      <w:bookmarkEnd w:id="13"/>
      <w:bookmarkEnd w:id="14"/>
      <w:bookmarkEnd w:id="15"/>
      <w:bookmarkEnd w:id="16"/>
      <w:bookmarkEnd w:id="17"/>
      <w:bookmarkEnd w:id="18"/>
      <w:bookmarkEnd w:id="19"/>
    </w:p>
    <w:p>
      <w:pPr>
        <w:adjustRightInd w:val="0"/>
        <w:snapToGrid w:val="0"/>
        <w:spacing w:line="360" w:lineRule="auto"/>
        <w:jc w:val="center"/>
        <w:outlineLvl w:val="0"/>
        <w:rPr>
          <w:rFonts w:ascii="方正小标宋简体" w:hAnsi="宋体" w:eastAsia="方正小标宋简体"/>
          <w:b w:val="0"/>
          <w:bCs w:val="0"/>
          <w:color w:val="000000" w:themeColor="text1"/>
          <w:spacing w:val="0"/>
          <w:sz w:val="52"/>
          <w:szCs w:val="52"/>
          <w:highlight w:val="none"/>
          <w14:textFill>
            <w14:solidFill>
              <w14:schemeClr w14:val="tx1"/>
            </w14:solidFill>
          </w14:textFill>
        </w:rPr>
      </w:pP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b w:val="0"/>
          <w:bCs w:val="0"/>
          <w:color w:val="000000" w:themeColor="text1"/>
          <w:spacing w:val="0"/>
          <w:sz w:val="48"/>
          <w:szCs w:val="48"/>
          <w:highlight w:val="none"/>
          <w14:textFill>
            <w14:solidFill>
              <w14:schemeClr w14:val="tx1"/>
            </w14:solidFill>
          </w14:textFill>
        </w:rPr>
      </w:pPr>
      <w:r>
        <w:br w:type="page"/>
      </w:r>
      <w:r>
        <w:rPr>
          <w:rFonts w:hint="eastAsia" w:ascii="方正小标宋简体" w:hAnsi="方正小标宋简体" w:eastAsia="方正小标宋简体" w:cs="方正小标宋简体"/>
          <w:b w:val="0"/>
          <w:bCs w:val="0"/>
          <w:color w:val="000000" w:themeColor="text1"/>
          <w:spacing w:val="0"/>
          <w:sz w:val="44"/>
          <w:szCs w:val="44"/>
          <w:highlight w:val="none"/>
          <w14:textFill>
            <w14:solidFill>
              <w14:schemeClr w14:val="tx1"/>
            </w14:solidFill>
          </w14:textFill>
        </w:rPr>
        <w:t>目</w:t>
      </w:r>
      <w:r>
        <w:rPr>
          <w:rFonts w:hint="eastAsia" w:ascii="方正小标宋简体" w:hAnsi="方正小标宋简体" w:eastAsia="方正小标宋简体" w:cs="方正小标宋简体"/>
          <w:b w:val="0"/>
          <w:bCs w:val="0"/>
          <w:color w:val="000000" w:themeColor="text1"/>
          <w:spacing w:val="0"/>
          <w:sz w:val="44"/>
          <w:szCs w:val="44"/>
          <w:highlight w:val="none"/>
          <w:lang w:eastAsia="zh-CN"/>
          <w14:textFill>
            <w14:solidFill>
              <w14:schemeClr w14:val="tx1"/>
            </w14:solidFill>
          </w14:textFill>
        </w:rPr>
        <w:t>　　</w:t>
      </w:r>
      <w:r>
        <w:rPr>
          <w:rFonts w:hint="eastAsia" w:ascii="方正小标宋简体" w:hAnsi="方正小标宋简体" w:eastAsia="方正小标宋简体" w:cs="方正小标宋简体"/>
          <w:b w:val="0"/>
          <w:bCs w:val="0"/>
          <w:color w:val="000000" w:themeColor="text1"/>
          <w:spacing w:val="0"/>
          <w:sz w:val="44"/>
          <w:szCs w:val="44"/>
          <w:highlight w:val="none"/>
          <w14:textFill>
            <w14:solidFill>
              <w14:schemeClr w14:val="tx1"/>
            </w14:solidFill>
          </w14:textFill>
        </w:rPr>
        <w:t>录</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cstheme="minorBidi"/>
          <w:b w:val="0"/>
          <w:bCs w:val="0"/>
          <w:color w:val="000000" w:themeColor="text1"/>
          <w:spacing w:val="0"/>
          <w:sz w:val="28"/>
          <w:szCs w:val="28"/>
          <w:highlight w:val="none"/>
          <w14:textFill>
            <w14:solidFill>
              <w14:schemeClr w14:val="tx1"/>
            </w14:solidFill>
          </w14:textFill>
        </w:rPr>
      </w:pPr>
    </w:p>
    <w:p>
      <w:pPr>
        <w:pStyle w:val="14"/>
        <w:keepNext w:val="0"/>
        <w:keepLines w:val="0"/>
        <w:pageBreakBefore w:val="0"/>
        <w:kinsoku/>
        <w:wordWrap/>
        <w:overflowPunct/>
        <w:topLinePunct w:val="0"/>
        <w:autoSpaceDE/>
        <w:autoSpaceDN/>
        <w:bidi w:val="0"/>
        <w:spacing w:before="0" w:line="576" w:lineRule="exact"/>
        <w:textAlignment w:val="auto"/>
        <w:rPr>
          <w:rFonts w:eastAsia="仿宋_GB2312"/>
          <w:b w:val="0"/>
          <w:bCs w:val="0"/>
          <w:color w:val="000000" w:themeColor="text1"/>
          <w:spacing w:val="0"/>
          <w:highlight w:val="none"/>
          <w14:textFill>
            <w14:solidFill>
              <w14:schemeClr w14:val="tx1"/>
            </w14:solidFill>
          </w14:textFill>
        </w:rPr>
      </w:pPr>
      <w:r>
        <w:rPr>
          <w:rFonts w:hint="eastAsia" w:eastAsia="仿宋_GB2312"/>
          <w:b w:val="0"/>
          <w:bCs w:val="0"/>
          <w:color w:val="000000" w:themeColor="text1"/>
          <w:spacing w:val="0"/>
          <w:highlight w:val="none"/>
          <w14:textFill>
            <w14:solidFill>
              <w14:schemeClr w14:val="tx1"/>
            </w14:solidFill>
          </w14:textFill>
        </w:rPr>
        <w:t>公开时间：</w:t>
      </w:r>
      <w:r>
        <w:rPr>
          <w:rFonts w:hint="eastAsia" w:ascii="Times New Roman" w:hAnsi="Times New Roman" w:eastAsia="仿宋_GB2312"/>
          <w:b w:val="0"/>
          <w:bCs w:val="0"/>
          <w:color w:val="000000" w:themeColor="text1"/>
          <w:spacing w:val="0"/>
          <w:highlight w:val="none"/>
          <w14:textFill>
            <w14:solidFill>
              <w14:schemeClr w14:val="tx1"/>
            </w14:solidFill>
          </w14:textFill>
        </w:rPr>
        <w:t>20</w:t>
      </w:r>
      <w:r>
        <w:rPr>
          <w:rFonts w:hint="eastAsia" w:ascii="Times New Roman" w:hAnsi="Times New Roman" w:eastAsia="仿宋_GB2312"/>
          <w:b w:val="0"/>
          <w:bCs w:val="0"/>
          <w:color w:val="000000" w:themeColor="text1"/>
          <w:spacing w:val="0"/>
          <w:highlight w:val="none"/>
          <w:lang w:val="en-US" w:eastAsia="zh-CN"/>
          <w14:textFill>
            <w14:solidFill>
              <w14:schemeClr w14:val="tx1"/>
            </w14:solidFill>
          </w14:textFill>
        </w:rPr>
        <w:t>23</w:t>
      </w:r>
      <w:r>
        <w:rPr>
          <w:rFonts w:hint="eastAsia" w:eastAsia="仿宋_GB2312"/>
          <w:b w:val="0"/>
          <w:bCs w:val="0"/>
          <w:color w:val="000000" w:themeColor="text1"/>
          <w:spacing w:val="0"/>
          <w:highlight w:val="none"/>
          <w14:textFill>
            <w14:solidFill>
              <w14:schemeClr w14:val="tx1"/>
            </w14:solidFill>
          </w14:textFill>
        </w:rPr>
        <w:t>年</w:t>
      </w:r>
      <w:r>
        <w:rPr>
          <w:rFonts w:hint="eastAsia" w:ascii="Times New Roman" w:hAnsi="Times New Roman" w:eastAsia="仿宋_GB2312"/>
          <w:b w:val="0"/>
          <w:bCs w:val="0"/>
          <w:color w:val="000000" w:themeColor="text1"/>
          <w:spacing w:val="0"/>
          <w:highlight w:val="none"/>
          <w:lang w:val="en-US" w:eastAsia="zh-CN"/>
          <w14:textFill>
            <w14:solidFill>
              <w14:schemeClr w14:val="tx1"/>
            </w14:solidFill>
          </w14:textFill>
        </w:rPr>
        <w:t>9</w:t>
      </w:r>
      <w:r>
        <w:rPr>
          <w:rFonts w:hint="eastAsia" w:eastAsia="仿宋_GB2312"/>
          <w:b w:val="0"/>
          <w:bCs w:val="0"/>
          <w:color w:val="000000" w:themeColor="text1"/>
          <w:spacing w:val="0"/>
          <w:highlight w:val="none"/>
          <w14:textFill>
            <w14:solidFill>
              <w14:schemeClr w14:val="tx1"/>
            </w14:solidFill>
          </w14:textFill>
        </w:rPr>
        <w:t>月</w:t>
      </w:r>
      <w:r>
        <w:rPr>
          <w:rFonts w:hint="eastAsia" w:ascii="Times New Roman" w:hAnsi="Times New Roman" w:eastAsia="仿宋_GB2312"/>
          <w:b w:val="0"/>
          <w:bCs w:val="0"/>
          <w:color w:val="000000" w:themeColor="text1"/>
          <w:spacing w:val="0"/>
          <w:highlight w:val="none"/>
          <w:lang w:val="en-US" w:eastAsia="zh-CN"/>
          <w14:textFill>
            <w14:solidFill>
              <w14:schemeClr w14:val="tx1"/>
            </w14:solidFill>
          </w14:textFill>
        </w:rPr>
        <w:t>28</w:t>
      </w:r>
      <w:r>
        <w:rPr>
          <w:rFonts w:hint="eastAsia" w:eastAsia="仿宋_GB2312"/>
          <w:b w:val="0"/>
          <w:bCs w:val="0"/>
          <w:color w:val="000000" w:themeColor="text1"/>
          <w:spacing w:val="0"/>
          <w:highlight w:val="none"/>
          <w14:textFill>
            <w14:solidFill>
              <w14:schemeClr w14:val="tx1"/>
            </w14:solidFill>
          </w14:textFill>
        </w:rPr>
        <w:t>日</w:t>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TOC \o "1-2" \h \u</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fldChar w:fldCharType="begin"/>
      </w:r>
      <w:r>
        <w:instrText xml:space="preserve"> HYPERLINK \l "_Toc11781"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第一部分 部门概况</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_Toc11781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"_Toc10634"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一、 部门职责</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_Toc10634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"_Toc12399"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二、 机构设置</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_Toc12399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"_Toc13906"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第二部分 2022年度部门决算情况说明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_Toc13906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"_Toc36"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一、收入支出决算总体情况说明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_Toc36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"_Toc20136"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二、收入决算情况说明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_Toc20136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"_Toc25569"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三、支出决算情况说明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_Toc25569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"_Toc21466"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四、财政拨款收入支出决算总体情况说明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_Toc21466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"_Toc7984"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五、一般公共预算财政拨款支出决算情况说明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_Toc7984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"_Toc11482"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六、一般公共预算财政拨款基本支出决算情况说明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_Toc11482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8</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"_Toc12427"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七、财政拨款“三公”经费支出决算情况说明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_Toc12427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9</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"_Toc27742"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八、政府性基金预算支出决算情况说明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_Toc27742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"_Toc15719"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九、 国有资本经营预算支出决算情况说明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_Toc15719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"_Toc28981"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十、 其他重要事项的情况说明</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_Toc28981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"_Toc960"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第三部分 名词解释</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_Toc960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13</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"_Toc6703"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第四部分 附件</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_Toc6703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15</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"_Toc11377"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第五部分 附表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_Toc11377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"_Toc6708"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一、收入支出决算总表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_Toc6708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"_Toc1096"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二、收入决算表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_Toc1096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"_Toc3172"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三、支出决算表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_Toc3172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"_Toc16312"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四、财政拨款收入支出决算总表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_Toc16312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"_Toc9906"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五、财政拨款支出决算明细表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_Toc9906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"_Toc782"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六、一般公共预算财政拨款支出决算表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_Toc782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"_Toc15757"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七、一般公共预算财政拨款支出决算明细表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_Toc15757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"_Toc21771"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八、一般公共预算财政拨款基本支出决算表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_Toc21771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"_Toc22673"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九、一般公共预算财政拨款项目支出决算表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_Toc22673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"_Toc21296"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十、政府性基金预算财政拨款收入支出决算表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_Toc21296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"_Toc27178"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十一、国有资本经营预算财政拨款收入支出决算表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_Toc27178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"_Toc3430"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十二、国有资本经营预算财政拨款支出决算表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_Toc3430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42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fldChar w:fldCharType="begin"/>
      </w:r>
      <w:r>
        <w:instrText xml:space="preserve"> HYPERLINK \l "_Toc13607" </w:instrText>
      </w:r>
      <w: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十三、财政拨款“三公”经费支出决算表</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ab/>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begin"/>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instrText xml:space="preserve"> PAGEREF _Toc13607 \h </w:instrTex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separate"/>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fldChar w:fldCharType="end"/>
      </w:r>
    </w:p>
    <w:p>
      <w:pPr>
        <w:pStyle w:val="3"/>
        <w:bidi w:val="0"/>
        <w:jc w:val="center"/>
        <w:rPr>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sectPr>
          <w:footerReference r:id="rId5" w:type="first"/>
          <w:headerReference r:id="rId3" w:type="default"/>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bookmarkStart w:id="20" w:name="_Toc15377196"/>
      <w:bookmarkStart w:id="21" w:name="_Toc15396599"/>
      <w:bookmarkStart w:id="22" w:name="_Toc11781"/>
    </w:p>
    <w:p>
      <w:pPr>
        <w:pStyle w:val="3"/>
        <w:bidi w:val="0"/>
        <w:jc w:val="center"/>
        <w:rPr>
          <w:rStyle w:val="33"/>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t xml:space="preserve">第一部分 </w:t>
      </w:r>
      <w:r>
        <w:rPr>
          <w:rStyle w:val="33"/>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t>部门概况</w:t>
      </w:r>
      <w:bookmarkEnd w:id="20"/>
      <w:bookmarkEnd w:id="21"/>
      <w:bookmarkEnd w:id="22"/>
    </w:p>
    <w:p>
      <w:pPr>
        <w:keepNext w:val="0"/>
        <w:keepLines w:val="0"/>
        <w:pageBreakBefore w:val="0"/>
        <w:widowControl w:val="0"/>
        <w:kinsoku/>
        <w:wordWrap/>
        <w:overflowPunct w:val="0"/>
        <w:topLinePunct w:val="0"/>
        <w:autoSpaceDE/>
        <w:autoSpaceDN/>
        <w:bidi w:val="0"/>
        <w:adjustRightInd/>
        <w:spacing w:line="576" w:lineRule="exact"/>
        <w:jc w:val="left"/>
        <w:textAlignment w:val="auto"/>
        <w:rPr>
          <w:rFonts w:ascii="黑体" w:eastAsia="黑体"/>
          <w:b w:val="0"/>
          <w:bCs w:val="0"/>
          <w:color w:val="000000" w:themeColor="text1"/>
          <w:spacing w:val="0"/>
          <w:sz w:val="32"/>
          <w:szCs w:val="32"/>
          <w:highlight w:val="none"/>
          <w14:textFill>
            <w14:solidFill>
              <w14:schemeClr w14:val="tx1"/>
            </w14:solidFill>
          </w14:textFill>
        </w:rPr>
      </w:pPr>
    </w:p>
    <w:p>
      <w:pPr>
        <w:pStyle w:val="4"/>
        <w:keepNext w:val="0"/>
        <w:keepLines w:val="0"/>
        <w:pageBreakBefore w:val="0"/>
        <w:widowControl w:val="0"/>
        <w:numPr>
          <w:ilvl w:val="0"/>
          <w:numId w:val="1"/>
        </w:numPr>
        <w:kinsoku/>
        <w:wordWrap/>
        <w:overflowPunct w:val="0"/>
        <w:topLinePunct w:val="0"/>
        <w:autoSpaceDE/>
        <w:autoSpaceDN/>
        <w:bidi w:val="0"/>
        <w:adjustRightInd/>
        <w:spacing w:before="0" w:after="0" w:line="576" w:lineRule="exact"/>
        <w:textAlignment w:val="auto"/>
        <w:rPr>
          <w:rFonts w:hint="eastAsia" w:ascii="黑体" w:hAnsi="黑体" w:eastAsia="黑体"/>
          <w:b w:val="0"/>
          <w:bCs w:val="0"/>
          <w:color w:val="000000" w:themeColor="text1"/>
          <w:spacing w:val="0"/>
          <w:highlight w:val="none"/>
          <w:lang w:eastAsia="zh-CN"/>
          <w14:textFill>
            <w14:solidFill>
              <w14:schemeClr w14:val="tx1"/>
            </w14:solidFill>
          </w14:textFill>
        </w:rPr>
      </w:pPr>
      <w:bookmarkStart w:id="23" w:name="_Toc10634"/>
      <w:r>
        <w:rPr>
          <w:rFonts w:hint="eastAsia" w:ascii="黑体" w:hAnsi="黑体" w:eastAsia="黑体"/>
          <w:b w:val="0"/>
          <w:bCs w:val="0"/>
          <w:color w:val="000000" w:themeColor="text1"/>
          <w:spacing w:val="0"/>
          <w:highlight w:val="none"/>
          <w:lang w:eastAsia="zh-CN"/>
          <w14:textFill>
            <w14:solidFill>
              <w14:schemeClr w14:val="tx1"/>
            </w14:solidFill>
          </w14:textFill>
        </w:rPr>
        <w:t>部门职责</w:t>
      </w:r>
      <w:bookmarkEnd w:id="23"/>
    </w:p>
    <w:p>
      <w:pPr>
        <w:keepNext w:val="0"/>
        <w:keepLines w:val="0"/>
        <w:pageBreakBefore w:val="0"/>
        <w:widowControl w:val="0"/>
        <w:numPr>
          <w:ilvl w:val="0"/>
          <w:numId w:val="0"/>
        </w:numPr>
        <w:kinsoku/>
        <w:wordWrap/>
        <w:overflowPunct w:val="0"/>
        <w:topLinePunct w:val="0"/>
        <w:autoSpaceDE/>
        <w:autoSpaceDN/>
        <w:bidi w:val="0"/>
        <w:adjustRightInd/>
        <w:snapToGrid w:val="0"/>
        <w:spacing w:line="576" w:lineRule="exact"/>
        <w:ind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lang w:eastAsia="zh-CN"/>
          <w14:textFill>
            <w14:solidFill>
              <w14:schemeClr w14:val="tx1"/>
            </w14:solidFill>
          </w14:textFill>
        </w:rPr>
        <w:t>区市场监管局贯彻落实党中央关于市场监督管理工作的方针政策和省委、市委、区委的决策部署，在履行职责过程中加强对市场监督管理工作的集中统一领导</w:t>
      </w:r>
      <w:r>
        <w:rPr>
          <w:rFonts w:hint="default" w:ascii="Times New Roman" w:hAnsi="Times New Roman" w:eastAsia="仿宋_GB2312" w:cs="Times New Roman"/>
          <w:b w:val="0"/>
          <w:bCs w:val="0"/>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14:textFill>
            <w14:solidFill>
              <w14:schemeClr w14:val="tx1"/>
            </w14:solidFill>
          </w14:textFill>
        </w:rPr>
        <w:t>其主要职能有：</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负责全区市场综合监督管理工作</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负责全区市场主体统一登记注册</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负责组织和指导全区市场监管综合执法工作</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负责全区反垄断统一执法</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；5.</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负责监督管理全区市场秩序</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；6.</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负责全区宏观质量管理</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；7.</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w:t>
      </w:r>
      <w:r>
        <w:rPr>
          <w:rFonts w:hint="eastAsia" w:eastAsia="仿宋_GB2312" w:cs="Times New Roman"/>
          <w:b w:val="0"/>
          <w:bCs w:val="0"/>
          <w:color w:val="000000" w:themeColor="text1"/>
          <w:spacing w:val="0"/>
          <w:sz w:val="32"/>
          <w:szCs w:val="32"/>
          <w:lang w:eastAsia="zh-CN"/>
          <w14:textFill>
            <w14:solidFill>
              <w14:schemeClr w14:val="tx1"/>
            </w14:solidFill>
          </w14:textFill>
        </w:rPr>
        <w:t>产品</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质量安全监督管理</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负责全区特种设备安全监督管理</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；9.</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负责全区食品安全监督管理综合协调；</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负责全区食品安全监督管理；</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负责统一管理全区计量工作；12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负责统一管理全区标准化工作；13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负责统一管理全区检验检测工作；14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负责统一管理全区认证认可工作；15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负责市场监督管理科技和信息化建设；16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负责全区药品、医疗器械和化妆品安全监督管理；17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负责全区知识产权战略和规划的制定，负责知识产权的保护，负责组织指导商标、专利执法工作；18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贯彻落实中央、省委、市委和区委关于加强民营经济党组织建设有关要求</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负责职责范围内的安全生产和职业健康、生态环境保护、审批服务便民等工作；20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完成区委区政府交办的其他任务。</w:t>
      </w:r>
    </w:p>
    <w:p>
      <w:pPr>
        <w:pStyle w:val="4"/>
        <w:keepNext w:val="0"/>
        <w:keepLines w:val="0"/>
        <w:pageBreakBefore w:val="0"/>
        <w:widowControl w:val="0"/>
        <w:numPr>
          <w:ilvl w:val="0"/>
          <w:numId w:val="1"/>
        </w:numPr>
        <w:kinsoku/>
        <w:wordWrap/>
        <w:overflowPunct w:val="0"/>
        <w:topLinePunct w:val="0"/>
        <w:autoSpaceDE/>
        <w:autoSpaceDN/>
        <w:bidi w:val="0"/>
        <w:adjustRightInd/>
        <w:spacing w:before="0" w:after="0" w:line="576" w:lineRule="exact"/>
        <w:textAlignment w:val="auto"/>
        <w:rPr>
          <w:rFonts w:hint="eastAsia" w:ascii="黑体" w:hAnsi="黑体" w:eastAsia="黑体"/>
          <w:b w:val="0"/>
          <w:bCs w:val="0"/>
          <w:color w:val="000000" w:themeColor="text1"/>
          <w:spacing w:val="0"/>
          <w:highlight w:val="none"/>
          <w:lang w:eastAsia="zh-CN"/>
          <w14:textFill>
            <w14:solidFill>
              <w14:schemeClr w14:val="tx1"/>
            </w14:solidFill>
          </w14:textFill>
        </w:rPr>
      </w:pPr>
      <w:bookmarkStart w:id="24" w:name="_Toc15396601"/>
      <w:bookmarkStart w:id="25" w:name="_Toc12399"/>
      <w:bookmarkStart w:id="26" w:name="_Toc15377200"/>
      <w:r>
        <w:rPr>
          <w:rFonts w:hint="eastAsia" w:ascii="黑体" w:hAnsi="黑体" w:eastAsia="黑体"/>
          <w:b w:val="0"/>
          <w:bCs w:val="0"/>
          <w:color w:val="000000" w:themeColor="text1"/>
          <w:spacing w:val="0"/>
          <w:highlight w:val="none"/>
          <w:lang w:eastAsia="zh-CN"/>
          <w14:textFill>
            <w14:solidFill>
              <w14:schemeClr w14:val="tx1"/>
            </w14:solidFill>
          </w14:textFill>
        </w:rPr>
        <w:t>机构设置</w:t>
      </w:r>
      <w:bookmarkEnd w:id="24"/>
      <w:bookmarkEnd w:id="25"/>
      <w:bookmarkEnd w:id="26"/>
    </w:p>
    <w:p>
      <w:pPr>
        <w:pStyle w:val="30"/>
        <w:keepNext w:val="0"/>
        <w:keepLines w:val="0"/>
        <w:pageBreakBefore w:val="0"/>
        <w:widowControl w:val="0"/>
        <w:kinsoku/>
        <w:wordWrap/>
        <w:overflowPunct w:val="0"/>
        <w:topLinePunct w:val="0"/>
        <w:bidi w:val="0"/>
        <w:spacing w:line="576" w:lineRule="exact"/>
        <w:ind w:firstLine="640" w:firstLineChars="200"/>
        <w:jc w:val="both"/>
        <w:textAlignment w:val="auto"/>
        <w:outlineLvl w:val="9"/>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下属二级单位</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5</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个，其中行政单位1个，参照公务员法管理的事业单位1个，公益一类事业单位3个。</w:t>
      </w:r>
    </w:p>
    <w:p>
      <w:pPr>
        <w:pStyle w:val="30"/>
        <w:keepNext w:val="0"/>
        <w:keepLines w:val="0"/>
        <w:pageBreakBefore w:val="0"/>
        <w:widowControl w:val="0"/>
        <w:kinsoku/>
        <w:wordWrap/>
        <w:overflowPunct w:val="0"/>
        <w:topLinePunct w:val="0"/>
        <w:bidi w:val="0"/>
        <w:spacing w:line="576" w:lineRule="exact"/>
        <w:ind w:firstLine="640" w:firstLineChars="200"/>
        <w:jc w:val="both"/>
        <w:textAlignment w:val="auto"/>
        <w:outlineLvl w:val="9"/>
        <w:rPr>
          <w:rFonts w:hint="default" w:ascii="Times New Roman" w:hAnsi="Times New Roman" w:eastAsia="黑体" w:cs="Times New Roman"/>
          <w:b w:val="0"/>
          <w:bCs w:val="0"/>
          <w:color w:val="000000" w:themeColor="text1"/>
          <w:spacing w:val="0"/>
          <w:highlight w:val="none"/>
          <w14:textFill>
            <w14:solidFill>
              <w14:schemeClr w14:val="tx1"/>
            </w14:solidFill>
          </w14:textFill>
        </w:rPr>
      </w:pP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纳入</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区市场监督管理局</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202</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2</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年度部门决算编制范围的二级预算单位包括：</w:t>
      </w:r>
    </w:p>
    <w:p>
      <w:pPr>
        <w:pStyle w:val="2"/>
        <w:keepNext w:val="0"/>
        <w:keepLines w:val="0"/>
        <w:pageBreakBefore w:val="0"/>
        <w:widowControl w:val="0"/>
        <w:numPr>
          <w:ilvl w:val="0"/>
          <w:numId w:val="2"/>
        </w:numPr>
        <w:kinsoku/>
        <w:wordWrap/>
        <w:overflowPunct w:val="0"/>
        <w:topLinePunct w:val="0"/>
        <w:bidi w:val="0"/>
        <w:adjustRightInd w:val="0"/>
        <w:snapToGrid w:val="0"/>
        <w:spacing w:beforeLines="0" w:line="576" w:lineRule="exact"/>
        <w:textAlignment w:val="auto"/>
        <w:outlineLvl w:val="2"/>
        <w:rPr>
          <w:rFonts w:ascii="仿宋" w:hAnsi="仿宋" w:eastAsia="仿宋_GB2312"/>
          <w:b w:val="0"/>
          <w:bCs w:val="0"/>
          <w:color w:val="000000" w:themeColor="text1"/>
          <w:spacing w:val="0"/>
          <w:sz w:val="32"/>
          <w:szCs w:val="32"/>
          <w:highlight w:val="none"/>
          <w14:textFill>
            <w14:solidFill>
              <w14:schemeClr w14:val="tx1"/>
            </w14:solidFill>
          </w14:textFill>
        </w:rPr>
      </w:pPr>
      <w:bookmarkStart w:id="27" w:name="_Toc15306276"/>
      <w:bookmarkStart w:id="28" w:name="_Toc15377433"/>
      <w:bookmarkStart w:id="29" w:name="_Toc15377202"/>
      <w:bookmarkStart w:id="30" w:name="_Toc15378449"/>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机关</w:t>
      </w:r>
      <w:bookmarkEnd w:id="27"/>
      <w:bookmarkEnd w:id="28"/>
      <w:bookmarkEnd w:id="29"/>
      <w:bookmarkEnd w:id="30"/>
      <w:bookmarkStart w:id="31" w:name="_Toc15377203"/>
      <w:bookmarkEnd w:id="31"/>
      <w:bookmarkStart w:id="32" w:name="_Toc15306277"/>
      <w:bookmarkEnd w:id="32"/>
      <w:bookmarkStart w:id="33" w:name="_Toc15378450"/>
      <w:bookmarkEnd w:id="33"/>
      <w:bookmarkStart w:id="34" w:name="_Toc15377434"/>
      <w:bookmarkEnd w:id="34"/>
    </w:p>
    <w:p>
      <w:pPr>
        <w:pStyle w:val="2"/>
        <w:keepNext w:val="0"/>
        <w:keepLines w:val="0"/>
        <w:pageBreakBefore w:val="0"/>
        <w:widowControl w:val="0"/>
        <w:numPr>
          <w:ilvl w:val="0"/>
          <w:numId w:val="3"/>
        </w:numPr>
        <w:kinsoku/>
        <w:wordWrap/>
        <w:overflowPunct w:val="0"/>
        <w:topLinePunct w:val="0"/>
        <w:bidi w:val="0"/>
        <w:adjustRightInd w:val="0"/>
        <w:snapToGrid w:val="0"/>
        <w:spacing w:beforeLines="0" w:line="576" w:lineRule="exact"/>
        <w:ind w:firstLine="640" w:firstLineChars="200"/>
        <w:textAlignment w:val="auto"/>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市场监督管理局综合行政执法大队</w:t>
      </w:r>
    </w:p>
    <w:p>
      <w:pPr>
        <w:pStyle w:val="2"/>
        <w:keepNext w:val="0"/>
        <w:keepLines w:val="0"/>
        <w:pageBreakBefore w:val="0"/>
        <w:widowControl w:val="0"/>
        <w:numPr>
          <w:ilvl w:val="0"/>
          <w:numId w:val="3"/>
        </w:numPr>
        <w:kinsoku/>
        <w:wordWrap/>
        <w:overflowPunct w:val="0"/>
        <w:topLinePunct w:val="0"/>
        <w:bidi w:val="0"/>
        <w:adjustRightInd w:val="0"/>
        <w:snapToGrid w:val="0"/>
        <w:spacing w:beforeLines="0" w:line="576" w:lineRule="exact"/>
        <w:ind w:firstLine="640" w:firstLineChars="200"/>
        <w:textAlignment w:val="auto"/>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广元市昭化区市场监督事务中心</w:t>
      </w:r>
    </w:p>
    <w:p>
      <w:pPr>
        <w:pStyle w:val="2"/>
        <w:keepNext w:val="0"/>
        <w:keepLines w:val="0"/>
        <w:pageBreakBefore w:val="0"/>
        <w:widowControl w:val="0"/>
        <w:numPr>
          <w:ilvl w:val="0"/>
          <w:numId w:val="3"/>
        </w:numPr>
        <w:kinsoku/>
        <w:wordWrap/>
        <w:overflowPunct w:val="0"/>
        <w:topLinePunct w:val="0"/>
        <w:bidi w:val="0"/>
        <w:adjustRightInd w:val="0"/>
        <w:snapToGrid w:val="0"/>
        <w:spacing w:beforeLines="0" w:line="576" w:lineRule="exact"/>
        <w:ind w:firstLine="640" w:firstLineChars="200"/>
        <w:textAlignment w:val="auto"/>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广元市昭化区消费者权益服务中心</w:t>
      </w:r>
    </w:p>
    <w:p>
      <w:pPr>
        <w:pStyle w:val="2"/>
        <w:keepNext w:val="0"/>
        <w:keepLines w:val="0"/>
        <w:pageBreakBefore w:val="0"/>
        <w:widowControl w:val="0"/>
        <w:numPr>
          <w:ilvl w:val="0"/>
          <w:numId w:val="3"/>
        </w:numPr>
        <w:kinsoku/>
        <w:wordWrap/>
        <w:overflowPunct w:val="0"/>
        <w:topLinePunct w:val="0"/>
        <w:bidi w:val="0"/>
        <w:adjustRightInd w:val="0"/>
        <w:snapToGrid w:val="0"/>
        <w:spacing w:beforeLines="0" w:line="576" w:lineRule="exact"/>
        <w:ind w:firstLine="640" w:firstLineChars="200"/>
        <w:textAlignment w:val="auto"/>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pP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广元市昭化区市场监督信息中心</w:t>
      </w:r>
    </w:p>
    <w:p>
      <w:pPr>
        <w:widowControl/>
        <w:jc w:val="left"/>
        <w:rPr>
          <w:rFonts w:ascii="仿宋" w:hAnsi="仿宋" w:eastAsia="仿宋_GB2312"/>
          <w:b w:val="0"/>
          <w:bCs w:val="0"/>
          <w:color w:val="000000" w:themeColor="text1"/>
          <w:spacing w:val="0"/>
          <w:kern w:val="0"/>
          <w:sz w:val="32"/>
          <w:szCs w:val="32"/>
          <w:highlight w:val="none"/>
          <w14:textFill>
            <w14:solidFill>
              <w14:schemeClr w14:val="tx1"/>
            </w14:solidFill>
          </w14:textFill>
        </w:rPr>
      </w:pPr>
      <w:r>
        <w:br w:type="page"/>
      </w:r>
    </w:p>
    <w:p>
      <w:pPr>
        <w:pStyle w:val="3"/>
        <w:bidi w:val="0"/>
        <w:jc w:val="center"/>
        <w:rPr>
          <w:rStyle w:val="33"/>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pPr>
      <w:bookmarkStart w:id="35" w:name="_Toc13906"/>
      <w:bookmarkStart w:id="36" w:name="_Toc15396602"/>
      <w:bookmarkStart w:id="37" w:name="_Toc15377204"/>
      <w:r>
        <w:rPr>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t xml:space="preserve">第二部分 </w:t>
      </w:r>
      <w:r>
        <w:rPr>
          <w:rFonts w:hint="eastAsia" w:ascii="Times New Roman" w:hAnsi="Times New Roman" w:eastAsia="方正小标宋简体" w:cs="方正小标宋简体"/>
          <w:b w:val="0"/>
          <w:bCs w:val="0"/>
          <w:color w:val="000000" w:themeColor="text1"/>
          <w:spacing w:val="0"/>
          <w:highlight w:val="none"/>
          <w:lang w:val="en-US" w:eastAsia="zh-CN"/>
          <w14:textFill>
            <w14:solidFill>
              <w14:schemeClr w14:val="tx1"/>
            </w14:solidFill>
          </w14:textFill>
        </w:rPr>
        <w:t>2022</w:t>
      </w:r>
      <w:r>
        <w:rPr>
          <w:rFonts w:hint="eastAsia" w:ascii="方正小标宋简体" w:hAnsi="方正小标宋简体" w:eastAsia="方正小标宋简体" w:cs="方正小标宋简体"/>
          <w:b w:val="0"/>
          <w:bCs w:val="0"/>
          <w:color w:val="000000" w:themeColor="text1"/>
          <w:spacing w:val="0"/>
          <w:highlight w:val="none"/>
          <w:lang w:val="en-US" w:eastAsia="zh-CN"/>
          <w14:textFill>
            <w14:solidFill>
              <w14:schemeClr w14:val="tx1"/>
            </w14:solidFill>
          </w14:textFill>
        </w:rPr>
        <w:t>年度</w:t>
      </w:r>
      <w:r>
        <w:rPr>
          <w:rStyle w:val="33"/>
          <w:rFonts w:hint="eastAsia" w:ascii="方正小标宋简体" w:hAnsi="方正小标宋简体" w:eastAsia="方正小标宋简体" w:cs="方正小标宋简体"/>
          <w:b w:val="0"/>
          <w:bCs w:val="0"/>
          <w:color w:val="000000" w:themeColor="text1"/>
          <w:spacing w:val="0"/>
          <w:highlight w:val="none"/>
          <w14:textFill>
            <w14:solidFill>
              <w14:schemeClr w14:val="tx1"/>
            </w14:solidFill>
          </w14:textFill>
        </w:rPr>
        <w:t>部门决算情况说明</w:t>
      </w:r>
      <w:bookmarkEnd w:id="35"/>
      <w:bookmarkEnd w:id="36"/>
      <w:bookmarkEnd w:id="37"/>
    </w:p>
    <w:p>
      <w:pPr>
        <w:keepNext w:val="0"/>
        <w:keepLines w:val="0"/>
        <w:pageBreakBefore w:val="0"/>
        <w:widowControl w:val="0"/>
        <w:kinsoku/>
        <w:wordWrap/>
        <w:overflowPunct w:val="0"/>
        <w:topLinePunct w:val="0"/>
        <w:autoSpaceDE/>
        <w:autoSpaceDN/>
        <w:bidi w:val="0"/>
        <w:adjustRightInd/>
        <w:snapToGrid/>
        <w:spacing w:line="576" w:lineRule="exact"/>
        <w:textAlignment w:val="auto"/>
        <w:rPr>
          <w:b w:val="0"/>
          <w:bCs w:val="0"/>
          <w:color w:val="000000" w:themeColor="text1"/>
          <w:spacing w:val="0"/>
          <w:highlight w:val="none"/>
          <w14:textFill>
            <w14:solidFill>
              <w14:schemeClr w14:val="tx1"/>
            </w14:solidFill>
          </w14:textFill>
        </w:rPr>
      </w:pPr>
    </w:p>
    <w:p>
      <w:pPr>
        <w:pStyle w:val="3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firstLine="640" w:firstLineChars="200"/>
        <w:textAlignment w:val="auto"/>
        <w:outlineLvl w:val="1"/>
        <w:rPr>
          <w:rStyle w:val="34"/>
          <w:rFonts w:ascii="黑体" w:hAnsi="黑体" w:eastAsia="黑体"/>
          <w:b w:val="0"/>
          <w:bCs w:val="0"/>
          <w:color w:val="000000" w:themeColor="text1"/>
          <w:spacing w:val="0"/>
          <w:highlight w:val="none"/>
          <w14:textFill>
            <w14:solidFill>
              <w14:schemeClr w14:val="tx1"/>
            </w14:solidFill>
          </w14:textFill>
        </w:rPr>
      </w:pPr>
      <w:bookmarkStart w:id="38" w:name="_Toc15377205"/>
      <w:bookmarkStart w:id="39" w:name="_Toc15396603"/>
      <w:bookmarkStart w:id="40" w:name="_Toc36"/>
      <w:r>
        <w:rPr>
          <w:rFonts w:hint="eastAsia" w:ascii="黑体" w:hAnsi="黑体" w:eastAsia="黑体"/>
          <w:b w:val="0"/>
          <w:bCs w:val="0"/>
          <w:color w:val="000000" w:themeColor="text1"/>
          <w:spacing w:val="0"/>
          <w:sz w:val="32"/>
          <w:szCs w:val="32"/>
          <w:highlight w:val="none"/>
          <w:lang w:eastAsia="zh-CN"/>
          <w14:textFill>
            <w14:solidFill>
              <w14:schemeClr w14:val="tx1"/>
            </w14:solidFill>
          </w14:textFill>
        </w:rPr>
        <w:t>一、</w:t>
      </w:r>
      <w:r>
        <w:rPr>
          <w:rFonts w:hint="eastAsia" w:ascii="黑体" w:hAnsi="黑体" w:eastAsia="黑体"/>
          <w:b w:val="0"/>
          <w:bCs w:val="0"/>
          <w:color w:val="000000" w:themeColor="text1"/>
          <w:spacing w:val="0"/>
          <w:sz w:val="32"/>
          <w:szCs w:val="32"/>
          <w:highlight w:val="none"/>
          <w14:textFill>
            <w14:solidFill>
              <w14:schemeClr w14:val="tx1"/>
            </w14:solidFill>
          </w14:textFill>
        </w:rPr>
        <w:t>收</w:t>
      </w:r>
      <w:r>
        <w:rPr>
          <w:rStyle w:val="34"/>
          <w:rFonts w:hint="eastAsia" w:ascii="黑体" w:hAnsi="黑体" w:eastAsia="黑体"/>
          <w:b w:val="0"/>
          <w:bCs w:val="0"/>
          <w:color w:val="000000" w:themeColor="text1"/>
          <w:spacing w:val="0"/>
          <w:highlight w:val="none"/>
          <w14:textFill>
            <w14:solidFill>
              <w14:schemeClr w14:val="tx1"/>
            </w14:solidFill>
          </w14:textFill>
        </w:rPr>
        <w:t>入支出决算总体情况说明</w:t>
      </w:r>
      <w:bookmarkEnd w:id="38"/>
      <w:bookmarkEnd w:id="39"/>
      <w:bookmarkEnd w:id="40"/>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年度收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万元。与</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相比，收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年度</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支出</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万元。与20</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相比，收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%。主要变动原因是</w:t>
      </w:r>
      <w:r>
        <w:rPr>
          <w:rFonts w:hint="eastAsia"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年</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预算增加质量技术监管专项经费、食品食用农产品工业产品检验检测经费、临聘人员工资及保险等费用。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b w:val="0"/>
          <w:bCs w:val="0"/>
          <w:color w:val="000000" w:themeColor="text1"/>
          <w:spacing w:val="0"/>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（图</w:t>
      </w:r>
      <w:r>
        <w:rPr>
          <w:rFonts w:ascii="Times New Roman" w:hAnsi="Times New Roman" w:eastAsia="仿宋_GB2312"/>
          <w:b w:val="0"/>
          <w:bCs w:val="0"/>
          <w:color w:val="000000" w:themeColor="text1"/>
          <w:spacing w:val="0"/>
          <w:sz w:val="32"/>
          <w:szCs w:val="32"/>
          <w:highlight w:val="none"/>
          <w14:textFill>
            <w14:solidFill>
              <w14:schemeClr w14:val="tx1"/>
            </w14:solidFill>
          </w14:textFill>
        </w:rPr>
        <w:t>1</w:t>
      </w:r>
      <w:r>
        <w:rPr>
          <w:rFonts w:hint="eastAsia" w:ascii="仿宋" w:hAnsi="仿宋" w:eastAsia="仿宋_GB2312"/>
          <w:b w:val="0"/>
          <w:bCs w:val="0"/>
          <w:color w:val="000000" w:themeColor="text1"/>
          <w:spacing w:val="0"/>
          <w:sz w:val="32"/>
          <w:szCs w:val="32"/>
          <w:highlight w:val="none"/>
          <w14:textFill>
            <w14:solidFill>
              <w14:schemeClr w14:val="tx1"/>
            </w14:solidFill>
          </w14:textFill>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256530" cy="2988310"/>
            <wp:effectExtent l="5080" t="4445" r="15240" b="17145"/>
            <wp:docPr id="108"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2"/>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640" w:leftChars="0"/>
        <w:textAlignment w:val="auto"/>
        <w:outlineLvl w:val="1"/>
        <w:rPr>
          <w:rStyle w:val="34"/>
          <w:rFonts w:ascii="黑体" w:hAnsi="黑体" w:eastAsia="黑体"/>
          <w:b w:val="0"/>
          <w:bCs w:val="0"/>
          <w:color w:val="000000" w:themeColor="text1"/>
          <w:spacing w:val="0"/>
          <w:highlight w:val="none"/>
          <w14:textFill>
            <w14:solidFill>
              <w14:schemeClr w14:val="tx1"/>
            </w14:solidFill>
          </w14:textFill>
        </w:rPr>
      </w:pPr>
      <w:bookmarkStart w:id="41" w:name="_Toc15377206"/>
      <w:bookmarkStart w:id="42" w:name="_Toc20136"/>
      <w:bookmarkStart w:id="43" w:name="_Toc15396604"/>
      <w:r>
        <w:rPr>
          <w:rFonts w:hint="eastAsia" w:ascii="黑体" w:hAnsi="黑体" w:eastAsia="黑体"/>
          <w:b w:val="0"/>
          <w:bCs w:val="0"/>
          <w:color w:val="000000" w:themeColor="text1"/>
          <w:spacing w:val="0"/>
          <w:sz w:val="32"/>
          <w:szCs w:val="32"/>
          <w:highlight w:val="none"/>
          <w:lang w:eastAsia="zh-CN"/>
          <w14:textFill>
            <w14:solidFill>
              <w14:schemeClr w14:val="tx1"/>
            </w14:solidFill>
          </w14:textFill>
        </w:rPr>
        <w:t>二、</w:t>
      </w:r>
      <w:r>
        <w:rPr>
          <w:rFonts w:hint="eastAsia" w:ascii="黑体" w:hAnsi="黑体" w:eastAsia="黑体"/>
          <w:b w:val="0"/>
          <w:bCs w:val="0"/>
          <w:color w:val="000000" w:themeColor="text1"/>
          <w:spacing w:val="0"/>
          <w:sz w:val="32"/>
          <w:szCs w:val="32"/>
          <w:highlight w:val="none"/>
          <w14:textFill>
            <w14:solidFill>
              <w14:schemeClr w14:val="tx1"/>
            </w14:solidFill>
          </w14:textFill>
        </w:rPr>
        <w:t>收</w:t>
      </w:r>
      <w:r>
        <w:rPr>
          <w:rStyle w:val="34"/>
          <w:rFonts w:hint="eastAsia" w:ascii="黑体" w:hAnsi="黑体" w:eastAsia="黑体"/>
          <w:b w:val="0"/>
          <w:bCs w:val="0"/>
          <w:color w:val="000000" w:themeColor="text1"/>
          <w:spacing w:val="0"/>
          <w:highlight w:val="none"/>
          <w14:textFill>
            <w14:solidFill>
              <w14:schemeClr w14:val="tx1"/>
            </w14:solidFill>
          </w14:textFill>
        </w:rPr>
        <w:t>入决算情况说明</w:t>
      </w:r>
      <w:bookmarkEnd w:id="41"/>
      <w:bookmarkEnd w:id="42"/>
      <w:bookmarkEnd w:id="43"/>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年本年收入合计</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万元，其中：一般公共预算财政拨款收入</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万元，占</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（图</w:t>
      </w:r>
      <w:r>
        <w:rPr>
          <w:rFonts w:hint="eastAsia" w:ascii="Times New Roman" w:hAnsi="Times New Roman" w:eastAsia="仿宋_GB2312"/>
          <w:b w:val="0"/>
          <w:bCs w:val="0"/>
          <w:color w:val="000000" w:themeColor="text1"/>
          <w:spacing w:val="0"/>
          <w:sz w:val="32"/>
          <w:szCs w:val="32"/>
          <w:highlight w:val="none"/>
          <w14:textFill>
            <w14:solidFill>
              <w14:schemeClr w14:val="tx1"/>
            </w14:solidFill>
          </w14:textFill>
        </w:rPr>
        <w:t>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：收入决算结构图）（饼状图）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256530" cy="2988310"/>
            <wp:effectExtent l="5080" t="4445" r="15240" b="17145"/>
            <wp:docPr id="109"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bidi w:val="0"/>
        <w:rPr>
          <w:rStyle w:val="34"/>
          <w:rFonts w:hint="eastAsia" w:ascii="黑体" w:hAnsi="黑体" w:eastAsia="黑体"/>
          <w:b w:val="0"/>
          <w:bCs w:val="0"/>
          <w:color w:val="000000" w:themeColor="text1"/>
          <w:spacing w:val="0"/>
          <w:highlight w:val="none"/>
          <w14:textFill>
            <w14:solidFill>
              <w14:schemeClr w14:val="tx1"/>
            </w14:solidFill>
          </w14:textFill>
        </w:rPr>
      </w:pPr>
      <w:bookmarkStart w:id="44" w:name="_Toc15377207"/>
      <w:bookmarkStart w:id="45" w:name="_Toc25569"/>
      <w:bookmarkStart w:id="46" w:name="_Toc15396605"/>
      <w:r>
        <w:rPr>
          <w:rStyle w:val="34"/>
          <w:rFonts w:hint="eastAsia" w:ascii="黑体" w:hAnsi="黑体" w:eastAsia="黑体"/>
          <w:b w:val="0"/>
          <w:bCs w:val="0"/>
          <w:color w:val="000000" w:themeColor="text1"/>
          <w:spacing w:val="0"/>
          <w:highlight w:val="none"/>
          <w:lang w:eastAsia="zh-CN"/>
          <w14:textFill>
            <w14:solidFill>
              <w14:schemeClr w14:val="tx1"/>
            </w14:solidFill>
          </w14:textFill>
        </w:rPr>
        <w:t>三、</w:t>
      </w:r>
      <w:r>
        <w:rPr>
          <w:rStyle w:val="34"/>
          <w:rFonts w:hint="eastAsia" w:ascii="黑体" w:hAnsi="黑体" w:eastAsia="黑体"/>
          <w:b w:val="0"/>
          <w:bCs w:val="0"/>
          <w:color w:val="000000" w:themeColor="text1"/>
          <w:spacing w:val="0"/>
          <w:highlight w:val="none"/>
          <w14:textFill>
            <w14:solidFill>
              <w14:schemeClr w14:val="tx1"/>
            </w14:solidFill>
          </w14:textFill>
        </w:rPr>
        <w:t>支出决算情况说明</w:t>
      </w:r>
      <w:bookmarkEnd w:id="44"/>
      <w:bookmarkEnd w:id="45"/>
      <w:bookmarkEnd w:id="46"/>
    </w:p>
    <w:p>
      <w:pPr>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bookmarkStart w:id="47" w:name="_Toc1719"/>
      <w:bookmarkStart w:id="48" w:name="_Toc28157"/>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年本年支出合计</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1221</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87</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%；项目支出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178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12</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72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bookmarkEnd w:id="47"/>
      <w:bookmarkEnd w:id="48"/>
    </w:p>
    <w:p>
      <w:pPr>
        <w:keepNext w:val="0"/>
        <w:keepLines w:val="0"/>
        <w:pageBreakBefore w:val="0"/>
        <w:widowControl w:val="0"/>
        <w:kinsoku/>
        <w:wordWrap/>
        <w:overflowPunct w:val="0"/>
        <w:topLinePunct w:val="0"/>
        <w:bidi w:val="0"/>
        <w:spacing w:line="576" w:lineRule="exact"/>
        <w:jc w:val="center"/>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（图</w:t>
      </w:r>
      <w:r>
        <w:rPr>
          <w:rFonts w:hint="eastAsia" w:ascii="Times New Roman" w:hAnsi="Times New Roman" w:eastAsia="仿宋_GB2312"/>
          <w:b w:val="0"/>
          <w:bCs w:val="0"/>
          <w:color w:val="000000" w:themeColor="text1"/>
          <w:spacing w:val="0"/>
          <w:sz w:val="32"/>
          <w:szCs w:val="32"/>
          <w:highlight w:val="none"/>
          <w14:textFill>
            <w14:solidFill>
              <w14:schemeClr w14:val="tx1"/>
            </w14:solidFill>
          </w14:textFill>
        </w:rPr>
        <w:t>3</w:t>
      </w:r>
      <w:r>
        <w:rPr>
          <w:rFonts w:hint="eastAsia" w:ascii="仿宋" w:hAnsi="仿宋" w:eastAsia="仿宋_GB2312"/>
          <w:b w:val="0"/>
          <w:bCs w:val="0"/>
          <w:color w:val="000000" w:themeColor="text1"/>
          <w:spacing w:val="0"/>
          <w:sz w:val="32"/>
          <w:szCs w:val="32"/>
          <w:highlight w:val="none"/>
          <w14:textFill>
            <w14:solidFill>
              <w14:schemeClr w14:val="tx1"/>
            </w14:solidFill>
          </w14:textFill>
        </w:rPr>
        <w:t>：支出决算结构图）（饼状图）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both"/>
        <w:textAlignment w:val="auto"/>
        <w:outlineLvl w:val="9"/>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pPr>
      <w:r>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256530" cy="2988310"/>
            <wp:effectExtent l="5080" t="4445" r="15240" b="17145"/>
            <wp:docPr id="110"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bidi w:val="0"/>
        <w:rPr>
          <w:rStyle w:val="34"/>
          <w:rFonts w:hint="eastAsia" w:ascii="黑体" w:hAnsi="黑体" w:eastAsia="黑体"/>
          <w:b w:val="0"/>
          <w:bCs w:val="0"/>
          <w:color w:val="000000" w:themeColor="text1"/>
          <w:spacing w:val="0"/>
          <w:highlight w:val="none"/>
          <w:lang w:eastAsia="zh-CN"/>
          <w14:textFill>
            <w14:solidFill>
              <w14:schemeClr w14:val="tx1"/>
            </w14:solidFill>
          </w14:textFill>
        </w:rPr>
      </w:pPr>
      <w:bookmarkStart w:id="49" w:name="_Toc15377208"/>
      <w:bookmarkStart w:id="50" w:name="_Toc21466"/>
      <w:bookmarkStart w:id="51" w:name="_Toc15396606"/>
      <w:r>
        <w:rPr>
          <w:rStyle w:val="34"/>
          <w:rFonts w:hint="eastAsia" w:ascii="黑体" w:hAnsi="黑体" w:eastAsia="黑体"/>
          <w:b w:val="0"/>
          <w:bCs w:val="0"/>
          <w:color w:val="000000" w:themeColor="text1"/>
          <w:spacing w:val="0"/>
          <w:highlight w:val="none"/>
          <w:lang w:eastAsia="zh-CN"/>
          <w14:textFill>
            <w14:solidFill>
              <w14:schemeClr w14:val="tx1"/>
            </w14:solidFill>
          </w14:textFill>
        </w:rPr>
        <w:t>四、财政拨款收入支出决算总体情况说明</w:t>
      </w:r>
      <w:bookmarkEnd w:id="49"/>
      <w:bookmarkEnd w:id="50"/>
      <w:bookmarkEnd w:id="51"/>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年度收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万元。与</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相比，收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年度</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支出</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万元。与20</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相比，收</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总计</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%。主要变动原因是</w:t>
      </w:r>
      <w:r>
        <w:rPr>
          <w:rFonts w:hint="eastAsia"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年</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预算增加质量技术监管专项经费、食品食用农产品工业产品检验检测经费、临聘人员工资及保险等费用。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（图</w:t>
      </w:r>
      <w:r>
        <w:rPr>
          <w:rFonts w:hint="eastAsia" w:ascii="Times New Roman" w:hAnsi="Times New Roman" w:eastAsia="仿宋_GB2312"/>
          <w:b w:val="0"/>
          <w:bCs w:val="0"/>
          <w:color w:val="000000" w:themeColor="text1"/>
          <w:spacing w:val="0"/>
          <w:sz w:val="32"/>
          <w:szCs w:val="32"/>
          <w:highlight w:val="none"/>
          <w14:textFill>
            <w14:solidFill>
              <w14:schemeClr w14:val="tx1"/>
            </w14:solidFill>
          </w14:textFill>
        </w:rPr>
        <w:t>4</w:t>
      </w:r>
      <w:r>
        <w:rPr>
          <w:rFonts w:hint="eastAsia" w:ascii="仿宋" w:hAnsi="仿宋" w:eastAsia="仿宋_GB2312"/>
          <w:b w:val="0"/>
          <w:bCs w:val="0"/>
          <w:color w:val="000000" w:themeColor="text1"/>
          <w:spacing w:val="0"/>
          <w:sz w:val="32"/>
          <w:szCs w:val="32"/>
          <w:highlight w:val="none"/>
          <w14:textFill>
            <w14:solidFill>
              <w14:schemeClr w14:val="tx1"/>
            </w14:solidFill>
          </w14:textFill>
        </w:rPr>
        <w:t>：财政拨款收、支决算总计变动情况）（柱状图）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pPr>
      <w:r>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415280" cy="3261995"/>
            <wp:effectExtent l="4445" t="4445" r="9525" b="10160"/>
            <wp:docPr id="111"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bidi w:val="0"/>
        <w:rPr>
          <w:rStyle w:val="34"/>
          <w:rFonts w:ascii="黑体" w:hAnsi="黑体" w:eastAsia="黑体"/>
          <w:b w:val="0"/>
          <w:bCs w:val="0"/>
          <w:color w:val="000000" w:themeColor="text1"/>
          <w:spacing w:val="0"/>
          <w:highlight w:val="none"/>
          <w14:textFill>
            <w14:solidFill>
              <w14:schemeClr w14:val="tx1"/>
            </w14:solidFill>
          </w14:textFill>
        </w:rPr>
      </w:pPr>
      <w:bookmarkStart w:id="52" w:name="_Toc7984"/>
      <w:bookmarkStart w:id="53" w:name="_Toc15396607"/>
      <w:bookmarkStart w:id="54" w:name="_Toc15377209"/>
      <w:r>
        <w:rPr>
          <w:rFonts w:hint="eastAsia" w:ascii="黑体" w:hAnsi="黑体" w:eastAsia="黑体"/>
          <w:b w:val="0"/>
          <w:bCs w:val="0"/>
          <w:color w:val="000000" w:themeColor="text1"/>
          <w:spacing w:val="0"/>
          <w:sz w:val="32"/>
          <w:szCs w:val="32"/>
          <w:highlight w:val="none"/>
          <w14:textFill>
            <w14:solidFill>
              <w14:schemeClr w14:val="tx1"/>
            </w14:solidFill>
          </w14:textFill>
        </w:rPr>
        <w:t>五、一</w:t>
      </w:r>
      <w:r>
        <w:rPr>
          <w:rStyle w:val="34"/>
          <w:rFonts w:hint="eastAsia" w:ascii="黑体" w:hAnsi="黑体" w:eastAsia="黑体"/>
          <w:b w:val="0"/>
          <w:bCs w:val="0"/>
          <w:color w:val="000000" w:themeColor="text1"/>
          <w:spacing w:val="0"/>
          <w:highlight w:val="none"/>
          <w14:textFill>
            <w14:solidFill>
              <w14:schemeClr w14:val="tx1"/>
            </w14:solidFill>
          </w14:textFill>
        </w:rPr>
        <w:t>般公共预算财政拨款支出决算情况说明</w:t>
      </w:r>
      <w:bookmarkEnd w:id="52"/>
      <w:bookmarkEnd w:id="53"/>
      <w:bookmarkEnd w:id="54"/>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55" w:name="_Toc15377210"/>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（一）一般公共预算财政拨款支出决算总体情况</w:t>
      </w:r>
      <w:bookmarkEnd w:id="55"/>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年一般公共预算财政拨款支出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万元，占本年支出合计的</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%。与20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相比，一般公共预算财政拨款</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支出</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%。主要变动原因是</w:t>
      </w:r>
      <w:r>
        <w:rPr>
          <w:rFonts w:hint="eastAsia"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年</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预算增加质量技术监管专项经费、食品食用农产品工业产品检验检测经费、临聘人员工资及保险等费用。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16" w:firstLineChars="200"/>
        <w:jc w:val="both"/>
        <w:textAlignment w:val="auto"/>
        <w:outlineLvl w:val="9"/>
        <w:rPr>
          <w:rFonts w:hint="eastAsia" w:ascii="仿宋" w:hAnsi="仿宋" w:eastAsia="仿宋_GB2312"/>
          <w:b w:val="0"/>
          <w:bCs w:val="0"/>
          <w:color w:val="000000" w:themeColor="text1"/>
          <w:spacing w:val="-6"/>
          <w:sz w:val="32"/>
          <w:szCs w:val="32"/>
          <w:highlight w:val="none"/>
          <w14:textFill>
            <w14:solidFill>
              <w14:schemeClr w14:val="tx1"/>
            </w14:solidFill>
          </w14:textFill>
        </w:rPr>
      </w:pPr>
      <w:r>
        <w:rPr>
          <w:rFonts w:hint="eastAsia" w:ascii="仿宋" w:hAnsi="仿宋" w:eastAsia="仿宋_GB2312"/>
          <w:b w:val="0"/>
          <w:bCs w:val="0"/>
          <w:color w:val="000000" w:themeColor="text1"/>
          <w:spacing w:val="-6"/>
          <w:sz w:val="32"/>
          <w:szCs w:val="32"/>
          <w:highlight w:val="none"/>
          <w14:textFill>
            <w14:solidFill>
              <w14:schemeClr w14:val="tx1"/>
            </w14:solidFill>
          </w14:textFill>
        </w:rPr>
        <w:t>（图</w:t>
      </w:r>
      <w:r>
        <w:rPr>
          <w:rFonts w:hint="eastAsia" w:ascii="Times New Roman" w:hAnsi="Times New Roman" w:eastAsia="仿宋_GB2312"/>
          <w:b w:val="0"/>
          <w:bCs w:val="0"/>
          <w:color w:val="000000" w:themeColor="text1"/>
          <w:spacing w:val="-6"/>
          <w:sz w:val="32"/>
          <w:szCs w:val="32"/>
          <w:highlight w:val="none"/>
          <w14:textFill>
            <w14:solidFill>
              <w14:schemeClr w14:val="tx1"/>
            </w14:solidFill>
          </w14:textFill>
        </w:rPr>
        <w:t>5</w:t>
      </w:r>
      <w:r>
        <w:rPr>
          <w:rFonts w:hint="eastAsia" w:ascii="仿宋" w:hAnsi="仿宋" w:eastAsia="仿宋_GB2312"/>
          <w:b w:val="0"/>
          <w:bCs w:val="0"/>
          <w:color w:val="000000" w:themeColor="text1"/>
          <w:spacing w:val="-6"/>
          <w:sz w:val="32"/>
          <w:szCs w:val="32"/>
          <w:highlight w:val="none"/>
          <w14:textFill>
            <w14:solidFill>
              <w14:schemeClr w14:val="tx1"/>
            </w14:solidFill>
          </w14:textFill>
        </w:rPr>
        <w:t>：一般公共预算财政拨款支出决算变动情况）（柱状图）</w:t>
      </w:r>
    </w:p>
    <w:p>
      <w:pPr>
        <w:pStyle w:val="9"/>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pPr>
      <w:bookmarkStart w:id="56" w:name="_Toc15377211"/>
      <w:r>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689600" cy="3622675"/>
            <wp:effectExtent l="4445" t="4445" r="20955" b="11430"/>
            <wp:docPr id="112"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640" w:firstLineChars="200"/>
        <w:jc w:val="both"/>
        <w:textAlignment w:val="auto"/>
        <w:outlineLvl w:val="9"/>
        <w:rPr>
          <w:rFonts w:hint="eastAsia" w:ascii="仿宋" w:hAnsi="仿宋" w:eastAsia="仿宋_GB2312"/>
          <w:b w:val="0"/>
          <w:bCs w:val="0"/>
          <w:color w:val="000000" w:themeColor="text1"/>
          <w:spacing w:val="0"/>
          <w:sz w:val="32"/>
          <w:szCs w:val="32"/>
          <w:highlight w:val="none"/>
          <w14:textFill>
            <w14:solidFill>
              <w14:schemeClr w14:val="tx1"/>
            </w14:solidFill>
          </w14:textFill>
        </w:rPr>
      </w:pP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（二）一般公共预算财政拨款支出决算结构情况</w:t>
      </w:r>
      <w:bookmarkEnd w:id="56"/>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年一般公共预算财政拨款支出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主要用于以下方面</w:t>
      </w:r>
      <w:r>
        <w:rPr>
          <w:rFonts w:hint="eastAsia"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一般公共服务（类）支出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1141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34</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54</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%；社会保障和就业（类）支出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07</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79</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%；卫生健康（类）支出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%；住房保障（类）支出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98</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36</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（图</w:t>
      </w:r>
      <w:r>
        <w:rPr>
          <w:rFonts w:hint="eastAsia" w:ascii="Times New Roman" w:hAnsi="Times New Roman" w:eastAsia="仿宋_GB2312"/>
          <w:b w:val="0"/>
          <w:bCs w:val="0"/>
          <w:color w:val="000000" w:themeColor="text1"/>
          <w:spacing w:val="0"/>
          <w:sz w:val="32"/>
          <w:szCs w:val="32"/>
          <w:highlight w:val="none"/>
          <w14:textFill>
            <w14:solidFill>
              <w14:schemeClr w14:val="tx1"/>
            </w14:solidFill>
          </w14:textFill>
        </w:rPr>
        <w:t>6</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：一般公共预算财政拨款支出决算结构）（饼状图）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both"/>
        <w:textAlignment w:val="auto"/>
        <w:outlineLvl w:val="9"/>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pPr>
      <w:r>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drawing>
          <wp:inline distT="0" distB="0" distL="114300" distR="114300">
            <wp:extent cx="5256530" cy="2988310"/>
            <wp:effectExtent l="5080" t="4445" r="15240" b="17145"/>
            <wp:docPr id="113"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57" w:name="_Toc15377212"/>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（三）一般公共预算财政拨款支出决算具体情况</w:t>
      </w:r>
      <w:bookmarkEnd w:id="57"/>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bookmarkStart w:id="58" w:name="_Toc15377213"/>
      <w:bookmarkStart w:id="59" w:name="_Toc15377444"/>
      <w:bookmarkStart w:id="60" w:name="_Toc15378460"/>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一</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般公共预算支出决算数为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62万元</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完成预算</w:t>
      </w:r>
      <w:r>
        <w:rPr>
          <w:rStyle w:val="21"/>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100</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%。其中：</w:t>
      </w:r>
      <w:bookmarkEnd w:id="58"/>
      <w:bookmarkEnd w:id="59"/>
      <w:bookmarkEnd w:id="60"/>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1.一般公共服务支出（类）</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市场监督管理事务</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（款）行政运行</w:t>
      </w:r>
      <w:r>
        <w:rPr>
          <w:rStyle w:val="21"/>
          <w:rFonts w:hint="eastAsia" w:eastAsia="仿宋_GB2312" w:cs="Times New Roman"/>
          <w:b w:val="0"/>
          <w:bCs w:val="0"/>
          <w:color w:val="000000" w:themeColor="text1"/>
          <w:spacing w:val="0"/>
          <w:sz w:val="32"/>
          <w:szCs w:val="32"/>
          <w:lang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963</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34</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963</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34</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完成预算100%；</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.一般公共服务支出（类）</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市场监督管理事务</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（款）</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市场主体管理</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96</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96</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一般公共服务支出（类）</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市场监督管理事务</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（款）</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药品事务：</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51</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51</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4.其他市场监督管理事务201（类）38（款）99（项）药品事务</w:t>
      </w:r>
      <w:r>
        <w:rPr>
          <w:rStyle w:val="21"/>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21</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21</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color w:val="auto"/>
          <w:sz w:val="32"/>
          <w:szCs w:val="32"/>
        </w:rPr>
        <w:t>社会保障和就业（类）行政</w:t>
      </w:r>
      <w:r>
        <w:rPr>
          <w:rFonts w:hint="eastAsia"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rPr>
        <w:t>单位养老保险支出（款）机关</w:t>
      </w:r>
      <w:r>
        <w:rPr>
          <w:rFonts w:hint="eastAsia"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rPr>
        <w:t>单位基本</w:t>
      </w:r>
      <w:r>
        <w:rPr>
          <w:rFonts w:hint="eastAsia" w:ascii="Times New Roman" w:hAnsi="Times New Roman" w:eastAsia="仿宋_GB2312" w:cs="Times New Roman"/>
          <w:color w:val="auto"/>
          <w:sz w:val="32"/>
          <w:szCs w:val="32"/>
          <w:lang w:eastAsia="zh-CN"/>
        </w:rPr>
        <w:t>养老</w:t>
      </w:r>
      <w:r>
        <w:rPr>
          <w:rFonts w:hint="default" w:ascii="Times New Roman" w:hAnsi="Times New Roman" w:eastAsia="仿宋_GB2312" w:cs="Times New Roman"/>
          <w:color w:val="auto"/>
          <w:sz w:val="32"/>
          <w:szCs w:val="32"/>
        </w:rPr>
        <w:t>保险缴费支出（项）</w:t>
      </w:r>
      <w:r>
        <w:rPr>
          <w:rStyle w:val="21"/>
          <w:rFonts w:hint="default" w:ascii="Times New Roman" w:hAnsi="Times New Roman" w:eastAsia="仿宋_GB2312" w:cs="Times New Roman"/>
          <w:color w:val="auto"/>
          <w:sz w:val="32"/>
          <w:szCs w:val="32"/>
        </w:rPr>
        <w:t>:</w:t>
      </w:r>
      <w:r>
        <w:rPr>
          <w:rStyle w:val="21"/>
          <w:rFonts w:hint="default" w:ascii="Times New Roman" w:hAnsi="Times New Roman" w:eastAsia="仿宋_GB2312" w:cs="Times New Roman"/>
          <w:b w:val="0"/>
          <w:color w:val="auto"/>
          <w:sz w:val="32"/>
          <w:szCs w:val="32"/>
        </w:rPr>
        <w:t xml:space="preserve"> </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123</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07</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123</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07</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完成预算100%。</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卫生健康（类）行政事业单位医疗（款）行政单位医疗（项）</w:t>
      </w:r>
      <w:r>
        <w:rPr>
          <w:rStyle w:val="21"/>
          <w:rFonts w:hint="eastAsia" w:eastAsia="仿宋_GB2312" w:cs="Times New Roman"/>
          <w:b w:val="0"/>
          <w:bCs w:val="0"/>
          <w:color w:val="000000" w:themeColor="text1"/>
          <w:spacing w:val="0"/>
          <w:sz w:val="32"/>
          <w:szCs w:val="32"/>
          <w:lang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46</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46</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完成预算100%。</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住房保障支出（类）住房改革支出（款）住房公积金</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（项）</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88</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98</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88</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97</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完成预算100%</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一般公共服务支出（类）</w:t>
      </w:r>
      <w:r>
        <w:rPr>
          <w:rStyle w:val="21"/>
          <w:rFonts w:hint="eastAsia" w:eastAsia="仿宋_GB2312" w:cs="Times New Roman"/>
          <w:b w:val="0"/>
          <w:bCs w:val="0"/>
          <w:color w:val="000000" w:themeColor="text1"/>
          <w:spacing w:val="0"/>
          <w:sz w:val="32"/>
          <w:szCs w:val="32"/>
          <w:lang w:val="en-US" w:eastAsia="zh-CN"/>
          <w14:textFill>
            <w14:solidFill>
              <w14:schemeClr w14:val="tx1"/>
            </w14:solidFill>
          </w14:textFill>
        </w:rPr>
        <w:t>知识产权事务（款）其他知识产权事务支出（项）：</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支出决算为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预算数为</w:t>
      </w:r>
      <w:r>
        <w:rPr>
          <w:rStyle w:val="21"/>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w:t>
      </w:r>
      <w:r>
        <w:rPr>
          <w:rStyle w:val="21"/>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完成预算100%</w:t>
      </w:r>
    </w:p>
    <w:p>
      <w:pPr>
        <w:pStyle w:val="4"/>
        <w:bidi w:val="0"/>
        <w:rPr>
          <w:rStyle w:val="34"/>
          <w:b w:val="0"/>
          <w:bCs w:val="0"/>
          <w:color w:val="000000" w:themeColor="text1"/>
          <w:spacing w:val="0"/>
          <w:highlight w:val="none"/>
          <w14:textFill>
            <w14:solidFill>
              <w14:schemeClr w14:val="tx1"/>
            </w14:solidFill>
          </w14:textFill>
        </w:rPr>
      </w:pPr>
      <w:bookmarkStart w:id="61" w:name="_Toc15396608"/>
      <w:bookmarkStart w:id="62" w:name="_Toc15377214"/>
      <w:bookmarkStart w:id="63" w:name="_Toc11482"/>
      <w:r>
        <w:rPr>
          <w:rFonts w:hint="eastAsia" w:ascii="黑体" w:eastAsia="黑体"/>
          <w:b w:val="0"/>
          <w:bCs w:val="0"/>
          <w:color w:val="000000" w:themeColor="text1"/>
          <w:spacing w:val="0"/>
          <w:sz w:val="32"/>
          <w:szCs w:val="32"/>
          <w:highlight w:val="none"/>
          <w14:textFill>
            <w14:solidFill>
              <w14:schemeClr w14:val="tx1"/>
            </w14:solidFill>
          </w14:textFill>
        </w:rPr>
        <w:t>六、</w:t>
      </w:r>
      <w:r>
        <w:rPr>
          <w:rFonts w:hint="eastAsia" w:ascii="黑体" w:hAnsi="黑体" w:eastAsia="黑体"/>
          <w:b w:val="0"/>
          <w:bCs w:val="0"/>
          <w:color w:val="000000" w:themeColor="text1"/>
          <w:spacing w:val="0"/>
          <w:sz w:val="32"/>
          <w:szCs w:val="32"/>
          <w:highlight w:val="none"/>
          <w14:textFill>
            <w14:solidFill>
              <w14:schemeClr w14:val="tx1"/>
            </w14:solidFill>
          </w14:textFill>
        </w:rPr>
        <w:t>一</w:t>
      </w:r>
      <w:r>
        <w:rPr>
          <w:rStyle w:val="34"/>
          <w:rFonts w:hint="eastAsia" w:ascii="黑体" w:hAnsi="黑体" w:eastAsia="黑体"/>
          <w:b w:val="0"/>
          <w:bCs w:val="0"/>
          <w:color w:val="000000" w:themeColor="text1"/>
          <w:spacing w:val="0"/>
          <w:highlight w:val="none"/>
          <w14:textFill>
            <w14:solidFill>
              <w14:schemeClr w14:val="tx1"/>
            </w14:solidFill>
          </w14:textFill>
        </w:rPr>
        <w:t>般公共预算财政拨款基本支出决算情况说明</w:t>
      </w:r>
      <w:bookmarkEnd w:id="61"/>
      <w:bookmarkEnd w:id="62"/>
      <w:bookmarkEnd w:id="63"/>
      <w:r>
        <w:rPr>
          <w:rStyle w:val="34"/>
          <w:rFonts w:ascii="黑体" w:hAnsi="黑体" w:eastAsia="黑体"/>
          <w:b w:val="0"/>
          <w:bCs w:val="0"/>
          <w:color w:val="000000" w:themeColor="text1"/>
          <w:spacing w:val="0"/>
          <w:highlight w:val="none"/>
          <w14:textFill>
            <w14:solidFill>
              <w14:schemeClr w14:val="tx1"/>
            </w14:solidFill>
          </w14:textFill>
        </w:rPr>
        <w:tab/>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年一般公共预算财政拨款基本支出</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1221</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62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万元，其中：</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人员经费</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1058</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主要包括：基本工资、津贴补贴、奖金、绩效工资、机关事业单位基本养老保险缴费、职业年金缴费、其他社会保障缴费、其他工资福利支出、抚恤金、生活补助、医疗费补助、奖励金、住房公积金、其他对个人和家庭的补助支出等。</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hint="eastAsia" w:ascii="仿宋" w:hAnsi="仿宋" w:eastAsia="仿宋_GB2312"/>
          <w:b w:val="0"/>
          <w:bCs w:val="0"/>
          <w:color w:val="000000" w:themeColor="text1"/>
          <w:spacing w:val="0"/>
          <w:sz w:val="32"/>
          <w:szCs w:val="32"/>
          <w:highlight w:val="none"/>
          <w14:textFill>
            <w14:solidFill>
              <w14:schemeClr w14:val="tx1"/>
            </w14:solidFill>
          </w14:textFill>
        </w:rPr>
        <w:t>公用经费</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162</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主要包括：办公费、印刷费、咨询费、手续费、水费、电费、邮电费、物业管理费、差旅费、因公出国（境）费用、维修（护）费、租赁费、会议费、培训费、公务接待费、劳务费、委托业务费、工会经费、公务用车运行维护费、其他交通费、其他商品和服务支出、信息网络等。</w:t>
      </w:r>
    </w:p>
    <w:p>
      <w:pPr>
        <w:pStyle w:val="4"/>
        <w:bidi w:val="0"/>
        <w:rPr>
          <w:rStyle w:val="34"/>
          <w:rFonts w:ascii="黑体" w:hAnsi="黑体" w:eastAsia="黑体"/>
          <w:b w:val="0"/>
          <w:bCs w:val="0"/>
          <w:color w:val="000000" w:themeColor="text1"/>
          <w:spacing w:val="0"/>
          <w:highlight w:val="none"/>
          <w14:textFill>
            <w14:solidFill>
              <w14:schemeClr w14:val="tx1"/>
            </w14:solidFill>
          </w14:textFill>
        </w:rPr>
      </w:pPr>
      <w:bookmarkStart w:id="64" w:name="_Toc15396609"/>
      <w:bookmarkStart w:id="65" w:name="_Toc12427"/>
      <w:bookmarkStart w:id="66" w:name="_Toc15377215"/>
      <w:r>
        <w:rPr>
          <w:rFonts w:hint="eastAsia" w:ascii="黑体" w:eastAsia="黑体"/>
          <w:b w:val="0"/>
          <w:bCs w:val="0"/>
          <w:color w:val="000000" w:themeColor="text1"/>
          <w:spacing w:val="0"/>
          <w:sz w:val="32"/>
          <w:szCs w:val="32"/>
          <w:highlight w:val="none"/>
          <w14:textFill>
            <w14:solidFill>
              <w14:schemeClr w14:val="tx1"/>
            </w14:solidFill>
          </w14:textFill>
        </w:rPr>
        <w:t>七、</w:t>
      </w:r>
      <w:r>
        <w:rPr>
          <w:rStyle w:val="34"/>
          <w:rFonts w:hint="eastAsia" w:ascii="黑体" w:hAnsi="黑体" w:eastAsia="黑体"/>
          <w:b w:val="0"/>
          <w:bCs w:val="0"/>
          <w:color w:val="000000" w:themeColor="text1"/>
          <w:spacing w:val="0"/>
          <w:highlight w:val="none"/>
          <w14:textFill>
            <w14:solidFill>
              <w14:schemeClr w14:val="tx1"/>
            </w14:solidFill>
          </w14:textFill>
        </w:rPr>
        <w:t>财政拨款“三公”经费支出决算情况说明</w:t>
      </w:r>
      <w:bookmarkEnd w:id="64"/>
      <w:bookmarkEnd w:id="65"/>
      <w:bookmarkEnd w:id="66"/>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67" w:name="_Toc15377216"/>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（一）“三公”经费财政拨款支出决算总体情况说明</w:t>
      </w:r>
      <w:bookmarkEnd w:id="67"/>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lang w:val="en-US"/>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年“三公”经费财政拨款支出决算为</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15</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6</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万元，完成预算</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93</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98</w:t>
      </w:r>
      <w:r>
        <w:rPr>
          <w:rFonts w:ascii="仿宋" w:hAnsi="仿宋" w:eastAsia="仿宋_GB2312"/>
          <w:b w:val="0"/>
          <w:bCs w:val="0"/>
          <w:color w:val="000000" w:themeColor="text1"/>
          <w:spacing w:val="0"/>
          <w:sz w:val="32"/>
          <w:szCs w:val="32"/>
          <w:highlight w:val="none"/>
          <w14:textFill>
            <w14:solidFill>
              <w14:schemeClr w14:val="tx1"/>
            </w14:solidFill>
          </w14:textFill>
        </w:rPr>
        <w:t>%</w:t>
      </w:r>
      <w:r>
        <w:rPr>
          <w:rFonts w:hint="eastAsia" w:ascii="仿宋" w:hAnsi="仿宋" w:eastAsia="仿宋_GB2312"/>
          <w:b w:val="0"/>
          <w:bCs w:val="0"/>
          <w:color w:val="000000" w:themeColor="text1"/>
          <w:spacing w:val="0"/>
          <w:sz w:val="32"/>
          <w:szCs w:val="32"/>
          <w:highlight w:val="none"/>
          <w14:textFill>
            <w14:solidFill>
              <w14:schemeClr w14:val="tx1"/>
            </w14:solidFill>
          </w14:textFill>
        </w:rPr>
        <w:t>，</w:t>
      </w:r>
      <w:r>
        <w:rPr>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t>较上年增加</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3</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71</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万元，增长</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31</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决算数小于预算数的主要原因是</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按照党中央、国务院关于过“紧日子”和坚持厉行节约反对浪费的要求，进一步减少“</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三公</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经费</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支出。</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68" w:name="_Toc15377217"/>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（二）“三公”经费财政拨款支出决算具体情况说明</w:t>
      </w:r>
      <w:bookmarkEnd w:id="68"/>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 w:hAnsi="仿宋" w:eastAsia="仿宋_GB2312"/>
          <w:b w:val="0"/>
          <w:bCs w:val="0"/>
          <w:color w:val="000000" w:themeColor="text1"/>
          <w:spacing w:val="0"/>
          <w:sz w:val="32"/>
          <w:szCs w:val="32"/>
          <w:highlight w:val="none"/>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 w:hAnsi="仿宋" w:eastAsia="仿宋_GB2312"/>
          <w:b w:val="0"/>
          <w:bCs w:val="0"/>
          <w:color w:val="000000" w:themeColor="text1"/>
          <w:spacing w:val="0"/>
          <w:sz w:val="32"/>
          <w:szCs w:val="32"/>
          <w:highlight w:val="none"/>
          <w14:textFill>
            <w14:solidFill>
              <w14:schemeClr w14:val="tx1"/>
            </w14:solidFill>
          </w14:textFill>
        </w:rPr>
        <w:t>年“三公”经费财政拨款支出决算中，因公出国（境）费支出决算</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0</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万元；公务用车购置及运行维护费支出决算</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12</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万元，占</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82</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05</w:t>
      </w:r>
      <w:r>
        <w:rPr>
          <w:rFonts w:ascii="仿宋" w:hAnsi="仿宋" w:eastAsia="仿宋_GB2312"/>
          <w:b w:val="0"/>
          <w:bCs w:val="0"/>
          <w:color w:val="000000" w:themeColor="text1"/>
          <w:spacing w:val="0"/>
          <w:sz w:val="32"/>
          <w:szCs w:val="32"/>
          <w:highlight w:val="none"/>
          <w14:textFill>
            <w14:solidFill>
              <w14:schemeClr w14:val="tx1"/>
            </w14:solidFill>
          </w14:textFill>
        </w:rPr>
        <w:t>%</w:t>
      </w:r>
      <w:r>
        <w:rPr>
          <w:rFonts w:hint="eastAsia" w:ascii="仿宋" w:hAnsi="仿宋" w:eastAsia="仿宋_GB2312"/>
          <w:b w:val="0"/>
          <w:bCs w:val="0"/>
          <w:color w:val="000000" w:themeColor="text1"/>
          <w:spacing w:val="0"/>
          <w:sz w:val="32"/>
          <w:szCs w:val="32"/>
          <w:highlight w:val="none"/>
          <w14:textFill>
            <w14:solidFill>
              <w14:schemeClr w14:val="tx1"/>
            </w14:solidFill>
          </w14:textFill>
        </w:rPr>
        <w:t>；公务接待费支出决算</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8</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万元，占</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17</w:t>
      </w:r>
      <w:r>
        <w:rPr>
          <w:rFonts w:hint="eastAsia" w:ascii="仿宋" w:hAnsi="仿宋"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95</w:t>
      </w:r>
      <w:r>
        <w:rPr>
          <w:rFonts w:ascii="仿宋" w:hAnsi="仿宋" w:eastAsia="仿宋_GB2312"/>
          <w:b w:val="0"/>
          <w:bCs w:val="0"/>
          <w:color w:val="000000" w:themeColor="text1"/>
          <w:spacing w:val="0"/>
          <w:sz w:val="32"/>
          <w:szCs w:val="32"/>
          <w:highlight w:val="none"/>
          <w14:textFill>
            <w14:solidFill>
              <w14:schemeClr w14:val="tx1"/>
            </w14:solidFill>
          </w14:textFill>
        </w:rPr>
        <w:t>%</w:t>
      </w:r>
      <w:r>
        <w:rPr>
          <w:rFonts w:hint="eastAsia" w:ascii="仿宋" w:hAnsi="仿宋" w:eastAsia="仿宋_GB2312"/>
          <w:b w:val="0"/>
          <w:bCs w:val="0"/>
          <w:color w:val="000000" w:themeColor="text1"/>
          <w:spacing w:val="0"/>
          <w:sz w:val="32"/>
          <w:szCs w:val="32"/>
          <w:highlight w:val="none"/>
          <w14:textFill>
            <w14:solidFill>
              <w14:schemeClr w14:val="tx1"/>
            </w14:solidFill>
          </w14:textFill>
        </w:rPr>
        <w:t>。具体情况如下：</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（图7：“三公”经费财政拨款支出结构）（饼状图）</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0" w:firstLineChars="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drawing>
          <wp:inline distT="0" distB="0" distL="114300" distR="114300">
            <wp:extent cx="5256530" cy="2988310"/>
            <wp:effectExtent l="5080" t="4445" r="15240" b="17145"/>
            <wp:docPr id="114"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1.因公出国</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（境）</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经费支出0万元。年初未安排预算，因公出国</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（境）</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支出决算较202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年无变化</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2.公务用车购置及运行维护费支出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12</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完成预算</w:t>
      </w:r>
      <w:r>
        <w:rPr>
          <w:rStyle w:val="21"/>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100</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公务用车购置及运行维护费支出决算比20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7</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99</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增加</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4</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81</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万元，增长</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60</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%。主要原因是</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年</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增加食品安全快检车运行经费及</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食品药品医疗器械及化妆品、特种设备等工作专项检查多。</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其中：公务用车购置支出</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万元。全年按规定更新购置公务用车</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辆，</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在公务用车制度改革后，不允许单位购买公务用车。因公出差向机关事务局申请公务用车，公务用车有保障。</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截至20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年12月底，单位共有公务用车</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辆，其中：轿车</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辆、越野车</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辆、</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食品安全监测车1辆</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公务用车运行维护费支出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12</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主要用于</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食品安全保障、药品安全保障、特种设备保障疫情防控、冷链</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等所需的公务用车燃料费、维修费、过路过桥费、保险费等支出</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3.公务接待费支出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完成预算</w:t>
      </w:r>
      <w:r>
        <w:rPr>
          <w:rStyle w:val="21"/>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73</w:t>
      </w:r>
      <w:r>
        <w:rPr>
          <w:rStyle w:val="21"/>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Style w:val="21"/>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68</w:t>
      </w:r>
      <w:r>
        <w:rPr>
          <w:rStyle w:val="21"/>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公务接待费支出决算比20</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年</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减少</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19</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减少</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29</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82</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%。主要</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按照党中央、国务院关于过“紧日子”和坚持厉行节约反对浪费的要求，进一步减少“</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三公</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经费</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支出</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。其中：</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国内公务接待支出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主要用于</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疫情防控、</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食品药品医疗器械及化妆品、特种设备等安全检查等</w:t>
      </w:r>
      <w:r>
        <w:rPr>
          <w:rFonts w:hint="eastAsia"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执行公务、开展业务活动开支的交通费、住宿费、用餐费等</w:t>
      </w:r>
      <w:r>
        <w:rPr>
          <w:rFonts w:hint="eastAsia"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。国内公务接待</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批次，</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446</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人次，共计支</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外事接待支出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万元，外事接待</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批次，</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人，共计支出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w:t>
      </w:r>
    </w:p>
    <w:p>
      <w:pPr>
        <w:pStyle w:val="4"/>
        <w:bidi w:val="0"/>
        <w:rPr>
          <w:rStyle w:val="34"/>
          <w:rFonts w:ascii="黑体" w:hAnsi="黑体" w:eastAsia="黑体"/>
          <w:b w:val="0"/>
          <w:bCs w:val="0"/>
          <w:color w:val="000000" w:themeColor="text1"/>
          <w:spacing w:val="0"/>
          <w:highlight w:val="none"/>
          <w14:textFill>
            <w14:solidFill>
              <w14:schemeClr w14:val="tx1"/>
            </w14:solidFill>
          </w14:textFill>
        </w:rPr>
      </w:pPr>
      <w:bookmarkStart w:id="69" w:name="_Toc27742"/>
      <w:bookmarkStart w:id="70" w:name="_Toc15377218"/>
      <w:bookmarkStart w:id="71" w:name="_Toc15396610"/>
      <w:r>
        <w:rPr>
          <w:rFonts w:hint="eastAsia" w:ascii="黑体" w:eastAsia="黑体"/>
          <w:b w:val="0"/>
          <w:bCs w:val="0"/>
          <w:color w:val="000000" w:themeColor="text1"/>
          <w:spacing w:val="0"/>
          <w:sz w:val="32"/>
          <w:szCs w:val="32"/>
          <w:highlight w:val="none"/>
          <w14:textFill>
            <w14:solidFill>
              <w14:schemeClr w14:val="tx1"/>
            </w14:solidFill>
          </w14:textFill>
        </w:rPr>
        <w:t>八、</w:t>
      </w:r>
      <w:r>
        <w:rPr>
          <w:rStyle w:val="34"/>
          <w:rFonts w:hint="eastAsia" w:ascii="黑体" w:hAnsi="黑体" w:eastAsia="黑体"/>
          <w:b w:val="0"/>
          <w:bCs w:val="0"/>
          <w:color w:val="000000" w:themeColor="text1"/>
          <w:spacing w:val="0"/>
          <w:highlight w:val="none"/>
          <w14:textFill>
            <w14:solidFill>
              <w14:schemeClr w14:val="tx1"/>
            </w14:solidFill>
          </w14:textFill>
        </w:rPr>
        <w:t>政府性基金预算支出决算情况说明</w:t>
      </w:r>
      <w:bookmarkEnd w:id="69"/>
      <w:bookmarkEnd w:id="70"/>
      <w:bookmarkEnd w:id="71"/>
    </w:p>
    <w:p>
      <w:pPr>
        <w:pageBreakBefore w:val="0"/>
        <w:widowControl w:val="0"/>
        <w:kinsoku/>
        <w:wordWrap/>
        <w:overflowPunct/>
        <w:topLinePunct w:val="0"/>
        <w:bidi w:val="0"/>
        <w:spacing w:line="550" w:lineRule="exact"/>
        <w:ind w:left="0" w:leftChars="0" w:right="0" w:firstLine="640" w:firstLineChars="200"/>
        <w:textAlignment w:val="auto"/>
        <w:rPr>
          <w:rFonts w:ascii="仿宋_GB2312" w:eastAsia="仿宋_GB2312"/>
          <w:b w:val="0"/>
          <w:bCs w:val="0"/>
          <w:color w:val="000000" w:themeColor="text1"/>
          <w:spacing w:val="0"/>
          <w:sz w:val="32"/>
          <w:szCs w:val="32"/>
          <w:highlight w:val="none"/>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eastAsia="仿宋_GB2312"/>
          <w:b w:val="0"/>
          <w:bCs w:val="0"/>
          <w:color w:val="000000" w:themeColor="text1"/>
          <w:spacing w:val="0"/>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政府性基金预算</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财政</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拨款支出</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eastAsia" w:eastAsia="仿宋_GB2312" w:cs="Times New Roman"/>
          <w:b w:val="0"/>
          <w:bC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与上年数无变化。</w:t>
      </w:r>
    </w:p>
    <w:p>
      <w:pPr>
        <w:pStyle w:val="4"/>
        <w:numPr>
          <w:ilvl w:val="0"/>
          <w:numId w:val="4"/>
        </w:numPr>
        <w:bidi w:val="0"/>
        <w:rPr>
          <w:rStyle w:val="34"/>
          <w:rFonts w:ascii="黑体" w:hAnsi="黑体" w:eastAsia="黑体"/>
          <w:b w:val="0"/>
          <w:bCs w:val="0"/>
          <w:color w:val="000000" w:themeColor="text1"/>
          <w:spacing w:val="0"/>
          <w:highlight w:val="none"/>
          <w14:textFill>
            <w14:solidFill>
              <w14:schemeClr w14:val="tx1"/>
            </w14:solidFill>
          </w14:textFill>
        </w:rPr>
      </w:pPr>
      <w:bookmarkStart w:id="72" w:name="_Toc15396611"/>
      <w:bookmarkStart w:id="73" w:name="_Toc15377219"/>
      <w:bookmarkStart w:id="74" w:name="_Toc15719"/>
      <w:r>
        <w:rPr>
          <w:rStyle w:val="34"/>
          <w:rFonts w:hint="eastAsia" w:ascii="黑体" w:hAnsi="黑体" w:eastAsia="黑体"/>
          <w:b w:val="0"/>
          <w:bCs w:val="0"/>
          <w:color w:val="000000" w:themeColor="text1"/>
          <w:spacing w:val="0"/>
          <w:highlight w:val="none"/>
          <w14:textFill>
            <w14:solidFill>
              <w14:schemeClr w14:val="tx1"/>
            </w14:solidFill>
          </w14:textFill>
        </w:rPr>
        <w:t>国有资本经营预算支出决算情况说明</w:t>
      </w:r>
      <w:bookmarkEnd w:id="72"/>
      <w:bookmarkEnd w:id="73"/>
      <w:bookmarkEnd w:id="74"/>
    </w:p>
    <w:p>
      <w:pPr>
        <w:pageBreakBefore w:val="0"/>
        <w:widowControl w:val="0"/>
        <w:kinsoku/>
        <w:wordWrap/>
        <w:overflowPunct/>
        <w:topLinePunct w:val="0"/>
        <w:bidi w:val="0"/>
        <w:spacing w:line="550" w:lineRule="exact"/>
        <w:ind w:left="0" w:leftChars="0" w:right="0" w:firstLine="640" w:firstLineChars="200"/>
        <w:textAlignment w:val="auto"/>
        <w:rPr>
          <w:rFonts w:hint="eastAsia" w:ascii="Times New Roman" w:hAnsi="Times New Roman" w:eastAsia="仿宋_GB2312" w:cs="Times New Roman"/>
          <w:b w:val="0"/>
          <w:bCs w:val="0"/>
          <w:color w:val="000000" w:themeColor="text1"/>
          <w:spacing w:val="0"/>
          <w:sz w:val="44"/>
          <w:szCs w:val="44"/>
          <w:highlight w:val="none"/>
          <w:lang w:eastAsia="zh-CN"/>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eastAsia="仿宋_GB2312"/>
          <w:b w:val="0"/>
          <w:bCs w:val="0"/>
          <w:color w:val="000000" w:themeColor="text1"/>
          <w:spacing w:val="0"/>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国有资本经营预算</w:t>
      </w:r>
      <w:r>
        <w:rPr>
          <w:rFonts w:hint="default" w:ascii="Times New Roman" w:hAnsi="Times New Roman" w:eastAsia="仿宋_GB2312" w:cs="Times New Roman"/>
          <w:b w:val="0"/>
          <w:bCs w:val="0"/>
          <w:color w:val="000000" w:themeColor="text1"/>
          <w:spacing w:val="0"/>
          <w:sz w:val="32"/>
          <w:szCs w:val="32"/>
          <w:highlight w:val="none"/>
          <w:lang w:eastAsia="zh-CN"/>
          <w14:textFill>
            <w14:solidFill>
              <w14:schemeClr w14:val="tx1"/>
            </w14:solidFill>
          </w14:textFill>
        </w:rPr>
        <w:t>财政</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拨款支出</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万元</w:t>
      </w:r>
      <w:r>
        <w:rPr>
          <w:rFonts w:hint="eastAsia" w:eastAsia="仿宋_GB2312" w:cs="Times New Roman"/>
          <w:b w:val="0"/>
          <w:bC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eastAsia="zh-CN"/>
        </w:rPr>
        <w:t>与上年数无变化。</w:t>
      </w:r>
    </w:p>
    <w:p>
      <w:pPr>
        <w:pStyle w:val="4"/>
        <w:numPr>
          <w:ilvl w:val="0"/>
          <w:numId w:val="4"/>
        </w:numPr>
        <w:bidi w:val="0"/>
        <w:rPr>
          <w:rStyle w:val="34"/>
          <w:rFonts w:hint="eastAsia" w:ascii="黑体" w:hAnsi="黑体" w:eastAsia="黑体"/>
          <w:b w:val="0"/>
          <w:bCs w:val="0"/>
          <w:color w:val="000000" w:themeColor="text1"/>
          <w:spacing w:val="0"/>
          <w:highlight w:val="none"/>
          <w14:textFill>
            <w14:solidFill>
              <w14:schemeClr w14:val="tx1"/>
            </w14:solidFill>
          </w14:textFill>
        </w:rPr>
      </w:pPr>
      <w:bookmarkStart w:id="75" w:name="_Toc15377221"/>
      <w:bookmarkStart w:id="76" w:name="_Toc15396612"/>
      <w:bookmarkStart w:id="77" w:name="_Toc28981"/>
      <w:r>
        <w:rPr>
          <w:rStyle w:val="34"/>
          <w:rFonts w:hint="eastAsia" w:ascii="黑体" w:hAnsi="黑体" w:eastAsia="黑体"/>
          <w:b w:val="0"/>
          <w:bCs w:val="0"/>
          <w:color w:val="000000" w:themeColor="text1"/>
          <w:spacing w:val="0"/>
          <w:highlight w:val="none"/>
          <w14:textFill>
            <w14:solidFill>
              <w14:schemeClr w14:val="tx1"/>
            </w14:solidFill>
          </w14:textFill>
        </w:rPr>
        <w:t>其他重要事项的情况说明</w:t>
      </w:r>
      <w:bookmarkEnd w:id="75"/>
      <w:bookmarkEnd w:id="76"/>
      <w:bookmarkEnd w:id="77"/>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78" w:name="_Toc15377222"/>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（一）机关运行经费支出情况</w:t>
      </w:r>
      <w:bookmarkEnd w:id="78"/>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eastAsia="仿宋_GB2312"/>
          <w:b w:val="0"/>
          <w:bCs w:val="0"/>
          <w:color w:val="000000" w:themeColor="text1"/>
          <w:spacing w:val="0"/>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区</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市场监督管理局</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机关运行经费支出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ascii="仿宋_GB2312" w:eastAsia="仿宋_GB2312"/>
          <w:b w:val="0"/>
          <w:bCs w:val="0"/>
          <w:color w:val="000000" w:themeColor="text1"/>
          <w:spacing w:val="0"/>
          <w:sz w:val="32"/>
          <w:szCs w:val="32"/>
          <w:highlight w:val="none"/>
          <w14:textFill>
            <w14:solidFill>
              <w14:schemeClr w14:val="tx1"/>
            </w14:solidFill>
          </w14:textFill>
        </w:rPr>
        <w:t>万元，比</w:t>
      </w: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21</w:t>
      </w:r>
      <w:r>
        <w:rPr>
          <w:rFonts w:hint="eastAsia" w:ascii="仿宋_GB2312" w:eastAsia="仿宋_GB2312"/>
          <w:b w:val="0"/>
          <w:bCs w:val="0"/>
          <w:color w:val="000000" w:themeColor="text1"/>
          <w:spacing w:val="0"/>
          <w:sz w:val="32"/>
          <w:szCs w:val="32"/>
          <w:highlight w:val="none"/>
          <w14:textFill>
            <w14:solidFill>
              <w14:schemeClr w14:val="tx1"/>
            </w14:solidFill>
          </w14:textFill>
        </w:rPr>
        <w:t>年增加</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27</w:t>
      </w:r>
      <w:r>
        <w:rPr>
          <w:rFonts w:hint="eastAsia" w:ascii="仿宋_GB2312"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77</w:t>
      </w:r>
      <w:r>
        <w:rPr>
          <w:rFonts w:hint="eastAsia" w:ascii="仿宋_GB2312" w:eastAsia="仿宋_GB2312"/>
          <w:b w:val="0"/>
          <w:bCs w:val="0"/>
          <w:color w:val="000000" w:themeColor="text1"/>
          <w:spacing w:val="0"/>
          <w:sz w:val="32"/>
          <w:szCs w:val="32"/>
          <w:highlight w:val="none"/>
          <w14:textFill>
            <w14:solidFill>
              <w14:schemeClr w14:val="tx1"/>
            </w14:solidFill>
          </w14:textFill>
        </w:rPr>
        <w:t>万元，增长</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17</w:t>
      </w:r>
      <w:r>
        <w:rPr>
          <w:rFonts w:hint="eastAsia" w:ascii="仿宋_GB2312" w:eastAsia="仿宋_GB2312"/>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05</w:t>
      </w:r>
      <w:r>
        <w:rPr>
          <w:rFonts w:ascii="仿宋_GB2312" w:eastAsia="仿宋_GB2312"/>
          <w:b w:val="0"/>
          <w:bCs w:val="0"/>
          <w:color w:val="000000" w:themeColor="text1"/>
          <w:spacing w:val="0"/>
          <w:sz w:val="32"/>
          <w:szCs w:val="32"/>
          <w:highlight w:val="none"/>
          <w14:textFill>
            <w14:solidFill>
              <w14:schemeClr w14:val="tx1"/>
            </w14:solidFill>
          </w14:textFill>
        </w:rPr>
        <w:t>%</w:t>
      </w:r>
      <w:r>
        <w:rPr>
          <w:rFonts w:hint="eastAsia" w:ascii="仿宋_GB2312" w:eastAsia="仿宋_GB2312"/>
          <w:b w:val="0"/>
          <w:bCs w:val="0"/>
          <w:color w:val="000000" w:themeColor="text1"/>
          <w:spacing w:val="0"/>
          <w:sz w:val="32"/>
          <w:szCs w:val="32"/>
          <w:highlight w:val="none"/>
          <w14:textFill>
            <w14:solidFill>
              <w14:schemeClr w14:val="tx1"/>
            </w14:solidFill>
          </w14:textFill>
        </w:rPr>
        <w:t>。主要原因是</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2022</w:t>
      </w:r>
      <w:r>
        <w:rPr>
          <w:rFonts w:hint="eastAsia" w:ascii="仿宋_GB2312" w:eastAsia="仿宋_GB2312"/>
          <w:b w:val="0"/>
          <w:bCs w:val="0"/>
          <w:color w:val="000000" w:themeColor="text1"/>
          <w:spacing w:val="0"/>
          <w:sz w:val="32"/>
          <w:szCs w:val="32"/>
          <w:highlight w:val="none"/>
          <w:lang w:val="en-US" w:eastAsia="zh-CN"/>
          <w14:textFill>
            <w14:solidFill>
              <w14:schemeClr w14:val="tx1"/>
            </w14:solidFill>
          </w14:textFill>
        </w:rPr>
        <w:t>年原因是公务员交通费包括在机关运行经费中，导致机关运行经费增加</w:t>
      </w:r>
      <w:r>
        <w:rPr>
          <w:rFonts w:hint="eastAsia" w:ascii="仿宋_GB2312" w:eastAsia="仿宋_GB2312"/>
          <w:b w:val="0"/>
          <w:bCs w:val="0"/>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79" w:name="_Toc15377223"/>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（二）政府采购支出情况</w:t>
      </w:r>
      <w:bookmarkEnd w:id="79"/>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pP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eastAsia="仿宋_GB2312"/>
          <w:b w:val="0"/>
          <w:bCs w:val="0"/>
          <w:color w:val="000000" w:themeColor="text1"/>
          <w:spacing w:val="0"/>
          <w:sz w:val="32"/>
          <w:szCs w:val="32"/>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区市场监督管理局</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政府采购支出总额</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万元，其中：政府采购货物支出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万元、政府采购工程支出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万元、政府采购服务支出</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万元。授予中小企业合同金额</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万元，占政府采购支出总额的</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%，其中：授予小微企业合同金额</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万元，占政府采购支出总额的</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bookmarkStart w:id="80" w:name="_Toc15377224"/>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（三）国有资产占有使用情况</w:t>
      </w:r>
      <w:bookmarkEnd w:id="80"/>
    </w:p>
    <w:p>
      <w:pPr>
        <w:keepNext w:val="0"/>
        <w:keepLines w:val="0"/>
        <w:pageBreakBefore w:val="0"/>
        <w:widowControl w:val="0"/>
        <w:kinsoku/>
        <w:wordWrap/>
        <w:overflowPunct w:val="0"/>
        <w:topLinePunct w:val="0"/>
        <w:autoSpaceDE w:val="0"/>
        <w:autoSpaceDN w:val="0"/>
        <w:bidi w:val="0"/>
        <w:adjustRightInd w:val="0"/>
        <w:snapToGrid/>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pPr>
      <w:r>
        <w:rPr>
          <w:rFonts w:hint="eastAsia" w:ascii="仿宋_GB2312" w:eastAsia="仿宋_GB2312"/>
          <w:b w:val="0"/>
          <w:bCs w:val="0"/>
          <w:color w:val="000000" w:themeColor="text1"/>
          <w:spacing w:val="0"/>
          <w:sz w:val="32"/>
          <w:szCs w:val="32"/>
          <w:highlight w:val="none"/>
          <w14:textFill>
            <w14:solidFill>
              <w14:schemeClr w14:val="tx1"/>
            </w14:solidFill>
          </w14:textFill>
        </w:rPr>
        <w:t>截至</w:t>
      </w:r>
      <w:r>
        <w:rPr>
          <w:rFonts w:ascii="Times New Roman" w:hAnsi="Times New Roman" w:eastAsia="仿宋_GB2312"/>
          <w:b w:val="0"/>
          <w:bCs w:val="0"/>
          <w:color w:val="000000" w:themeColor="text1"/>
          <w:spacing w:val="0"/>
          <w:sz w:val="32"/>
          <w:szCs w:val="32"/>
          <w:highlight w:val="none"/>
          <w14:textFill>
            <w14:solidFill>
              <w14:schemeClr w14:val="tx1"/>
            </w14:solidFill>
          </w14:textFill>
        </w:rPr>
        <w:t>20</w:t>
      </w:r>
      <w:r>
        <w:rPr>
          <w:rFonts w:hint="eastAsia" w:ascii="Times New Roman" w:hAnsi="Times New Roman" w:eastAsia="仿宋_GB2312"/>
          <w:b w:val="0"/>
          <w:bCs w:val="0"/>
          <w:color w:val="000000" w:themeColor="text1"/>
          <w:spacing w:val="0"/>
          <w:sz w:val="32"/>
          <w:szCs w:val="32"/>
          <w:highlight w:val="none"/>
          <w:lang w:val="en-US" w:eastAsia="zh-CN"/>
          <w14:textFill>
            <w14:solidFill>
              <w14:schemeClr w14:val="tx1"/>
            </w14:solidFill>
          </w14:textFill>
        </w:rPr>
        <w:t>22</w:t>
      </w:r>
      <w:r>
        <w:rPr>
          <w:rFonts w:hint="eastAsia" w:ascii="仿宋_GB2312" w:eastAsia="仿宋_GB2312"/>
          <w:b w:val="0"/>
          <w:bCs w:val="0"/>
          <w:color w:val="000000" w:themeColor="text1"/>
          <w:spacing w:val="0"/>
          <w:sz w:val="32"/>
          <w:szCs w:val="32"/>
          <w:highlight w:val="none"/>
          <w14:textFill>
            <w14:solidFill>
              <w14:schemeClr w14:val="tx1"/>
            </w14:solidFill>
          </w14:textFill>
        </w:rPr>
        <w:t>年</w:t>
      </w:r>
      <w:r>
        <w:rPr>
          <w:rFonts w:ascii="Times New Roman" w:hAnsi="Times New Roman" w:eastAsia="仿宋_GB2312"/>
          <w:b w:val="0"/>
          <w:bCs w:val="0"/>
          <w:color w:val="000000" w:themeColor="text1"/>
          <w:spacing w:val="0"/>
          <w:sz w:val="32"/>
          <w:szCs w:val="32"/>
          <w:highlight w:val="none"/>
          <w14:textFill>
            <w14:solidFill>
              <w14:schemeClr w14:val="tx1"/>
            </w14:solidFill>
          </w14:textFill>
        </w:rPr>
        <w:t>12</w:t>
      </w:r>
      <w:r>
        <w:rPr>
          <w:rFonts w:hint="eastAsia" w:ascii="仿宋_GB2312" w:eastAsia="仿宋_GB2312"/>
          <w:b w:val="0"/>
          <w:bCs w:val="0"/>
          <w:color w:val="000000" w:themeColor="text1"/>
          <w:spacing w:val="0"/>
          <w:sz w:val="32"/>
          <w:szCs w:val="32"/>
          <w:highlight w:val="none"/>
          <w14:textFill>
            <w14:solidFill>
              <w14:schemeClr w14:val="tx1"/>
            </w14:solidFill>
          </w14:textFill>
        </w:rPr>
        <w:t>月</w:t>
      </w:r>
      <w:r>
        <w:rPr>
          <w:rFonts w:ascii="Times New Roman" w:hAnsi="Times New Roman" w:eastAsia="仿宋_GB2312"/>
          <w:b w:val="0"/>
          <w:bCs w:val="0"/>
          <w:color w:val="000000" w:themeColor="text1"/>
          <w:spacing w:val="0"/>
          <w:sz w:val="32"/>
          <w:szCs w:val="32"/>
          <w:highlight w:val="none"/>
          <w14:textFill>
            <w14:solidFill>
              <w14:schemeClr w14:val="tx1"/>
            </w14:solidFill>
          </w14:textFill>
        </w:rPr>
        <w:t>31</w:t>
      </w:r>
      <w:r>
        <w:rPr>
          <w:rFonts w:hint="eastAsia" w:ascii="仿宋_GB2312" w:eastAsia="仿宋_GB2312"/>
          <w:b w:val="0"/>
          <w:bCs w:val="0"/>
          <w:color w:val="000000" w:themeColor="text1"/>
          <w:spacing w:val="0"/>
          <w:sz w:val="32"/>
          <w:szCs w:val="32"/>
          <w:highlight w:val="none"/>
          <w14:textFill>
            <w14:solidFill>
              <w14:schemeClr w14:val="tx1"/>
            </w14:solidFill>
          </w14:textFill>
        </w:rPr>
        <w:t>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市场监督管理局共有车辆5辆，其中：主要领导干部用车0辆、机要通信用车0辆、应急保障用车0辆、其他用车0辆、执法执勤车辆5辆。车辆主要是用于食品</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药品</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医疗器械及化妆品、特</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种</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设备</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监管和市场秩序整治</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行政</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执法等</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工作</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。单价50万元以上通用设备</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14:textFill>
            <w14:solidFill>
              <w14:schemeClr w14:val="tx1"/>
            </w14:solidFill>
          </w14:textFill>
        </w:rPr>
        <w:t>台</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（套），单价100万元以上专用设备0台（套）。</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highlight w:val="none"/>
          <w14:textFill>
            <w14:solidFill>
              <w14:schemeClr w14:val="tx1"/>
            </w14:solidFill>
          </w14:textFill>
        </w:rPr>
        <w:t>（四）预算绩效管理情况</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根据预算绩效管理要求，本部门在</w:t>
      </w:r>
      <w:r>
        <w:rPr>
          <w:rFonts w:hint="eastAsia" w:ascii="Times New Roman" w:hAnsi="Times New Roman" w:eastAsia="仿宋_GB2312" w:cs="仿宋_GB2312"/>
          <w:b w:val="0"/>
          <w:bCs w:val="0"/>
          <w:color w:val="000000" w:themeColor="text1"/>
          <w:spacing w:val="0"/>
          <w:sz w:val="32"/>
          <w:szCs w:val="32"/>
          <w:highlight w:val="none"/>
          <w14:textFill>
            <w14:solidFill>
              <w14:schemeClr w14:val="tx1"/>
            </w14:solidFill>
          </w14:textFill>
        </w:rPr>
        <w:t>202</w:t>
      </w:r>
      <w:r>
        <w:rPr>
          <w:rFonts w:hint="eastAsia" w:ascii="Times New Roman" w:hAnsi="Times New Roman" w:eastAsia="仿宋_GB2312" w:cs="仿宋_GB2312"/>
          <w:b w:val="0"/>
          <w:bCs w:val="0"/>
          <w:color w:val="000000" w:themeColor="text1"/>
          <w:spacing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年度预算编制阶段，组织对</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市场综合监管业务</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（项目名称）等</w:t>
      </w:r>
      <w:r>
        <w:rPr>
          <w:rFonts w:hint="eastAsia" w:ascii="Times New Roman" w:hAnsi="Times New Roman" w:eastAsia="仿宋_GB2312" w:cs="仿宋_GB2312"/>
          <w:b w:val="0"/>
          <w:bCs w:val="0"/>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个项目开展了预算事前绩效评估，对</w:t>
      </w:r>
      <w:r>
        <w:rPr>
          <w:rFonts w:hint="eastAsia" w:ascii="Times New Roman" w:hAnsi="Times New Roman" w:eastAsia="仿宋_GB2312" w:cs="仿宋_GB2312"/>
          <w:b w:val="0"/>
          <w:bCs w:val="0"/>
          <w:color w:val="000000" w:themeColor="text1"/>
          <w:spacing w:val="0"/>
          <w:sz w:val="32"/>
          <w:szCs w:val="32"/>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个项目编制了绩效目标，预算执行过程中，选取</w:t>
      </w:r>
      <w:r>
        <w:rPr>
          <w:rFonts w:hint="eastAsia" w:ascii="Times New Roman" w:hAnsi="Times New Roman" w:eastAsia="仿宋_GB2312" w:cs="仿宋_GB2312"/>
          <w:b w:val="0"/>
          <w:bCs w:val="0"/>
          <w:color w:val="000000" w:themeColor="text1"/>
          <w:spacing w:val="0"/>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个项目开展绩效监控。</w:t>
      </w:r>
    </w:p>
    <w:p>
      <w:pPr>
        <w:keepNext w:val="0"/>
        <w:keepLines w:val="0"/>
        <w:pageBreakBefore w:val="0"/>
        <w:widowControl w:val="0"/>
        <w:kinsoku/>
        <w:wordWrap/>
        <w:overflowPunct w:val="0"/>
        <w:topLinePunct w:val="0"/>
        <w:bidi w:val="0"/>
        <w:snapToGrid/>
        <w:spacing w:line="576" w:lineRule="exact"/>
        <w:ind w:left="0" w:leftChars="0" w:firstLine="640" w:firstLineChars="200"/>
        <w:jc w:val="both"/>
        <w:textAlignment w:val="auto"/>
        <w:outlineLvl w:val="9"/>
        <w:rPr>
          <w:rFonts w:ascii="仿宋_GB2312" w:eastAsia="仿宋_GB2312"/>
          <w:b w:val="0"/>
          <w:bC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组织对</w:t>
      </w:r>
      <w:r>
        <w:rPr>
          <w:rFonts w:hint="eastAsia" w:ascii="Times New Roman" w:hAnsi="Times New Roman" w:eastAsia="仿宋_GB2312" w:cs="仿宋_GB2312"/>
          <w:b w:val="0"/>
          <w:bCs w:val="0"/>
          <w:color w:val="000000" w:themeColor="text1"/>
          <w:spacing w:val="0"/>
          <w:sz w:val="32"/>
          <w:szCs w:val="32"/>
          <w:highlight w:val="none"/>
          <w14:textFill>
            <w14:solidFill>
              <w14:schemeClr w14:val="tx1"/>
            </w14:solidFill>
          </w14:textFill>
        </w:rPr>
        <w:t>2022</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年度一般公共预算资金等全面开展绩效自评，形成</w:t>
      </w:r>
      <w:r>
        <w:rPr>
          <w:rFonts w:hint="eastAsia" w:ascii="仿宋_GB2312" w:hAnsi="仿宋_GB2312" w:eastAsia="仿宋_GB2312" w:cs="仿宋_GB2312"/>
          <w:b w:val="0"/>
          <w:bCs w:val="0"/>
          <w:color w:val="000000" w:themeColor="text1"/>
          <w:spacing w:val="0"/>
          <w:sz w:val="32"/>
          <w:szCs w:val="32"/>
          <w:highlight w:val="none"/>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市场监督管理局</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部门整体（含部门预算项目）绩效自评报告</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highlight w:val="none"/>
          <w14:textFill>
            <w14:solidFill>
              <w14:schemeClr w14:val="tx1"/>
            </w14:solidFill>
          </w14:textFill>
        </w:rPr>
        <w:t>绩效自评报告详见附件。</w:t>
      </w:r>
    </w:p>
    <w:p>
      <w:pPr>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ascii="仿宋_GB2312" w:eastAsia="仿宋_GB2312"/>
          <w:b w:val="0"/>
          <w:bCs w:val="0"/>
          <w:color w:val="000000" w:themeColor="text1"/>
          <w:spacing w:val="0"/>
          <w:sz w:val="32"/>
          <w:szCs w:val="32"/>
          <w:highlight w:val="none"/>
          <w14:textFill>
            <w14:solidFill>
              <w14:schemeClr w14:val="tx1"/>
            </w14:solidFill>
          </w14:textFill>
        </w:rPr>
      </w:pPr>
      <w:r>
        <w:rPr>
          <w:rFonts w:hint="eastAsia" w:ascii="仿宋_GB2312" w:eastAsia="仿宋_GB2312"/>
          <w:b w:val="0"/>
          <w:bCs w:val="0"/>
          <w:color w:val="000000" w:themeColor="text1"/>
          <w:spacing w:val="0"/>
          <w:sz w:val="32"/>
          <w:szCs w:val="32"/>
          <w:highlight w:val="none"/>
          <w:lang w:val="en-US" w:eastAsia="zh-CN"/>
          <w14:textFill>
            <w14:solidFill>
              <w14:schemeClr w14:val="tx1"/>
            </w14:solidFill>
          </w14:textFill>
        </w:rPr>
        <w:t xml:space="preserve">                      </w:t>
      </w:r>
      <w:r>
        <w:br w:type="page"/>
      </w:r>
    </w:p>
    <w:p>
      <w:pPr>
        <w:pStyle w:val="3"/>
        <w:numPr>
          <w:ilvl w:val="0"/>
          <w:numId w:val="5"/>
        </w:numPr>
        <w:bidi w:val="0"/>
        <w:jc w:val="center"/>
        <w:rPr>
          <w:rFonts w:ascii="宋体"/>
          <w:b w:val="0"/>
          <w:bCs w:val="0"/>
          <w:color w:val="000000" w:themeColor="text1"/>
          <w:spacing w:val="0"/>
          <w:sz w:val="44"/>
          <w:szCs w:val="44"/>
          <w:highlight w:val="none"/>
          <w14:textFill>
            <w14:solidFill>
              <w14:schemeClr w14:val="tx1"/>
            </w14:solidFill>
          </w14:textFill>
        </w:rPr>
      </w:pPr>
      <w:bookmarkStart w:id="81" w:name="_Toc15377225"/>
      <w:bookmarkStart w:id="82" w:name="_Toc960"/>
      <w:bookmarkStart w:id="83" w:name="_Toc15396613"/>
      <w:r>
        <w:rPr>
          <w:rFonts w:hint="eastAsia" w:ascii="黑体" w:hAnsi="黑体" w:eastAsia="黑体"/>
          <w:b w:val="0"/>
          <w:bCs w:val="0"/>
          <w:color w:val="000000" w:themeColor="text1"/>
          <w:spacing w:val="0"/>
          <w:sz w:val="44"/>
          <w:szCs w:val="44"/>
          <w:highlight w:val="none"/>
          <w14:textFill>
            <w14:solidFill>
              <w14:schemeClr w14:val="tx1"/>
            </w14:solidFill>
          </w14:textFill>
        </w:rPr>
        <w:t>名</w:t>
      </w:r>
      <w:r>
        <w:rPr>
          <w:rStyle w:val="33"/>
          <w:rFonts w:hint="eastAsia" w:ascii="黑体" w:hAnsi="黑体" w:eastAsia="黑体"/>
          <w:b w:val="0"/>
          <w:bCs w:val="0"/>
          <w:color w:val="000000" w:themeColor="text1"/>
          <w:spacing w:val="0"/>
          <w:highlight w:val="none"/>
          <w14:textFill>
            <w14:solidFill>
              <w14:schemeClr w14:val="tx1"/>
            </w14:solidFill>
          </w14:textFill>
        </w:rPr>
        <w:t>词解释</w:t>
      </w:r>
      <w:bookmarkEnd w:id="81"/>
      <w:bookmarkEnd w:id="82"/>
      <w:bookmarkEnd w:id="83"/>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1.一般公共预算拨款收入：指本级财政当年拨付的资金。　</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2.一般公共服务（类）市场监督管理（款）行政运行（项）：指市场监</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督</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管理机关单位用于保障机构正常运行、开展日常工作的基本支出。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3.一般公共服务（类）市场监督管理（</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款）药品事务（项）：指药品（含中药、民族药）监督管理方面的支出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4.一般公共服务（类）市场监督管理（款）食品安全监管（项）：指食品安全监管等专项工作支出。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5.一般公共服务（类）市场监督管理（款）事业运行（项）：广元市昭化区市场监督</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服</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务中心、广元市昭化区消费者权益服务中心、广元市昭化区市场监督信息中心用于保障机构正常运行、开展日常工作的基本支出。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6.一般公共服务（类）市场监督管理（款）其他市场监督管理（项）：指市场监督管理除上述项目外，开展其他市场监督方面专门性工作任务的项目支出，如争取资金、招商引资等的相关支出。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7.社会保障和就业（类）行政事业单位养老支出（款）机关事业单位基本养老保险缴费支出（项）：指部门实施养老保险制度由单位缴纳的养老保险费的支出。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8.卫生健康（类）行政事业单位医疗（款）行政单位医疗（项）：指市场监督管理机关事业单位用于单位应缴纳基本医疗保险支出。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9.卫生健康（类）行政事业单位医疗（款）事业单位医疗（项）：指事业单位用于单位应缴纳基本医疗保险支出。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10.住房保障（类）住房改革支出（款）住房公积金（项）：指按照《住房公积金管理条例》的规定，由单位及其在职职工缴存的长期住房储金。</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11.基本支出：指为保证机构正常运转，完成日常工作任务而发生的人员支出和公用支出。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12.项目支出：指在基本支出之外为完成特定行政任务和事业发展目标所发生的支出。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13.“三公”经费：纳入昭化区市场监督管理局预算管理的“三公”经费，是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14.机关运行经费：为保障行政事业单位运行用于购买货物和服务的各项资金，包括办公及印刷费、邮电费、差旅费、会议费、培训费、日常维修费、专用材料及一般设备购置费、办公用房水电费、办公用房物业管理费、公务用车运行维护费以及其他费用。</w:t>
      </w:r>
    </w:p>
    <w:p>
      <w:pPr>
        <w:pStyle w:val="3"/>
        <w:bidi w:val="0"/>
        <w:jc w:val="center"/>
        <w:rPr>
          <w:rStyle w:val="33"/>
          <w:rFonts w:hint="eastAsia" w:ascii="黑体" w:hAnsi="黑体" w:eastAsia="黑体"/>
          <w:b w:val="0"/>
          <w:bCs w:val="0"/>
          <w:color w:val="000000" w:themeColor="text1"/>
          <w:spacing w:val="0"/>
          <w:highlight w:val="none"/>
          <w:lang w:eastAsia="zh-CN"/>
          <w14:textFill>
            <w14:solidFill>
              <w14:schemeClr w14:val="tx1"/>
            </w14:solidFill>
          </w14:textFill>
        </w:rPr>
      </w:pPr>
      <w:bookmarkStart w:id="84" w:name="_Toc15377226"/>
      <w:r>
        <w:br w:type="page"/>
      </w:r>
      <w:bookmarkStart w:id="85" w:name="_Toc15396614"/>
      <w:r>
        <w:rPr>
          <w:rFonts w:hint="eastAsia" w:ascii="宋体"/>
          <w:b w:val="0"/>
          <w:bCs w:val="0"/>
          <w:color w:val="000000" w:themeColor="text1"/>
          <w:spacing w:val="0"/>
          <w:sz w:val="44"/>
          <w:szCs w:val="44"/>
          <w:highlight w:val="none"/>
          <w:lang w:val="en-US" w:eastAsia="zh-CN"/>
          <w14:textFill>
            <w14:solidFill>
              <w14:schemeClr w14:val="tx1"/>
            </w14:solidFill>
          </w14:textFill>
        </w:rPr>
        <w:t xml:space="preserve">  </w:t>
      </w:r>
      <w:bookmarkStart w:id="86" w:name="_Toc6703"/>
      <w:r>
        <w:rPr>
          <w:rFonts w:hint="eastAsia" w:ascii="方正小标宋简体" w:hAnsi="方正小标宋简体" w:eastAsia="方正小标宋简体" w:cs="方正小标宋简体"/>
          <w:b w:val="0"/>
          <w:bCs w:val="0"/>
          <w:kern w:val="2"/>
          <w:sz w:val="44"/>
          <w:szCs w:val="44"/>
          <w:lang w:val="en-US" w:eastAsia="zh-CN" w:bidi="ar-SA"/>
        </w:rPr>
        <w:t>第四部分 附件</w:t>
      </w:r>
      <w:bookmarkEnd w:id="85"/>
      <w:bookmarkEnd w:id="86"/>
    </w:p>
    <w:p>
      <w:pPr>
        <w:pStyle w:val="4"/>
        <w:bidi w:val="0"/>
        <w:jc w:val="left"/>
        <w:rPr>
          <w:rFonts w:hint="eastAsia"/>
          <w:lang w:val="en-US" w:eastAsia="zh-CN"/>
        </w:rPr>
      </w:pPr>
      <w:bookmarkStart w:id="87" w:name="_Toc9439"/>
      <w:r>
        <w:rPr>
          <w:rFonts w:hint="eastAsia"/>
          <w:lang w:val="en-US" w:eastAsia="zh-CN"/>
        </w:rPr>
        <w:t>附件1</w:t>
      </w:r>
    </w:p>
    <w:p>
      <w:pPr>
        <w:pStyle w:val="4"/>
        <w:bidi w:val="0"/>
        <w:jc w:val="center"/>
        <w:rPr>
          <w:rFonts w:hint="eastAsia"/>
          <w:lang w:val="en-US" w:eastAsia="zh-CN"/>
        </w:rPr>
      </w:pPr>
      <w:r>
        <w:rPr>
          <w:rFonts w:hint="eastAsia"/>
          <w:lang w:val="en-US" w:eastAsia="zh-CN"/>
        </w:rPr>
        <w:t>2023年市场监督管理局部门整体绩效评价报告</w:t>
      </w:r>
      <w:bookmarkEnd w:id="87"/>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880" w:firstLineChars="200"/>
        <w:contextualSpacing/>
        <w:jc w:val="both"/>
        <w:textAlignment w:val="auto"/>
        <w:outlineLvl w:val="9"/>
        <w:rPr>
          <w:rFonts w:hint="eastAsia" w:ascii="方正小标宋简体" w:hAnsi="方正小标宋简体" w:eastAsia="方正小标宋简体" w:cs="方正小标宋简体"/>
          <w:b w:val="0"/>
          <w:bCs w:val="0"/>
          <w:color w:val="000000" w:themeColor="text1"/>
          <w:spacing w:val="0"/>
          <w:kern w:val="0"/>
          <w:sz w:val="44"/>
          <w:szCs w:val="44"/>
          <w:highlight w:val="none"/>
          <w:shd w:val="clear" w:color="auto" w:fill="FFFFFF"/>
          <w14:textFill>
            <w14:solidFill>
              <w14:schemeClr w14:val="tx1"/>
            </w14:solidFill>
          </w14:textFill>
        </w:rPr>
      </w:pP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宋体" w:eastAsia="黑体" w:cs="宋体"/>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黑体" w:hAnsi="宋体" w:eastAsia="黑体" w:cs="宋体"/>
          <w:b w:val="0"/>
          <w:bCs w:val="0"/>
          <w:color w:val="000000" w:themeColor="text1"/>
          <w:spacing w:val="0"/>
          <w:kern w:val="0"/>
          <w:sz w:val="32"/>
          <w:szCs w:val="32"/>
          <w:highlight w:val="none"/>
          <w:shd w:val="clear" w:color="auto" w:fill="FFFFFF"/>
          <w:lang w:val="zh-CN"/>
          <w14:textFill>
            <w14:solidFill>
              <w14:schemeClr w14:val="tx1"/>
            </w14:solidFill>
          </w14:textFill>
        </w:rPr>
        <w:t>部门（单位）基本情况</w:t>
      </w:r>
    </w:p>
    <w:p>
      <w:pPr>
        <w:pStyle w:val="30"/>
        <w:keepNext w:val="0"/>
        <w:keepLines w:val="0"/>
        <w:pageBreakBefore w:val="0"/>
        <w:widowControl w:val="0"/>
        <w:numPr>
          <w:ilvl w:val="0"/>
          <w:numId w:val="7"/>
        </w:numPr>
        <w:kinsoku/>
        <w:wordWrap/>
        <w:overflowPunct w:val="0"/>
        <w:topLinePunct w:val="0"/>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机构组成。</w:t>
      </w:r>
    </w:p>
    <w:p>
      <w:pPr>
        <w:pStyle w:val="30"/>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下属二级单位</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5</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个，其中行政单位1个，参照公务员法管理的事业单位1个，公益一类事业单位3个</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。包括1、广元市</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机关</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，2、广元市</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市场监督管理局综合行政执法大队，3、</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广元市昭化区市场监督事务中心</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，4、</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广元市昭化区消费者权益服务中心</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，5、</w:t>
      </w:r>
      <w:r>
        <w:rPr>
          <w:rStyle w:val="40"/>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广元市昭化区市场监督信息中心</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机构职能和人员概况。</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机构职能</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区市场监管局贯彻落实党中央关于市场监督管理工作的方针政策和省委、市委、区委的决策部署，在履行职责过程中加强对市场监督管理工作的集中统一领导</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主要职能职责如下</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）负责全区市场综合监督管理工作；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）负责全区市场主体统一登记注册；</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3</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）负责组织和指导全区市场监管综合执法工作；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4</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）负责全区反垄断统一执法，；</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5</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）负责监督管理全区市场秩序；</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6</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）负责全区宏观质量管理；</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7</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）负责全区食品质量安全监督管理；</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8</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）负责全区特种设备安全监督管理；</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9</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）负责全区食品安全监督管理综合协调；</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10</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）负责全区食品安全监督管理；</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（11）负责统一管理全区计量工作；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（12）负责统一管理全区标准化工作；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（13）负责统一管理全区检验检测工作；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（14）负责统一管理全区认证认可工作；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（15）负责市场监督管理科技和信息化建设；</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（16）负责全区药品、医疗器械和化妆品安全监督管理；</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（17）负责全区知识产权战略和规划的制定，负责知识产权的保护，负责组织指导商标、专利执法工作；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（18）贯彻落实中央、省委、市委和区委关于加强民营经济党组织建设有关要求；</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（19）负责职责范围内的安全生产和职业健康、生态环境保护、审批服务便民等工作；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（20） 完成区委区政府交办的其他任务。</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Times New Roman" w:hAnsi="Times New Roman"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人员概况</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区市场监督管理局核定总编制56名，其中行政编制20 名，工勤编2名，其他事业编制16 名。参公编制18个，在职人员总数69人，其中行政人员38人，政法人员0人，参照公务员法管理的事业人员5人，其他事业人员26人；离休人员0人，退休人员29人。</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Times New Roman" w:hAnsi="Times New Roman"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2022</w:t>
      </w: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年度主要工作任务。</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1.优化准入环境。贯彻落实《</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中华人民共和国</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市场主体登记管理条例》，全面推进“一网通办”前提下的“最多跑一次”改革，加大“证照分离”改革力度，深化“住所（经营场所）改革试点”成果，落实“跨省通办”和“川渝通办”事项清单，持续提升企业开办服务能力，确保“企业开办4个工作小时办结”。</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2.放宽准营通道。实行营业执照与食品经营许可证、药品经营许可证的“一件事一次办”，积极探索公共场所卫生许可、交通运输许可、文化经营许可等跨部门的一件事一次办。</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3.健全市场主体退出机制。畅通市场主体退出渠道，全面实施简易注销改革，探索市场监管系统内注销营业执照与食品经营许可证、药品经营许可证“套餐式”同步注销。</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4.创新事前事中事后监管方式。构建以“双随机、一公开”监管为主要手段，重点监管为补充，信用监管为基础的新型监管方式，探索实行“触发式监管”和“牵头监管”模式，执法办案领域“认罚认轻”制度和重点区域和领域“沙盒监管”。</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5.加强知识产权保护。依法查处假冒专利违法行为，大力开展代理行为定向抽查。打击非正常专利申请和商标囤积、恶意注册等行为，严厉查处涉外、涉农、酒类等各类商标侵权案件。加大地理标志证明商标保护力度，强力推进“地标助力乡村振兴”，围绕“王家贡米”等重点品牌建立知识产权保护协调机制。</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6.营造公平竞争环境。要加强反垄断与反不正当竞争工作，持续推动公平竞争审查工作，建立“双随机”实施公平竞争审查抽查制度，通过督查、抽查、会审、第三方评估等方式，强化制度刚性约束。强化行政垄断风险研判识别。探索建立预警提醒制度，完善公平竞争审查建议、行政指导、约谈等梯次工具。</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7.维护市场价格秩序。加强重点民生商品价格监管，围绕公用企业供水、供电、供气，商业银行、通</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信</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中介机构、行业协会等行业和粮食、燃气等重点领域，开展保价保供专项治理，严厉打击哄</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抬</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价格、串通涨价等行为。</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8.加强广告监管。坚持广告导向监管，围绕医疗、食品、药品、房地产、教育培训、金融投资理财等重点领域开展专项整治，严厉打击虚假违法广告，实现传统媒体广告监测违法率1%以内、互联网广告违法线索处置率达100%。</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9.切实打造放心舒心消费环境。强化网络监管，推进网络市场监管基础数据库建设，开展2023“网剑行动”，探索协同监管方式，优化线上市场秩序。抓好合同规范管理，优化“守合同重信用”公示。组织修订《市场监管投诉举报办理流程》，建立完善企业在线纠纷调解机制和快速维权救助机制，针对消费投诉热点发布消费警示，深化放心舒心消费环境建设。</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10.加强非公经济组织党建工作。深入开展非公党建带群建工作，协调区委组织部（两新工委）及区团委、妇联、工会等群团组织，积极争取市局非公党建工作支持，联合开展昭化区非公党建带群建工作，共同打造昭化区非公党建带群建示范点和活动阵地，重点打造1-2个示范点位。</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11.推进质量共治。创新</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高</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质量发展、质量宣传机制，支持各镇开展质量强镇示范创建。持续推动重点行业、重点领域开展质量提升行动。严格质量工作考核，提升质量工作实效。落实企业主体责任，推广先进科学的质量管理方法，督促企业加强质量管理，落实产品质量安全强制报告、缺陷产品召回等制度，鼓励辖区企业申报市长质量奖和四川省天府质量奖。</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12.优化质量供给。大力推动计量、标准、认证认可、检验检测等要素共建共享、协同服务、综合运用。全面提升强制检定保障能力，依法做好安全防护、环境监测、医疗卫生、贸易结算等领域强制检定。加强对加油机、民用“三表”等民生计量专项监督抽查和商品定量包装、过度包装产品检查。推进标准引领，在特色餐饮、绿色物流、生态产品、基本公共服务等方面开展标准体系建设和应用，鼓励企业按照产品先进指标体系组织生产，积极参与国家和省级标准制（修）订。推进昭化茯苓省级农业标准化示范区创建工作。完成王家贡米生产技术规范申报评审。推进有机昭化建设，进一步扩大认证数量和规模，开展认证有效性抽查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13.强化认证认可和检验检测监管。以建筑材料、车辆、农产品、环境检测机构和有机认证为重点，持续深化认证、检验行业乱象治理。加强3C认证产品监管，推进电动自行车和低速电动车专项整治。高质量完成食品药品、工业产品、特种设备检验检测等工作。</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14.守住食品安全底线。按照“四个最严”要求，压紧压实食品安全责任。深化“三提醒”机制，加大巡察督</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察</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力度，推动食品安全党政同责落实到位。持续推进各镇食品安全工作规范化、标准化建设，进一步提升基层食品安全治理能力和水平。牵头组织修订完善食品安全突发事件应急预案，组织对局内相关股室、各镇和部门开展应急能力提升培训。提高食品抽检的科学性和靶向性。扎实开展食品安全“守底线、查隐患、保安全”专项行动和“周三查餐厅、周四查市场”行动，加强对重点区域、重点环节、重点主体的食品安全治理，确保人民群众“舌尖上的安全”。聚焦粮食质量安全，加大对粮食收储、生产、经营、餐饮等环节监管力度，督促市场主体认真落实索证索票、进货查验、台账记录、质量检测等制度。</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15.守住药品安全底线。健全完善区级、企业二级培训体系，提升应急处置能力。扎实开展中药饮片、二类精神药品和血液制品等专项整治，重点加强生物制品监管，强化对新上市</w:t>
      </w:r>
      <w:r>
        <w:rPr>
          <w:sz w:val="32"/>
          <w:szCs w:val="32"/>
        </w:rPr>
        <w:t>新冠</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疫苗和流感疫苗的监督检查，保障公众用药安全。开展好线上监管工作，加强定向监测，加大对利用互联网非法制售药品等违法行为的打击力度。全面完成市局下达的药械化抽检及不良反应（事件）工作任务。全力推进昭化茯苓全产业链管理规范及质量标准提升示范工程，助推广元医药产业的高质量发展。</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16.守住特种设备安全底线。全力打好特种设备安全专项整治三年行动收官战，深入排查治理安全隐患，建立风险清单、措施清单和责任清单，实行重点隐患整改销号机制。全面启用广元市特种设备综合管理平台，提高安全风险分析预警能力和产品追溯效率。推动电梯维护保养从固定周期、固定项目维保向按需维保转变，引导从业单位提升优质高效的维保服务。</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17.守好重要工业产品质量安全底线。聚焦民生热点，加强监督抽查，建立“红黑榜”制度，切实消除质量隐患。配合市局做好建材、成品油、烟花爆竹、危险化学品、儿童学生用品和重点消费品等质量监督抽查和风险监测，开展产品质量专项整治。</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18.坚决惩治市场监管领域违法行为。深化法治文化建设采取“法律进企业”“法律进网络”等方式，加强市场主体守法经营教育，引导市场主体“惟用法律自</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律</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己”。擦亮“春雷”“铁拳”品牌。依托“春雷行动202</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 w:hAnsi="仿宋" w:eastAsia="仿宋_GB2312" w:cs="仿宋"/>
          <w:b w:val="0"/>
          <w:bCs w:val="0"/>
          <w:color w:val="000000" w:themeColor="text1"/>
          <w:spacing w:val="0"/>
          <w:kern w:val="0"/>
          <w:sz w:val="32"/>
          <w:szCs w:val="32"/>
          <w:highlight w:val="none"/>
          <w:shd w:val="clear" w:color="auto" w:fill="FFFFFF"/>
          <w:lang w:val="zh-CN" w:eastAsia="zh-CN"/>
          <w14:textFill>
            <w14:solidFill>
              <w14:schemeClr w14:val="tx1"/>
            </w14:solidFill>
          </w14:textFill>
        </w:rPr>
        <w:t>”等一系列执法行动，聚焦疫情防控、扫黑除恶、侵权假冒、扫黄打非、长江禁捕等重点领域，依法查处一批民怨深，危害广、风险高、压力大的“铁案”，让市场监管长出牙齿。</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（四）部门整体支出绩效目标。</w:t>
      </w:r>
    </w:p>
    <w:p>
      <w:pPr>
        <w:ind w:firstLine="640" w:firstLineChars="200"/>
        <w:rPr>
          <w:rFonts w:hint="eastAsia"/>
          <w:b w:val="0"/>
          <w:bCs w:val="0"/>
          <w:color w:val="000000" w:themeColor="text1"/>
          <w:spacing w:val="0"/>
          <w:lang w:val="zh-CN"/>
          <w14:textFill>
            <w14:solidFill>
              <w14:schemeClr w14:val="tx1"/>
            </w14:solidFill>
          </w14:textFill>
        </w:rPr>
      </w:pP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完成区委区政府下达的各类年度目标任务。 拟订全区市场监管局中长期规划和年度计划，组织、协调和指导全区</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市场综合监管</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工作；拟订全区</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市场综合监管</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资金使用管理和项目管理办法，负责有关项目、资金、基金、物资的分配、管理、使用、稽查审计、绩效考评、统计监测等监督工作；负责</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市场监督管理政策研究</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及信息工作等。争取</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招商引资</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项目</w:t>
      </w:r>
      <w:r>
        <w:rPr>
          <w:rFonts w:hint="eastAsia" w:ascii="Times New Roman" w:hAnsi="Times New Roman"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个。基本支出控制在</w:t>
      </w:r>
      <w:r>
        <w:rPr>
          <w:rFonts w:hint="eastAsia" w:ascii="Times New Roman" w:hAnsi="Times New Roman"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1221</w:t>
      </w:r>
      <w:r>
        <w:rPr>
          <w:rFonts w:hint="eastAsia" w:ascii="仿宋" w:hAnsi="仿宋"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62</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万元，项目支出控制在</w:t>
      </w:r>
      <w:r>
        <w:rPr>
          <w:rFonts w:hint="eastAsia" w:ascii="Times New Roman" w:hAnsi="Times New Roman"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178</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万元预算范围内项目实施。使受惠群众满意度达到</w:t>
      </w:r>
      <w:r>
        <w:rPr>
          <w:rFonts w:hint="eastAsia" w:ascii="Times New Roman" w:hAnsi="Times New Roman"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9</w:t>
      </w:r>
      <w:r>
        <w:rPr>
          <w:rFonts w:hint="eastAsia" w:eastAsia="仿宋_GB2312" w:cs="仿宋"/>
          <w:b w:val="0"/>
          <w:bCs w:val="0"/>
          <w:color w:val="000000" w:themeColor="text1"/>
          <w:spacing w:val="0"/>
          <w:kern w:val="0"/>
          <w:sz w:val="32"/>
          <w:szCs w:val="32"/>
          <w:highlight w:val="none"/>
          <w:shd w:val="clear" w:color="auto" w:fill="FFFFFF"/>
          <w:lang w:val="en-US" w:eastAsia="zh-CN"/>
          <w14:textFill>
            <w14:solidFill>
              <w14:schemeClr w14:val="tx1"/>
            </w14:solidFill>
          </w14:textFill>
        </w:rPr>
        <w:t>5</w:t>
      </w:r>
      <w:r>
        <w:rPr>
          <w:rFonts w:hint="eastAsia" w:ascii="仿宋" w:hAnsi="仿宋" w:eastAsia="仿宋_GB2312" w:cs="仿宋"/>
          <w:b w:val="0"/>
          <w:bCs w:val="0"/>
          <w:color w:val="000000" w:themeColor="text1"/>
          <w:spacing w:val="0"/>
          <w:kern w:val="0"/>
          <w:sz w:val="32"/>
          <w:szCs w:val="32"/>
          <w:highlight w:val="none"/>
          <w:shd w:val="clear" w:color="auto" w:fill="FFFFFF"/>
          <w:lang w:val="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pPr>
      <w:r>
        <w:rPr>
          <w:rFonts w:hint="eastAsia"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t>二、</w:t>
      </w:r>
      <w:r>
        <w:rPr>
          <w:rFonts w:hint="eastAsia" w:ascii="黑体" w:hAnsi="宋体" w:eastAsia="黑体" w:cs="宋体"/>
          <w:b w:val="0"/>
          <w:bCs w:val="0"/>
          <w:color w:val="000000" w:themeColor="text1"/>
          <w:spacing w:val="0"/>
          <w:kern w:val="0"/>
          <w:sz w:val="32"/>
          <w:szCs w:val="32"/>
          <w:highlight w:val="none"/>
          <w:shd w:val="clear" w:color="auto" w:fill="FFFFFF"/>
          <w:lang w:eastAsia="zh-CN"/>
          <w14:textFill>
            <w14:solidFill>
              <w14:schemeClr w14:val="tx1"/>
            </w14:solidFill>
          </w14:textFill>
        </w:rPr>
        <w:t>部门</w:t>
      </w:r>
      <w:r>
        <w:rPr>
          <w:rFonts w:hint="eastAsia"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t>资金收支情况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（一）部门总体收支情况。</w:t>
      </w:r>
    </w:p>
    <w:p>
      <w:pPr>
        <w:keepNext w:val="0"/>
        <w:keepLines w:val="0"/>
        <w:pageBreakBefore w:val="0"/>
        <w:widowControl w:val="0"/>
        <w:kinsoku/>
        <w:wordWrap/>
        <w:overflowPunct w:val="0"/>
        <w:topLinePunct w:val="0"/>
        <w:bidi w:val="0"/>
        <w:spacing w:line="576" w:lineRule="exact"/>
        <w:ind w:left="0" w:leftChars="0" w:firstLine="640" w:firstLineChars="200"/>
        <w:jc w:val="both"/>
        <w:textAlignment w:val="auto"/>
        <w:outlineLvl w:val="9"/>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.部门总体收入情况：</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年一般公共预算收入</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万元。预算人员经费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1058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%，预算日常公用经费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%，项目资金</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年一般公共预算决算收入</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w:t>
      </w:r>
    </w:p>
    <w:p>
      <w:pPr>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、部门总体支出情况：</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年一般公共预算财政拨款支出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万元。其中：工资和福利支出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%；商品和服务支出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339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%（其中三公经费支出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万元，占商品和服务支出的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%）；对个人和家庭的补助支出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年度预算调整追加项目经费资金</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万元，追加正常工资晋升</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万元，合计决算财政拨款支出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9620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w:t>
      </w:r>
    </w:p>
    <w:p>
      <w:pPr>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000000" w:themeColor="text1"/>
          <w:spacing w:val="0"/>
          <w:kern w:val="0"/>
          <w:sz w:val="32"/>
          <w:szCs w:val="32"/>
          <w:lang w:eastAsia="en-US" w:bidi="en-US"/>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（二）部门财政拨款收支情况。</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.部门财政拨款收入情况：</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一般公共预算收入</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万元。预算人员经费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1058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%，预算日常公用经费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%，项目资金</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万元，占预算收入的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年一般公共预算决算收入</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w:t>
      </w:r>
    </w:p>
    <w:p>
      <w:pPr>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、部门财政拨款支出情况</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年一般公共预算财政拨款支出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万元。其中：工资和福利支出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71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%；商品和服务支出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339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%（其中三公经费支出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万元，占商品和服务支出的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%）；对个人和家庭的补助支出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35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万元，占支出的</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年度预算调整追加项目经费资金</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45</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万元，追加正常工资晋升</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万元，合计决算财政拨款支出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1399</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黑体" w:hAnsi="宋体" w:eastAsia="黑体" w:cs="宋体"/>
          <w:b w:val="0"/>
          <w:bCs w:val="0"/>
          <w:color w:val="000000" w:themeColor="text1"/>
          <w:spacing w:val="0"/>
          <w:kern w:val="0"/>
          <w:sz w:val="32"/>
          <w:szCs w:val="32"/>
          <w:highlight w:val="none"/>
          <w:u w:val="none"/>
          <w:shd w:val="clear" w:color="auto" w:fill="FFFFFF"/>
          <w:lang w:eastAsia="zh-CN"/>
          <w14:textFill>
            <w14:solidFill>
              <w14:schemeClr w14:val="tx1"/>
            </w14:solidFill>
          </w14:textFill>
        </w:rPr>
      </w:pPr>
      <w:r>
        <w:rPr>
          <w:rFonts w:hint="eastAsia"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t>三、</w:t>
      </w:r>
      <w:r>
        <w:rPr>
          <w:rFonts w:hint="eastAsia" w:ascii="黑体" w:hAnsi="宋体" w:eastAsia="黑体" w:cs="宋体"/>
          <w:b w:val="0"/>
          <w:bCs w:val="0"/>
          <w:color w:val="000000" w:themeColor="text1"/>
          <w:spacing w:val="0"/>
          <w:kern w:val="0"/>
          <w:sz w:val="32"/>
          <w:szCs w:val="32"/>
          <w:highlight w:val="none"/>
          <w:u w:val="none"/>
          <w:shd w:val="clear" w:color="auto" w:fill="FFFFFF"/>
          <w14:textFill>
            <w14:solidFill>
              <w14:schemeClr w14:val="tx1"/>
            </w14:solidFill>
          </w14:textFill>
        </w:rPr>
        <w:t>部门整体绩效</w:t>
      </w:r>
      <w:r>
        <w:rPr>
          <w:rFonts w:hint="eastAsia" w:ascii="黑体" w:hAnsi="宋体" w:eastAsia="黑体" w:cs="宋体"/>
          <w:b w:val="0"/>
          <w:bCs w:val="0"/>
          <w:color w:val="000000" w:themeColor="text1"/>
          <w:spacing w:val="0"/>
          <w:kern w:val="0"/>
          <w:sz w:val="32"/>
          <w:szCs w:val="32"/>
          <w:highlight w:val="none"/>
          <w:u w:val="none"/>
          <w:shd w:val="clear" w:color="auto" w:fill="FFFFFF"/>
          <w:lang w:eastAsia="zh-CN"/>
          <w14:textFill>
            <w14:solidFill>
              <w14:schemeClr w14:val="tx1"/>
            </w14:solidFill>
          </w14:textFill>
        </w:rPr>
        <w:t>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（一）部门预算项目绩效分析。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.人员类项目绩效分析</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单位</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人员经费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1058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万元，主要用于人力资源和社会保障就业支出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07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万元，卫生健康支出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46</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23</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万元，住房保障支出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工资福利支出</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800</w:t>
      </w:r>
      <w:r>
        <w:rPr>
          <w:rFonts w:hint="eastAsia" w:eastAsia="仿宋_GB2312" w:cs="Times New Roman"/>
          <w:b w:val="0"/>
          <w:bCs w:val="0"/>
          <w:color w:val="000000" w:themeColor="text1"/>
          <w:spacing w:val="0"/>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54</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万元，完成预算支出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在支出控制方面</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，严格执行政策兑现工资、津补贴，无乱发津补贴等现象</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zh-CN"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.运转类项目绩效分析</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公用经费</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162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 ，主要日常公用经费办公费、差旅费、电话费等开支，完成预算支出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在支出控制方面，部门日常公用经费中“办公费、印刷费、水费、电费、物业管理费”等科目年初预算数与决算数无偏差</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。无违纪违规现象。</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default"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.特定目标类项目绩效分析</w:t>
      </w:r>
    </w:p>
    <w:p>
      <w:pPr>
        <w:keepNext w:val="0"/>
        <w:keepLines w:val="0"/>
        <w:pageBreakBefore w:val="0"/>
        <w:widowControl w:val="0"/>
        <w:kinsoku/>
        <w:wordWrap/>
        <w:overflowPunct w:val="0"/>
        <w:topLinePunct w:val="0"/>
        <w:bidi w:val="0"/>
        <w:adjustRightInd/>
        <w:snapToGrid/>
        <w:spacing w:line="576" w:lineRule="exact"/>
        <w:ind w:left="0" w:leftChars="0" w:firstLine="640" w:firstLineChars="200"/>
        <w:jc w:val="both"/>
        <w:textAlignment w:val="auto"/>
        <w:outlineLvl w:val="9"/>
        <w:rPr>
          <w:rFonts w:hint="default" w:ascii="仿宋_GB2312" w:hAnsi="仿宋_GB2312" w:eastAsia="仿宋_GB2312" w:cs="仿宋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项目支出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178</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万元，主要用于食品、药品医疗器械及化妆品，特种设备监管，知识产权、质量技术监管经费等，完成预算支出</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%。各类资金</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收支执行进度良好、部门整体绩效目标完成较好，无偏差。本部门预算项目年终预算执行情况部门预算项目</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月预算执行进度达到</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%。部门预算项目资金无结余。依据评价年度审计监督、财政检</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察</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结果，本单位预算管理方面无违纪违规问题</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（二）部门整体履职绩效分析。</w:t>
      </w:r>
    </w:p>
    <w:p>
      <w:pPr>
        <w:keepNext w:val="0"/>
        <w:keepLines w:val="0"/>
        <w:pageBreakBefore w:val="0"/>
        <w:widowControl w:val="0"/>
        <w:kinsoku/>
        <w:wordWrap/>
        <w:overflowPunct w:val="0"/>
        <w:topLinePunct w:val="0"/>
        <w:bidi w:val="0"/>
        <w:adjustRightInd/>
        <w:snapToGrid/>
        <w:spacing w:line="576" w:lineRule="exact"/>
        <w:ind w:left="0" w:leftChars="0" w:firstLine="640" w:firstLineChars="200"/>
        <w:jc w:val="both"/>
        <w:textAlignment w:val="auto"/>
        <w:outlineLvl w:val="9"/>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本单位绩效目标编制要素完整，绩效指标细化量化准确，绩效目标纳入本单位</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局长</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办公会研究决策。年初预算和年末决算编制内容真实有效，编制数据完整，准确。年初预算（含追加项目资金）绩效目标编制完整、合理。报表报送及时准确</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在支出控制方面，部门日常公用经费、项目支出中“办公费、印刷费、水费、电费、物业管理费”等科目年初预算数与决算数无偏差。本部门在开展绩效运行监控后，将绩效监控结果应用到预算调整中。本部门预算项目年终预算执行情况部门预算项目</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月预算执行进度达到</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%。部门预算项目资金无结余。依据评价年度审计监督、财政</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监</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察结果，本单位预算管理方面无违纪违规问题</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zh-CN"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（三）结果应用情况。</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000000" w:themeColor="text1"/>
          <w:spacing w:val="0"/>
          <w:kern w:val="0"/>
          <w:sz w:val="32"/>
          <w:szCs w:val="32"/>
          <w:highlight w:val="none"/>
          <w:shd w:val="clear" w:color="auto" w:fill="FFFFFF"/>
          <w:lang w:val="zh-CN"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本单位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公开。本部门针对绩效管理过程中（包括绩效目标核查、绩效监控核查、重点自评抽查和重点绩效评价）提出的问题进行整改问题、完善政策、改进管理。在应用反馈方面，本部门在规定时间内向财政部门反馈应用绩效结果报告</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8"/>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自评质量。</w:t>
      </w:r>
    </w:p>
    <w:p>
      <w:pPr>
        <w:keepNext w:val="0"/>
        <w:keepLines w:val="0"/>
        <w:pageBreakBefore w:val="0"/>
        <w:widowControl w:val="0"/>
        <w:kinsoku/>
        <w:wordWrap/>
        <w:overflowPunct w:val="0"/>
        <w:topLinePunct w:val="0"/>
        <w:bidi w:val="0"/>
        <w:adjustRightInd w:val="0"/>
        <w:snapToGrid w:val="0"/>
        <w:spacing w:line="576" w:lineRule="exact"/>
        <w:ind w:left="0" w:leftChars="0" w:firstLine="640" w:firstLineChars="200"/>
        <w:contextualSpacing/>
        <w:jc w:val="both"/>
        <w:textAlignment w:val="auto"/>
        <w:outlineLvl w:val="9"/>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本单位严格按照区财政局的要求，对</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年部门整体支出绩效中的目标制定、目标实现、支出控制、执行进度、预算完成等方面开展了自评，自评范围全面、客观、准确，整体支出绩效准确率达</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100</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pPr>
      <w:r>
        <w:rPr>
          <w:rFonts w:hint="eastAsia" w:ascii="黑体" w:hAnsi="宋体" w:eastAsia="黑体" w:cs="宋体"/>
          <w:b w:val="0"/>
          <w:bCs w:val="0"/>
          <w:color w:val="000000" w:themeColor="text1"/>
          <w:spacing w:val="0"/>
          <w:kern w:val="0"/>
          <w:sz w:val="32"/>
          <w:szCs w:val="32"/>
          <w:highlight w:val="none"/>
          <w:shd w:val="clear" w:color="auto" w:fill="FFFFFF"/>
          <w14:textFill>
            <w14:solidFill>
              <w14:schemeClr w14:val="tx1"/>
            </w14:solidFill>
          </w14:textFill>
        </w:rPr>
        <w:t>四、评价结论及建议</w:t>
      </w:r>
    </w:p>
    <w:p>
      <w:pPr>
        <w:keepNext w:val="0"/>
        <w:keepLines w:val="0"/>
        <w:pageBreakBefore w:val="0"/>
        <w:widowControl w:val="0"/>
        <w:numPr>
          <w:ilvl w:val="0"/>
          <w:numId w:val="0"/>
        </w:numPr>
        <w:kinsoku/>
        <w:wordWrap/>
        <w:overflowPunct w:val="0"/>
        <w:topLinePunct w:val="0"/>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（一）评价结论</w:t>
      </w: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按照预算绩效管理要求，本部门对</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2022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年整体支出的人员类、运转类、特定目标类项目开展绩效自评，</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自评结果</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97</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分。</w:t>
      </w:r>
    </w:p>
    <w:p>
      <w:pPr>
        <w:keepNext w:val="0"/>
        <w:keepLines w:val="0"/>
        <w:pageBreakBefore w:val="0"/>
        <w:widowControl w:val="0"/>
        <w:numPr>
          <w:ilvl w:val="0"/>
          <w:numId w:val="0"/>
        </w:numPr>
        <w:kinsoku/>
        <w:wordWrap/>
        <w:overflowPunct w:val="0"/>
        <w:topLinePunct w:val="0"/>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（二）存在问题</w:t>
      </w: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一是预算经费不足。二是项目进度跟踪，开展项目绩效及项目绩效目标完成有待加强。三是预算绩效编制在不科学性和不合理性，绩效目标设置存在不够明确、细化、量化。</w:t>
      </w:r>
    </w:p>
    <w:p>
      <w:pPr>
        <w:pStyle w:val="4"/>
        <w:bidi w:val="0"/>
        <w:jc w:val="center"/>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zh-CN"/>
          <w14:textFill>
            <w14:solidFill>
              <w14:schemeClr w14:val="tx1"/>
            </w14:solidFill>
          </w14:textFill>
        </w:rPr>
        <w:t>（三）改进建议</w:t>
      </w:r>
      <w:r>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进一步完善单位财务部门和业务部门共同参与，协调配合绩效评价工作机制，建立一套专门的资金管理制度，同时完善项目监督方面的工作，制定一套有效的项目监督机制，减免项目实施中的各种风险，加大项目效益产出。二是开展多种形式的讲座和培训，强化预算绩效管理意识，提高单位绩效评价工作的水平。三是进一步健全和完善财务制度及内部控制制度，创新管理手段，用新思路、新方法，改进完善财务管理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themeColor="text1"/>
          <w:spacing w:val="0"/>
          <w:kern w:val="0"/>
          <w:sz w:val="32"/>
          <w:szCs w:val="32"/>
          <w:highlight w:val="none"/>
          <w:shd w:val="clear" w:color="auto" w:fill="FFFFFF"/>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spacing w:val="0"/>
          <w:sz w:val="32"/>
          <w:szCs w:val="32"/>
          <w:highlight w:val="none"/>
          <w:lang w:val="zh-CN" w:eastAsia="zh-CN"/>
          <w14:textFill>
            <w14:solidFill>
              <w14:schemeClr w14:val="tx1"/>
            </w14:solidFill>
          </w14:textFill>
        </w:rPr>
      </w:pPr>
      <w:r>
        <w:br w:type="page"/>
      </w:r>
    </w:p>
    <w:p>
      <w:pPr>
        <w:pStyle w:val="4"/>
        <w:bidi w:val="0"/>
        <w:rPr>
          <w:rFonts w:hint="default"/>
          <w:lang w:val="en-US" w:eastAsia="zh-CN"/>
        </w:rPr>
      </w:pPr>
      <w:bookmarkStart w:id="88" w:name="_Toc12867"/>
      <w:r>
        <w:rPr>
          <w:rFonts w:hint="eastAsia" w:ascii="黑体" w:hAnsi="黑体" w:eastAsia="黑体" w:cs="黑体"/>
          <w:b w:val="0"/>
          <w:bCs w:val="0"/>
          <w:color w:val="000000" w:themeColor="text1"/>
          <w:spacing w:val="0"/>
          <w:szCs w:val="32"/>
          <w:highlight w:val="none"/>
          <w:lang w:val="en-US" w:eastAsia="zh-CN"/>
          <w14:textFill>
            <w14:solidFill>
              <w14:schemeClr w14:val="tx1"/>
            </w14:solidFill>
          </w14:textFill>
        </w:rPr>
        <w:t>附</w:t>
      </w:r>
      <w:r>
        <w:rPr>
          <w:rFonts w:hint="eastAsia"/>
          <w:lang w:val="en-US" w:eastAsia="zh-CN"/>
        </w:rPr>
        <w:t>件2</w:t>
      </w:r>
      <w:bookmarkEnd w:id="88"/>
    </w:p>
    <w:p>
      <w:pPr>
        <w:pStyle w:val="4"/>
        <w:bidi w:val="0"/>
        <w:rPr>
          <w:rFonts w:hint="eastAsia"/>
          <w:lang w:val="zh-CN" w:eastAsia="zh-CN"/>
        </w:rPr>
      </w:pPr>
    </w:p>
    <w:p>
      <w:pPr>
        <w:pStyle w:val="4"/>
        <w:bidi w:val="0"/>
        <w:jc w:val="center"/>
        <w:rPr>
          <w:rFonts w:hint="default"/>
          <w:lang w:val="en-US" w:eastAsia="zh-CN"/>
        </w:rPr>
      </w:pPr>
      <w:bookmarkStart w:id="89" w:name="_Toc31599"/>
      <w:r>
        <w:rPr>
          <w:rFonts w:hint="default"/>
          <w:lang w:val="en-US" w:eastAsia="zh-CN"/>
        </w:rPr>
        <w:t>广元市昭化区市场监督管理局部门整体</w:t>
      </w:r>
      <w:bookmarkEnd w:id="89"/>
    </w:p>
    <w:p>
      <w:pPr>
        <w:pStyle w:val="4"/>
        <w:bidi w:val="0"/>
        <w:jc w:val="center"/>
        <w:rPr>
          <w:rFonts w:hint="default"/>
          <w:lang w:val="en-US" w:eastAsia="zh-CN"/>
        </w:rPr>
      </w:pPr>
      <w:bookmarkStart w:id="90" w:name="_Toc7892"/>
      <w:r>
        <w:rPr>
          <w:rFonts w:hint="default"/>
          <w:lang w:val="en-US" w:eastAsia="zh-CN"/>
        </w:rPr>
        <w:t>支出绩效目标自评表</w:t>
      </w:r>
      <w:bookmarkEnd w:id="90"/>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center"/>
        <w:textAlignment w:val="auto"/>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zh-CN"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40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92"/>
        <w:gridCol w:w="583"/>
        <w:gridCol w:w="954"/>
        <w:gridCol w:w="1296"/>
        <w:gridCol w:w="1044"/>
        <w:gridCol w:w="1392"/>
        <w:gridCol w:w="1440"/>
        <w:gridCol w:w="675"/>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1275"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2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广元市昭化区市场监督管理局</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0" w:type="auto"/>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4"/>
                <w:szCs w:val="24"/>
                <w:u w:val="none"/>
                <w14:textFill>
                  <w14:solidFill>
                    <w14:schemeClr w14:val="tx1"/>
                  </w14:solidFill>
                </w14:textFill>
              </w:rPr>
            </w:pPr>
            <w:bookmarkStart w:id="124" w:name="_GoBack"/>
            <w:r>
              <w:rPr>
                <w:rFonts w:hint="eastAsia" w:ascii="宋体" w:hAnsi="宋体" w:eastAsia="宋体" w:cs="宋体"/>
                <w:b w:val="0"/>
                <w:bCs w:val="0"/>
                <w:i w:val="0"/>
                <w:iCs w:val="0"/>
                <w:color w:val="000000" w:themeColor="text1"/>
                <w:spacing w:val="0"/>
                <w:kern w:val="0"/>
                <w:sz w:val="24"/>
                <w:szCs w:val="24"/>
                <w:u w:val="none"/>
                <w:lang w:val="en-US" w:eastAsia="zh-CN"/>
                <w14:textFill>
                  <w14:solidFill>
                    <w14:schemeClr w14:val="tx1"/>
                  </w14:solidFill>
                </w14:textFill>
              </w:rPr>
              <w:t>广元市昭化区市场</w:t>
            </w:r>
            <w:r>
              <w:rPr>
                <w:rFonts w:hint="eastAsia" w:ascii="宋体" w:hAnsi="宋体" w:cs="宋体"/>
                <w:b w:val="0"/>
                <w:bCs w:val="0"/>
                <w:i w:val="0"/>
                <w:iCs w:val="0"/>
                <w:color w:val="000000" w:themeColor="text1"/>
                <w:spacing w:val="0"/>
                <w:kern w:val="0"/>
                <w:sz w:val="24"/>
                <w:szCs w:val="24"/>
                <w:u w:val="none"/>
                <w:lang w:val="en-US" w:eastAsia="zh-CN"/>
                <w14:textFill>
                  <w14:solidFill>
                    <w14:schemeClr w14:val="tx1"/>
                  </w14:solidFill>
                </w14:textFill>
              </w:rPr>
              <w:t>监督管理</w:t>
            </w:r>
            <w:r>
              <w:rPr>
                <w:rFonts w:hint="eastAsia" w:ascii="宋体" w:hAnsi="宋体" w:eastAsia="宋体" w:cs="宋体"/>
                <w:b w:val="0"/>
                <w:bCs w:val="0"/>
                <w:i w:val="0"/>
                <w:iCs w:val="0"/>
                <w:color w:val="000000" w:themeColor="text1"/>
                <w:spacing w:val="0"/>
                <w:kern w:val="0"/>
                <w:sz w:val="24"/>
                <w:szCs w:val="24"/>
                <w:u w:val="none"/>
                <w:lang w:val="en-US" w:eastAsia="zh-CN"/>
                <w14:textFill>
                  <w14:solidFill>
                    <w14:schemeClr w14:val="tx1"/>
                  </w14:solidFill>
                </w14:textFill>
              </w:rPr>
              <w:t>局</w:t>
            </w:r>
            <w:bookmarkEnd w:id="1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5"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项目（政策）资金（万元）</w:t>
            </w:r>
          </w:p>
        </w:tc>
        <w:tc>
          <w:tcPr>
            <w:tcW w:w="2250"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0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44"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20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4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20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4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62</w:t>
            </w:r>
          </w:p>
        </w:tc>
        <w:tc>
          <w:tcPr>
            <w:tcW w:w="20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44" w:type="dxa"/>
            <w:tcBorders>
              <w:tl2br w:val="nil"/>
              <w:tr2bl w:val="nil"/>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92"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40"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44" w:type="dxa"/>
            <w:tcBorders>
              <w:tl2br w:val="nil"/>
              <w:tr2bl w:val="nil"/>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92"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40"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44" w:type="dxa"/>
            <w:tcBorders>
              <w:tl2br w:val="nil"/>
              <w:tr2bl w:val="nil"/>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92"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40"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1275" w:type="dxa"/>
            <w:gridSpan w:val="2"/>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50" w:type="dxa"/>
            <w:gridSpan w:val="2"/>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44" w:type="dxa"/>
            <w:tcBorders>
              <w:tl2br w:val="nil"/>
              <w:tr2bl w:val="nil"/>
            </w:tcBorders>
            <w:shd w:val="clear" w:color="auto" w:fill="auto"/>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92"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40"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9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整体</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目标</w:t>
            </w:r>
          </w:p>
        </w:tc>
        <w:tc>
          <w:tcPr>
            <w:tcW w:w="5269"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w:t>
            </w:r>
          </w:p>
        </w:tc>
        <w:tc>
          <w:tcPr>
            <w:tcW w:w="344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269" w:type="dxa"/>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切实履行食品药品、工商行政管理、质量监督管理职能、职责，全年开展各类食品药品、医疗器械、特种设备等专项整治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次，开展食品药品安全宣传</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场次，发放宣传资料</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份，开展食品药品食用农产品抽检</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385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批次，特种设备操作人员继续教育培训</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人次，开展食品药品检查</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户次，为新增企业提供零费用注册、零费用刻制印章。维护全区市场秩序安全有序运转，为全区人民提供安全放心的消费环境，保护人民生命财产安全，打造良好的营商环境，促进地方经济不断发展。</w:t>
            </w:r>
          </w:p>
        </w:tc>
        <w:tc>
          <w:tcPr>
            <w:tcW w:w="344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切实履行食品药品、工商行政管理、质量监督管理职能、职责，全年开展各类食品药品、医疗器械、特种设备等专项整治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次，开展食品药品安全宣传</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场次，发放宣传资料</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份，开展食品药品食用农产品抽检</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385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批次，特种设备操作人员继续教育培训</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人次，开展食品药品检查</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户次，为新增企业提供零费用注册、零费用刻制印章。维护全区市场秩序安全有序运转，为全区人民提供安全放心的消费环境，保护人民生命财产安全，打造良好的营商环境，促进地方经济不断发展。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9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部门整体绩效指标</w:t>
            </w:r>
          </w:p>
        </w:tc>
        <w:tc>
          <w:tcPr>
            <w:tcW w:w="5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004"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本年在职职工人数</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78</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工资按时发放；各项工作全面完成。</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95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发放食品安全宣传资料</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份</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份</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各类专项整治</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免费刻制印章</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个（套）</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个（套）</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农村厨师培训次数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场次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场次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全区食品及食用农产品抽检批次</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385</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批次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385</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批次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全区食品药品检查数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食品成员单位考核次数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市场年报核查数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户</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户</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特种设备操作人员继续教育培训次数</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人/次</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人/次</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企业、专业合作社、个体工商户年报数量</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7155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14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7155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0" w:type="auto"/>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春雷执法立案</w:t>
            </w:r>
          </w:p>
        </w:tc>
        <w:tc>
          <w:tcPr>
            <w:tcW w:w="1044"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131</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药品监管医疗器械企业数</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p>
        </w:tc>
        <w:tc>
          <w:tcPr>
            <w:tcW w:w="14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p>
        </w:tc>
        <w:tc>
          <w:tcPr>
            <w:tcW w:w="675"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329"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人员工资发放率、</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各项工作推动有力。</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工资按时发放；各项工作全面完成。</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工资按时发放；各项工作全面完成。</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完成年度目标任务时间</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78</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人工资、社会保障缴费、住房公积金等经费控制在预算内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1107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1107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机关办公耗材、水电、等一般公务费控制在预算内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检验检测成本控制在预算内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快检车运行经费控制在预算内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临聘人员工资控制在预算内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食品安全监管成本控制在预算内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食品投诉举报奖励基金控制在预算内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食品药品医疗器械及化妆品监管成本</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特种设备监管成本控制在预算内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提升营商环境经费控制在预算内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完成工商管理工作经费控制在预算内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完成网络维护资金成本</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年招商引资工作经费控制在预算内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完成争取资金成本控制在预算内</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年综合监管补助资金</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2"/>
                <w:szCs w:val="22"/>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27</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0" w:type="auto"/>
            <w:gridSpan w:val="2"/>
            <w:tcBorders>
              <w:tl2br w:val="nil"/>
              <w:tr2bl w:val="nil"/>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年中央药品监管补助资金</w:t>
            </w:r>
          </w:p>
        </w:tc>
        <w:tc>
          <w:tcPr>
            <w:tcW w:w="13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2"/>
                <w:szCs w:val="22"/>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18</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万元</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restart"/>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强化全区市场监管安全，提高群众的认知率，确保区域内无重大市场安全事故发</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生</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，优化营商环境</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不断提高</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不断提高</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可持续影响指标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市场监管工作常态化</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优良</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92" w:type="dxa"/>
            <w:vMerge w:val="continue"/>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9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3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w:t>
            </w:r>
          </w:p>
        </w:tc>
        <w:tc>
          <w:tcPr>
            <w:tcW w:w="139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004" w:type="dxa"/>
            <w:gridSpan w:val="2"/>
            <w:tcBorders>
              <w:tl2br w:val="nil"/>
              <w:tr2bl w:val="nil"/>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rPr>
          <w:b w:val="0"/>
          <w:bCs w:val="0"/>
          <w:color w:val="000000" w:themeColor="text1"/>
          <w:spacing w:val="0"/>
          <w14:textFill>
            <w14:solidFill>
              <w14:schemeClr w14:val="tx1"/>
            </w14:solidFill>
          </w14:textFill>
        </w:r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b w:val="0"/>
          <w:bCs w:val="0"/>
          <w:color w:val="000000" w:themeColor="text1"/>
          <w:spacing w:val="0"/>
          <w:sz w:val="32"/>
          <w:szCs w:val="32"/>
          <w:highlight w:val="none"/>
          <w:lang w:val="zh-CN" w:eastAsia="zh-CN"/>
          <w14:textFill>
            <w14:solidFill>
              <w14:schemeClr w14:val="tx1"/>
            </w14:solidFill>
          </w14:textFill>
        </w:rPr>
      </w:pPr>
    </w:p>
    <w:p>
      <w:pPr>
        <w:rPr>
          <w:rFonts w:hint="eastAsia" w:hAnsi="宋体" w:cs="宋体"/>
          <w:b w:val="0"/>
          <w:bCs w:val="0"/>
          <w:color w:val="000000" w:themeColor="text1"/>
          <w:spacing w:val="0"/>
          <w:kern w:val="0"/>
          <w:sz w:val="32"/>
          <w:szCs w:val="32"/>
          <w:highlight w:val="none"/>
          <w:shd w:val="clear" w:color="auto" w:fill="FFFFFF"/>
          <w:lang w:val="zh-CN"/>
          <w14:textFill>
            <w14:solidFill>
              <w14:schemeClr w14:val="tx1"/>
            </w14:solidFill>
          </w14:textFill>
        </w:rPr>
      </w:pPr>
      <w:r>
        <w:br w:type="page"/>
      </w:r>
    </w:p>
    <w:p>
      <w:pPr>
        <w:pStyle w:val="4"/>
        <w:bidi w:val="0"/>
        <w:rPr>
          <w:rFonts w:hint="default"/>
          <w:lang w:val="en-US" w:eastAsia="zh-CN"/>
        </w:rPr>
      </w:pPr>
      <w:bookmarkStart w:id="91" w:name="_Toc32540"/>
      <w:r>
        <w:rPr>
          <w:rFonts w:hint="eastAsia"/>
          <w:lang w:val="zh-CN" w:eastAsia="zh-CN"/>
        </w:rPr>
        <w:t>附件</w:t>
      </w:r>
      <w:r>
        <w:rPr>
          <w:rFonts w:hint="eastAsia"/>
          <w:lang w:val="en-US" w:eastAsia="zh-CN"/>
        </w:rPr>
        <w:t>3</w:t>
      </w:r>
      <w:bookmarkEnd w:id="91"/>
    </w:p>
    <w:p>
      <w:pPr>
        <w:pStyle w:val="4"/>
        <w:bidi w:val="0"/>
        <w:rPr>
          <w:rFonts w:hint="eastAsia"/>
          <w:lang w:val="en-US" w:eastAsia="zh-CN"/>
        </w:rPr>
      </w:pPr>
    </w:p>
    <w:p>
      <w:pPr>
        <w:pStyle w:val="4"/>
        <w:bidi w:val="0"/>
        <w:jc w:val="center"/>
        <w:rPr>
          <w:rFonts w:hint="eastAsia" w:ascii="方正小标宋简体" w:hAnsi="方正小标宋简体" w:eastAsia="方正小标宋简体" w:cs="方正小标宋简体"/>
          <w:b w:val="0"/>
          <w:bCs w:val="0"/>
          <w:color w:val="000000" w:themeColor="text1"/>
          <w:spacing w:val="0"/>
          <w:szCs w:val="44"/>
          <w:lang w:val="en-US" w:eastAsia="zh-CN"/>
          <w14:textFill>
            <w14:solidFill>
              <w14:schemeClr w14:val="tx1"/>
            </w14:solidFill>
          </w14:textFill>
        </w:rPr>
      </w:pPr>
      <w:bookmarkStart w:id="92" w:name="_Toc26955"/>
      <w:r>
        <w:rPr>
          <w:rFonts w:hint="eastAsia"/>
          <w:lang w:val="en-US" w:eastAsia="zh-CN"/>
        </w:rPr>
        <w:t>2023年市场综合监管预算项目绩效自评报告</w:t>
      </w:r>
      <w:bookmarkEnd w:id="92"/>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黑体" w:hAnsi="黑体" w:eastAsia="黑体" w:cs="黑体"/>
          <w:b w:val="0"/>
          <w:bCs w:val="0"/>
          <w:color w:val="000000" w:themeColor="text1"/>
          <w:spacing w:val="0"/>
          <w:sz w:val="32"/>
          <w:szCs w:val="32"/>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zh-CN" w:eastAsia="zh-CN"/>
          <w14:textFill>
            <w14:solidFill>
              <w14:schemeClr w14:val="tx1"/>
            </w14:solidFill>
          </w14:textFill>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200" w:firstLine="320" w:firstLineChars="100"/>
        <w:textAlignment w:val="auto"/>
        <w:rPr>
          <w:rFonts w:hint="eastAsia" w:ascii="黑体" w:hAnsi="黑体" w:eastAsia="黑体" w:cs="黑体"/>
          <w:b w:val="0"/>
          <w:bCs w:val="0"/>
          <w:color w:val="000000" w:themeColor="text1"/>
          <w:spacing w:val="0"/>
          <w:sz w:val="32"/>
          <w:szCs w:val="32"/>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（一）项目基本情况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zh-CN"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昭化区</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市场监管局</w:t>
      </w:r>
      <w:r>
        <w:rPr>
          <w:rFonts w:hint="default" w:eastAsia="仿宋_GB2312" w:cs="Times New Roman"/>
          <w:b w:val="0"/>
          <w:bCs w:val="0"/>
          <w:color w:val="000000" w:themeColor="text1"/>
          <w:spacing w:val="0"/>
          <w:sz w:val="32"/>
          <w:szCs w:val="32"/>
          <w:lang w:val="zh-CN" w:eastAsia="zh-CN"/>
          <w14:textFill>
            <w14:solidFill>
              <w14:schemeClr w14:val="tx1"/>
            </w14:solidFill>
          </w14:textFill>
        </w:rPr>
        <w:t>202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年省级市场监管专项项目资金总额</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27</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万元，批复</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27</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万元，执行数</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27</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万元，用于支出我区市场综合监管工作，收到了良好的社会效益，守住了全区人民群众生命健康底线。</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（二）项目绩效目标。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根据全年专项工作安排，按照专项资金管理办法和专款专用的原则，春雷执法工作、公平</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竞争</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审查、知识产权保护、价格监管、</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年报公示、“双随机、一公开”抽查检查，“万人进万企”</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疫情防控，</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持续加强业务能力提升和监管队伍建设，统筹推进疫情防控中市场监管和经济社会发展，不断维护辖区市场秩序稳定，切实保障和改善民生，积极营造法治化、市场化、国际化营商环境，各项工作创新开展，均取得显著成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zh-CN" w:eastAsia="zh-CN"/>
          <w14:textFill>
            <w14:solidFill>
              <w14:schemeClr w14:val="tx1"/>
            </w14:solidFill>
          </w14:textFill>
        </w:rPr>
      </w:pPr>
      <w:r>
        <w:rPr>
          <w:rFonts w:hint="eastAsia" w:eastAsia="仿宋_GB2312" w:cs="Times New Roman"/>
          <w:b w:val="0"/>
          <w:bCs w:val="0"/>
          <w:color w:val="000000" w:themeColor="text1"/>
          <w:spacing w:val="0"/>
          <w:sz w:val="32"/>
          <w:szCs w:val="32"/>
          <w:lang w:val="zh-CN" w:eastAsia="zh-CN"/>
          <w14:textFill>
            <w14:solidFill>
              <w14:schemeClr w14:val="tx1"/>
            </w14:solidFill>
          </w14:textFill>
        </w:rPr>
        <w:t>（</w:t>
      </w: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000000"/>
          <w:spacing w:val="0"/>
          <w:sz w:val="32"/>
          <w:szCs w:val="32"/>
          <w:highlight w:val="none"/>
          <w:shd w:val="clear" w:color="auto" w:fill="auto"/>
          <w:lang w:val="zh-CN" w:eastAsia="zh-CN"/>
        </w:rPr>
      </w:pPr>
      <w:r>
        <w:rPr>
          <w:rFonts w:hint="default" w:ascii="Times New Roman" w:hAnsi="Times New Roman" w:eastAsia="仿宋_GB2312" w:cs="Times New Roman"/>
          <w:b w:val="0"/>
          <w:bCs w:val="0"/>
          <w:i w:val="0"/>
          <w:iCs w:val="0"/>
          <w:caps w:val="0"/>
          <w:color w:val="000000"/>
          <w:spacing w:val="0"/>
          <w:sz w:val="32"/>
          <w:szCs w:val="32"/>
          <w:highlight w:val="none"/>
          <w:shd w:val="clear" w:color="auto" w:fill="auto"/>
          <w:lang w:val="zh-CN" w:eastAsia="zh-CN"/>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w:t>
      </w:r>
      <w:r>
        <w:rPr>
          <w:rFonts w:hint="eastAsia" w:eastAsia="仿宋_GB2312" w:cs="Times New Roman"/>
          <w:b w:val="0"/>
          <w:bCs w:val="0"/>
          <w:i w:val="0"/>
          <w:iCs w:val="0"/>
          <w:caps w:val="0"/>
          <w:color w:val="000000"/>
          <w:spacing w:val="0"/>
          <w:sz w:val="32"/>
          <w:szCs w:val="32"/>
          <w:highlight w:val="none"/>
          <w:shd w:val="clear" w:color="auto" w:fill="auto"/>
          <w:lang w:val="en-US" w:eastAsia="zh-CN"/>
        </w:rPr>
        <w:t>广大人民群众</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auto"/>
          <w:lang w:val="zh-CN" w:eastAsia="zh-CN"/>
        </w:rPr>
        <w:t>建议意见，做好自评工作。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二、项目资金申报及使用情况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（一）项目资金申报及批复情况。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根据广财</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行</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32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号文件下达我局20</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年</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市场监管综合业务7万元；春雷行动17万元；</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广财</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建</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87</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号文件下达我局</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2022年省级知识产权专项资金3万元。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（二）资金计划、到位及使用情况。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1.项目资金到位情况分析。2022年度区财政局在有效时限内将市场综合监管专项资金27万元指标下达我局，我局根据资金用途制定了详细的项目实施方案及资金使用计划，确保了专项资金的专款专用。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2.项目资金执行情况分析。我局项目资金的实际支出完全符合资金开支范围、标准及支付要求，支付依据合规合法，资金支付与预算相符。</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3.项目资金管理情况分析。为强化专项资金管理，发挥资金的最大使用绩效，我局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（三）项目财务管理情况。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zh-CN"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经费严格按照</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项目财务管理制度</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执行</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、机构设置</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健全，</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会计核算及账务处理</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到位</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。严格执行财务管理制度、财务处理及时、会计核算规范。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三、项目实施及管理情况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（一）项目组织架构及实施流程。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我</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局</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高度重视，成立了以</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局长罗武林</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任组长，相关</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业务</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人</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员</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为成员的领导小组，将责任落实到人头，制定了切实可行的工作实施方案，为专项资金的使用提供了坚强的组织保障。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（二）项目管理情况。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为达到项目资金</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的最大使用效</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果</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，我</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局</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（三）项目监管情况。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项目资金的使用严格按照程序化、制度化、公开化、透明化实施。</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使市场综合监管项目全部完成绩效目标，达到了项目预期的各项指标和效果。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黑体" w:hAnsi="黑体" w:eastAsia="黑体" w:cs="黑体"/>
          <w:b w:val="0"/>
          <w:bCs w:val="0"/>
          <w:color w:val="000000" w:themeColor="text1"/>
          <w:spacing w:val="0"/>
          <w:sz w:val="32"/>
          <w:szCs w:val="32"/>
          <w:lang w:val="zh-CN"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四、项目绩效情况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lang w:val="zh-CN" w:eastAsia="zh-CN"/>
          <w14:textFill>
            <w14:solidFill>
              <w14:schemeClr w14:val="tx1"/>
            </w14:solidFill>
          </w14:textFill>
        </w:rPr>
        <w:t>（一）项目完成情况。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2022年度财政下达我局市场综合监管专项经费，我局做到了资金与项目方案相符，严格按照方案要求进行实施。市场综合监管专项资金到位27万元，支出经费主要用于市场综合日常监管；2022春雷行动、知识产权保护等工作方面的人员及车辆、宣传费、执法监管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我局开办企业再“提速”。聚焦“打造川内最优营商环境”主战场，秉持“服务发展无处不在，监管执法无私不扰”理念，发放“助企纾困明白卡” 8000余张，制定优化营商环境16条措施，实行企业开办“三减一零”，开办时间缩短至4小时内，全面实现“零”费用。开展“政银合作”，在邮储银行设立市场开办便民服务点1个，免费为市场主体提供服务。深度参与“村能办”，将“三小备案”和市场主体开办申请下放至镇和村；开展营业执照与食品经营、药品经营许可的“一件事一次办”试点，做到让数据多跑路，让企业少跑路。全年核准新登记各类企业市场主体420户，变更登记392户，注销186户，其中通过“全程电子化”核准各类登记263户；个体工商户设立668户，变更207户，注销373户。为企业免费刻制印章1406枚，为企业节省费用137085元。办理食品经营许可339户，食品小作坊、小经营店备案411户，特种设备登记证129个，二类医疗器械备案7个。二是公平竞争审查再“加力”。出台了“四项制度”，重点对市场准入、产业发展、招商引资、招标投标、政府采购等市场主体经济活动的规范性文件做到严格把关，按照“谁制定、谁审查”的原则，清理审查文件54份，切实维护企业利益和营造公平竞争的营商环境。三是知识产权保护再“摸高”。政府常务会再次学习《中华人民共和国专利法》《中华人民共和国商标法》。开展“4.26”知识产权活动周及“知识产权服务万里行”活动，增强知识产权保护意识。出台《广元市昭化区知识产权保护管理二十二条措施》和商业秘密保护措施，加强与法院、公安、经信、司法等部门协作联动，开展知识产权执法保护专项行动，严厉打击商标侵权、假冒专利等违法行为，查处知识产权侵权违法行为8件，其中专利标识标注不规范商品案6件，假冒侵权商标案2件。全区累计有效专利52件，新增有效注册商标60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default" w:eastAsia="仿宋_GB2312" w:cs="Times New Roman"/>
          <w:b w:val="0"/>
          <w:bCs w:val="0"/>
          <w:color w:val="000000" w:themeColor="text1"/>
          <w:spacing w:val="0"/>
          <w:sz w:val="32"/>
          <w:szCs w:val="32"/>
          <w:lang w:val="en-US" w:eastAsia="zh-CN"/>
          <w14:textFill>
            <w14:solidFill>
              <w14:schemeClr w14:val="tx1"/>
            </w14:solidFill>
          </w14:textFill>
        </w:rPr>
        <w:t>“春雷行动2021”</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全年查办各类案件156件，向公安机关移送6件，罚没款近50万元，超过70%案件予以从轻或减轻处罚，不予处罚2件，免予罚款10多万元，“铁拳行动”、打击整治养老诈骗等专项执法行动取得战果。二是“春雷行动2022”有成效。在专项行动期间，指导规范市场主体800余家，帮助企业复工复产200家；受理消费者投诉举报78件，累计开展行政指导、行政约谈等23次，累计立案查处 131件（其中万元以上大要案件22件，省局通报典型案件2件，市局挂牌案件2件，市局通报典型案件5件，向公安机关移送并立案3件），罚没款 32万元，挽回经济损失20万元。三是“长江禁渔”得好评。与区公安、农业农村等部门开展联合检查5次，检查各类涉渔主体100多户次，查办各类“长江禁捕”案件4件，查获非法渔获物91.78公斤。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（1）数量指标。</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“春雷行动202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”全区累计立案</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156</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件</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罚没款</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50</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余万元</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全年累计核准设立登记各类市场主体</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931</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户</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（2）质量指标。登记各类市场主体完成目标任务，红盾春雷执法立案比去年同期增长175%.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（3）时效指标。截至2021年12月31日，我局严格按照上级要求，按时按质完成各项专项任务。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（4）成本指标。市场综合监管专项工作经费27万元，资金使用率达100%。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zh-CN" w:eastAsia="zh-CN"/>
          <w14:textFill>
            <w14:solidFill>
              <w14:schemeClr w14:val="tx1"/>
            </w14:solidFill>
          </w14:textFill>
        </w:rPr>
      </w:pPr>
      <w:r>
        <w:rPr>
          <w:rFonts w:hint="eastAsia" w:eastAsia="仿宋_GB2312" w:cs="Times New Roman"/>
          <w:b w:val="0"/>
          <w:bCs w:val="0"/>
          <w:color w:val="000000" w:themeColor="text1"/>
          <w:spacing w:val="0"/>
          <w:sz w:val="32"/>
          <w:szCs w:val="32"/>
          <w:lang w:val="zh-CN" w:eastAsia="zh-CN"/>
          <w14:textFill>
            <w14:solidFill>
              <w14:schemeClr w14:val="tx1"/>
            </w14:solidFill>
          </w14:textFill>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（1）</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在“春雷行动202</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”中，</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全年查办各类案件156件，向公安机关移送6件，罚没款近50万元，超过70%案件予以从轻或减轻处罚，不予处罚2件，免予罚款10多万元，“铁拳行动”、打击整治养老诈骗等专项执法行动取得战果。二是“春雷行动2022”有成效。在专项行动期间，指导规范市场主体800余家，帮助企业复工复产200家；受理消费者投诉举报78件，累计开展行政指导、行政约谈等23次，累计立案查处 131件（其中万元以上大要案件22件，省局通报典型案件2件，市局挂牌案件2件，市局通报典型案件5件，向公安机关移送并立案3件），罚没款 32万元，挽回经济损失20万元。三是“长江禁渔”得好评。与区公安、农业农村等部门开展联合检查5次，检查各类涉渔主体100多户次，查办各类“长江禁捕”案件4件，查获非法渔获物91.78公斤。广元市昭化区某饭店收购加工销售长江流域重点水域非法捕捞渔获物案等案先后被省市场监管局第34期、41期简报采用。广元昭化区某农场销售非法捕捞渔获物和未持有合法来源证明出售非国家重点保护野生动物案在2022年6月27日四川省长江流域重点水域禁捕退捕工作情况新闻发布会上得到肯定。某农场收购、销售长江流域重点水域非法捕捞渔获物和出售未持有合法来源证明的非国家重点保护野生动物案被评为广元市“春雷行动2022”执法行动十大典型案件。四是价格工作步入正轨。重点关注社会热点，积极开展价格监测预警工作，制发《关于规范疫情期间价格行为的提醒告诫函》，出台“广元市昭化区餐饮业明码标价管理规定”“广元市昭化区酒店客房明码标价管理规定”，有效维护消费者和经营者的合法权益。对全区粮食收购企业、个体工商户收购粮食价格进行实时监管，开展教育、医疗等重点行业价格收费行为监管，对物业管理、工业集中区、公用企业、防疫物资价格开展治理。（2）</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营商环境持续优化。</w:t>
      </w:r>
      <w:r>
        <w:rPr>
          <w:rFonts w:hint="eastAsia" w:eastAsia="仿宋_GB2312" w:cs="Times New Roman"/>
          <w:b w:val="0"/>
          <w:bCs w:val="0"/>
          <w:color w:val="000000" w:themeColor="text1"/>
          <w:spacing w:val="0"/>
          <w:sz w:val="32"/>
          <w:szCs w:val="32"/>
          <w:lang w:val="en-US" w:eastAsia="zh-CN"/>
          <w14:textFill>
            <w14:solidFill>
              <w14:schemeClr w14:val="tx1"/>
            </w14:solidFill>
          </w14:textFill>
        </w:rPr>
        <w:t>开办企业再“提速”。聚焦“打造川内最优营商环境”主战场，秉持“服务发展无处不在，监管执法无私不扰”理念，发放“助企纾困明白卡”8000余张，制定优化营商环境16条措施，实行企业开办“三减一零”，开办时间缩短至4小时内，全面实现“零”费用。开展“政银合作”，在邮储银行设立市场开办便民服务点1个，免费为市场主体提供服务。深度参与“村能办”，将“三小备案”和市场主体开办申请下放至镇和村；开展营业执照与食品经营、药品经营许可的“一件事一次办”试点，做到让数据多跑路，让企业少跑路。全年核准新登记各类企业市场主体420户，变更登记392户，注销186户，其中通过“全程电子化”核准各类登记263户；个体工商户设立668户，变更207户，注销373户。为企业免费刻制印章1406枚，为企业节省费用137085元。办理食品经营许可339户，食品小作坊、小经营店备案411户，特种设备登记证129个，二类医疗器械备案7个。二是公平竞争审查再“加力”。出台了“四项制度”，重点对市场准入、产业发展、招商引资、招标投标、政府采购等市场主体经济活动的规范性文件做到严格把关，按照“谁制定、谁审查”的原则，清理审查文件54份，切实维护企业利益和营造公平竞争的营商环境。三是知识产权保护再“摸高”。政府常务会再次学习《中华人民共和国专利法》《中华人民共和国商标法》。开展“4.26”知识产权活动周及“知识产权服务万里行”活动，增强知识产权保护意识。出台《广元市昭化区知识产权保护管理二十二条措施》和商业秘密保护措施，加强与法院、公安、经信、司法等部门协作联动，开展知识产权执法保护专项行动，严厉打击商标侵权、假冒专利等违法行为，查处知识产权侵权违法行为8件，其中专利标识标注不规范商品案6件，假冒侵权商标案2件。全区累计有效专利52件，新增有效注册商标60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zh-CN"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分项目类别</w:t>
      </w:r>
      <w:r>
        <w:rPr>
          <w:rFonts w:hint="eastAsia" w:eastAsia="仿宋_GB2312" w:cs="Times New Roman"/>
          <w:b w:val="0"/>
          <w:bCs w:val="0"/>
          <w:color w:val="000000" w:themeColor="text1"/>
          <w:spacing w:val="0"/>
          <w:sz w:val="32"/>
          <w:szCs w:val="32"/>
          <w:lang w:val="zh-CN" w:eastAsia="zh-CN"/>
          <w14:textFill>
            <w14:solidFill>
              <w14:schemeClr w14:val="tx1"/>
            </w14:solidFill>
          </w14:textFill>
        </w:rPr>
        <w:t>从项目经济效益、社会效益、生态效益、可持续效益以及服务对象满意度等方面对项目效益进行全面分析评价。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firstLine="640" w:firstLineChars="200"/>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2022年，昭化市场监管工作虽然取得了一些成效，但也存在监管与服务平衡难度大、年轻干部教育培训不足、个私企业协会工作推进缓慢等问题。2023年，我局将把“打造最优营商环境、呵护市场主体发展”作为工作开展的主要目标和重要抓手，融入市场监管工作的方方面面，围绕“一个大市场、两个强国、三个监管、四个安全”着力点，坚持在服务中监管、监管中指导、指导中规范、规范中提升，深入实施《昭化区市场监督管理局优化营商环境16条措施》，切实做到“服务发展无处不在，监管执法无私不扰”，让广大市场主体在公平公正、规范法治、轻松便利的市场环境中茁壮成长</w:t>
      </w:r>
      <w:r>
        <w:rPr>
          <w:rFonts w:hint="default" w:eastAsia="仿宋_GB2312" w:cs="Times New Roman"/>
          <w:b w:val="0"/>
          <w:bCs w:val="0"/>
          <w:color w:val="000000" w:themeColor="text1"/>
          <w:spacing w:val="0"/>
          <w:sz w:val="32"/>
          <w:szCs w:val="32"/>
          <w:lang w:val="en-US" w:eastAsia="zh-CN"/>
          <w14:textFill>
            <w14:solidFill>
              <w14:schemeClr w14:val="tx1"/>
            </w14:solidFill>
          </w14:textFill>
        </w:rPr>
        <w:t>，下一步将主要从以下几个方面开展工作：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一）进一步加强党对市场监管工作的全面领导。以忠诚拥护“两个确立”、坚决做到“两个维护”的高度政治自觉，深入学习领会、深刻理解把握习近平总书记重要论述的丰富内涵、精神实质、核心要义和实践要求，全力做好党的二十大精神宣传和贯彻落实。深化对加快建设全国统一大市场、更好服务构建新发展格局的认识，深化对建设质量强国和知识产权强国、推动经济社会高质量发展的认识，深化对加强市场综合监管、更好服务推进国家治理体系和治理能力现代化的认识，深化对坚守市场监管领域安全底线、保障人民群众生命财产安全的认识，更好地用以指导实践、推动工作，确保市场监管发展的正确政治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二）进一步完善服务市场主体新举措。深度推进“数字生态”提效能、行政审批疏堵点、高质量发展增效益、知识产权筑高地、非公党建激活力、投诉举报快处置、当好“顾问”助发展、维护秩序促公平等服务市场主体8大行动，全力做好市场保供稳价，完善消费者权益保护社会共治机制，着力解决损害人民群众切身利益,有效维护了社会生产和人民生活正常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（三）进一步强化“三品一特”安全监管。深入开展食品安全、药品安全、产品质量安全和特种设备安全的风险隐患排查治理，加强疫苗质量全程监管，守住了市场监管领域安全底线。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四）进一步抓好常态化疫情防控工作。立足市场监管职能和分工职责，聚焦全链条监管，紧盯农贸市场、药店、茶楼等重点行业，坚持人、物、环境同防，持续强化重点场所管控，加大风险隐患排查整治力度，全力防范病毒输入传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五）进一步推进全国文明城市创建。坚持目标导向，严格对照农贸市场“创文”工作标准、规范化管理及疫情防控技术指南，认真查漏补缺，逐条对标落实，同时进一步加大对农贸市场、临街商铺、餐饮单位、商超等场所实地巡查力度，督促商户及时完善整改不文明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六）进一步探索监管方式创新改革试点。继续推进以信用分级分类监管为前提，“双随机、一公开”监管为主导，重点监管为补充，“一次检查全面体检”为手段，“沙盒监管”、“触发式监管”、“牵头式监管”和“认罚从轻”“首违不罚”等新型监管方式于一体的“场景式执法”改革试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七）进一步推进质量强国建设。深入实施“昭化茯苓”全产业链管理规范及质量标准提升示范工程，立足高标准推进“昭化茯苓”省级农业标准化示范区创建工作总要求，积极抓好川产道地药材“三标准、五规范、两体系 “352”工程。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（八）进一步优化知识产权大保护格局。持续推进知识产权知识普及，夯实增量基础，完善保护运用转化机制，创新商业秘密保护机制，市场创新环境持续优化。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九）进一步加强对个私协会的管理指导。深入贯彻《促进个体工商户发展条例》，指导个私协会进一步加强自身建设和行业自律，加强与政府相关职能部门的工作联系，协助做好非公党建、党的民营经济和助企纾困政策宣传、普法学习、社会公益、诚信建设、协税护税等工作，切实代表和维护全区8000多户私营企业和个体工商户的合法权益，使个私协会真正成为党和政府联系广大个体私营企业的桥梁和纽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6" w:lineRule="exact"/>
        <w:ind w:leftChars="0" w:firstLine="640" w:firstLineChars="200"/>
        <w:jc w:val="right"/>
        <w:textAlignment w:val="auto"/>
        <w:rPr>
          <w:rFonts w:hint="default"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 xml:space="preserve">广元市昭化区市场监督管理局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76" w:lineRule="exact"/>
        <w:ind w:leftChars="0" w:firstLine="640" w:firstLineChars="200"/>
        <w:jc w:val="right"/>
        <w:textAlignment w:val="auto"/>
        <w:rPr>
          <w:rFonts w:hint="eastAsia" w:eastAsia="仿宋_GB2312" w:cs="Times New Roman"/>
          <w:b w:val="0"/>
          <w:bCs w:val="0"/>
          <w:color w:val="000000" w:themeColor="text1"/>
          <w:spacing w:val="0"/>
          <w:sz w:val="32"/>
          <w:szCs w:val="32"/>
          <w:lang w:val="en-US" w:eastAsia="zh-CN"/>
          <w14:textFill>
            <w14:solidFill>
              <w14:schemeClr w14:val="tx1"/>
            </w14:solidFill>
          </w14:textFill>
        </w:rPr>
      </w:pPr>
      <w:r>
        <w:rPr>
          <w:rFonts w:hint="eastAsia" w:eastAsia="仿宋_GB2312" w:cs="Times New Roman"/>
          <w:b w:val="0"/>
          <w:bCs w:val="0"/>
          <w:color w:val="000000" w:themeColor="text1"/>
          <w:spacing w:val="0"/>
          <w:sz w:val="32"/>
          <w:szCs w:val="32"/>
          <w:lang w:val="en-US" w:eastAsia="zh-CN"/>
          <w14:textFill>
            <w14:solidFill>
              <w14:schemeClr w14:val="tx1"/>
            </w14:solidFill>
          </w14:textFill>
        </w:rPr>
        <w:t>2023年9月17日　　　　</w:t>
      </w:r>
    </w:p>
    <w:p>
      <w:pPr>
        <w:rPr>
          <w:rFonts w:hint="eastAsia" w:ascii="仿宋_GB2312" w:hAnsi="仿宋"/>
          <w:b w:val="0"/>
          <w:bCs w:val="0"/>
          <w:color w:val="000000" w:themeColor="text1"/>
          <w:spacing w:val="0"/>
          <w:sz w:val="32"/>
          <w:szCs w:val="32"/>
          <w:lang w:val="en-US" w:eastAsia="zh-CN"/>
          <w14:textFill>
            <w14:solidFill>
              <w14:schemeClr w14:val="tx1"/>
            </w14:solidFill>
          </w14:textFill>
        </w:rPr>
      </w:pPr>
      <w:r>
        <w:br w:type="page"/>
      </w:r>
    </w:p>
    <w:p>
      <w:pPr>
        <w:pStyle w:val="4"/>
        <w:bidi w:val="0"/>
        <w:rPr>
          <w:rFonts w:hint="default"/>
          <w:lang w:val="en-US" w:eastAsia="zh-CN"/>
        </w:rPr>
      </w:pPr>
      <w:r>
        <w:rPr>
          <w:rFonts w:hint="eastAsia"/>
          <w:lang w:val="en-US" w:eastAsia="zh-CN"/>
        </w:rPr>
        <w:t>附件4</w:t>
      </w:r>
    </w:p>
    <w:p>
      <w:pPr>
        <w:pStyle w:val="4"/>
        <w:bidi w:val="0"/>
        <w:jc w:val="center"/>
        <w:rPr>
          <w:rFonts w:hint="default"/>
          <w:lang w:val="en-US" w:eastAsia="zh-CN"/>
        </w:rPr>
      </w:pPr>
      <w:bookmarkStart w:id="93" w:name="_Toc18020"/>
      <w:r>
        <w:rPr>
          <w:rFonts w:hint="default"/>
          <w:lang w:val="en-US" w:eastAsia="zh-CN"/>
        </w:rPr>
        <w:t>广元市昭化区财政项目（ 市场综合监管业务经费）支出绩效自评表</w:t>
      </w:r>
      <w:bookmarkEnd w:id="93"/>
    </w:p>
    <w:p>
      <w:pPr>
        <w:pStyle w:val="9"/>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olor w:val="000000" w:themeColor="text1"/>
          <w:spacing w:val="0"/>
          <w:kern w:val="0"/>
          <w:sz w:val="44"/>
          <w:szCs w:val="4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 xml:space="preserve"> 年度）</w:t>
      </w:r>
    </w:p>
    <w:tbl>
      <w:tblPr>
        <w:tblStyle w:val="18"/>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92"/>
        <w:gridCol w:w="1025"/>
        <w:gridCol w:w="631"/>
        <w:gridCol w:w="1032"/>
        <w:gridCol w:w="959"/>
        <w:gridCol w:w="936"/>
        <w:gridCol w:w="3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8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市场综合监管业务经费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6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项目（政策）资金（万元）</w:t>
            </w: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立足市场监管部门职能职责，强化食品安全监管力度，有效打击各种违法行为.建立长效监管机制，及时制止和查处违法食品等环节案件。确保全体执法人员正常执法办案，提升执法人员执法能力。确保全区人民群众饮食安全</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立足市场监管部门职能职责，强化食品安全监管力度，有效打击各种违法行为.建立长效监管机制，及时制止和查处违法食品等环节案件。确保全体执法人员正常执法办案，提升执法人员执法能力。确保全区人民群众饮食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“双随机、一公开”抽查事项</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春雷执法立案</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缴</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罚没款</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余万元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余万元</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年报完成公示率</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完成工作时限</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所需的差旅费、印刷费等</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市场综合监管水平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逐步提高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逐步提高</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系统性、区域性重大质量安全事故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公平竞争的市场秩序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逐步提高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逐步提高</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营造健康有序市场消费环境</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不断提升</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可持续影响指标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通过监督抽查、风险监测、证后监管等保障人民生命财产安全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持续影响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持续影响</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执法办案水平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不断提升</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公众对市场综合安全的总体满意度得分度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rPr>
          <w:rFonts w:hint="eastAsia"/>
          <w:b w:val="0"/>
          <w:bCs w:val="0"/>
          <w:color w:val="000000" w:themeColor="text1"/>
          <w:spacing w:val="0"/>
          <w14:textFill>
            <w14:solidFill>
              <w14:schemeClr w14:val="tx1"/>
            </w14:solidFill>
          </w14:textFill>
        </w:rPr>
      </w:pPr>
    </w:p>
    <w:p>
      <w:pPr>
        <w:pStyle w:val="9"/>
        <w:rPr>
          <w:rFonts w:hint="default" w:eastAsia="仿宋_GB2312"/>
          <w:b w:val="0"/>
          <w:bCs w:val="0"/>
          <w:color w:val="000000" w:themeColor="text1"/>
          <w:spacing w:val="0"/>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550" w:lineRule="exact"/>
        <w:jc w:val="center"/>
        <w:textAlignment w:val="auto"/>
        <w:rPr>
          <w:rFonts w:eastAsia="方正小标宋简体"/>
          <w:b w:val="0"/>
          <w:bCs w:val="0"/>
          <w:color w:val="000000" w:themeColor="text1"/>
          <w:spacing w:val="0"/>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550" w:lineRule="exact"/>
        <w:jc w:val="center"/>
        <w:textAlignment w:val="auto"/>
        <w:rPr>
          <w:rFonts w:eastAsia="方正小标宋简体"/>
          <w:b w:val="0"/>
          <w:bCs w:val="0"/>
          <w:color w:val="000000" w:themeColor="text1"/>
          <w:spacing w:val="0"/>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550" w:lineRule="exact"/>
        <w:jc w:val="center"/>
        <w:textAlignment w:val="auto"/>
        <w:rPr>
          <w:rFonts w:eastAsia="方正小标宋简体"/>
          <w:b w:val="0"/>
          <w:bCs w:val="0"/>
          <w:color w:val="000000" w:themeColor="text1"/>
          <w:spacing w:val="0"/>
          <w:sz w:val="44"/>
          <w:szCs w:val="44"/>
          <w14:textFill>
            <w14:solidFill>
              <w14:schemeClr w14:val="tx1"/>
            </w14:solidFill>
          </w14:textFill>
        </w:rPr>
      </w:pPr>
    </w:p>
    <w:p>
      <w:pPr>
        <w:rPr>
          <w:rFonts w:hint="eastAsia" w:ascii="方正小标宋简体" w:hAnsi="方正小标宋简体" w:eastAsia="方正小标宋简体" w:cs="方正小标宋简体"/>
          <w:b w:val="0"/>
          <w:bCs w:val="0"/>
          <w:color w:val="000000" w:themeColor="text1"/>
          <w:spacing w:val="0"/>
          <w:kern w:val="2"/>
          <w:sz w:val="44"/>
          <w:szCs w:val="44"/>
          <w:highlight w:val="none"/>
          <w:lang w:val="en-US" w:eastAsia="zh-CN"/>
          <w14:textFill>
            <w14:solidFill>
              <w14:schemeClr w14:val="tx1"/>
            </w14:solidFill>
          </w14:textFill>
        </w:rPr>
      </w:pPr>
      <w:r>
        <w:br w:type="page"/>
      </w:r>
    </w:p>
    <w:p>
      <w:pPr>
        <w:pStyle w:val="3"/>
        <w:bidi w:val="0"/>
        <w:jc w:val="left"/>
        <w:rPr>
          <w:rFonts w:hint="eastAsia" w:ascii="宋体" w:hAnsi="宋体" w:eastAsia="宋体" w:cs="宋体"/>
          <w:b/>
          <w:bCs w:val="0"/>
          <w:sz w:val="32"/>
          <w:szCs w:val="32"/>
          <w:lang w:val="en-US" w:eastAsia="zh-CN"/>
        </w:rPr>
      </w:pPr>
      <w:bookmarkStart w:id="94" w:name="_Toc15074"/>
      <w:r>
        <w:rPr>
          <w:rFonts w:hint="eastAsia" w:ascii="宋体" w:hAnsi="宋体" w:eastAsia="宋体" w:cs="宋体"/>
          <w:b/>
          <w:bCs w:val="0"/>
          <w:sz w:val="32"/>
          <w:szCs w:val="32"/>
          <w:lang w:val="en-US" w:eastAsia="zh-CN"/>
        </w:rPr>
        <w:t>附件5</w:t>
      </w:r>
    </w:p>
    <w:p>
      <w:pPr>
        <w:pStyle w:val="3"/>
        <w:bidi w:val="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2023年中央药品监管补助预算项目绩效自评报告</w:t>
      </w:r>
      <w:bookmarkEnd w:id="94"/>
    </w:p>
    <w:p>
      <w:pPr>
        <w:pStyle w:val="3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bCs w:val="0"/>
          <w:color w:val="000000" w:themeColor="text1"/>
          <w:spacing w:val="0"/>
          <w:kern w:val="2"/>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黑体" w:hAnsi="黑体" w:eastAsia="黑体" w:cs="黑体"/>
          <w:b w:val="0"/>
          <w:bCs w:val="0"/>
          <w:color w:val="000000" w:themeColor="text1"/>
          <w:spacing w:val="0"/>
          <w:kern w:val="2"/>
          <w:sz w:val="32"/>
          <w:szCs w:val="32"/>
          <w:lang w:val="zh-CN"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zh-CN" w:eastAsia="zh-CN" w:bidi="ar-SA"/>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昭化区市场</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监督管理局</w:t>
      </w:r>
      <w:r>
        <w:rPr>
          <w:rFonts w:hint="default"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202</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年省级市场监管专项项目资金总额</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18</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万元，批复</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18</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万元，执行数</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18</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万元，用于支出我区</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药品</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监管工作，收到了良好的社会效益，守住了全区人民群众生命健康底线。</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根据广财</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行</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2022</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48</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号文件</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和</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广财</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行</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2022</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号文件下达我局20</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22</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中央药品监管补助资金18万元。</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根据全年专项工作安排，按照专项资金管理办法和专款专用的原则，主要用于药械化综合监管、药械化专项整治、药械化不良反应监测指导及药械化安全宣传等工作。强化日常监管和专项整治执法力度，加大对制售假冒伪劣药品违法犯罪活动的打击力度，进一步规范药械化经营使用秩序，进一步加大药械化安全知识普及力度，完善监管规范和监督机制，提升监管水平。</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（三）项目自评步骤及方法。</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按照区财政局的安排部署，我局成立自评小组，采用比较法展开了单位自评，首先对年初下达的预算批复和年初项目绩效进行了全面梳理，分类清理了各项目一年来绩效目标完成情况、资金使用情况、项目达到的效果等。然后逐一对各项目完成情况开展自评，最后通过召开专题会议的形</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式</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对各项目绩效情况进行分析总结。</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二、项目资金申报及使用情况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资金申报完全按照项目实施内容及年度内计划方案实施，资金申报合理，操作性强，可行性高。我</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局</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结合资金性质及用途，有预见性、前瞻性地开展工作，对项目实施未产生任何影响。</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（二）资金计划、到位及使用情况。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1.项目资金到位情况分析。2022年度区财政局在有效时限内将中央药品监管专项资金指标下达我局，我局根据资金用途制定了详细的项目实施方案及资金使用计划，确保了专项资金的专款专用。</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2.项目资金执行情况分析。我局项目资金的实际支出完全符合资金开支范围、标准及支付要求，支付依据合规合法，资金支付与预算相符。</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项目资金管理情况分析。为强化专项资金管理，发挥资金的最大使用绩效，我局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（三）项目财务管理情况。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经费严格按照</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项目财务管理制度</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执行</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、机构设置</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健全，</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会计核算及账务处理</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到位</w:t>
      </w: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三、项目实施及管理情况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（一）项目组织架构及实施流程。</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我</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局</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高度重视，成立了以</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局长罗武林</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任组长，相关</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业务</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人</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员</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为成员的领导小组，将责任落实到人头，制定了切实可行的工作实施方案，为专项资金的使用提供了坚强的组织保障。</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w:t>
      </w: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二</w:t>
      </w: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）项目管理情况。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为达到项目资金</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的最大使用效</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果</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，我</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局</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w:t>
      </w: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三</w:t>
      </w:r>
      <w:r>
        <w:rPr>
          <w:rFonts w:hint="eastAsia" w:ascii="楷体_GB2312" w:hAnsi="楷体_GB2312" w:eastAsia="楷体_GB2312" w:cs="楷体_GB2312"/>
          <w:b w:val="0"/>
          <w:bCs w:val="0"/>
          <w:color w:val="000000" w:themeColor="text1"/>
          <w:spacing w:val="0"/>
          <w:kern w:val="2"/>
          <w:sz w:val="32"/>
          <w:szCs w:val="32"/>
          <w:lang w:val="zh-CN" w:eastAsia="zh-CN" w:bidi="ar-SA"/>
          <w14:textFill>
            <w14:solidFill>
              <w14:schemeClr w14:val="tx1"/>
            </w14:solidFill>
          </w14:textFill>
        </w:rPr>
        <w:t>）项目监管情况。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项目资金的使用严格按照程序化、制度化、公开化、透明化实施。</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使市场综合监管项目全部完成绩效目标，达到了项目预期的各项指标和效果。</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黑体" w:hAnsi="黑体" w:eastAsia="黑体" w:cs="黑体"/>
          <w:b w:val="0"/>
          <w:bCs w:val="0"/>
          <w:color w:val="000000" w:themeColor="text1"/>
          <w:spacing w:val="0"/>
          <w:kern w:val="2"/>
          <w:sz w:val="32"/>
          <w:szCs w:val="32"/>
          <w:lang w:val="zh-CN"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四、项目绩效情况</w:t>
      </w:r>
      <w:r>
        <w:rPr>
          <w:rFonts w:hint="eastAsia" w:ascii="黑体" w:hAnsi="黑体" w:eastAsia="黑体" w:cs="黑体"/>
          <w:b w:val="0"/>
          <w:bCs w:val="0"/>
          <w:color w:val="000000" w:themeColor="text1"/>
          <w:spacing w:val="0"/>
          <w:kern w:val="2"/>
          <w:sz w:val="32"/>
          <w:szCs w:val="32"/>
          <w:lang w:val="zh-CN" w:eastAsia="zh-CN" w:bidi="ar-SA"/>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（一）项目完成情况。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2022年度财政下达我局中央药品安全监管项目经费，我局做到了资金与项目方案相符，严格按照方案要求进行实施。中央药品安全监管资金18万元，按项目要求开展工作，支出18万元，资金使用率达100%。开展新冠疫苗、防疫用医疗器械、“线上净网 线下清源”、儿童化妆品等专项整治20余次，对辖区409家药械化经营使用单位进行全覆盖监督检查，查办药械化违法案件26件，移送公安机关案件1件，省药监局挂牌案件1件。开展药械化监督抽检20批次，上报药化不良反应257例。召开药械化安全监管业务培训会1次，约谈会2次，开展药械化相关法律法规及科普知识宣传8场次。</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（1）数量指标。开展新冠疫苗、防疫用医疗器械、</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线上净网</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 xml:space="preserve"> </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线下清源</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、儿童化妆品等专项整治</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余次，对辖区</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409</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家药械化经营使用单位进行全覆盖监督检查，查办药械化违法案件</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26</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件，移送公安机关案件</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件，省药监局挂牌案件</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件。开展药械化监督抽检</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批次，上报药化不良反应</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257</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例。召开药械化安全监管业务培训会</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次，约谈会</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次，开展药械化相关法律法规及科普知识宣传</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8</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场次。</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（2）质量指标。指标1：不合格药品处置率：年度指标值：≥100%;实际完成指标值：100%,指标2：培训人员覆盖率：年度指标值：≥100%.实际完成指标值：100%</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（3）时效指标。截至2022年12月31日，我局严格按照上级要求，按时按质完成各项专项任务。</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（4）成本指标。药品安全监管工作经费18万元，资金使用率达100%。</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zh-CN" w:eastAsia="zh-CN" w:bidi="ar-SA"/>
          <w14:textFill>
            <w14:solidFill>
              <w14:schemeClr w14:val="tx1"/>
            </w14:solidFill>
          </w14:textFill>
        </w:rPr>
        <w:t>项目效益情况。</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（1）经济效益。通过药品医疗器械化妆品抽检，打击质量不符合标准的药械化产品，净化药械化市场经济。</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（2）社会效益。通过药械化抽检，净化药械化产品质量安全，保障昭化区人民购进使用到安全可靠的药品医疗器械化妆品。</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（3）可持续影响。通过抽检发现市场的假劣药品医疗器械，对经营使用假劣药单位进行行政处罚，做到处罚一家震慑一片的效果，确保辖区内药械化经营使用单位合理合法购进储存使用药械化。</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3.满意度指标完成情况分析。本次抽检工作社会满意度达95%以上，政府满意度达95%以上。</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t>五、评价结论及建议</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评价结论：一年来，药械化安全监管工作取得一定的成效，但还存在监管工作创新不够，执法水平有待提高、法律法规宣传形式单一等问题存在，在今后的工作中，采取措施，认真改正。</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建议：</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（一）持续加大法律法规的宣贯。</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始终把公众用药用械用妆安全作为重大的民生工程来抓，认真贯彻落实《</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中华人民共和国</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药品管理法》《</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中华人民共和国</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疫苗管理法》、《医疗器械监督管理条例》及《化妆品监督管理条例》等相关的法律法规宣传，开展形式多样、深入人心的安全用药用械用妆宣传，进一步规范药械化市场，筑牢公众药械化的安全防线。</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（二）继续强化疫情防控用药用械安全监管。</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重点对新冠疫苗和核酸检测单位进行监督检查，同时强化药品医疗器械经营企业做好疫情防控工作，确保防疫工作有序进行。</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（三）强化严格执法。</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在监督检查中，做到廉洁执法、公正执法，在监管检查中发现的案件线索，严肃查处，做到发现一起，查处一起，教育一片，在药械化安全领域起到震慑作用。</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（四）加强信息公开，不断促进企业诚信自律。</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 xml:space="preserve">利用各种有效信息平台，将企业的违法行为和日常监管情况进行信息公开，扩大其违法违规行为的社会影响力，增加违法成本，促进企业自觉增强关于药械化质量安全的主体责任意识，促进倒逼企业诚信自律。    </w:t>
      </w:r>
    </w:p>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val="0"/>
        <w:snapToGrid/>
        <w:spacing w:line="576" w:lineRule="exact"/>
        <w:ind w:firstLine="640" w:firstLineChars="200"/>
        <w:jc w:val="right"/>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广元市昭化区市场监督管理局</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　　</w:t>
      </w:r>
    </w:p>
    <w:p>
      <w:pPr>
        <w:keepNext w:val="0"/>
        <w:keepLines w:val="0"/>
        <w:pageBreakBefore w:val="0"/>
        <w:widowControl w:val="0"/>
        <w:kinsoku/>
        <w:wordWrap w:val="0"/>
        <w:overflowPunct/>
        <w:topLinePunct w:val="0"/>
        <w:autoSpaceDE/>
        <w:autoSpaceDN/>
        <w:bidi w:val="0"/>
        <w:adjustRightInd w:val="0"/>
        <w:snapToGrid/>
        <w:spacing w:line="576" w:lineRule="exact"/>
        <w:ind w:firstLine="640" w:firstLineChars="200"/>
        <w:jc w:val="right"/>
        <w:textAlignment w:val="auto"/>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2023年9月17日</w:t>
      </w:r>
      <w:r>
        <w:rPr>
          <w:rFonts w:hint="eastAsia" w:eastAsia="仿宋_GB2312" w:cs="Times New Roman"/>
          <w:b w:val="0"/>
          <w:bCs w:val="0"/>
          <w:color w:val="000000" w:themeColor="text1"/>
          <w:spacing w:val="0"/>
          <w:kern w:val="2"/>
          <w:sz w:val="32"/>
          <w:szCs w:val="32"/>
          <w:lang w:val="en-US" w:eastAsia="zh-CN" w:bidi="ar-SA"/>
          <w14:textFill>
            <w14:solidFill>
              <w14:schemeClr w14:val="tx1"/>
            </w14:solidFill>
          </w14:textFill>
        </w:rPr>
        <w:t>　　　　</w:t>
      </w:r>
    </w:p>
    <w:p>
      <w:pPr>
        <w:rPr>
          <w:rFonts w:hint="eastAsia"/>
          <w:b w:val="0"/>
          <w:bCs w:val="0"/>
          <w:color w:val="000000" w:themeColor="text1"/>
          <w:spacing w:val="0"/>
          <w14:textFill>
            <w14:solidFill>
              <w14:schemeClr w14:val="tx1"/>
            </w14:solidFill>
          </w14:textFill>
        </w:rPr>
      </w:pPr>
    </w:p>
    <w:p>
      <w:pPr>
        <w:widowControl/>
        <w:jc w:val="left"/>
        <w:rPr>
          <w:rStyle w:val="33"/>
          <w:rFonts w:hint="eastAsia" w:ascii="黑体" w:hAnsi="黑体" w:eastAsia="黑体"/>
          <w:b w:val="0"/>
          <w:bCs w:val="0"/>
          <w:color w:val="000000" w:themeColor="text1"/>
          <w:spacing w:val="0"/>
          <w:highlight w:val="none"/>
          <w:lang w:val="en-US" w:eastAsia="zh-CN"/>
          <w14:textFill>
            <w14:solidFill>
              <w14:schemeClr w14:val="tx1"/>
            </w14:solidFill>
          </w14:textFill>
        </w:rPr>
      </w:pPr>
    </w:p>
    <w:p>
      <w:pPr>
        <w:rPr>
          <w:rStyle w:val="33"/>
          <w:rFonts w:hint="eastAsia" w:ascii="黑体" w:hAnsi="黑体" w:eastAsia="黑体"/>
          <w:b w:val="0"/>
          <w:bCs w:val="0"/>
          <w:color w:val="000000" w:themeColor="text1"/>
          <w:spacing w:val="0"/>
          <w:highlight w:val="none"/>
          <w:lang w:val="en-US" w:eastAsia="zh-CN"/>
          <w14:textFill>
            <w14:solidFill>
              <w14:schemeClr w14:val="tx1"/>
            </w14:solidFill>
          </w14:textFill>
        </w:rPr>
      </w:pPr>
      <w:r>
        <w:br w:type="page"/>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Style w:val="33"/>
          <w:rFonts w:hint="default" w:ascii="黑体" w:hAnsi="黑体" w:eastAsia="黑体"/>
          <w:b w:val="0"/>
          <w:bCs w:val="0"/>
          <w:color w:val="000000" w:themeColor="text1"/>
          <w:spacing w:val="0"/>
          <w:sz w:val="32"/>
          <w:szCs w:val="32"/>
          <w:highlight w:val="none"/>
          <w:lang w:val="en-US" w:eastAsia="zh-CN"/>
          <w14:textFill>
            <w14:solidFill>
              <w14:schemeClr w14:val="tx1"/>
            </w14:solidFill>
          </w14:textFill>
        </w:rPr>
      </w:pPr>
      <w:bookmarkStart w:id="95" w:name="_Toc4307"/>
      <w:r>
        <w:rPr>
          <w:rStyle w:val="33"/>
          <w:rFonts w:hint="eastAsia" w:ascii="黑体" w:hAnsi="黑体" w:eastAsia="黑体"/>
          <w:b w:val="0"/>
          <w:bCs w:val="0"/>
          <w:color w:val="000000" w:themeColor="text1"/>
          <w:spacing w:val="0"/>
          <w:sz w:val="32"/>
          <w:szCs w:val="32"/>
          <w:highlight w:val="none"/>
          <w:lang w:val="en-US" w:eastAsia="zh-CN"/>
          <w14:textFill>
            <w14:solidFill>
              <w14:schemeClr w14:val="tx1"/>
            </w14:solidFill>
          </w14:textFill>
        </w:rPr>
        <w:t>附件6</w:t>
      </w:r>
      <w:bookmarkEnd w:id="95"/>
    </w:p>
    <w:p>
      <w:pPr>
        <w:pStyle w:val="9"/>
        <w:keepNext w:val="0"/>
        <w:keepLines w:val="0"/>
        <w:pageBreakBefore w:val="0"/>
        <w:kinsoku/>
        <w:wordWrap/>
        <w:overflowPunct/>
        <w:topLinePunct w:val="0"/>
        <w:autoSpaceDE/>
        <w:autoSpaceDN/>
        <w:bidi w:val="0"/>
        <w:adjustRightInd/>
        <w:snapToGrid/>
        <w:spacing w:after="0" w:line="576" w:lineRule="exact"/>
        <w:textAlignment w:val="auto"/>
        <w:rPr>
          <w:rStyle w:val="33"/>
          <w:rFonts w:hint="eastAsia" w:ascii="黑体" w:hAnsi="黑体" w:eastAsia="黑体"/>
          <w:b w:val="0"/>
          <w:bCs w:val="0"/>
          <w:color w:val="000000" w:themeColor="text1"/>
          <w:spacing w:val="0"/>
          <w:sz w:val="32"/>
          <w:szCs w:val="32"/>
          <w:highlight w:val="none"/>
          <w:lang w:val="en-US"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广元市昭化区财政项目（中央药品补助资金）</w:t>
      </w:r>
    </w:p>
    <w:p>
      <w:pPr>
        <w:pStyle w:val="9"/>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pStyle w:val="9"/>
        <w:keepNext w:val="0"/>
        <w:keepLines w:val="0"/>
        <w:pageBreakBefore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 xml:space="preserve"> 年度）</w:t>
      </w:r>
    </w:p>
    <w:tbl>
      <w:tblPr>
        <w:tblStyle w:val="18"/>
        <w:tblW w:w="92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612"/>
        <w:gridCol w:w="1841"/>
        <w:gridCol w:w="909"/>
        <w:gridCol w:w="1196"/>
        <w:gridCol w:w="917"/>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中央药品补助资金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8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项目（政策）资金（万元）</w:t>
            </w:r>
          </w:p>
        </w:tc>
        <w:tc>
          <w:tcPr>
            <w:tcW w:w="184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9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28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18</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 xml:space="preserve">  </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8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.在昭化辖区内全覆盖开展药械化质量安全监督检查，日常监督检查与专项整治相结合，对</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409</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家药械化经营使用单位进行全覆盖监督检查。确保药品质量安全，避免发生药品安全事件发生。</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协助上级部门开展药械化监督抽检，预计</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年抽检药品</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批次，医疗器械</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批次，化妆品</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.在昭化辖区内开展药械化监管人员及从业人员法律法规及业务知识培训工作。预计开展</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场次培训会。</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.强化宣传教育工作。全区范围内组织开展药品安全宣传月、医疗器械科普宣传周、</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爱肤日等宣传活动，通过发放宣传手册，科普小常识，禁毒知识及药械化相关法律法规等宣传资料。</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.强化药械化不良反应监测工作。全区范围内开展药械化不良反应监测工作业务培训，核实药械化不良反应报告真实性、准确性、完整性，按照百万人口上报比例完成不良反应监测工作。</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.在昭化辖区内全覆盖开展药械化质量安全监督检查，日常监督检查与专项整治相结合，对辖区内</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220</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家药械化经营使用单位进行全覆盖监督检查。确保药品质量安全，避免发生药品安全事件发生。</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.协助上级部门开展药械监督抽检，</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年抽检药品</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14</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批次，医疗器械</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批次，化妆品</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批次。</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.在昭化辖区内开展药械监管人员及从业人员法律法规及业务知识培训工作。开展</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场次培训会。</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.强化宣传教育工作。全区范围内组织开展药品安全宣传月、医疗器械科普宣传周、</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25</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爱肤日等宣传活动，通过发放宣传手册，科普小常识，禁毒知识及药械化相关法律法规等宣传资料。</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spacing w:val="0"/>
                <w:kern w:val="0"/>
                <w:sz w:val="20"/>
                <w:szCs w:val="20"/>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.强化药械化不良反应监测工作。全区范围内开展药械化不良反应监测工作业务培训，核实药械化不良反应报告真实性、准确性、完整性，按照百万人口上报比例完成不良反应监测工作。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一级指标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二级指标</w:t>
            </w:r>
          </w:p>
        </w:tc>
        <w:tc>
          <w:tcPr>
            <w:tcW w:w="90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三级指标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年度指标值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实际完成值</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产出指标</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数量指标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1</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药品抽检批次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14</w:t>
            </w:r>
            <w:r>
              <w:rPr>
                <w:rStyle w:val="43"/>
                <w:b w:val="0"/>
                <w:bCs w:val="0"/>
                <w:color w:val="000000" w:themeColor="text1"/>
                <w:spacing w:val="0"/>
                <w:lang w:val="en-US" w:eastAsia="zh-CN"/>
                <w14:textFill>
                  <w14:solidFill>
                    <w14:schemeClr w14:val="tx1"/>
                  </w14:solidFill>
                </w14:textFill>
              </w:rPr>
              <w:t>批次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14</w:t>
            </w:r>
            <w:r>
              <w:rPr>
                <w:rStyle w:val="43"/>
                <w:b w:val="0"/>
                <w:bCs w:val="0"/>
                <w:color w:val="000000" w:themeColor="text1"/>
                <w:spacing w:val="0"/>
                <w:lang w:val="en-US" w:eastAsia="zh-CN"/>
                <w14:textFill>
                  <w14:solidFill>
                    <w14:schemeClr w14:val="tx1"/>
                  </w14:solidFill>
                </w14:textFill>
              </w:rPr>
              <w:t>批次</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2</w:t>
            </w:r>
            <w:r>
              <w:rPr>
                <w:rStyle w:val="43"/>
                <w:b w:val="0"/>
                <w:bCs w:val="0"/>
                <w:color w:val="000000" w:themeColor="text1"/>
                <w:spacing w:val="0"/>
                <w:lang w:val="en-US" w:eastAsia="zh-CN"/>
                <w14:textFill>
                  <w14:solidFill>
                    <w14:schemeClr w14:val="tx1"/>
                  </w14:solidFill>
                </w14:textFill>
              </w:rPr>
              <w:t>化妆品抽验批次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4</w:t>
            </w:r>
            <w:r>
              <w:rPr>
                <w:rStyle w:val="43"/>
                <w:b w:val="0"/>
                <w:bCs w:val="0"/>
                <w:color w:val="000000" w:themeColor="text1"/>
                <w:spacing w:val="0"/>
                <w:lang w:val="en-US" w:eastAsia="zh-CN"/>
                <w14:textFill>
                  <w14:solidFill>
                    <w14:schemeClr w14:val="tx1"/>
                  </w14:solidFill>
                </w14:textFill>
              </w:rPr>
              <w:t>批次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4</w:t>
            </w:r>
            <w:r>
              <w:rPr>
                <w:rStyle w:val="43"/>
                <w:b w:val="0"/>
                <w:bCs w:val="0"/>
                <w:color w:val="000000" w:themeColor="text1"/>
                <w:spacing w:val="0"/>
                <w:lang w:val="en-US" w:eastAsia="zh-CN"/>
                <w14:textFill>
                  <w14:solidFill>
                    <w14:schemeClr w14:val="tx1"/>
                  </w14:solidFill>
                </w14:textFill>
              </w:rPr>
              <w:t>批次</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3</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医疗器械抽验批次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w:t>
            </w:r>
            <w:r>
              <w:rPr>
                <w:rStyle w:val="43"/>
                <w:b w:val="0"/>
                <w:bCs w:val="0"/>
                <w:color w:val="000000" w:themeColor="text1"/>
                <w:spacing w:val="0"/>
                <w:lang w:val="en-US" w:eastAsia="zh-CN"/>
                <w14:textFill>
                  <w14:solidFill>
                    <w14:schemeClr w14:val="tx1"/>
                  </w14:solidFill>
                </w14:textFill>
              </w:rPr>
              <w:t>批次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w:t>
            </w:r>
            <w:r>
              <w:rPr>
                <w:rStyle w:val="43"/>
                <w:b w:val="0"/>
                <w:bCs w:val="0"/>
                <w:color w:val="000000" w:themeColor="text1"/>
                <w:spacing w:val="0"/>
                <w:lang w:val="en-US" w:eastAsia="zh-CN"/>
                <w14:textFill>
                  <w14:solidFill>
                    <w14:schemeClr w14:val="tx1"/>
                  </w14:solidFill>
                </w14:textFill>
              </w:rPr>
              <w:t>批次</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4</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药品监管企业数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5</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化妆品监管企业数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72</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72</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6</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医疗器械监管企业数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74</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74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r>
              <w:rPr>
                <w:rStyle w:val="42"/>
                <w:rFonts w:ascii="Times New Roman" w:hAnsi="Times New Roman"/>
                <w:b w:val="0"/>
                <w:bCs w:val="0"/>
                <w:color w:val="000000" w:themeColor="text1"/>
                <w:spacing w:val="0"/>
                <w:lang w:val="en-US" w:eastAsia="zh-CN"/>
                <w14:textFill>
                  <w14:solidFill>
                    <w14:schemeClr w14:val="tx1"/>
                  </w14:solidFill>
                </w14:textFill>
              </w:rPr>
              <w:t>7</w:t>
            </w:r>
            <w:r>
              <w:rPr>
                <w:rStyle w:val="42"/>
                <w:b w:val="0"/>
                <w:bCs w:val="0"/>
                <w:color w:val="000000" w:themeColor="text1"/>
                <w:spacing w:val="0"/>
                <w:lang w:val="en-US" w:eastAsia="zh-CN"/>
                <w14:textFill>
                  <w14:solidFill>
                    <w14:schemeClr w14:val="tx1"/>
                  </w14:solidFill>
                </w14:textFill>
              </w:rPr>
              <w:t>.</w:t>
            </w:r>
            <w:r>
              <w:rPr>
                <w:rStyle w:val="43"/>
                <w:b w:val="0"/>
                <w:bCs w:val="0"/>
                <w:color w:val="000000" w:themeColor="text1"/>
                <w:spacing w:val="0"/>
                <w:lang w:val="en-US" w:eastAsia="zh-CN"/>
                <w14:textFill>
                  <w14:solidFill>
                    <w14:schemeClr w14:val="tx1"/>
                  </w14:solidFill>
                </w14:textFill>
              </w:rPr>
              <w:t>药品监管人员人均培训学时</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3</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3</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质量指标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各项工作完成及时率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时效指标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完成工作时限</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年</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年</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药品监管所需费用</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18</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万元</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18</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万元</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效益指标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“两品一械”总体安全水平</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不断提升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不断提升</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服务对象满意度指标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社会公众对药品安全满意度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6"/>
                <w:szCs w:val="16"/>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6"/>
                <w:szCs w:val="16"/>
                <w:u w:val="none"/>
                <w:lang w:val="en-US" w:eastAsia="zh-CN"/>
                <w14:textFill>
                  <w14:solidFill>
                    <w14:schemeClr w14:val="tx1"/>
                  </w14:solidFill>
                </w14:textFill>
              </w:rPr>
              <w:t>%</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themeColor="text1"/>
                <w:spacing w:val="0"/>
                <w:sz w:val="16"/>
                <w:szCs w:val="16"/>
                <w:u w:val="none"/>
                <w14:textFill>
                  <w14:solidFill>
                    <w14:schemeClr w14:val="tx1"/>
                  </w14:solidFill>
                </w14:textFill>
              </w:rPr>
            </w:pPr>
          </w:p>
        </w:tc>
      </w:tr>
    </w:tbl>
    <w:p>
      <w:pPr>
        <w:pStyle w:val="31"/>
        <w:rPr>
          <w:b w:val="0"/>
          <w:bCs w:val="0"/>
          <w:color w:val="000000" w:themeColor="text1"/>
          <w:spacing w:val="0"/>
          <w14:textFill>
            <w14:solidFill>
              <w14:schemeClr w14:val="tx1"/>
            </w14:solidFill>
          </w14:textFill>
        </w:rPr>
      </w:pPr>
    </w:p>
    <w:p>
      <w:pPr>
        <w:pStyle w:val="6"/>
        <w:rPr>
          <w:b w:val="0"/>
          <w:bCs w:val="0"/>
          <w:color w:val="000000" w:themeColor="text1"/>
          <w:spacing w:val="0"/>
          <w14:textFill>
            <w14:solidFill>
              <w14:schemeClr w14:val="tx1"/>
            </w14:solidFill>
          </w14:textFill>
        </w:rPr>
      </w:pPr>
    </w:p>
    <w:p>
      <w:pPr>
        <w:widowControl/>
        <w:jc w:val="left"/>
        <w:rPr>
          <w:rFonts w:ascii="仿宋" w:hAnsi="仿宋" w:eastAsia="仿宋_GB2312"/>
          <w:b w:val="0"/>
          <w:bCs w:val="0"/>
          <w:color w:val="000000" w:themeColor="text1"/>
          <w:spacing w:val="0"/>
          <w:kern w:val="0"/>
          <w:sz w:val="32"/>
          <w:szCs w:val="32"/>
          <w:highlight w:val="none"/>
          <w14:textFill>
            <w14:solidFill>
              <w14:schemeClr w14:val="tx1"/>
            </w14:solidFill>
          </w14:textFill>
        </w:rPr>
      </w:pPr>
    </w:p>
    <w:p>
      <w:pPr>
        <w:widowControl/>
        <w:jc w:val="left"/>
        <w:rPr>
          <w:rStyle w:val="33"/>
          <w:rFonts w:ascii="黑体" w:hAnsi="黑体" w:eastAsia="黑体"/>
          <w:b w:val="0"/>
          <w:bCs w:val="0"/>
          <w:color w:val="000000" w:themeColor="text1"/>
          <w:spacing w:val="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eastAsia="方正小标宋简体"/>
          <w:b w:val="0"/>
          <w:bCs w:val="0"/>
          <w:color w:val="000000" w:themeColor="text1"/>
          <w:spacing w:val="0"/>
          <w:sz w:val="44"/>
          <w:szCs w:val="44"/>
          <w14:textFill>
            <w14:solidFill>
              <w14:schemeClr w14:val="tx1"/>
            </w14:solidFill>
          </w14:textFill>
        </w:rPr>
      </w:pPr>
    </w:p>
    <w:p>
      <w:pPr>
        <w:rPr>
          <w:rFonts w:eastAsia="方正小标宋简体"/>
          <w:b w:val="0"/>
          <w:bCs w:val="0"/>
          <w:color w:val="000000" w:themeColor="text1"/>
          <w:spacing w:val="0"/>
          <w:sz w:val="44"/>
          <w:szCs w:val="44"/>
          <w14:textFill>
            <w14:solidFill>
              <w14:schemeClr w14:val="tx1"/>
            </w14:solidFill>
          </w14:textFill>
        </w:rPr>
      </w:pPr>
      <w: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left"/>
        <w:textAlignment w:val="auto"/>
        <w:rPr>
          <w:rFonts w:hint="default" w:eastAsia="方正小标宋简体"/>
          <w:b w:val="0"/>
          <w:bCs w:val="0"/>
          <w:color w:val="000000" w:themeColor="text1"/>
          <w:spacing w:val="0"/>
          <w:sz w:val="44"/>
          <w:szCs w:val="44"/>
          <w:lang w:val="en-US" w:eastAsia="zh-CN"/>
          <w14:textFill>
            <w14:solidFill>
              <w14:schemeClr w14:val="tx1"/>
            </w14:solidFill>
          </w14:textFill>
        </w:rPr>
      </w:pPr>
      <w:r>
        <w:rPr>
          <w:rFonts w:hint="eastAsia" w:eastAsia="方正小标宋简体"/>
          <w:b w:val="0"/>
          <w:bCs w:val="0"/>
          <w:color w:val="000000" w:themeColor="text1"/>
          <w:spacing w:val="0"/>
          <w:sz w:val="44"/>
          <w:szCs w:val="44"/>
          <w:lang w:val="en-US" w:eastAsia="zh-CN"/>
          <w14:textFill>
            <w14:solidFill>
              <w14:schemeClr w14:val="tx1"/>
            </w14:solidFill>
          </w14:textFill>
        </w:rPr>
        <w:t>附件7</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eastAsia="方正小标宋简体"/>
          <w:b w:val="0"/>
          <w:bCs w:val="0"/>
          <w:color w:val="000000" w:themeColor="text1"/>
          <w:spacing w:val="0"/>
          <w:sz w:val="44"/>
          <w:szCs w:val="44"/>
          <w:lang w:val="en-US" w:eastAsia="zh-CN"/>
          <w14:textFill>
            <w14:solidFill>
              <w14:schemeClr w14:val="tx1"/>
            </w14:solidFill>
          </w14:textFill>
        </w:rPr>
      </w:pPr>
      <w:r>
        <w:rPr>
          <w:rFonts w:eastAsia="方正小标宋简体"/>
          <w:b w:val="0"/>
          <w:bCs w:val="0"/>
          <w:color w:val="000000" w:themeColor="text1"/>
          <w:spacing w:val="0"/>
          <w:sz w:val="44"/>
          <w:szCs w:val="44"/>
          <w14:textFill>
            <w14:solidFill>
              <w14:schemeClr w14:val="tx1"/>
            </w14:solidFill>
          </w14:textFill>
        </w:rPr>
        <w:t>广元市昭化区</w:t>
      </w:r>
      <w:r>
        <w:rPr>
          <w:rFonts w:hint="eastAsia" w:eastAsia="方正小标宋简体"/>
          <w:b w:val="0"/>
          <w:bCs w:val="0"/>
          <w:color w:val="000000" w:themeColor="text1"/>
          <w:spacing w:val="0"/>
          <w:sz w:val="44"/>
          <w:szCs w:val="44"/>
          <w:lang w:val="en-US" w:eastAsia="zh-CN"/>
          <w14:textFill>
            <w14:solidFill>
              <w14:schemeClr w14:val="tx1"/>
            </w14:solidFill>
          </w14:textFill>
        </w:rPr>
        <w:t>市场监督管理局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ascii="Times New Roman" w:hAnsi="Times New Roman" w:eastAsia="方正小标宋简体"/>
          <w:b w:val="0"/>
          <w:bCs w:val="0"/>
          <w:color w:val="000000" w:themeColor="text1"/>
          <w:spacing w:val="0"/>
          <w:sz w:val="44"/>
          <w:szCs w:val="44"/>
          <w14:textFill>
            <w14:solidFill>
              <w14:schemeClr w14:val="tx1"/>
            </w14:solidFill>
          </w14:textFill>
        </w:rPr>
      </w:pPr>
      <w:r>
        <w:rPr>
          <w:rFonts w:hint="eastAsia" w:ascii="Times New Roman" w:hAnsi="Times New Roman" w:eastAsia="方正小标宋简体"/>
          <w:b w:val="0"/>
          <w:bCs w:val="0"/>
          <w:color w:val="000000" w:themeColor="text1"/>
          <w:spacing w:val="0"/>
          <w:sz w:val="44"/>
          <w:szCs w:val="44"/>
          <w14:textFill>
            <w14:solidFill>
              <w14:schemeClr w14:val="tx1"/>
            </w14:solidFill>
          </w14:textFill>
        </w:rPr>
        <w:t>关于</w:t>
      </w:r>
      <w:r>
        <w:rPr>
          <w:rFonts w:hint="eastAsia" w:ascii="Times New Roman" w:hAnsi="Times New Roman" w:eastAsia="方正小标宋简体"/>
          <w:b w:val="0"/>
          <w:bCs w:val="0"/>
          <w:color w:val="000000" w:themeColor="text1"/>
          <w:spacing w:val="0"/>
          <w:sz w:val="44"/>
          <w:szCs w:val="44"/>
          <w:lang w:val="en-US" w:eastAsia="zh-CN"/>
          <w14:textFill>
            <w14:solidFill>
              <w14:schemeClr w14:val="tx1"/>
            </w14:solidFill>
          </w14:textFill>
        </w:rPr>
        <w:t>2022</w:t>
      </w:r>
      <w:r>
        <w:rPr>
          <w:rFonts w:hint="eastAsia" w:eastAsia="方正小标宋简体"/>
          <w:b w:val="0"/>
          <w:bCs w:val="0"/>
          <w:color w:val="000000" w:themeColor="text1"/>
          <w:spacing w:val="0"/>
          <w:sz w:val="44"/>
          <w:szCs w:val="44"/>
          <w:lang w:val="en-US" w:eastAsia="zh-CN"/>
          <w14:textFill>
            <w14:solidFill>
              <w14:schemeClr w14:val="tx1"/>
            </w14:solidFill>
          </w14:textFill>
        </w:rPr>
        <w:t>年快检车运行、特种设备监管经费</w:t>
      </w:r>
      <w:r>
        <w:rPr>
          <w:rFonts w:hint="eastAsia" w:eastAsia="方正小标宋简体"/>
          <w:b w:val="0"/>
          <w:bCs w:val="0"/>
          <w:color w:val="000000" w:themeColor="text1"/>
          <w:spacing w:val="0"/>
          <w:sz w:val="44"/>
          <w:szCs w:val="44"/>
          <w:lang w:eastAsia="zh-CN"/>
          <w14:textFill>
            <w14:solidFill>
              <w14:schemeClr w14:val="tx1"/>
            </w14:solidFill>
          </w14:textFill>
        </w:rPr>
        <w:t>等</w:t>
      </w:r>
      <w:r>
        <w:rPr>
          <w:rFonts w:hint="eastAsia" w:ascii="Times New Roman" w:hAnsi="Times New Roman" w:eastAsia="方正小标宋简体"/>
          <w:b w:val="0"/>
          <w:bCs w:val="0"/>
          <w:color w:val="000000" w:themeColor="text1"/>
          <w:spacing w:val="0"/>
          <w:sz w:val="44"/>
          <w:szCs w:val="44"/>
          <w:lang w:val="en-US" w:eastAsia="zh-CN"/>
          <w14:textFill>
            <w14:solidFill>
              <w14:schemeClr w14:val="tx1"/>
            </w14:solidFill>
          </w14:textFill>
        </w:rPr>
        <w:t>12</w:t>
      </w:r>
      <w:r>
        <w:rPr>
          <w:rFonts w:hint="eastAsia" w:eastAsia="方正小标宋简体"/>
          <w:b w:val="0"/>
          <w:bCs w:val="0"/>
          <w:color w:val="000000" w:themeColor="text1"/>
          <w:spacing w:val="0"/>
          <w:sz w:val="44"/>
          <w:szCs w:val="44"/>
          <w:lang w:val="en-US" w:eastAsia="zh-CN"/>
          <w14:textFill>
            <w14:solidFill>
              <w14:schemeClr w14:val="tx1"/>
            </w14:solidFill>
          </w14:textFill>
        </w:rPr>
        <w:t>个</w:t>
      </w:r>
      <w:r>
        <w:rPr>
          <w:rFonts w:hint="eastAsia" w:ascii="Times New Roman" w:hAnsi="Times New Roman" w:eastAsia="方正小标宋简体"/>
          <w:b w:val="0"/>
          <w:bCs w:val="0"/>
          <w:color w:val="000000" w:themeColor="text1"/>
          <w:spacing w:val="0"/>
          <w:sz w:val="44"/>
          <w:szCs w:val="44"/>
          <w14:textFill>
            <w14:solidFill>
              <w14:schemeClr w14:val="tx1"/>
            </w14:solidFill>
          </w14:textFill>
        </w:rPr>
        <w:t>项目支出绩效</w:t>
      </w:r>
      <w:r>
        <w:rPr>
          <w:rFonts w:hint="eastAsia" w:ascii="Times New Roman" w:hAnsi="Times New Roman" w:eastAsia="方正小标宋简体"/>
          <w:b w:val="0"/>
          <w:bCs w:val="0"/>
          <w:color w:val="000000" w:themeColor="text1"/>
          <w:spacing w:val="0"/>
          <w:sz w:val="44"/>
          <w:szCs w:val="44"/>
          <w:lang w:eastAsia="zh-CN"/>
          <w14:textFill>
            <w14:solidFill>
              <w14:schemeClr w14:val="tx1"/>
            </w14:solidFill>
          </w14:textFill>
        </w:rPr>
        <w:t>自</w:t>
      </w:r>
      <w:r>
        <w:rPr>
          <w:rFonts w:hint="eastAsia" w:ascii="Times New Roman" w:hAnsi="Times New Roman" w:eastAsia="方正小标宋简体"/>
          <w:b w:val="0"/>
          <w:bCs w:val="0"/>
          <w:color w:val="000000" w:themeColor="text1"/>
          <w:spacing w:val="0"/>
          <w:sz w:val="44"/>
          <w:szCs w:val="44"/>
          <w14:textFill>
            <w14:solidFill>
              <w14:schemeClr w14:val="tx1"/>
            </w14:solidFill>
          </w14:textFill>
        </w:rPr>
        <w:t>评报告</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b w:val="0"/>
          <w:bCs w:val="0"/>
          <w:color w:val="000000" w:themeColor="text1"/>
          <w:spacing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为进一步推进预算绩效评价管理工作，提高财政资金使用效益，我单位按照《广元市昭化区财政支出事后绩效评价管理办法》</w:t>
      </w:r>
      <w:r>
        <w:rPr>
          <w:rFonts w:hint="eastAsia"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昭府办函〔2022〕37号</w:t>
      </w:r>
      <w:r>
        <w:rPr>
          <w:rFonts w:hint="eastAsia"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以及《广元市昭化区财政局关于开展2023年部门、政策和项目支出绩效评价工作有通知》（</w:t>
      </w:r>
      <w:r>
        <w:rPr>
          <w:rFonts w:hint="eastAsia" w:eastAsia="仿宋_GB2312" w:cs="Times New Roman"/>
          <w:b w:val="0"/>
          <w:bCs w:val="0"/>
          <w:color w:val="000000" w:themeColor="text1"/>
          <w:spacing w:val="0"/>
          <w:sz w:val="32"/>
          <w:szCs w:val="32"/>
          <w:lang w:eastAsia="zh-CN"/>
          <w14:textFill>
            <w14:solidFill>
              <w14:schemeClr w14:val="tx1"/>
            </w14:solidFill>
          </w14:textFill>
        </w:rPr>
        <w:t>昭</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财发〔2023〕12号）文件要求，开展了财政项目支出绩效自评，现将具体情况报告如下：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区市场监督管理局</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共有财政项目12个，均为非基建项目，年初申报预算139万元，区财政局批复预算139万元。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2022年临聘人员工资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2022年初本单位申请临聘人员工资预算28万元，区财政局批复预算28万元，为一般公共预算收入。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2022年快检车运行经费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2022年初本单位申请快检车运行经费预算5万元，区财政局批复预算5万元，为一般公共预算收入。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3</w:t>
      </w: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特种设备监管经费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2022年初本单位申请特种设备监管经费预算15万元，区财政局批复预算15万元，为一般公共预算收入。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4.信息平台维护及光纤专线租金</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2022年初本单位申请信息平台维护及光纤专线租金预算6万元，区财政局批复预算6万元，为一般公共预算收入。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5.工商管理经费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2022年初本单位申请工商管理经费预算20万元，区财政局批复预算20万元，为一般公共预算收入。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6.营商环境提升</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2022年初本单位申请营商环境提升预算12万元，区财政局批复预算12万元，为一般公共预算收入。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7.食品药品医疗器械及保健化妆品监管经费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2022年初本单位申请食品药品医疗器械及保健化妆品监管经费预算15万元，区财政局批复预算15万元，为一般公共预算收入。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8.食品药品、食用农产品、流通领域检验检测经费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2022年初本单位申请食品药品、食用农产品、流通领域检验检测经费预算20万元，区财政局批复预算20万元，为一般公共预算收入。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9.食品药品投诉举报奖励基金</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2022年初本单位申请食品药品投诉举报奖励基金预算1万元，区财政局批复预算1万元，为一般公共预算收入。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10.食安委工作经费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2022年初本单位申请食安委工作经费预算10万元，区财政局批复预算10万元，为一般公共预算收入。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11.向上争取资金工作经费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2022年初本单位申请向上争取资金工作经费预算2万元，区财政局批复预算2万元，为一般公共预算收入。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12.招商引资工作经费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2022年初本单位申请招商引资工作经费预算5万元，区财政局批复预算5万元，为一般公共预算收入。</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（二）项目绩效目标</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1.2022年临聘人员工资</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绩效目标：做好8个临聘人工资、社会保障缴费按月及时兑付，协助开展农村食品药品市场监管，维护农村市场食品药品秩序，保障人民群众食品药品安全，使服务群众满意度达到90%。</w:t>
      </w:r>
    </w:p>
    <w:p>
      <w:pPr>
        <w:pStyle w:val="17"/>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2.2022年快检车运行经费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绩效目标：全年保障重点品种、重点环节、重要时间段展开各类食品安全专项整治24次、提供食品药品快速检测20次，切实保障食品药品市场安全项目实施进度计划：按月推进，年度全面完成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3.特种设备监管经费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绩效目标：全年培训特种设备操作人员继续教育360人次，全区特种设备抽检</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率</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达90%以上。维护特种设备使用安全，保护人民生命财产安全。项目实施进度计划：按月推进，年度全面完成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4.信息平台维护及光纤专线租金</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在资源整合和网络监管等方面，统一标准，共管共治，共同维护信息安全和网络安全，按照上级主管部门要求，租赁专网1个。全力保障全局专网安全，通畅高效运转。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5.工商管理经费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绩效目标：全年完成各专项整治10次，查办各类违法案件45件，完成市场主体年报6000户。不断规范市场行为，为广大人民群众营造安全放心的消费环境。项目实施进度计划：按月推进，年度全面完成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6.营商环境提升</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绩效目标：全年为500个新开办企业提供零费用注册、零费用刻制印章。打造昭化最优营商环境。项目实施进度计划：按月推进，年度全面完成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7.食品药品医疗器械及保健化妆品监管经费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绩效目标：1、维护校园食品安全，检查学校、幼儿园食堂362家次、以及周边食品餐饮单位285家，2、加强重点品种、重点区域的食品专项整治13次，监督检查食品流通单位1553家次，餐饮服务单位872家次，3、强化</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优</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化管理，以日常检查为主，结合飞行检查、GSP跟踪检查，重点开展专项整治行动11次，药械经营使用单位517家，组织监管人员、区级医疗机构、</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各</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乡镇卫生院、诊所、民营医疗机构开展集中培训5次，重点对&lt;&lt;中华人民共和国疫苗管理法&gt;&gt;《中华人民共和国药品管理法》进行宣贯、培训。项目实施进度计划：按月推进，年度全面完成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8.食品药品、食用农产品、流通领域检验检测经费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绩效目标：围绕重点品种、重点环节、重要时间段展开各类食品安全专项整治、食品及餐饮具70个批次、开展食用农产品抽检273批次，确保广大公众吃</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得</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放心，过</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得</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舒心。项目实施进度计划：按月推进，年度全面完成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9.食品药品投诉举报奖励基金</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绩效目标：加强消费者权益保护，严格落实12315及12345热线处理24小时值班值守制度，及时查办投诉举报案件，确保重大案件投诉举报人奖励金及时到位。项目实施进度计划：按月推进，年度全面完成</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食安委工作经费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切实履行食品安全委员会工作职责，联合食品安全委员会成员单位开展食品生产、流通、餐饮等领域监管，开展专项整治8次，开展食品安全宣传10次、创建餐饮食品安全示范街3个，食品安全信息发布4次，达到食品安全专项整治全覆盖，营造良好的食品安全氛围。</w:t>
      </w:r>
    </w:p>
    <w:p>
      <w:pPr>
        <w:pStyle w:val="17"/>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11.向上争取资金工作经费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绩效目标：结合部门工作职责，按照相关政策，完成区委区政府下达的55万元任务，为食品安全监管提供更多的资金保障。项目实施进度计划：按月推进，年度全面完成</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12.招商引资工作经费</w:t>
      </w:r>
    </w:p>
    <w:p>
      <w:pPr>
        <w:pStyle w:val="17"/>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绩效目标：为实现经济转型和产业发展，助推昭化区经济发展，围绕“十三五”发展目标，树立“大招商、招大商、招好商”的理念，全力做好项目引进落地服务工作，全年完成招商引资项目2个，开展各类主</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题</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活动2场次，完成招商引资投资任务2700万元。使全区招商引资实现新提升、新突破、新发展。项目实施进度计划：按月推进，年度全面完成。</w:t>
      </w:r>
    </w:p>
    <w:p>
      <w:pPr>
        <w:pStyle w:val="17"/>
        <w:keepNext w:val="0"/>
        <w:keepLines w:val="0"/>
        <w:pageBreakBefore w:val="0"/>
        <w:widowControl w:val="0"/>
        <w:numPr>
          <w:ilvl w:val="0"/>
          <w:numId w:val="1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项目资金申报相符性</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资金申报完全按照项目实施内容及年度计划方案实施，资金申报合理，操作性强，可行性高。我局结合资金性质及用途，有预见性、前瞻性地开展工作，对项目实施未产生任何影响。</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（四）自评步骤及方法</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按照区财政局的安排部署，我局成立自评小组，采用比较法展开了单位自评，首先对年初下达的预算批复和年初项目绩效进行了全面梳理，分类清理了各项目一年来绩效目标完成情况、资金使用情况、项目达到的效果等。然后逐一对各项目完成情况开展自评，最后通过召开专题会议的形</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式</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对各项目绩效情况进行分析总结。</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sz w:val="32"/>
          <w:szCs w:val="32"/>
          <w14:textFill>
            <w14:solidFill>
              <w14:schemeClr w14:val="tx1"/>
            </w14:solidFill>
          </w14:textFill>
        </w:rPr>
        <w:t>二、项目实施及管理情况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（一）资金计划、到位及使用情况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2022年市场监督管理局的各项资金按照本单位的预算，区财政局予以及时批复，我局严格按照各类项目资金使用要求支出，落实专款专用，无任何违规使用的情况。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1.2022年临聘人员工资</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年初预算28万元，区财政局及时批复预算28万元，2022年本单位按照工作进度予以支付，全年使用</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2.2022年快检车运行经费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万元，区财政局及时批复预算5万元，2022年本单位按照工作进度予以支付，全年使用5万元，执行率100%。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3.特种设备监管经费年初预算15万元，区财政局及时批复预算15万元，2022年本单位按照工作进度予以支付，全年使用</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4.信息平台维护及光纤专线租金年初预算6万元，区财政局及时批复预算6万元，2022年本单位按照工作进度予以支付，全年使用6万元，执行率100%。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5.工商管理经费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年初预算20万元，区财政局及时批复预算20万元，2022年本单位按照工作进度予以支付全年使用20万元，执行率100%。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6.营商环境提升</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年初预算12万元，区财政局及时批复预算12万元，2022年本单位按照工作进度予以支付，全年使用12万元，执行率100%。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7.食品药品医疗器械及保健化妆品监管经费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年初预算15万元，区财政局及时批复预算15万元，2022年本单位按照工作进度予以支付，全年使用15万元，执行率100%。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8.食品药品、食用农产品、流通领域检验检测经费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年初预算20万元，区财政局及时批复预算20万元，2022年本单位按照工作进度予以支付，全年使用20万元，执行率100%。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9.食品药品投诉举报奖励基金</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年初预算1万元，区财政局及时批复预算1万元，2022年本单位按照工作进度予以支付，全年使用1万元，执行率100%。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10.食安委工作经费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年初预算10万元，区财政局及时批复预算10万元，2022年本单位按照工作进度予以支付，全年使用10万元，执行率100%。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11.向上争取资金工作经费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万元，区财政局及时批复预算2万元，2022年本单位按照工作进度予以支付，全年使用2万元，执行率100%。</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12.招商引资工作经费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年初预算5万元，区财政局及时批复预算5万元，2022年本单位按照工作进度予以支付，全年使用5万元，执行率100%。</w:t>
      </w:r>
    </w:p>
    <w:p>
      <w:pPr>
        <w:pStyle w:val="17"/>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项目财务管理情况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为达到项目资金的最大使用效果，我局按照“统筹兼顾、突出重点、促进发展、专款专用、注重绩效”的原则，制定了专项资金使用实施方案、项目资金管理办法及内控管理制度等，规范了项目资金的核算及账务处理相关内容，进一步强化监督管理，严格按照各项管理办法、制度执行，充分发挥了资金使用效益。</w:t>
      </w:r>
    </w:p>
    <w:p>
      <w:pPr>
        <w:pStyle w:val="17"/>
        <w:keepNext w:val="0"/>
        <w:keepLines w:val="0"/>
        <w:pageBreakBefore w:val="0"/>
        <w:widowControl w:val="0"/>
        <w:numPr>
          <w:ilvl w:val="0"/>
          <w:numId w:val="11"/>
        </w:numPr>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项目组织实施情况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我局高度重视，成立了以</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局长罗武林</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任组长，相关业务人员为成员的领导小组，将责任落实到人头，制定了切实可行的工作实施方案，为专项资金的使用提供了坚强的组织保障。项目资金的使用严格按照程序化、制度化、公开化、透明化实施。12个项目全部完成各项绩效目标，达到了项目预期的各项指标和效果。</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Fonts w:hint="eastAsia" w:ascii="黑体" w:hAnsi="黑体" w:eastAsia="黑体" w:cs="黑体"/>
          <w:b w:val="0"/>
          <w:bCs w:val="0"/>
          <w:color w:val="000000" w:themeColor="text1"/>
          <w:spacing w:val="0"/>
          <w:sz w:val="32"/>
          <w:szCs w:val="32"/>
          <w14:textFill>
            <w14:solidFill>
              <w14:schemeClr w14:val="tx1"/>
            </w14:solidFill>
          </w14:textFill>
        </w:rPr>
        <w:t>三、项目绩效情况</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2022年度，区市场监督管理局12个项目均做到了资金与项目方案相符，严格按照方案要求进行实施，加强了资金管理，做到了专款专用，确保了资金的安全，提高了资金使用效率。各项目绩效目标完成情况详见附件（项目支出绩效自评表）。</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default" w:ascii="黑体" w:hAnsi="黑体" w:eastAsia="黑体" w:cs="黑体"/>
          <w:b w:val="0"/>
          <w:bCs w:val="0"/>
          <w:color w:val="000000" w:themeColor="text1"/>
          <w:spacing w:val="0"/>
          <w:sz w:val="32"/>
          <w:szCs w:val="32"/>
          <w14:textFill>
            <w14:solidFill>
              <w14:schemeClr w14:val="tx1"/>
            </w14:solidFill>
          </w14:textFill>
        </w:rPr>
      </w:pPr>
      <w:r>
        <w:rPr>
          <w:rFonts w:hint="default" w:ascii="黑体" w:hAnsi="黑体" w:eastAsia="黑体" w:cs="黑体"/>
          <w:b w:val="0"/>
          <w:bCs w:val="0"/>
          <w:color w:val="000000" w:themeColor="text1"/>
          <w:spacing w:val="0"/>
          <w:sz w:val="32"/>
          <w:szCs w:val="32"/>
          <w14:textFill>
            <w14:solidFill>
              <w14:schemeClr w14:val="tx1"/>
            </w14:solidFill>
          </w14:textFill>
        </w:rPr>
        <w:t>四、主要问题及建议</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14:textFill>
            <w14:solidFill>
              <w14:schemeClr w14:val="tx1"/>
            </w14:solidFill>
          </w14:textFill>
        </w:rPr>
        <w:t>（一）存在的问题</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一是本单位项目除上级</w:t>
      </w:r>
      <w:r>
        <w:rPr>
          <w:rFonts w:hint="eastAsia" w:ascii="Times New Roman" w:cs="Times New Roman"/>
          <w:b w:val="0"/>
          <w:bCs w:val="0"/>
          <w:color w:val="000000" w:themeColor="text1"/>
          <w:spacing w:val="0"/>
          <w:sz w:val="32"/>
          <w:szCs w:val="32"/>
          <w:lang w:val="en-US" w:eastAsia="zh-CN"/>
          <w14:textFill>
            <w14:solidFill>
              <w14:schemeClr w14:val="tx1"/>
            </w14:solidFill>
          </w14:textFill>
        </w:rPr>
        <w:t>专</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项资金外，其他项目均是其他公用费，用于市场综合监管工作所需经费，在日常工作开展中，虽然是按照工作进度进行支付，但有时存在各经费混用的情况，未完全按照预算科普目进行使用；二是在项目推进过程中，因财政局在审批支付计划时，控制计划申报率，从而导致项目资金执行进度有时未按照预算要求进行执行，存在执行进度缓慢。</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00" w:firstLine="640" w:firstLineChars="200"/>
        <w:textAlignment w:val="auto"/>
        <w:rPr>
          <w:rFonts w:hint="default" w:ascii="楷体_GB2312" w:hAnsi="楷体_GB2312" w:eastAsia="楷体_GB2312" w:cs="楷体_GB2312"/>
          <w:b w:val="0"/>
          <w:bCs w:val="0"/>
          <w:color w:val="000000" w:themeColor="text1"/>
          <w:spacing w:val="0"/>
          <w:sz w:val="32"/>
          <w:szCs w:val="32"/>
          <w14:textFill>
            <w14:solidFill>
              <w14:schemeClr w14:val="tx1"/>
            </w14:solidFill>
          </w14:textFill>
        </w:rPr>
      </w:pPr>
      <w:r>
        <w:rPr>
          <w:rFonts w:hint="default" w:ascii="楷体_GB2312" w:hAnsi="楷体_GB2312" w:eastAsia="楷体_GB2312" w:cs="楷体_GB2312"/>
          <w:b w:val="0"/>
          <w:bCs w:val="0"/>
          <w:color w:val="000000" w:themeColor="text1"/>
          <w:spacing w:val="0"/>
          <w:sz w:val="32"/>
          <w:szCs w:val="32"/>
          <w14:textFill>
            <w14:solidFill>
              <w14:schemeClr w14:val="tx1"/>
            </w14:solidFill>
          </w14:textFill>
        </w:rPr>
        <w:t>（二）工作建议及改进措施</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一是加强资金管理力度，进一步完善专项资金管理办法，做到专款专用；二是严格</w:t>
      </w:r>
      <w:r>
        <w:rPr>
          <w:rFonts w:hint="eastAsia" w:ascii="Times New Roman" w:cs="Times New Roman"/>
          <w:b w:val="0"/>
          <w:bCs w:val="0"/>
          <w:color w:val="000000" w:themeColor="text1"/>
          <w:spacing w:val="0"/>
          <w:sz w:val="32"/>
          <w:szCs w:val="32"/>
          <w:lang w:eastAsia="zh-CN"/>
          <w14:textFill>
            <w14:solidFill>
              <w14:schemeClr w14:val="tx1"/>
            </w14:solidFill>
          </w14:textFill>
        </w:rPr>
        <w:t>按</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照项目实施进度，预算执行进度支付各项资金，杜绝执行进度滞后的现象发生，为各项工作的开展及时提供资金支持和保障。</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line="576" w:lineRule="exact"/>
        <w:ind w:leftChars="100" w:firstLine="640" w:firstLineChars="200"/>
        <w:textAlignment w:val="auto"/>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pPr>
    </w:p>
    <w:p>
      <w:pPr>
        <w:pStyle w:val="17"/>
        <w:keepNext w:val="0"/>
        <w:keepLines w:val="0"/>
        <w:pageBreakBefore w:val="0"/>
        <w:widowControl w:val="0"/>
        <w:numPr>
          <w:ilvl w:val="0"/>
          <w:numId w:val="0"/>
        </w:numPr>
        <w:kinsoku/>
        <w:wordWrap w:val="0"/>
        <w:overflowPunct/>
        <w:topLinePunct w:val="0"/>
        <w:autoSpaceDE/>
        <w:autoSpaceDN/>
        <w:bidi w:val="0"/>
        <w:adjustRightInd/>
        <w:snapToGrid/>
        <w:spacing w:beforeLines="0" w:line="576" w:lineRule="exact"/>
        <w:ind w:leftChars="100" w:firstLine="640" w:firstLineChars="200"/>
        <w:jc w:val="right"/>
        <w:textAlignment w:val="auto"/>
        <w:rPr>
          <w:rFonts w:hint="eastAsia"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广元市昭化区市场监督管理局</w:t>
      </w:r>
      <w:r>
        <w:rPr>
          <w:rFonts w:hint="eastAsia" w:ascii="Times New Roman" w:cs="Times New Roman"/>
          <w:b w:val="0"/>
          <w:bCs w:val="0"/>
          <w:color w:val="000000" w:themeColor="text1"/>
          <w:spacing w:val="0"/>
          <w:sz w:val="32"/>
          <w:szCs w:val="32"/>
          <w:lang w:eastAsia="zh-CN"/>
          <w14:textFill>
            <w14:solidFill>
              <w14:schemeClr w14:val="tx1"/>
            </w14:solidFill>
          </w14:textFill>
        </w:rPr>
        <w:t>　</w:t>
      </w:r>
    </w:p>
    <w:p>
      <w:pPr>
        <w:pStyle w:val="17"/>
        <w:keepNext w:val="0"/>
        <w:keepLines w:val="0"/>
        <w:pageBreakBefore w:val="0"/>
        <w:widowControl w:val="0"/>
        <w:numPr>
          <w:ilvl w:val="0"/>
          <w:numId w:val="0"/>
        </w:numPr>
        <w:kinsoku/>
        <w:wordWrap w:val="0"/>
        <w:overflowPunct/>
        <w:topLinePunct w:val="0"/>
        <w:autoSpaceDE/>
        <w:autoSpaceDN/>
        <w:bidi w:val="0"/>
        <w:adjustRightInd/>
        <w:snapToGrid/>
        <w:spacing w:beforeLines="0" w:line="576" w:lineRule="exact"/>
        <w:ind w:leftChars="100" w:firstLine="640" w:firstLineChars="200"/>
        <w:jc w:val="right"/>
        <w:textAlignment w:val="auto"/>
        <w:rPr>
          <w:rFonts w:hint="eastAsia"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2023年</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月</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日</w:t>
      </w:r>
      <w:r>
        <w:rPr>
          <w:rFonts w:hint="eastAsia" w:ascii="Times New Roman" w:cs="Times New Roman"/>
          <w:b w:val="0"/>
          <w:bCs w:val="0"/>
          <w:color w:val="000000" w:themeColor="text1"/>
          <w:spacing w:val="0"/>
          <w:sz w:val="32"/>
          <w:szCs w:val="32"/>
          <w:lang w:eastAsia="zh-CN"/>
          <w14:textFill>
            <w14:solidFill>
              <w14:schemeClr w14:val="tx1"/>
            </w14:solidFill>
          </w14:textFill>
        </w:rPr>
        <w:t>　　　　</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附件8</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hanging="8" w:firstLineChars="0"/>
        <w:jc w:val="center"/>
        <w:textAlignment w:val="auto"/>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广元市昭化区财政项目（向上争取资金工作经费）支出绩效自评表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771"/>
        <w:gridCol w:w="1041"/>
        <w:gridCol w:w="1042"/>
        <w:gridCol w:w="1243"/>
        <w:gridCol w:w="1042"/>
        <w:gridCol w:w="1041"/>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542"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向上争取工作经费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368"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083"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2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4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4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2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2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2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2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2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2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243"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18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180"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结合部门工作职责，按照相关政策，完成区委区政府下达的</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万元任务，为食品安全监管提供更多的资金保障</w:t>
            </w:r>
          </w:p>
        </w:tc>
        <w:tc>
          <w:tcPr>
            <w:tcW w:w="21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与省、市市场监督管理局对接</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次，争取资金</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4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4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1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41"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0" w:type="auto"/>
            <w:gridSpan w:val="2"/>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争取资金数</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与省、市科协对接</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13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加大对接力度，争取上级资金。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按程序进行申报</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符合程序</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符合程序</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完成工作时限</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vMerge w:val="continue"/>
            <w:noWrap w:val="0"/>
            <w:vAlign w:val="center"/>
          </w:tcPr>
          <w:p>
            <w:pPr>
              <w:keepNext w:val="0"/>
              <w:keepLines w:val="0"/>
              <w:pageBreakBefore w:val="0"/>
              <w:kinsoku/>
              <w:wordWrap/>
              <w:overflowPunct/>
              <w:topLinePunct w:val="0"/>
              <w:autoSpaceDE/>
              <w:autoSpaceDN/>
              <w:bidi w:val="0"/>
              <w:adjustRightInd/>
              <w:snapToGrid/>
              <w:ind w:left="-105" w:leftChars="-50" w:right="-105" w:rightChars="-50"/>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所需的差旅费、印刷费等</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228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为企事业单位提供资金支持</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优良</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7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104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285"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服务群众满意度</w:t>
            </w:r>
          </w:p>
        </w:tc>
        <w:tc>
          <w:tcPr>
            <w:tcW w:w="104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4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13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广元市昭化区财政项目（食安委工作经费）</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815"/>
        <w:gridCol w:w="912"/>
        <w:gridCol w:w="1348"/>
        <w:gridCol w:w="1094"/>
        <w:gridCol w:w="1068"/>
        <w:gridCol w:w="767"/>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85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食安委工作经费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422"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76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260"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9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9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9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9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94"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67"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94"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67"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94"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67"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38"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94"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67"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004"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023"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004"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切实履行食品安全委员会工作职责，联合食品安全委员会成员单位开展食品生产、流通、餐饮等领域监管，开展专项整治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次，开展食品安全宣传</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次、创建餐饮食品安全示范街</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个，食品安全信息发布</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次，达到食品安全专项整治全覆盖，营造良好的食品安全氛围。</w:t>
            </w:r>
          </w:p>
        </w:tc>
        <w:tc>
          <w:tcPr>
            <w:tcW w:w="26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切实履行食品安全委员会工作职责，联合食品安全委员会成员单位开展食品生产、流通、餐饮等领域监管，开展专项整治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次，开展食品安全宣传</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次、创建餐饮食品安全示范街</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个，食品安全信息发布</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次，达到食品安全专项整治全覆盖，营造良好的食品安全氛围。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81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6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91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442"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创建餐饮食品安全示范街个数</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2"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4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食品生产、流通领域专项整治、开展食品宣传次数、食品安全信息发布次数</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餐饮食品安全示范街完成率</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完成工作时限</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所需的差旅费、印刷费等</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76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1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提高人民认知度</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优良</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3"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91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44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服务群众满意度</w:t>
            </w:r>
          </w:p>
        </w:tc>
        <w:tc>
          <w:tcPr>
            <w:tcW w:w="106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767"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661"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ind w:firstLine="400" w:firstLineChars="100"/>
        <w:jc w:val="both"/>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广元市昭化区财政项目（特种设备监管经费）</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34"/>
        <w:gridCol w:w="780"/>
        <w:gridCol w:w="1632"/>
        <w:gridCol w:w="1069"/>
        <w:gridCol w:w="1125"/>
        <w:gridCol w:w="101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908"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特种设备监管经费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606"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5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项目（政策）资金（万元）</w:t>
            </w:r>
          </w:p>
        </w:tc>
        <w:tc>
          <w:tcPr>
            <w:tcW w:w="2412"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1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6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6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6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69"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69"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69"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412"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69"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8"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356"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18"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356"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全年培训特种设备操作人员继续教育</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人次，全区特种设备抽检</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率</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达</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%以上。维护特种设备使用安全，保护人民生命财产安全。</w:t>
            </w:r>
          </w:p>
        </w:tc>
        <w:tc>
          <w:tcPr>
            <w:tcW w:w="228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全年培训特种设备操作人员继续教育</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人次，全区特种设备抽检</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率</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达</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%以上。维护特种设备使用安全，保护人民生命财产安全。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8"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73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1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28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78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701"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20"/>
                <w:szCs w:val="20"/>
                <w:u w:val="none"/>
                <w:lang w:val="en-US" w:eastAsia="zh-CN"/>
                <w14:textFill>
                  <w14:solidFill>
                    <w14:schemeClr w14:val="tx1"/>
                  </w14:solidFill>
                </w14:textFill>
              </w:rPr>
              <w:t>培训特种设备操作人员继续教育次数</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人次</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270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食品生产、流通领域专项整治、开展食品宣传次数、食品安全信息发布次数</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安全监察人员培训完成率</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完成工作时限</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所需的差旅费、印刷费等</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经济效益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2701"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群众安全保障</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优良</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生态效益</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163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9"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可持续影响指标</w:t>
            </w:r>
          </w:p>
        </w:tc>
        <w:tc>
          <w:tcPr>
            <w:tcW w:w="163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69"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25"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1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8"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3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br w:type="textWrapping"/>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7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70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服务群众满意度</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86"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广元市昭化区财政项目（工商管理经费）</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99"/>
        <w:gridCol w:w="1029"/>
        <w:gridCol w:w="969"/>
        <w:gridCol w:w="1002"/>
        <w:gridCol w:w="1022"/>
        <w:gridCol w:w="1020"/>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317"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工商管理经费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022"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998"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0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0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0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0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0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0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0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98"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02"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063"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041"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63"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041"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全年完成各专项整治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次，查办各类违法案件</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件，完成市场主体年报</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户。不断规范市场行为，为广大人民群众营造安全放心的消费环境。</w:t>
            </w:r>
          </w:p>
        </w:tc>
        <w:tc>
          <w:tcPr>
            <w:tcW w:w="2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全年完成各专项整治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次，查办各类违法案件</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件，完成市场主体年报</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户。不断规范市场行为，为广大人民群众营造安全放心的消费环境。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99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2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2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27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产出指标</w:t>
            </w:r>
          </w:p>
        </w:tc>
        <w:tc>
          <w:tcPr>
            <w:tcW w:w="1029"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数量指标</w:t>
            </w: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查办市场违法案件数</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各项专项整治次数</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主体年报年检户数</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成本指标</w:t>
            </w: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工商管理所需工作经费控制在预算内</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查办市场各类违法案件率</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9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9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广大人民群众满意度</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优良</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可持续影响指标</w:t>
            </w:r>
          </w:p>
        </w:tc>
        <w:tc>
          <w:tcPr>
            <w:tcW w:w="197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Style w:val="41"/>
                <w:b w:val="0"/>
                <w:bCs w:val="0"/>
                <w:color w:val="000000" w:themeColor="text1"/>
                <w:spacing w:val="0"/>
                <w:lang w:val="en-US" w:eastAsia="zh-CN"/>
                <w14:textFill>
                  <w14:solidFill>
                    <w14:schemeClr w14:val="tx1"/>
                  </w14:solidFill>
                </w14:textFill>
              </w:rPr>
              <w:t>市场监管工作常态化</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0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19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themeColor="text1"/>
                <w:spacing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强化全区市场监管安全，提高群众的认知率，确保区域内无重大市场安全事故发</w:t>
            </w:r>
            <w:r>
              <w:rPr>
                <w:rFonts w:hint="eastAsia"/>
                <w:lang w:val="en-US" w:eastAsia="zh-CN"/>
              </w:rPr>
              <w:t>生</w:t>
            </w:r>
          </w:p>
        </w:tc>
        <w:tc>
          <w:tcPr>
            <w:tcW w:w="102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7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广元市昭化区财政项目（信息平台维护及</w:t>
      </w:r>
    </w:p>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光纤专线租金）支出绩效自评表</w:t>
      </w:r>
    </w:p>
    <w:p>
      <w:pPr>
        <w:keepNext w:val="0"/>
        <w:keepLines w:val="0"/>
        <w:widowControl/>
        <w:suppressLineNumbers w:val="0"/>
        <w:jc w:val="center"/>
        <w:textAlignment w:val="top"/>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p>
      <w:pPr>
        <w:pStyle w:val="17"/>
        <w:rPr>
          <w:rFonts w:hint="eastAsia"/>
          <w:b w:val="0"/>
          <w:bCs w:val="0"/>
          <w:color w:val="000000" w:themeColor="text1"/>
          <w:spacing w:val="0"/>
          <w14:textFill>
            <w14:solidFill>
              <w14:schemeClr w14:val="tx1"/>
            </w14:solidFill>
          </w14:textFill>
        </w:rPr>
      </w:pPr>
    </w:p>
    <w:tbl>
      <w:tblPr>
        <w:tblStyle w:val="18"/>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956"/>
        <w:gridCol w:w="1000"/>
        <w:gridCol w:w="931"/>
        <w:gridCol w:w="958"/>
        <w:gridCol w:w="1004"/>
        <w:gridCol w:w="1142"/>
        <w:gridCol w:w="2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31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信息平台维护及光纤专线租金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89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27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931" w:type="dxa"/>
            <w:gridSpan w:val="2"/>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04"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142"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22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06" w:type="dxa"/>
            <w:gridSpan w:val="2"/>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99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27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99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在资源整合和网络监管等方面，统一标准，共管共治，共同维护信息安全和网络安全，按照上级主管部门要求，租赁专网</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个。全力保障全局专网安全，通畅高效运转。</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在资源整合和网络监管等方面，统一标准，共管共治，共同维护信息安全和网络安全，按照上级主管部门要求，租赁专网</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个。全力保障全局专网安全，通畅高效运转。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可持续发展指标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市场监管工作常态化</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广大人民群众满意度</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Style w:val="43"/>
                <w:b w:val="0"/>
                <w:bCs w:val="0"/>
                <w:color w:val="000000" w:themeColor="text1"/>
                <w:spacing w:val="0"/>
                <w:lang w:val="en-US" w:eastAsia="zh-CN"/>
                <w14:textFill>
                  <w14:solidFill>
                    <w14:schemeClr w14:val="tx1"/>
                  </w14:solidFill>
                </w14:textFill>
              </w:rPr>
              <w:t>%</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完成网络维护资金成本控制在预算内</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12315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专网投诉举报中心受理消费者咨询、投诉、举报</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286</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286</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租赁专网数</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全力保障全局专网安全，通畅高效运转。</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Style w:val="43"/>
                <w:b w:val="0"/>
                <w:bCs w:val="0"/>
                <w:color w:val="000000" w:themeColor="text1"/>
                <w:spacing w:val="0"/>
                <w:lang w:val="en-US" w:eastAsia="zh-CN"/>
                <w14:textFill>
                  <w14:solidFill>
                    <w14:schemeClr w14:val="tx1"/>
                  </w14:solidFill>
                </w14:textFill>
              </w:rPr>
              <w:t>%</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广元市昭化区财政项目（食品药品、医疗器械及</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保健化妆品监管）支出绩效自评表</w:t>
      </w:r>
    </w:p>
    <w:p>
      <w:pPr>
        <w:keepNext w:val="0"/>
        <w:keepLines w:val="0"/>
        <w:widowControl/>
        <w:suppressLineNumbers w:val="0"/>
        <w:jc w:val="center"/>
        <w:textAlignment w:val="top"/>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p>
      <w:pPr>
        <w:pStyle w:val="17"/>
        <w:rPr>
          <w:rFonts w:hint="eastAsia"/>
          <w:b w:val="0"/>
          <w:bCs w:val="0"/>
          <w:color w:val="000000" w:themeColor="text1"/>
          <w:spacing w:val="0"/>
          <w14:textFill>
            <w14:solidFill>
              <w14:schemeClr w14:val="tx1"/>
            </w14:solidFill>
          </w14:textFill>
        </w:rPr>
      </w:pPr>
    </w:p>
    <w:tbl>
      <w:tblPr>
        <w:tblStyle w:val="18"/>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796"/>
        <w:gridCol w:w="814"/>
        <w:gridCol w:w="679"/>
        <w:gridCol w:w="1032"/>
        <w:gridCol w:w="1118"/>
        <w:gridCol w:w="1105"/>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298"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食品药品、医疗器械及保健化妆品监管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643"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493"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算数</w:t>
            </w:r>
          </w:p>
        </w:tc>
        <w:tc>
          <w:tcPr>
            <w:tcW w:w="111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算数</w:t>
            </w:r>
          </w:p>
        </w:tc>
        <w:tc>
          <w:tcPr>
            <w:tcW w:w="110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行数</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3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3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3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3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1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3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1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32"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1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49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32"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18"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1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544"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93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544"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、维护校园食品安全，检查学校、幼儿园食堂</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家次、以及周边食品餐饮单位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、加强重点品种、重点区域的食品专项整治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次，监督检查食品流通单位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1553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家次，餐饮服务单位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872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优</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化管理，以日常检查为主，结合飞行检查、GSP跟踪检查，重点开展专项整治行动</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次，药械经营使用单位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517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家，组织监管人员、区级医疗机构、</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各</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乡镇卫生院、诊所、民营医疗机构开展集中培训</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次，重点对&lt;&lt;中华人民共和国疫苗管理法&gt;&gt;《中华人民共和国药品管理法》进行宣贯、培训。</w:t>
            </w:r>
          </w:p>
        </w:tc>
        <w:tc>
          <w:tcPr>
            <w:tcW w:w="25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、维护校园食品安全，检查学校、幼儿园食堂</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362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家次以及周边食品餐饮单位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、加强重点品种、重点区域的食品专项整治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次，监督检查食品流通单位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1553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家次，餐饮服务单位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872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家次，</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、强化</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优</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化管理，以日常检查为主，结合飞行检查、GSP跟踪检查，重点开展专项整治行动</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次，药械经营使用单位</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517</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家，组织监管人员、区级医疗机构、</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各</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乡镇卫生院、诊所、民营医疗机构开展集中培训</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次，重点对&lt;&lt;中华人民共和国疫苗管理法&gt;&gt;《中华人民共和国药品管理法》进行宣贯、培训。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55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1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涉刑案件移送率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食品生产加工企业监管覆盖率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重大案件查办率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不合格药品处置率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国家食品抽检不合格食品核查率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食品药品化妆品监管所需经费控制在预算内</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17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食品药品监管行政人员培训覆盖率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7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药品生产企业监测检查覆盖率</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7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食品药品监管户数</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110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家</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监管对象、人民群众满意度</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人民群众饮食用药安全水平</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9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可持续发展指标</w:t>
            </w:r>
          </w:p>
        </w:tc>
        <w:tc>
          <w:tcPr>
            <w:tcW w:w="171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食品药品监管水平能力提升</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1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55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pStyle w:val="17"/>
        <w:numPr>
          <w:ilvl w:val="0"/>
          <w:numId w:val="0"/>
        </w:numPr>
        <w:rPr>
          <w:rFonts w:hint="default"/>
          <w:b w:val="0"/>
          <w:bCs w:val="0"/>
          <w:color w:val="000000" w:themeColor="text1"/>
          <w:spacing w:val="0"/>
          <w:lang w:val="en-US" w:eastAsia="zh-CN"/>
          <w14:textFill>
            <w14:solidFill>
              <w14:schemeClr w14:val="tx1"/>
            </w14:solidFill>
          </w14:textFill>
        </w:rPr>
      </w:pPr>
    </w:p>
    <w:p>
      <w:pPr>
        <w:pStyle w:val="17"/>
        <w:numPr>
          <w:ilvl w:val="0"/>
          <w:numId w:val="0"/>
        </w:numPr>
        <w:jc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pStyle w:val="17"/>
        <w:numPr>
          <w:ilvl w:val="0"/>
          <w:numId w:val="0"/>
        </w:numPr>
        <w:jc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pStyle w:val="17"/>
        <w:numPr>
          <w:ilvl w:val="0"/>
          <w:numId w:val="0"/>
        </w:numPr>
        <w:jc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pStyle w:val="17"/>
        <w:numPr>
          <w:ilvl w:val="0"/>
          <w:numId w:val="0"/>
        </w:numPr>
        <w:jc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pStyle w:val="17"/>
        <w:numPr>
          <w:ilvl w:val="0"/>
          <w:numId w:val="0"/>
        </w:numPr>
        <w:jc w:val="both"/>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p>
    <w:p>
      <w:pPr>
        <w:pStyle w:val="17"/>
        <w:numPr>
          <w:ilvl w:val="0"/>
          <w:numId w:val="0"/>
        </w:numPr>
        <w:jc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广元市昭化区财政项目（食品药品投诉奖励基金）支出绩效自评表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982"/>
        <w:gridCol w:w="1018"/>
        <w:gridCol w:w="955"/>
        <w:gridCol w:w="979"/>
        <w:gridCol w:w="995"/>
        <w:gridCol w:w="99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8055"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食品药品投诉奖励基金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320"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160"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80"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48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480"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加强消费者权益保护，严格落实</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12315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及</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12345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热线处理</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小时值班值守制度，及时查办投诉举报案件，确保重大案件投诉举报人奖励金及时到位。</w:t>
            </w:r>
          </w:p>
        </w:tc>
        <w:tc>
          <w:tcPr>
            <w:tcW w:w="265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加强消费者权益保护，严格落实</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12315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及</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12345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热线处理</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小时值班值守制度，及时查办投诉举报案件，确保重大案件投诉举报人奖励金及时到位。训。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6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处理市长热线反馈件</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受理电话、网上投诉</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150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件</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投诉举报处理</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16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投诉举报基金控制在预算内</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8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合法诚信经营</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社会公众对食品安全的监督保障</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65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ign w:val="center"/>
          </w:tcPr>
          <w:p>
            <w:pPr>
              <w:jc w:val="cente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监管对象、人民群众满意度</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0" w:type="auto"/>
            <w:noWrap/>
            <w:vAlign w:val="center"/>
          </w:tcPr>
          <w:p>
            <w:pPr>
              <w:rPr>
                <w:rFonts w:hint="eastAsia" w:ascii="宋体" w:hAnsi="宋体" w:eastAsia="宋体" w:cs="宋体"/>
                <w:b w:val="0"/>
                <w:bCs w:val="0"/>
                <w:i w:val="0"/>
                <w:iCs w:val="0"/>
                <w:color w:val="000000" w:themeColor="text1"/>
                <w:spacing w:val="0"/>
                <w:sz w:val="20"/>
                <w:szCs w:val="20"/>
                <w:u w:val="none"/>
                <w14:textFill>
                  <w14:solidFill>
                    <w14:schemeClr w14:val="tx1"/>
                  </w14:solidFill>
                </w14:textFill>
              </w:rPr>
            </w:pPr>
          </w:p>
        </w:tc>
      </w:tr>
    </w:tbl>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广元市昭化区财政项目（食品药品、食用农产品、流通领域检验检测）支出绩效自评表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756"/>
        <w:gridCol w:w="891"/>
        <w:gridCol w:w="739"/>
        <w:gridCol w:w="943"/>
        <w:gridCol w:w="1006"/>
        <w:gridCol w:w="975"/>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578"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食品药品、食用农产品、流通领域检验检测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579"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1630" w:type="dxa"/>
            <w:gridSpan w:val="2"/>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9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9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9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7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7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7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781"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63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260" w:lineRule="exac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7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0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310"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025"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310"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围绕重点品种、重点环节、重要时间段展开各类食品安全专项整治、食品及餐饮具</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个批次、开展食用农产品抽检</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批次，确保广大公众吃</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得</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放心，过</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得</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舒心</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围绕重点品种、重点环节、重要时间段展开各类食品安全专项整治、食品及餐饮具</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70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个批次、开展食用农产品抽检</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批次，确保广大公众吃</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得</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放心，过</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得</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舒心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30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8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完成民生工程食品抽检次数</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170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170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完成区局监督抽检</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173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173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批次</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抽检合格率</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检验检测不合格率</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6</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食品药品等检验检测所需经费控制在预算内</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可持续发展指标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食品监管水平能力提升</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宣传发布频次达标率</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89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对食品安全的监督保障，食品安全生产经营单位的警示</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0" w:type="auto"/>
            <w:vMerge w:val="continue"/>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68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广大人民群众满意度</w:t>
            </w:r>
          </w:p>
        </w:tc>
        <w:tc>
          <w:tcPr>
            <w:tcW w:w="10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302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广元市昭化区财政项目（招商引资工作经费）</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825"/>
        <w:gridCol w:w="951"/>
        <w:gridCol w:w="820"/>
        <w:gridCol w:w="1021"/>
        <w:gridCol w:w="992"/>
        <w:gridCol w:w="99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657"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招商引资工作经费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3784"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项目（政策）资金（万元）</w:t>
            </w:r>
          </w:p>
        </w:tc>
        <w:tc>
          <w:tcPr>
            <w:tcW w:w="1771"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2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2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2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21"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21"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21"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862"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771"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21"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9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37"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5599"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1037"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5599"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为实现经济转型和产业发展，助推昭化区经济发展，围绕“十三五”发展目标，树立“大招商、招大商、招好商”的理念，全力做好项目引进落地服务工作，全年完成招商引资项目</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个，开展各类主</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题</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活动</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场次，完成招商引资投资任务</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万元。使全区招商引资实现新提升、新突破、新发展。</w:t>
            </w:r>
          </w:p>
        </w:tc>
        <w:tc>
          <w:tcPr>
            <w:tcW w:w="288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为实现经济转型和产业发展，助推昭化区经济发展，围绕“十三五”发展目标，树立“大招商、招大商、招好商”的理念，全力做好项目引进落地服务工作，全年完成招商引资项目</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个，开展各类主</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题</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活动</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场次，完成招商引资投资任务</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万元。使全区招商引资实现新提升、新突破、新发展。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8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95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184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88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95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184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招商引资所需差旅费、接待费等经费控制在预算内</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18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完成年度目标任务时间</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184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严格按照招商程序</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1"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184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完成招商引资金额</w:t>
            </w:r>
          </w:p>
        </w:tc>
        <w:tc>
          <w:tcPr>
            <w:tcW w:w="9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9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2700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招商活动签约项目个数</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95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8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举办各类主题活动场次</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场次</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w:t>
            </w:r>
          </w:p>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1841"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提高本地经济发展</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8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指标</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18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广大人民群众满意度</w:t>
            </w:r>
          </w:p>
        </w:tc>
        <w:tc>
          <w:tcPr>
            <w:tcW w:w="99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99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88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广元市昭化区财政项目（营商环境提升经费）</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019"/>
        <w:gridCol w:w="1041"/>
        <w:gridCol w:w="996"/>
        <w:gridCol w:w="1021"/>
        <w:gridCol w:w="1032"/>
        <w:gridCol w:w="105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68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营商环境提升经费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320"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160"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80"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48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2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480"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计划全年为</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个新开办企业提供零费用注册、零费用刻制印章。打造昭化最优营商环境</w:t>
            </w:r>
          </w:p>
        </w:tc>
        <w:tc>
          <w:tcPr>
            <w:tcW w:w="22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全年为</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个新开办企业提供零费用注册、零费用刻制印章。打造昭化最优营商环境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所需经费控制在预算内</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120000</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完成年度目标任务时间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为新增企业刻制印章数</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为新增企业服务</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实现开办企业零费用目标，打造昭化最优营商环境</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2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w:t>
      </w:r>
      <w:r>
        <w:rPr>
          <w:rFonts w:hint="default" w:ascii="Times New Roman" w:hAnsi="Times New Roman"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2022</w:t>
      </w: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年临时人员工资）</w:t>
      </w:r>
    </w:p>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031"/>
        <w:gridCol w:w="1056"/>
        <w:gridCol w:w="1027"/>
        <w:gridCol w:w="1043"/>
        <w:gridCol w:w="1054"/>
        <w:gridCol w:w="1052"/>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275"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年临时人员工资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180"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083"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4"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4"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43"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4"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04"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83"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43"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4"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2"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73"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263"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0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073"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263"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聘请</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个临时人员协助开展农村食品药品市场监管，维护农村市场食品药品秩序，保障人民群众食品药品安全</w:t>
            </w:r>
          </w:p>
        </w:tc>
        <w:tc>
          <w:tcPr>
            <w:tcW w:w="204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聘请</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个临时人员协助开展农村食品药品市场监管，维护农村市场食品药品秩序，保障人民群众食品药品安全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10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0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监管市场秩序运行情况</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临聘人员工资、保险等所需经费控制在预算内</w:t>
            </w:r>
          </w:p>
        </w:tc>
        <w:tc>
          <w:tcPr>
            <w:tcW w:w="10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105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280000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临时人员协助监管各类经营户数</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户</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临时人员协助开展各类专项整治次数</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6"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聘请市场协管员人数</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8</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人</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56"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年度目标任务完成时间</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可持续影响指标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农村市场秩序</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07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监管和服务对象满意度</w:t>
            </w: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52"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043"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themeColor="text1"/>
          <w:spacing w:val="0"/>
          <w:sz w:val="40"/>
          <w:szCs w:val="40"/>
          <w:u w:val="none"/>
          <w14:textFill>
            <w14:solidFill>
              <w14:schemeClr w14:val="tx1"/>
            </w14:solidFill>
          </w14:textFill>
        </w:rPr>
      </w:pP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广元市昭化区财政项目（</w:t>
      </w:r>
      <w:r>
        <w:rPr>
          <w:rFonts w:hint="default" w:ascii="Times New Roman" w:hAnsi="Times New Roman"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2022</w:t>
      </w:r>
      <w:r>
        <w:rPr>
          <w:rFonts w:hint="default" w:ascii="方正小标宋简体" w:hAnsi="方正小标宋简体" w:eastAsia="方正小标宋简体" w:cs="方正小标宋简体"/>
          <w:b w:val="0"/>
          <w:bCs w:val="0"/>
          <w:i w:val="0"/>
          <w:iCs w:val="0"/>
          <w:color w:val="000000" w:themeColor="text1"/>
          <w:spacing w:val="0"/>
          <w:kern w:val="0"/>
          <w:sz w:val="40"/>
          <w:szCs w:val="40"/>
          <w:u w:val="none"/>
          <w:lang w:val="en-US" w:eastAsia="zh-CN"/>
          <w14:textFill>
            <w14:solidFill>
              <w14:schemeClr w14:val="tx1"/>
            </w14:solidFill>
          </w14:textFill>
        </w:rPr>
        <w:t>年快检车运行经费）支出绩效自评表</w:t>
      </w:r>
    </w:p>
    <w:p>
      <w:pPr>
        <w:keepNext w:val="0"/>
        <w:keepLines w:val="0"/>
        <w:widowControl/>
        <w:suppressLineNumbers w:val="0"/>
        <w:jc w:val="center"/>
        <w:textAlignment w:val="top"/>
        <w:rPr>
          <w:rFonts w:hint="eastAsia"/>
          <w:b w:val="0"/>
          <w:bCs w:val="0"/>
          <w:color w:val="000000" w:themeColor="text1"/>
          <w:spacing w:val="0"/>
          <w14:textFill>
            <w14:solidFill>
              <w14:schemeClr w14:val="tx1"/>
            </w14:solidFill>
          </w14:textFill>
        </w:rPr>
      </w:pP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22"/>
          <w:szCs w:val="22"/>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22"/>
          <w:szCs w:val="22"/>
          <w:u w:val="none"/>
          <w:lang w:val="en-US" w:eastAsia="zh-CN"/>
          <w14:textFill>
            <w14:solidFill>
              <w14:schemeClr w14:val="tx1"/>
            </w14:solidFill>
          </w14:textFill>
        </w:rPr>
        <w:t>年度）</w:t>
      </w:r>
    </w:p>
    <w:tbl>
      <w:tblPr>
        <w:tblStyle w:val="1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996"/>
        <w:gridCol w:w="1027"/>
        <w:gridCol w:w="979"/>
        <w:gridCol w:w="986"/>
        <w:gridCol w:w="1007"/>
        <w:gridCol w:w="102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项目（政策）名称</w:t>
            </w:r>
          </w:p>
        </w:tc>
        <w:tc>
          <w:tcPr>
            <w:tcW w:w="7905"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2022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年快检车运行经费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主管部门</w:t>
            </w:r>
          </w:p>
        </w:tc>
        <w:tc>
          <w:tcPr>
            <w:tcW w:w="4320" w:type="dxa"/>
            <w:gridSpan w:val="4"/>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市市场监督管理局</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实施单位</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项目（政策）资金</w:t>
            </w:r>
          </w:p>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（万元）</w:t>
            </w:r>
          </w:p>
        </w:tc>
        <w:tc>
          <w:tcPr>
            <w:tcW w:w="2160" w:type="dxa"/>
            <w:gridSpan w:val="2"/>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年初预算数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全年预算数</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全年执行数</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年度资金总额</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（一）财政拨款小计</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.一般公共预算</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.政府性基金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.国有资本经营预算</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.社保基金</w:t>
            </w:r>
          </w:p>
        </w:tc>
        <w:tc>
          <w:tcPr>
            <w:tcW w:w="1080" w:type="dxa"/>
            <w:noWrap w:val="0"/>
            <w:vAlign w:val="center"/>
          </w:tcPr>
          <w:p>
            <w:pPr>
              <w:jc w:val="left"/>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0" w:type="dxa"/>
            <w:gridSpan w:val="2"/>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160" w:type="dxa"/>
            <w:gridSpan w:val="2"/>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（二）其他资金</w:t>
            </w:r>
          </w:p>
        </w:tc>
        <w:tc>
          <w:tcPr>
            <w:tcW w:w="1080" w:type="dxa"/>
            <w:noWrap w:val="0"/>
            <w:vAlign w:val="center"/>
          </w:tcPr>
          <w:p>
            <w:pP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年度总体目标</w:t>
            </w:r>
          </w:p>
        </w:tc>
        <w:tc>
          <w:tcPr>
            <w:tcW w:w="6480" w:type="dxa"/>
            <w:gridSpan w:val="6"/>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预期目标</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6480" w:type="dxa"/>
            <w:gridSpan w:val="6"/>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全年保障重点品种、重点环节、重要时间段</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开展</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各类食品安全专项整治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次、提供食品药品快速检测</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次，切实保障食品药品市场安全</w:t>
            </w:r>
          </w:p>
        </w:tc>
        <w:tc>
          <w:tcPr>
            <w:tcW w:w="2505" w:type="dxa"/>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全年保障重点品种、重点环节、重要时间段</w:t>
            </w:r>
            <w:r>
              <w:rPr>
                <w:rFonts w:hint="eastAsia" w:ascii="宋体" w:hAnsi="宋体" w:cs="宋体"/>
                <w:b w:val="0"/>
                <w:bCs w:val="0"/>
                <w:i w:val="0"/>
                <w:iCs w:val="0"/>
                <w:color w:val="000000" w:themeColor="text1"/>
                <w:spacing w:val="0"/>
                <w:kern w:val="0"/>
                <w:sz w:val="18"/>
                <w:szCs w:val="18"/>
                <w:u w:val="none"/>
                <w:lang w:val="en-US" w:eastAsia="zh-CN"/>
                <w14:textFill>
                  <w14:solidFill>
                    <w14:schemeClr w14:val="tx1"/>
                  </w14:solidFill>
                </w14:textFill>
              </w:rPr>
              <w:t>开展</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各类食品安全专项整治</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次、提供食品药品快速检测</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次，切实保障食品药品市场安全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0" w:type="auto"/>
            <w:vMerge w:val="restart"/>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绩效指标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一级指标</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二级指标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三级指标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年度指标值</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实际完成值</w:t>
            </w:r>
          </w:p>
        </w:tc>
        <w:tc>
          <w:tcPr>
            <w:tcW w:w="250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产出指标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成本指标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开展各类食品药品监管所需经费控制在预算内</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50000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元</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数量指标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为食品药品专项整治提供保障</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24</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提供食品药品快速检测次数</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20</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次</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时效指标</w:t>
            </w:r>
          </w:p>
        </w:tc>
        <w:tc>
          <w:tcPr>
            <w:tcW w:w="216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完成全年目标任务时间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年</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vMerge w:val="continue"/>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质量指标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为食品药品监管提供保障</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满意度指标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服务对象满意度指标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监管、服务对象满意度</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r>
              <w:rPr>
                <w:rFonts w:hint="eastAsia" w:ascii="Times New Roman" w:hAnsi="Times New Roman" w:eastAsia="宋体" w:cs="宋体"/>
                <w:b w:val="0"/>
                <w:bCs w:val="0"/>
                <w:i w:val="0"/>
                <w:iCs w:val="0"/>
                <w:color w:val="000000" w:themeColor="text1"/>
                <w:spacing w:val="0"/>
                <w:kern w:val="0"/>
                <w:sz w:val="18"/>
                <w:szCs w:val="18"/>
                <w:u w:val="none"/>
                <w:lang w:val="en-US" w:eastAsia="zh-CN"/>
                <w14:textFill>
                  <w14:solidFill>
                    <w14:schemeClr w14:val="tx1"/>
                  </w14:solidFill>
                </w14:textFill>
              </w:rPr>
              <w:t>95</w:t>
            </w: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noWrap/>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效益指标</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社会效益指标</w:t>
            </w:r>
          </w:p>
        </w:tc>
        <w:tc>
          <w:tcPr>
            <w:tcW w:w="2160" w:type="dxa"/>
            <w:gridSpan w:val="2"/>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快速检测食品药品质量，为人民群众生活提供安全保障</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良</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u w:val="none"/>
                <w:lang w:val="en-US" w:eastAsia="zh-CN"/>
                <w14:textFill>
                  <w14:solidFill>
                    <w14:schemeClr w14:val="tx1"/>
                  </w14:solidFill>
                </w14:textFill>
              </w:rPr>
              <w:t>优</w:t>
            </w:r>
          </w:p>
        </w:tc>
        <w:tc>
          <w:tcPr>
            <w:tcW w:w="2505" w:type="dxa"/>
            <w:noWrap w:val="0"/>
            <w:vAlign w:val="center"/>
          </w:tcPr>
          <w:p>
            <w:pPr>
              <w:jc w:val="center"/>
              <w:rPr>
                <w:rFonts w:hint="eastAsia" w:ascii="宋体" w:hAnsi="宋体" w:eastAsia="宋体" w:cs="宋体"/>
                <w:b w:val="0"/>
                <w:bCs w:val="0"/>
                <w:i w:val="0"/>
                <w:iCs w:val="0"/>
                <w:color w:val="000000" w:themeColor="text1"/>
                <w:spacing w:val="0"/>
                <w:sz w:val="18"/>
                <w:szCs w:val="18"/>
                <w:u w:val="none"/>
                <w14:textFill>
                  <w14:solidFill>
                    <w14:schemeClr w14:val="tx1"/>
                  </w14:solidFill>
                </w14:textFill>
              </w:rPr>
            </w:pPr>
          </w:p>
        </w:tc>
      </w:tr>
    </w:tbl>
    <w:p>
      <w:pPr>
        <w:pStyle w:val="3"/>
        <w:bidi w:val="0"/>
        <w:jc w:val="both"/>
        <w:rPr>
          <w:rFonts w:hint="eastAsia" w:ascii="黑体" w:hAnsi="黑体" w:eastAsia="黑体"/>
          <w:b w:val="0"/>
          <w:bCs w:val="0"/>
          <w:color w:val="000000" w:themeColor="text1"/>
          <w:spacing w:val="0"/>
          <w:sz w:val="44"/>
          <w:szCs w:val="44"/>
          <w:highlight w:val="none"/>
          <w14:textFill>
            <w14:solidFill>
              <w14:schemeClr w14:val="tx1"/>
            </w14:solidFill>
          </w14:textFill>
        </w:rPr>
      </w:pPr>
      <w:bookmarkStart w:id="96" w:name="_Toc15396618"/>
      <w:bookmarkStart w:id="97" w:name="_Toc11377"/>
    </w:p>
    <w:p>
      <w:pPr>
        <w:pStyle w:val="3"/>
        <w:bidi w:val="0"/>
        <w:jc w:val="center"/>
        <w:rPr>
          <w:rStyle w:val="33"/>
          <w:rFonts w:hint="eastAsia" w:ascii="黑体" w:hAnsi="黑体" w:eastAsia="黑体"/>
          <w:b w:val="0"/>
          <w:bCs w:val="0"/>
          <w:color w:val="000000" w:themeColor="text1"/>
          <w:spacing w:val="0"/>
          <w:highlight w:val="none"/>
          <w14:textFill>
            <w14:solidFill>
              <w14:schemeClr w14:val="tx1"/>
            </w14:solidFill>
          </w14:textFill>
        </w:rPr>
      </w:pPr>
      <w:r>
        <w:rPr>
          <w:rFonts w:hint="eastAsia" w:ascii="黑体" w:hAnsi="黑体" w:eastAsia="黑体"/>
          <w:b w:val="0"/>
          <w:bCs w:val="0"/>
          <w:color w:val="000000" w:themeColor="text1"/>
          <w:spacing w:val="0"/>
          <w:sz w:val="44"/>
          <w:szCs w:val="44"/>
          <w:highlight w:val="none"/>
          <w14:textFill>
            <w14:solidFill>
              <w14:schemeClr w14:val="tx1"/>
            </w14:solidFill>
          </w14:textFill>
        </w:rPr>
        <w:t>第</w:t>
      </w:r>
      <w:r>
        <w:rPr>
          <w:rStyle w:val="33"/>
          <w:rFonts w:hint="eastAsia" w:ascii="黑体" w:hAnsi="黑体" w:eastAsia="黑体"/>
          <w:b w:val="0"/>
          <w:bCs w:val="0"/>
          <w:color w:val="000000" w:themeColor="text1"/>
          <w:spacing w:val="0"/>
          <w:highlight w:val="none"/>
          <w14:textFill>
            <w14:solidFill>
              <w14:schemeClr w14:val="tx1"/>
            </w14:solidFill>
          </w14:textFill>
        </w:rPr>
        <w:t>五部分 附表</w:t>
      </w:r>
      <w:bookmarkEnd w:id="84"/>
      <w:bookmarkEnd w:id="96"/>
      <w:bookmarkEnd w:id="97"/>
      <w:bookmarkStart w:id="98" w:name="_Toc15396619"/>
    </w:p>
    <w:p>
      <w:pPr>
        <w:pStyle w:val="9"/>
        <w:keepNext w:val="0"/>
        <w:keepLines w:val="0"/>
        <w:pageBreakBefore w:val="0"/>
        <w:widowControl w:val="0"/>
        <w:kinsoku/>
        <w:wordWrap/>
        <w:overflowPunct w:val="0"/>
        <w:topLinePunct w:val="0"/>
        <w:autoSpaceDE/>
        <w:autoSpaceDN/>
        <w:bidi w:val="0"/>
        <w:adjustRightInd/>
        <w:snapToGrid/>
        <w:spacing w:after="0" w:line="576" w:lineRule="exact"/>
        <w:textAlignment w:val="auto"/>
        <w:rPr>
          <w:rFonts w:hint="eastAsia"/>
        </w:rPr>
      </w:pPr>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99" w:name="_Toc6708"/>
      <w:r>
        <w:rPr>
          <w:rFonts w:hint="eastAsia" w:ascii="仿宋" w:hAnsi="仿宋" w:eastAsia="仿宋_GB2312"/>
          <w:b w:val="0"/>
          <w:bCs w:val="0"/>
          <w:color w:val="000000" w:themeColor="text1"/>
          <w:spacing w:val="0"/>
          <w:sz w:val="32"/>
          <w:szCs w:val="32"/>
          <w:highlight w:val="none"/>
          <w14:textFill>
            <w14:solidFill>
              <w14:schemeClr w14:val="tx1"/>
            </w14:solidFill>
          </w14:textFill>
        </w:rPr>
        <w:t>一、收</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入支出决算总表</w:t>
      </w:r>
      <w:bookmarkEnd w:id="98"/>
      <w:bookmarkEnd w:id="99"/>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00" w:name="_Toc15396620"/>
      <w:bookmarkStart w:id="101" w:name="_Toc1096"/>
      <w:r>
        <w:rPr>
          <w:rFonts w:hint="eastAsia" w:ascii="仿宋" w:hAnsi="仿宋" w:eastAsia="仿宋_GB2312"/>
          <w:b w:val="0"/>
          <w:bCs w:val="0"/>
          <w:color w:val="000000" w:themeColor="text1"/>
          <w:spacing w:val="0"/>
          <w:sz w:val="32"/>
          <w:szCs w:val="32"/>
          <w:highlight w:val="none"/>
          <w14:textFill>
            <w14:solidFill>
              <w14:schemeClr w14:val="tx1"/>
            </w14:solidFill>
          </w14:textFill>
        </w:rPr>
        <w:t>二、收</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入决算表</w:t>
      </w:r>
      <w:bookmarkEnd w:id="100"/>
      <w:bookmarkEnd w:id="101"/>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02" w:name="_Toc3172"/>
      <w:bookmarkStart w:id="103" w:name="_Toc15396621"/>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三、</w:t>
      </w:r>
      <w:r>
        <w:rPr>
          <w:rFonts w:hint="eastAsia" w:ascii="仿宋" w:hAnsi="仿宋" w:eastAsia="仿宋_GB2312"/>
          <w:b w:val="0"/>
          <w:bCs w:val="0"/>
          <w:color w:val="000000" w:themeColor="text1"/>
          <w:spacing w:val="0"/>
          <w:sz w:val="32"/>
          <w:szCs w:val="32"/>
          <w:highlight w:val="none"/>
          <w14:textFill>
            <w14:solidFill>
              <w14:schemeClr w14:val="tx1"/>
            </w14:solidFill>
          </w14:textFill>
        </w:rPr>
        <w:t>支</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出决算表</w:t>
      </w:r>
      <w:bookmarkEnd w:id="102"/>
      <w:bookmarkEnd w:id="103"/>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04" w:name="_Toc16312"/>
      <w:bookmarkStart w:id="105" w:name="_Toc15396622"/>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四、</w:t>
      </w:r>
      <w:r>
        <w:rPr>
          <w:rFonts w:hint="eastAsia" w:ascii="仿宋" w:hAnsi="仿宋" w:eastAsia="仿宋_GB2312"/>
          <w:b w:val="0"/>
          <w:bCs w:val="0"/>
          <w:color w:val="000000" w:themeColor="text1"/>
          <w:spacing w:val="0"/>
          <w:sz w:val="32"/>
          <w:szCs w:val="32"/>
          <w:highlight w:val="none"/>
          <w14:textFill>
            <w14:solidFill>
              <w14:schemeClr w14:val="tx1"/>
            </w14:solidFill>
          </w14:textFill>
        </w:rPr>
        <w:t>财</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政拨款收入支出决算总表</w:t>
      </w:r>
      <w:bookmarkEnd w:id="104"/>
      <w:bookmarkEnd w:id="105"/>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Style w:val="34"/>
          <w:rFonts w:ascii="仿宋" w:hAnsi="仿宋" w:eastAsia="仿宋_GB2312"/>
          <w:b w:val="0"/>
          <w:bCs w:val="0"/>
          <w:color w:val="000000" w:themeColor="text1"/>
          <w:spacing w:val="0"/>
          <w:sz w:val="32"/>
          <w:szCs w:val="32"/>
          <w:highlight w:val="none"/>
          <w14:textFill>
            <w14:solidFill>
              <w14:schemeClr w14:val="tx1"/>
            </w14:solidFill>
          </w14:textFill>
        </w:rPr>
      </w:pPr>
      <w:bookmarkStart w:id="106" w:name="_Toc15396623"/>
      <w:bookmarkStart w:id="107" w:name="_Toc9906"/>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五、</w:t>
      </w:r>
      <w:r>
        <w:rPr>
          <w:rFonts w:hint="eastAsia" w:ascii="仿宋" w:hAnsi="仿宋" w:eastAsia="仿宋_GB2312"/>
          <w:b w:val="0"/>
          <w:bCs w:val="0"/>
          <w:color w:val="000000" w:themeColor="text1"/>
          <w:spacing w:val="0"/>
          <w:sz w:val="32"/>
          <w:szCs w:val="32"/>
          <w:highlight w:val="none"/>
          <w14:textFill>
            <w14:solidFill>
              <w14:schemeClr w14:val="tx1"/>
            </w14:solidFill>
          </w14:textFill>
        </w:rPr>
        <w:t>财</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政拨款支出决算明细表</w:t>
      </w:r>
      <w:bookmarkEnd w:id="106"/>
      <w:bookmarkEnd w:id="107"/>
      <w:bookmarkStart w:id="108" w:name="_Toc15396624"/>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09" w:name="_Toc782"/>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六、</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一</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般公共预算财政拨款支出决算表</w:t>
      </w:r>
      <w:bookmarkEnd w:id="108"/>
      <w:bookmarkEnd w:id="109"/>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10" w:name="_Toc15757"/>
      <w:bookmarkStart w:id="111" w:name="_Toc15396625"/>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七、</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一</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般公共预算财政拨款支出决算明细表</w:t>
      </w:r>
      <w:bookmarkEnd w:id="110"/>
      <w:bookmarkEnd w:id="111"/>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12" w:name="_Toc15396626"/>
      <w:bookmarkStart w:id="113" w:name="_Toc21771"/>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八、</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一</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般公共预算财政拨款基本支出决算表</w:t>
      </w:r>
      <w:bookmarkEnd w:id="112"/>
      <w:bookmarkEnd w:id="113"/>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14" w:name="_Toc22673"/>
      <w:bookmarkStart w:id="115" w:name="_Toc15396627"/>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九、</w:t>
      </w:r>
      <w:r>
        <w:rPr>
          <w:rFonts w:hint="eastAsia" w:ascii="仿宋" w:hAnsi="仿宋" w:eastAsia="仿宋_GB2312"/>
          <w:b w:val="0"/>
          <w:bCs w:val="0"/>
          <w:color w:val="000000" w:themeColor="text1"/>
          <w:spacing w:val="0"/>
          <w:sz w:val="32"/>
          <w:szCs w:val="32"/>
          <w:highlight w:val="none"/>
          <w14:textFill>
            <w14:solidFill>
              <w14:schemeClr w14:val="tx1"/>
            </w14:solidFill>
          </w14:textFill>
        </w:rPr>
        <w:t>一</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般公共预算财政拨款项目支出决算表</w:t>
      </w:r>
      <w:bookmarkEnd w:id="114"/>
      <w:bookmarkEnd w:id="115"/>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16" w:name="_Toc15396628"/>
      <w:bookmarkStart w:id="117" w:name="_Toc21296"/>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十、</w:t>
      </w:r>
      <w:bookmarkEnd w:id="116"/>
      <w:r>
        <w:rPr>
          <w:rFonts w:hint="eastAsia" w:ascii="仿宋" w:hAnsi="仿宋" w:eastAsia="仿宋_GB2312"/>
          <w:b w:val="0"/>
          <w:bCs w:val="0"/>
          <w:color w:val="000000" w:themeColor="text1"/>
          <w:spacing w:val="0"/>
          <w:sz w:val="32"/>
          <w:szCs w:val="32"/>
          <w:highlight w:val="none"/>
          <w14:textFill>
            <w14:solidFill>
              <w14:schemeClr w14:val="tx1"/>
            </w14:solidFill>
          </w14:textFill>
        </w:rPr>
        <w:t>政</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府性基金预算财政拨款收入支出决算表</w:t>
      </w:r>
      <w:bookmarkEnd w:id="117"/>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18" w:name="_Toc15396629"/>
      <w:bookmarkStart w:id="119" w:name="_Toc27178"/>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十一、</w:t>
      </w:r>
      <w:bookmarkEnd w:id="118"/>
      <w:r>
        <w:rPr>
          <w:rFonts w:hint="eastAsia" w:ascii="仿宋" w:hAnsi="仿宋" w:eastAsia="仿宋_GB2312"/>
          <w:b w:val="0"/>
          <w:bCs w:val="0"/>
          <w:color w:val="000000" w:themeColor="text1"/>
          <w:spacing w:val="0"/>
          <w:sz w:val="32"/>
          <w:szCs w:val="32"/>
          <w:highlight w:val="none"/>
          <w14:textFill>
            <w14:solidFill>
              <w14:schemeClr w14:val="tx1"/>
            </w14:solidFill>
          </w14:textFill>
        </w:rPr>
        <w:t>国</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有资本经营预算</w:t>
      </w:r>
      <w:r>
        <w:rPr>
          <w:rStyle w:val="34"/>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t>财政拨款收入</w:t>
      </w:r>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支出决算表</w:t>
      </w:r>
      <w:bookmarkEnd w:id="119"/>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ascii="仿宋" w:hAnsi="仿宋" w:eastAsia="仿宋_GB2312"/>
          <w:b w:val="0"/>
          <w:bCs w:val="0"/>
          <w:color w:val="000000" w:themeColor="text1"/>
          <w:spacing w:val="0"/>
          <w:sz w:val="32"/>
          <w:szCs w:val="32"/>
          <w:highlight w:val="none"/>
          <w14:textFill>
            <w14:solidFill>
              <w14:schemeClr w14:val="tx1"/>
            </w14:solidFill>
          </w14:textFill>
        </w:rPr>
      </w:pPr>
      <w:bookmarkStart w:id="120" w:name="_Toc15396630"/>
      <w:bookmarkStart w:id="121" w:name="_Toc3430"/>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十二、</w:t>
      </w:r>
      <w:bookmarkEnd w:id="120"/>
      <w:r>
        <w:rPr>
          <w:rStyle w:val="34"/>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t>国有资本经营预算财政拨款支出决算表</w:t>
      </w:r>
      <w:bookmarkEnd w:id="121"/>
    </w:p>
    <w:p>
      <w:pPr>
        <w:pStyle w:val="4"/>
        <w:keepNext w:val="0"/>
        <w:keepLines w:val="0"/>
        <w:pageBreakBefore w:val="0"/>
        <w:widowControl w:val="0"/>
        <w:kinsoku/>
        <w:wordWrap/>
        <w:overflowPunct w:val="0"/>
        <w:topLinePunct w:val="0"/>
        <w:autoSpaceDE/>
        <w:autoSpaceDN/>
        <w:bidi w:val="0"/>
        <w:adjustRightInd/>
        <w:snapToGrid/>
        <w:spacing w:before="0" w:after="0" w:line="576" w:lineRule="exact"/>
        <w:ind w:firstLine="640" w:firstLineChars="200"/>
        <w:textAlignment w:val="auto"/>
        <w:rPr>
          <w:rFonts w:hint="eastAsia" w:eastAsia="仿宋_GB2312"/>
          <w:b w:val="0"/>
          <w:bCs w:val="0"/>
          <w:color w:val="000000" w:themeColor="text1"/>
          <w:spacing w:val="0"/>
          <w:sz w:val="32"/>
          <w:szCs w:val="32"/>
          <w:highlight w:val="none"/>
          <w:lang w:eastAsia="zh-CN"/>
          <w14:textFill>
            <w14:solidFill>
              <w14:schemeClr w14:val="tx1"/>
            </w14:solidFill>
          </w14:textFill>
        </w:rPr>
      </w:pPr>
      <w:bookmarkStart w:id="122" w:name="_Toc15396631"/>
      <w:bookmarkStart w:id="123" w:name="_Toc13607"/>
      <w:r>
        <w:rPr>
          <w:rStyle w:val="34"/>
          <w:rFonts w:hint="eastAsia" w:ascii="仿宋" w:hAnsi="仿宋" w:eastAsia="仿宋_GB2312"/>
          <w:b w:val="0"/>
          <w:bCs w:val="0"/>
          <w:color w:val="000000" w:themeColor="text1"/>
          <w:spacing w:val="0"/>
          <w:sz w:val="32"/>
          <w:szCs w:val="32"/>
          <w:highlight w:val="none"/>
          <w14:textFill>
            <w14:solidFill>
              <w14:schemeClr w14:val="tx1"/>
            </w14:solidFill>
          </w14:textFill>
        </w:rPr>
        <w:t>十三、</w:t>
      </w:r>
      <w:bookmarkEnd w:id="122"/>
      <w:r>
        <w:rPr>
          <w:rStyle w:val="34"/>
          <w:rFonts w:hint="eastAsia" w:ascii="仿宋" w:hAnsi="仿宋" w:eastAsia="仿宋_GB2312"/>
          <w:b w:val="0"/>
          <w:bCs w:val="0"/>
          <w:color w:val="000000" w:themeColor="text1"/>
          <w:spacing w:val="0"/>
          <w:sz w:val="32"/>
          <w:szCs w:val="32"/>
          <w:highlight w:val="none"/>
          <w:lang w:eastAsia="zh-CN"/>
          <w14:textFill>
            <w14:solidFill>
              <w14:schemeClr w14:val="tx1"/>
            </w14:solidFill>
          </w14:textFill>
        </w:rPr>
        <w:t>财政拨款“三公”经费支出决算表</w:t>
      </w:r>
      <w:bookmarkEnd w:id="123"/>
    </w:p>
    <w:sectPr>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g4NADAgAACwQAAA4AAABkcnMvZTJvRG9jLnhtbK1TzY7TMBC+I/EO&#10;lu80aYV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oEvIbzpyw1PLLt6+X7z8v&#10;P76w18mg1oeC8h78DsddIJjUdjXa9CUdrOtNPV9NVV1kkoLz5WK5zMlvSWfThniyx989hvhOgWUJ&#10;lBypa72Z4nQX4pA6paTbHGy1MRQXhXF/BIgzRbJU8VBjQrHbd2Phe6jOpBdhGITg5VbTnXcixJ1A&#10;6jzVSW8j3tNSG2hLDiPirAH8/K94yqeG0ClnLU1SyR09HM7Me0eNSkM3AZzAfgLuaN8CjeacM4ym&#10;h/SDcJLoSh45O3rUh6avNikN/s0xkvzelaRtEDRKphnpfR3nOQ3h7/s+6/ENr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KIg4NADAgAACwQAAA4AAAAAAAAAAQAgAAAAHwEAAGRycy9lMm9E&#10;b2MueG1sUEsFBgAAAAAGAAYAWQEAAJQFAAAAAA==&#10;">
              <v:fill on="f" focussize="0,0"/>
              <v:stroke on="f"/>
              <v:imagedata o:title=""/>
              <o:lock v:ext="edit" aspectratio="f"/>
              <v:textbox inset="0mm,0mm,0mm,0mm" style="mso-fit-shape-to-text:t;">
                <w:txbxContent>
                  <w:p>
                    <w:pPr>
                      <w:pStyle w:val="12"/>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reGiMDAgAACwQAAA4AAABkcnMvZTJvRG9jLnhtbK1TzY7TMBC+I/EO&#10;lu80aSW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Pw1Z05Yavnl29fL95+X&#10;H1/Yy2RQ60NBefd+h+MuEExquxpt+pIO1vWmnq+mqi4yScH5crFc5uS3pLNpQzzZw+8eQ3ynwLIE&#10;So7Utd5McboNcUidUtJtDrbaGIqLwrg/AsSZIlmqeKgxodjtu7HwPVRn0oswDELwcqvpzlsR4k4g&#10;dZ7qpLcR72ipDbQlhxFx1gB+/lc85VND6JSzliap5I4eDmfmvaNGpaGbAE5gPwF3tG+BRnPOGUbT&#10;Q/pBOEl0JY+cHT3qQ9NXm5QG/+YYSX7vStI2CBol04z0vo7znIbw932f9fCG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FreGiMDAgAACwQAAA4AAAAAAAAAAQAgAAAAHwEAAGRycy9lMm9E&#10;b2MueG1sUEsFBgAAAAAGAAYAWQEAAJQFA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3"/>
      <w:numFmt w:val="chineseCounting"/>
      <w:suff w:val="nothing"/>
      <w:lvlText w:val="（%1）"/>
      <w:lvlJc w:val="left"/>
      <w:rPr>
        <w:rFonts w:hint="eastAsia"/>
      </w:rPr>
    </w:lvl>
  </w:abstractNum>
  <w:abstractNum w:abstractNumId="1">
    <w:nsid w:val="B5E306ED"/>
    <w:multiLevelType w:val="singleLevel"/>
    <w:tmpl w:val="B5E306ED"/>
    <w:lvl w:ilvl="0" w:tentative="0">
      <w:start w:val="3"/>
      <w:numFmt w:val="chineseCounting"/>
      <w:suff w:val="space"/>
      <w:lvlText w:val="第%1部分"/>
      <w:lvlJc w:val="left"/>
      <w:rPr>
        <w:rFonts w:hint="eastAsia"/>
      </w:rPr>
    </w:lvl>
  </w:abstractNum>
  <w:abstractNum w:abstractNumId="2">
    <w:nsid w:val="BF205925"/>
    <w:multiLevelType w:val="singleLevel"/>
    <w:tmpl w:val="BF205925"/>
    <w:lvl w:ilvl="0" w:tentative="0">
      <w:start w:val="9"/>
      <w:numFmt w:val="chineseCounting"/>
      <w:suff w:val="nothing"/>
      <w:lvlText w:val="%1、"/>
      <w:lvlJc w:val="left"/>
      <w:rPr>
        <w:rFonts w:hint="eastAsia"/>
      </w:rPr>
    </w:lvl>
  </w:abstractNum>
  <w:abstractNum w:abstractNumId="3">
    <w:nsid w:val="CF092B84"/>
    <w:multiLevelType w:val="multilevel"/>
    <w:tmpl w:val="CF092B84"/>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0053208E"/>
    <w:multiLevelType w:val="singleLevel"/>
    <w:tmpl w:val="0053208E"/>
    <w:lvl w:ilvl="0" w:tentative="0">
      <w:start w:val="1"/>
      <w:numFmt w:val="chineseCounting"/>
      <w:suff w:val="nothing"/>
      <w:lvlText w:val="%1、"/>
      <w:lvlJc w:val="left"/>
      <w:rPr>
        <w:rFonts w:hint="eastAsia"/>
      </w:rPr>
    </w:lvl>
  </w:abstractNum>
  <w:abstractNum w:abstractNumId="5">
    <w:nsid w:val="0248C179"/>
    <w:multiLevelType w:val="singleLevel"/>
    <w:tmpl w:val="0248C179"/>
    <w:lvl w:ilvl="0" w:tentative="0">
      <w:start w:val="1"/>
      <w:numFmt w:val="chineseCounting"/>
      <w:suff w:val="nothing"/>
      <w:lvlText w:val="%1、"/>
      <w:lvlJc w:val="left"/>
      <w:rPr>
        <w:rFonts w:hint="eastAsia"/>
      </w:rPr>
    </w:lvl>
  </w:abstractNum>
  <w:abstractNum w:abstractNumId="6">
    <w:nsid w:val="03D62ECE"/>
    <w:multiLevelType w:val="singleLevel"/>
    <w:tmpl w:val="03D62ECE"/>
    <w:lvl w:ilvl="0" w:tentative="0">
      <w:start w:val="1"/>
      <w:numFmt w:val="chineseCounting"/>
      <w:suff w:val="nothing"/>
      <w:lvlText w:val="%1、"/>
      <w:lvlJc w:val="left"/>
      <w:rPr>
        <w:rFonts w:hint="eastAsia"/>
      </w:rPr>
    </w:lvl>
  </w:abstractNum>
  <w:abstractNum w:abstractNumId="7">
    <w:nsid w:val="25B654F3"/>
    <w:multiLevelType w:val="singleLevel"/>
    <w:tmpl w:val="25B654F3"/>
    <w:lvl w:ilvl="0" w:tentative="0">
      <w:start w:val="1"/>
      <w:numFmt w:val="chineseCounting"/>
      <w:suff w:val="nothing"/>
      <w:lvlText w:val="（%1）"/>
      <w:lvlJc w:val="left"/>
      <w:rPr>
        <w:rFonts w:hint="eastAsia"/>
      </w:rPr>
    </w:lvl>
  </w:abstractNum>
  <w:abstractNum w:abstractNumId="8">
    <w:nsid w:val="2A8F537B"/>
    <w:multiLevelType w:val="singleLevel"/>
    <w:tmpl w:val="2A8F537B"/>
    <w:lvl w:ilvl="0" w:tentative="0">
      <w:start w:val="2"/>
      <w:numFmt w:val="chineseCounting"/>
      <w:suff w:val="nothing"/>
      <w:lvlText w:val="（%1）"/>
      <w:lvlJc w:val="left"/>
      <w:rPr>
        <w:rFonts w:hint="eastAsia"/>
      </w:rPr>
    </w:lvl>
  </w:abstractNum>
  <w:abstractNum w:abstractNumId="9">
    <w:nsid w:val="59ADCABA"/>
    <w:multiLevelType w:val="singleLevel"/>
    <w:tmpl w:val="59ADCABA"/>
    <w:lvl w:ilvl="0" w:tentative="0">
      <w:start w:val="2"/>
      <w:numFmt w:val="decimal"/>
      <w:suff w:val="nothing"/>
      <w:lvlText w:val="%1、"/>
      <w:lvlJc w:val="left"/>
    </w:lvl>
  </w:abstractNum>
  <w:abstractNum w:abstractNumId="10">
    <w:nsid w:val="72183CF9"/>
    <w:multiLevelType w:val="singleLevel"/>
    <w:tmpl w:val="72183CF9"/>
    <w:lvl w:ilvl="0" w:tentative="0">
      <w:start w:val="4"/>
      <w:numFmt w:val="chineseCounting"/>
      <w:suff w:val="nothing"/>
      <w:lvlText w:val="（%1）"/>
      <w:lvlJc w:val="left"/>
      <w:rPr>
        <w:rFonts w:hint="eastAsi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MDA1YjlkOTNjM2JkZWJjMTYxZWM5NGI4ODM1NTIifQ=="/>
  </w:docVars>
  <w:rsids>
    <w:rsidRoot w:val="00000000"/>
    <w:rsid w:val="00693A3C"/>
    <w:rsid w:val="592947A2"/>
    <w:rsid w:val="69F50CBD"/>
    <w:rsid w:val="7AE81D8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line="560" w:lineRule="exact"/>
      <w:outlineLvl w:val="0"/>
    </w:pPr>
    <w:rPr>
      <w:rFonts w:ascii="Times New Roman" w:hAnsi="Times New Roman" w:eastAsia="方正小标宋简体"/>
      <w:bCs/>
      <w:kern w:val="44"/>
      <w:sz w:val="44"/>
      <w:szCs w:val="44"/>
    </w:rPr>
  </w:style>
  <w:style w:type="paragraph" w:styleId="4">
    <w:name w:val="heading 2"/>
    <w:basedOn w:val="1"/>
    <w:next w:val="1"/>
    <w:link w:val="34"/>
    <w:unhideWhenUsed/>
    <w:qFormat/>
    <w:uiPriority w:val="9"/>
    <w:pPr>
      <w:keepNext/>
      <w:keepLines/>
      <w:spacing w:line="560" w:lineRule="exact"/>
      <w:ind w:firstLine="1440" w:firstLineChars="200"/>
      <w:outlineLvl w:val="1"/>
    </w:pPr>
    <w:rPr>
      <w:rFonts w:asciiTheme="majorAscii" w:hAnsiTheme="majorAsci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beforeLines="30"/>
    </w:pPr>
    <w:rPr>
      <w:rFonts w:ascii="仿宋_GB2312" w:eastAsia="仿宋_GB2312"/>
      <w:kern w:val="0"/>
      <w:sz w:val="30"/>
    </w:rPr>
  </w:style>
  <w:style w:type="paragraph" w:styleId="6">
    <w:name w:val="index 8"/>
    <w:basedOn w:val="1"/>
    <w:next w:val="1"/>
    <w:qFormat/>
    <w:uiPriority w:val="99"/>
    <w:pPr>
      <w:ind w:left="2940"/>
    </w:pPr>
    <w:rPr>
      <w:rFonts w:cs="黑体"/>
      <w:szCs w:val="22"/>
    </w:rPr>
  </w:style>
  <w:style w:type="paragraph" w:styleId="7">
    <w:name w:val="Normal Indent"/>
    <w:basedOn w:val="1"/>
    <w:qFormat/>
    <w:uiPriority w:val="0"/>
    <w:pPr>
      <w:ind w:firstLine="420" w:firstLineChars="200"/>
    </w:pPr>
    <w:rPr>
      <w:rFonts w:ascii="Calibri" w:hAnsi="Calibri" w:eastAsia="仿宋"/>
      <w:sz w:val="32"/>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jc w:val="left"/>
    </w:pPr>
    <w:rPr>
      <w:kern w:val="0"/>
      <w:sz w:val="24"/>
    </w:rPr>
  </w:style>
  <w:style w:type="paragraph" w:styleId="17">
    <w:name w:val="Body Text First Indent"/>
    <w:basedOn w:val="2"/>
    <w:unhideWhenUsed/>
    <w:qFormat/>
    <w:uiPriority w:val="99"/>
    <w:pPr>
      <w:ind w:firstLine="420" w:firstLineChars="100"/>
    </w:pPr>
    <w:rPr>
      <w:kern w:val="0"/>
      <w:sz w:val="20"/>
      <w:szCs w:val="20"/>
    </w:rPr>
  </w:style>
  <w:style w:type="table" w:styleId="1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next w:val="3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1">
    <w:name w:val="样式1"/>
    <w:basedOn w:val="1"/>
    <w:next w:val="6"/>
    <w:qFormat/>
    <w:uiPriority w:val="0"/>
    <w:rPr>
      <w:b/>
      <w:color w:val="538135"/>
      <w:sz w:val="28"/>
    </w:rPr>
  </w:style>
  <w:style w:type="paragraph" w:styleId="32">
    <w:name w:val="List Paragraph"/>
    <w:basedOn w:val="1"/>
    <w:qFormat/>
    <w:uiPriority w:val="34"/>
    <w:pPr>
      <w:ind w:firstLine="420" w:firstLineChars="200"/>
    </w:pPr>
  </w:style>
  <w:style w:type="character" w:customStyle="1" w:styleId="33">
    <w:name w:val="标题 1 Char"/>
    <w:basedOn w:val="20"/>
    <w:link w:val="3"/>
    <w:qFormat/>
    <w:uiPriority w:val="9"/>
    <w:rPr>
      <w:rFonts w:ascii="Times New Roman" w:hAnsi="Times New Roman" w:eastAsia="方正小标宋简体"/>
      <w:bCs/>
      <w:kern w:val="44"/>
      <w:sz w:val="44"/>
      <w:szCs w:val="44"/>
    </w:rPr>
  </w:style>
  <w:style w:type="character" w:customStyle="1" w:styleId="34">
    <w:name w:val="标题 2 Char"/>
    <w:basedOn w:val="20"/>
    <w:link w:val="4"/>
    <w:qFormat/>
    <w:uiPriority w:val="9"/>
    <w:rPr>
      <w:rFonts w:asciiTheme="majorAscii" w:hAnsiTheme="majorAsci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5"/>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41">
    <w:name w:val="font31"/>
    <w:basedOn w:val="20"/>
    <w:qFormat/>
    <w:uiPriority w:val="0"/>
    <w:rPr>
      <w:rFonts w:hint="eastAsia" w:ascii="宋体" w:hAnsi="宋体" w:eastAsia="宋体" w:cs="宋体"/>
      <w:color w:val="000000"/>
      <w:sz w:val="18"/>
      <w:szCs w:val="18"/>
      <w:u w:val="none"/>
    </w:rPr>
  </w:style>
  <w:style w:type="character" w:customStyle="1" w:styleId="42">
    <w:name w:val="font71"/>
    <w:basedOn w:val="20"/>
    <w:qFormat/>
    <w:uiPriority w:val="0"/>
    <w:rPr>
      <w:rFonts w:hint="eastAsia" w:ascii="宋体" w:hAnsi="宋体" w:eastAsia="宋体" w:cs="宋体"/>
      <w:color w:val="000000"/>
      <w:sz w:val="16"/>
      <w:szCs w:val="16"/>
      <w:u w:val="none"/>
    </w:rPr>
  </w:style>
  <w:style w:type="character" w:customStyle="1" w:styleId="43">
    <w:name w:val="font61"/>
    <w:basedOn w:val="2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1  </a:t>
            </a:r>
            <a:r>
              <a:rPr altLang="en-US"/>
              <a:t>收、支决算总计变动情况图</a:t>
            </a:r>
            <a:endParaRPr altLang="en-US"/>
          </a:p>
        </c:rich>
      </c:tx>
      <c:layout>
        <c:manualLayout>
          <c:xMode val="edge"/>
          <c:yMode val="edge"/>
          <c:x val="0.291495530321334"/>
          <c:y val="0.046536336591585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c:v>
                </c:pt>
              </c:strCache>
            </c:strRef>
          </c:tx>
          <c:spPr>
            <a:solidFill>
              <a:schemeClr val="accent1"/>
            </a:solidFill>
            <a:ln>
              <a:noFill/>
            </a:ln>
            <a:effectLst/>
          </c:spPr>
          <c:invertIfNegative val="0"/>
          <c:dLbls>
            <c:delete val="1"/>
          </c:dLbls>
          <c:cat>
            <c:strRef>
              <c:f>Sheet1!$A$2:$A$3</c:f>
              <c:strCache>
                <c:ptCount val="2"/>
                <c:pt idx="0">
                  <c:v>2021年（万元）</c:v>
                </c:pt>
                <c:pt idx="1">
                  <c:v>2022年（万元）</c:v>
                </c:pt>
              </c:strCache>
            </c:strRef>
          </c:cat>
          <c:val>
            <c:numRef>
              <c:f>Sheet1!$B$2:$B$3</c:f>
              <c:numCache>
                <c:formatCode>General</c:formatCode>
                <c:ptCount val="2"/>
                <c:pt idx="0">
                  <c:v>1165.45</c:v>
                </c:pt>
                <c:pt idx="1">
                  <c:v>1399.62</c:v>
                </c:pt>
              </c:numCache>
            </c:numRef>
          </c:val>
        </c:ser>
        <c:ser>
          <c:idx val="1"/>
          <c:order val="1"/>
          <c:tx>
            <c:strRef>
              <c:f>Sheet1!$C$1</c:f>
              <c:strCache>
                <c:ptCount val="1"/>
                <c:pt idx="0">
                  <c:v>支</c:v>
                </c:pt>
              </c:strCache>
            </c:strRef>
          </c:tx>
          <c:spPr>
            <a:solidFill>
              <a:schemeClr val="accent2"/>
            </a:solidFill>
            <a:ln>
              <a:noFill/>
            </a:ln>
            <a:effectLst/>
          </c:spPr>
          <c:invertIfNegative val="0"/>
          <c:dLbls>
            <c:delete val="1"/>
          </c:dLbls>
          <c:cat>
            <c:strRef>
              <c:f>Sheet1!$A$2:$A$3</c:f>
              <c:strCache>
                <c:ptCount val="2"/>
                <c:pt idx="0">
                  <c:v>2021年（万元）</c:v>
                </c:pt>
                <c:pt idx="1">
                  <c:v>2022年（万元）</c:v>
                </c:pt>
              </c:strCache>
            </c:strRef>
          </c:cat>
          <c:val>
            <c:numRef>
              <c:f>Sheet1!$C$2:$C$3</c:f>
              <c:numCache>
                <c:formatCode>General</c:formatCode>
                <c:ptCount val="2"/>
                <c:pt idx="0">
                  <c:v>1165.45</c:v>
                </c:pt>
                <c:pt idx="1">
                  <c:v>1399.62</c:v>
                </c:pt>
              </c:numCache>
            </c:numRef>
          </c:val>
        </c:ser>
        <c:dLbls>
          <c:showLegendKey val="0"/>
          <c:showVal val="0"/>
          <c:showCatName val="0"/>
          <c:showSerName val="0"/>
          <c:showPercent val="0"/>
          <c:showBubbleSize val="0"/>
        </c:dLbls>
        <c:gapWidth val="246"/>
        <c:overlap val="-28"/>
        <c:axId val="111579725"/>
        <c:axId val="939593470"/>
      </c:barChart>
      <c:catAx>
        <c:axId val="11157972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593470"/>
        <c:crosses val="autoZero"/>
        <c:auto val="1"/>
        <c:lblAlgn val="ctr"/>
        <c:lblOffset val="100"/>
        <c:noMultiLvlLbl val="0"/>
      </c:catAx>
      <c:valAx>
        <c:axId val="93959347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5797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2  </a:t>
            </a:r>
            <a:r>
              <a:rPr altLang="en-US"/>
              <a:t>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3  </a:t>
            </a:r>
            <a:r>
              <a:rPr altLang="en-US"/>
              <a:t>支出决算结构图</a:t>
            </a:r>
            <a:endParaRPr altLang="en-US"/>
          </a:p>
        </c:rich>
      </c:tx>
      <c:layout>
        <c:manualLayout>
          <c:xMode val="edge"/>
          <c:yMode val="edge"/>
          <c:x val="0.346702101956994"/>
          <c:y val="0.025499362515937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0.8728</c:v>
                </c:pt>
                <c:pt idx="1">
                  <c:v>0.1272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4  </a:t>
            </a:r>
            <a:r>
              <a:rPr altLang="en-US"/>
              <a:t>财政拨款收、支决算总计变动情况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2021年（万元）</c:v>
                </c:pt>
                <c:pt idx="1">
                  <c:v>2022年（万元）</c:v>
                </c:pt>
              </c:strCache>
            </c:strRef>
          </c:cat>
          <c:val>
            <c:numRef>
              <c:f>Sheet1!$B$2:$B$3</c:f>
              <c:numCache>
                <c:formatCode>General</c:formatCode>
                <c:ptCount val="2"/>
                <c:pt idx="0">
                  <c:v>1165.45</c:v>
                </c:pt>
                <c:pt idx="1">
                  <c:v>1399.62</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2021年（万元）</c:v>
                </c:pt>
                <c:pt idx="1">
                  <c:v>2022年（万元）</c:v>
                </c:pt>
              </c:strCache>
            </c:strRef>
          </c:cat>
          <c:val>
            <c:numRef>
              <c:f>Sheet1!$C$2:$C$3</c:f>
              <c:numCache>
                <c:formatCode>General</c:formatCode>
                <c:ptCount val="2"/>
                <c:pt idx="0">
                  <c:v>1165.45</c:v>
                </c:pt>
                <c:pt idx="1">
                  <c:v>1399.62</c:v>
                </c:pt>
              </c:numCache>
            </c:numRef>
          </c:val>
        </c:ser>
        <c:dLbls>
          <c:showLegendKey val="0"/>
          <c:showVal val="0"/>
          <c:showCatName val="0"/>
          <c:showSerName val="0"/>
          <c:showPercent val="0"/>
          <c:showBubbleSize val="0"/>
        </c:dLbls>
        <c:gapWidth val="246"/>
        <c:overlap val="-28"/>
        <c:axId val="665795351"/>
        <c:axId val="69423123"/>
      </c:barChart>
      <c:catAx>
        <c:axId val="66579535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23123"/>
        <c:crosses val="autoZero"/>
        <c:auto val="1"/>
        <c:lblAlgn val="ctr"/>
        <c:lblOffset val="100"/>
        <c:noMultiLvlLbl val="0"/>
      </c:catAx>
      <c:valAx>
        <c:axId val="69423123"/>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7953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5  </a:t>
            </a:r>
            <a:r>
              <a:rPr altLang="en-US"/>
              <a:t>一般公共预算财政拨款支出决算变动情况</a:t>
            </a:r>
            <a:endParaRPr altLang="en-US"/>
          </a:p>
        </c:rich>
      </c:tx>
      <c:layout/>
      <c:overlay val="0"/>
      <c:spPr>
        <a:noFill/>
        <a:ln>
          <a:noFill/>
        </a:ln>
        <a:effectLst/>
      </c:spPr>
    </c:title>
    <c:autoTitleDeleted val="0"/>
    <c:plotArea>
      <c:layout>
        <c:manualLayout>
          <c:layoutTarget val="inner"/>
          <c:xMode val="edge"/>
          <c:yMode val="edge"/>
          <c:x val="0.0760570186035274"/>
          <c:y val="0.157883552911177"/>
          <c:w val="0.89736651365064"/>
          <c:h val="0.637994050148746"/>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elete val="1"/>
          </c:dLbls>
          <c:cat>
            <c:strRef>
              <c:f>Sheet1!$A$2:$A$3</c:f>
              <c:strCache>
                <c:ptCount val="2"/>
                <c:pt idx="0">
                  <c:v>2021年（万元）</c:v>
                </c:pt>
                <c:pt idx="1">
                  <c:v>2022年（万元）</c:v>
                </c:pt>
              </c:strCache>
            </c:strRef>
          </c:cat>
          <c:val>
            <c:numRef>
              <c:f>Sheet1!$B$2:$B$3</c:f>
              <c:numCache>
                <c:formatCode>General</c:formatCode>
                <c:ptCount val="2"/>
                <c:pt idx="0">
                  <c:v>1165.45</c:v>
                </c:pt>
                <c:pt idx="1">
                  <c:v>1399.62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2021年（万元）</c:v>
                </c:pt>
                <c:pt idx="1">
                  <c:v>2022年（万元）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401092636"/>
        <c:axId val="527985325"/>
      </c:barChart>
      <c:catAx>
        <c:axId val="4010926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985325"/>
        <c:crosses val="autoZero"/>
        <c:auto val="1"/>
        <c:lblAlgn val="ctr"/>
        <c:lblOffset val="100"/>
        <c:noMultiLvlLbl val="0"/>
      </c:catAx>
      <c:valAx>
        <c:axId val="527985325"/>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0926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6  </a:t>
            </a:r>
            <a:r>
              <a:rPr altLang="en-US"/>
              <a:t>一般公共预算财政拨款支出决算结构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一般公共服务（类）支出</c:v>
                </c:pt>
                <c:pt idx="1">
                  <c:v>社会保障和就业（类）支出</c:v>
                </c:pt>
                <c:pt idx="2">
                  <c:v>卫生健康（类）支出</c:v>
                </c:pt>
                <c:pt idx="3">
                  <c:v>住房保障（类）支出</c:v>
                </c:pt>
              </c:strCache>
            </c:strRef>
          </c:cat>
          <c:val>
            <c:numRef>
              <c:f>Sheet1!$B$2:$B$5</c:f>
              <c:numCache>
                <c:formatCode>0.00%</c:formatCode>
                <c:ptCount val="4"/>
                <c:pt idx="0">
                  <c:v>0.8154</c:v>
                </c:pt>
                <c:pt idx="1">
                  <c:v>0.0879</c:v>
                </c:pt>
                <c:pt idx="2">
                  <c:v>0.034</c:v>
                </c:pt>
                <c:pt idx="3">
                  <c:v>0.0636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7  “</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0%</c:formatCode>
                <c:ptCount val="3"/>
                <c:pt idx="0">
                  <c:v>0</c:v>
                </c:pt>
                <c:pt idx="1" c:formatCode="0.00%">
                  <c:v>0.8205</c:v>
                </c:pt>
                <c:pt idx="2" c:formatCode="0.00%">
                  <c:v>0.1795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Forever</cp:lastModifiedBy>
  <cp:lastPrinted>2023-07-31T02:35:00Z</cp:lastPrinted>
  <dcterms:modified xsi:type="dcterms:W3CDTF">2023-10-10T01:18:46Z</dcterms:modified>
  <dc:title>四川省***</dc:title>
  <cp:revision>32</cp:revision>
</cp:core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TotalTime>
  <ScaleCrop>false</ScaleCrop>
  <LinksUpToDate>false</LinksUpToDate>
  <CharactersWithSpaces>8692</CharactersWithSpaces>
  <Application>WPS Office_12.1.0.15398_F1E327BC-269C-435d-A152-05C5408002CA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2B520EC74CC24487ABEB05C0E6E6210C_13</vt:lpwstr>
  </proper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92417F440B0B4E2B8005DCFE0FD91202_13</vt:lpwstr>
  </property>
</Properties>
</file>

<file path=customXml/item6.xml><?xml version="1.0" encoding="utf-8"?>
<Properties xmlns="http://schemas.openxmlformats.org/officeDocument/2006/extended-properties" xmlns:vt="http://schemas.openxmlformats.org/officeDocument/2006/docPropsVTypes">
  <Template>Normal.dotm</Template>
  <Company>四川省财政厅</Company>
  <Pages>79</Pages>
  <Words>33468</Words>
  <Characters>35905</Characters>
  <Lines>61</Lines>
  <Paragraphs>17</Paragraphs>
  <TotalTime>0</TotalTime>
  <ScaleCrop>false</ScaleCrop>
  <LinksUpToDate>false</LinksUpToDate>
  <CharactersWithSpaces>36198</CharactersWithSpaces>
  <Application>WPS Office_12.1.0.17147_F1E327BC-269C-435d-A152-05C5408002CA</Application>
  <DocSecurity>0</DocSecuri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2024-07-30T03:47:58Z</dcterms:modified>
  <dc:title>四川省_x002A__x002A__x002A_</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66e81-6741-4086-9aeb-c03f7f38ba65}">
  <ds:schemaRefs/>
</ds:datastoreItem>
</file>

<file path=customXml/itemProps3.xml><?xml version="1.0" encoding="utf-8"?>
<ds:datastoreItem xmlns:ds="http://schemas.openxmlformats.org/officeDocument/2006/customXml" ds:itemID="{fff2b1fd-f384-4c8f-b59b-49c10ebd6756}">
  <ds:schemaRefs/>
</ds:datastoreItem>
</file>

<file path=customXml/itemProps4.xml><?xml version="1.0" encoding="utf-8"?>
<ds:datastoreItem xmlns:ds="http://schemas.openxmlformats.org/officeDocument/2006/customXml" ds:itemID="{73d9ae6f-3544-456f-984f-c0e8d2bf8701}">
  <ds:schemaRefs/>
</ds:datastoreItem>
</file>

<file path=customXml/itemProps5.xml><?xml version="1.0" encoding="utf-8"?>
<ds:datastoreItem xmlns:ds="http://schemas.openxmlformats.org/officeDocument/2006/customXml" ds:itemID="{304ecadd-4634-4a57-83d8-3a1e92478c34}">
  <ds:schemaRefs/>
</ds:datastoreItem>
</file>

<file path=customXml/itemProps6.xml><?xml version="1.0" encoding="utf-8"?>
<ds:datastoreItem xmlns:ds="http://schemas.openxmlformats.org/officeDocument/2006/customXml" ds:itemID="{c2a5f5fa-2234-4d86-a266-087215ac2fc4}">
  <ds:schemaRefs/>
</ds:datastoreItem>
</file>

<file path=customXml/itemProps7.xml><?xml version="1.0" encoding="utf-8"?>
<ds:datastoreItem xmlns:ds="http://schemas.openxmlformats.org/officeDocument/2006/customXml" ds:itemID="{03a1adf9-043a-4edb-a2d9-32cf4034e54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79</Pages>
  <Words>33441</Words>
  <Characters>35875</Characters>
  <Lines>61</Lines>
  <Paragraphs>17</Paragraphs>
  <TotalTime>0</TotalTime>
  <ScaleCrop>false</ScaleCrop>
  <LinksUpToDate>false</LinksUpToDate>
  <CharactersWithSpaces>36168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2024-08-13T01:25:44Z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92417F440B0B4E2B8005DCFE0FD91202_13</vt:lpwstr>
  </property>
</Properties>
</file>