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1120" w:firstLineChars="200"/>
        <w:jc w:val="both"/>
        <w:textAlignment w:val="auto"/>
        <w:rPr>
          <w:rFonts w:hint="eastAsia" w:ascii="Times New Roman" w:hAnsi="Times New Roman" w:eastAsia="仿宋_GB2312"/>
          <w:sz w:val="56"/>
          <w:szCs w:val="56"/>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1120" w:firstLineChars="200"/>
        <w:jc w:val="both"/>
        <w:textAlignment w:val="auto"/>
        <w:rPr>
          <w:rFonts w:hint="eastAsia" w:ascii="Times New Roman" w:hAnsi="Times New Roman" w:eastAsia="仿宋_GB2312"/>
          <w:sz w:val="56"/>
          <w:szCs w:val="56"/>
          <w:lang w:val="en-US" w:eastAsia="zh-CN"/>
        </w:rPr>
      </w:pPr>
    </w:p>
    <w:p>
      <w:pPr>
        <w:pStyle w:val="9"/>
        <w:pageBreakBefore w:val="0"/>
        <w:kinsoku/>
        <w:wordWrap/>
        <w:overflowPunct/>
        <w:topLinePunct w:val="0"/>
        <w:autoSpaceDE/>
        <w:autoSpaceDN/>
        <w:bidi w:val="0"/>
        <w:adjustRightInd/>
        <w:snapToGrid/>
        <w:spacing w:before="0" w:after="0" w:line="576" w:lineRule="exact"/>
        <w:ind w:firstLine="1120" w:firstLineChars="200"/>
        <w:jc w:val="both"/>
        <w:textAlignment w:val="auto"/>
        <w:rPr>
          <w:rFonts w:hint="eastAsia" w:ascii="Times New Roman" w:hAnsi="Times New Roman" w:eastAsia="仿宋_GB2312"/>
          <w:sz w:val="56"/>
          <w:szCs w:val="56"/>
          <w:lang w:val="en-US" w:eastAsia="zh-CN"/>
        </w:rPr>
      </w:pPr>
    </w:p>
    <w:p>
      <w:pPr>
        <w:pageBreakBefore w:val="0"/>
        <w:kinsoku/>
        <w:wordWrap/>
        <w:overflowPunct/>
        <w:topLinePunct w:val="0"/>
        <w:autoSpaceDE/>
        <w:autoSpaceDN/>
        <w:bidi w:val="0"/>
        <w:adjustRightInd/>
        <w:snapToGrid/>
        <w:spacing w:line="576" w:lineRule="exact"/>
        <w:ind w:firstLine="420" w:firstLineChars="200"/>
        <w:jc w:val="both"/>
        <w:textAlignment w:val="auto"/>
        <w:rPr>
          <w:rFonts w:hint="eastAsia" w:ascii="Times New Roman" w:hAnsi="Times New Roman" w:eastAsia="仿宋_GB231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default"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23817"/>
      <w:bookmarkStart w:id="1" w:name="_Toc20056"/>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广元市昭化区妇幼保健院</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default" w:ascii="方正小标宋简体" w:hAnsi="方正小标宋简体" w:eastAsia="方正小标宋简体" w:cs="方正小标宋简体"/>
          <w:i w:val="0"/>
          <w:caps w:val="0"/>
          <w:color w:val="333333"/>
          <w:spacing w:val="0"/>
          <w:kern w:val="0"/>
          <w:sz w:val="44"/>
          <w:szCs w:val="44"/>
          <w:lang w:val="en-US" w:eastAsia="zh-CN" w:bidi="en-AU"/>
        </w:rPr>
      </w:pPr>
      <w:bookmarkStart w:id="2" w:name="_Toc21121"/>
      <w:bookmarkStart w:id="3" w:name="_Toc5857"/>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bookmarkEnd w:id="2"/>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sz w:val="32"/>
          <w:szCs w:val="32"/>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3" w:firstLineChars="200"/>
        <w:jc w:val="both"/>
        <w:textAlignment w:val="auto"/>
        <w:rPr>
          <w:rFonts w:ascii="Times New Roman" w:hAnsi="Times New Roman" w:eastAsia="仿宋_GB2312" w:cs="Times New Roman"/>
          <w:sz w:val="32"/>
          <w:szCs w:val="32"/>
        </w:rPr>
        <w:sectPr>
          <w:pgSz w:w="11906" w:h="16838"/>
          <w:pgMar w:top="1440" w:right="1800" w:bottom="1440" w:left="1800" w:header="720" w:footer="720" w:gutter="0"/>
          <w:pgNumType w:fmt="decimal"/>
          <w:docGrid w:type="lines" w:linePitch="312" w:charSpace="0"/>
        </w:sectPr>
      </w:pPr>
      <w:r>
        <w:rPr>
          <w:rFonts w:hint="eastAsia" w:ascii="Times New Roman" w:hAnsi="Times New Roman" w:eastAsia="仿宋_GB2312" w:cs="宋体"/>
          <w:b/>
          <w:i w:val="0"/>
          <w:caps w:val="0"/>
          <w:color w:val="333333"/>
          <w:spacing w:val="0"/>
          <w:sz w:val="32"/>
          <w:szCs w:val="32"/>
          <w:shd w:val="clear" w:color="auto" w:fill="FFFFFF"/>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3"/>
        <w:pageBreakBefore w:val="0"/>
        <w:tabs>
          <w:tab w:val="right" w:leader="dot" w:pos="8306"/>
        </w:tabs>
        <w:kinsoku/>
        <w:wordWrap/>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rPr>
      </w:pPr>
      <w:r>
        <w:rPr>
          <w:rFonts w:hint="eastAsia" w:ascii="Times New Roman" w:hAnsi="Times New Roman" w:eastAsia="仿宋_GB2312" w:cs="宋体"/>
          <w:b/>
          <w:i w:val="0"/>
          <w:caps w:val="0"/>
          <w:color w:val="333333"/>
          <w:spacing w:val="0"/>
          <w:sz w:val="32"/>
          <w:szCs w:val="32"/>
          <w:shd w:val="clear" w:color="auto" w:fill="FFFFFF"/>
        </w:rPr>
        <w:fldChar w:fldCharType="begin"/>
      </w:r>
      <w:r>
        <w:rPr>
          <w:rFonts w:hint="eastAsia" w:ascii="Times New Roman" w:hAnsi="Times New Roman" w:eastAsia="仿宋_GB2312" w:cs="宋体"/>
          <w:b/>
          <w:i w:val="0"/>
          <w:caps w:val="0"/>
          <w:color w:val="333333"/>
          <w:spacing w:val="0"/>
          <w:sz w:val="32"/>
          <w:szCs w:val="32"/>
          <w:shd w:val="clear" w:color="auto" w:fill="FFFFFF"/>
        </w:rPr>
        <w:instrText xml:space="preserve">TOC \o "1-2" \h \u</w:instrText>
      </w:r>
      <w:r>
        <w:rPr>
          <w:rFonts w:hint="eastAsia" w:ascii="Times New Roman" w:hAnsi="Times New Roman" w:eastAsia="仿宋_GB2312" w:cs="宋体"/>
          <w:b/>
          <w:i w:val="0"/>
          <w:caps w:val="0"/>
          <w:color w:val="333333"/>
          <w:spacing w:val="0"/>
          <w:sz w:val="32"/>
          <w:szCs w:val="32"/>
          <w:shd w:val="clear" w:color="auto" w:fill="FFFFFF"/>
        </w:rPr>
        <w:fldChar w:fldCharType="separate"/>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"_Toc1706"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一、基本职能及主要工作</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_Toc1706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"_Toc21583"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_Toc21583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4</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"_Toc1384"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_Toc1384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5</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"_Toc15441"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四、财政拨款收支预算情况说明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_Toc15441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5</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"_Toc22490"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五、一般公共预算当年拨款情况说明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_Toc22490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"_Toc2415"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_Toc2415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"_Toc17047"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七、“三公”经费财政拨款预算安排情况说明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_Toc17047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"_Toc17764"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_Toc17764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8</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"_Toc2481"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_Toc2481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8</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"_Toc8881"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十、其他重要事项的情况说明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_Toc8881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8</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方正小标宋简体"/>
          <w:i w:val="0"/>
          <w:caps w:val="0"/>
          <w:color w:val="333333"/>
          <w:spacing w:val="0"/>
          <w:kern w:val="0"/>
          <w:sz w:val="28"/>
          <w:szCs w:val="28"/>
          <w:lang w:val="en-US" w:eastAsia="zh-CN" w:bidi="en-AU"/>
        </w:rPr>
      </w:pPr>
      <w:r>
        <w:fldChar w:fldCharType="begin"/>
      </w:r>
      <w:r>
        <w:instrText xml:space="preserve"> HYPERLINK \l "_Toc16901"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十一、名词解释</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_Toc16901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9</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480" w:firstLineChars="200"/>
        <w:jc w:val="both"/>
        <w:textAlignment w:val="auto"/>
        <w:rPr>
          <w:rFonts w:hint="eastAsia" w:ascii="Times New Roman" w:hAnsi="Times New Roman" w:eastAsia="仿宋_GB2312" w:cs="宋体"/>
          <w:b/>
          <w:i w:val="0"/>
          <w:caps w:val="0"/>
          <w:color w:val="333333"/>
          <w:spacing w:val="0"/>
          <w:szCs w:val="32"/>
          <w:lang w:val="en-US" w:eastAsia="zh-CN"/>
        </w:rPr>
      </w:pPr>
      <w:r>
        <w:rPr>
          <w:rFonts w:hint="eastAsia" w:ascii="Times New Roman" w:hAnsi="Times New Roman" w:eastAsia="仿宋_GB2312" w:cs="宋体"/>
          <w:i w:val="0"/>
          <w:caps w:val="0"/>
          <w:color w:val="333333"/>
          <w:spacing w:val="0"/>
          <w:szCs w:val="32"/>
          <w:shd w:val="clear" w:color="auto" w:fill="FFFFFF"/>
        </w:rPr>
        <w:fldChar w:fldCharType="end"/>
      </w:r>
      <w:r>
        <w:rPr>
          <w:rFonts w:hint="eastAsia" w:ascii="Times New Roman" w:hAnsi="Times New Roman" w:eastAsia="仿宋_GB2312" w:cs="宋体"/>
          <w:b/>
          <w:i w:val="0"/>
          <w:caps w:val="0"/>
          <w:color w:val="333333"/>
          <w:spacing w:val="0"/>
          <w:szCs w:val="32"/>
          <w:shd w:val="clear" w:color="auto" w:fill="FFFFFF"/>
          <w:lang w:val="en-US" w:eastAsia="zh-CN"/>
        </w:rPr>
        <w:t xml:space="preserve">   </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center" w:pos="4153"/>
        </w:tabs>
        <w:bidi w:val="0"/>
        <w:jc w:val="left"/>
        <w:rPr>
          <w:rFonts w:hint="default"/>
          <w:lang w:val="en-US" w:eastAsia="zh-CN"/>
        </w:rPr>
        <w:sectPr>
          <w:footerReference r:id="rId3" w:type="default"/>
          <w:pgSz w:w="11906" w:h="16838"/>
          <w:pgMar w:top="1440" w:right="1800" w:bottom="1440" w:left="1800" w:header="720" w:footer="720" w:gutter="0"/>
          <w:pgNumType w:fmt="decimal" w:start="1"/>
          <w:docGrid w:type="lines" w:linePitch="312" w:charSpace="0"/>
        </w:sectPr>
      </w:pPr>
      <w:r>
        <w:rPr>
          <w:rFonts w:hint="eastAsia"/>
          <w:lang w:val="en-US" w:eastAsia="zh-CN"/>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hint="eastAsia" w:ascii="黑体" w:hAnsi="黑体" w:eastAsia="黑体" w:cs="黑体"/>
          <w:i w:val="0"/>
          <w:caps w:val="0"/>
          <w:color w:val="333333"/>
          <w:spacing w:val="0"/>
          <w:sz w:val="32"/>
          <w:szCs w:val="32"/>
        </w:rPr>
      </w:pPr>
      <w:bookmarkStart w:id="4" w:name="_Toc1706"/>
      <w:r>
        <w:rPr>
          <w:rFonts w:hint="eastAsia" w:ascii="黑体" w:hAnsi="黑体" w:eastAsia="黑体" w:cs="黑体"/>
          <w:i w:val="0"/>
          <w:caps w:val="0"/>
          <w:color w:val="333333"/>
          <w:spacing w:val="0"/>
          <w:kern w:val="0"/>
          <w:sz w:val="32"/>
          <w:szCs w:val="32"/>
          <w:shd w:val="clear" w:color="auto" w:fill="FFFFFF"/>
          <w:lang w:val="en-US" w:eastAsia="zh-CN" w:bidi="en-AU"/>
        </w:rPr>
        <w:t>一、基本职能及主要工作</w:t>
      </w:r>
      <w:bookmarkEnd w:id="4"/>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楷体_GB2312"/>
          <w:b/>
          <w:i w:val="0"/>
          <w:caps w:val="0"/>
          <w:color w:val="333333"/>
          <w:spacing w:val="0"/>
          <w:sz w:val="32"/>
          <w:szCs w:val="32"/>
        </w:rPr>
      </w:pPr>
      <w:bookmarkStart w:id="5" w:name="_Toc32086"/>
      <w:r>
        <w:rPr>
          <w:rFonts w:hint="eastAsia" w:ascii="楷体_GB2312" w:hAnsi="楷体_GB2312" w:eastAsia="楷体_GB2312" w:cs="楷体_GB2312"/>
          <w:b w:val="0"/>
          <w:bCs/>
          <w:i w:val="0"/>
          <w:caps w:val="0"/>
          <w:color w:val="333333"/>
          <w:spacing w:val="0"/>
          <w:sz w:val="32"/>
          <w:szCs w:val="32"/>
          <w:shd w:val="clear" w:color="auto" w:fill="FFFFFF"/>
        </w:rPr>
        <w:t>（一）</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区妇幼保健院</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bidi="en-AU"/>
        </w:rPr>
        <w:t>职能</w:t>
      </w:r>
      <w:r>
        <w:rPr>
          <w:rFonts w:hint="eastAsia" w:ascii="楷体_GB2312" w:hAnsi="楷体_GB2312" w:eastAsia="楷体_GB2312" w:cs="楷体_GB2312"/>
          <w:b w:val="0"/>
          <w:bCs/>
          <w:i w:val="0"/>
          <w:caps w:val="0"/>
          <w:color w:val="333333"/>
          <w:spacing w:val="0"/>
          <w:sz w:val="32"/>
          <w:szCs w:val="32"/>
          <w:shd w:val="clear" w:color="auto" w:fill="FFFFFF"/>
        </w:rPr>
        <w:t>简介</w:t>
      </w:r>
      <w:bookmarkEnd w:id="5"/>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广元市昭化区妇幼保健院是国家二级甲等妇幼保健院，全国爱婴医院，120急救网络医院，昭化区产儿科急救中心和妇幼保健、计划生育指导单位，市区各类医疗保险定点机构，是集保健、临床于一体的县级妇幼保健机构，承担全区妇幼公共卫生项目、民生项目的实施以及妇女儿童保健技术的业务指导和常见病、多发病的临床诊治工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1"/>
        <w:rPr>
          <w:rFonts w:hint="eastAsia" w:ascii="楷体_GB2312" w:hAnsi="楷体_GB2312" w:eastAsia="楷体_GB2312" w:cs="楷体_GB2312"/>
          <w:b w:val="0"/>
          <w:bCs/>
          <w:i w:val="0"/>
          <w:caps w:val="0"/>
          <w:color w:val="333333"/>
          <w:spacing w:val="0"/>
          <w:sz w:val="32"/>
          <w:szCs w:val="32"/>
        </w:rPr>
      </w:pPr>
      <w:bookmarkStart w:id="6" w:name="_Toc8364"/>
      <w:r>
        <w:rPr>
          <w:rFonts w:hint="eastAsia" w:ascii="楷体_GB2312" w:hAnsi="楷体_GB2312" w:eastAsia="楷体_GB2312" w:cs="楷体_GB2312"/>
          <w:b w:val="0"/>
          <w:bCs/>
          <w:i w:val="0"/>
          <w:caps w:val="0"/>
          <w:color w:val="333333"/>
          <w:spacing w:val="0"/>
          <w:sz w:val="32"/>
          <w:szCs w:val="32"/>
          <w:shd w:val="clear" w:color="auto" w:fill="FFFFFF"/>
          <w:lang w:val="en-US" w:eastAsia="zh-CN"/>
        </w:rPr>
        <w:t>（二）区妇幼保健院</w:t>
      </w:r>
      <w:r>
        <w:rPr>
          <w:rFonts w:hint="eastAsia" w:ascii="楷体_GB2312" w:hAnsi="楷体_GB2312" w:eastAsia="楷体_GB2312" w:cs="楷体_GB2312"/>
          <w:b w:val="0"/>
          <w:bCs/>
          <w:i w:val="0"/>
          <w:caps w:val="0"/>
          <w:color w:val="333333"/>
          <w:spacing w:val="0"/>
          <w:sz w:val="32"/>
          <w:szCs w:val="32"/>
          <w:shd w:val="clear" w:color="auto" w:fill="FFFFFF"/>
        </w:rPr>
        <w:t>202</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3</w:t>
      </w:r>
      <w:r>
        <w:rPr>
          <w:rFonts w:hint="eastAsia" w:ascii="楷体_GB2312" w:hAnsi="楷体_GB2312" w:eastAsia="楷体_GB2312" w:cs="楷体_GB2312"/>
          <w:b w:val="0"/>
          <w:bCs/>
          <w:i w:val="0"/>
          <w:caps w:val="0"/>
          <w:color w:val="333333"/>
          <w:spacing w:val="0"/>
          <w:sz w:val="32"/>
          <w:szCs w:val="32"/>
          <w:shd w:val="clear" w:color="auto" w:fill="FFFFFF"/>
        </w:rPr>
        <w:t>年重点工作</w:t>
      </w:r>
      <w:bookmarkEnd w:id="6"/>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1.抓好党建及党风廉政建设</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把党的政治建设摆在首位，深入学习贯彻党的二十大精神，营造党建阵地氛围，加强党员队伍建设，激发党建活力，进一步夯实包联共建工作，开展好为民办实事活动。坚持党建对各项工作的统领，树立“抓党建就是抓全局”的鲜明导向，促进党建和业务深度融合，坚持党建工作和党风廉政工作共同谋划、共同部署。要强化全面从严治党责任担当，有效传导压力，发挥好班子集体作用，强化协作配合，形成工作合力，完善院内廉洁风险点排查和防范应对，强化制度建立，随时督促检查，及时纠偏固正，为医院各项工作的有序开展提供坚强的纪律保障。落实好党管宣传的要求，积极指导全院职工对医院、科室、个人进行正面、有效宣传，制定相关任务完成量。</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2.抓好医疗保健业务工作</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黑体"/>
          <w:b w:val="0"/>
          <w:bCs w:val="0"/>
          <w:sz w:val="32"/>
          <w:szCs w:val="32"/>
          <w:lang w:val="en-US" w:eastAsia="zh-CN"/>
        </w:rPr>
        <w:t>（</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1）做好新冠疫情防控“乙类乙管”工作。加强医院感染控制工作、防止医院感染暴发流行、突出院感各项监测前瞻性及时效性；加强医院感染管理三级体系效能发挥，进一步完善院感制度流程，实施规范化管理；全面开展医院感染各项监测工作，规范管理医院感染重点科室；加强传染病数据的上报，确保数据精准、可追溯；做好新冠相关政策调整的院感培训、管控与督导。</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做好医疗保健业务能力提升工作。妇产科、儿科积极申报创建市级重点专科。加强医技科的检验检查能力，全力推进检验科的规范改造，添置功能科的检查设备，提高放射科的设备使用效率。积极开展新技术新项目，增设乳腺外科、儿童外科及五官科；加大胃镜、肠镜临床应用检查；加大妇科利普刀的临床应用，拓展妇科业务；积极推广中医适宜技术的服务范围；加强门急诊能力建设，规范内科、外科、儿科、妇科专家门诊。积极拓展儿童保健及孕产妇保健服务项目，建成儿童预防接种门诊，持续做好盆底康复、产后康复业务。持续加强与社区卫生服务中心的医联体建设。</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3）做好妇幼公共卫生服务。及时跟进孕产妇、婴儿及5岁以下儿童死亡率、出生缺陷防治措施落实率等妇幼健康核心指标，确保目标任务完成，妇幼信息统计数据口径统一、安全。认真梳理解决妇幼卫生项目工作的重点、难点问题和薄弱环节，制定好详细的工作时间进度表，并认真组织实施；选择基础较好的乡镇打造妇幼工作模范点，带动辖区妇幼工作上档升级。</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4）做好医疗质量和医疗安全工作。进一步加强医疗质量和医疗安全的监督管理，严格依法执业，规范执业行为，防止医疗纠纷，确保医疗安全。建立门诊医疗文书书写规范与质量检查制度，充分发挥医院病案管理委员会的职能，重新修订《病历月度考核方案》并严格执行。全面加强临床护理工作，深化专业内涵，拓展服务领域，持续推进优质护理服务。</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（5）抓好医保政策的执行，保障医院和群众的正当利益。按照区医保局的工作安排，遵循</w:t>
      </w:r>
      <w:r>
        <w:rPr>
          <w:rFonts w:hint="default" w:ascii="Times New Roman" w:hAnsi="Times New Roman" w:eastAsia="仿宋_GB2312" w:cs="仿宋_GB2312"/>
          <w:i w:val="0"/>
          <w:caps w:val="0"/>
          <w:color w:val="333333"/>
          <w:spacing w:val="0"/>
          <w:kern w:val="0"/>
          <w:sz w:val="32"/>
          <w:szCs w:val="32"/>
          <w:shd w:val="clear" w:color="auto" w:fill="FFFFFF"/>
          <w:lang w:val="en-US" w:eastAsia="zh-CN" w:bidi="en-AU"/>
        </w:rPr>
        <w:t>“把握精神，吃透政策，大力宣传，稳步推进，狠抓落实”的总体思路，认真开展各项工作</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r>
        <w:rPr>
          <w:rFonts w:hint="default" w:ascii="Times New Roman" w:hAnsi="Times New Roman" w:eastAsia="仿宋_GB2312" w:cs="仿宋_GB2312"/>
          <w:i w:val="0"/>
          <w:caps w:val="0"/>
          <w:color w:val="333333"/>
          <w:spacing w:val="0"/>
          <w:kern w:val="0"/>
          <w:sz w:val="32"/>
          <w:szCs w:val="32"/>
          <w:shd w:val="clear" w:color="auto" w:fill="FFFFFF"/>
          <w:lang w:val="en-US" w:eastAsia="zh-CN" w:bidi="en-AU"/>
        </w:rPr>
        <w:t>一是持续加强对全院职工</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医保政策</w:t>
      </w:r>
      <w:r>
        <w:rPr>
          <w:rFonts w:hint="default" w:ascii="Times New Roman" w:hAnsi="Times New Roman" w:eastAsia="仿宋_GB2312" w:cs="仿宋_GB2312"/>
          <w:i w:val="0"/>
          <w:caps w:val="0"/>
          <w:color w:val="333333"/>
          <w:spacing w:val="0"/>
          <w:kern w:val="0"/>
          <w:sz w:val="32"/>
          <w:szCs w:val="32"/>
          <w:shd w:val="clear" w:color="auto" w:fill="FFFFFF"/>
          <w:lang w:val="en-US" w:eastAsia="zh-CN" w:bidi="en-AU"/>
        </w:rPr>
        <w:t>的培训学习，尤其是加大对调整后政策内容的宣传解读与公示公开，确保做到更加精细、突出重点，扎实提升政策知晓度</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二是抓窗口服务质量提升，按照“便民、高效、廉洁、规范”的服务宗旨，严格把关，用心操作，一站式真情服务，提升参保患者的满意度；宣传推广医保电子凭证的使用，指引群众能够在互联网上高效、安全地享受医疗保障部门的各项公共服务，提高优质服务的便民性；进一步优化DRG付费结算工作。</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3.抓好行政管理，做好后勤保障</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1）健全管理制度，规范工作流程。梳理医院基本制度，剔除与当前医院发展不相适宜的陈旧制度，更新、细化、完善与当前工作紧密结合的，与二级甲等保健院相匹配的新制度。加大节能减排降耗工作督查，为增收节支提供坚强保障。进一步完善年度目标责任书相关引导指标，严格按时组织月度考核工作，有针对性地举办质量管理委员会的运行分析，督促医院短板不足得到纠偏扶正。</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持续推动信息化建设，提升医院服务能力。持续开展信息机组及医院管理系统的日常巡查维护，保障各科室网络、信息正常运行和网络信息安全，新增加的电子票据、银医自助、分诊叫号、两病医保改革、新物流、体检系统上线，做好相关维护管理。完成省药械平台接口，保证上线使用；完成四川省法定传染病检测信息报告自动交换接口，保证模块尽快投入使用；完成机房精密空调维修保养工作，确保机房硬件设备设施安全。进一步规范院内信息数据采集和信息报送。</w:t>
      </w:r>
    </w:p>
    <w:p>
      <w:pPr>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3）抓实安全生产工作，全面保障医院正常有序运转。要履行好安全生产直接责任人职责，持续抓好安全隐患排查，杜绝安全事故；加强救护车的维护保养和运行监管，保证急诊用车的及时性；做好院内维修改造等基建项目的规范实施和已完工程的收尾工作，履行好项目办职责；加强洗涤、消防、后勤服务等外包公司监管，加强医院资产和水电气的管理，保障医院临床服务的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hint="default" w:ascii="黑体" w:hAnsi="黑体" w:eastAsia="黑体" w:cs="黑体"/>
          <w:i w:val="0"/>
          <w:caps w:val="0"/>
          <w:color w:val="333333"/>
          <w:spacing w:val="0"/>
          <w:kern w:val="0"/>
          <w:sz w:val="32"/>
          <w:szCs w:val="32"/>
          <w:lang w:val="en-US" w:eastAsia="zh-CN" w:bidi="en-AU"/>
        </w:rPr>
      </w:pPr>
      <w:bookmarkStart w:id="7" w:name="_Toc21583"/>
      <w:r>
        <w:rPr>
          <w:rFonts w:hint="eastAsia" w:ascii="黑体" w:hAnsi="黑体" w:eastAsia="黑体" w:cs="黑体"/>
          <w:i w:val="0"/>
          <w:caps w:val="0"/>
          <w:color w:val="333333"/>
          <w:spacing w:val="0"/>
          <w:kern w:val="0"/>
          <w:sz w:val="32"/>
          <w:szCs w:val="32"/>
          <w:shd w:val="clear" w:color="auto" w:fill="FFFFFF"/>
          <w:lang w:val="en-US" w:eastAsia="zh-CN" w:bidi="en-AU"/>
        </w:rPr>
        <w:t>二、部门预算单位构成</w:t>
      </w:r>
      <w:bookmarkEnd w:id="7"/>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我单位为二级预算单位，隶属于广元市昭化区卫生健康局，为公益一类预算单位，设有妇产科、儿科、外科、内科、孕产及妇女保健部、儿童保健部、医技科、手术室、药房等临床、保健、医技医辅科室14个，其中儿科和妇产科为区级重点专科。</w:t>
      </w:r>
      <w:bookmarkStart w:id="8" w:name="_Toc1384"/>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三、收支预算情况说明</w:t>
      </w:r>
      <w:bookmarkEnd w:id="8"/>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按照综合预算的原则，区妇幼保健院所有收入和支出均纳入部门预算管理。收入包括：一般公共预算拨款收入、上年结转；支出包括：社会保障和就业支出、卫生健康支出、住房保障支出。区妇幼保健院2023年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545.62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万元，比2022年收支预算总数增加47.63万元，主要原因是专业技术人员职称晋升、工资调整、新进在编人员2名等形成人员经费增加。</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1"/>
        <w:rPr>
          <w:rFonts w:hint="eastAsia" w:ascii="楷体_GB2312" w:hAnsi="楷体_GB2312" w:eastAsia="楷体_GB2312" w:cs="楷体_GB2312"/>
          <w:b w:val="0"/>
          <w:bCs/>
          <w:i w:val="0"/>
          <w:caps w:val="0"/>
          <w:color w:val="333333"/>
          <w:spacing w:val="0"/>
          <w:kern w:val="2"/>
          <w:sz w:val="32"/>
          <w:szCs w:val="32"/>
          <w:lang w:val="en-US" w:eastAsia="zh-CN" w:bidi="ar-SA"/>
        </w:rPr>
      </w:pPr>
      <w:bookmarkStart w:id="9" w:name="_Toc24389"/>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（一）收入预算情况</w:t>
      </w:r>
      <w:bookmarkEnd w:id="9"/>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昭化区妇幼保健院2023年收入预算545.62万元，其中：一般公共预算拨款收入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545.62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bookmarkStart w:id="10" w:name="_Toc2218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（二）</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支出预算情况</w:t>
      </w:r>
      <w:bookmarkEnd w:id="1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昭化区妇幼保健院2023年支出预算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545.62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万元，其中：基本支出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535.06</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98</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bookmarkStart w:id="11" w:name="_Toc15441"/>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四、财政拨款收支预算情况说明</w:t>
      </w:r>
      <w:bookmarkEnd w:id="11"/>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497.99</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万元，比2022年财政拨款收支总预算增加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47.63</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万元，主要原因是专业技术人员职称晋升、工资调整、新进在编人员2名等形成人员经费增加。</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收入包括：本年一般公共预算拨款收入545.62万元、上年结转一般公共预算拨款收入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万元；支出包括：社会保障和就业支出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109.82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万元、卫生健康支出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391.00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万元、住房保障支出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44.80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w:t>
      </w:r>
      <w:bookmarkStart w:id="12" w:name="_Toc22490"/>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一般公共预算当年拨款情况说明</w:t>
      </w:r>
      <w:bookmarkEnd w:id="12"/>
      <w:bookmarkStart w:id="13" w:name="_Toc20419"/>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（一）</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一般公共预算当年拨款规模变化情况</w:t>
      </w:r>
      <w:bookmarkEnd w:id="1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545.62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万元，比2022年预算数增加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47.63</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万元，主要原因是专业技术人员职称晋升、工资调整、新进在编人员2名。</w:t>
      </w:r>
      <w:bookmarkStart w:id="14" w:name="_Toc14312"/>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（二）</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一般公共预算当年拨款结构情况</w:t>
      </w:r>
      <w:bookmarkEnd w:id="1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社会保障和就业支出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109.82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%；卫生健康支出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391</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72</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%；住房保障支出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44.8</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8</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bookmarkStart w:id="15" w:name="_Toc1677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（三）</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一般公共预算当年拨款具体使用情况</w:t>
      </w:r>
      <w:bookmarkEnd w:id="1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highlight w:val="none"/>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1.社会保障和就业（208）行政事业单位养老支出（05）事业单位离退休（02）2023年预算数为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26</w:t>
      </w: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万元，主要用于：事业单位离退休人员经费支出。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highlight w:val="none"/>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2.社会保障和就业（208）行政事业单位养老支出（05）机关事业单位基本养老保险缴费支出（05）2023年预算数为59.73万元，主要用于：实施养老保险制度由单位缴纳的基本养老保险支出。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highlight w:val="none"/>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3.社会保障和就业（208）行政事业单位养老支出（05）机关事业单位职业年金缴费支出（06）2023年预算数为24.1万元，主要用于：实施养老保险制度由单位缴纳的职业年金支出。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highlight w:val="none"/>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4.卫生健康（210）公共卫生（04）妇幼保健机构（03）2023年预算数为357.94万元，主要用于：人员工资福利支出、对个人和家庭的补助支出。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highlight w:val="none"/>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5.卫生健康（210）公共卫生（04）重大公共卫生服务（09）2023年预算数为7.56万元，主要用于：实施免费婚检妇幼公共卫生项目。</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6.卫生健康（210）行政事业单位医疗（11）事业单位医疗（02）2023年预算数为25.5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，主要用于：事业单位按规定由单位缴纳的基本医疗保险支出。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7.住房保障（221）住房改革支出（02）住房公积金（01）2023年预算数为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44.8</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万元，主要用于：单位按规定为职工缴纳的住房公积金支出。</w:t>
      </w:r>
      <w:bookmarkStart w:id="16" w:name="_Toc241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六、一般公共预算基本支出情况说明</w:t>
      </w:r>
      <w:bookmarkEnd w:id="1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535.06</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535.06</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万元，主要包括：基本工资、津贴补贴、奖金、社会保险缴费、退休费、住房公积金等支出。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w:t>
      </w:r>
      <w:bookmarkStart w:id="17" w:name="_Toc1704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七、“三公”经费财政拨款预算安排情况说明</w:t>
      </w:r>
      <w:bookmarkEnd w:id="17"/>
      <w:r>
        <w:rPr>
          <w:rFonts w:hint="eastAsia" w:ascii="黑体" w:hAnsi="黑体" w:eastAsia="黑体" w:cs="黑体"/>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公务接待费预算），公务用车购置及运行维护费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年本单位无公务用车购置及运行维护费预算</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年本单位无因公出国（境）经费预算）</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bookmarkStart w:id="18" w:name="_Toc26359"/>
      <w:bookmarkStart w:id="19" w:name="_Toc21118"/>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楷体_GB2312" w:hAnsi="楷体_GB2312" w:eastAsia="楷体_GB2312" w:cs="楷体_GB2312"/>
          <w:b w:val="0"/>
          <w:bCs/>
          <w:i w:val="0"/>
          <w:caps w:val="0"/>
          <w:color w:val="333333"/>
          <w:spacing w:val="0"/>
          <w:kern w:val="2"/>
          <w:sz w:val="32"/>
          <w:szCs w:val="32"/>
          <w:lang w:val="en-US" w:eastAsia="zh-CN" w:bidi="ar-SA"/>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（一）公务接待费与2022年预算相比</w:t>
      </w:r>
      <w:bookmarkEnd w:id="18"/>
      <w:bookmarkEnd w:id="19"/>
      <w:bookmarkStart w:id="20" w:name="_Toc17417"/>
      <w:bookmarkStart w:id="21" w:name="_Toc17154"/>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2023年本单位无公务接待费预算，与2022年预算持平。</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楷体_GB2312" w:eastAsia="楷体_GB2312" w:cs="楷体_GB2312"/>
          <w:b w:val="0"/>
          <w:bCs/>
          <w:i w:val="0"/>
          <w:caps w:val="0"/>
          <w:color w:val="333333"/>
          <w:spacing w:val="0"/>
          <w:kern w:val="2"/>
          <w:sz w:val="32"/>
          <w:szCs w:val="32"/>
          <w:lang w:val="en-US" w:eastAsia="zh-CN" w:bidi="ar-SA"/>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（二）公务用车购置及运行维护费与2022年预算相比</w:t>
      </w:r>
      <w:bookmarkEnd w:id="20"/>
      <w:bookmarkEnd w:id="2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2023年本单位无公务用车购置及维护费预算，与2022年预算持平。</w:t>
      </w:r>
      <w:bookmarkStart w:id="22" w:name="_Toc29665"/>
      <w:bookmarkStart w:id="23" w:name="_Toc2695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楷体_GB2312" w:hAnsi="楷体_GB2312" w:eastAsia="楷体_GB2312" w:cs="楷体_GB2312"/>
          <w:b w:val="0"/>
          <w:bCs/>
          <w:i w:val="0"/>
          <w:caps w:val="0"/>
          <w:color w:val="333333"/>
          <w:spacing w:val="0"/>
          <w:kern w:val="2"/>
          <w:sz w:val="32"/>
          <w:szCs w:val="32"/>
          <w:lang w:val="en-US" w:eastAsia="zh-CN" w:bidi="ar-SA"/>
        </w:rPr>
      </w:pPr>
      <w:r>
        <w:rPr>
          <w:rFonts w:hint="eastAsia" w:ascii="楷体_GB2312" w:hAnsi="楷体_GB2312" w:eastAsia="楷体_GB2312" w:cs="楷体_GB2312"/>
          <w:b w:val="0"/>
          <w:bCs/>
          <w:i w:val="0"/>
          <w:caps w:val="0"/>
          <w:color w:val="333333"/>
          <w:spacing w:val="0"/>
          <w:kern w:val="2"/>
          <w:sz w:val="32"/>
          <w:szCs w:val="32"/>
          <w:shd w:val="clear" w:color="auto" w:fill="FFFFFF"/>
          <w:lang w:val="en-US" w:eastAsia="zh-CN" w:bidi="ar-SA"/>
        </w:rPr>
        <w:t>（三）因公出国（境）经费与2022年预算相比</w:t>
      </w:r>
      <w:bookmarkEnd w:id="22"/>
      <w:bookmarkEnd w:id="23"/>
      <w:bookmarkStart w:id="24" w:name="_Toc17764"/>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2023年本单位无因公出国（境）经费预算，与2022年预算持平。</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960" w:firstLineChars="3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八、政府性基金预算支出情况说明</w:t>
      </w:r>
      <w:bookmarkEnd w:id="24"/>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昭化区妇幼保健院2023年没有使用政府性基金预算拨款安排的支出。</w:t>
      </w:r>
      <w:bookmarkStart w:id="25" w:name="_Toc248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960" w:firstLineChars="3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九、国有资本经营预算支出情况说明</w:t>
      </w:r>
      <w:bookmarkEnd w:id="2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昭化区妇幼保健院2023年没有使用国有资本经营预算拨款安排的支出。</w:t>
      </w:r>
      <w:bookmarkStart w:id="26" w:name="_Toc888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十、其他重要事项的情况说明</w:t>
      </w:r>
      <w:bookmarkEnd w:id="26"/>
      <w:bookmarkStart w:id="27" w:name="_Toc586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b w:val="0"/>
          <w:bCs w:val="0"/>
          <w:i w:val="0"/>
          <w:caps w:val="0"/>
          <w:color w:val="333333"/>
          <w:spacing w:val="0"/>
          <w:kern w:val="0"/>
          <w:sz w:val="32"/>
          <w:szCs w:val="32"/>
          <w:lang w:val="en-US" w:eastAsia="zh-CN" w:bidi="en-AU"/>
        </w:rPr>
      </w:pPr>
      <w:r>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t>（一）机关运行经费</w:t>
      </w:r>
      <w:bookmarkEnd w:id="2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本单位无机关运行经费。</w:t>
      </w:r>
      <w:bookmarkStart w:id="28" w:name="_Toc2707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b w:val="0"/>
          <w:bCs w:val="0"/>
          <w:i w:val="0"/>
          <w:caps w:val="0"/>
          <w:color w:val="333333"/>
          <w:spacing w:val="0"/>
          <w:kern w:val="0"/>
          <w:sz w:val="32"/>
          <w:szCs w:val="32"/>
          <w:lang w:val="en-US" w:eastAsia="zh-CN" w:bidi="en-AU"/>
        </w:rPr>
      </w:pPr>
      <w:r>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t>（二）政府采购情况</w:t>
      </w:r>
      <w:bookmarkEnd w:id="28"/>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本单位本年度无政府采购预算</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w:t>
      </w:r>
      <w:bookmarkStart w:id="29" w:name="_Toc23320"/>
    </w:p>
    <w:p>
      <w:pPr>
        <w:keepNext w:val="0"/>
        <w:keepLines w:val="0"/>
        <w:pageBreakBefore w:val="0"/>
        <w:widowControl w:val="0"/>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pPr>
      <w:r>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t>国有资产占有使用情况</w:t>
      </w:r>
      <w:bookmarkEnd w:id="29"/>
    </w:p>
    <w:p>
      <w:pPr>
        <w:keepNext w:val="0"/>
        <w:keepLines w:val="0"/>
        <w:pageBreakBefore w:val="0"/>
        <w:widowControl w:val="0"/>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截至2022年底，</w:t>
      </w: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昭化区妇幼保健院</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6</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辆，特种专业技术用车6辆，均为急诊急救车辆。单位价值100万元以上大型设备3台（套）。</w:t>
      </w:r>
      <w:bookmarkStart w:id="30" w:name="_Toc8220"/>
    </w:p>
    <w:p>
      <w:pPr>
        <w:keepNext w:val="0"/>
        <w:keepLines w:val="0"/>
        <w:pageBreakBefore w:val="0"/>
        <w:widowControl w:val="0"/>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pPr>
      <w:r>
        <w:rPr>
          <w:rFonts w:hint="eastAsia" w:ascii="Times New Roman" w:hAnsi="Times New Roman" w:eastAsia="仿宋_GB2312" w:cs="仿宋_GB2312"/>
          <w:b w:val="0"/>
          <w:bCs w:val="0"/>
          <w:i w:val="0"/>
          <w:caps w:val="0"/>
          <w:color w:val="333333"/>
          <w:spacing w:val="0"/>
          <w:kern w:val="0"/>
          <w:sz w:val="32"/>
          <w:szCs w:val="32"/>
          <w:shd w:val="clear" w:color="auto" w:fill="FFFFFF"/>
          <w:lang w:val="en-US" w:eastAsia="zh-CN" w:bidi="en-AU"/>
        </w:rPr>
        <w:t>绩效目标编制情况</w:t>
      </w:r>
      <w:bookmarkEnd w:id="30"/>
    </w:p>
    <w:p>
      <w:pPr>
        <w:keepNext w:val="0"/>
        <w:keepLines w:val="0"/>
        <w:pageBreakBefore w:val="0"/>
        <w:widowControl w:val="0"/>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val="0"/>
        <w:topLinePunct w:val="0"/>
        <w:autoSpaceDE/>
        <w:autoSpaceDN/>
        <w:bidi w:val="0"/>
        <w:adjustRightInd/>
        <w:snapToGrid/>
        <w:spacing w:beforeAutospacing="0" w:afterAutospacing="0" w:line="576" w:lineRule="exact"/>
        <w:ind w:right="0" w:rightChars="0" w:firstLine="640" w:firstLineChars="200"/>
        <w:jc w:val="both"/>
        <w:textAlignment w:val="auto"/>
        <w:rPr>
          <w:rFonts w:hint="default" w:ascii="Times New Roman" w:hAnsi="Times New Roman" w:eastAsia="仿宋_GB2312" w:cs="Times New Roman"/>
          <w:i w:val="0"/>
          <w:caps w:val="0"/>
          <w:color w:val="333333"/>
          <w:spacing w:val="0"/>
          <w:sz w:val="32"/>
          <w:szCs w:val="32"/>
          <w:highlight w:val="none"/>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 xml:space="preserve">绩效目标是预算编制的前提和基础，2023年昭化区妇幼保健院单位预算按申请项目资金年度预期达到的产出和效果，编制了“部门预算项目绩效目标申报表（2023年度）”，涉及项目 2个 （含单位定额公用经费），金额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10.56</w:t>
      </w: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bidi="en-AU"/>
        </w:rPr>
        <w:t xml:space="preserve"> 万元；按年度全部部门预算资金达到的总体产出和效果编制了“整体支出绩效目标申报表”。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hint="default" w:ascii="黑体" w:hAnsi="黑体" w:eastAsia="黑体" w:cs="黑体"/>
          <w:i w:val="0"/>
          <w:caps w:val="0"/>
          <w:color w:val="333333"/>
          <w:spacing w:val="0"/>
          <w:kern w:val="0"/>
          <w:sz w:val="32"/>
          <w:szCs w:val="32"/>
          <w:lang w:val="en-US" w:eastAsia="zh-CN" w:bidi="en-AU"/>
        </w:rPr>
      </w:pPr>
      <w:bookmarkStart w:id="31" w:name="_Toc16901"/>
      <w:r>
        <w:rPr>
          <w:rFonts w:hint="eastAsia" w:ascii="黑体" w:hAnsi="黑体" w:eastAsia="黑体" w:cs="黑体"/>
          <w:i w:val="0"/>
          <w:caps w:val="0"/>
          <w:color w:val="333333"/>
          <w:spacing w:val="0"/>
          <w:kern w:val="0"/>
          <w:sz w:val="32"/>
          <w:szCs w:val="32"/>
          <w:shd w:val="clear" w:color="auto" w:fill="FFFFFF"/>
          <w:lang w:val="en-US" w:eastAsia="zh-CN" w:bidi="en-AU"/>
        </w:rPr>
        <w:t>十一、名词解释</w:t>
      </w:r>
      <w:bookmarkEnd w:id="31"/>
      <w:bookmarkStart w:id="36" w:name="_GoBack"/>
      <w:bookmarkEnd w:id="3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kern w:val="0"/>
          <w:sz w:val="32"/>
          <w:szCs w:val="32"/>
          <w:lang w:val="en-US" w:eastAsia="zh-CN" w:bidi="en-AU"/>
        </w:rPr>
      </w:pPr>
      <w:bookmarkStart w:id="32" w:name="_Toc5531"/>
      <w:bookmarkStart w:id="33" w:name="_Toc10219"/>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（一）一般公共预算拨款收入：指省级财政当年拨付的资金。</w:t>
      </w:r>
      <w:bookmarkEnd w:id="32"/>
      <w:bookmarkEnd w:id="3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（二）上年结转：指以前年度尚未完成，结转到本年仍按原规定用途继续使用的资金。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（三）社会保障和就业（类）行政事业单位养老支出（款）事业单位离退休（项）：指事业单位离退休人员的支出。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（四）社会保障和就业（类）行政事业单位养老支出（款）机关事业单位基本养老保险缴费支出（项）：指实施养老保险制度由单位缴纳的养老保险的支出。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（五）社会保障和就业（类）行政事业单位养老支出（款）机关事业单位职业年金缴费支出（项）：指实施养老保险制度由单位缴纳的职业年金的支出。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（六）卫生健康（类）公共卫生（款）妇幼保健机构（项）：指单位人员工资福利支出、对个人和家庭的补助支出。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（七）卫生健康（类）公共卫生（款）重大公共卫生服务（项）：指单位实施免费婚检妇幼公共卫生项目支出。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（八）卫生健康（类）行政事业单位医疗（款）事业单位医疗（项）：指事业单位用于单位应缴纳基本医疗保险支出。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（十）基本支出：指为保证机构正常运转，完成日常工作任务而发生的人员支出和公用支出。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（十一）项目支出：指在基本支出之外为完成特定行政任务和事业发展目标所发生的支出。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十二）“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十三）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Times New Roman" w:hAnsi="Times New Roman" w:eastAsia="仿宋_GB2312" w:cs="仿宋_GB2312"/>
          <w:i w:val="0"/>
          <w:caps w:val="0"/>
          <w:color w:val="333333"/>
          <w:spacing w:val="0"/>
          <w:kern w:val="0"/>
          <w:sz w:val="32"/>
          <w:szCs w:val="32"/>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outlineLvl w:val="0"/>
        <w:rPr>
          <w:rFonts w:hint="eastAsia" w:ascii="Times New Roman" w:hAnsi="Times New Roman" w:eastAsia="仿宋_GB2312" w:cs="仿宋_GB2312"/>
          <w:i w:val="0"/>
          <w:caps w:val="0"/>
          <w:color w:val="333333"/>
          <w:spacing w:val="0"/>
          <w:kern w:val="0"/>
          <w:sz w:val="32"/>
          <w:szCs w:val="32"/>
          <w:lang w:val="en-US" w:eastAsia="zh-CN" w:bidi="en-AU"/>
        </w:rPr>
      </w:pPr>
      <w:bookmarkStart w:id="34" w:name="_Toc2647"/>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附件：1.部门预算公开表</w:t>
      </w:r>
      <w:bookmarkEnd w:id="3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1600" w:firstLineChars="500"/>
        <w:jc w:val="both"/>
        <w:textAlignment w:val="auto"/>
        <w:outlineLvl w:val="0"/>
        <w:rPr>
          <w:rFonts w:hint="default" w:ascii="Times New Roman" w:hAnsi="Times New Roman" w:eastAsia="仿宋_GB2312" w:cs="仿宋_GB2312"/>
          <w:i w:val="0"/>
          <w:caps w:val="0"/>
          <w:color w:val="333333"/>
          <w:spacing w:val="0"/>
          <w:kern w:val="0"/>
          <w:sz w:val="32"/>
          <w:szCs w:val="32"/>
          <w:lang w:val="en-US" w:eastAsia="zh-CN" w:bidi="en-AU"/>
        </w:rPr>
      </w:pPr>
      <w:bookmarkStart w:id="35" w:name="_Toc19285"/>
      <w:r>
        <w:rPr>
          <w:rFonts w:hint="eastAsia" w:ascii="Times New Roman" w:hAnsi="Times New Roman" w:eastAsia="仿宋_GB2312" w:cs="仿宋_GB2312"/>
          <w:i w:val="0"/>
          <w:caps w:val="0"/>
          <w:color w:val="333333"/>
          <w:spacing w:val="0"/>
          <w:kern w:val="0"/>
          <w:sz w:val="32"/>
          <w:szCs w:val="32"/>
          <w:shd w:val="clear" w:color="auto" w:fill="FFFFFF"/>
          <w:lang w:val="en-US" w:eastAsia="zh-CN" w:bidi="en-AU"/>
        </w:rPr>
        <w:t>2.部门预算绩效目标表</w:t>
      </w:r>
      <w:bookmarkEnd w:id="35"/>
    </w:p>
    <w:p>
      <w:pPr>
        <w:pageBreakBefore w:val="0"/>
        <w:kinsoku/>
        <w:wordWrap/>
        <w:overflowPunct/>
        <w:topLinePunct w:val="0"/>
        <w:autoSpaceDE/>
        <w:autoSpaceDN/>
        <w:bidi w:val="0"/>
        <w:adjustRightInd/>
        <w:snapToGrid/>
        <w:spacing w:line="576" w:lineRule="exact"/>
        <w:ind w:firstLine="420" w:firstLineChars="200"/>
        <w:jc w:val="both"/>
        <w:textAlignment w:val="auto"/>
        <w:rPr>
          <w:rFonts w:ascii="Times New Roman" w:hAnsi="Times New Roman" w:eastAsia="仿宋_GB2312"/>
        </w:rPr>
      </w:pPr>
    </w:p>
    <w:sectPr>
      <w:footerReference r:id="rId4"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6"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69CDD"/>
    <w:multiLevelType w:val="singleLevel"/>
    <w:tmpl w:val="9B369CDD"/>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cd03c003-f4a7-473d-b416-4b3a977c875b"/>
  </w:docVars>
  <w:rsids>
    <w:rsidRoot w:val="00000000"/>
    <w:rsid w:val="799F48A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
    <w:name w:val="标题 1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customStyle="1" w:styleId="6">
    <w:name w:val="标题 21"/>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customStyle="1" w:styleId="7">
    <w:name w:val="默认段落字体11"/>
    <w:uiPriority w:val="0"/>
  </w:style>
  <w:style w:type="table" w:customStyle="1" w:styleId="8">
    <w:name w:val="普通表格1"/>
    <w:semiHidden/>
    <w:qFormat/>
    <w:uiPriority w:val="0"/>
    <w:tblPr>
      <w:tblLayout w:type="fixed"/>
      <w:tblCellMar>
        <w:top w:w="0" w:type="dxa"/>
        <w:left w:w="108" w:type="dxa"/>
        <w:bottom w:w="0" w:type="dxa"/>
        <w:right w:w="108" w:type="dxa"/>
      </w:tblCellMar>
    </w:tblPr>
  </w:style>
  <w:style w:type="paragraph" w:customStyle="1" w:styleId="9">
    <w:name w:val="正文文本1"/>
    <w:basedOn w:val="1"/>
    <w:next w:val="1"/>
    <w:qFormat/>
    <w:uiPriority w:val="0"/>
    <w:pPr>
      <w:spacing w:before="0" w:after="140" w:line="276" w:lineRule="auto"/>
    </w:pPr>
  </w:style>
  <w:style w:type="paragraph" w:customStyle="1" w:styleId="10">
    <w:name w:val="题注1"/>
    <w:basedOn w:val="1"/>
    <w:uiPriority w:val="0"/>
    <w:pPr>
      <w:widowControl w:val="0"/>
      <w:suppressLineNumbers/>
      <w:suppressAutoHyphens/>
      <w:spacing w:before="120" w:after="120"/>
    </w:pPr>
    <w:rPr>
      <w:i/>
      <w:iCs/>
      <w:sz w:val="24"/>
      <w:szCs w:val="24"/>
    </w:rPr>
  </w:style>
  <w:style w:type="paragraph" w:customStyle="1" w:styleId="11">
    <w:name w:val="页脚1"/>
    <w:basedOn w:val="1"/>
    <w:qFormat/>
    <w:uiPriority w:val="0"/>
    <w:pPr>
      <w:tabs>
        <w:tab w:val="center" w:pos="4153"/>
        <w:tab w:val="right" w:pos="8306"/>
      </w:tabs>
      <w:snapToGrid w:val="0"/>
      <w:jc w:val="left"/>
    </w:pPr>
    <w:rPr>
      <w:sz w:val="18"/>
    </w:rPr>
  </w:style>
  <w:style w:type="paragraph" w:customStyle="1" w:styleId="12">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目录 11"/>
    <w:basedOn w:val="1"/>
    <w:next w:val="1"/>
    <w:qFormat/>
    <w:uiPriority w:val="0"/>
  </w:style>
  <w:style w:type="paragraph" w:customStyle="1" w:styleId="14">
    <w:name w:val="列表1"/>
    <w:basedOn w:val="9"/>
    <w:uiPriority w:val="0"/>
  </w:style>
  <w:style w:type="paragraph" w:customStyle="1" w:styleId="15">
    <w:name w:val="目录 21"/>
    <w:basedOn w:val="1"/>
    <w:next w:val="1"/>
    <w:uiPriority w:val="0"/>
    <w:pPr>
      <w:ind w:left="420" w:leftChars="200"/>
    </w:pPr>
  </w:style>
  <w:style w:type="paragraph" w:customStyle="1" w:styleId="16">
    <w:name w:val="普通(网站)1"/>
    <w:basedOn w:val="1"/>
    <w:qFormat/>
    <w:uiPriority w:val="0"/>
    <w:rPr>
      <w:sz w:val="24"/>
    </w:rPr>
  </w:style>
  <w:style w:type="character" w:customStyle="1" w:styleId="17">
    <w:name w:val="默认段落字体1"/>
    <w:uiPriority w:val="0"/>
  </w:style>
  <w:style w:type="paragraph" w:customStyle="1" w:styleId="18">
    <w:name w:val="Heading"/>
    <w:basedOn w:val="1"/>
    <w:next w:val="9"/>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uiPriority w:val="0"/>
    <w:pPr>
      <w:widowControl w:val="0"/>
      <w:suppressLineNumbers/>
      <w:suppressAutoHyphens/>
    </w:p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5156</Words>
  <Characters>5433</Characters>
  <TotalTime>157269122</TotalTime>
  <ScaleCrop>false</ScaleCrop>
  <LinksUpToDate>false</LinksUpToDate>
  <CharactersWithSpaces>5468</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2024-08-12T05:49:08Z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17E4686BAF894892AC8F701B46C7F8D6_13</vt:lpwstr>
  </property>
</Properties>
</file>