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bookmarkStart w:id="0" w:name="_Toc14984"/>
      <w:bookmarkStart w:id="1" w:name="_Toc12523"/>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广元市昭化区社区卫生服务中心</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Times New Roman" w:hAnsi="Times New Roman"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2023年单位预算编制说明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宋体" w:hAnsi="宋体" w:eastAsia="宋体" w:cs="宋体"/>
          <w:b/>
          <w:i w:val="0"/>
          <w:caps w:val="0"/>
          <w:color w:val="333333"/>
          <w:spacing w:val="0"/>
          <w:sz w:val="32"/>
          <w:szCs w:val="32"/>
        </w:rPr>
      </w:pPr>
      <w:r>
        <w:rPr>
          <w:rFonts w:hint="eastAsia" w:ascii="宋体" w:hAnsi="宋体" w:eastAsia="宋体" w:cs="宋体"/>
          <w:b/>
          <w:i w:val="0"/>
          <w:caps w:val="0"/>
          <w:color w:val="333333"/>
          <w:spacing w:val="0"/>
          <w:sz w:val="32"/>
          <w:szCs w:val="32"/>
          <w:shd w:val="clear" w:color="auto" w:fill="FFFFFF"/>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TOC \o "1-1" \h \u</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fldChar w:fldCharType="begin"/>
      </w:r>
      <w:r>
        <w:instrText xml:space="preserve"> HYPERLINK \l "_Toc1321"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一、基本职能及主要工作</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_Toc1321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1</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"_Toc1088"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二、部门预算单位构成</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_Toc1088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2</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"_Toc19441"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三、收支预算情况说明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_Toc19441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2</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"_Toc15533"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四、财政拨款收支预算情况说明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_Toc15533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3</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"_Toc3839"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五、一般公共预算当年拨款情况说明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_Toc3839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3</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"_Toc30378"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六、一般公共预算基本支出情况说明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_Toc30378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4</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"_Toc32567"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八、政府性基金预算支出情况说明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_Toc32567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5</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"_Toc21648"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九、国有资本经营预算支出情况说明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_Toc21648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5</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"_Toc15987"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十、其他重要事项的情况说明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_Toc15987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6</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1"/>
        <w:tabs>
          <w:tab w:val="right" w:leader="dot" w:pos="8845"/>
        </w:tabs>
      </w:pPr>
      <w:r>
        <w:fldChar w:fldCharType="begin"/>
      </w:r>
      <w:r>
        <w:instrText xml:space="preserve"> HYPERLINK \l "_Toc24115"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十一、名词解释</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instrText xml:space="preserve"> PAGEREF _Toc24115 \h </w:instrTex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6</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hAnsi="宋体" w:eastAsia="黑体" w:cs="黑体"/>
          <w:b/>
          <w:i w:val="0"/>
          <w:caps w:val="0"/>
          <w:spacing w:val="0"/>
          <w:kern w:val="0"/>
          <w:sz w:val="28"/>
          <w:szCs w:val="28"/>
          <w:lang w:val="en-US" w:eastAsia="zh-CN" w:bidi="en-AU"/>
        </w:rPr>
      </w:pPr>
      <w:r>
        <w:rPr>
          <w:rFonts w:hint="eastAsia" w:ascii="黑体" w:hAnsi="宋体" w:eastAsia="黑体" w:cs="黑体"/>
          <w:i w:val="0"/>
          <w:caps w:val="0"/>
          <w:spacing w:val="0"/>
          <w:kern w:val="0"/>
          <w:szCs w:val="28"/>
          <w:shd w:val="clear" w:color="auto" w:fill="FFFFFF"/>
          <w:lang w:val="en-US" w:eastAsia="zh-CN" w:bidi="en-AU"/>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ascii="黑体" w:hAnsi="宋体" w:eastAsia="黑体" w:cs="黑体"/>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jc w:val="both"/>
        <w:rPr>
          <w:rFonts w:ascii="黑体" w:hAnsi="宋体" w:eastAsia="黑体" w:cs="黑体"/>
          <w:i w:val="0"/>
          <w:caps w:val="0"/>
          <w:color w:val="333333"/>
          <w:spacing w:val="0"/>
          <w:kern w:val="0"/>
          <w:sz w:val="32"/>
          <w:szCs w:val="32"/>
          <w:lang w:val="en-US" w:eastAsia="zh-CN" w:bidi="en-AU"/>
        </w:rPr>
      </w:pPr>
    </w:p>
    <w:p>
      <w:pPr>
        <w:pStyle w:val="13"/>
        <w:ind w:hanging="640"/>
        <w:rPr>
          <w:rFonts w:ascii="黑体" w:hAnsi="宋体" w:eastAsia="黑体" w:cs="黑体"/>
          <w:i w:val="0"/>
          <w:caps w:val="0"/>
          <w:color w:val="333333"/>
          <w:spacing w:val="0"/>
          <w:kern w:val="0"/>
          <w:sz w:val="32"/>
          <w:szCs w:val="32"/>
          <w:lang w:val="en-US" w:eastAsia="zh-CN" w:bidi="en-AU"/>
        </w:rPr>
      </w:pPr>
    </w:p>
    <w:p>
      <w:pPr>
        <w:rPr>
          <w:rFonts w:ascii="黑体" w:hAnsi="宋体" w:eastAsia="黑体" w:cs="黑体"/>
          <w:i w:val="0"/>
          <w:caps w:val="0"/>
          <w:color w:val="333333"/>
          <w:spacing w:val="0"/>
          <w:kern w:val="0"/>
          <w:sz w:val="32"/>
          <w:szCs w:val="32"/>
          <w:lang w:val="en-US" w:eastAsia="zh-CN" w:bidi="en-AU"/>
        </w:rPr>
      </w:pPr>
    </w:p>
    <w:p>
      <w:pPr>
        <w:pStyle w:val="13"/>
        <w:ind w:hanging="640"/>
        <w:rPr>
          <w:rFonts w:ascii="黑体" w:hAnsi="宋体" w:eastAsia="黑体" w:cs="黑体"/>
          <w:i w:val="0"/>
          <w:caps w:val="0"/>
          <w:color w:val="333333"/>
          <w:spacing w:val="0"/>
          <w:kern w:val="0"/>
          <w:sz w:val="32"/>
          <w:szCs w:val="32"/>
          <w:lang w:val="en-US" w:eastAsia="zh-CN" w:bidi="en-AU"/>
        </w:rPr>
      </w:pPr>
    </w:p>
    <w:p>
      <w:pPr>
        <w:rPr>
          <w:rFonts w:ascii="黑体" w:hAnsi="宋体" w:eastAsia="黑体" w:cs="黑体"/>
          <w:i w:val="0"/>
          <w:caps w:val="0"/>
          <w:color w:val="333333"/>
          <w:spacing w:val="0"/>
          <w:kern w:val="0"/>
          <w:sz w:val="32"/>
          <w:szCs w:val="32"/>
          <w:lang w:val="en-US" w:eastAsia="zh-CN" w:bidi="en-AU"/>
        </w:rPr>
      </w:pPr>
    </w:p>
    <w:p>
      <w:pPr>
        <w:pStyle w:val="7"/>
        <w:rP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0"/>
        <w:rPr>
          <w:rFonts w:ascii="黑体" w:hAnsi="宋体" w:eastAsia="黑体" w:cs="黑体"/>
          <w:i w:val="0"/>
          <w:caps w:val="0"/>
          <w:color w:val="333333"/>
          <w:spacing w:val="0"/>
          <w:kern w:val="0"/>
          <w:sz w:val="32"/>
          <w:szCs w:val="32"/>
          <w:lang w:val="en-US" w:eastAsia="zh-CN" w:bidi="en-AU"/>
        </w:rPr>
        <w:sectPr>
          <w:pgSz w:w="11906" w:h="16838"/>
          <w:pgMar w:top="2098" w:right="1474" w:bottom="1984" w:left="1587" w:header="720" w:footer="720" w:gutter="0"/>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firstLine="320" w:firstLineChars="100"/>
        <w:jc w:val="both"/>
        <w:textAlignment w:val="auto"/>
        <w:outlineLvl w:val="0"/>
        <w:rPr>
          <w:rFonts w:hint="default" w:ascii="Times New Roman" w:hAnsi="Times New Roman" w:cs="Times New Roman"/>
          <w:i w:val="0"/>
          <w:caps w:val="0"/>
          <w:color w:val="333333"/>
          <w:spacing w:val="0"/>
          <w:sz w:val="32"/>
          <w:szCs w:val="32"/>
        </w:rPr>
      </w:pPr>
      <w:bookmarkStart w:id="2" w:name="_Toc1321"/>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2"/>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楷体_GB2312" w:eastAsia="楷体_GB2312" w:cs="楷体_GB2312"/>
          <w:b w:val="0"/>
          <w:bCs/>
          <w:i w:val="0"/>
          <w:caps w:val="0"/>
          <w:color w:val="333333"/>
          <w:spacing w:val="0"/>
          <w:sz w:val="32"/>
          <w:szCs w:val="32"/>
        </w:rPr>
      </w:pPr>
      <w:r>
        <w:rPr>
          <w:rFonts w:ascii="楷体_GB2312" w:eastAsia="楷体_GB2312" w:cs="楷体_GB2312"/>
          <w:b w:val="0"/>
          <w:bCs/>
          <w:i w:val="0"/>
          <w:caps w:val="0"/>
          <w:color w:val="333333"/>
          <w:spacing w:val="0"/>
          <w:sz w:val="32"/>
          <w:szCs w:val="32"/>
          <w:shd w:val="clear" w:color="auto" w:fill="FFFFFF"/>
        </w:rPr>
        <w:t>（一）</w:t>
      </w:r>
      <w:r>
        <w:rPr>
          <w:rFonts w:hint="eastAsia" w:ascii="楷体_GB2312" w:eastAsia="楷体_GB2312" w:cs="楷体_GB2312"/>
          <w:b w:val="0"/>
          <w:bCs/>
          <w:i w:val="0"/>
          <w:caps w:val="0"/>
          <w:color w:val="333333"/>
          <w:spacing w:val="0"/>
          <w:sz w:val="32"/>
          <w:szCs w:val="32"/>
          <w:shd w:val="clear" w:color="auto" w:fill="FFFFFF"/>
          <w:lang w:eastAsia="zh-CN"/>
        </w:rPr>
        <w:t>社区卫生服务中心</w:t>
      </w:r>
      <w:r>
        <w:rPr>
          <w:rFonts w:hint="eastAsia" w:ascii="楷体_GB2312" w:eastAsia="楷体_GB2312" w:cs="楷体_GB2312"/>
          <w:b w:val="0"/>
          <w:bCs/>
          <w:i w:val="0"/>
          <w:caps w:val="0"/>
          <w:color w:val="333333"/>
          <w:spacing w:val="0"/>
          <w:sz w:val="32"/>
          <w:szCs w:val="32"/>
          <w:shd w:val="clear" w:color="auto" w:fill="FFFFFF"/>
        </w:rPr>
        <w:t>职能简介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开展以社区为范围，家庭为单位，健康为中心，人的生命为过程的以老年、妇女、儿童和慢性病人为重点的集预防、医疗、保健、康复、健康教育、计划生育指导为一体的综合性社区卫生服务。</w:t>
      </w:r>
    </w:p>
    <w:p>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楷体_GB2312" w:eastAsia="楷体_GB2312" w:cs="楷体_GB2312"/>
          <w:b w:val="0"/>
          <w:bCs/>
          <w:i w:val="0"/>
          <w:caps w:val="0"/>
          <w:color w:val="333333"/>
          <w:spacing w:val="0"/>
          <w:sz w:val="32"/>
          <w:szCs w:val="32"/>
        </w:rPr>
      </w:pPr>
      <w:r>
        <w:rPr>
          <w:rFonts w:hint="eastAsia" w:ascii="楷体_GB2312" w:eastAsia="楷体_GB2312" w:cs="楷体_GB2312"/>
          <w:b w:val="0"/>
          <w:bCs/>
          <w:i w:val="0"/>
          <w:caps w:val="0"/>
          <w:color w:val="333333"/>
          <w:spacing w:val="0"/>
          <w:sz w:val="32"/>
          <w:szCs w:val="32"/>
          <w:shd w:val="clear" w:color="auto" w:fill="FFFFFF"/>
          <w:lang w:val="en-US" w:eastAsia="zh-CN"/>
        </w:rPr>
        <w:t>社区卫生服务中心</w:t>
      </w:r>
      <w:r>
        <w:rPr>
          <w:rFonts w:hint="eastAsia" w:ascii="楷体_GB2312" w:eastAsia="楷体_GB2312" w:cs="楷体_GB2312"/>
          <w:b w:val="0"/>
          <w:bCs/>
          <w:i w:val="0"/>
          <w:caps w:val="0"/>
          <w:color w:val="333333"/>
          <w:spacing w:val="0"/>
          <w:sz w:val="32"/>
          <w:szCs w:val="32"/>
          <w:shd w:val="clear" w:color="auto" w:fill="FFFFFF"/>
        </w:rPr>
        <w:t>202</w:t>
      </w:r>
      <w:r>
        <w:rPr>
          <w:rFonts w:hint="eastAsia" w:ascii="楷体_GB2312" w:eastAsia="楷体_GB2312" w:cs="楷体_GB2312"/>
          <w:b w:val="0"/>
          <w:bCs/>
          <w:i w:val="0"/>
          <w:caps w:val="0"/>
          <w:color w:val="333333"/>
          <w:spacing w:val="0"/>
          <w:sz w:val="32"/>
          <w:szCs w:val="32"/>
          <w:shd w:val="clear" w:color="auto" w:fill="FFFFFF"/>
          <w:lang w:val="en-US" w:eastAsia="zh-CN"/>
        </w:rPr>
        <w:t>3</w:t>
      </w:r>
      <w:r>
        <w:rPr>
          <w:rFonts w:hint="eastAsia" w:ascii="楷体_GB2312" w:eastAsia="楷体_GB2312" w:cs="楷体_GB2312"/>
          <w:b w:val="0"/>
          <w:bCs/>
          <w:i w:val="0"/>
          <w:caps w:val="0"/>
          <w:color w:val="333333"/>
          <w:spacing w:val="0"/>
          <w:sz w:val="32"/>
          <w:szCs w:val="32"/>
          <w:shd w:val="clear" w:color="auto" w:fill="FFFFFF"/>
        </w:rPr>
        <w:t>年重点工作</w:t>
      </w:r>
    </w:p>
    <w:p>
      <w:pPr>
        <w:keepNext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全年将</w:t>
      </w:r>
      <w:r>
        <w:rPr>
          <w:rFonts w:hint="eastAsia" w:ascii="仿宋_GB2312" w:hAnsi="仿宋_GB2312" w:eastAsia="仿宋_GB2312" w:cs="仿宋_GB2312"/>
          <w:sz w:val="32"/>
          <w:szCs w:val="32"/>
          <w:lang w:val="en-US" w:eastAsia="zh-CN" w:bidi="ar-SA"/>
        </w:rPr>
        <w:t>组织干部职工认真学习党章及省、市、区各级会议文件精神，深入开展党史学习教育，全年集中开展学习不少于12次，</w:t>
      </w:r>
      <w:r>
        <w:rPr>
          <w:rFonts w:hint="eastAsia" w:ascii="仿宋_GB2312" w:hAnsi="仿宋_GB2312" w:eastAsia="仿宋_GB2312" w:cs="仿宋_GB2312"/>
          <w:sz w:val="32"/>
          <w:szCs w:val="32"/>
          <w:lang w:val="en-US" w:eastAsia="zh-CN"/>
        </w:rPr>
        <w:t>其中开展党员教育学习4次，讲党课4次，开展主题党日10次，组织开展志愿者服务活动12次。</w:t>
      </w:r>
    </w:p>
    <w:p>
      <w:pPr>
        <w:keepNext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2.建立健全医疗废弃物管理制度，加强医疗废弃物的回收、储存、转运、分类收集工作，全部由专业公司集中无害化处理，污水处理设施正常运转。</w:t>
      </w:r>
    </w:p>
    <w:p>
      <w:pPr>
        <w:keepNext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巩固和推进公共卫生服务的各项工作和基本医疗工作。2023年，我中心将规范化建设基本公共卫生服务区，打造标准儿童保健室，开展基本公共卫生知识宣传12次，重点日期宣传18次，开展健康知识讲座不少于60次（含村级）。清理已建基本公共卫生电子档案并规范管理，规范管理高血压 1710人，糖尿病病人 401人，65岁以上老年人4603人、重精158人，规范管理孕产妇，加强免疫规划管理工作，0—6岁儿童建卡、建证率达100%，疫苗的购进、运输、保管、登记等符合要求，巩固数字化门诊成果，加强免疫规划疫苗管理与疫苗接种，积极推进免疫规划疫苗接种，降低疫苗针对性传染病发生，确保辖区内无重大公共卫生突发事件和重大传染病事件发生。继续加强新型冠状病毒疫苗接种。法定报告传染病发病率控</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en-AU"/>
        </w:rPr>
        <w:t>制在300/十万以内，</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规范结核病管理、治疗、转诊，各类统计报表规范完整并按时上报。孕产妇住院分娩率100%，年度内，孕产妇、育龄期妇女，儿童均零死亡。“三病”（梅毒、乙肝、艾滋病）阻断筛查监测10000余人次，各类统计报表规范完整并按时上报。</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3" w:name="_Toc1088"/>
      <w:r>
        <w:rPr>
          <w:rFonts w:hint="eastAsia" w:ascii="黑体" w:hAnsi="宋体" w:eastAsia="黑体" w:cs="黑体"/>
          <w:i w:val="0"/>
          <w:caps w:val="0"/>
          <w:color w:val="333333"/>
          <w:spacing w:val="0"/>
          <w:kern w:val="0"/>
          <w:sz w:val="32"/>
          <w:szCs w:val="32"/>
          <w:shd w:val="clear" w:color="auto" w:fill="FFFFFF"/>
          <w:lang w:val="en-US" w:eastAsia="zh-CN" w:bidi="en-AU"/>
        </w:rPr>
        <w:t>二、部门预算单位构成</w:t>
      </w:r>
      <w:bookmarkEnd w:id="3"/>
      <w:r>
        <w:rPr>
          <w:rFonts w:hint="eastAsia" w:ascii="黑体" w:hAnsi="宋体" w:eastAsia="黑体" w:cs="黑体"/>
          <w:i w:val="0"/>
          <w:caps w:val="0"/>
          <w:color w:val="333333"/>
          <w:spacing w:val="0"/>
          <w:kern w:val="0"/>
          <w:sz w:val="32"/>
          <w:szCs w:val="32"/>
          <w:shd w:val="clear" w:color="auto" w:fill="FFFFFF"/>
          <w:lang w:val="en-US" w:eastAsia="zh-CN" w:bidi="en-AU"/>
        </w:rPr>
        <w:tab/>
      </w:r>
    </w:p>
    <w:p>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昭化区社区服务中心为二级预算单位，隶属于广元市昭化区卫生健康局，为公益一类预算单位。</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4" w:name="_Toc19441"/>
      <w:r>
        <w:rPr>
          <w:rFonts w:hint="eastAsia" w:ascii="黑体" w:hAnsi="宋体" w:eastAsia="黑体" w:cs="黑体"/>
          <w:i w:val="0"/>
          <w:caps w:val="0"/>
          <w:color w:val="333333"/>
          <w:spacing w:val="0"/>
          <w:kern w:val="0"/>
          <w:sz w:val="32"/>
          <w:szCs w:val="32"/>
          <w:shd w:val="clear" w:color="auto" w:fill="FFFFFF"/>
          <w:lang w:val="en-US" w:eastAsia="zh-CN" w:bidi="en-AU"/>
        </w:rPr>
        <w:t>三、收支预算情况说明</w:t>
      </w:r>
      <w:bookmarkEnd w:id="4"/>
    </w:p>
    <w:p>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按照综合预算的原则，社区卫生服务中心所有收入和支出均纳入部门预算管理。收入包括：一般公共预算拨款收入；支出包括：社会保障和就业支出、卫生健康支出、住房保障支出。社区卫生服务中心2023年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万元,比2022年收支预算总数增加196.51万元，主要原因是2023年按照昭编委[2021]52号关于调整机构编制事项的批复，社区卫生中心合并了柳桥、紫云乡卫生院。</w:t>
      </w:r>
    </w:p>
    <w:p>
      <w:pPr>
        <w:keepNext w:val="0"/>
        <w:keepLines w:val="0"/>
        <w:pageBreakBefore w:val="0"/>
        <w:widowControl w:val="0"/>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收入预算情况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广元市昭化区社区卫生服务中心2023年收入预算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pPr>
        <w:keepNext w:val="0"/>
        <w:keepLines w:val="0"/>
        <w:pageBreakBefore w:val="0"/>
        <w:widowControl w:val="0"/>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支出预算情况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广元市昭化区社区卫生服务中心2023年支出预算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5" w:name="_Toc15533"/>
      <w:r>
        <w:rPr>
          <w:rFonts w:hint="eastAsia" w:ascii="黑体" w:hAnsi="宋体" w:eastAsia="黑体" w:cs="黑体"/>
          <w:i w:val="0"/>
          <w:caps w:val="0"/>
          <w:color w:val="333333"/>
          <w:spacing w:val="0"/>
          <w:kern w:val="0"/>
          <w:sz w:val="32"/>
          <w:szCs w:val="32"/>
          <w:shd w:val="clear" w:color="auto" w:fill="FFFFFF"/>
          <w:lang w:val="en-US" w:eastAsia="zh-CN" w:bidi="en-AU"/>
        </w:rPr>
        <w:t>四、财政拨款收支预算情况说明</w:t>
      </w:r>
      <w:bookmarkEnd w:id="5"/>
    </w:p>
    <w:p>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广元市昭化区社区卫生服务中心2023年财政拨款收支总预算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万元,比2022年财政拨款收支总预算增加196.51万元，主要原因是2023年按照昭编委[2021]52号关于调整机构编制事项的批复，社区卫生中心合并了柳桥、紫云乡卫生院。</w:t>
      </w:r>
    </w:p>
    <w:p>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收入包括：本年一般公共预算拨款收入390.6万元；支出包括：社会保障和就业支出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54.92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301.98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万元、住房保障支出</w:t>
      </w:r>
      <w:r>
        <w:rPr>
          <w:rFonts w:hint="eastAsia" w:ascii="Times New Roman" w:hAnsi="Times New Roman" w:cs="Times New Roman"/>
          <w:i w:val="0"/>
          <w:caps w:val="0"/>
          <w:color w:val="333333"/>
          <w:spacing w:val="0"/>
          <w:kern w:val="0"/>
          <w:sz w:val="32"/>
          <w:szCs w:val="32"/>
          <w:shd w:val="clear" w:color="auto" w:fill="FFFFFF"/>
          <w:lang w:val="en-US" w:eastAsia="zh-CN" w:bidi="en-AU"/>
        </w:rPr>
        <w:t>33.69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6" w:name="_Toc3839"/>
      <w:r>
        <w:rPr>
          <w:rFonts w:hint="eastAsia" w:ascii="黑体" w:hAnsi="宋体" w:eastAsia="黑体" w:cs="黑体"/>
          <w:i w:val="0"/>
          <w:caps w:val="0"/>
          <w:color w:val="333333"/>
          <w:spacing w:val="0"/>
          <w:kern w:val="0"/>
          <w:sz w:val="32"/>
          <w:szCs w:val="32"/>
          <w:shd w:val="clear" w:color="auto" w:fill="FFFFFF"/>
          <w:lang w:val="en-US" w:eastAsia="zh-CN" w:bidi="en-AU"/>
        </w:rPr>
        <w:t>五、一般公共预算当年拨款情况说明</w:t>
      </w:r>
      <w:bookmarkEnd w:id="6"/>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仿宋_GB2312" w:hAnsi="Times New Roman" w:eastAsia="仿宋_GB2312" w:cs="仿宋_GB2312"/>
          <w:b/>
          <w:bCs/>
          <w:i w:val="0"/>
          <w:caps w:val="0"/>
          <w:color w:val="333333"/>
          <w:spacing w:val="0"/>
          <w:kern w:val="0"/>
          <w:sz w:val="32"/>
          <w:szCs w:val="32"/>
          <w:lang w:val="en-US" w:eastAsia="zh-CN" w:bidi="en-AU"/>
        </w:rPr>
      </w:pP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en-AU"/>
        </w:rPr>
        <w:t>（一）一般公共预算当年拨款规模变化情况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b w:val="0"/>
          <w:bCs w:val="0"/>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广元市昭化区社区卫生服务中心2023年一般公共预算当年拨款390.6万元，比2022年预算数增加196.51万元，主要原因是</w:t>
      </w:r>
      <w:bookmarkStart w:id="12" w:name="_GoBack"/>
      <w:bookmarkEnd w:id="12"/>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2023年按照昭编委[2021]5号关于调整机构编制事项的批复，社区卫生中心合并了柳桥</w:t>
      </w: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en-AU"/>
        </w:rPr>
        <w:t>、</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en-AU"/>
        </w:rPr>
        <w:t>紫云乡卫生院。</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b/>
          <w:bCs/>
          <w:i w:val="0"/>
          <w:caps w:val="0"/>
          <w:color w:val="333333"/>
          <w:spacing w:val="0"/>
          <w:kern w:val="0"/>
          <w:sz w:val="32"/>
          <w:szCs w:val="32"/>
          <w:lang w:val="en-US" w:eastAsia="zh-CN" w:bidi="en-AU"/>
        </w:rPr>
      </w:pP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en-AU"/>
        </w:rPr>
        <w:t>（二）一般公共预算当年拨款结构情况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b w:val="0"/>
          <w:bCs w:val="0"/>
          <w:i w:val="0"/>
          <w:caps w:val="0"/>
          <w:color w:val="333333"/>
          <w:spacing w:val="0"/>
          <w:kern w:val="0"/>
          <w:sz w:val="32"/>
          <w:szCs w:val="32"/>
          <w:lang w:val="en-US" w:eastAsia="zh-CN" w:bidi="en-AU"/>
        </w:rPr>
      </w:pP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en-AU"/>
        </w:rPr>
        <w:t>社会保障和就业支出54.92万元，占14.06%；卫生健康支出301.98万元，占77.31%；住房保障支出</w:t>
      </w:r>
      <w:r>
        <w:rPr>
          <w:rFonts w:hint="eastAsia" w:ascii="Times New Roman" w:hAnsi="Times New Roman" w:cs="Times New Roman"/>
          <w:b w:val="0"/>
          <w:bCs w:val="0"/>
          <w:i w:val="0"/>
          <w:caps w:val="0"/>
          <w:color w:val="333333"/>
          <w:spacing w:val="0"/>
          <w:kern w:val="0"/>
          <w:sz w:val="32"/>
          <w:szCs w:val="32"/>
          <w:shd w:val="clear" w:color="auto" w:fill="FFFFFF"/>
          <w:lang w:val="en-US" w:eastAsia="zh-CN" w:bidi="en-AU"/>
        </w:rPr>
        <w:t>33.69</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b w:val="0"/>
          <w:bCs w:val="0"/>
          <w:i w:val="0"/>
          <w:caps w:val="0"/>
          <w:color w:val="333333"/>
          <w:spacing w:val="0"/>
          <w:kern w:val="0"/>
          <w:sz w:val="32"/>
          <w:szCs w:val="32"/>
          <w:shd w:val="clear" w:color="auto" w:fill="FFFFFF"/>
          <w:lang w:val="en-US" w:eastAsia="zh-CN" w:bidi="en-AU"/>
        </w:rPr>
        <w:t>8.6</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en-AU"/>
        </w:rPr>
        <w:t>%。</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（三）一般公共预算当年拨款具体使用情况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1.社会保障和就业（类）行政事业单位养老支出（款）事业单位离退休（项）2023年预算数为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万元，主要用于：事业单位离退休人员经费支出。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2.社会保障和就业（类）行政事业单位养老支出（款）机关事业单位基本养老保险缴费支出（项）2023年预算数为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44.92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万元，主要用于：实施养老保险制度由单位缴纳的基本养老保险支出。</w:t>
      </w:r>
    </w:p>
    <w:p>
      <w:pPr>
        <w:keepNext w:val="0"/>
        <w:keepLines/>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3.卫生健康（类）行政事业单位医疗（款）事业单位医疗（项）2023年预算数为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17.99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en-AU"/>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，主要用于：部门下属事业单位按规定由单位缴纳的基本医疗保险支出。</w:t>
      </w:r>
    </w:p>
    <w:p>
      <w:pPr>
        <w:keepNext w:val="0"/>
        <w:keepLines/>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4.住房保障（类）住房改革支出（款）住房公积金（项）2023年预算数为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33.69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万元，主要用于：部门按规定为职工缴纳的住房公积金支出。</w:t>
      </w:r>
    </w:p>
    <w:p>
      <w:pPr>
        <w:keepNext w:val="0"/>
        <w:keepLines/>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5.卫生健康（类）行政事业单位医疗（款）其他（项）2023年预算数为284万元，主要用于：本单位工资待遇。</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7" w:name="_Toc30378"/>
      <w:r>
        <w:rPr>
          <w:rFonts w:hint="eastAsia" w:ascii="黑体" w:hAnsi="宋体" w:eastAsia="黑体" w:cs="黑体"/>
          <w:i w:val="0"/>
          <w:caps w:val="0"/>
          <w:color w:val="333333"/>
          <w:spacing w:val="0"/>
          <w:kern w:val="0"/>
          <w:sz w:val="32"/>
          <w:szCs w:val="32"/>
          <w:shd w:val="clear" w:color="auto" w:fill="FFFFFF"/>
          <w:lang w:val="en-US" w:eastAsia="zh-CN" w:bidi="en-AU"/>
        </w:rPr>
        <w:t>六、一般公共预算基本支出情况说明</w:t>
      </w:r>
      <w:bookmarkEnd w:id="7"/>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广元市昭化区社区卫生服务中心2023年一般公共预算基本支出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万元，其中：人员经费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390.6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包括：基本工资117.72万元、绩效工资80.62万元、津贴补贴3.42万元、奖金79.01万元、社会保险缴费3.23万元、养老保险缴费44.92万元、医疗保险缴费17.99万元、对个人和家庭的补助10万元、住房公积金33.69万元等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公用经费0万元。</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七“三公”经费财政拨款预算安排情况说明</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昭化区社区卫生服务中心2023年“三公”经费财政拨款预算数0万元（2023年无三公经费预算安排），其中公务接待0万元，公务用车购置及运行维护0万元，因公出国（境）经费0万元。</w:t>
      </w:r>
    </w:p>
    <w:p>
      <w:pPr>
        <w:keepNext w:val="0"/>
        <w:keepLines w:val="0"/>
        <w:pageBreakBefore w:val="0"/>
        <w:widowControl w:val="0"/>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公务接待费与2022年预算相比。</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2023年本单位无公务接待费预算，与2022年预算相比持平。</w:t>
      </w:r>
    </w:p>
    <w:p>
      <w:pPr>
        <w:keepNext w:val="0"/>
        <w:keepLines w:val="0"/>
        <w:pageBreakBefore w:val="0"/>
        <w:widowControl w:val="0"/>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仿宋_GB2312" w:hAnsi="Times New Roman" w:eastAsia="仿宋_GB2312" w:cs="仿宋_GB2312"/>
          <w:b/>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公务用车购置及运行维护费与2022年预算相比。</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仿宋_GB2312" w:hAnsi="Times New Roman" w:eastAsia="仿宋_GB2312" w:cs="仿宋_GB2312"/>
          <w:b/>
          <w:bCs/>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2023年本单位无公务用车购置及运行维护费预算，与2022年预算相比持平。 </w:t>
      </w: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 xml:space="preserve"> </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lang w:val="en-US" w:eastAsia="zh-CN"/>
        </w:rPr>
      </w:pP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en-AU"/>
        </w:rPr>
        <w:t>（三）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en-AU"/>
        </w:rPr>
        <w:t>因公出国（境）经费</w:t>
      </w:r>
      <w:r>
        <w:rPr>
          <w:rFonts w:hint="eastAsia" w:ascii="楷体_GB2312" w:hAnsi="Times New Roman" w:eastAsia="楷体_GB2312" w:cs="楷体_GB2312"/>
          <w:b w:val="0"/>
          <w:bCs w:val="0"/>
          <w:i w:val="0"/>
          <w:caps w:val="0"/>
          <w:color w:val="333333"/>
          <w:spacing w:val="0"/>
          <w:kern w:val="0"/>
          <w:sz w:val="32"/>
          <w:szCs w:val="32"/>
          <w:shd w:val="clear" w:color="auto" w:fill="FFFFFF"/>
          <w:lang w:val="en-US" w:eastAsia="zh-CN" w:bidi="en-AU"/>
        </w:rPr>
        <w:t>与2022年预算相比。</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2023年本单位无因公出国（境）经费预算，与2022年预算相比持平。</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8" w:name="_Toc32567"/>
      <w:r>
        <w:rPr>
          <w:rFonts w:hint="eastAsia" w:ascii="黑体" w:hAnsi="宋体" w:eastAsia="黑体" w:cs="黑体"/>
          <w:i w:val="0"/>
          <w:caps w:val="0"/>
          <w:color w:val="333333"/>
          <w:spacing w:val="0"/>
          <w:kern w:val="0"/>
          <w:sz w:val="32"/>
          <w:szCs w:val="32"/>
          <w:shd w:val="clear" w:color="auto" w:fill="FFFFFF"/>
          <w:lang w:val="en-US" w:eastAsia="zh-CN" w:bidi="en-AU"/>
        </w:rPr>
        <w:t>八、政府性基金预算支出情况说明</w:t>
      </w:r>
      <w:bookmarkEnd w:id="8"/>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广元市昭化区社区卫生服务中心2023年无政府性基金预算拨款安排的支出。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9" w:name="_Toc21648"/>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9"/>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广元市昭化区社区卫生服务中心2023年没有使用国有资本经营预算拨款安排的支出。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0" w:name="_Toc15987"/>
      <w:r>
        <w:rPr>
          <w:rFonts w:hint="eastAsia" w:ascii="黑体" w:hAnsi="宋体" w:eastAsia="黑体" w:cs="黑体"/>
          <w:i w:val="0"/>
          <w:caps w:val="0"/>
          <w:color w:val="333333"/>
          <w:spacing w:val="0"/>
          <w:kern w:val="0"/>
          <w:sz w:val="32"/>
          <w:szCs w:val="32"/>
          <w:shd w:val="clear" w:color="auto" w:fill="FFFFFF"/>
          <w:lang w:val="en-US" w:eastAsia="zh-CN" w:bidi="en-AU"/>
        </w:rPr>
        <w:t>十、其他重要事项的情况说明</w:t>
      </w:r>
      <w:bookmarkEnd w:id="10"/>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（一）机关运行经费</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社区卫生服务中心2023年无运行经费。</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tabs>
          <w:tab w:val="left" w:pos="1209"/>
        </w:tabs>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（二）政府采购情况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2023年，社区卫生服务中心安排政府采购预算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pageBreakBefore w:val="0"/>
        <w:widowControl w:val="0"/>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国有资产占有使用情况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楷体_GB2312" w:hAnsi="Times New Roman" w:eastAsia="楷体_GB2312" w:cs="楷体_GB2312"/>
          <w:b/>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截至2022年底，社区卫生服务中心共有特种车辆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辆（核酸采样车）。单位价值100万元以上大型设备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台（套）。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（四）绩效目标编制情况</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绩效目标是预算编制的前提和基础，2023年社区卫生服务中心部门预算按申请项目资金年度预期达到的产出和效果,编制了“部门预算项目绩效目标申报表（2023年度）”，涉及项目  0个 （含单位定额公用经费），金额 0 万元;按年度全部部门预算资金达到的总体产出和效果编制了“整体支出绩效目标申报表”。</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1" w:name="_Toc24115"/>
      <w:r>
        <w:rPr>
          <w:rFonts w:hint="eastAsia" w:ascii="黑体" w:hAnsi="宋体" w:eastAsia="黑体" w:cs="黑体"/>
          <w:i w:val="0"/>
          <w:caps w:val="0"/>
          <w:color w:val="333333"/>
          <w:spacing w:val="0"/>
          <w:kern w:val="0"/>
          <w:sz w:val="32"/>
          <w:szCs w:val="32"/>
          <w:shd w:val="clear" w:color="auto" w:fill="FFFFFF"/>
          <w:lang w:val="en-US" w:eastAsia="zh-CN" w:bidi="en-AU"/>
        </w:rPr>
        <w:t>十一、名词解释</w:t>
      </w:r>
      <w:bookmarkEnd w:id="11"/>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（一）一般公共预算拨款收入：指区级财政当年拨付的资金。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（二）上年结转：指以前年度尚未完成，结转到本年仍按原规定用途继续使用的资金。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（三）社会保障和就业（类）行政事业单位养老支出（款）事业单位离退休（项）：指事业单位离退休人员的支出。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（四）社会保障和就业（类）行政事业单位养老支出（款）机关事业单位基本养老保险缴费支出（项）：指部门实施养老保险制度由单位缴纳的养老保险的支出。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（五）社会保障和就业（类）行政事业单位养老支出（款）机关事业单位职业年金缴费支出（项）：指部门实施养老保险制度由单位缴纳的职业年金的支出。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（六）卫生健康（类）行政事业单位医疗（款）事业单位医疗（项）：指事业单位用于单位应缴纳基本医疗保险支出。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（七）住房保障（类）住房改革支出（款）住房公积金（项）：指按照《住房公积金管理条例》的规定，由单位及其在职职工缴存的长期住房储金。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（八）基本支出：指为保证机构正常运转，完成日常工作任务而发生的人员支出和公用支出。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（九）项目支出：指在基本支出之外为完成特定行政任务和事业发展目标所发生的支出。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十）“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一）单位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附件：部门预算公开表</w:t>
      </w:r>
    </w:p>
    <w:sectPr>
      <w:footerReference r:id="rId3" w:type="default"/>
      <w:pgSz w:w="11906" w:h="16838"/>
      <w:pgMar w:top="2098" w:right="1474" w:bottom="1984" w:left="1587" w:header="720" w:footer="720" w:gutter="0"/>
      <w:pgNumType w:fmt="decimal"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3" o:spid="_x0000_s2049" o:spt="202" type="#_x0000_t202" style="position:absolute;left:0pt;margin-top:0pt;height:144pt;width:144pt;mso-position-horizontal:center;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1"/>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abstractNum w:abstractNumId="2">
    <w:nsid w:val="59ADCABA"/>
    <w:multiLevelType w:val="singleLevel"/>
    <w:tmpl w:val="59ADCAB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daee25c2-a961-4e24-b795-11a673a5ea20"/>
  </w:docVars>
  <w:rsids>
    <w:rsidRoot w:val="00000000"/>
    <w:rsid w:val="758221E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1"/>
    <w:uiPriority w:val="0"/>
  </w:style>
  <w:style w:type="table" w:customStyle="1" w:styleId="6">
    <w:name w:val="普通表格1"/>
    <w:semiHidden/>
    <w:qFormat/>
    <w:uiPriority w:val="0"/>
    <w:tblPr>
      <w:tblLayout w:type="fixed"/>
      <w:tblCellMar>
        <w:top w:w="0" w:type="dxa"/>
        <w:left w:w="108" w:type="dxa"/>
        <w:bottom w:w="0" w:type="dxa"/>
        <w:right w:w="108" w:type="dxa"/>
      </w:tblCellMar>
    </w:tblPr>
  </w:style>
  <w:style w:type="paragraph" w:customStyle="1" w:styleId="7">
    <w:name w:val="正文文本1"/>
    <w:basedOn w:val="1"/>
    <w:next w:val="1"/>
    <w:qFormat/>
    <w:uiPriority w:val="0"/>
    <w:pPr>
      <w:spacing w:before="0" w:after="140" w:line="276" w:lineRule="auto"/>
    </w:pPr>
  </w:style>
  <w:style w:type="paragraph" w:customStyle="1" w:styleId="8">
    <w:name w:val="题注1"/>
    <w:basedOn w:val="1"/>
    <w:uiPriority w:val="0"/>
    <w:pPr>
      <w:widowControl w:val="0"/>
      <w:suppressLineNumbers/>
      <w:suppressAutoHyphens/>
      <w:spacing w:before="120" w:after="120"/>
    </w:pPr>
    <w:rPr>
      <w:i/>
      <w:iCs/>
      <w:sz w:val="24"/>
      <w:szCs w:val="24"/>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目录 11"/>
    <w:basedOn w:val="1"/>
    <w:next w:val="1"/>
    <w:qFormat/>
    <w:uiPriority w:val="0"/>
  </w:style>
  <w:style w:type="paragraph" w:customStyle="1" w:styleId="12">
    <w:name w:val="列表1"/>
    <w:basedOn w:val="7"/>
    <w:uiPriority w:val="0"/>
  </w:style>
  <w:style w:type="paragraph" w:customStyle="1" w:styleId="13">
    <w:name w:val="图表目录1"/>
    <w:basedOn w:val="1"/>
    <w:next w:val="1"/>
    <w:qFormat/>
    <w:uiPriority w:val="0"/>
    <w:pPr>
      <w:ind w:left="200" w:leftChars="200" w:hanging="200" w:hangingChars="200"/>
    </w:pPr>
  </w:style>
  <w:style w:type="paragraph" w:customStyle="1" w:styleId="14">
    <w:name w:val="普通(网站)1"/>
    <w:basedOn w:val="1"/>
    <w:qFormat/>
    <w:uiPriority w:val="0"/>
    <w:rPr>
      <w:sz w:val="24"/>
    </w:rPr>
  </w:style>
  <w:style w:type="character" w:customStyle="1" w:styleId="15">
    <w:name w:val="默认段落字体1"/>
    <w:uiPriority w:val="0"/>
  </w:style>
  <w:style w:type="paragraph" w:customStyle="1" w:styleId="16">
    <w:name w:val="Index"/>
    <w:basedOn w:val="1"/>
    <w:uiPriority w:val="0"/>
    <w:pPr>
      <w:widowControl w:val="0"/>
      <w:suppressLineNumbers/>
      <w:suppressAutoHyphens/>
    </w:pPr>
  </w:style>
  <w:style w:type="paragraph" w:customStyle="1" w:styleId="17">
    <w:name w:val="Heading"/>
    <w:basedOn w:val="1"/>
    <w:next w:val="7"/>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3471</Words>
  <Characters>3794</Characters>
  <TotalTime>1</TotalTime>
  <ScaleCrop>false</ScaleCrop>
  <LinksUpToDate>false</LinksUpToDate>
  <CharactersWithSpaces>3869</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2024-08-12T06:13:18Z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441DB89E0014474CB6A0BFE1A89B5301_13</vt:lpwstr>
  </property>
</Properties>
</file>