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bookmarkStart w:id="0" w:name="_Toc26244"/>
      <w:bookmarkStart w:id="1" w:name="_Toc29395"/>
      <w:bookmarkStart w:id="2" w:name="_Toc888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bookmarkStart w:id="3" w:name="_Toc4902"/>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广元市昭化区青牛镇卫生院</w:t>
      </w:r>
      <w:bookmarkEnd w:id="0"/>
      <w:bookmarkEnd w:id="1"/>
      <w:bookmarkEnd w:id="2"/>
      <w:bookmarkEnd w:id="3"/>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2023年部门预算编制说明</w:t>
      </w:r>
    </w:p>
    <w:p>
      <w:pPr>
        <w:pStyle w:val="7"/>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jc w:val="both"/>
        <w:rPr>
          <w:rFonts w:hint="eastAsia" w:ascii="方正小标宋简体" w:hAnsi="方正小标宋简体" w:eastAsia="方正小标宋简体" w:cs="方正小标宋简体"/>
          <w:i w:val="0"/>
          <w:caps w:val="0"/>
          <w:color w:val="333333"/>
          <w:spacing w:val="0"/>
          <w:kern w:val="0"/>
          <w:sz w:val="40"/>
          <w:szCs w:val="40"/>
          <w:lang w:val="en-US" w:eastAsia="zh-CN" w:bidi="en-AU"/>
        </w:rPr>
        <w:sectPr>
          <w:pgSz w:w="11906" w:h="16838"/>
          <w:pgMar w:top="2098" w:right="1474" w:bottom="1984" w:left="1587" w:header="720" w:footer="720" w:gutter="0"/>
          <w:pgNumType w:fmt="decimal"/>
          <w:docGrid w:type="lines" w:linePitch="312" w:charSpace="0"/>
        </w:sect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jc w:val="both"/>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r>
        <w:rPr>
          <w:rFonts w:hint="eastAsia" w:ascii="方正小标宋简体" w:hAnsi="方正小标宋简体" w:eastAsia="方正小标宋简体" w:cs="方正小标宋简体"/>
          <w:i w:val="0"/>
          <w:caps w:val="0"/>
          <w:color w:val="333333"/>
          <w:spacing w:val="0"/>
          <w:kern w:val="0"/>
          <w:sz w:val="40"/>
          <w:szCs w:val="40"/>
          <w:shd w:val="clear" w:color="auto" w:fill="FFFFFF"/>
          <w:lang w:val="en-US" w:eastAsia="zh-CN" w:bidi="en-AU"/>
        </w:rPr>
        <w:t>目  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jc w:val="center"/>
        <w:rPr>
          <w:rFonts w:hint="eastAsia" w:ascii="黑体" w:hAnsi="宋体" w:eastAsia="黑体" w:cs="黑体"/>
          <w:b/>
          <w:i w:val="0"/>
          <w:caps w:val="0"/>
          <w:spacing w:val="0"/>
          <w:kern w:val="0"/>
          <w:sz w:val="28"/>
          <w:szCs w:val="28"/>
          <w:lang w:val="en-US" w:eastAsia="zh-CN" w:bidi="en-AU"/>
        </w:rPr>
      </w:pP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TOC \o "1-2" \h \u</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p>
    <w:p>
      <w:pPr>
        <w:spacing w:before="0" w:beforeLines="0" w:after="0" w:afterLines="0" w:line="240" w:lineRule="auto"/>
        <w:ind w:left="0" w:leftChars="0" w:right="0" w:rightChars="0" w:firstLine="0" w:firstLineChars="0"/>
        <w:jc w:val="both"/>
        <w:rPr>
          <w:rFonts w:hint="eastAsia" w:ascii="黑体" w:hAnsi="宋体" w:eastAsia="黑体" w:cs="黑体"/>
          <w:b/>
          <w:i w:val="0"/>
          <w:caps w:val="0"/>
          <w:spacing w:val="0"/>
          <w:kern w:val="0"/>
          <w:sz w:val="28"/>
          <w:szCs w:val="28"/>
          <w:lang w:val="en-US" w:eastAsia="zh-CN" w:bidi="en-AU"/>
        </w:rPr>
      </w:pPr>
    </w:p>
    <w:p>
      <w:pPr>
        <w:pStyle w:val="18"/>
        <w:tabs>
          <w:tab w:val="right" w:leader="dot" w:pos="8306"/>
        </w:tabs>
        <w:rPr>
          <w:rFonts w:hint="eastAsia" w:ascii="黑体" w:hAnsi="宋体" w:eastAsia="黑体" w:cs="黑体"/>
          <w:b/>
          <w:i w:val="0"/>
          <w:caps w:val="0"/>
          <w:spacing w:val="0"/>
          <w:kern w:val="0"/>
          <w:sz w:val="28"/>
          <w:szCs w:val="28"/>
          <w:lang w:val="en-US" w:eastAsia="zh-CN" w:bidi="en-AU"/>
        </w:rPr>
      </w:pP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TOC \o "1-1" \h \u</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fldChar w:fldCharType="begin"/>
      </w:r>
      <w:r>
        <w:instrText xml:space="preserve"> HYPERLINK \l "_Toc15186"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一、基本职能及主要工作</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_Toc15186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3</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8"/>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"_Toc13738"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二、部门预算单位构成</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_Toc13738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6</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8"/>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"_Toc2093"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三、收支预算情况说明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_Toc2093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6</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8"/>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"_Toc12290"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四、财政拨款收支预算情况说明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_Toc12290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6</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8"/>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"_Toc12438"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五、一般公共预算当年拨款情况说明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_Toc12438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7</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8"/>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"_Toc1048"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六、一般公共预算基本支出情况说明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_Toc1048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8</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8"/>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"_Toc4487"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七、“三公”经费财政拨款预算安排情况说明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_Toc4487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9</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8"/>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"_Toc31305"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八、政府性基金预算支出情况说明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_Toc31305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9</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8"/>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"_Toc20995"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九、国有资本经营预算支出情况说明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_Toc20995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9</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8"/>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"_Toc1345"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十、其他重要事项的情况说明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_Toc1345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10</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8"/>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"_Toc10995"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十一、名词解释</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_Toc10995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10</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rPr>
          <w:rFonts w:hint="eastAsia" w:ascii="黑体" w:hAnsi="宋体" w:eastAsia="黑体" w:cs="黑体"/>
          <w:b/>
          <w:i w:val="0"/>
          <w:caps w:val="0"/>
          <w:spacing w:val="0"/>
          <w:kern w:val="0"/>
          <w:sz w:val="28"/>
          <w:szCs w:val="28"/>
          <w:lang w:val="en-US" w:eastAsia="zh-CN" w:bidi="en-AU"/>
        </w:rPr>
      </w:pP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rPr>
          <w:rFonts w:ascii="黑体" w:hAnsi="宋体" w:eastAsia="黑体" w:cs="黑体"/>
          <w:i w:val="0"/>
          <w:caps w:val="0"/>
          <w:color w:val="333333"/>
          <w:spacing w:val="0"/>
          <w:kern w:val="0"/>
          <w:sz w:val="32"/>
          <w:szCs w:val="32"/>
          <w:lang w:val="en-US" w:eastAsia="zh-CN" w:bidi="en-AU"/>
        </w:rPr>
        <w:sectPr>
          <w:footerReference r:id="rId3" w:type="default"/>
          <w:pgSz w:w="11906" w:h="16838"/>
          <w:pgMar w:top="2098" w:right="1474" w:bottom="1984" w:left="1587" w:header="720" w:footer="720" w:gutter="0"/>
          <w:pgNumType w:fmt="decimal" w:start="1"/>
          <w:docGrid w:type="lines" w:linePitch="312" w:charSpace="0"/>
        </w:sectPr>
      </w:pPr>
      <w:r>
        <w:rPr>
          <w:rFonts w:hint="eastAsia" w:ascii="黑体" w:hAnsi="宋体" w:eastAsia="黑体" w:cs="黑体"/>
          <w:b/>
          <w:i w:val="0"/>
          <w:caps w:val="0"/>
          <w:spacing w:val="0"/>
          <w:kern w:val="0"/>
          <w:sz w:val="28"/>
          <w:szCs w:val="28"/>
          <w:shd w:val="clear" w:color="auto" w:fill="FFFFFF"/>
          <w:lang w:val="en-US" w:eastAsia="zh-CN" w:bidi="en-AU"/>
        </w:rPr>
        <w:fldChar w:fldCharType="end"/>
      </w:r>
      <w:bookmarkStart w:id="4" w:name="_Toc760"/>
      <w:bookmarkStart w:id="5" w:name="_Toc15186"/>
      <w:bookmarkStart w:id="6" w:name="_Toc16287"/>
      <w:bookmarkStart w:id="7" w:name="_Toc20336"/>
      <w:bookmarkStart w:id="8" w:name="_Toc20351"/>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jc w:val="both"/>
        <w:outlineLvl w:val="0"/>
        <w:rPr>
          <w:rFonts w:hint="default" w:ascii="Times New Roman" w:hAnsi="Times New Roman" w:cs="Times New Roman"/>
          <w:i w:val="0"/>
          <w:caps w:val="0"/>
          <w:color w:val="333333"/>
          <w:spacing w:val="0"/>
          <w:sz w:val="32"/>
          <w:szCs w:val="32"/>
        </w:rPr>
      </w:pPr>
      <w:r>
        <w:rPr>
          <w:rFonts w:ascii="黑体" w:hAnsi="宋体" w:eastAsia="黑体" w:cs="黑体"/>
          <w:i w:val="0"/>
          <w:caps w:val="0"/>
          <w:color w:val="333333"/>
          <w:spacing w:val="0"/>
          <w:kern w:val="0"/>
          <w:sz w:val="32"/>
          <w:szCs w:val="32"/>
          <w:shd w:val="clear" w:color="auto" w:fill="FFFFFF"/>
          <w:lang w:val="en-US" w:eastAsia="zh-CN" w:bidi="en-AU"/>
        </w:rPr>
        <w:t>一、基本职能及主要工作</w:t>
      </w:r>
      <w:bookmarkEnd w:id="4"/>
      <w:bookmarkEnd w:id="5"/>
      <w:bookmarkEnd w:id="6"/>
      <w:bookmarkEnd w:id="7"/>
      <w:bookmarkEnd w:id="8"/>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outlineLvl w:val="1"/>
        <w:rPr>
          <w:rFonts w:hint="eastAsia" w:ascii="楷体_GB2312" w:eastAsia="楷体_GB2312" w:cs="楷体_GB2312"/>
          <w:b w:val="0"/>
          <w:bCs/>
          <w:i w:val="0"/>
          <w:caps w:val="0"/>
          <w:color w:val="333333"/>
          <w:spacing w:val="0"/>
          <w:sz w:val="32"/>
          <w:szCs w:val="32"/>
        </w:rPr>
      </w:pPr>
      <w:bookmarkStart w:id="9" w:name="_Toc256"/>
      <w:bookmarkStart w:id="10" w:name="_Toc15453"/>
      <w:r>
        <w:rPr>
          <w:rFonts w:ascii="楷体_GB2312" w:eastAsia="楷体_GB2312" w:cs="楷体_GB2312"/>
          <w:b w:val="0"/>
          <w:bCs/>
          <w:i w:val="0"/>
          <w:caps w:val="0"/>
          <w:color w:val="333333"/>
          <w:spacing w:val="0"/>
          <w:sz w:val="32"/>
          <w:szCs w:val="32"/>
          <w:shd w:val="clear" w:color="auto" w:fill="FFFFFF"/>
        </w:rPr>
        <w:t>（一）</w:t>
      </w:r>
      <w:r>
        <w:rPr>
          <w:rFonts w:hint="eastAsia" w:ascii="楷体_GB2312" w:eastAsia="楷体_GB2312" w:cs="楷体_GB2312"/>
          <w:b w:val="0"/>
          <w:bCs/>
          <w:i w:val="0"/>
          <w:caps w:val="0"/>
          <w:color w:val="333333"/>
          <w:spacing w:val="0"/>
          <w:sz w:val="32"/>
          <w:szCs w:val="32"/>
          <w:shd w:val="clear" w:color="auto" w:fill="FFFFFF"/>
          <w:lang w:val="en-US" w:eastAsia="zh-CN"/>
        </w:rPr>
        <w:t>单位</w:t>
      </w:r>
      <w:r>
        <w:rPr>
          <w:rFonts w:hint="eastAsia" w:ascii="楷体_GB2312" w:eastAsia="楷体_GB2312" w:cs="楷体_GB2312"/>
          <w:b w:val="0"/>
          <w:bCs/>
          <w:i w:val="0"/>
          <w:caps w:val="0"/>
          <w:color w:val="333333"/>
          <w:spacing w:val="0"/>
          <w:sz w:val="32"/>
          <w:szCs w:val="32"/>
          <w:shd w:val="clear" w:color="auto" w:fill="FFFFFF"/>
        </w:rPr>
        <w:t>职能简介</w:t>
      </w:r>
      <w:bookmarkEnd w:id="9"/>
      <w:bookmarkEnd w:id="10"/>
    </w:p>
    <w:p>
      <w:pPr>
        <w:pStyle w:val="14"/>
        <w:numPr>
          <w:ilvl w:val="0"/>
          <w:numId w:val="0"/>
        </w:numPr>
        <w:shd w:val="clear" w:color="auto" w:fill="FFFFFF"/>
        <w:spacing w:line="330" w:lineRule="atLeast"/>
        <w:ind w:firstLine="640" w:firstLineChars="200"/>
        <w:rPr>
          <w:rFonts w:hint="eastAsia" w:ascii="仿宋_GB2312" w:hAnsi="仿宋_GB2312" w:eastAsia="仿宋_GB2312" w:cs="仿宋_GB2312"/>
          <w:b w:val="0"/>
          <w:bCs w:val="0"/>
          <w:i w:val="0"/>
          <w:iCs w:val="0"/>
          <w:caps w:val="0"/>
          <w:snapToGrid w:val="0"/>
          <w:color w:val="000000"/>
          <w:spacing w:val="0"/>
          <w:sz w:val="32"/>
          <w:szCs w:val="32"/>
          <w:lang w:val="en-US" w:eastAsia="zh-CN"/>
        </w:rPr>
      </w:pPr>
      <w:bookmarkStart w:id="11" w:name="_Toc23314"/>
      <w:bookmarkStart w:id="12" w:name="_Toc30654"/>
      <w:bookmarkStart w:id="13" w:name="_Toc14201"/>
      <w:bookmarkStart w:id="14" w:name="_Toc12870"/>
      <w:bookmarkStart w:id="15" w:name="_Toc29038"/>
      <w:bookmarkStart w:id="16" w:name="_Toc5369"/>
      <w:bookmarkStart w:id="17" w:name="_Toc15380"/>
      <w:r>
        <w:rPr>
          <w:rFonts w:hint="eastAsia" w:ascii="仿宋_GB2312" w:hAnsi="仿宋_GB2312" w:eastAsia="仿宋_GB2312" w:cs="仿宋_GB2312"/>
          <w:b w:val="0"/>
          <w:bCs w:val="0"/>
          <w:i w:val="0"/>
          <w:iCs w:val="0"/>
          <w:caps w:val="0"/>
          <w:snapToGrid w:val="0"/>
          <w:color w:val="000000"/>
          <w:spacing w:val="0"/>
          <w:sz w:val="32"/>
          <w:szCs w:val="32"/>
          <w:shd w:val="clear" w:color="auto" w:fill="FFFFFF"/>
          <w:lang w:val="en-US" w:eastAsia="zh-CN"/>
        </w:rPr>
        <w:t>1.基本公共卫生服务方面</w:t>
      </w:r>
      <w:bookmarkEnd w:id="11"/>
      <w:bookmarkEnd w:id="12"/>
      <w:bookmarkEnd w:id="13"/>
      <w:bookmarkEnd w:id="14"/>
      <w:bookmarkEnd w:id="15"/>
      <w:bookmarkEnd w:id="16"/>
      <w:bookmarkEnd w:id="17"/>
      <w:bookmarkStart w:id="103" w:name="_GoBack"/>
      <w:bookmarkEnd w:id="103"/>
    </w:p>
    <w:p>
      <w:pPr>
        <w:pStyle w:val="14"/>
        <w:numPr>
          <w:ilvl w:val="0"/>
          <w:numId w:val="0"/>
        </w:numPr>
        <w:shd w:val="clear" w:color="auto" w:fill="FFFFFF"/>
        <w:spacing w:line="330" w:lineRule="atLeast"/>
        <w:rPr>
          <w:rFonts w:hint="eastAsia" w:ascii="仿宋" w:hAnsi="仿宋" w:eastAsia="仿宋" w:cs="仿宋"/>
          <w:i w:val="0"/>
          <w:iCs w:val="0"/>
          <w:caps w:val="0"/>
          <w:snapToGrid w:val="0"/>
          <w:color w:val="000000"/>
          <w:spacing w:val="0"/>
          <w:sz w:val="32"/>
          <w:szCs w:val="32"/>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aps w:val="0"/>
          <w:snapToGrid w:val="0"/>
          <w:color w:val="000000"/>
          <w:spacing w:val="0"/>
          <w:sz w:val="32"/>
          <w:szCs w:val="32"/>
          <w:shd w:val="clear" w:color="auto" w:fill="FFFFFF"/>
          <w:lang w:val="en-US" w:eastAsia="zh-CN"/>
        </w:rPr>
        <w:t>落实农村居民健康档案管理及服务；普及卫生保健常识，指导开展爱国卫生工作；规范预防接种服务，执行国家免疫规划；及时发现、登记并报告辖区传染病病例和疑似病例，参与现场疫情处理，协助处理辖区内突发公共卫生事件；开展新生儿访视及儿童、孕产妇保健系统</w:t>
      </w:r>
      <w:r>
        <w:rPr>
          <w:rFonts w:hint="eastAsia" w:ascii="仿宋" w:hAnsi="仿宋" w:eastAsia="仿宋" w:cs="仿宋"/>
          <w:i w:val="0"/>
          <w:iCs w:val="0"/>
          <w:caps w:val="0"/>
          <w:snapToGrid w:val="0"/>
          <w:color w:val="000000"/>
          <w:spacing w:val="0"/>
          <w:sz w:val="32"/>
          <w:szCs w:val="32"/>
          <w:shd w:val="clear" w:color="auto" w:fill="FFFFFF"/>
          <w:lang w:val="en-US" w:eastAsia="zh-CN"/>
        </w:rPr>
        <w:t>管理；对辖区65岁及以上老年人和糖尿病、精神病、高血压等慢性疾病登记管理；接受区卫生行政部门委托，对辖区内传染病防治、学校卫生、饮用水卫生、职业卫生以及村级预防保健工作进行指导、培训、考核与监督等。</w:t>
      </w:r>
    </w:p>
    <w:p>
      <w:pPr>
        <w:pStyle w:val="14"/>
        <w:numPr>
          <w:ilvl w:val="0"/>
          <w:numId w:val="0"/>
        </w:numPr>
        <w:shd w:val="clear" w:color="auto" w:fill="FFFFFF"/>
        <w:spacing w:line="330" w:lineRule="atLeast"/>
        <w:ind w:firstLine="640" w:firstLineChars="200"/>
        <w:outlineLvl w:val="0"/>
        <w:rPr>
          <w:rFonts w:hint="eastAsia" w:ascii="仿宋_GB2312" w:hAnsi="仿宋_GB2312" w:eastAsia="仿宋_GB2312" w:cs="仿宋_GB2312"/>
          <w:b w:val="0"/>
          <w:bCs w:val="0"/>
          <w:i w:val="0"/>
          <w:iCs w:val="0"/>
          <w:caps w:val="0"/>
          <w:snapToGrid w:val="0"/>
          <w:color w:val="000000"/>
          <w:spacing w:val="0"/>
          <w:sz w:val="31"/>
          <w:szCs w:val="31"/>
          <w:lang w:val="en-US" w:eastAsia="zh-CN"/>
        </w:rPr>
      </w:pPr>
      <w:r>
        <w:rPr>
          <w:rFonts w:hint="eastAsia" w:ascii="宋体" w:hAnsi="宋体" w:eastAsia="宋体" w:cs="宋体"/>
          <w:color w:val="000000"/>
          <w:sz w:val="32"/>
          <w:szCs w:val="32"/>
          <w:highlight w:val="none"/>
          <w:lang w:val="en-US" w:eastAsia="zh-CN"/>
        </w:rPr>
        <w:t xml:space="preserve"> </w:t>
      </w:r>
      <w:bookmarkStart w:id="18" w:name="_Toc1088"/>
      <w:bookmarkStart w:id="19" w:name="_Toc7214"/>
      <w:bookmarkStart w:id="20" w:name="_Toc685"/>
      <w:bookmarkStart w:id="21" w:name="_Toc18794"/>
      <w:bookmarkStart w:id="22" w:name="_Toc20550"/>
      <w:bookmarkStart w:id="23" w:name="_Toc30529"/>
      <w:bookmarkStart w:id="24" w:name="_Toc28943"/>
      <w:r>
        <w:rPr>
          <w:rFonts w:hint="eastAsia" w:ascii="仿宋" w:hAnsi="仿宋" w:eastAsia="仿宋" w:cs="仿宋"/>
          <w:i w:val="0"/>
          <w:iCs w:val="0"/>
          <w:caps w:val="0"/>
          <w:snapToGrid w:val="0"/>
          <w:color w:val="000000"/>
          <w:spacing w:val="0"/>
          <w:sz w:val="32"/>
          <w:szCs w:val="32"/>
          <w:shd w:val="clear" w:color="auto" w:fill="FFFFFF"/>
          <w:lang w:val="en-US" w:eastAsia="zh-CN"/>
        </w:rPr>
        <w:t>2.基本医疗服务方面</w:t>
      </w:r>
      <w:bookmarkEnd w:id="18"/>
      <w:bookmarkEnd w:id="19"/>
      <w:bookmarkEnd w:id="20"/>
      <w:bookmarkEnd w:id="21"/>
      <w:bookmarkEnd w:id="22"/>
      <w:bookmarkEnd w:id="23"/>
      <w:bookmarkEnd w:id="24"/>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 w:hAnsi="仿宋" w:eastAsia="仿宋" w:cs="仿宋"/>
          <w:i w:val="0"/>
          <w:iCs w:val="0"/>
          <w:caps w:val="0"/>
          <w:snapToGrid w:val="0"/>
          <w:color w:val="000000"/>
          <w:spacing w:val="0"/>
          <w:sz w:val="32"/>
          <w:szCs w:val="32"/>
          <w:lang w:val="en-US" w:eastAsia="zh-CN"/>
        </w:rPr>
      </w:pPr>
      <w:r>
        <w:rPr>
          <w:rFonts w:hint="eastAsia" w:ascii="仿宋" w:hAnsi="仿宋" w:eastAsia="仿宋" w:cs="仿宋"/>
          <w:i w:val="0"/>
          <w:iCs w:val="0"/>
          <w:caps w:val="0"/>
          <w:snapToGrid w:val="0"/>
          <w:color w:val="000000"/>
          <w:spacing w:val="0"/>
          <w:sz w:val="32"/>
          <w:szCs w:val="32"/>
          <w:shd w:val="clear" w:color="auto" w:fill="FFFFFF"/>
          <w:lang w:val="en-US" w:eastAsia="zh-CN"/>
        </w:rPr>
        <w:t xml:space="preserve">正确处理常见病，多发病，对疑难杂症进行恰当的处理与转诊；加强急诊救护体系建设，承担乡村现场应急救护，转诊和康复服务；认真执行国家基本药物制度，加强医疗质量管理及院感防控。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 w:hAnsi="仿宋" w:eastAsia="仿宋" w:cs="仿宋"/>
          <w:i w:val="0"/>
          <w:iCs w:val="0"/>
          <w:caps w:val="0"/>
          <w:snapToGrid w:val="0"/>
          <w:color w:val="000000"/>
          <w:spacing w:val="0"/>
          <w:sz w:val="32"/>
          <w:szCs w:val="32"/>
          <w:lang w:val="en-US" w:eastAsia="zh-CN"/>
        </w:rPr>
      </w:pPr>
      <w:bookmarkStart w:id="25" w:name="_Toc7588"/>
      <w:bookmarkStart w:id="26" w:name="_Toc63"/>
      <w:bookmarkStart w:id="27" w:name="_Toc31425"/>
      <w:bookmarkStart w:id="28" w:name="_Toc8759"/>
      <w:bookmarkStart w:id="29" w:name="_Toc29066"/>
      <w:bookmarkStart w:id="30" w:name="_Toc1250"/>
      <w:bookmarkStart w:id="31" w:name="_Toc20203"/>
      <w:r>
        <w:rPr>
          <w:rFonts w:hint="eastAsia" w:ascii="仿宋" w:hAnsi="仿宋" w:eastAsia="仿宋" w:cs="仿宋"/>
          <w:i w:val="0"/>
          <w:iCs w:val="0"/>
          <w:caps w:val="0"/>
          <w:snapToGrid w:val="0"/>
          <w:color w:val="000000"/>
          <w:spacing w:val="0"/>
          <w:sz w:val="32"/>
          <w:szCs w:val="32"/>
          <w:shd w:val="clear" w:color="auto" w:fill="FFFFFF"/>
          <w:lang w:val="en-US" w:eastAsia="zh-CN"/>
        </w:rPr>
        <w:t>3.基本管理服务</w:t>
      </w:r>
      <w:bookmarkEnd w:id="25"/>
      <w:bookmarkEnd w:id="26"/>
      <w:bookmarkEnd w:id="27"/>
      <w:bookmarkEnd w:id="28"/>
      <w:bookmarkEnd w:id="29"/>
      <w:bookmarkEnd w:id="30"/>
      <w:bookmarkEnd w:id="31"/>
    </w:p>
    <w:p>
      <w:pPr>
        <w:pStyle w:val="14"/>
        <w:numPr>
          <w:ilvl w:val="0"/>
          <w:numId w:val="0"/>
        </w:numPr>
        <w:shd w:val="clear" w:color="auto" w:fill="FFFFFF"/>
        <w:spacing w:line="330" w:lineRule="atLeast"/>
        <w:ind w:firstLine="640" w:firstLineChars="200"/>
        <w:outlineLvl w:val="0"/>
        <w:rPr>
          <w:rFonts w:hint="eastAsia" w:ascii="楷体_GB2312" w:eastAsia="楷体_GB2312" w:cs="楷体_GB2312"/>
          <w:b/>
          <w:i w:val="0"/>
          <w:caps w:val="0"/>
          <w:color w:val="333333"/>
          <w:spacing w:val="0"/>
          <w:sz w:val="32"/>
          <w:szCs w:val="32"/>
        </w:rPr>
      </w:pPr>
      <w:r>
        <w:rPr>
          <w:rFonts w:hint="eastAsia" w:ascii="仿宋" w:hAnsi="仿宋" w:eastAsia="仿宋" w:cs="仿宋"/>
          <w:i w:val="0"/>
          <w:iCs w:val="0"/>
          <w:caps w:val="0"/>
          <w:snapToGrid w:val="0"/>
          <w:color w:val="000000"/>
          <w:spacing w:val="0"/>
          <w:sz w:val="32"/>
          <w:szCs w:val="32"/>
          <w:shd w:val="clear" w:color="auto" w:fill="FFFFFF"/>
          <w:lang w:val="en-US" w:eastAsia="zh-CN"/>
        </w:rPr>
        <w:t>规范卫生院财务管理工作，巩固农村公共卫生服务体系。履行定点医疗机构职责，严格执行国家基本医疗保险政策并做好有关的政策宣传，监督及服务工作。深入推进乡村卫生服务一体化管理，负责村卫生室的技术指导和医生培训等各项工作。落实健康扶贫相关政策。</w:t>
      </w:r>
    </w:p>
    <w:p>
      <w:pPr>
        <w:pStyle w:val="1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outlineLvl w:val="1"/>
        <w:rPr>
          <w:rFonts w:hint="eastAsia" w:ascii="楷体_GB2312" w:eastAsia="楷体_GB2312" w:cs="楷体_GB2312"/>
          <w:b w:val="0"/>
          <w:bCs/>
          <w:i w:val="0"/>
          <w:caps w:val="0"/>
          <w:color w:val="333333"/>
          <w:spacing w:val="0"/>
          <w:sz w:val="32"/>
          <w:szCs w:val="32"/>
        </w:rPr>
      </w:pPr>
      <w:bookmarkStart w:id="32" w:name="_Toc1849"/>
      <w:bookmarkStart w:id="33" w:name="_Toc30326"/>
      <w:r>
        <w:rPr>
          <w:rFonts w:hint="eastAsia" w:ascii="楷体_GB2312" w:eastAsia="楷体_GB2312" w:cs="楷体_GB2312"/>
          <w:b w:val="0"/>
          <w:bCs/>
          <w:i w:val="0"/>
          <w:caps w:val="0"/>
          <w:color w:val="333333"/>
          <w:spacing w:val="0"/>
          <w:sz w:val="32"/>
          <w:szCs w:val="32"/>
          <w:shd w:val="clear" w:color="auto" w:fill="FFFFFF"/>
          <w:lang w:val="en-US" w:eastAsia="zh-CN"/>
        </w:rPr>
        <w:t>单位</w:t>
      </w:r>
      <w:r>
        <w:rPr>
          <w:rFonts w:hint="eastAsia" w:ascii="楷体_GB2312" w:eastAsia="楷体_GB2312" w:cs="楷体_GB2312"/>
          <w:b w:val="0"/>
          <w:bCs/>
          <w:i w:val="0"/>
          <w:caps w:val="0"/>
          <w:color w:val="333333"/>
          <w:spacing w:val="0"/>
          <w:sz w:val="32"/>
          <w:szCs w:val="32"/>
          <w:shd w:val="clear" w:color="auto" w:fill="FFFFFF"/>
        </w:rPr>
        <w:t>202</w:t>
      </w:r>
      <w:r>
        <w:rPr>
          <w:rFonts w:hint="eastAsia" w:ascii="楷体_GB2312" w:eastAsia="楷体_GB2312" w:cs="楷体_GB2312"/>
          <w:b w:val="0"/>
          <w:bCs/>
          <w:i w:val="0"/>
          <w:caps w:val="0"/>
          <w:color w:val="333333"/>
          <w:spacing w:val="0"/>
          <w:sz w:val="32"/>
          <w:szCs w:val="32"/>
          <w:shd w:val="clear" w:color="auto" w:fill="FFFFFF"/>
          <w:lang w:val="en-US" w:eastAsia="zh-CN"/>
        </w:rPr>
        <w:t>3</w:t>
      </w:r>
      <w:r>
        <w:rPr>
          <w:rFonts w:hint="eastAsia" w:ascii="楷体_GB2312" w:eastAsia="楷体_GB2312" w:cs="楷体_GB2312"/>
          <w:b w:val="0"/>
          <w:bCs/>
          <w:i w:val="0"/>
          <w:caps w:val="0"/>
          <w:color w:val="333333"/>
          <w:spacing w:val="0"/>
          <w:sz w:val="32"/>
          <w:szCs w:val="32"/>
          <w:shd w:val="clear" w:color="auto" w:fill="FFFFFF"/>
        </w:rPr>
        <w:t>年重点工作</w:t>
      </w:r>
      <w:bookmarkEnd w:id="32"/>
      <w:bookmarkEnd w:id="33"/>
    </w:p>
    <w:p>
      <w:pPr>
        <w:pStyle w:val="14"/>
        <w:numPr>
          <w:ilvl w:val="0"/>
          <w:numId w:val="0"/>
        </w:numPr>
        <w:shd w:val="clear" w:color="auto" w:fill="FFFFFF"/>
        <w:spacing w:line="330" w:lineRule="atLeast"/>
        <w:ind w:firstLine="640" w:firstLineChars="200"/>
        <w:outlineLvl w:val="0"/>
        <w:rPr>
          <w:rFonts w:hint="eastAsia" w:ascii="仿宋" w:hAnsi="仿宋" w:eastAsia="仿宋" w:cs="仿宋"/>
          <w:i w:val="0"/>
          <w:iCs w:val="0"/>
          <w:caps w:val="0"/>
          <w:snapToGrid w:val="0"/>
          <w:color w:val="000000"/>
          <w:spacing w:val="0"/>
          <w:sz w:val="32"/>
          <w:szCs w:val="32"/>
          <w:lang w:val="en-US" w:eastAsia="zh-CN"/>
        </w:rPr>
      </w:pPr>
      <w:r>
        <w:rPr>
          <w:rFonts w:hint="eastAsia" w:ascii="仿宋" w:hAnsi="仿宋" w:eastAsia="仿宋" w:cs="仿宋"/>
          <w:i w:val="0"/>
          <w:iCs w:val="0"/>
          <w:caps w:val="0"/>
          <w:snapToGrid w:val="0"/>
          <w:color w:val="000000"/>
          <w:spacing w:val="0"/>
          <w:sz w:val="32"/>
          <w:szCs w:val="32"/>
          <w:shd w:val="clear" w:color="auto" w:fill="FFFFFF"/>
          <w:lang w:val="en-US" w:eastAsia="zh-CN"/>
        </w:rPr>
        <w:t>1.加强党务工作。坚持民主集中制，坚持“三会一课”制度，加强党的方针政策学习。加强党组织建设。</w:t>
      </w:r>
    </w:p>
    <w:p>
      <w:pPr>
        <w:pStyle w:val="14"/>
        <w:numPr>
          <w:ilvl w:val="0"/>
          <w:numId w:val="0"/>
        </w:numPr>
        <w:shd w:val="clear" w:color="auto" w:fill="FFFFFF"/>
        <w:spacing w:line="330" w:lineRule="atLeast"/>
        <w:ind w:firstLine="640" w:firstLineChars="200"/>
        <w:outlineLvl w:val="0"/>
        <w:rPr>
          <w:rFonts w:hint="eastAsia" w:ascii="仿宋" w:hAnsi="仿宋" w:eastAsia="仿宋" w:cs="仿宋"/>
          <w:i w:val="0"/>
          <w:iCs w:val="0"/>
          <w:caps w:val="0"/>
          <w:snapToGrid w:val="0"/>
          <w:color w:val="000000"/>
          <w:spacing w:val="0"/>
          <w:sz w:val="32"/>
          <w:szCs w:val="32"/>
          <w:lang w:val="en-US" w:eastAsia="zh-CN"/>
        </w:rPr>
      </w:pPr>
      <w:r>
        <w:rPr>
          <w:rFonts w:hint="eastAsia" w:ascii="仿宋" w:hAnsi="仿宋" w:eastAsia="仿宋" w:cs="仿宋"/>
          <w:i w:val="0"/>
          <w:iCs w:val="0"/>
          <w:caps w:val="0"/>
          <w:snapToGrid w:val="0"/>
          <w:color w:val="000000"/>
          <w:spacing w:val="0"/>
          <w:sz w:val="32"/>
          <w:szCs w:val="32"/>
          <w:shd w:val="clear" w:color="auto" w:fill="FFFFFF"/>
          <w:lang w:val="en-US" w:eastAsia="zh-CN"/>
        </w:rPr>
        <w:t>2.加强医疗质量管理，保障医疗安全。健全医疗、护理、功能检查、放射、检验等各个科室、各个诊疗环节的质量管理制度，制定切实可行的质量目标，实现诊疗工作的规范化。严格控制医疗费用，促进合理检查、合理用药、合理治疗，切实减轻患者就医负担。争取卫生院门诊人次增加 20%，住院人次增加15%。</w:t>
      </w:r>
    </w:p>
    <w:p>
      <w:pPr>
        <w:pStyle w:val="14"/>
        <w:numPr>
          <w:ilvl w:val="0"/>
          <w:numId w:val="0"/>
        </w:numPr>
        <w:shd w:val="clear" w:color="auto" w:fill="FFFFFF"/>
        <w:spacing w:line="330" w:lineRule="atLeast"/>
        <w:ind w:firstLine="640" w:firstLineChars="200"/>
        <w:outlineLvl w:val="0"/>
        <w:rPr>
          <w:rFonts w:hint="eastAsia" w:ascii="仿宋_GB2312" w:hAnsi="仿宋_GB2312" w:eastAsia="仿宋_GB2312" w:cs="仿宋_GB2312"/>
          <w:b w:val="0"/>
          <w:bCs w:val="0"/>
          <w:i w:val="0"/>
          <w:iCs w:val="0"/>
          <w:caps w:val="0"/>
          <w:snapToGrid w:val="0"/>
          <w:color w:val="000000"/>
          <w:spacing w:val="0"/>
          <w:sz w:val="31"/>
          <w:szCs w:val="31"/>
          <w:lang w:val="en-US" w:eastAsia="zh-CN"/>
        </w:rPr>
      </w:pPr>
      <w:r>
        <w:rPr>
          <w:rFonts w:hint="eastAsia" w:ascii="仿宋" w:hAnsi="仿宋" w:eastAsia="仿宋" w:cs="仿宋"/>
          <w:i w:val="0"/>
          <w:iCs w:val="0"/>
          <w:caps w:val="0"/>
          <w:snapToGrid w:val="0"/>
          <w:color w:val="000000"/>
          <w:spacing w:val="0"/>
          <w:sz w:val="32"/>
          <w:szCs w:val="32"/>
          <w:shd w:val="clear" w:color="auto" w:fill="FFFFFF"/>
          <w:lang w:val="en-US" w:eastAsia="zh-CN"/>
        </w:rPr>
        <w:t>3.重点抓好基本公共卫生服务项目工作。按照昭化区2021年基本公共卫生服务实施方案的工作要求，完成2023年我镇基本公共卫生服务项目各项指标任务。</w:t>
      </w:r>
    </w:p>
    <w:p>
      <w:pPr>
        <w:pStyle w:val="14"/>
        <w:numPr>
          <w:ilvl w:val="0"/>
          <w:numId w:val="0"/>
        </w:numPr>
        <w:shd w:val="clear" w:color="auto" w:fill="FFFFFF"/>
        <w:spacing w:line="330" w:lineRule="atLeast"/>
        <w:ind w:firstLine="640" w:firstLineChars="200"/>
        <w:outlineLvl w:val="0"/>
        <w:rPr>
          <w:rFonts w:hint="default" w:ascii="仿宋" w:hAnsi="仿宋" w:eastAsia="仿宋" w:cs="仿宋"/>
          <w:i w:val="0"/>
          <w:iCs w:val="0"/>
          <w:caps w:val="0"/>
          <w:snapToGrid w:val="0"/>
          <w:color w:val="000000"/>
          <w:spacing w:val="0"/>
          <w:sz w:val="32"/>
          <w:szCs w:val="32"/>
          <w:lang w:val="en-US" w:eastAsia="zh-CN"/>
        </w:rPr>
      </w:pPr>
      <w:r>
        <w:rPr>
          <w:rFonts w:hint="eastAsia" w:ascii="仿宋" w:hAnsi="仿宋" w:eastAsia="仿宋" w:cs="仿宋"/>
          <w:i w:val="0"/>
          <w:iCs w:val="0"/>
          <w:caps w:val="0"/>
          <w:snapToGrid w:val="0"/>
          <w:color w:val="000000"/>
          <w:spacing w:val="0"/>
          <w:sz w:val="32"/>
          <w:szCs w:val="32"/>
          <w:shd w:val="clear" w:color="auto" w:fill="FFFFFF"/>
          <w:lang w:val="en-US" w:eastAsia="zh-CN"/>
        </w:rPr>
        <w:t>4.全面推行绩效改革。制定符合我院的绩效考核方案，成立医院绩效考核领导小组。</w:t>
      </w:r>
    </w:p>
    <w:p>
      <w:pPr>
        <w:pStyle w:val="14"/>
        <w:numPr>
          <w:ilvl w:val="0"/>
          <w:numId w:val="0"/>
        </w:numPr>
        <w:shd w:val="clear" w:color="auto" w:fill="FFFFFF"/>
        <w:spacing w:line="330" w:lineRule="atLeast"/>
        <w:ind w:firstLine="640" w:firstLineChars="200"/>
        <w:outlineLvl w:val="0"/>
        <w:rPr>
          <w:rFonts w:hint="eastAsia" w:ascii="仿宋" w:hAnsi="仿宋" w:eastAsia="仿宋" w:cs="仿宋"/>
          <w:i w:val="0"/>
          <w:iCs w:val="0"/>
          <w:caps w:val="0"/>
          <w:snapToGrid w:val="0"/>
          <w:color w:val="000000"/>
          <w:spacing w:val="0"/>
          <w:sz w:val="32"/>
          <w:szCs w:val="32"/>
          <w:lang w:val="en-US" w:eastAsia="zh-CN"/>
        </w:rPr>
      </w:pPr>
      <w:r>
        <w:rPr>
          <w:rFonts w:hint="eastAsia" w:ascii="仿宋" w:hAnsi="仿宋" w:eastAsia="仿宋" w:cs="仿宋"/>
          <w:i w:val="0"/>
          <w:iCs w:val="0"/>
          <w:caps w:val="0"/>
          <w:snapToGrid w:val="0"/>
          <w:color w:val="000000"/>
          <w:spacing w:val="0"/>
          <w:sz w:val="32"/>
          <w:szCs w:val="32"/>
          <w:shd w:val="clear" w:color="auto" w:fill="FFFFFF"/>
          <w:lang w:val="en-US" w:eastAsia="zh-CN"/>
        </w:rPr>
        <w:t>5.加强医务人员教育培训。重点加强对在职医务人员的继续教育，根据医院中医发展需要，安排1名业务骨干到上级医院进修中医理疗相关专业，培养急需的业务人才。积极鼓励职工参加各种形式的学历教育，支持参加执业医师、执业药师和执业护士等资格考试，提高医务人员文化素质和业务素质。</w:t>
      </w:r>
    </w:p>
    <w:p>
      <w:pPr>
        <w:pStyle w:val="14"/>
        <w:numPr>
          <w:ilvl w:val="0"/>
          <w:numId w:val="0"/>
        </w:numPr>
        <w:shd w:val="clear" w:color="auto" w:fill="FFFFFF"/>
        <w:spacing w:line="330" w:lineRule="atLeast"/>
        <w:ind w:firstLine="640" w:firstLineChars="200"/>
        <w:outlineLvl w:val="0"/>
        <w:rPr>
          <w:rFonts w:hint="default" w:ascii="仿宋" w:hAnsi="仿宋" w:eastAsia="仿宋" w:cs="仿宋"/>
          <w:i w:val="0"/>
          <w:iCs w:val="0"/>
          <w:caps w:val="0"/>
          <w:snapToGrid w:val="0"/>
          <w:color w:val="000000"/>
          <w:spacing w:val="0"/>
          <w:sz w:val="32"/>
          <w:szCs w:val="32"/>
          <w:lang w:val="en-US" w:eastAsia="zh-CN"/>
        </w:rPr>
      </w:pPr>
      <w:r>
        <w:rPr>
          <w:rFonts w:hint="eastAsia" w:ascii="仿宋" w:hAnsi="仿宋" w:eastAsia="仿宋" w:cs="仿宋"/>
          <w:i w:val="0"/>
          <w:iCs w:val="0"/>
          <w:caps w:val="0"/>
          <w:snapToGrid w:val="0"/>
          <w:color w:val="000000"/>
          <w:spacing w:val="0"/>
          <w:sz w:val="32"/>
          <w:szCs w:val="32"/>
          <w:shd w:val="clear" w:color="auto" w:fill="FFFFFF"/>
          <w:lang w:val="en-US" w:eastAsia="zh-CN"/>
        </w:rPr>
        <w:t>6.重点抓中医药服务工作。青牛镇卫生院打造中医科。争取中医药、针灸理疗业务收入增加20%。</w:t>
      </w:r>
    </w:p>
    <w:p>
      <w:pPr>
        <w:pStyle w:val="14"/>
        <w:numPr>
          <w:ilvl w:val="0"/>
          <w:numId w:val="0"/>
        </w:numPr>
        <w:shd w:val="clear" w:color="auto" w:fill="FFFFFF"/>
        <w:spacing w:line="330" w:lineRule="atLeast"/>
        <w:ind w:firstLine="640" w:firstLineChars="200"/>
        <w:outlineLvl w:val="0"/>
        <w:rPr>
          <w:rFonts w:hint="eastAsia" w:ascii="楷体_GB2312" w:eastAsia="楷体_GB2312" w:cs="楷体_GB2312"/>
          <w:b/>
          <w:i w:val="0"/>
          <w:caps w:val="0"/>
          <w:color w:val="333333"/>
          <w:spacing w:val="0"/>
          <w:sz w:val="32"/>
          <w:szCs w:val="32"/>
        </w:rPr>
      </w:pPr>
      <w:r>
        <w:rPr>
          <w:rFonts w:hint="eastAsia" w:ascii="仿宋" w:hAnsi="仿宋" w:eastAsia="仿宋" w:cs="仿宋"/>
          <w:i w:val="0"/>
          <w:iCs w:val="0"/>
          <w:caps w:val="0"/>
          <w:snapToGrid w:val="0"/>
          <w:color w:val="000000"/>
          <w:spacing w:val="0"/>
          <w:sz w:val="32"/>
          <w:szCs w:val="32"/>
          <w:shd w:val="clear" w:color="auto" w:fill="FFFFFF"/>
          <w:lang w:val="en-US" w:eastAsia="zh-CN"/>
        </w:rPr>
        <w:t>7.全面统筹抓好其他工作。切实抓好安全生产工作，避免发生安全责任事故。抓好信访、维稳和上级交给的其他工作。</w:t>
      </w:r>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outlineLvl w:val="0"/>
        <w:rPr>
          <w:rFonts w:hint="default" w:ascii="Times New Roman" w:hAnsi="Times New Roman" w:cs="Times New Roman"/>
          <w:i w:val="0"/>
          <w:caps w:val="0"/>
          <w:color w:val="333333"/>
          <w:spacing w:val="0"/>
          <w:sz w:val="32"/>
          <w:szCs w:val="32"/>
        </w:rPr>
      </w:pPr>
      <w:bookmarkStart w:id="34" w:name="_Toc19522"/>
      <w:bookmarkStart w:id="35" w:name="_Toc13273"/>
      <w:bookmarkStart w:id="36" w:name="_Toc18148"/>
      <w:bookmarkStart w:id="37" w:name="_Toc25003"/>
      <w:bookmarkStart w:id="38" w:name="_Toc13738"/>
      <w:r>
        <w:rPr>
          <w:rFonts w:hint="eastAsia" w:ascii="黑体" w:hAnsi="宋体" w:eastAsia="黑体" w:cs="黑体"/>
          <w:i w:val="0"/>
          <w:caps w:val="0"/>
          <w:color w:val="333333"/>
          <w:spacing w:val="0"/>
          <w:kern w:val="0"/>
          <w:sz w:val="32"/>
          <w:szCs w:val="32"/>
          <w:shd w:val="clear" w:color="auto" w:fill="FFFFFF"/>
          <w:lang w:val="en-US" w:eastAsia="zh-CN" w:bidi="en-AU"/>
        </w:rPr>
        <w:t>二、部门预算单位构成</w:t>
      </w:r>
      <w:bookmarkEnd w:id="34"/>
      <w:bookmarkEnd w:id="35"/>
      <w:bookmarkEnd w:id="36"/>
      <w:bookmarkEnd w:id="37"/>
      <w:bookmarkEnd w:id="38"/>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广元市昭化区青牛镇卫生院为二级预算单位，隶属于广元市昭化区卫生健康局，为公益一类预算单位。</w:t>
      </w:r>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outlineLvl w:val="0"/>
        <w:rPr>
          <w:rFonts w:hint="default" w:ascii="Times New Roman" w:hAnsi="Times New Roman" w:cs="Times New Roman"/>
          <w:i w:val="0"/>
          <w:caps w:val="0"/>
          <w:color w:val="333333"/>
          <w:spacing w:val="0"/>
          <w:sz w:val="32"/>
          <w:szCs w:val="32"/>
        </w:rPr>
      </w:pPr>
      <w:bookmarkStart w:id="39" w:name="_Toc17685"/>
      <w:bookmarkStart w:id="40" w:name="_Toc2093"/>
      <w:bookmarkStart w:id="41" w:name="_Toc29228"/>
      <w:bookmarkStart w:id="42" w:name="_Toc29286"/>
      <w:bookmarkStart w:id="43" w:name="_Toc28574"/>
      <w:r>
        <w:rPr>
          <w:rFonts w:hint="eastAsia" w:ascii="黑体" w:hAnsi="宋体" w:eastAsia="黑体" w:cs="黑体"/>
          <w:i w:val="0"/>
          <w:caps w:val="0"/>
          <w:color w:val="333333"/>
          <w:spacing w:val="0"/>
          <w:kern w:val="0"/>
          <w:sz w:val="32"/>
          <w:szCs w:val="32"/>
          <w:shd w:val="clear" w:color="auto" w:fill="FFFFFF"/>
          <w:lang w:val="en-US" w:eastAsia="zh-CN" w:bidi="en-AU"/>
        </w:rPr>
        <w:t>三、收支预算情况说明</w:t>
      </w:r>
      <w:bookmarkEnd w:id="39"/>
      <w:bookmarkEnd w:id="40"/>
      <w:bookmarkEnd w:id="41"/>
      <w:bookmarkEnd w:id="42"/>
      <w:bookmarkEnd w:id="43"/>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按照综合预算的原则，广元市昭化区青牛镇卫生院所有收入和支出均纳入部门预算管理。收入包括：一般公共预算拨款收入；支出包括：社会保障和就业支出、卫生健康支出、住房保障支出。广元市昭化区青牛镇卫生院2023年收支总预算110.45万元，比2022年收支预算总数增加2.53万元，主要原因是在编人员数量增加、人员经费增加。</w:t>
      </w:r>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outlineLvl w:val="1"/>
        <w:rPr>
          <w:rFonts w:hint="default" w:ascii="Times New Roman" w:hAnsi="Times New Roman" w:cs="Times New Roman"/>
          <w:b w:val="0"/>
          <w:bCs/>
          <w:i w:val="0"/>
          <w:caps w:val="0"/>
          <w:color w:val="333333"/>
          <w:spacing w:val="0"/>
          <w:sz w:val="32"/>
          <w:szCs w:val="32"/>
        </w:rPr>
      </w:pPr>
      <w:bookmarkStart w:id="44" w:name="_Toc22334"/>
      <w:bookmarkStart w:id="45" w:name="_Toc15257"/>
      <w:bookmarkStart w:id="46" w:name="_Toc26109"/>
      <w:bookmarkStart w:id="47" w:name="_Toc17136"/>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（一）收入预算情况</w:t>
      </w:r>
      <w:bookmarkEnd w:id="44"/>
      <w:bookmarkEnd w:id="45"/>
      <w:bookmarkEnd w:id="46"/>
      <w:bookmarkEnd w:id="47"/>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广元市昭化区青牛镇卫生院2023年收入预算110.45万元，一般公共预算拨款收入110.45万元，占100%。</w:t>
      </w:r>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outlineLvl w:val="1"/>
        <w:rPr>
          <w:rFonts w:hint="default" w:ascii="楷体_GB2312" w:hAnsi="Times New Roman" w:eastAsia="楷体_GB2312" w:cs="楷体_GB2312"/>
          <w:b w:val="0"/>
          <w:bCs/>
          <w:i w:val="0"/>
          <w:caps w:val="0"/>
          <w:color w:val="333333"/>
          <w:spacing w:val="0"/>
          <w:kern w:val="0"/>
          <w:sz w:val="32"/>
          <w:szCs w:val="32"/>
          <w:lang w:val="en-US" w:eastAsia="zh-CN" w:bidi="en-AU"/>
        </w:rPr>
      </w:pPr>
      <w:bookmarkStart w:id="48" w:name="_Toc28704"/>
      <w:bookmarkStart w:id="49" w:name="_Toc21190"/>
      <w:bookmarkStart w:id="50" w:name="_Toc32121"/>
      <w:bookmarkStart w:id="51" w:name="_Toc19123"/>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（二）支出预算情况</w:t>
      </w:r>
      <w:bookmarkEnd w:id="48"/>
      <w:bookmarkEnd w:id="49"/>
      <w:bookmarkEnd w:id="50"/>
      <w:bookmarkEnd w:id="51"/>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outlineLvl w:val="1"/>
        <w:rPr>
          <w:rFonts w:hint="eastAsia" w:ascii="仿宋_GB2312" w:hAnsi="Times New Roman" w:eastAsia="仿宋_GB2312" w:cs="仿宋_GB2312"/>
          <w:i w:val="0"/>
          <w:caps w:val="0"/>
          <w:color w:val="333333"/>
          <w:spacing w:val="0"/>
          <w:kern w:val="0"/>
          <w:sz w:val="32"/>
          <w:szCs w:val="32"/>
          <w:lang w:val="en-US" w:eastAsia="zh-CN" w:bidi="en-AU"/>
        </w:rPr>
      </w:pPr>
      <w:bookmarkStart w:id="52" w:name="_Toc32593"/>
      <w:bookmarkStart w:id="53" w:name="_Toc9568"/>
      <w:bookmarkStart w:id="54" w:name="_Toc2932"/>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广元市昭化区青牛镇卫生院2023年支出预算110.45万元，其中：基本支出110.45万元，占100%。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黑体" w:hAnsi="黑体" w:eastAsia="黑体" w:cs="黑体"/>
          <w:b w:val="0"/>
          <w:bCs w:val="0"/>
          <w:i w:val="0"/>
          <w:caps w:val="0"/>
          <w:color w:val="333333"/>
          <w:spacing w:val="0"/>
          <w:kern w:val="0"/>
          <w:sz w:val="32"/>
          <w:szCs w:val="32"/>
          <w:lang w:val="en-US" w:eastAsia="zh-CN" w:bidi="en-AU"/>
        </w:rPr>
      </w:pPr>
      <w:r>
        <w:rPr>
          <w:rFonts w:hint="eastAsia" w:ascii="黑体" w:hAnsi="黑体" w:eastAsia="黑体" w:cs="黑体"/>
          <w:b w:val="0"/>
          <w:bCs w:val="0"/>
          <w:i w:val="0"/>
          <w:caps w:val="0"/>
          <w:color w:val="333333"/>
          <w:spacing w:val="0"/>
          <w:kern w:val="0"/>
          <w:sz w:val="32"/>
          <w:szCs w:val="32"/>
          <w:shd w:val="clear" w:color="auto" w:fill="FFFFFF"/>
          <w:lang w:val="en-US" w:eastAsia="zh-CN" w:bidi="en-AU"/>
        </w:rPr>
        <w:t>四、财政拨款收支预算情况说明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outlineLvl w:val="1"/>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广元市昭化区青牛镇卫生院2023年财政拨款收支总预算110.45万元，比2022年财政拨款收支总预算增加2.53万元，主要原因是在编人员数量增加、人员经费增加。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outlineLvl w:val="1"/>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收入包括：本年一般公共预算拨款收入110.45万元、支出包括：社会保障和就业支出24.86万元、卫生健康支出77.14万元、住房保障支出8.45万元。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671" w:leftChars="0" w:right="0" w:rightChars="0"/>
        <w:jc w:val="both"/>
        <w:outlineLvl w:val="1"/>
        <w:rPr>
          <w:rFonts w:hint="eastAsia" w:ascii="黑体" w:hAnsi="黑体" w:eastAsia="黑体" w:cs="黑体"/>
          <w:i w:val="0"/>
          <w:caps w:val="0"/>
          <w:color w:val="333333"/>
          <w:spacing w:val="0"/>
          <w:kern w:val="0"/>
          <w:sz w:val="32"/>
          <w:szCs w:val="32"/>
          <w:lang w:val="en-US" w:eastAsia="zh-CN" w:bidi="en-AU"/>
        </w:rPr>
      </w:pPr>
      <w:r>
        <w:rPr>
          <w:rFonts w:hint="eastAsia" w:ascii="黑体" w:hAnsi="黑体" w:eastAsia="黑体" w:cs="黑体"/>
          <w:i w:val="0"/>
          <w:caps w:val="0"/>
          <w:color w:val="333333"/>
          <w:spacing w:val="0"/>
          <w:kern w:val="0"/>
          <w:sz w:val="32"/>
          <w:szCs w:val="32"/>
          <w:shd w:val="clear" w:color="auto" w:fill="FFFFFF"/>
          <w:lang w:val="en-US" w:eastAsia="zh-CN" w:bidi="en-AU"/>
        </w:rPr>
        <w:t>五、一般公共预算当年拨款情况说明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671" w:leftChars="0" w:right="0" w:rightChars="0"/>
        <w:jc w:val="both"/>
        <w:outlineLvl w:val="1"/>
        <w:rPr>
          <w:rFonts w:hint="default" w:ascii="Times New Roman" w:hAnsi="Times New Roman" w:cs="Times New Roman"/>
          <w:b w:val="0"/>
          <w:bCs/>
          <w:i w:val="0"/>
          <w:caps w:val="0"/>
          <w:color w:val="333333"/>
          <w:spacing w:val="0"/>
          <w:sz w:val="32"/>
          <w:szCs w:val="32"/>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（一）一般公共预算当年拨款规模变化情况</w:t>
      </w:r>
      <w:bookmarkEnd w:id="52"/>
      <w:bookmarkEnd w:id="53"/>
      <w:bookmarkEnd w:id="54"/>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广元市昭化区青牛镇卫生院2023年一般公共预算当年拨款110.45万元，比2022年预算数增加2.53万元，主要原因是在编人员数量增加、人员经费增加。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outlineLvl w:val="1"/>
        <w:rPr>
          <w:rFonts w:hint="default" w:ascii="楷体_GB2312" w:hAnsi="Times New Roman" w:eastAsia="楷体_GB2312" w:cs="楷体_GB2312"/>
          <w:b w:val="0"/>
          <w:bCs/>
          <w:i w:val="0"/>
          <w:caps w:val="0"/>
          <w:color w:val="333333"/>
          <w:spacing w:val="0"/>
          <w:kern w:val="0"/>
          <w:sz w:val="32"/>
          <w:szCs w:val="32"/>
          <w:lang w:val="en-US" w:eastAsia="zh-CN" w:bidi="en-AU"/>
        </w:rPr>
      </w:pPr>
      <w:bookmarkStart w:id="55" w:name="_Toc90"/>
      <w:bookmarkStart w:id="56" w:name="_Toc28270"/>
      <w:bookmarkStart w:id="57" w:name="_Toc13789"/>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（二）一般公共预算当年拨款结构情况</w:t>
      </w:r>
      <w:bookmarkEnd w:id="55"/>
      <w:bookmarkEnd w:id="56"/>
      <w:bookmarkEnd w:id="57"/>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社会保障和就业支出24.86万元，占22.51%；卫生健康支出77.14万元，占69.84%；住房保障支出8.45万元，占7.65%。</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outlineLvl w:val="1"/>
        <w:rPr>
          <w:rFonts w:hint="eastAsia" w:ascii="楷体_GB2312" w:hAnsi="Times New Roman" w:eastAsia="楷体_GB2312" w:cs="楷体_GB2312"/>
          <w:b w:val="0"/>
          <w:bCs/>
          <w:i w:val="0"/>
          <w:caps w:val="0"/>
          <w:color w:val="333333"/>
          <w:spacing w:val="0"/>
          <w:kern w:val="0"/>
          <w:sz w:val="32"/>
          <w:szCs w:val="32"/>
          <w:lang w:val="en-US" w:eastAsia="zh-CN" w:bidi="en-AU"/>
        </w:rPr>
      </w:pPr>
      <w:bookmarkStart w:id="58" w:name="_Toc13619"/>
      <w:bookmarkStart w:id="59" w:name="_Toc15034"/>
      <w:bookmarkStart w:id="60" w:name="_Toc22031"/>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（三）一般公共预算当年拨款具体使用情况</w:t>
      </w:r>
      <w:bookmarkEnd w:id="58"/>
      <w:bookmarkEnd w:id="59"/>
      <w:bookmarkEnd w:id="6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000000"/>
          <w:spacing w:val="0"/>
          <w:kern w:val="0"/>
          <w:sz w:val="32"/>
          <w:szCs w:val="32"/>
          <w:lang w:val="en-US" w:eastAsia="zh-CN" w:bidi="en-AU"/>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en-AU"/>
        </w:rPr>
        <w:t>1.社会保障和就业（210）行政事业单位养老支出（03）事业单位离退休（02）2023年预算数为10万元，主要用于：事业单位离退休人员经费支出。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000000"/>
          <w:spacing w:val="0"/>
          <w:kern w:val="0"/>
          <w:sz w:val="32"/>
          <w:szCs w:val="32"/>
          <w:lang w:val="en-US" w:eastAsia="zh-CN" w:bidi="en-AU"/>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en-AU"/>
        </w:rPr>
        <w:t>2.社会保障和就业（208）行政事业单位养老支出（05）机关事业单位基本养老保险缴费支出（05）2023年预算数为11.26万元，主要用于：实施养老保险制度由单位缴纳的基本养老保险支出。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000000"/>
          <w:spacing w:val="0"/>
          <w:kern w:val="0"/>
          <w:sz w:val="32"/>
          <w:szCs w:val="32"/>
          <w:lang w:val="en-US" w:eastAsia="zh-CN" w:bidi="en-AU"/>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en-AU"/>
        </w:rPr>
        <w:t>3.社会保障和就业（208）行政事业单位养老支出（05）机关事业单位职业年金缴费支出（06）2023年预算数为3.60万元，主要用于：实施养老保险制度由单位缴纳的职业年金支出。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color w:val="000000"/>
          <w:lang w:val="en-US" w:eastAsia="zh-CN"/>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en-AU"/>
        </w:rPr>
        <w:t>4.卫生健康（210）行政事业单位医疗（03）其他（02）2023年预算数为71.28万元，主要用于：本单位工资待遇和项目。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000000"/>
          <w:spacing w:val="0"/>
          <w:kern w:val="0"/>
          <w:sz w:val="32"/>
          <w:szCs w:val="32"/>
          <w:lang w:val="en-US" w:eastAsia="zh-CN" w:bidi="en-AU"/>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en-AU"/>
        </w:rPr>
        <w:t>5.卫生健康（210）行政事业单位医疗（11）事业单位医疗（02）2023年预算数为5.86万元，主要用于：事业单位按规定由单位缴纳的基本医疗保险支出。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000000"/>
          <w:spacing w:val="0"/>
          <w:kern w:val="0"/>
          <w:sz w:val="32"/>
          <w:szCs w:val="32"/>
          <w:lang w:val="en-US" w:eastAsia="zh-CN" w:bidi="en-AU"/>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en-AU"/>
        </w:rPr>
        <w:t>6.住房保障（221）住房改革支出（02）住房公积金（01）2023年预算数为8.45万元，主要用于：部门按规定为职工缴纳的住房公积金支出。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outlineLvl w:val="0"/>
        <w:rPr>
          <w:rFonts w:hint="default" w:ascii="Times New Roman" w:hAnsi="Times New Roman" w:cs="Times New Roman"/>
          <w:i w:val="0"/>
          <w:caps w:val="0"/>
          <w:color w:val="333333"/>
          <w:spacing w:val="0"/>
          <w:sz w:val="32"/>
          <w:szCs w:val="32"/>
        </w:rPr>
      </w:pPr>
      <w:bookmarkStart w:id="61" w:name="_Toc1048"/>
      <w:bookmarkStart w:id="62" w:name="_Toc25585"/>
      <w:bookmarkStart w:id="63" w:name="_Toc17053"/>
      <w:bookmarkStart w:id="64" w:name="_Toc25908"/>
      <w:r>
        <w:rPr>
          <w:rFonts w:hint="eastAsia" w:ascii="黑体" w:hAnsi="宋体" w:eastAsia="黑体" w:cs="黑体"/>
          <w:i w:val="0"/>
          <w:caps w:val="0"/>
          <w:color w:val="333333"/>
          <w:spacing w:val="0"/>
          <w:kern w:val="0"/>
          <w:sz w:val="32"/>
          <w:szCs w:val="32"/>
          <w:shd w:val="clear" w:color="auto" w:fill="FFFFFF"/>
          <w:lang w:val="en-US" w:eastAsia="zh-CN" w:bidi="en-AU"/>
        </w:rPr>
        <w:t>六、一般公共预算基本支出情况说明</w:t>
      </w:r>
      <w:bookmarkEnd w:id="61"/>
      <w:bookmarkEnd w:id="62"/>
      <w:bookmarkEnd w:id="63"/>
      <w:bookmarkEnd w:id="64"/>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广元市昭化区青牛镇卫生院2023年一般公共预算基本支出110.45万元，其中：人员经费110.45万元，主要包括：基本工资、津贴补贴、奖金、社会保险缴费、退休费、住房公积金等支出、退休费人员生活补助。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公用经费0万元。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outlineLvl w:val="0"/>
        <w:rPr>
          <w:rFonts w:hint="default" w:ascii="Times New Roman" w:hAnsi="Times New Roman" w:cs="Times New Roman"/>
          <w:i w:val="0"/>
          <w:caps w:val="0"/>
          <w:color w:val="333333"/>
          <w:spacing w:val="0"/>
          <w:sz w:val="32"/>
          <w:szCs w:val="32"/>
        </w:rPr>
      </w:pPr>
      <w:bookmarkStart w:id="65" w:name="_Toc6177"/>
      <w:bookmarkStart w:id="66" w:name="_Toc4487"/>
      <w:bookmarkStart w:id="67" w:name="_Toc31331"/>
      <w:bookmarkStart w:id="68" w:name="_Toc30604"/>
      <w:r>
        <w:rPr>
          <w:rFonts w:hint="eastAsia" w:ascii="黑体" w:hAnsi="宋体" w:eastAsia="黑体" w:cs="黑体"/>
          <w:i w:val="0"/>
          <w:caps w:val="0"/>
          <w:color w:val="333333"/>
          <w:spacing w:val="0"/>
          <w:kern w:val="0"/>
          <w:sz w:val="32"/>
          <w:szCs w:val="32"/>
          <w:shd w:val="clear" w:color="auto" w:fill="FFFFFF"/>
          <w:lang w:val="en-US" w:eastAsia="zh-CN" w:bidi="en-AU"/>
        </w:rPr>
        <w:t>七、“三公”经费财政拨款预算安排情况说明</w:t>
      </w:r>
      <w:bookmarkEnd w:id="65"/>
      <w:bookmarkEnd w:id="66"/>
      <w:bookmarkEnd w:id="67"/>
      <w:bookmarkEnd w:id="68"/>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广元市昭化区青牛镇卫生院2023年“三公”经费财政拨款预算数0万元（2023年本单位无三公经费预算），其中：公务接待费0万元，公务用车购置及运行维护费0万元，因公出国（境）经费0万元。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b w:val="0"/>
          <w:bCs/>
          <w:i w:val="0"/>
          <w:caps w:val="0"/>
          <w:color w:val="333333"/>
          <w:spacing w:val="0"/>
          <w:sz w:val="32"/>
          <w:szCs w:val="32"/>
        </w:rPr>
      </w:pPr>
      <w:bookmarkStart w:id="69" w:name="_Toc9796"/>
      <w:bookmarkStart w:id="70" w:name="_Toc31273"/>
      <w:bookmarkStart w:id="71" w:name="_Toc22701"/>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（一）公务接待费与2022年预算相比</w:t>
      </w:r>
      <w:bookmarkEnd w:id="69"/>
      <w:bookmarkEnd w:id="70"/>
      <w:bookmarkEnd w:id="71"/>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lang w:val="en-US"/>
        </w:rPr>
      </w:pPr>
      <w:bookmarkStart w:id="72" w:name="_Toc29500"/>
      <w:bookmarkStart w:id="73" w:name="_Toc30712"/>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2023年本单位无公务接待费预算，与2022年预算相比持平。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outlineLvl w:val="1"/>
        <w:rPr>
          <w:rFonts w:hint="default" w:ascii="Times New Roman" w:hAnsi="Times New Roman" w:cs="Times New Roman"/>
          <w:b w:val="0"/>
          <w:bCs/>
          <w:i w:val="0"/>
          <w:caps w:val="0"/>
          <w:color w:val="333333"/>
          <w:spacing w:val="0"/>
          <w:sz w:val="32"/>
          <w:szCs w:val="32"/>
        </w:rPr>
      </w:pPr>
      <w:bookmarkStart w:id="74" w:name="_Toc14473"/>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（二）公务用车购置及运行维护费与2022年预算相比</w:t>
      </w:r>
      <w:bookmarkEnd w:id="72"/>
      <w:bookmarkEnd w:id="73"/>
      <w:bookmarkEnd w:id="74"/>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2023年本单位无公务用车购置及运行维护费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预算</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，与2022年预算相比持平。</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674" w:firstLineChars="0"/>
        <w:jc w:val="both"/>
        <w:outlineLvl w:val="1"/>
        <w:rPr>
          <w:rFonts w:hint="eastAsia" w:ascii="楷体_GB2312" w:hAnsi="Times New Roman" w:eastAsia="楷体_GB2312" w:cs="楷体_GB2312"/>
          <w:b w:val="0"/>
          <w:bCs w:val="0"/>
          <w:i w:val="0"/>
          <w:caps w:val="0"/>
          <w:color w:val="333333"/>
          <w:spacing w:val="0"/>
          <w:kern w:val="0"/>
          <w:sz w:val="32"/>
          <w:szCs w:val="32"/>
          <w:lang w:val="en-US" w:eastAsia="zh-CN" w:bidi="en-AU"/>
        </w:rPr>
      </w:pPr>
      <w:bookmarkStart w:id="75" w:name="_Toc27504"/>
      <w:bookmarkStart w:id="76" w:name="_Toc5758"/>
      <w:bookmarkStart w:id="77" w:name="_Toc23032"/>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因公出国（境）经费与2022年预</w:t>
      </w:r>
      <w:r>
        <w:rPr>
          <w:rFonts w:hint="eastAsia" w:ascii="楷体_GB2312" w:hAnsi="Times New Roman" w:eastAsia="楷体_GB2312" w:cs="楷体_GB2312"/>
          <w:b w:val="0"/>
          <w:bCs w:val="0"/>
          <w:i w:val="0"/>
          <w:caps w:val="0"/>
          <w:color w:val="333333"/>
          <w:spacing w:val="0"/>
          <w:kern w:val="0"/>
          <w:sz w:val="32"/>
          <w:szCs w:val="32"/>
          <w:shd w:val="clear" w:color="auto" w:fill="FFFFFF"/>
          <w:lang w:val="en-US" w:eastAsia="zh-CN" w:bidi="en-AU"/>
        </w:rPr>
        <w:t>算相比</w:t>
      </w:r>
      <w:bookmarkEnd w:id="75"/>
      <w:bookmarkEnd w:id="76"/>
      <w:bookmarkEnd w:id="77"/>
    </w:p>
    <w:p>
      <w:pPr>
        <w:pStyle w:val="7"/>
        <w:numPr>
          <w:ilvl w:val="0"/>
          <w:numId w:val="0"/>
        </w:numPr>
        <w:ind w:firstLine="640" w:firstLineChars="200"/>
        <w:rPr>
          <w:rFonts w:hint="default"/>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2023年本单位无因公出国（境）经费预算，与2022年预算相比持平。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outlineLvl w:val="0"/>
        <w:rPr>
          <w:rFonts w:hint="default" w:ascii="Times New Roman" w:hAnsi="Times New Roman" w:cs="Times New Roman"/>
          <w:i w:val="0"/>
          <w:caps w:val="0"/>
          <w:color w:val="333333"/>
          <w:spacing w:val="0"/>
          <w:sz w:val="32"/>
          <w:szCs w:val="32"/>
        </w:rPr>
      </w:pPr>
      <w:bookmarkStart w:id="78" w:name="_Toc3156"/>
      <w:bookmarkStart w:id="79" w:name="_Toc1687"/>
      <w:bookmarkStart w:id="80" w:name="_Toc23130"/>
      <w:bookmarkStart w:id="81" w:name="_Toc31305"/>
      <w:r>
        <w:rPr>
          <w:rFonts w:hint="eastAsia" w:ascii="黑体" w:hAnsi="宋体" w:eastAsia="黑体" w:cs="黑体"/>
          <w:i w:val="0"/>
          <w:caps w:val="0"/>
          <w:color w:val="333333"/>
          <w:spacing w:val="0"/>
          <w:kern w:val="0"/>
          <w:sz w:val="32"/>
          <w:szCs w:val="32"/>
          <w:shd w:val="clear" w:color="auto" w:fill="FFFFFF"/>
          <w:lang w:val="en-US" w:eastAsia="zh-CN" w:bidi="en-AU"/>
        </w:rPr>
        <w:t>八、政府性基金预算支出情况说明</w:t>
      </w:r>
      <w:bookmarkEnd w:id="78"/>
      <w:bookmarkEnd w:id="79"/>
      <w:bookmarkEnd w:id="80"/>
      <w:bookmarkEnd w:id="81"/>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广元市昭化区青牛镇卫生院2023年没有使用政府性基金预算拨款安排的支出。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outlineLvl w:val="0"/>
        <w:rPr>
          <w:rFonts w:hint="default" w:ascii="Times New Roman" w:hAnsi="Times New Roman" w:cs="Times New Roman"/>
          <w:i w:val="0"/>
          <w:caps w:val="0"/>
          <w:color w:val="333333"/>
          <w:spacing w:val="0"/>
          <w:sz w:val="32"/>
          <w:szCs w:val="32"/>
        </w:rPr>
      </w:pPr>
      <w:bookmarkStart w:id="82" w:name="_Toc24510"/>
      <w:bookmarkStart w:id="83" w:name="_Toc20995"/>
      <w:bookmarkStart w:id="84" w:name="_Toc12939"/>
      <w:bookmarkStart w:id="85" w:name="_Toc4887"/>
      <w:r>
        <w:rPr>
          <w:rFonts w:hint="eastAsia" w:ascii="黑体" w:hAnsi="宋体" w:eastAsia="黑体" w:cs="黑体"/>
          <w:i w:val="0"/>
          <w:caps w:val="0"/>
          <w:color w:val="333333"/>
          <w:spacing w:val="0"/>
          <w:kern w:val="0"/>
          <w:sz w:val="32"/>
          <w:szCs w:val="32"/>
          <w:shd w:val="clear" w:color="auto" w:fill="FFFFFF"/>
          <w:lang w:val="en-US" w:eastAsia="zh-CN" w:bidi="en-AU"/>
        </w:rPr>
        <w:t>九、国有资本经营预算支出情况说明</w:t>
      </w:r>
      <w:bookmarkEnd w:id="82"/>
      <w:bookmarkEnd w:id="83"/>
      <w:bookmarkEnd w:id="84"/>
      <w:bookmarkEnd w:id="85"/>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广元市昭化区青牛镇卫生院2023年没有使用国有资本经营预算拨款安排的支出。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outlineLvl w:val="0"/>
        <w:rPr>
          <w:rFonts w:hint="default" w:ascii="Times New Roman" w:hAnsi="Times New Roman" w:cs="Times New Roman"/>
          <w:i w:val="0"/>
          <w:caps w:val="0"/>
          <w:color w:val="333333"/>
          <w:spacing w:val="0"/>
          <w:sz w:val="32"/>
          <w:szCs w:val="32"/>
        </w:rPr>
      </w:pPr>
      <w:bookmarkStart w:id="86" w:name="_Toc1345"/>
      <w:bookmarkStart w:id="87" w:name="_Toc16869"/>
      <w:bookmarkStart w:id="88" w:name="_Toc28787"/>
      <w:bookmarkStart w:id="89" w:name="_Toc30872"/>
      <w:r>
        <w:rPr>
          <w:rFonts w:hint="eastAsia" w:ascii="黑体" w:hAnsi="宋体" w:eastAsia="黑体" w:cs="黑体"/>
          <w:i w:val="0"/>
          <w:caps w:val="0"/>
          <w:color w:val="333333"/>
          <w:spacing w:val="0"/>
          <w:kern w:val="0"/>
          <w:sz w:val="32"/>
          <w:szCs w:val="32"/>
          <w:shd w:val="clear" w:color="auto" w:fill="FFFFFF"/>
          <w:lang w:val="en-US" w:eastAsia="zh-CN" w:bidi="en-AU"/>
        </w:rPr>
        <w:t>十、其他重要事项的情况说明</w:t>
      </w:r>
      <w:bookmarkEnd w:id="86"/>
      <w:bookmarkEnd w:id="87"/>
      <w:bookmarkEnd w:id="88"/>
      <w:bookmarkEnd w:id="89"/>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outlineLvl w:val="1"/>
        <w:rPr>
          <w:rFonts w:hint="default" w:ascii="Times New Roman" w:hAnsi="Times New Roman" w:cs="Times New Roman"/>
          <w:b w:val="0"/>
          <w:bCs/>
          <w:i w:val="0"/>
          <w:caps w:val="0"/>
          <w:color w:val="333333"/>
          <w:spacing w:val="0"/>
          <w:sz w:val="32"/>
          <w:szCs w:val="32"/>
        </w:rPr>
      </w:pPr>
      <w:bookmarkStart w:id="90" w:name="_Toc25057"/>
      <w:bookmarkStart w:id="91" w:name="_Toc19025"/>
      <w:bookmarkStart w:id="92" w:name="_Toc19653"/>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（一）机关运行经费</w:t>
      </w:r>
      <w:bookmarkEnd w:id="90"/>
      <w:bookmarkEnd w:id="91"/>
      <w:bookmarkEnd w:id="92"/>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2023年广元市昭化区青牛镇卫生院无机关运行经费。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640" w:firstLineChars="200"/>
        <w:jc w:val="both"/>
        <w:outlineLvl w:val="1"/>
        <w:rPr>
          <w:rFonts w:hint="default" w:ascii="Times New Roman" w:hAnsi="Times New Roman" w:cs="Times New Roman"/>
          <w:b w:val="0"/>
          <w:bCs/>
          <w:i w:val="0"/>
          <w:caps w:val="0"/>
          <w:color w:val="333333"/>
          <w:spacing w:val="0"/>
          <w:sz w:val="32"/>
          <w:szCs w:val="32"/>
        </w:rPr>
      </w:pPr>
      <w:bookmarkStart w:id="93" w:name="_Toc5570"/>
      <w:bookmarkStart w:id="94" w:name="_Toc32087"/>
      <w:bookmarkStart w:id="95" w:name="_Toc26291"/>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（二）政府采购情况</w:t>
      </w:r>
      <w:bookmarkEnd w:id="93"/>
      <w:bookmarkEnd w:id="94"/>
      <w:bookmarkEnd w:id="95"/>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2023年，广元市昭化区青牛镇卫生院安排政府采购预算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outlineLvl w:val="1"/>
        <w:rPr>
          <w:rFonts w:hint="default" w:ascii="Times New Roman" w:hAnsi="Times New Roman" w:cs="Times New Roman"/>
          <w:b w:val="0"/>
          <w:bCs/>
          <w:i w:val="0"/>
          <w:caps w:val="0"/>
          <w:color w:val="333333"/>
          <w:spacing w:val="0"/>
          <w:sz w:val="32"/>
          <w:szCs w:val="32"/>
        </w:rPr>
      </w:pPr>
      <w:bookmarkStart w:id="96" w:name="_Toc13196"/>
      <w:bookmarkStart w:id="97" w:name="_Toc31032"/>
      <w:bookmarkStart w:id="98" w:name="_Toc13459"/>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（三）国有资产占有使用情况</w:t>
      </w:r>
      <w:bookmarkEnd w:id="96"/>
      <w:bookmarkEnd w:id="97"/>
      <w:bookmarkEnd w:id="98"/>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截至2022年底，广元市昭化区青牛镇卫生院共有车辆</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辆，其中，领导干部用车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辆、定向保障用车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辆（救护车）、执法执勤用车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outlineLvl w:val="0"/>
        <w:rPr>
          <w:rFonts w:hint="eastAsia" w:ascii="楷体_GB2312" w:hAnsi="Times New Roman" w:eastAsia="楷体_GB2312" w:cs="楷体_GB2312"/>
          <w:b/>
          <w:i w:val="0"/>
          <w:caps w:val="0"/>
          <w:color w:val="333333"/>
          <w:spacing w:val="0"/>
          <w:kern w:val="0"/>
          <w:sz w:val="32"/>
          <w:szCs w:val="32"/>
          <w:lang w:val="en-US" w:eastAsia="zh-CN" w:bidi="en-AU"/>
        </w:rPr>
      </w:pPr>
      <w:bookmarkStart w:id="99" w:name="_Toc15974"/>
      <w:bookmarkStart w:id="100" w:name="_Toc30120"/>
      <w:bookmarkStart w:id="101" w:name="_Toc30744"/>
      <w:bookmarkStart w:id="102" w:name="_Toc10995"/>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（四）绩效目标编制情况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绩效目标是预算编制的前提和基础，2023年青牛镇卫生院部门预算按申请项目资金年度预期达到的产出和效果，编制了“部门预算项目绩效目标申报表（2023年度）”，涉及项目  0个 （含单位定额公用经费），金额 0 万元；按年度全部部门预算资金达到的总体产出和效果编制了“整体支出绩效目标申报表”。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outlineLvl w:val="0"/>
        <w:rPr>
          <w:rFonts w:hint="default" w:ascii="Times New Roman" w:hAnsi="Times New Roman" w:cs="Times New Roman"/>
          <w:i w:val="0"/>
          <w:caps w:val="0"/>
          <w:color w:val="333333"/>
          <w:spacing w:val="0"/>
          <w:sz w:val="32"/>
          <w:szCs w:val="32"/>
        </w:rPr>
      </w:pPr>
      <w:r>
        <w:rPr>
          <w:rFonts w:hint="eastAsia" w:ascii="黑体" w:hAnsi="宋体" w:eastAsia="黑体" w:cs="黑体"/>
          <w:i w:val="0"/>
          <w:caps w:val="0"/>
          <w:color w:val="333333"/>
          <w:spacing w:val="0"/>
          <w:kern w:val="0"/>
          <w:sz w:val="32"/>
          <w:szCs w:val="32"/>
          <w:shd w:val="clear" w:color="auto" w:fill="FFFFFF"/>
          <w:lang w:val="en-US" w:eastAsia="zh-CN" w:bidi="en-AU"/>
        </w:rPr>
        <w:t>十一、名词解释</w:t>
      </w:r>
      <w:bookmarkEnd w:id="99"/>
      <w:bookmarkEnd w:id="100"/>
      <w:bookmarkEnd w:id="101"/>
      <w:bookmarkEnd w:id="102"/>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left"/>
        <w:outlineLvl w:val="0"/>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（一）一般公共预算拨款收入：指省级财政当年拨付的资金。</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（二）社会保障和就业（类）行政事业单位养老支出（款）事业单位离退休（项）：指事业单位离退休人员的支出。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（三）社会保障和就业（类）行政事业单位养老支出（款）行政单位离退休（项）：指行政及参公管理事业单位离退休人员的支出。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（四）社会保障和就业（类）行政事业单位养老支出（款）机关事业单位基本养老保险缴费支出（项）：指部门实施养老保险制度由单位缴纳的养老保险的支出。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（五）社会保障和就业（类）行政事业单位养老支出（款）机关事业单位职业年金缴费支出（项）：指部门实施养老保险制度由单位缴纳的职业年金的支出。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（六）卫生健康（类）行政事业单位医疗（款）行政单位医疗（项）：指机关及参公管理事业单位用于单位应缴纳基本医疗保险支出。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（七）卫生健康（类）行政事业单位医疗（款）事业单位医疗（项）：指事业单位用于单位应缴纳基本医疗保险支出。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（八）卫生健康（类）行政事业单位医疗（款）公务员医疗补助（项）：指机关及参公管理事业单位用于集中缴纳公务员医疗补助支出。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（九）住房保障（类）住房改革支出（款）住房公积金（项）：指按照《住房公积金管理条例》的规定，由单位及其在职职工缴存的长期住房储金。</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（十）基本支出：指为保证机构正常运转，完成日常工作任务而发生的人员支出和公用支出。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十一）“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十二）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附件：部门预算公开表</w:t>
      </w:r>
    </w:p>
    <w:p/>
    <w:sectPr>
      <w:footerReference r:id="rId4" w:type="default"/>
      <w:pgSz w:w="11906" w:h="16838"/>
      <w:pgMar w:top="2098" w:right="1474" w:bottom="1984" w:left="1587" w:header="720" w:footer="720" w:gutter="0"/>
      <w:pgNumType w:fmt="decimal" w:start="3"/>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2" o:spid="_x0000_s2049" o:spt="202" type="#_x0000_t202" style="position:absolute;left:0pt;margin-top:0pt;height:144pt;width:144pt;mso-position-horizontal:outside;mso-position-horizontal-relative:margin;mso-wrap-style:none;z-index:0;mso-width-relative:page;mso-height-relative:page;" filled="f" stroked="f" coordsize="21600,21600">
          <v:path/>
          <v:fill on="f" focussize="0,0"/>
          <v:stroke on="f"/>
          <v:imagedata o:title=""/>
          <o:lock v:ext="edit"/>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ˇˉ―‖’”…∶、。〃々〉》」』】〕〗！＂＇），．：；？］｀｜｝～￠"/>
  <w:hdrShapeDefaults>
    <o:shapelayout v:ext="edit">
      <o:idmap v:ext="edit" data="2"/>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OWMwMDdjMDFjZjQ1NWM1ZjZjMDI2NDMyZGQyNmU4MjQifQ=="/>
    <w:docVar w:name="KSO_WPS_MARK_KEY" w:val="b5df2f38-f704-4cb4-9d30-0ef3590e12a8"/>
  </w:docVars>
  <w:rsids>
    <w:rsidRoot w:val="00000000"/>
    <w:rsid w:val="0F215745"/>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2">
    <w:name w:val="Default Paragraph Font"/>
    <w:uiPriority w:val="0"/>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
    <w:name w:val="默认段落字体11"/>
    <w:uiPriority w:val="0"/>
  </w:style>
  <w:style w:type="table" w:customStyle="1" w:styleId="6">
    <w:name w:val="普通表格1"/>
    <w:semiHidden/>
    <w:qFormat/>
    <w:uiPriority w:val="0"/>
    <w:tblPr>
      <w:tblLayout w:type="fixed"/>
      <w:tblCellMar>
        <w:top w:w="0" w:type="dxa"/>
        <w:left w:w="108" w:type="dxa"/>
        <w:bottom w:w="0" w:type="dxa"/>
        <w:right w:w="108" w:type="dxa"/>
      </w:tblCellMar>
    </w:tblPr>
  </w:style>
  <w:style w:type="paragraph" w:customStyle="1" w:styleId="7">
    <w:name w:val="正文文本1"/>
    <w:basedOn w:val="1"/>
    <w:next w:val="1"/>
    <w:qFormat/>
    <w:uiPriority w:val="0"/>
    <w:pPr>
      <w:spacing w:before="0" w:after="140" w:line="276" w:lineRule="auto"/>
    </w:pPr>
  </w:style>
  <w:style w:type="paragraph" w:customStyle="1" w:styleId="8">
    <w:name w:val="题注1"/>
    <w:basedOn w:val="1"/>
    <w:uiPriority w:val="0"/>
    <w:pPr>
      <w:widowControl w:val="0"/>
      <w:suppressLineNumbers/>
      <w:suppressAutoHyphens/>
      <w:spacing w:before="120" w:after="120"/>
    </w:pPr>
    <w:rPr>
      <w:i/>
      <w:iCs/>
      <w:sz w:val="24"/>
      <w:szCs w:val="24"/>
    </w:rPr>
  </w:style>
  <w:style w:type="paragraph" w:customStyle="1" w:styleId="9">
    <w:name w:val="页脚1"/>
    <w:basedOn w:val="1"/>
    <w:qFormat/>
    <w:uiPriority w:val="0"/>
    <w:pPr>
      <w:tabs>
        <w:tab w:val="center" w:pos="4153"/>
        <w:tab w:val="right" w:pos="8306"/>
      </w:tabs>
      <w:snapToGrid w:val="0"/>
      <w:jc w:val="left"/>
    </w:pPr>
    <w:rPr>
      <w:sz w:val="18"/>
    </w:rPr>
  </w:style>
  <w:style w:type="paragraph" w:customStyle="1" w:styleId="10">
    <w:name w:val="页眉1"/>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目录 11"/>
    <w:basedOn w:val="1"/>
    <w:next w:val="1"/>
    <w:uiPriority w:val="0"/>
  </w:style>
  <w:style w:type="paragraph" w:customStyle="1" w:styleId="12">
    <w:name w:val="列表1"/>
    <w:basedOn w:val="7"/>
    <w:uiPriority w:val="0"/>
  </w:style>
  <w:style w:type="paragraph" w:customStyle="1" w:styleId="13">
    <w:name w:val="目录 21"/>
    <w:basedOn w:val="1"/>
    <w:next w:val="1"/>
    <w:uiPriority w:val="0"/>
    <w:pPr>
      <w:ind w:left="420" w:leftChars="200"/>
    </w:pPr>
  </w:style>
  <w:style w:type="paragraph" w:customStyle="1" w:styleId="14">
    <w:name w:val="普通(网站)1"/>
    <w:basedOn w:val="1"/>
    <w:qFormat/>
    <w:uiPriority w:val="0"/>
    <w:rPr>
      <w:sz w:val="24"/>
    </w:rPr>
  </w:style>
  <w:style w:type="character" w:customStyle="1" w:styleId="15">
    <w:name w:val="默认段落字体1"/>
    <w:uiPriority w:val="0"/>
  </w:style>
  <w:style w:type="paragraph" w:customStyle="1" w:styleId="16">
    <w:name w:val="Heading"/>
    <w:basedOn w:val="1"/>
    <w:next w:val="7"/>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uiPriority w:val="0"/>
    <w:pPr>
      <w:widowControl w:val="0"/>
      <w:suppressLineNumbers/>
      <w:suppressAutoHyphens/>
    </w:p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3848</Words>
  <Characters>4127</Characters>
  <TotalTime>157297921</TotalTime>
  <ScaleCrop>false</ScaleCrop>
  <LinksUpToDate>false</LinksUpToDate>
  <CharactersWithSpaces>4175</CharactersWithSpaces>
  <Application>WPS Office_10.1.0.7520_F1E327BC-269C-435d-A152-05C5408002CA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2018-11-28T01:47:00Z</dcterms:created>
  <dc:creator>user</dc:creator>
  <cp:lastModifiedBy>lenovo</cp:lastModifiedBy>
  <dcterms:modified xsi:type="dcterms:W3CDTF">2024-08-12T06:09:32Z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8DADC6D039EC4A668505C1BD561A4262_13</vt:lpwstr>
  </property>
</Properties>
</file>