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9"/>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bookmarkStart w:id="0" w:name="_Toc28582"/>
      <w:bookmarkStart w:id="1" w:name="_Toc30743"/>
      <w:bookmarkStart w:id="2" w:name="_Toc19856"/>
      <w:bookmarkStart w:id="3" w:name="_Toc24094"/>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outlineLvl w:val="9"/>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9"/>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9"/>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9"/>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default" w:ascii="Times New Roman" w:hAnsi="Times New Roman" w:cs="Times New Roman"/>
          <w:i w:val="0"/>
          <w:caps w:val="0"/>
          <w:color w:val="333333"/>
          <w:spacing w:val="0"/>
          <w:sz w:val="32"/>
          <w:szCs w:val="32"/>
          <w:lang w:val="en-US"/>
        </w:rPr>
      </w:pPr>
      <w:bookmarkStart w:id="4" w:name="_Toc3539"/>
      <w:bookmarkStart w:id="5" w:name="_Toc17039"/>
      <w:bookmarkStart w:id="6" w:name="_Toc26459"/>
      <w:bookmarkStart w:id="7" w:name="_Toc6002"/>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广元市昭化区虎跳镇中心卫生院</w:t>
      </w:r>
      <w:bookmarkEnd w:id="0"/>
      <w:bookmarkEnd w:id="1"/>
      <w:bookmarkEnd w:id="2"/>
      <w:bookmarkEnd w:id="3"/>
      <w:bookmarkEnd w:id="4"/>
      <w:bookmarkEnd w:id="5"/>
      <w:bookmarkEnd w:id="6"/>
      <w:bookmarkEnd w:id="7"/>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2023年部门预算编制说明</w:t>
      </w:r>
    </w:p>
    <w:p>
      <w:pPr>
        <w:pStyle w:val="15"/>
        <w:ind w:hanging="88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pStyle w:val="15"/>
        <w:ind w:hanging="88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pStyle w:val="15"/>
        <w:ind w:hanging="88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r>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en-AU"/>
        </w:rPr>
        <w:t>目  录</w:t>
      </w:r>
    </w:p>
    <w:p>
      <w:pPr>
        <w:pStyle w:val="13"/>
        <w:tabs>
          <w:tab w:val="right" w:leader="dot" w:pos="8306"/>
        </w:tabs>
        <w:rPr>
          <w:rFonts w:hint="eastAsia" w:ascii="黑体" w:hAnsi="黑体" w:eastAsia="黑体" w:cs="黑体"/>
          <w:sz w:val="28"/>
          <w:szCs w:val="28"/>
        </w:rPr>
      </w:pPr>
      <w:r>
        <w:rPr>
          <w:rFonts w:hint="eastAsia" w:ascii="黑体" w:hAnsi="黑体" w:eastAsia="黑体" w:cs="黑体"/>
          <w:i w:val="0"/>
          <w:caps w:val="0"/>
          <w:color w:val="333333"/>
          <w:spacing w:val="0"/>
          <w:kern w:val="0"/>
          <w:sz w:val="28"/>
          <w:szCs w:val="28"/>
          <w:shd w:val="clear" w:color="auto" w:fill="FFFFFF"/>
          <w:lang w:val="en-US" w:eastAsia="zh-CN" w:bidi="en-AU"/>
        </w:rPr>
        <w:fldChar w:fldCharType="begin"/>
      </w:r>
      <w:r>
        <w:rPr>
          <w:rFonts w:hint="eastAsia" w:ascii="黑体" w:hAnsi="黑体" w:eastAsia="黑体" w:cs="黑体"/>
          <w:i w:val="0"/>
          <w:caps w:val="0"/>
          <w:color w:val="333333"/>
          <w:spacing w:val="0"/>
          <w:kern w:val="0"/>
          <w:sz w:val="28"/>
          <w:szCs w:val="28"/>
          <w:shd w:val="clear" w:color="auto" w:fill="FFFFFF"/>
          <w:lang w:val="en-US" w:eastAsia="zh-CN" w:bidi="en-AU"/>
        </w:rPr>
        <w:instrText xml:space="preserve">TOC \o "1-1" \h \u</w:instrText>
      </w:r>
      <w:r>
        <w:rPr>
          <w:rFonts w:hint="eastAsia" w:ascii="黑体" w:hAnsi="黑体" w:eastAsia="黑体" w:cs="黑体"/>
          <w:i w:val="0"/>
          <w:caps w:val="0"/>
          <w:color w:val="333333"/>
          <w:spacing w:val="0"/>
          <w:kern w:val="0"/>
          <w:sz w:val="28"/>
          <w:szCs w:val="28"/>
          <w:shd w:val="clear" w:color="auto" w:fill="FFFFFF"/>
          <w:lang w:val="en-US" w:eastAsia="zh-CN" w:bidi="en-AU"/>
        </w:rPr>
        <w:fldChar w:fldCharType="separate"/>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"_Toc12228"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一、基本职能及主要工作</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_Toc12228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2</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"_Toc10186"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二、部门预算单位构成</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_Toc10186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5</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"_Toc29051"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三、收支预算情况说明</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_Toc29051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5</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"_Toc27918"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四、财政拨款收支预算情况说明</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_Toc27918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6</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"_Toc26254"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五、一般公共预算当年拨款情况说明</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_Toc26254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6</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"_Toc4822"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六、一般公共预算基本支出情况说明</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_Toc4822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7</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"_Toc27482"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七、“三公”经费财政拨款预算安排情况说明</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_Toc27482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8</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"_Toc4773"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八、政府性基金预算支出情况说明</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_Toc4773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8</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"_Toc28527"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九、国有资本经营预算支出情况说明</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_Toc28527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8</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"_Toc29061"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十、其他重要事项的情况说明</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_Toc29061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9</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pStyle w:val="13"/>
        <w:tabs>
          <w:tab w:val="right" w:leader="dot" w:pos="8306"/>
        </w:tabs>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fldChar w:fldCharType="begin"/>
      </w:r>
      <w:r>
        <w:instrText xml:space="preserve"> HYPERLINK \l "_Toc12438" </w:instrText>
      </w:r>
      <w: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十一、名词解释</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ab/>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 PAGEREF _Toc12438 \h </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t>9</w: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outlineLvl w:val="9"/>
        <w:rPr>
          <w:rFonts w:hint="default" w:ascii="Cambria" w:hAnsi="Cambria" w:eastAsia="黑体" w:cs="黑体"/>
          <w:i w:val="0"/>
          <w:caps w:val="0"/>
          <w:color w:val="333333"/>
          <w:spacing w:val="0"/>
          <w:kern w:val="0"/>
          <w:szCs w:val="32"/>
          <w:lang w:val="en-US" w:eastAsia="zh-CN" w:bidi="en-AU"/>
        </w:rPr>
      </w:pPr>
      <w:r>
        <w:rPr>
          <w:rFonts w:hint="eastAsia" w:ascii="黑体" w:hAnsi="黑体" w:eastAsia="黑体" w:cs="黑体"/>
          <w:i w:val="0"/>
          <w:caps w:val="0"/>
          <w:color w:val="333333"/>
          <w:spacing w:val="0"/>
          <w:kern w:val="0"/>
          <w:sz w:val="28"/>
          <w:szCs w:val="28"/>
          <w:shd w:val="clear" w:color="auto" w:fill="FFFFFF"/>
          <w:lang w:val="en-US" w:eastAsia="zh-CN" w:bidi="en-AU"/>
        </w:rPr>
        <w:fldChar w:fldCharType="end"/>
      </w:r>
    </w:p>
    <w:p>
      <w:pPr>
        <w:pStyle w:val="8"/>
        <w:rPr>
          <w:rFonts w:ascii="黑体" w:hAnsi="宋体" w:eastAsia="黑体" w:cs="黑体"/>
          <w:i w:val="0"/>
          <w:caps w:val="0"/>
          <w:color w:val="333333"/>
          <w:spacing w:val="0"/>
          <w:kern w:val="0"/>
          <w:szCs w:val="32"/>
          <w:lang w:val="en-US" w:eastAsia="zh-CN" w:bidi="en-AU"/>
        </w:rPr>
      </w:pPr>
    </w:p>
    <w:p>
      <w:pPr>
        <w:rPr>
          <w:rFonts w:ascii="黑体" w:hAnsi="宋体" w:eastAsia="黑体" w:cs="黑体"/>
          <w:i w:val="0"/>
          <w:caps w:val="0"/>
          <w:color w:val="333333"/>
          <w:spacing w:val="0"/>
          <w:kern w:val="0"/>
          <w:szCs w:val="32"/>
          <w:lang w:val="en-US" w:eastAsia="zh-CN" w:bidi="en-AU"/>
        </w:rPr>
      </w:pPr>
    </w:p>
    <w:p>
      <w:pPr>
        <w:pStyle w:val="8"/>
        <w:rPr>
          <w:rFonts w:ascii="黑体" w:hAnsi="宋体" w:eastAsia="黑体" w:cs="黑体"/>
          <w:i w:val="0"/>
          <w:caps w:val="0"/>
          <w:color w:val="333333"/>
          <w:spacing w:val="0"/>
          <w:kern w:val="0"/>
          <w:szCs w:val="32"/>
          <w:lang w:val="en-US" w:eastAsia="zh-CN" w:bidi="en-AU"/>
        </w:rPr>
      </w:pPr>
    </w:p>
    <w:p>
      <w:pPr>
        <w:rPr>
          <w:rFonts w:ascii="黑体" w:hAnsi="宋体" w:eastAsia="黑体" w:cs="黑体"/>
          <w:i w:val="0"/>
          <w:caps w:val="0"/>
          <w:color w:val="333333"/>
          <w:spacing w:val="0"/>
          <w:kern w:val="0"/>
          <w:szCs w:val="32"/>
          <w:lang w:val="en-US" w:eastAsia="zh-CN" w:bidi="en-AU"/>
        </w:rPr>
      </w:pPr>
    </w:p>
    <w:p>
      <w:pPr>
        <w:pStyle w:val="8"/>
        <w:rPr>
          <w:rFonts w:ascii="黑体" w:hAnsi="宋体" w:eastAsia="黑体" w:cs="黑体"/>
          <w:i w:val="0"/>
          <w:caps w:val="0"/>
          <w:color w:val="333333"/>
          <w:spacing w:val="0"/>
          <w:kern w:val="0"/>
          <w:szCs w:val="32"/>
          <w:lang w:val="en-US" w:eastAsia="zh-CN" w:bidi="en-AU"/>
        </w:rPr>
      </w:pPr>
    </w:p>
    <w:p>
      <w:pPr>
        <w:rPr>
          <w:rFonts w:ascii="黑体" w:hAnsi="宋体" w:eastAsia="黑体" w:cs="黑体"/>
          <w:i w:val="0"/>
          <w:caps w:val="0"/>
          <w:color w:val="333333"/>
          <w:spacing w:val="0"/>
          <w:kern w:val="0"/>
          <w:szCs w:val="32"/>
          <w:lang w:val="en-US" w:eastAsia="zh-CN" w:bidi="en-AU"/>
        </w:rPr>
      </w:pPr>
    </w:p>
    <w:p>
      <w:pPr>
        <w:pStyle w:val="8"/>
        <w:rPr>
          <w:rFonts w:ascii="黑体" w:hAnsi="宋体" w:eastAsia="黑体" w:cs="黑体"/>
          <w:i w:val="0"/>
          <w:caps w:val="0"/>
          <w:color w:val="333333"/>
          <w:spacing w:val="0"/>
          <w:kern w:val="0"/>
          <w:szCs w:val="32"/>
          <w:lang w:val="en-US" w:eastAsia="zh-CN" w:bidi="en-AU"/>
        </w:rPr>
      </w:pPr>
    </w:p>
    <w:p>
      <w:pPr>
        <w:rPr>
          <w:rFonts w:ascii="黑体" w:hAnsi="宋体" w:eastAsia="黑体" w:cs="黑体"/>
          <w:i w:val="0"/>
          <w:caps w:val="0"/>
          <w:color w:val="333333"/>
          <w:spacing w:val="0"/>
          <w:kern w:val="0"/>
          <w:szCs w:val="32"/>
          <w:lang w:val="en-US" w:eastAsia="zh-CN" w:bidi="en-AU"/>
        </w:rPr>
      </w:pPr>
    </w:p>
    <w:p>
      <w:pPr>
        <w:pStyle w:val="8"/>
        <w:rPr>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ascii="黑体" w:hAnsi="宋体" w:eastAsia="黑体" w:cs="黑体"/>
          <w:i w:val="0"/>
          <w:caps w:val="0"/>
          <w:color w:val="333333"/>
          <w:spacing w:val="0"/>
          <w:kern w:val="0"/>
          <w:sz w:val="32"/>
          <w:szCs w:val="32"/>
          <w:lang w:val="en-US" w:eastAsia="zh-CN" w:bidi="en-AU"/>
        </w:rPr>
        <w:sectPr>
          <w:footerReference r:id="rId3" w:type="default"/>
          <w:pgSz w:w="11906" w:h="16838"/>
          <w:pgMar w:top="2098" w:right="1474" w:bottom="1984" w:left="1587" w:header="720" w:footer="720" w:gutter="0"/>
          <w:pgNumType w:fmt="decimal"/>
          <w:docGrid w:type="lines" w:linePitch="312" w:charSpace="0"/>
        </w:sectPr>
      </w:pPr>
      <w:bookmarkStart w:id="8" w:name="_Toc12228"/>
      <w:bookmarkStart w:id="9" w:name="_Toc22684"/>
      <w:bookmarkStart w:id="10" w:name="_Toc13656"/>
      <w:bookmarkStart w:id="11" w:name="_Toc14768"/>
      <w:bookmarkStart w:id="12" w:name="_Toc3058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hint="default" w:ascii="Times New Roman" w:hAnsi="Times New Roman" w:cs="Times New Roman"/>
          <w:i w:val="0"/>
          <w:caps w:val="0"/>
          <w:color w:val="333333"/>
          <w:spacing w:val="0"/>
          <w:sz w:val="32"/>
          <w:szCs w:val="32"/>
        </w:rPr>
      </w:pPr>
      <w:r>
        <w:rPr>
          <w:rFonts w:ascii="黑体" w:hAnsi="宋体" w:eastAsia="黑体" w:cs="黑体"/>
          <w:i w:val="0"/>
          <w:caps w:val="0"/>
          <w:color w:val="333333"/>
          <w:spacing w:val="0"/>
          <w:kern w:val="0"/>
          <w:sz w:val="32"/>
          <w:szCs w:val="32"/>
          <w:shd w:val="clear" w:color="auto" w:fill="FFFFFF"/>
          <w:lang w:val="en-US" w:eastAsia="zh-CN" w:bidi="en-AU"/>
        </w:rPr>
        <w:t>一、基本职能及主要工作</w:t>
      </w:r>
      <w:bookmarkEnd w:id="8"/>
      <w:bookmarkEnd w:id="9"/>
      <w:bookmarkEnd w:id="10"/>
      <w:bookmarkEnd w:id="11"/>
      <w:bookmarkEnd w:id="12"/>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1"/>
        <w:rPr>
          <w:rFonts w:hint="eastAsia" w:ascii="楷体_GB2312" w:hAnsi="楷体_GB2312" w:eastAsia="楷体_GB2312" w:cs="楷体_GB2312"/>
          <w:b w:val="0"/>
          <w:bCs w:val="0"/>
          <w:i w:val="0"/>
          <w:iCs w:val="0"/>
          <w:caps w:val="0"/>
          <w:snapToGrid w:val="0"/>
          <w:color w:val="000000"/>
          <w:spacing w:val="0"/>
          <w:sz w:val="32"/>
          <w:szCs w:val="32"/>
          <w:lang w:val="en-US" w:eastAsia="zh-CN"/>
        </w:rPr>
      </w:pPr>
      <w:bookmarkStart w:id="13" w:name="_Toc31392"/>
      <w:bookmarkStart w:id="14" w:name="_Toc10037"/>
      <w:bookmarkStart w:id="15" w:name="_Toc10060"/>
      <w:bookmarkStart w:id="16" w:name="_Toc19091"/>
      <w:r>
        <w:rPr>
          <w:rFonts w:hint="eastAsia" w:ascii="楷体_GB2312" w:hAnsi="楷体_GB2312" w:eastAsia="楷体_GB2312" w:cs="楷体_GB2312"/>
          <w:b w:val="0"/>
          <w:bCs w:val="0"/>
          <w:i w:val="0"/>
          <w:iCs w:val="0"/>
          <w:caps w:val="0"/>
          <w:snapToGrid w:val="0"/>
          <w:color w:val="000000"/>
          <w:spacing w:val="0"/>
          <w:sz w:val="32"/>
          <w:szCs w:val="32"/>
          <w:shd w:val="clear" w:color="auto" w:fill="FFFFFF"/>
          <w:lang w:val="en-US" w:eastAsia="zh-CN"/>
        </w:rPr>
        <w:t>1.基本公共卫生服务方面</w:t>
      </w:r>
      <w:bookmarkEnd w:id="13"/>
      <w:bookmarkEnd w:id="14"/>
      <w:bookmarkEnd w:id="15"/>
      <w:bookmarkEnd w:id="16"/>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eastAsia"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落实农村居民健康档案管理及服务；普及卫生保健常识，指导开展爱国卫生工作；规范预防接种服务，执行国家免疫规划；及时发现、登记并报告辖区传染病病例和疑似病例，参与现场疫情处理，协助处理辖区内突发公共卫生事件；开展新生儿访视及儿童、孕产妇保健系统管理；对辖区65岁及以上老年人和糖尿病、精神病、高血压等慢性疾病登记管理；接受区卫生行政部门委托，对辖区内传染病防治、学校卫生、饮用水卫生、职业卫生以及村级预防保健工作进行指导、培训、考核与监督等。</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1"/>
        <w:rPr>
          <w:rFonts w:hint="eastAsia" w:ascii="楷体_GB2312" w:hAnsi="楷体_GB2312" w:eastAsia="楷体_GB2312" w:cs="楷体_GB2312"/>
          <w:b w:val="0"/>
          <w:bCs w:val="0"/>
          <w:i w:val="0"/>
          <w:iCs w:val="0"/>
          <w:caps w:val="0"/>
          <w:snapToGrid w:val="0"/>
          <w:color w:val="000000"/>
          <w:spacing w:val="0"/>
          <w:sz w:val="32"/>
          <w:szCs w:val="32"/>
          <w:lang w:val="en-US" w:eastAsia="zh-CN"/>
        </w:rPr>
      </w:pPr>
      <w:bookmarkStart w:id="17" w:name="_Toc9482"/>
      <w:bookmarkStart w:id="18" w:name="_Toc29485"/>
      <w:bookmarkStart w:id="19" w:name="_Toc4113"/>
      <w:bookmarkStart w:id="20" w:name="_Toc31127"/>
      <w:r>
        <w:rPr>
          <w:rFonts w:hint="eastAsia" w:ascii="楷体_GB2312" w:hAnsi="楷体_GB2312" w:eastAsia="楷体_GB2312" w:cs="楷体_GB2312"/>
          <w:b w:val="0"/>
          <w:bCs w:val="0"/>
          <w:i w:val="0"/>
          <w:iCs w:val="0"/>
          <w:caps w:val="0"/>
          <w:snapToGrid w:val="0"/>
          <w:color w:val="000000"/>
          <w:spacing w:val="0"/>
          <w:sz w:val="32"/>
          <w:szCs w:val="32"/>
          <w:shd w:val="clear" w:color="auto" w:fill="FFFFFF"/>
          <w:lang w:val="en-US" w:eastAsia="zh-CN"/>
        </w:rPr>
        <w:t>2.基本医疗服务方面</w:t>
      </w:r>
      <w:bookmarkEnd w:id="17"/>
      <w:bookmarkEnd w:id="18"/>
      <w:bookmarkEnd w:id="19"/>
      <w:bookmarkEnd w:id="20"/>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eastAsia"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 xml:space="preserve">正确处理常见病，多发病，对疑难杂症进行恰当的处理与转诊；加强急诊救护体系建设，承担乡村现场应急救护，转诊和康复服务；认真执行国家基本药物制度，加强医疗质量管理及院感防控。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1"/>
        <w:rPr>
          <w:rFonts w:hint="eastAsia" w:ascii="楷体_GB2312" w:hAnsi="楷体_GB2312" w:eastAsia="楷体_GB2312" w:cs="楷体_GB2312"/>
          <w:b w:val="0"/>
          <w:bCs w:val="0"/>
          <w:i w:val="0"/>
          <w:iCs w:val="0"/>
          <w:caps w:val="0"/>
          <w:snapToGrid w:val="0"/>
          <w:color w:val="000000"/>
          <w:spacing w:val="0"/>
          <w:sz w:val="32"/>
          <w:szCs w:val="32"/>
          <w:lang w:val="en-US" w:eastAsia="zh-CN"/>
        </w:rPr>
      </w:pPr>
      <w:bookmarkStart w:id="21" w:name="_Toc3292"/>
      <w:bookmarkStart w:id="22" w:name="_Toc7275"/>
      <w:bookmarkStart w:id="23" w:name="_Toc8734"/>
      <w:bookmarkStart w:id="24" w:name="_Toc27659"/>
      <w:r>
        <w:rPr>
          <w:rFonts w:hint="eastAsia" w:ascii="楷体_GB2312" w:hAnsi="楷体_GB2312" w:eastAsia="楷体_GB2312" w:cs="楷体_GB2312"/>
          <w:b w:val="0"/>
          <w:bCs w:val="0"/>
          <w:i w:val="0"/>
          <w:iCs w:val="0"/>
          <w:caps w:val="0"/>
          <w:snapToGrid w:val="0"/>
          <w:color w:val="000000"/>
          <w:spacing w:val="0"/>
          <w:sz w:val="32"/>
          <w:szCs w:val="32"/>
          <w:shd w:val="clear" w:color="auto" w:fill="FFFFFF"/>
          <w:lang w:val="en-US" w:eastAsia="zh-CN"/>
        </w:rPr>
        <w:t>3.基本管理服务</w:t>
      </w:r>
      <w:bookmarkEnd w:id="21"/>
      <w:bookmarkEnd w:id="22"/>
      <w:bookmarkEnd w:id="23"/>
      <w:bookmarkEnd w:id="24"/>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eastAsia"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规范卫生院财务管理工作，巩固农村公共卫生服务体系。履行定点医疗机构职责，严格执行国家基本医疗保险政策并做好有关的政策宣传，监督及服务工作。深入推进乡村卫生服务一体化管理，负责村卫生室的技术指导和医生培训等各项工作。落实健康扶贫相关政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1"/>
        <w:rPr>
          <w:rFonts w:hint="eastAsia" w:ascii="楷体_GB2312" w:hAnsi="楷体_GB2312" w:eastAsia="楷体_GB2312" w:cs="楷体_GB2312"/>
          <w:b w:val="0"/>
          <w:bCs w:val="0"/>
          <w:i w:val="0"/>
          <w:iCs w:val="0"/>
          <w:caps w:val="0"/>
          <w:snapToGrid w:val="0"/>
          <w:color w:val="000000"/>
          <w:spacing w:val="0"/>
          <w:sz w:val="32"/>
          <w:szCs w:val="32"/>
          <w:lang w:val="en-US" w:eastAsia="zh-CN"/>
        </w:rPr>
      </w:pPr>
      <w:r>
        <w:rPr>
          <w:rFonts w:hint="eastAsia" w:ascii="楷体_GB2312" w:hAnsi="楷体_GB2312" w:eastAsia="楷体_GB2312" w:cs="楷体_GB2312"/>
          <w:b w:val="0"/>
          <w:bCs w:val="0"/>
          <w:i w:val="0"/>
          <w:iCs w:val="0"/>
          <w:caps w:val="0"/>
          <w:snapToGrid w:val="0"/>
          <w:color w:val="000000"/>
          <w:spacing w:val="0"/>
          <w:sz w:val="32"/>
          <w:szCs w:val="32"/>
          <w:shd w:val="clear" w:color="auto" w:fill="FFFFFF"/>
          <w:lang w:val="en-US" w:eastAsia="zh-CN"/>
        </w:rPr>
        <w:t>4.单位2023年重点工作</w:t>
      </w:r>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eastAsia"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1.加强党务工作。坚持民主集中制，坚持“三会一课”制度，加强党的方针政策学习。加强党组织建设。</w:t>
      </w:r>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eastAsia"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2.医院业务稳步发展。健全医疗、护理、功能检查、放射、检验等各个科室、各个诊疗环节的质量管理制度，制定切实可行的质量目标，实现诊疗工作的规范化。严格控制医疗费用，促进合理检查、合理用药、合理治疗，切实减轻患者就医负担。争取卫生院门诊人次增加 20%，住院人次增加15%。公卫收入较去年增长7%；业务稳步增长，各项业务指标合理。</w:t>
      </w:r>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eastAsia"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3.重点抓好基本公共卫生服务项目工作。按照昭化区2021年基本公共卫生服务实施方案的工作要求，完成2023年我镇基本公共卫生服务项目各项指标任务。</w:t>
      </w:r>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default"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4.全面推行绩效改革。制定符合我院的绩效考核方案，成立医院绩效考核领导小组。</w:t>
      </w:r>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eastAsia"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5.加强医务人员教育培训。积极鼓励职工参加各种形式的学历教育，支持参加执业医师、执业药师和执业护士等资格考试，提高医务人员文化素质和业务素质。</w:t>
      </w:r>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default"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7.重点抓中医药服务工作。虎跳镇中心卫生院打造中医科。争取中医药、针灸理疗业务收入增加20%。</w:t>
      </w:r>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eastAsia"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8.全面统筹抓好其他工作。切实抓好安全生产工作，避免发生安全责任事故。抓好信访、维稳和上级交给的其他工作。</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hint="default" w:ascii="Times New Roman" w:hAnsi="Times New Roman" w:cs="Times New Roman"/>
          <w:i w:val="0"/>
          <w:caps w:val="0"/>
          <w:color w:val="333333"/>
          <w:spacing w:val="0"/>
          <w:sz w:val="32"/>
          <w:szCs w:val="32"/>
        </w:rPr>
      </w:pPr>
      <w:bookmarkStart w:id="25" w:name="_Toc26184"/>
      <w:bookmarkStart w:id="26" w:name="_Toc16731"/>
      <w:bookmarkStart w:id="27" w:name="_Toc10186"/>
      <w:bookmarkStart w:id="28" w:name="_Toc12524"/>
      <w:bookmarkStart w:id="29" w:name="_Toc23512"/>
      <w:bookmarkStart w:id="30" w:name="_Toc17093"/>
      <w:r>
        <w:rPr>
          <w:rFonts w:hint="eastAsia" w:ascii="黑体" w:hAnsi="宋体" w:eastAsia="黑体" w:cs="黑体"/>
          <w:i w:val="0"/>
          <w:caps w:val="0"/>
          <w:color w:val="333333"/>
          <w:spacing w:val="0"/>
          <w:kern w:val="0"/>
          <w:sz w:val="32"/>
          <w:szCs w:val="32"/>
          <w:shd w:val="clear" w:color="auto" w:fill="FFFFFF"/>
          <w:lang w:val="en-US" w:eastAsia="zh-CN" w:bidi="en-AU"/>
        </w:rPr>
        <w:t>二、部门预算单位构成</w:t>
      </w:r>
      <w:bookmarkEnd w:id="25"/>
      <w:bookmarkEnd w:id="26"/>
      <w:bookmarkEnd w:id="27"/>
      <w:bookmarkEnd w:id="28"/>
      <w:bookmarkEnd w:id="29"/>
      <w:bookmarkEnd w:id="30"/>
    </w:p>
    <w:p>
      <w:pPr>
        <w:pStyle w:val="16"/>
        <w:keepNext w:val="0"/>
        <w:keepLines w:val="0"/>
        <w:pageBreakBefore w:val="0"/>
        <w:numPr>
          <w:ilvl w:val="0"/>
          <w:numId w:val="0"/>
        </w:numPr>
        <w:shd w:val="clear" w:color="auto" w:fill="FFFFFF"/>
        <w:wordWrap/>
        <w:overflowPunct/>
        <w:topLinePunct w:val="0"/>
        <w:bidi w:val="0"/>
        <w:spacing w:line="576" w:lineRule="exact"/>
        <w:ind w:firstLine="640" w:firstLineChars="200"/>
        <w:jc w:val="both"/>
        <w:rPr>
          <w:rFonts w:hint="eastAsia" w:ascii="仿宋_GB2312" w:hAnsi="仿宋_GB2312" w:eastAsia="仿宋_GB2312" w:cs="仿宋_GB2312"/>
          <w:i w:val="0"/>
          <w:iCs w:val="0"/>
          <w:caps w:val="0"/>
          <w:snapToGrid w:val="0"/>
          <w:color w:val="000000"/>
          <w:spacing w:val="0"/>
          <w:sz w:val="32"/>
          <w:szCs w:val="32"/>
          <w:lang w:val="en-US" w:eastAsia="zh-CN"/>
        </w:rPr>
      </w:pPr>
      <w:r>
        <w:rPr>
          <w:rFonts w:hint="eastAsia" w:ascii="仿宋_GB2312" w:hAnsi="仿宋_GB2312" w:eastAsia="仿宋_GB2312" w:cs="仿宋_GB2312"/>
          <w:i w:val="0"/>
          <w:iCs w:val="0"/>
          <w:caps w:val="0"/>
          <w:snapToGrid w:val="0"/>
          <w:color w:val="000000"/>
          <w:spacing w:val="0"/>
          <w:sz w:val="32"/>
          <w:szCs w:val="32"/>
          <w:shd w:val="clear" w:color="auto" w:fill="FFFFFF"/>
          <w:lang w:val="en-US" w:eastAsia="zh-CN"/>
        </w:rPr>
        <w:t>广元市昭化区虎跳镇中心卫生院为二级预算单位，隶属于广元市昭化区卫生健康局，为公益一类预算单位。</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hint="default" w:ascii="Times New Roman" w:hAnsi="Times New Roman" w:cs="Times New Roman"/>
          <w:i w:val="0"/>
          <w:caps w:val="0"/>
          <w:color w:val="333333"/>
          <w:spacing w:val="0"/>
          <w:sz w:val="32"/>
          <w:szCs w:val="32"/>
        </w:rPr>
      </w:pPr>
      <w:bookmarkStart w:id="31" w:name="_Toc8529"/>
      <w:bookmarkStart w:id="32" w:name="_Toc18585"/>
      <w:bookmarkStart w:id="33" w:name="_Toc1106"/>
      <w:bookmarkStart w:id="34" w:name="_Toc29051"/>
      <w:bookmarkStart w:id="35" w:name="_Toc13521"/>
      <w:bookmarkStart w:id="36" w:name="_Toc19914"/>
      <w:r>
        <w:rPr>
          <w:rFonts w:hint="eastAsia" w:ascii="黑体" w:hAnsi="宋体" w:eastAsia="黑体" w:cs="黑体"/>
          <w:i w:val="0"/>
          <w:caps w:val="0"/>
          <w:color w:val="333333"/>
          <w:spacing w:val="0"/>
          <w:kern w:val="0"/>
          <w:sz w:val="32"/>
          <w:szCs w:val="32"/>
          <w:shd w:val="clear" w:color="auto" w:fill="FFFFFF"/>
          <w:lang w:val="en-US" w:eastAsia="zh-CN" w:bidi="en-AU"/>
        </w:rPr>
        <w:t>三、收支预算情况说明</w:t>
      </w:r>
      <w:bookmarkEnd w:id="31"/>
      <w:bookmarkEnd w:id="32"/>
      <w:bookmarkEnd w:id="33"/>
      <w:bookmarkEnd w:id="34"/>
      <w:bookmarkEnd w:id="35"/>
      <w:bookmarkEnd w:id="36"/>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en-AU"/>
        </w:rPr>
        <w:t>按照综合预算的原则，广元市昭化区虎跳镇中心卫生院所有收入和支出均纳入部门预算管理。收入包括：一般公共预算拨款收入；支出包括：一般公共服务支出、社会保障和就业支出、卫生健康支出、住房保障支出。广元市昭化区虎跳镇中心卫生院2023年收支总预算486.95万元，比2022年收支预算总数增加164.98万元，主要原因是卫生院合并，在编人员数量增加，人员经费增加。</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wordWrap/>
        <w:overflowPunct/>
        <w:topLinePunct w:val="0"/>
        <w:bidi w:val="0"/>
        <w:spacing w:beforeAutospacing="0" w:after="0" w:afterAutospacing="0" w:line="576" w:lineRule="exact"/>
        <w:ind w:left="0" w:right="0" w:firstLine="643" w:firstLineChars="200"/>
        <w:jc w:val="both"/>
        <w:outlineLvl w:val="1"/>
        <w:rPr>
          <w:rFonts w:hint="default" w:ascii="Times New Roman" w:hAnsi="Times New Roman" w:cs="Times New Roman"/>
          <w:i w:val="0"/>
          <w:caps w:val="0"/>
          <w:color w:val="333333"/>
          <w:spacing w:val="0"/>
          <w:sz w:val="32"/>
          <w:szCs w:val="32"/>
        </w:rPr>
      </w:pPr>
      <w:bookmarkStart w:id="37" w:name="_Toc22166"/>
      <w:bookmarkStart w:id="38" w:name="_Toc4173"/>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（一）收入预算情况</w:t>
      </w:r>
      <w:bookmarkEnd w:id="37"/>
      <w:bookmarkEnd w:id="38"/>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广元市昭化区虎跳镇中心卫生院2023年收入预算486.95万元，其中：一般公共预算拨款收入486.95万元，占100%。</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wordWrap/>
        <w:overflowPunct/>
        <w:topLinePunct w:val="0"/>
        <w:bidi w:val="0"/>
        <w:spacing w:beforeAutospacing="0" w:after="0" w:afterAutospacing="0" w:line="576" w:lineRule="exact"/>
        <w:ind w:left="0" w:right="0" w:firstLine="643" w:firstLineChars="200"/>
        <w:jc w:val="both"/>
        <w:outlineLvl w:val="1"/>
        <w:rPr>
          <w:rFonts w:hint="default" w:ascii="楷体_GB2312" w:hAnsi="Times New Roman" w:eastAsia="楷体_GB2312" w:cs="楷体_GB2312"/>
          <w:b/>
          <w:i w:val="0"/>
          <w:caps w:val="0"/>
          <w:color w:val="333333"/>
          <w:spacing w:val="0"/>
          <w:kern w:val="0"/>
          <w:sz w:val="32"/>
          <w:szCs w:val="32"/>
          <w:lang w:val="en-US" w:eastAsia="zh-CN" w:bidi="en-AU"/>
        </w:rPr>
      </w:pPr>
      <w:bookmarkStart w:id="39" w:name="_Toc28438"/>
      <w:bookmarkStart w:id="40" w:name="_Toc19640"/>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（二）支出预算情况</w:t>
      </w:r>
      <w:bookmarkEnd w:id="39"/>
      <w:bookmarkEnd w:id="40"/>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广元市昭化区虎跳镇中心卫生院2023年支出预算486.95万元，其中：基本支出486.95万元，占100%。</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hint="default" w:ascii="黑体" w:hAnsi="宋体" w:eastAsia="黑体" w:cs="黑体"/>
          <w:i w:val="0"/>
          <w:caps w:val="0"/>
          <w:color w:val="333333"/>
          <w:spacing w:val="0"/>
          <w:kern w:val="0"/>
          <w:sz w:val="32"/>
          <w:szCs w:val="32"/>
          <w:lang w:val="en-US" w:eastAsia="zh-CN" w:bidi="en-AU"/>
        </w:rPr>
      </w:pPr>
      <w:bookmarkStart w:id="41" w:name="_Toc20931"/>
      <w:bookmarkStart w:id="42" w:name="_Toc27918"/>
      <w:bookmarkStart w:id="43" w:name="_Toc23514"/>
      <w:bookmarkStart w:id="44" w:name="_Toc20080"/>
      <w:bookmarkStart w:id="45" w:name="_Toc7703"/>
      <w:bookmarkStart w:id="46" w:name="_Toc19220"/>
      <w:r>
        <w:rPr>
          <w:rFonts w:hint="eastAsia" w:ascii="黑体" w:hAnsi="宋体" w:eastAsia="黑体" w:cs="黑体"/>
          <w:i w:val="0"/>
          <w:caps w:val="0"/>
          <w:color w:val="333333"/>
          <w:spacing w:val="0"/>
          <w:kern w:val="0"/>
          <w:sz w:val="32"/>
          <w:szCs w:val="32"/>
          <w:shd w:val="clear" w:color="auto" w:fill="FFFFFF"/>
          <w:lang w:val="en-US" w:eastAsia="zh-CN" w:bidi="en-AU"/>
        </w:rPr>
        <w:t>四、财政拨款收支预算情况说明</w:t>
      </w:r>
      <w:bookmarkEnd w:id="41"/>
      <w:bookmarkEnd w:id="42"/>
      <w:bookmarkEnd w:id="43"/>
      <w:bookmarkEnd w:id="44"/>
      <w:bookmarkEnd w:id="45"/>
      <w:bookmarkEnd w:id="46"/>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虎跳镇中心卫生院2023年财政拨款收支总预算486.95万元，比2022年财政拨款收支总预算增加164.98万元，主要原因是卫生院合并，在编人员数量增加，人员经费增加，收入包括：本年一般公共预算拨款收入486.95万元；支出包括：社会保障和就业支出91.81万元、卫生健康支出354.84万元、住房保障支出40.29万元。</w:t>
      </w:r>
      <w:bookmarkStart w:id="47" w:name="_Toc26254"/>
      <w:bookmarkStart w:id="48" w:name="_Toc7318"/>
      <w:bookmarkStart w:id="49" w:name="_Toc7897"/>
      <w:bookmarkStart w:id="50" w:name="_Toc1209"/>
      <w:bookmarkStart w:id="51" w:name="_Toc27423"/>
      <w:bookmarkStart w:id="52" w:name="_Toc22293"/>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楷体_GB2312" w:hAnsi="楷体_GB2312" w:eastAsia="楷体_GB2312" w:cs="楷体_GB2312"/>
          <w:i w:val="0"/>
          <w:caps w:val="0"/>
          <w:color w:val="333333"/>
          <w:spacing w:val="0"/>
          <w:kern w:val="0"/>
          <w:sz w:val="32"/>
          <w:szCs w:val="32"/>
          <w:shd w:val="clear" w:color="auto" w:fill="FFFFFF"/>
          <w:lang w:val="en-US" w:eastAsia="zh-CN" w:bidi="en-AU"/>
        </w:rPr>
        <w:t>（一）一般公共预算当年拨款情况说明</w:t>
      </w:r>
      <w:bookmarkEnd w:id="47"/>
      <w:bookmarkEnd w:id="48"/>
      <w:bookmarkEnd w:id="49"/>
      <w:bookmarkEnd w:id="50"/>
      <w:bookmarkEnd w:id="51"/>
      <w:bookmarkEnd w:id="52"/>
      <w:bookmarkStart w:id="53" w:name="_Toc1278"/>
      <w:bookmarkStart w:id="54" w:name="_Toc32709"/>
    </w:p>
    <w:bookmarkEnd w:id="53"/>
    <w:bookmarkEnd w:id="54"/>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广元市昭化区虎跳镇中心卫生院2023年一般公共预算当年拨款486.95万元，比2022年预算数增加164.98万元，主要原因是卫生院合并，在编人员数量增加，人员经费增加。</w:t>
      </w:r>
      <w:bookmarkStart w:id="55" w:name="_Toc22960"/>
      <w:bookmarkStart w:id="56" w:name="_Toc10059"/>
    </w:p>
    <w:p>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640" w:firstLineChars="200"/>
        <w:jc w:val="both"/>
        <w:textAlignment w:val="auto"/>
        <w:rPr>
          <w:rFonts w:hint="eastAsia" w:ascii="楷体_GB2312" w:hAnsi="楷体_GB2312" w:eastAsia="楷体_GB2312" w:cs="楷体_GB2312"/>
          <w:i w:val="0"/>
          <w:caps w:val="0"/>
          <w:color w:val="333333"/>
          <w:spacing w:val="0"/>
          <w:kern w:val="0"/>
          <w:sz w:val="32"/>
          <w:szCs w:val="32"/>
          <w:lang w:val="en-US" w:eastAsia="zh-CN" w:bidi="en-AU"/>
        </w:rPr>
      </w:pPr>
      <w:r>
        <w:rPr>
          <w:rFonts w:hint="eastAsia" w:ascii="楷体_GB2312" w:hAnsi="楷体_GB2312" w:eastAsia="楷体_GB2312" w:cs="楷体_GB2312"/>
          <w:i w:val="0"/>
          <w:caps w:val="0"/>
          <w:color w:val="333333"/>
          <w:spacing w:val="0"/>
          <w:kern w:val="0"/>
          <w:sz w:val="32"/>
          <w:szCs w:val="32"/>
          <w:shd w:val="clear" w:color="auto" w:fill="FFFFFF"/>
          <w:lang w:val="en-US" w:eastAsia="zh-CN" w:bidi="en-AU"/>
        </w:rPr>
        <w:t>一般公共预算当年拨款结构情况</w:t>
      </w:r>
      <w:bookmarkEnd w:id="55"/>
      <w:bookmarkEnd w:id="56"/>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en-AU"/>
        </w:rPr>
        <w:t>91.81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18.85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%；卫生健康支出</w:t>
      </w:r>
      <w:r>
        <w:rPr>
          <w:rFonts w:hint="eastAsia" w:ascii="Times New Roman" w:hAnsi="Times New Roman" w:cs="Times New Roman"/>
          <w:i w:val="0"/>
          <w:caps w:val="0"/>
          <w:color w:val="333333"/>
          <w:spacing w:val="0"/>
          <w:kern w:val="0"/>
          <w:sz w:val="32"/>
          <w:szCs w:val="32"/>
          <w:shd w:val="clear" w:color="auto" w:fill="FFFFFF"/>
          <w:lang w:val="en-US" w:eastAsia="zh-CN" w:bidi="en-AU"/>
        </w:rPr>
        <w:t>354.84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72.87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%；住房保障支出</w:t>
      </w:r>
      <w:r>
        <w:rPr>
          <w:rFonts w:hint="eastAsia" w:ascii="Times New Roman" w:hAnsi="Times New Roman" w:cs="Times New Roman"/>
          <w:i w:val="0"/>
          <w:caps w:val="0"/>
          <w:color w:val="333333"/>
          <w:spacing w:val="0"/>
          <w:kern w:val="0"/>
          <w:sz w:val="32"/>
          <w:szCs w:val="32"/>
          <w:shd w:val="clear" w:color="auto" w:fill="FFFFFF"/>
          <w:lang w:val="en-US" w:eastAsia="zh-CN" w:bidi="en-AU"/>
        </w:rPr>
        <w:t>40.29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8.28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bookmarkStart w:id="57" w:name="_Toc29075"/>
      <w:bookmarkStart w:id="58" w:name="_Toc5676"/>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xml:space="preserve">  </w:t>
      </w:r>
    </w:p>
    <w:p>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楷体_GB2312" w:eastAsia="楷体_GB2312" w:cs="楷体_GB2312"/>
          <w:i w:val="0"/>
          <w:caps w:val="0"/>
          <w:color w:val="333333"/>
          <w:spacing w:val="0"/>
          <w:kern w:val="0"/>
          <w:sz w:val="32"/>
          <w:szCs w:val="32"/>
          <w:shd w:val="clear" w:color="auto" w:fill="FFFFFF"/>
          <w:lang w:val="en-US" w:eastAsia="zh-CN" w:bidi="en-AU"/>
        </w:rPr>
        <w:t>一般公共预算当年拨款具体使用情况</w:t>
      </w:r>
      <w:bookmarkEnd w:id="57"/>
      <w:bookmarkEnd w:id="58"/>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1.社会保障和就业（类）行政事业单位养老支出（款）事业单位离退休（项）2023年预算数为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18.60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xml:space="preserve">万元，主要用于：事业单位离退休人员经费支出。                     </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2.社会保障和就业（类）行政事业单位养老支出（款）机关事业单位基本养老保险缴费支出（项）2023年预算数为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52.84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万元，主要用于：实施养老保险制度由单位缴纳的基本养老保险支出。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3.社会保障和就业（类）行政事业单位养老支出（款）机关事业单位职业年金缴费支出（项）2023年预算数为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20.37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万元，主要用于：实施养老保险制度由单位缴纳的职业年金支出。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4.卫生健康（类）行政事业单位医疗（款）事业单位医疗（项）2023年预算数为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25.66</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en-AU"/>
        </w:rPr>
        <w:t>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，主要用于：部门下属事业单位按规定由单位缴纳的基本医疗保险支出。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5.住房保障（类）住房改革支出（款）住房公积金（项）2023年预算数为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40.29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xml:space="preserve">万元，主要用于：部门按规定为职工缴纳的住房公积金支出。 </w:t>
      </w:r>
      <w:bookmarkStart w:id="59" w:name="_Toc14472"/>
      <w:bookmarkStart w:id="60" w:name="_Toc28530"/>
      <w:bookmarkStart w:id="61" w:name="_Toc4822"/>
      <w:bookmarkStart w:id="62" w:name="_Toc7277"/>
      <w:bookmarkStart w:id="63" w:name="_Toc26257"/>
      <w:bookmarkStart w:id="64" w:name="_Toc15458"/>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黑体" w:hAnsi="宋体" w:eastAsia="黑体" w:cs="黑体"/>
          <w:i w:val="0"/>
          <w:caps w:val="0"/>
          <w:color w:val="333333"/>
          <w:spacing w:val="0"/>
          <w:kern w:val="0"/>
          <w:sz w:val="32"/>
          <w:szCs w:val="32"/>
          <w:lang w:val="en-US" w:eastAsia="zh-CN" w:bidi="en-AU"/>
        </w:rPr>
      </w:pPr>
      <w:r>
        <w:rPr>
          <w:rFonts w:hint="eastAsia" w:ascii="黑体" w:hAnsi="宋体" w:eastAsia="黑体" w:cs="黑体"/>
          <w:i w:val="0"/>
          <w:caps w:val="0"/>
          <w:color w:val="333333"/>
          <w:spacing w:val="0"/>
          <w:kern w:val="0"/>
          <w:sz w:val="32"/>
          <w:szCs w:val="32"/>
          <w:shd w:val="clear" w:color="auto" w:fill="FFFFFF"/>
          <w:lang w:val="en-US" w:eastAsia="zh-CN" w:bidi="en-AU"/>
        </w:rPr>
        <w:t>六、一般公共预算基本支出情况说明</w:t>
      </w:r>
      <w:bookmarkEnd w:id="59"/>
      <w:bookmarkEnd w:id="60"/>
      <w:bookmarkEnd w:id="61"/>
      <w:bookmarkEnd w:id="62"/>
      <w:bookmarkEnd w:id="63"/>
      <w:bookmarkEnd w:id="64"/>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广元市昭化区虎跳镇中心卫生院2023年一般公共预算基本支出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486.95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万元，其中：人员经费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486.95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万元，主要包括：基本工资、津贴补贴、奖金、社会保险缴费、离退休费、住房公积金等支出。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公用经费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bookmarkStart w:id="65" w:name="_Toc30887"/>
      <w:bookmarkStart w:id="66" w:name="_Toc27482"/>
      <w:bookmarkStart w:id="67" w:name="_Toc15321"/>
      <w:bookmarkStart w:id="68" w:name="_Toc6886"/>
      <w:bookmarkStart w:id="69" w:name="_Toc12066"/>
      <w:bookmarkStart w:id="70" w:name="_Toc26479"/>
    </w:p>
    <w:p>
      <w:pPr>
        <w:keepNext w:val="0"/>
        <w:keepLines w:val="0"/>
        <w:pageBreakBefore w:val="0"/>
        <w:widowControl w:val="0"/>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黑体" w:hAnsi="宋体" w:eastAsia="黑体" w:cs="黑体"/>
          <w:i w:val="0"/>
          <w:caps w:val="0"/>
          <w:color w:val="333333"/>
          <w:spacing w:val="0"/>
          <w:kern w:val="0"/>
          <w:sz w:val="32"/>
          <w:szCs w:val="32"/>
          <w:lang w:val="en-US" w:eastAsia="zh-CN" w:bidi="en-AU"/>
        </w:rPr>
      </w:pPr>
      <w:r>
        <w:rPr>
          <w:rFonts w:hint="eastAsia" w:ascii="黑体" w:hAnsi="宋体" w:eastAsia="黑体" w:cs="黑体"/>
          <w:i w:val="0"/>
          <w:caps w:val="0"/>
          <w:color w:val="333333"/>
          <w:spacing w:val="0"/>
          <w:kern w:val="0"/>
          <w:sz w:val="32"/>
          <w:szCs w:val="32"/>
          <w:shd w:val="clear" w:color="auto" w:fill="FFFFFF"/>
          <w:lang w:val="en-US" w:eastAsia="zh-CN" w:bidi="en-AU"/>
        </w:rPr>
        <w:t>“三公”经费财政拨款预算安排情况说明</w:t>
      </w:r>
      <w:bookmarkEnd w:id="65"/>
      <w:bookmarkEnd w:id="66"/>
      <w:bookmarkEnd w:id="67"/>
      <w:bookmarkEnd w:id="68"/>
      <w:bookmarkEnd w:id="69"/>
      <w:bookmarkEnd w:id="70"/>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Times New Roman" w:hAnsi="Times New Roman" w:eastAsia="仿宋_GB2312" w:cs="仿宋_GB2312"/>
          <w:color w:val="000000"/>
          <w:kern w:val="0"/>
          <w:sz w:val="32"/>
          <w:szCs w:val="32"/>
          <w:lang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广元市昭化区虎跳镇中心卫生院2023年“三公”经费财政拨款预算数</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r>
        <w:rPr>
          <w:rFonts w:hint="eastAsia" w:ascii="Times New Roman" w:hAnsi="Times New Roman" w:eastAsia="仿宋_GB2312" w:cs="仿宋_GB2312"/>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仿宋_GB2312"/>
          <w:color w:val="000000"/>
          <w:kern w:val="0"/>
          <w:sz w:val="32"/>
          <w:szCs w:val="32"/>
          <w:shd w:val="clear" w:color="auto" w:fill="FFFFFF"/>
        </w:rPr>
        <w:t>年本单位无</w:t>
      </w:r>
      <w:r>
        <w:rPr>
          <w:rFonts w:hint="eastAsia" w:ascii="Times New Roman" w:hAnsi="Times New Roman" w:eastAsia="仿宋_GB2312" w:cs="仿宋_GB2312"/>
          <w:color w:val="000000"/>
          <w:kern w:val="0"/>
          <w:sz w:val="32"/>
          <w:szCs w:val="32"/>
          <w:shd w:val="clear" w:color="auto" w:fill="FFFFFF"/>
          <w:lang w:eastAsia="zh-CN"/>
        </w:rPr>
        <w:t>三公</w:t>
      </w:r>
      <w:r>
        <w:rPr>
          <w:rFonts w:hint="eastAsia" w:ascii="Times New Roman" w:hAnsi="Times New Roman" w:eastAsia="仿宋_GB2312" w:cs="仿宋_GB2312"/>
          <w:color w:val="000000"/>
          <w:kern w:val="0"/>
          <w:sz w:val="32"/>
          <w:szCs w:val="32"/>
          <w:shd w:val="clear" w:color="auto" w:fill="FFFFFF"/>
        </w:rPr>
        <w:t>经费预算）</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，其中：公务接待费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万元，公务用车购置及运行维护费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万元，因公出国（境）经费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r>
        <w:rPr>
          <w:rFonts w:hint="eastAsia" w:ascii="Times New Roman" w:hAnsi="Times New Roman" w:eastAsia="仿宋_GB2312" w:cs="仿宋_GB2312"/>
          <w:color w:val="000000"/>
          <w:kern w:val="0"/>
          <w:sz w:val="32"/>
          <w:szCs w:val="32"/>
          <w:shd w:val="clear" w:color="auto" w:fill="FFFFFF"/>
          <w:lang w:eastAsia="zh-CN"/>
        </w:rPr>
        <w:t>。</w:t>
      </w:r>
      <w:bookmarkStart w:id="71" w:name="_Toc26236"/>
      <w:bookmarkStart w:id="72" w:name="_Toc27274"/>
    </w:p>
    <w:p>
      <w:pPr>
        <w:keepNext w:val="0"/>
        <w:keepLines w:val="0"/>
        <w:pageBreakBefore w:val="0"/>
        <w:widowControl w:val="0"/>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公务接待费与2022年预算相比</w:t>
      </w:r>
      <w:bookmarkEnd w:id="71"/>
      <w:bookmarkEnd w:id="72"/>
      <w:bookmarkStart w:id="73" w:name="_Toc8292"/>
      <w:bookmarkStart w:id="74" w:name="_Toc4701"/>
    </w:p>
    <w:p>
      <w:pPr>
        <w:keepNext w:val="0"/>
        <w:keepLines w:val="0"/>
        <w:pageBreakBefore w:val="0"/>
        <w:widowControl w:val="0"/>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both"/>
        <w:textAlignment w:val="auto"/>
        <w:rPr>
          <w:rFonts w:hint="default" w:ascii="Times New Roman" w:hAnsi="Times New Roman" w:cs="Times New Roman"/>
          <w:i w:val="0"/>
          <w:caps w:val="0"/>
          <w:color w:val="333333"/>
          <w:spacing w:val="0"/>
          <w:sz w:val="32"/>
          <w:szCs w:val="32"/>
          <w:lang w:val="en-US"/>
        </w:rPr>
      </w:pPr>
      <w:bookmarkStart w:id="105" w:name="_GoBack"/>
      <w:bookmarkEnd w:id="105"/>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2023年本单位无公务接待费预算，与2022年预算相比持平。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1"/>
        <w:rPr>
          <w:rFonts w:hint="default"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（二）公务用车购置及运行维护费与2022年预算相比</w:t>
      </w:r>
      <w:bookmarkEnd w:id="73"/>
      <w:bookmarkEnd w:id="7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2023年本单位无公务用车购置及运行维护费预算，与2022年预算相比持平。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75" w:name="_Toc7561"/>
      <w:bookmarkStart w:id="76" w:name="_Toc14690"/>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（三）因公出国（境）经费与2022年预算相比</w:t>
      </w:r>
      <w:bookmarkEnd w:id="75"/>
      <w:bookmarkEnd w:id="76"/>
    </w:p>
    <w:p>
      <w:pPr>
        <w:pStyle w:val="8"/>
        <w:keepNext w:val="0"/>
        <w:keepLines w:val="0"/>
        <w:pageBreakBefore w:val="0"/>
        <w:numPr>
          <w:ilvl w:val="0"/>
          <w:numId w:val="0"/>
        </w:numPr>
        <w:wordWrap/>
        <w:overflowPunct/>
        <w:topLinePunct w:val="0"/>
        <w:bidi w:val="0"/>
        <w:spacing w:before="0" w:line="576" w:lineRule="exact"/>
        <w:ind w:firstLine="640" w:firstLineChars="200"/>
        <w:jc w:val="both"/>
        <w:rPr>
          <w:rFonts w:hint="default"/>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2023年本单位无因公出国（境）经费预算，与2022年预算相比持平。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hint="default" w:ascii="Times New Roman" w:hAnsi="Times New Roman" w:cs="Times New Roman"/>
          <w:i w:val="0"/>
          <w:caps w:val="0"/>
          <w:color w:val="333333"/>
          <w:spacing w:val="0"/>
          <w:sz w:val="32"/>
          <w:szCs w:val="32"/>
        </w:rPr>
      </w:pPr>
      <w:bookmarkStart w:id="77" w:name="_Toc30063"/>
      <w:bookmarkStart w:id="78" w:name="_Toc12593"/>
      <w:bookmarkStart w:id="79" w:name="_Toc8970"/>
      <w:bookmarkStart w:id="80" w:name="_Toc24329"/>
      <w:bookmarkStart w:id="81" w:name="_Toc4773"/>
      <w:bookmarkStart w:id="82" w:name="_Toc19627"/>
      <w:r>
        <w:rPr>
          <w:rFonts w:hint="eastAsia" w:ascii="黑体" w:hAnsi="宋体" w:eastAsia="黑体" w:cs="黑体"/>
          <w:i w:val="0"/>
          <w:caps w:val="0"/>
          <w:color w:val="333333"/>
          <w:spacing w:val="0"/>
          <w:kern w:val="0"/>
          <w:sz w:val="32"/>
          <w:szCs w:val="32"/>
          <w:shd w:val="clear" w:color="auto" w:fill="FFFFFF"/>
          <w:lang w:val="en-US" w:eastAsia="zh-CN" w:bidi="en-AU"/>
        </w:rPr>
        <w:t>八、政府性基金预算支出情况说明</w:t>
      </w:r>
      <w:bookmarkEnd w:id="77"/>
      <w:bookmarkEnd w:id="78"/>
      <w:bookmarkEnd w:id="79"/>
      <w:bookmarkEnd w:id="80"/>
      <w:bookmarkEnd w:id="81"/>
      <w:bookmarkEnd w:id="8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广元市昭化区虎跳镇中心卫生院2023年没有使用政府性基金预算拨款安排的支出。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hint="default" w:ascii="Times New Roman" w:hAnsi="Times New Roman" w:cs="Times New Roman"/>
          <w:i w:val="0"/>
          <w:caps w:val="0"/>
          <w:color w:val="333333"/>
          <w:spacing w:val="0"/>
          <w:sz w:val="32"/>
          <w:szCs w:val="32"/>
        </w:rPr>
      </w:pPr>
      <w:bookmarkStart w:id="83" w:name="_Toc15729"/>
      <w:bookmarkStart w:id="84" w:name="_Toc31628"/>
      <w:bookmarkStart w:id="85" w:name="_Toc26478"/>
      <w:bookmarkStart w:id="86" w:name="_Toc28527"/>
      <w:bookmarkStart w:id="87" w:name="_Toc9446"/>
      <w:bookmarkStart w:id="88" w:name="_Toc28122"/>
      <w:r>
        <w:rPr>
          <w:rFonts w:hint="eastAsia" w:ascii="黑体" w:hAnsi="宋体" w:eastAsia="黑体" w:cs="黑体"/>
          <w:i w:val="0"/>
          <w:caps w:val="0"/>
          <w:color w:val="333333"/>
          <w:spacing w:val="0"/>
          <w:kern w:val="0"/>
          <w:sz w:val="32"/>
          <w:szCs w:val="32"/>
          <w:shd w:val="clear" w:color="auto" w:fill="FFFFFF"/>
          <w:lang w:val="en-US" w:eastAsia="zh-CN" w:bidi="en-AU"/>
        </w:rPr>
        <w:t>九、国有资本经营预算支出情况说明</w:t>
      </w:r>
      <w:bookmarkEnd w:id="83"/>
      <w:bookmarkEnd w:id="84"/>
      <w:bookmarkEnd w:id="85"/>
      <w:bookmarkEnd w:id="86"/>
      <w:bookmarkEnd w:id="87"/>
      <w:bookmarkEnd w:id="8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广元市昭化区虎跳镇中心卫生院2023年没有使用国有资本经营预算拨款安排的支出。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hint="default" w:ascii="Times New Roman" w:hAnsi="Times New Roman" w:cs="Times New Roman"/>
          <w:i w:val="0"/>
          <w:caps w:val="0"/>
          <w:color w:val="333333"/>
          <w:spacing w:val="0"/>
          <w:sz w:val="32"/>
          <w:szCs w:val="32"/>
        </w:rPr>
      </w:pPr>
      <w:bookmarkStart w:id="89" w:name="_Toc29061"/>
      <w:bookmarkStart w:id="90" w:name="_Toc25731"/>
      <w:bookmarkStart w:id="91" w:name="_Toc10049"/>
      <w:bookmarkStart w:id="92" w:name="_Toc19012"/>
      <w:bookmarkStart w:id="93" w:name="_Toc13394"/>
      <w:bookmarkStart w:id="94" w:name="_Toc32058"/>
      <w:r>
        <w:rPr>
          <w:rFonts w:hint="eastAsia" w:ascii="黑体" w:hAnsi="宋体" w:eastAsia="黑体" w:cs="黑体"/>
          <w:i w:val="0"/>
          <w:caps w:val="0"/>
          <w:color w:val="333333"/>
          <w:spacing w:val="0"/>
          <w:kern w:val="0"/>
          <w:sz w:val="32"/>
          <w:szCs w:val="32"/>
          <w:shd w:val="clear" w:color="auto" w:fill="FFFFFF"/>
          <w:lang w:val="en-US" w:eastAsia="zh-CN" w:bidi="en-AU"/>
        </w:rPr>
        <w:t>十、其他重要事项的情况说明</w:t>
      </w:r>
      <w:bookmarkEnd w:id="89"/>
      <w:bookmarkEnd w:id="90"/>
      <w:bookmarkEnd w:id="91"/>
      <w:bookmarkEnd w:id="92"/>
      <w:bookmarkEnd w:id="93"/>
      <w:bookmarkEnd w:id="9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1"/>
        <w:rPr>
          <w:rFonts w:hint="default" w:ascii="Times New Roman" w:hAnsi="Times New Roman" w:cs="Times New Roman"/>
          <w:b w:val="0"/>
          <w:bCs/>
          <w:i w:val="0"/>
          <w:caps w:val="0"/>
          <w:color w:val="333333"/>
          <w:spacing w:val="0"/>
          <w:sz w:val="32"/>
          <w:szCs w:val="32"/>
        </w:rPr>
      </w:pPr>
      <w:bookmarkStart w:id="95" w:name="_Toc8605"/>
      <w:bookmarkStart w:id="96" w:name="_Toc16870"/>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（一）机关运行经费</w:t>
      </w:r>
      <w:bookmarkEnd w:id="95"/>
      <w:bookmarkEnd w:id="9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rPr>
          <w:rFonts w:hint="eastAsia" w:ascii="楷体_GB2312" w:hAnsi="Times New Roman" w:eastAsia="楷体_GB2312" w:cs="楷体_GB2312"/>
          <w:b/>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2023年，广元市昭化区虎跳镇中心卫生院无机关运行经费。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1"/>
        <w:rPr>
          <w:rFonts w:hint="default" w:ascii="楷体_GB2312" w:hAnsi="Times New Roman" w:eastAsia="楷体_GB2312" w:cs="楷体_GB2312"/>
          <w:b w:val="0"/>
          <w:bCs/>
          <w:i w:val="0"/>
          <w:caps w:val="0"/>
          <w:color w:val="333333"/>
          <w:spacing w:val="0"/>
          <w:kern w:val="0"/>
          <w:sz w:val="32"/>
          <w:szCs w:val="32"/>
          <w:lang w:val="en-US" w:eastAsia="zh-CN" w:bidi="en-AU"/>
        </w:rPr>
      </w:pPr>
      <w:bookmarkStart w:id="97" w:name="_Toc18350"/>
      <w:bookmarkStart w:id="98" w:name="_Toc10763"/>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（二）政府采购情况</w:t>
      </w:r>
      <w:bookmarkEnd w:id="97"/>
      <w:bookmarkEnd w:id="9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2023年，广元市昭化区虎跳镇中心卫生院安排政府采购预算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1"/>
        <w:rPr>
          <w:rFonts w:hint="default" w:ascii="楷体_GB2312" w:hAnsi="Times New Roman" w:eastAsia="楷体_GB2312" w:cs="楷体_GB2312"/>
          <w:b w:val="0"/>
          <w:bCs/>
          <w:i w:val="0"/>
          <w:caps w:val="0"/>
          <w:color w:val="333333"/>
          <w:spacing w:val="0"/>
          <w:kern w:val="0"/>
          <w:sz w:val="32"/>
          <w:szCs w:val="32"/>
          <w:lang w:val="en-US" w:eastAsia="zh-CN" w:bidi="en-AU"/>
        </w:rPr>
      </w:pPr>
      <w:bookmarkStart w:id="99" w:name="_Toc8319"/>
      <w:bookmarkStart w:id="100" w:name="_Toc25451"/>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（三）国有资产占有使用情况</w:t>
      </w:r>
      <w:bookmarkEnd w:id="99"/>
      <w:bookmarkEnd w:id="10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截至2022年底，广元市昭化区虎跳镇中心卫生院共有车辆1辆（救护车），单位价值200万元以上大型设备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台（套）。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1"/>
        <w:rPr>
          <w:rFonts w:hint="default" w:ascii="楷体_GB2312" w:hAnsi="Times New Roman" w:eastAsia="楷体_GB2312" w:cs="楷体_GB2312"/>
          <w:b w:val="0"/>
          <w:bCs/>
          <w:i w:val="0"/>
          <w:caps w:val="0"/>
          <w:color w:val="333333"/>
          <w:spacing w:val="0"/>
          <w:kern w:val="0"/>
          <w:sz w:val="32"/>
          <w:szCs w:val="32"/>
          <w:lang w:val="en-US" w:eastAsia="zh-CN" w:bidi="en-AU"/>
        </w:rPr>
      </w:pPr>
      <w:bookmarkStart w:id="101" w:name="_Toc26354"/>
      <w:bookmarkStart w:id="102" w:name="_Toc1295"/>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（四）绩效目标编制情况</w:t>
      </w:r>
      <w:bookmarkEnd w:id="101"/>
      <w:bookmarkEnd w:id="10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hint="eastAsia" w:ascii="仿宋_GB2312" w:hAnsi="Times New Roman" w:eastAsia="仿宋_GB2312" w:cs="仿宋_GB2312"/>
          <w:i w:val="0"/>
          <w:caps w:val="0"/>
          <w:color w:val="333333"/>
          <w:spacing w:val="0"/>
          <w:kern w:val="0"/>
          <w:sz w:val="32"/>
          <w:szCs w:val="32"/>
          <w:lang w:val="en-US" w:eastAsia="zh-CN" w:bidi="en-AU"/>
        </w:rPr>
      </w:pPr>
      <w:bookmarkStart w:id="103" w:name="_Toc15942"/>
      <w:bookmarkStart w:id="104" w:name="_Toc12438"/>
      <w:r>
        <w:rPr>
          <w:rFonts w:hint="eastAsia" w:ascii="仿宋_GB2312" w:hAnsi="Times New Roman" w:eastAsia="仿宋_GB2312" w:cs="仿宋_GB2312"/>
          <w:color w:val="333333"/>
          <w:kern w:val="0"/>
          <w:sz w:val="32"/>
          <w:szCs w:val="32"/>
          <w:shd w:val="clear" w:color="auto" w:fill="FFFFFF"/>
          <w:lang w:val="en-US" w:eastAsia="zh-CN" w:bidi="en-AU"/>
        </w:rPr>
        <w:t>绩效目标是预算编制的前提和基础，2023年虎跳镇中心卫生院部门预算按申请项目资金年度预期达到的产出和效果，编制了“部门预算项目绩效目标申报表（2023年度）”，涉及项目  0个 （含单位定额公用经费），金额 0 万元；按年度全部部门预算资金达到的总体产出和效果编制了“整体支出绩效目标申报表”。</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right="0" w:firstLine="640" w:firstLineChars="200"/>
        <w:jc w:val="both"/>
        <w:outlineLvl w:val="0"/>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xml:space="preserve"> </w:t>
      </w:r>
      <w:bookmarkEnd w:id="103"/>
      <w:bookmarkEnd w:id="104"/>
      <w:r>
        <w:rPr>
          <w:rFonts w:hint="eastAsia" w:ascii="黑体" w:hAnsi="宋体" w:eastAsia="黑体" w:cs="黑体"/>
          <w:i w:val="0"/>
          <w:caps w:val="0"/>
          <w:color w:val="333333"/>
          <w:spacing w:val="0"/>
          <w:kern w:val="0"/>
          <w:sz w:val="32"/>
          <w:szCs w:val="32"/>
          <w:shd w:val="clear" w:color="auto" w:fill="FFFFFF"/>
          <w:lang w:val="en-US" w:eastAsia="zh-CN" w:bidi="en-AU"/>
        </w:rPr>
        <w:t>十一、名词解释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（一）一般公共预算拨款收入：指省级财政当年拨付的资金。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（二）社会保障和就业（类）行政事业单位养老支出（款）事业单位离退休（项）：指事业单位离退休人员的支出。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（三）社会保障和就业（类）行政事业单位养老支出（款）行政单位离退休（项）：指行政及参公管理事业单位离退休人员的支出。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（四）社会保障和就业（类）行政事业单位养老支出（款）机关事业单位基本养老保险缴费支出（项）：指部门实施养老保险制度由单位缴纳的养老保险的支出。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（五）社会保障和就业（类）行政事业单位养老支出（款）机关事业单位职业年金缴费支出（项）：指部门实施养老保险制度由单位缴纳的职业年金的支出。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（六）卫生健康（类）行政事业单位医疗（款）行政单位医疗（项）：指机关及参公管理事业单位用于单位应缴纳基本医疗保险支出。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（七）卫生健康（类）行政事业单位医疗（款）事业单位医疗（项）：指事业单位用于单位应缴纳基本医疗保险支出。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（八）卫生健康（类）行政事业单位医疗（款）公务员医疗补助（项）：指机关及参公管理事业单位用于集中缴纳公务员医疗补助支出。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（九）住房保障（类）住房改革支出（款）住房公积金（项）：指按照《住房公积金管理条例》的规定，由单位及其在职职工缴存的长期住房储金。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附件：部门预算公开表</w:t>
      </w:r>
    </w:p>
    <w:p/>
    <w:sectPr>
      <w:footerReference r:id="rId4" w:type="default"/>
      <w:pgSz w:w="11906" w:h="16838"/>
      <w:pgMar w:top="2098" w:right="1474" w:bottom="1984" w:left="1587" w:header="720" w:footer="720" w:gutter="0"/>
      <w:pgNumType w:fmt="decimal" w:start="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49" o:spid="_x0000_s2049" o:spt="202" type="#_x0000_t202" style="position:absolute;left:0pt;margin-top:0pt;height:144pt;width:144pt;mso-position-horizontal:outside;mso-position-horizontal-relative:margin;mso-wrap-style:none;z-index:0;mso-width-relative:page;mso-height-relative:page;" filled="f" stroked="f" coordsize="21600,21600">
          <v:path/>
          <v:fill on="f" focussize="0,0"/>
          <v:stroke on="f"/>
          <v:imagedata o:title=""/>
          <o:lock v:ext="edit"/>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0" o:spid="_x0000_s2050"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v:imagedata o:title=""/>
          <o:lock v:ext="edit"/>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2FD093"/>
    <w:multiLevelType w:val="singleLevel"/>
    <w:tmpl w:val="C82FD093"/>
    <w:lvl w:ilvl="0" w:tentative="0">
      <w:start w:val="1"/>
      <w:numFmt w:val="chineseCounting"/>
      <w:suff w:val="nothing"/>
      <w:lvlText w:val="（%1）"/>
      <w:lvlJc w:val="left"/>
      <w:rPr>
        <w:rFonts w:hint="eastAsia"/>
      </w:rPr>
    </w:lvl>
  </w:abstractNum>
  <w:abstractNum w:abstractNumId="1">
    <w:nsid w:val="CF092B84"/>
    <w:multiLevelType w:val="singleLevel"/>
    <w:tmpl w:val="CF092B84"/>
    <w:lvl w:ilvl="0" w:tentative="0">
      <w:start w:val="7"/>
      <w:numFmt w:val="chineseCounting"/>
      <w:suff w:val="nothing"/>
      <w:lvlText w:val="%1、"/>
      <w:lvlJc w:val="left"/>
      <w:rPr>
        <w:rFonts w:hint="eastAsia"/>
      </w:rPr>
    </w:lvl>
  </w:abstractNum>
  <w:abstractNum w:abstractNumId="2">
    <w:nsid w:val="0053208E"/>
    <w:multiLevelType w:val="singleLevel"/>
    <w:tmpl w:val="0053208E"/>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NotTrackMoves/>
  <w:documentProtection w:enforcement="0"/>
  <w:defaultTabStop w:val="419"/>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WMwMDdjMDFjZjQ1NWM1ZjZjMDI2NDMyZGQyNmU4MjQifQ=="/>
    <w:docVar w:name="KSO_WPS_MARK_KEY" w:val="2091c2af-e21b-4922-ace2-c2b4eae7f38e"/>
  </w:docVars>
  <w:rsids>
    <w:rsidRoot w:val="00000000"/>
    <w:rsid w:val="27E80D84"/>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2">
    <w:name w:val="Default Paragraph Fon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
    <w:name w:val="标题 1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customStyle="1" w:styleId="6">
    <w:name w:val="默认段落字体11"/>
    <w:qFormat/>
    <w:uiPriority w:val="0"/>
  </w:style>
  <w:style w:type="table" w:customStyle="1" w:styleId="7">
    <w:name w:val="普通表格1"/>
    <w:semiHidden/>
    <w:qFormat/>
    <w:uiPriority w:val="0"/>
    <w:tblPr>
      <w:tblLayout w:type="fixed"/>
      <w:tblCellMar>
        <w:top w:w="0" w:type="dxa"/>
        <w:left w:w="108" w:type="dxa"/>
        <w:bottom w:w="0" w:type="dxa"/>
        <w:right w:w="108" w:type="dxa"/>
      </w:tblCellMar>
    </w:tblPr>
  </w:style>
  <w:style w:type="paragraph" w:customStyle="1" w:styleId="8">
    <w:name w:val="正文文本1"/>
    <w:basedOn w:val="1"/>
    <w:next w:val="1"/>
    <w:qFormat/>
    <w:uiPriority w:val="0"/>
    <w:pPr>
      <w:spacing w:before="0" w:after="140" w:line="276" w:lineRule="auto"/>
    </w:pPr>
  </w:style>
  <w:style w:type="character" w:customStyle="1" w:styleId="9">
    <w:name w:val="标题 1 Char"/>
    <w:link w:val="5"/>
    <w:qFormat/>
    <w:uiPriority w:val="0"/>
    <w:rPr>
      <w:b/>
      <w:kern w:val="44"/>
      <w:sz w:val="44"/>
    </w:rPr>
  </w:style>
  <w:style w:type="paragraph" w:customStyle="1" w:styleId="10">
    <w:name w:val="题注1"/>
    <w:basedOn w:val="1"/>
    <w:qFormat/>
    <w:uiPriority w:val="0"/>
    <w:pPr>
      <w:widowControl w:val="0"/>
      <w:suppressLineNumbers/>
      <w:suppressAutoHyphens/>
      <w:spacing w:before="120" w:after="120"/>
    </w:pPr>
    <w:rPr>
      <w:i/>
      <w:iCs/>
      <w:sz w:val="24"/>
      <w:szCs w:val="24"/>
    </w:rPr>
  </w:style>
  <w:style w:type="paragraph" w:customStyle="1" w:styleId="11">
    <w:name w:val="页脚1"/>
    <w:basedOn w:val="1"/>
    <w:qFormat/>
    <w:uiPriority w:val="0"/>
    <w:pPr>
      <w:tabs>
        <w:tab w:val="center" w:pos="4153"/>
        <w:tab w:val="right" w:pos="8306"/>
      </w:tabs>
      <w:snapToGrid w:val="0"/>
      <w:jc w:val="left"/>
    </w:pPr>
    <w:rPr>
      <w:sz w:val="18"/>
    </w:rPr>
  </w:style>
  <w:style w:type="paragraph" w:customStyle="1" w:styleId="12">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目录 11"/>
    <w:basedOn w:val="1"/>
    <w:next w:val="1"/>
    <w:qFormat/>
    <w:uiPriority w:val="0"/>
  </w:style>
  <w:style w:type="paragraph" w:customStyle="1" w:styleId="14">
    <w:name w:val="列表1"/>
    <w:basedOn w:val="8"/>
    <w:qFormat/>
    <w:uiPriority w:val="0"/>
  </w:style>
  <w:style w:type="paragraph" w:customStyle="1" w:styleId="15">
    <w:name w:val="图表目录1"/>
    <w:basedOn w:val="1"/>
    <w:next w:val="1"/>
    <w:qFormat/>
    <w:uiPriority w:val="0"/>
    <w:pPr>
      <w:ind w:left="400" w:leftChars="200" w:hanging="200" w:hangingChars="200"/>
    </w:pPr>
  </w:style>
  <w:style w:type="paragraph" w:customStyle="1" w:styleId="16">
    <w:name w:val="普通(网站)1"/>
    <w:basedOn w:val="1"/>
    <w:qFormat/>
    <w:uiPriority w:val="0"/>
    <w:rPr>
      <w:sz w:val="24"/>
    </w:rPr>
  </w:style>
  <w:style w:type="character" w:customStyle="1" w:styleId="17">
    <w:name w:val="默认段落字体1"/>
    <w:qFormat/>
    <w:uiPriority w:val="0"/>
  </w:style>
  <w:style w:type="paragraph" w:customStyle="1" w:styleId="18">
    <w:name w:val="Heading"/>
    <w:basedOn w:val="1"/>
    <w:next w:val="8"/>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9">
    <w:name w:val="Index"/>
    <w:basedOn w:val="1"/>
    <w:qFormat/>
    <w:uiPriority w:val="0"/>
    <w:pPr>
      <w:widowControl w:val="0"/>
      <w:suppressLineNumbers/>
      <w:suppressAutoHyphens/>
    </w:pPr>
  </w:style>
  <w:style w:type="character" w:customStyle="1" w:styleId="20">
    <w:name w:val="21"/>
    <w:basedOn w:val="6"/>
    <w:qFormat/>
    <w:uiPriority w:val="0"/>
    <w:rPr>
      <w:rFonts w:hint="default" w:ascii="Times New Roman" w:hAnsi="Times New Roman" w:eastAsia="楷体_GB2312" w:cs="楷体_GB2312"/>
      <w:sz w:val="32"/>
      <w:szCs w:val="32"/>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3768</Words>
  <Characters>4033</Characters>
  <TotalTime>1</TotalTime>
  <ScaleCrop>false</ScaleCrop>
  <LinksUpToDate>false</LinksUpToDate>
  <CharactersWithSpaces>4107</CharactersWithSpaces>
  <Application>WPS Office_10.1.0.7520_F1E327BC-269C-435d-A152-05C5408002CA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lenovo</cp:lastModifiedBy>
  <dcterms:modified xsi:type="dcterms:W3CDTF">2024-08-12T05:57:26Z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CEE63632F2E94A48890FCC895E352927_13</vt:lpwstr>
  </property>
</Properties>
</file>