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bookmarkStart w:id="0" w:name="_Toc10943"/>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广元市昭化区供销合作社联合社</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default"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 xml:space="preserve">2024年部门预算编制说明 </w:t>
      </w:r>
    </w:p>
    <w:sdt>
      <w:sdtPr>
        <w:rPr>
          <w:rFonts w:ascii="宋体" w:hAnsi="宋体" w:eastAsia="宋体" w:cs="Times New Roman"/>
          <w:color w:val="auto"/>
          <w:kern w:val="2"/>
          <w:sz w:val="21"/>
          <w:szCs w:val="24"/>
          <w:lang w:val="en-US" w:eastAsia="zh-CN" w:bidi="ar-SA"/>
        </w:rPr>
        <w:id w:val="147482578"/>
        <w15:color w:val="DBDBDB"/>
        <w:docPartObj>
          <w:docPartGallery w:val="Table of Contents"/>
          <w:docPartUnique/>
        </w:docPartObj>
      </w:sdtPr>
      <w:sdtEndPr>
        <w:rPr>
          <w:rFonts w:hint="eastAsia" w:ascii="黑体" w:hAnsi="黑体" w:eastAsia="黑体" w:cs="黑体"/>
          <w:b/>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pStyle w:val="7"/>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instrText xml:space="preserve">TOC \o "1-2" \h \u </w:instrText>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separate"/>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_Toc10943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方正小标宋简体" w:hAnsi="方正小标宋简体" w:eastAsia="方正小标宋简体" w:cs="方正小标宋简体"/>
              <w:bCs w:val="0"/>
              <w:i w:val="0"/>
              <w:caps w:val="0"/>
              <w:spacing w:val="0"/>
              <w:kern w:val="0"/>
              <w:sz w:val="28"/>
              <w:szCs w:val="28"/>
              <w:highlight w:val="none"/>
              <w:shd w:val="clear" w:color="auto" w:fill="FFFFFF"/>
              <w:lang w:val="en-US" w:eastAsia="zh-CN" w:bidi="ar"/>
            </w:rPr>
            <w:t>广元市昭化区供销合作社联合社</w:t>
          </w:r>
          <w:r>
            <w:rPr>
              <w:sz w:val="28"/>
              <w:szCs w:val="28"/>
            </w:rPr>
            <w:tab/>
          </w:r>
          <w:r>
            <w:rPr>
              <w:sz w:val="28"/>
              <w:szCs w:val="28"/>
            </w:rPr>
            <w:fldChar w:fldCharType="begin"/>
          </w:r>
          <w:r>
            <w:rPr>
              <w:sz w:val="28"/>
              <w:szCs w:val="28"/>
            </w:rPr>
            <w:instrText xml:space="preserve"> PAGEREF _Toc10943 \h </w:instrText>
          </w:r>
          <w:r>
            <w:rPr>
              <w:sz w:val="28"/>
              <w:szCs w:val="28"/>
            </w:rPr>
            <w:fldChar w:fldCharType="separate"/>
          </w:r>
          <w:r>
            <w:rPr>
              <w:sz w:val="28"/>
              <w:szCs w:val="28"/>
            </w:rPr>
            <w:t>1</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7"/>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_Toc32262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黑体" w:hAnsi="黑体" w:eastAsia="黑体" w:cs="黑体"/>
              <w:sz w:val="28"/>
              <w:szCs w:val="28"/>
              <w:lang w:val="en-US" w:eastAsia="zh-CN"/>
            </w:rPr>
            <w:t>一、基本职能及主要工作</w:t>
          </w:r>
          <w:r>
            <w:rPr>
              <w:sz w:val="28"/>
              <w:szCs w:val="28"/>
            </w:rPr>
            <w:tab/>
          </w:r>
          <w:r>
            <w:rPr>
              <w:sz w:val="28"/>
              <w:szCs w:val="28"/>
            </w:rPr>
            <w:fldChar w:fldCharType="begin"/>
          </w:r>
          <w:r>
            <w:rPr>
              <w:sz w:val="28"/>
              <w:szCs w:val="28"/>
            </w:rPr>
            <w:instrText xml:space="preserve"> PAGEREF _Toc32262 \h </w:instrText>
          </w:r>
          <w:r>
            <w:rPr>
              <w:sz w:val="28"/>
              <w:szCs w:val="28"/>
            </w:rPr>
            <w:fldChar w:fldCharType="separate"/>
          </w:r>
          <w:r>
            <w:rPr>
              <w:sz w:val="28"/>
              <w:szCs w:val="28"/>
            </w:rPr>
            <w:t>3</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7"/>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_Toc25482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黑体" w:hAnsi="黑体" w:eastAsia="黑体" w:cs="黑体"/>
              <w:sz w:val="28"/>
              <w:szCs w:val="28"/>
              <w:lang w:val="en-US" w:eastAsia="zh-CN"/>
            </w:rPr>
            <w:t>二、部门预算单位构成</w:t>
          </w:r>
          <w:r>
            <w:rPr>
              <w:sz w:val="28"/>
              <w:szCs w:val="28"/>
            </w:rPr>
            <w:tab/>
          </w:r>
          <w:r>
            <w:rPr>
              <w:sz w:val="28"/>
              <w:szCs w:val="28"/>
            </w:rPr>
            <w:fldChar w:fldCharType="begin"/>
          </w:r>
          <w:r>
            <w:rPr>
              <w:sz w:val="28"/>
              <w:szCs w:val="28"/>
            </w:rPr>
            <w:instrText xml:space="preserve"> PAGEREF _Toc25482 \h </w:instrText>
          </w:r>
          <w:r>
            <w:rPr>
              <w:sz w:val="28"/>
              <w:szCs w:val="28"/>
            </w:rPr>
            <w:fldChar w:fldCharType="separate"/>
          </w:r>
          <w:r>
            <w:rPr>
              <w:sz w:val="28"/>
              <w:szCs w:val="28"/>
            </w:rPr>
            <w:t>4</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7"/>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_Toc6563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黑体" w:hAnsi="黑体" w:eastAsia="黑体" w:cs="黑体"/>
              <w:sz w:val="28"/>
              <w:szCs w:val="28"/>
              <w:lang w:val="en-US" w:eastAsia="zh-CN"/>
            </w:rPr>
            <w:t>三、收支预算情况说明</w:t>
          </w:r>
          <w:r>
            <w:rPr>
              <w:sz w:val="28"/>
              <w:szCs w:val="28"/>
            </w:rPr>
            <w:tab/>
          </w:r>
          <w:r>
            <w:rPr>
              <w:sz w:val="28"/>
              <w:szCs w:val="28"/>
            </w:rPr>
            <w:fldChar w:fldCharType="begin"/>
          </w:r>
          <w:r>
            <w:rPr>
              <w:sz w:val="28"/>
              <w:szCs w:val="28"/>
            </w:rPr>
            <w:instrText xml:space="preserve"> PAGEREF _Toc6563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7"/>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_Toc30044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黑体" w:hAnsi="黑体" w:eastAsia="黑体" w:cs="黑体"/>
              <w:sz w:val="28"/>
              <w:szCs w:val="28"/>
              <w:lang w:val="en-US" w:eastAsia="zh-CN"/>
            </w:rPr>
            <w:t>六、一般公共预算基本支出情况说明</w:t>
          </w:r>
          <w:r>
            <w:rPr>
              <w:sz w:val="28"/>
              <w:szCs w:val="28"/>
            </w:rPr>
            <w:tab/>
          </w:r>
          <w:r>
            <w:rPr>
              <w:sz w:val="28"/>
              <w:szCs w:val="28"/>
            </w:rPr>
            <w:fldChar w:fldCharType="begin"/>
          </w:r>
          <w:r>
            <w:rPr>
              <w:sz w:val="28"/>
              <w:szCs w:val="28"/>
            </w:rPr>
            <w:instrText xml:space="preserve"> PAGEREF _Toc30044 \h </w:instrText>
          </w:r>
          <w:r>
            <w:rPr>
              <w:sz w:val="28"/>
              <w:szCs w:val="28"/>
            </w:rPr>
            <w:fldChar w:fldCharType="separate"/>
          </w:r>
          <w:r>
            <w:rPr>
              <w:sz w:val="28"/>
              <w:szCs w:val="28"/>
            </w:rPr>
            <w:t>7</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7"/>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_Toc4691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黑体" w:hAnsi="黑体" w:eastAsia="黑体" w:cs="黑体"/>
              <w:sz w:val="28"/>
              <w:szCs w:val="28"/>
              <w:lang w:val="en-US" w:eastAsia="zh-CN"/>
            </w:rPr>
            <w:t>七、“三公”经费财政拨款预算安排情况说明</w:t>
          </w:r>
          <w:r>
            <w:rPr>
              <w:sz w:val="28"/>
              <w:szCs w:val="28"/>
            </w:rPr>
            <w:tab/>
          </w:r>
          <w:r>
            <w:rPr>
              <w:sz w:val="28"/>
              <w:szCs w:val="28"/>
            </w:rPr>
            <w:fldChar w:fldCharType="begin"/>
          </w:r>
          <w:r>
            <w:rPr>
              <w:sz w:val="28"/>
              <w:szCs w:val="28"/>
            </w:rPr>
            <w:instrText xml:space="preserve"> PAGEREF _Toc4691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_Toc27770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楷体_GB2312" w:hAnsi="楷体_GB2312" w:eastAsia="楷体_GB2312" w:cs="楷体_GB2312"/>
              <w:sz w:val="28"/>
              <w:szCs w:val="28"/>
              <w:lang w:val="en-US" w:eastAsia="zh-CN"/>
            </w:rPr>
            <w:t>（一）公务接待费</w:t>
          </w:r>
          <w:r>
            <w:rPr>
              <w:sz w:val="28"/>
              <w:szCs w:val="28"/>
            </w:rPr>
            <w:tab/>
          </w:r>
          <w:r>
            <w:rPr>
              <w:sz w:val="28"/>
              <w:szCs w:val="28"/>
            </w:rPr>
            <w:fldChar w:fldCharType="begin"/>
          </w:r>
          <w:r>
            <w:rPr>
              <w:sz w:val="28"/>
              <w:szCs w:val="28"/>
            </w:rPr>
            <w:instrText xml:space="preserve"> PAGEREF _Toc27770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_Toc18066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仿宋_GB2312" w:hAnsi="仿宋_GB2312" w:eastAsia="仿宋_GB2312" w:cs="仿宋_GB2312"/>
              <w:bCs/>
              <w:sz w:val="28"/>
              <w:szCs w:val="28"/>
            </w:rPr>
            <w:t>（二）</w:t>
          </w:r>
          <w:r>
            <w:rPr>
              <w:rFonts w:hint="eastAsia" w:ascii="楷体_GB2312" w:hAnsi="楷体_GB2312" w:eastAsia="楷体_GB2312" w:cs="楷体_GB2312"/>
              <w:sz w:val="28"/>
              <w:szCs w:val="28"/>
              <w:lang w:val="en-US" w:eastAsia="zh-CN"/>
            </w:rPr>
            <w:t>公务用车购置及运行维护费</w:t>
          </w:r>
          <w:r>
            <w:rPr>
              <w:sz w:val="28"/>
              <w:szCs w:val="28"/>
            </w:rPr>
            <w:tab/>
          </w:r>
          <w:r>
            <w:rPr>
              <w:sz w:val="28"/>
              <w:szCs w:val="28"/>
            </w:rPr>
            <w:fldChar w:fldCharType="begin"/>
          </w:r>
          <w:r>
            <w:rPr>
              <w:sz w:val="28"/>
              <w:szCs w:val="28"/>
            </w:rPr>
            <w:instrText xml:space="preserve"> PAGEREF _Toc18066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rPr>
              <w:rFonts w:hint="default"/>
              <w:sz w:val="28"/>
              <w:szCs w:val="28"/>
              <w:lang w:val="en-US"/>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_Toc19343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仿宋_GB2312" w:hAnsi="仿宋_GB2312" w:eastAsia="仿宋_GB2312" w:cs="仿宋_GB2312"/>
              <w:sz w:val="28"/>
              <w:szCs w:val="28"/>
              <w:lang w:val="en-US" w:eastAsia="zh-CN"/>
            </w:rPr>
            <w:t>（</w:t>
          </w:r>
          <w:r>
            <w:rPr>
              <w:rFonts w:hint="eastAsia" w:ascii="楷体_GB2312" w:hAnsi="楷体_GB2312" w:eastAsia="楷体_GB2312" w:cs="楷体_GB2312"/>
              <w:sz w:val="28"/>
              <w:szCs w:val="28"/>
              <w:lang w:val="en-US" w:eastAsia="zh-CN"/>
            </w:rPr>
            <w:t>三）因公出国（境）经费</w:t>
          </w:r>
          <w:r>
            <w:rPr>
              <w:sz w:val="28"/>
              <w:szCs w:val="28"/>
            </w:rPr>
            <w:tab/>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t>8</w:t>
          </w:r>
          <w:bookmarkStart w:id="22" w:name="_GoBack"/>
          <w:bookmarkEnd w:id="22"/>
        </w:p>
        <w:p>
          <w:pPr>
            <w:pStyle w:val="7"/>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_Toc23548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黑体" w:hAnsi="黑体" w:eastAsia="黑体" w:cs="黑体"/>
              <w:sz w:val="28"/>
              <w:szCs w:val="28"/>
              <w:lang w:val="en-US" w:eastAsia="zh-CN"/>
            </w:rPr>
            <w:t>八、政府性基金预算支出情况说明</w:t>
          </w:r>
          <w:r>
            <w:rPr>
              <w:sz w:val="28"/>
              <w:szCs w:val="28"/>
            </w:rPr>
            <w:tab/>
          </w:r>
          <w:r>
            <w:rPr>
              <w:sz w:val="28"/>
              <w:szCs w:val="28"/>
            </w:rPr>
            <w:fldChar w:fldCharType="begin"/>
          </w:r>
          <w:r>
            <w:rPr>
              <w:sz w:val="28"/>
              <w:szCs w:val="28"/>
            </w:rPr>
            <w:instrText xml:space="preserve"> PAGEREF _Toc23548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7"/>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_Toc253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黑体" w:hAnsi="黑体" w:eastAsia="黑体" w:cs="黑体"/>
              <w:sz w:val="28"/>
              <w:szCs w:val="28"/>
              <w:lang w:val="en-US" w:eastAsia="zh-CN"/>
            </w:rPr>
            <w:t>九、国有资本经营预算支出情况说明</w:t>
          </w:r>
          <w:r>
            <w:rPr>
              <w:sz w:val="28"/>
              <w:szCs w:val="28"/>
            </w:rPr>
            <w:tab/>
          </w:r>
          <w:r>
            <w:rPr>
              <w:sz w:val="28"/>
              <w:szCs w:val="28"/>
            </w:rPr>
            <w:fldChar w:fldCharType="begin"/>
          </w:r>
          <w:r>
            <w:rPr>
              <w:sz w:val="28"/>
              <w:szCs w:val="28"/>
            </w:rPr>
            <w:instrText xml:space="preserve"> PAGEREF _Toc253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7"/>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_Toc12751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黑体" w:hAnsi="黑体" w:eastAsia="黑体" w:cs="黑体"/>
              <w:sz w:val="28"/>
              <w:szCs w:val="28"/>
              <w:lang w:val="en-US" w:eastAsia="zh-CN"/>
            </w:rPr>
            <w:t>十、其他重要事项的情况说明</w:t>
          </w:r>
          <w:r>
            <w:rPr>
              <w:sz w:val="28"/>
              <w:szCs w:val="28"/>
            </w:rPr>
            <w:tab/>
          </w:r>
          <w:r>
            <w:rPr>
              <w:sz w:val="28"/>
              <w:szCs w:val="28"/>
            </w:rPr>
            <w:fldChar w:fldCharType="begin"/>
          </w:r>
          <w:r>
            <w:rPr>
              <w:sz w:val="28"/>
              <w:szCs w:val="28"/>
            </w:rPr>
            <w:instrText xml:space="preserve"> PAGEREF _Toc12751 \h </w:instrText>
          </w:r>
          <w:r>
            <w:rPr>
              <w:sz w:val="28"/>
              <w:szCs w:val="28"/>
            </w:rPr>
            <w:fldChar w:fldCharType="separate"/>
          </w:r>
          <w:r>
            <w:rPr>
              <w:sz w:val="28"/>
              <w:szCs w:val="28"/>
            </w:rPr>
            <w:t>9</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_Toc6089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楷体_GB2312" w:hAnsi="楷体_GB2312" w:eastAsia="楷体_GB2312" w:cs="楷体_GB2312"/>
              <w:sz w:val="28"/>
              <w:szCs w:val="28"/>
              <w:lang w:val="en-US" w:eastAsia="zh-CN"/>
            </w:rPr>
            <w:t>（一）机关运行经费</w:t>
          </w:r>
          <w:r>
            <w:rPr>
              <w:sz w:val="28"/>
              <w:szCs w:val="28"/>
            </w:rPr>
            <w:tab/>
          </w:r>
          <w:r>
            <w:rPr>
              <w:sz w:val="28"/>
              <w:szCs w:val="28"/>
            </w:rPr>
            <w:fldChar w:fldCharType="begin"/>
          </w:r>
          <w:r>
            <w:rPr>
              <w:sz w:val="28"/>
              <w:szCs w:val="28"/>
            </w:rPr>
            <w:instrText xml:space="preserve"> PAGEREF _Toc6089 \h </w:instrText>
          </w:r>
          <w:r>
            <w:rPr>
              <w:sz w:val="28"/>
              <w:szCs w:val="28"/>
            </w:rPr>
            <w:fldChar w:fldCharType="separate"/>
          </w:r>
          <w:r>
            <w:rPr>
              <w:sz w:val="28"/>
              <w:szCs w:val="28"/>
            </w:rPr>
            <w:t>9</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_Toc13497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楷体_GB2312" w:hAnsi="楷体_GB2312" w:eastAsia="楷体_GB2312" w:cs="楷体_GB2312"/>
              <w:sz w:val="28"/>
              <w:szCs w:val="28"/>
              <w:lang w:val="en-US" w:eastAsia="zh-CN"/>
            </w:rPr>
            <w:t>（二）政府采购情况</w:t>
          </w:r>
          <w:r>
            <w:rPr>
              <w:sz w:val="28"/>
              <w:szCs w:val="28"/>
            </w:rPr>
            <w:tab/>
          </w:r>
          <w:r>
            <w:rPr>
              <w:sz w:val="28"/>
              <w:szCs w:val="28"/>
            </w:rPr>
            <w:fldChar w:fldCharType="begin"/>
          </w:r>
          <w:r>
            <w:rPr>
              <w:sz w:val="28"/>
              <w:szCs w:val="28"/>
            </w:rPr>
            <w:instrText xml:space="preserve"> PAGEREF _Toc13497 \h </w:instrText>
          </w:r>
          <w:r>
            <w:rPr>
              <w:sz w:val="28"/>
              <w:szCs w:val="28"/>
            </w:rPr>
            <w:fldChar w:fldCharType="separate"/>
          </w:r>
          <w:r>
            <w:rPr>
              <w:sz w:val="28"/>
              <w:szCs w:val="28"/>
            </w:rPr>
            <w:t>9</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_Toc2237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楷体_GB2312" w:hAnsi="楷体_GB2312" w:eastAsia="楷体_GB2312" w:cs="楷体_GB2312"/>
              <w:sz w:val="28"/>
              <w:szCs w:val="28"/>
              <w:lang w:val="en-US" w:eastAsia="zh-CN"/>
            </w:rPr>
            <w:t>（三）国有资产占有使用情况</w:t>
          </w:r>
          <w:r>
            <w:rPr>
              <w:sz w:val="28"/>
              <w:szCs w:val="28"/>
            </w:rPr>
            <w:tab/>
          </w:r>
          <w:r>
            <w:rPr>
              <w:sz w:val="28"/>
              <w:szCs w:val="28"/>
            </w:rPr>
            <w:fldChar w:fldCharType="begin"/>
          </w:r>
          <w:r>
            <w:rPr>
              <w:sz w:val="28"/>
              <w:szCs w:val="28"/>
            </w:rPr>
            <w:instrText xml:space="preserve"> PAGEREF _Toc2237 \h </w:instrText>
          </w:r>
          <w:r>
            <w:rPr>
              <w:sz w:val="28"/>
              <w:szCs w:val="28"/>
            </w:rPr>
            <w:fldChar w:fldCharType="separate"/>
          </w:r>
          <w:r>
            <w:rPr>
              <w:sz w:val="28"/>
              <w:szCs w:val="28"/>
            </w:rPr>
            <w:t>9</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rPr>
              <w:sz w:val="28"/>
              <w:szCs w:val="28"/>
            </w:rPr>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_Toc1512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楷体_GB2312" w:hAnsi="楷体_GB2312" w:eastAsia="楷体_GB2312" w:cs="楷体_GB2312"/>
              <w:sz w:val="28"/>
              <w:szCs w:val="28"/>
              <w:lang w:val="en-US" w:eastAsia="zh-CN"/>
            </w:rPr>
            <w:t>（四）绩效目标设置情况</w:t>
          </w:r>
          <w:r>
            <w:rPr>
              <w:sz w:val="28"/>
              <w:szCs w:val="28"/>
            </w:rPr>
            <w:tab/>
          </w:r>
          <w:r>
            <w:rPr>
              <w:sz w:val="28"/>
              <w:szCs w:val="28"/>
            </w:rPr>
            <w:fldChar w:fldCharType="begin"/>
          </w:r>
          <w:r>
            <w:rPr>
              <w:sz w:val="28"/>
              <w:szCs w:val="28"/>
            </w:rPr>
            <w:instrText xml:space="preserve"> PAGEREF _Toc1512 \h </w:instrText>
          </w:r>
          <w:r>
            <w:rPr>
              <w:sz w:val="28"/>
              <w:szCs w:val="28"/>
            </w:rPr>
            <w:fldChar w:fldCharType="separate"/>
          </w:r>
          <w:r>
            <w:rPr>
              <w:sz w:val="28"/>
              <w:szCs w:val="28"/>
            </w:rPr>
            <w:t>9</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7"/>
            <w:tabs>
              <w:tab w:val="right" w:leader="dot" w:pos="8845"/>
            </w:tabs>
          </w:pP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黑体" w:hAnsi="黑体" w:eastAsia="黑体" w:cs="黑体"/>
              <w:i w:val="0"/>
              <w:caps w:val="0"/>
              <w:spacing w:val="0"/>
              <w:kern w:val="0"/>
              <w:sz w:val="28"/>
              <w:szCs w:val="28"/>
              <w:highlight w:val="none"/>
              <w:shd w:val="clear" w:color="auto" w:fill="FFFFFF"/>
              <w:lang w:val="en-US" w:eastAsia="zh-CN" w:bidi="ar"/>
            </w:rPr>
            <w:instrText xml:space="preserve"> HYPERLINK \l _Toc30129 </w:instrText>
          </w:r>
          <w:r>
            <w:rPr>
              <w:rFonts w:hint="eastAsia" w:ascii="黑体" w:hAnsi="黑体" w:eastAsia="黑体" w:cs="黑体"/>
              <w:i w:val="0"/>
              <w:caps w:val="0"/>
              <w:spacing w:val="0"/>
              <w:kern w:val="0"/>
              <w:sz w:val="28"/>
              <w:szCs w:val="28"/>
              <w:highlight w:val="none"/>
              <w:shd w:val="clear" w:color="auto" w:fill="FFFFFF"/>
              <w:lang w:val="en-US" w:eastAsia="zh-CN" w:bidi="ar"/>
            </w:rPr>
            <w:fldChar w:fldCharType="separate"/>
          </w:r>
          <w:r>
            <w:rPr>
              <w:rFonts w:hint="eastAsia" w:ascii="黑体" w:hAnsi="黑体" w:eastAsia="黑体" w:cs="黑体"/>
              <w:sz w:val="28"/>
              <w:szCs w:val="28"/>
              <w:lang w:val="en-US" w:eastAsia="zh-CN"/>
            </w:rPr>
            <w:t>十一、名词解释</w:t>
          </w:r>
          <w:r>
            <w:rPr>
              <w:sz w:val="28"/>
              <w:szCs w:val="28"/>
            </w:rPr>
            <w:tab/>
          </w:r>
          <w:r>
            <w:rPr>
              <w:sz w:val="28"/>
              <w:szCs w:val="28"/>
            </w:rPr>
            <w:fldChar w:fldCharType="begin"/>
          </w:r>
          <w:r>
            <w:rPr>
              <w:sz w:val="28"/>
              <w:szCs w:val="28"/>
            </w:rPr>
            <w:instrText xml:space="preserve"> PAGEREF _Toc30129 \h </w:instrText>
          </w:r>
          <w:r>
            <w:rPr>
              <w:sz w:val="28"/>
              <w:szCs w:val="28"/>
            </w:rPr>
            <w:fldChar w:fldCharType="separate"/>
          </w:r>
          <w:r>
            <w:rPr>
              <w:sz w:val="28"/>
              <w:szCs w:val="28"/>
            </w:rPr>
            <w:t>9</w:t>
          </w:r>
          <w:r>
            <w:rPr>
              <w:sz w:val="28"/>
              <w:szCs w:val="28"/>
            </w:rPr>
            <w:fldChar w:fldCharType="end"/>
          </w:r>
          <w:r>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end"/>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480" w:firstLineChars="200"/>
            <w:jc w:val="both"/>
            <w:rPr>
              <w:rFonts w:hint="eastAsia" w:ascii="黑体" w:hAnsi="黑体" w:eastAsia="黑体" w:cs="黑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sdtContent>
    </w:sdt>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 w:name="_Toc32262"/>
      <w:r>
        <w:rPr>
          <w:rFonts w:hint="eastAsia" w:ascii="黑体" w:hAnsi="黑体" w:eastAsia="黑体" w:cs="黑体"/>
          <w:sz w:val="32"/>
          <w:szCs w:val="32"/>
          <w:lang w:val="en-US" w:eastAsia="zh-CN"/>
        </w:rPr>
        <w:t>一、基本职能及主要工作</w:t>
      </w:r>
      <w:bookmarkEnd w:id="1"/>
    </w:p>
    <w:p>
      <w:pPr>
        <w:keepNext w:val="0"/>
        <w:keepLines w:val="0"/>
        <w:pageBreakBefore w:val="0"/>
        <w:widowControl/>
        <w:kinsoku/>
        <w:wordWrap/>
        <w:overflowPunct/>
        <w:topLinePunct w:val="0"/>
        <w:autoSpaceDE/>
        <w:autoSpaceDN/>
        <w:bidi w:val="0"/>
        <w:adjustRightInd w:val="0"/>
        <w:snapToGrid w:val="0"/>
        <w:spacing w:after="0" w:line="550" w:lineRule="exact"/>
        <w:ind w:firstLine="640" w:firstLineChars="200"/>
        <w:jc w:val="both"/>
        <w:textAlignment w:val="auto"/>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lang w:eastAsia="zh-CN"/>
        </w:rPr>
        <w:t>（一）宣传贯彻党中央、国务院、省委、省政府和市委、市政府有关农村经济工作的方针、政策以及区委、区政府的决策部署。</w:t>
      </w:r>
    </w:p>
    <w:p>
      <w:pPr>
        <w:keepNext w:val="0"/>
        <w:keepLines w:val="0"/>
        <w:pageBreakBefore w:val="0"/>
        <w:widowControl/>
        <w:kinsoku/>
        <w:wordWrap/>
        <w:overflowPunct/>
        <w:topLinePunct w:val="0"/>
        <w:autoSpaceDE/>
        <w:autoSpaceDN/>
        <w:bidi w:val="0"/>
        <w:adjustRightInd w:val="0"/>
        <w:snapToGrid w:val="0"/>
        <w:spacing w:after="0" w:line="550" w:lineRule="exact"/>
        <w:ind w:firstLine="640" w:firstLineChars="200"/>
        <w:jc w:val="both"/>
        <w:textAlignment w:val="auto"/>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lang w:eastAsia="zh-CN"/>
        </w:rPr>
        <w:t>（二）研究制定全区供销合作社的发展战略和规划；有效推进全区供销合作社的综合改革和高效发展，大力探索合作经济在社会主义市场经济条件下的多种实现形式。</w:t>
      </w:r>
    </w:p>
    <w:p>
      <w:pPr>
        <w:keepNext w:val="0"/>
        <w:keepLines w:val="0"/>
        <w:pageBreakBefore w:val="0"/>
        <w:widowControl/>
        <w:kinsoku/>
        <w:wordWrap/>
        <w:overflowPunct/>
        <w:topLinePunct w:val="0"/>
        <w:autoSpaceDE/>
        <w:autoSpaceDN/>
        <w:bidi w:val="0"/>
        <w:adjustRightInd w:val="0"/>
        <w:snapToGrid w:val="0"/>
        <w:spacing w:after="0" w:line="550" w:lineRule="exact"/>
        <w:ind w:firstLine="640" w:firstLineChars="200"/>
        <w:jc w:val="both"/>
        <w:textAlignment w:val="auto"/>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lang w:eastAsia="zh-CN"/>
        </w:rPr>
        <w:t>（三）按照政府授权对全区重要农业生产资料、再生资源回收、农副产品、烟花爆竹进行经营管理；参与组织、储备、调运有关救灾物资工作。</w:t>
      </w:r>
    </w:p>
    <w:p>
      <w:pPr>
        <w:keepNext w:val="0"/>
        <w:keepLines w:val="0"/>
        <w:pageBreakBefore w:val="0"/>
        <w:widowControl/>
        <w:kinsoku/>
        <w:wordWrap/>
        <w:overflowPunct/>
        <w:topLinePunct w:val="0"/>
        <w:autoSpaceDE/>
        <w:autoSpaceDN/>
        <w:bidi w:val="0"/>
        <w:adjustRightInd w:val="0"/>
        <w:snapToGrid w:val="0"/>
        <w:spacing w:after="0" w:line="550" w:lineRule="exact"/>
        <w:ind w:firstLine="640" w:firstLineChars="200"/>
        <w:jc w:val="both"/>
        <w:textAlignment w:val="auto"/>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lang w:eastAsia="zh-CN"/>
        </w:rPr>
        <w:t>（四）加强与政府有关部门、社会组织的协作配合，研究政策建议，了解意见要求，组织、引领、指导农村专业合作经济组织健康发展。</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lang w:eastAsia="zh-CN"/>
        </w:rPr>
        <w:t>（五）指导全区供销系统推进农业农村现代化建设，参与农业产业化经营、农业综合开发，促进一二三产业融合发展；构建农村现代流通体系，推动小农户与现代农业有机衔接；指导农村金融互助、消费、生产、供销等合作社发展，帮助农民提高收入水平。</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lang w:eastAsia="zh-CN"/>
        </w:rPr>
        <w:t>（六）建立和完善农业社会化服务体系，做好“三农”服务工作，指导开展土地托管、电子商务、农村现代物流等新型业务，引导农民发展商品生产，搞活农村商品流通。</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lang w:eastAsia="zh-CN"/>
        </w:rPr>
        <w:t>（七）加强全区供销系统组织建设，不断建立和完善新型基层供销合作社，组织发展农民专业合作社、农村社区综合服务社等农村基层经营服务组织，发挥联合合作优势。</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lang w:eastAsia="zh-CN"/>
        </w:rPr>
        <w:t>（八）履行本级社有资产出资人代表职责，加强对社有资产有效经营的指导和绩效评估，把握社有企业发展方向，优化社有资本布局，促进社有资产保值增值。</w:t>
      </w:r>
    </w:p>
    <w:p>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lang w:eastAsia="zh-CN"/>
        </w:rPr>
        <w:t>（九）发挥合作经济组织联合会作用，参与、协调农村合作经济组织技术交流与对外合作工作。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color w:val="000000"/>
          <w:sz w:val="32"/>
          <w:lang w:eastAsia="zh-CN"/>
        </w:rPr>
        <w:t>（十）完成区委、区政府交办的其他任务。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昭化区供销社</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color w:val="auto"/>
          <w:kern w:val="44"/>
          <w:sz w:val="32"/>
          <w:szCs w:val="32"/>
          <w:lang w:val="en-US" w:eastAsia="zh-CN" w:bidi="ar-SA"/>
        </w:rPr>
        <w:t>（一）</w:t>
      </w:r>
      <w:r>
        <w:rPr>
          <w:rFonts w:hint="eastAsia" w:ascii="Times New Roman" w:hAnsi="Times New Roman" w:eastAsia="仿宋_GB2312" w:cs="Times New Roman"/>
          <w:color w:val="000000"/>
          <w:sz w:val="32"/>
          <w:lang w:val="en-US" w:eastAsia="zh-CN"/>
        </w:rPr>
        <w:t>夯实基层供销社基础。按照“三社”（基层</w:t>
      </w:r>
      <w:r>
        <w:rPr>
          <w:rFonts w:hint="eastAsia" w:ascii="仿宋_GB2312" w:hAnsi="仿宋_GB2312" w:eastAsia="仿宋_GB2312" w:cs="仿宋_GB2312"/>
          <w:sz w:val="32"/>
          <w:szCs w:val="32"/>
          <w:lang w:val="en-US" w:eastAsia="zh-CN"/>
        </w:rPr>
        <w:t>供销社、村集体经济组织、专业合作社）融合的思路，新建卫子镇卫子村、板石沟村、昭化石盘村3个村级供销社。指导镇村供销社在围绕农业社会化服务，探索推进农资供应、代耕代种、产品营销、承接农村政府购买服务，助农提高种粮综合效益。提升基层供销社的运行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b w:val="0"/>
          <w:bCs w:val="0"/>
          <w:color w:val="auto"/>
          <w:kern w:val="44"/>
          <w:sz w:val="32"/>
          <w:szCs w:val="32"/>
          <w:lang w:val="en-US" w:eastAsia="zh-CN" w:bidi="ar-SA"/>
        </w:rPr>
        <w:t>（</w:t>
      </w:r>
      <w:r>
        <w:rPr>
          <w:rFonts w:hint="eastAsia" w:ascii="Times New Roman" w:hAnsi="Times New Roman" w:eastAsia="仿宋_GB2312" w:cs="Times New Roman"/>
          <w:b w:val="0"/>
          <w:bCs w:val="0"/>
          <w:color w:val="auto"/>
          <w:kern w:val="44"/>
          <w:sz w:val="32"/>
          <w:szCs w:val="32"/>
          <w:lang w:val="en-US" w:eastAsia="zh-CN" w:bidi="ar-SA"/>
        </w:rPr>
        <w:t>二</w:t>
      </w:r>
      <w:r>
        <w:rPr>
          <w:rFonts w:hint="default" w:ascii="Times New Roman" w:hAnsi="Times New Roman" w:eastAsia="仿宋_GB2312" w:cs="Times New Roman"/>
          <w:b w:val="0"/>
          <w:bCs w:val="0"/>
          <w:color w:val="auto"/>
          <w:kern w:val="44"/>
          <w:sz w:val="32"/>
          <w:szCs w:val="32"/>
          <w:lang w:val="en-US" w:eastAsia="zh-CN" w:bidi="ar-SA"/>
        </w:rPr>
        <w:t>）</w:t>
      </w:r>
      <w:r>
        <w:rPr>
          <w:rFonts w:hint="eastAsia" w:ascii="仿宋_GB2312" w:hAnsi="仿宋_GB2312" w:eastAsia="仿宋_GB2312" w:cs="仿宋_GB2312"/>
          <w:sz w:val="32"/>
          <w:szCs w:val="32"/>
          <w:lang w:val="en-US" w:eastAsia="zh-CN"/>
        </w:rPr>
        <w:t>发展壮大社有企业。一是强化对企业的全过程审计监管。二是推进企业经营改革，探索企业员工分级薪酬制度，改革农资公司、再生资源回收公司运行机制，多方合作恢复开展农资供应、再生资源回收利用，提升供销社的服务能力和经营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2" w:name="_Toc25482"/>
      <w:r>
        <w:rPr>
          <w:rFonts w:hint="eastAsia" w:ascii="黑体" w:hAnsi="黑体" w:eastAsia="黑体" w:cs="黑体"/>
          <w:sz w:val="32"/>
          <w:szCs w:val="32"/>
          <w:lang w:val="en-US" w:eastAsia="zh-CN"/>
        </w:rPr>
        <w:t>二、部门预算单位构成</w:t>
      </w:r>
      <w:bookmarkEnd w:id="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昭化区供销社下属二级预算单位0个，其中行政单位0个，参照公务员法管理的事业单位0个，其他事业单位0个。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3" w:name="_Toc6563"/>
      <w:r>
        <w:rPr>
          <w:rFonts w:hint="eastAsia" w:ascii="黑体" w:hAnsi="黑体" w:eastAsia="黑体" w:cs="黑体"/>
          <w:sz w:val="32"/>
          <w:szCs w:val="32"/>
          <w:lang w:val="en-US" w:eastAsia="zh-CN"/>
        </w:rPr>
        <w:t>三、收支预算情况说明</w:t>
      </w:r>
      <w:bookmarkEnd w:id="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昭化区供销社所有收入和支出均纳入部门预算管理。收入包括：一般公共预算拨款收入；支出包括：一般公共服务支出、社会保障和就业支出、卫生健康支出、住房保障支出。昭化区供销社2024年收支预算总数</w:t>
      </w:r>
      <w:r>
        <w:rPr>
          <w:rFonts w:hint="eastAsia" w:ascii="Times New Roman" w:hAnsi="Times New Roman" w:eastAsia="仿宋_GB2312" w:cs="Times New Roman"/>
          <w:b w:val="0"/>
          <w:bCs w:val="0"/>
          <w:kern w:val="2"/>
          <w:sz w:val="32"/>
          <w:szCs w:val="32"/>
          <w:highlight w:val="none"/>
          <w:lang w:val="en-US" w:eastAsia="zh-CN" w:bidi="ar-SA"/>
        </w:rPr>
        <w:t>210.15</w:t>
      </w:r>
      <w:r>
        <w:rPr>
          <w:rFonts w:hint="eastAsia" w:ascii="仿宋_GB2312" w:hAnsi="仿宋_GB2312" w:eastAsia="仿宋_GB2312" w:cs="仿宋_GB2312"/>
          <w:sz w:val="32"/>
          <w:szCs w:val="32"/>
          <w:lang w:val="en-US" w:eastAsia="zh-CN"/>
        </w:rPr>
        <w:t>万元,比2023年收支预算总数增加1.83万元，主要原因是职工工资正常增长</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昭化区供销社2024年收入预算210.15万元，其中：一般公共预算拨款收入210.15万元，占100%；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昭化区供销社2024年支出预算210.15万元，其中：基本支出187.65万元，占89.29%；项目支出22.5万元，占10.71%。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昭化区供销社2024年财政拨款收支预算总数210.15万元,比2023年财政拨款收支预算总数增加1.83万元，主要原因：职工工资正常增长</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收入包括：本年一般公共预算拨款收入210.15万元；支出包括：一般公共服务支出155.78万元、社会保障和就业支出35.47万元、卫生健康支出5.94万元、住房保障支出12.96万元。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昭化区供销社2024年一般公共预算当年拨款210.15万元，比2023年预算数增加1.83万元，主要原因：一是人员增加；二是职工工资正常增长</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一般公共服务支出155.78万元，占74.13%；社会保障和就业支出35.47万元，占16.88%；卫生健康支出5.94万元，占2.83%；住房保障支出12.96万元，占6.16%。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社会保障和就业（类）行政事业单位养老支出（款）行政单位离退休（项）2024年预算数为18万元，主要用于：机关及参公管理事业单位离退休人员经费支出。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2.社会保障和就业（类）行政事业单位养老支出（款）行政单位基本养老保险缴费支出（项）2024年预算数为17.28万元，主要用于：实施养老保险制度由单位缴纳的基本养老保险支出。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3.社会保障和就业（类）行政事业单位养老支出（款）行政单位其他社会保障和就业支出（项）2024年预算数为0.19万元，主要用于：机关事业单位遗属补助支出。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4.卫生健康（类）行政事业单位医疗（款）行政单位医疗（项）2024年预算数为5.94万元，主要用于：机关及参公管理事业单位按规定由单位缴纳的基本医疗保险支出。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5.一般公共服务（类）财政事务（款）行政运行（项）2024年预算数为150.79万元，主要用于：</w:t>
      </w:r>
      <w:r>
        <w:rPr>
          <w:rFonts w:hint="default" w:ascii="仿宋_GB2312" w:hAnsi="仿宋_GB2312" w:eastAsia="仿宋_GB2312" w:cs="仿宋_GB2312"/>
          <w:sz w:val="32"/>
          <w:szCs w:val="32"/>
          <w:lang w:val="en-US" w:eastAsia="zh-CN"/>
        </w:rPr>
        <w:t>机关及参公管理事业单位正常运转的基本支出，包括基本工资、津贴补贴等人员经费以及办公费、印刷费、水电费等日常公用经费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保障部门正常运转。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6.一般公共服务（类）财政事务（款）其他商业流通事务支出（项）2024年预算数为5万元，主要用于：按规定支付机关单位废弃农膜回购补贴</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7.住房保障（类）住房改革支出（款）住房公积金（项）2024年预算数为12.96万元，主要用于：部门按规定为职工缴纳的住房公积金支出。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4" w:name="_Toc30044"/>
      <w:r>
        <w:rPr>
          <w:rFonts w:hint="eastAsia" w:ascii="黑体" w:hAnsi="黑体" w:eastAsia="黑体" w:cs="黑体"/>
          <w:sz w:val="32"/>
          <w:szCs w:val="32"/>
          <w:lang w:val="en-US" w:eastAsia="zh-CN"/>
        </w:rPr>
        <w:t>六、一般公共预算基本支出情况说明</w:t>
      </w:r>
      <w:bookmarkEnd w:id="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昭化区供销社2024年一般公共预算基本支出187.65万元，其中：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资福利支出144.34万元，主要包括：基本工资、津贴补贴、其他规定的地方津补贴、公务员规范津贴补贴、奖金、年终一次性奖励工资、基础绩效奖、机关事业单位基本养老保险缴费、职工基本医疗保险缴费、其他社会保障缴费、失业保险、工伤保险、住房公积金</w:t>
      </w:r>
      <w:r>
        <w:rPr>
          <w:rFonts w:hint="eastAsia" w:ascii="仿宋_GB2312" w:hAnsi="仿宋_GB2312" w:eastAsia="仿宋_GB2312" w:cs="仿宋_GB2312"/>
          <w:sz w:val="32"/>
          <w:szCs w:val="32"/>
          <w:lang w:val="en-US" w:eastAsia="zh-CN"/>
        </w:rPr>
        <w:t>等支出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商品和服务支出21.96万元，主要包括：办公费、印刷费、水费、电费、邮电费、差旅费、会议费、公务接待费、工会经费、其他交通费用、公务交通补贴</w:t>
      </w:r>
      <w:r>
        <w:rPr>
          <w:rFonts w:hint="eastAsia" w:ascii="仿宋_GB2312" w:hAnsi="仿宋_GB2312" w:eastAsia="仿宋_GB2312" w:cs="仿宋_GB2312"/>
          <w:sz w:val="32"/>
          <w:szCs w:val="32"/>
          <w:lang w:val="en-US" w:eastAsia="zh-CN"/>
        </w:rPr>
        <w:t>等支出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对个人和家庭的补助21.35元，主要包括：遗属人员、离退休目标奖、其他生活补助</w:t>
      </w:r>
      <w:r>
        <w:rPr>
          <w:rFonts w:hint="eastAsia" w:ascii="仿宋_GB2312" w:hAnsi="仿宋_GB2312" w:eastAsia="仿宋_GB2312" w:cs="仿宋_GB2312"/>
          <w:sz w:val="32"/>
          <w:szCs w:val="32"/>
          <w:lang w:val="en-US" w:eastAsia="zh-CN"/>
        </w:rPr>
        <w:t>等支出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5" w:name="_Toc4691"/>
      <w:r>
        <w:rPr>
          <w:rFonts w:hint="eastAsia" w:ascii="黑体" w:hAnsi="黑体" w:eastAsia="黑体" w:cs="黑体"/>
          <w:sz w:val="32"/>
          <w:szCs w:val="32"/>
          <w:lang w:val="en-US" w:eastAsia="zh-CN"/>
        </w:rPr>
        <w:t>七、“三公”经费财政拨款预算安排情况说明</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昭化区供销社2024年“三公”经费财政拨款预算数0.6万元，其中：公务接待费0.6万元。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3260"/>
      <w:bookmarkStart w:id="7" w:name="_Toc27770"/>
      <w:r>
        <w:rPr>
          <w:rFonts w:hint="eastAsia" w:ascii="楷体_GB2312" w:hAnsi="楷体_GB2312" w:eastAsia="楷体_GB2312" w:cs="楷体_GB2312"/>
          <w:sz w:val="32"/>
          <w:szCs w:val="32"/>
          <w:lang w:val="en-US" w:eastAsia="zh-CN"/>
        </w:rPr>
        <w:t>（一）公务接待费</w:t>
      </w:r>
      <w:bookmarkEnd w:id="6"/>
      <w:bookmarkEnd w:id="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b/>
          <w:bCs/>
          <w:sz w:val="32"/>
          <w:szCs w:val="32"/>
        </w:rPr>
      </w:pPr>
      <w:bookmarkStart w:id="8" w:name="_Toc12373"/>
      <w:bookmarkStart w:id="9" w:name="_Toc18066"/>
      <w:r>
        <w:rPr>
          <w:rFonts w:hint="eastAsia" w:ascii="楷体_GB2312" w:hAnsi="楷体_GB2312" w:eastAsia="楷体_GB2312" w:cs="楷体_GB2312"/>
          <w:sz w:val="32"/>
          <w:szCs w:val="32"/>
          <w:lang w:val="en-US" w:eastAsia="zh-CN"/>
        </w:rPr>
        <w:t>公务用车购置及运行维护费</w:t>
      </w:r>
      <w:bookmarkEnd w:id="8"/>
      <w:bookmarkEnd w:id="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2024年安排公务用车购置费0万元，拟购置公务用车0辆，其中：2024年未安排公务用车购置费。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2024年安排公务用车运行维护费0万元。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因公出国（境）经费与2022年预算相比下降\增长\持平，主要原因是。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0" w:name="_Toc23548"/>
      <w:r>
        <w:rPr>
          <w:rFonts w:hint="eastAsia" w:ascii="黑体" w:hAnsi="黑体" w:eastAsia="黑体" w:cs="黑体"/>
          <w:sz w:val="32"/>
          <w:szCs w:val="32"/>
          <w:lang w:val="en-US" w:eastAsia="zh-CN"/>
        </w:rPr>
        <w:t>八、政府性基金预算支出情况说明</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昭化区供销社2024年无政府性基金预算拨款安排的支出。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1" w:name="_Toc253"/>
      <w:r>
        <w:rPr>
          <w:rFonts w:hint="eastAsia" w:ascii="黑体" w:hAnsi="黑体" w:eastAsia="黑体" w:cs="黑体"/>
          <w:sz w:val="32"/>
          <w:szCs w:val="32"/>
          <w:lang w:val="en-US" w:eastAsia="zh-CN"/>
        </w:rPr>
        <w:t>九、国有资本经营预算支出情况说明</w:t>
      </w:r>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昭化区供销社2024年无国有资本经营预算拨款安排的支出。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2" w:name="_Toc12751"/>
      <w:r>
        <w:rPr>
          <w:rFonts w:hint="eastAsia" w:ascii="黑体" w:hAnsi="黑体" w:eastAsia="黑体" w:cs="黑体"/>
          <w:sz w:val="32"/>
          <w:szCs w:val="32"/>
          <w:lang w:val="en-US" w:eastAsia="zh-CN"/>
        </w:rPr>
        <w:t>十、其他重要事项的情况说明</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3" w:name="_Toc28853"/>
      <w:bookmarkStart w:id="14" w:name="_Toc6089"/>
      <w:r>
        <w:rPr>
          <w:rFonts w:hint="eastAsia" w:ascii="楷体_GB2312" w:hAnsi="楷体_GB2312" w:eastAsia="楷体_GB2312" w:cs="楷体_GB2312"/>
          <w:sz w:val="32"/>
          <w:szCs w:val="32"/>
          <w:lang w:val="en-US" w:eastAsia="zh-CN"/>
        </w:rPr>
        <w:t>（一）机关运行经费</w:t>
      </w:r>
      <w:bookmarkEnd w:id="13"/>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color w:val="auto"/>
          <w:sz w:val="32"/>
          <w:szCs w:val="32"/>
          <w:highlight w:val="none"/>
        </w:rPr>
        <w:t>202</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年，</w:t>
      </w:r>
      <w:r>
        <w:rPr>
          <w:rFonts w:hint="eastAsia" w:ascii="Times New Roman" w:hAnsi="Times New Roman" w:eastAsia="仿宋_GB2312" w:cs="Times New Roman"/>
          <w:b w:val="0"/>
          <w:bCs w:val="0"/>
          <w:color w:val="auto"/>
          <w:sz w:val="32"/>
          <w:szCs w:val="32"/>
          <w:highlight w:val="none"/>
          <w:lang w:val="en-US" w:eastAsia="zh-CN"/>
        </w:rPr>
        <w:t>昭化区供销社</w:t>
      </w:r>
      <w:r>
        <w:rPr>
          <w:rFonts w:hint="default" w:ascii="Times New Roman" w:hAnsi="Times New Roman" w:eastAsia="仿宋_GB2312" w:cs="Times New Roman"/>
          <w:b w:val="0"/>
          <w:bCs w:val="0"/>
          <w:color w:val="auto"/>
          <w:sz w:val="32"/>
          <w:szCs w:val="32"/>
          <w:highlight w:val="none"/>
        </w:rPr>
        <w:t>机关运行经费财政拨款预算</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为</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21.96</w:t>
      </w:r>
      <w:r>
        <w:rPr>
          <w:rFonts w:hint="default" w:ascii="Times New Roman" w:hAnsi="Times New Roman" w:eastAsia="仿宋_GB2312" w:cs="Times New Roman"/>
          <w:b w:val="0"/>
          <w:bCs w:val="0"/>
          <w:color w:val="auto"/>
          <w:sz w:val="32"/>
          <w:szCs w:val="32"/>
          <w:highlight w:val="none"/>
        </w:rPr>
        <w:t>万元，比202</w:t>
      </w: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年预算</w:t>
      </w:r>
      <w:r>
        <w:rPr>
          <w:rFonts w:hint="eastAsia" w:ascii="Times New Roman" w:hAnsi="Times New Roman" w:eastAsia="仿宋_GB2312" w:cs="Times New Roman"/>
          <w:b w:val="0"/>
          <w:bCs w:val="0"/>
          <w:color w:val="auto"/>
          <w:sz w:val="32"/>
          <w:szCs w:val="32"/>
          <w:highlight w:val="none"/>
          <w:lang w:val="en-US" w:eastAsia="zh-CN"/>
        </w:rPr>
        <w:t>持平</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13497"/>
      <w:bookmarkStart w:id="16" w:name="_Toc12784"/>
      <w:r>
        <w:rPr>
          <w:rFonts w:hint="eastAsia" w:ascii="楷体_GB2312" w:hAnsi="楷体_GB2312" w:eastAsia="楷体_GB2312" w:cs="楷体_GB2312"/>
          <w:sz w:val="32"/>
          <w:szCs w:val="32"/>
          <w:lang w:val="en-US" w:eastAsia="zh-CN"/>
        </w:rPr>
        <w:t>（二）政府采购情况</w:t>
      </w:r>
      <w:bookmarkEnd w:id="15"/>
      <w:bookmarkEnd w:id="1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val="0"/>
          <w:bCs w:val="0"/>
          <w:sz w:val="32"/>
          <w:szCs w:val="32"/>
        </w:rPr>
        <w:t>2023年，昭化</w:t>
      </w:r>
      <w:r>
        <w:rPr>
          <w:rFonts w:hint="eastAsia" w:ascii="Times New Roman" w:hAnsi="Times New Roman" w:eastAsia="仿宋_GB2312" w:cs="Times New Roman"/>
          <w:b w:val="0"/>
          <w:bCs w:val="0"/>
          <w:sz w:val="32"/>
          <w:szCs w:val="32"/>
          <w:lang w:val="en-US" w:eastAsia="zh-CN"/>
        </w:rPr>
        <w:t>区供销社</w:t>
      </w:r>
      <w:r>
        <w:rPr>
          <w:rFonts w:hint="default" w:ascii="Times New Roman" w:hAnsi="Times New Roman" w:eastAsia="仿宋_GB2312" w:cs="Times New Roman"/>
          <w:b w:val="0"/>
          <w:bCs w:val="0"/>
          <w:sz w:val="32"/>
          <w:szCs w:val="32"/>
        </w:rPr>
        <w:t>无政府采购预算。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7" w:name="_Toc2237"/>
      <w:bookmarkStart w:id="18" w:name="_Toc29533"/>
      <w:r>
        <w:rPr>
          <w:rFonts w:hint="eastAsia" w:ascii="楷体_GB2312" w:hAnsi="楷体_GB2312" w:eastAsia="楷体_GB2312" w:cs="楷体_GB2312"/>
          <w:sz w:val="32"/>
          <w:szCs w:val="32"/>
          <w:lang w:val="en-US" w:eastAsia="zh-CN"/>
        </w:rPr>
        <w:t>（三）国有资产占有使用情况</w:t>
      </w:r>
      <w:bookmarkEnd w:id="17"/>
      <w:bookmarkEnd w:id="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val="0"/>
          <w:bCs w:val="0"/>
          <w:sz w:val="32"/>
          <w:szCs w:val="32"/>
        </w:rPr>
        <w:t>截至202</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年底，昭化</w:t>
      </w:r>
      <w:r>
        <w:rPr>
          <w:rFonts w:hint="eastAsia" w:ascii="Times New Roman" w:hAnsi="Times New Roman" w:eastAsia="仿宋_GB2312" w:cs="Times New Roman"/>
          <w:b w:val="0"/>
          <w:bCs w:val="0"/>
          <w:sz w:val="32"/>
          <w:szCs w:val="32"/>
          <w:lang w:val="en-US" w:eastAsia="zh-CN"/>
        </w:rPr>
        <w:t>区供销社</w:t>
      </w:r>
      <w:r>
        <w:rPr>
          <w:rFonts w:hint="default" w:ascii="Times New Roman" w:hAnsi="Times New Roman" w:eastAsia="仿宋_GB2312" w:cs="Times New Roman"/>
          <w:b w:val="0"/>
          <w:bCs w:val="0"/>
          <w:sz w:val="32"/>
          <w:szCs w:val="32"/>
        </w:rPr>
        <w:t>共有车辆0辆，其中，领导干部用车0辆、定向保障用车0辆、执法执勤用车0辆。</w:t>
      </w:r>
      <w:r>
        <w:rPr>
          <w:rFonts w:hint="eastAsia" w:ascii="Times New Roman" w:hAnsi="Times New Roman" w:eastAsia="仿宋_GB2312" w:cs="Times New Roman"/>
          <w:b w:val="0"/>
          <w:bCs w:val="0"/>
          <w:sz w:val="32"/>
          <w:szCs w:val="32"/>
          <w:lang w:eastAsia="zh-CN"/>
        </w:rPr>
        <w:t>单位无大型设备。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19" w:name="_Toc28839"/>
      <w:bookmarkStart w:id="20" w:name="_Toc1512"/>
      <w:r>
        <w:rPr>
          <w:rFonts w:hint="eastAsia" w:ascii="楷体_GB2312" w:hAnsi="楷体_GB2312" w:eastAsia="楷体_GB2312" w:cs="楷体_GB2312"/>
          <w:sz w:val="32"/>
          <w:szCs w:val="32"/>
          <w:lang w:val="en-US" w:eastAsia="zh-CN"/>
        </w:rPr>
        <w:t>（四）绩效目标设置情况</w:t>
      </w:r>
      <w:bookmarkEnd w:id="19"/>
      <w:bookmarkEnd w:id="2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2024年昭化区供销社开展绩效目标管理的项目4个，涉及预算22.5万元。其中：运转类项目2个，涉及预算15万元；特定目标类项目2个，涉及预算7.5万元。因部分项目内容涉密，不予公开。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1" w:name="_Toc30129"/>
      <w:r>
        <w:rPr>
          <w:rFonts w:hint="eastAsia" w:ascii="黑体" w:hAnsi="黑体" w:eastAsia="黑体" w:cs="黑体"/>
          <w:sz w:val="32"/>
          <w:szCs w:val="32"/>
          <w:lang w:val="en-US" w:eastAsia="zh-CN"/>
        </w:rPr>
        <w:t>十一、名词解释</w:t>
      </w:r>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指市财政当年安排的财政预算收入。按现行管理制度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（二）一般公共服务（类）财政事务（款）</w:t>
      </w:r>
      <w:r>
        <w:rPr>
          <w:rFonts w:hint="default" w:ascii="Times New Roman" w:hAnsi="Times New Roman" w:eastAsia="仿宋_GB2312" w:cs="Times New Roman"/>
          <w:b w:val="0"/>
          <w:bCs/>
          <w:sz w:val="32"/>
          <w:szCs w:val="32"/>
        </w:rPr>
        <w:t>行政运行</w:t>
      </w:r>
      <w:r>
        <w:rPr>
          <w:rFonts w:hint="eastAsia" w:ascii="楷体_GB2312" w:hAnsi="楷体_GB2312" w:eastAsia="楷体_GB2312" w:cs="楷体_GB2312"/>
          <w:sz w:val="32"/>
          <w:szCs w:val="32"/>
          <w:lang w:val="en-US" w:eastAsia="zh-CN"/>
        </w:rPr>
        <w:t>（项）：</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（三）社会保障和就业（类）行政事业单位养老支出（款）事业单位离退休（项）：</w:t>
      </w:r>
      <w:r>
        <w:rPr>
          <w:rFonts w:hint="eastAsia" w:ascii="仿宋_GB2312" w:hAnsi="仿宋_GB2312" w:eastAsia="仿宋_GB2312" w:cs="仿宋_GB2312"/>
          <w:sz w:val="32"/>
          <w:szCs w:val="32"/>
          <w:lang w:val="en-US" w:eastAsia="zh-CN"/>
        </w:rPr>
        <w:t>指事业单位离退休人员的支出。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（四）社会保障和就业（类）行政事业单位养老支出（款）行政单位离退休（项）：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（五）社会保障和就业（类）行政事业单位养老支出（款）机关事业单位基本养老保险缴费支出（项）：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（六）社会保障和就业（类）行政事业单位养老支出（款）机关事业单位职业年金缴费支出（项）：</w:t>
      </w:r>
      <w:r>
        <w:rPr>
          <w:rFonts w:hint="eastAsia" w:ascii="仿宋_GB2312" w:hAnsi="仿宋_GB2312" w:eastAsia="仿宋_GB2312" w:cs="仿宋_GB2312"/>
          <w:sz w:val="32"/>
          <w:szCs w:val="32"/>
          <w:lang w:val="en-US" w:eastAsia="zh-CN"/>
        </w:rPr>
        <w:t>指部门实施养老保险制度由单位缴纳的职业年金的支出。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（七）卫生健康（类）行政事业单位医疗（款）行政单位医疗（项）：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（八）卫生健康（类）行政事业单位医疗（款）事业单位医疗（项）：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（九）卫生健康（类）行政事业单位医疗（款）公务员医疗补助（项）：</w:t>
      </w:r>
      <w:r>
        <w:rPr>
          <w:rFonts w:hint="eastAsia" w:ascii="仿宋_GB2312" w:hAnsi="仿宋_GB2312" w:eastAsia="仿宋_GB2312" w:cs="仿宋_GB2312"/>
          <w:sz w:val="32"/>
          <w:szCs w:val="32"/>
          <w:lang w:val="en-US" w:eastAsia="zh-CN"/>
        </w:rPr>
        <w:t>指机关及参公管理事业单位用于集中缴纳公务员医疗补助支出。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楷体_GB2312" w:hAnsi="楷体_GB2312" w:eastAsia="楷体_GB2312" w:cs="楷体_GB2312"/>
          <w:sz w:val="32"/>
          <w:szCs w:val="32"/>
          <w:lang w:val="en-US" w:eastAsia="zh-CN"/>
        </w:rPr>
        <w:t>（十一）基本支出：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楷体_GB2312" w:hAnsi="楷体_GB2312" w:eastAsia="楷体_GB2312" w:cs="楷体_GB2312"/>
          <w:sz w:val="32"/>
          <w:szCs w:val="32"/>
          <w:lang w:val="en-US" w:eastAsia="zh-CN"/>
        </w:rPr>
        <w:t>（十二）项目支出：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（十四）机关运行经费：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mMjc5YzdiZmIwNTM4OTkxYjVlMmU5Yjk0YmQ2MjIifQ=="/>
  </w:docVars>
  <w:rsids>
    <w:rsidRoot w:val="00000000"/>
    <w:rsid w:val="007F0A1D"/>
    <w:rsid w:val="012352D1"/>
    <w:rsid w:val="014E205D"/>
    <w:rsid w:val="02C10E79"/>
    <w:rsid w:val="094822F4"/>
    <w:rsid w:val="09F67C4D"/>
    <w:rsid w:val="0A762E91"/>
    <w:rsid w:val="0BD7170D"/>
    <w:rsid w:val="0BE91440"/>
    <w:rsid w:val="0E4F5ED2"/>
    <w:rsid w:val="0F2D1010"/>
    <w:rsid w:val="10CC380A"/>
    <w:rsid w:val="116F4196"/>
    <w:rsid w:val="12E66341"/>
    <w:rsid w:val="15787ABD"/>
    <w:rsid w:val="1ADA4D76"/>
    <w:rsid w:val="1BF637C3"/>
    <w:rsid w:val="1BFB4FA4"/>
    <w:rsid w:val="1CDD28FB"/>
    <w:rsid w:val="1D3A1887"/>
    <w:rsid w:val="1F7BF06F"/>
    <w:rsid w:val="1FBA6F24"/>
    <w:rsid w:val="1FEE4B73"/>
    <w:rsid w:val="237B69CA"/>
    <w:rsid w:val="23CE9849"/>
    <w:rsid w:val="24142DD5"/>
    <w:rsid w:val="251351AC"/>
    <w:rsid w:val="2900009D"/>
    <w:rsid w:val="2A1A3A09"/>
    <w:rsid w:val="2BCC070B"/>
    <w:rsid w:val="328F61E9"/>
    <w:rsid w:val="33833DA5"/>
    <w:rsid w:val="349D0E96"/>
    <w:rsid w:val="35213875"/>
    <w:rsid w:val="38123949"/>
    <w:rsid w:val="38FA68B7"/>
    <w:rsid w:val="39F304DD"/>
    <w:rsid w:val="3ABC57D8"/>
    <w:rsid w:val="3B891EEC"/>
    <w:rsid w:val="3C1C6B44"/>
    <w:rsid w:val="3FC76DC7"/>
    <w:rsid w:val="40A86BF9"/>
    <w:rsid w:val="40BC6B48"/>
    <w:rsid w:val="41643A34"/>
    <w:rsid w:val="442742D8"/>
    <w:rsid w:val="44427364"/>
    <w:rsid w:val="4C97105C"/>
    <w:rsid w:val="4EF63225"/>
    <w:rsid w:val="52460D38"/>
    <w:rsid w:val="527322A1"/>
    <w:rsid w:val="54244390"/>
    <w:rsid w:val="5448601B"/>
    <w:rsid w:val="54662A63"/>
    <w:rsid w:val="55B2014A"/>
    <w:rsid w:val="57F329F7"/>
    <w:rsid w:val="58064E12"/>
    <w:rsid w:val="59981AA8"/>
    <w:rsid w:val="5B021EDD"/>
    <w:rsid w:val="5BFEE015"/>
    <w:rsid w:val="5C2F421A"/>
    <w:rsid w:val="611F2AAF"/>
    <w:rsid w:val="6200643D"/>
    <w:rsid w:val="63EDCF55"/>
    <w:rsid w:val="63FBFBCF"/>
    <w:rsid w:val="649B4ACE"/>
    <w:rsid w:val="64A61C32"/>
    <w:rsid w:val="650F4BE9"/>
    <w:rsid w:val="669360FD"/>
    <w:rsid w:val="67890C82"/>
    <w:rsid w:val="68FF6A83"/>
    <w:rsid w:val="69603071"/>
    <w:rsid w:val="6B5B4745"/>
    <w:rsid w:val="6C2F3948"/>
    <w:rsid w:val="6CE64481"/>
    <w:rsid w:val="6D9B34BE"/>
    <w:rsid w:val="6FBBC9CF"/>
    <w:rsid w:val="707A560C"/>
    <w:rsid w:val="709B3748"/>
    <w:rsid w:val="72BDE561"/>
    <w:rsid w:val="74744A68"/>
    <w:rsid w:val="74996D93"/>
    <w:rsid w:val="78462278"/>
    <w:rsid w:val="789E22CF"/>
    <w:rsid w:val="79221CEC"/>
    <w:rsid w:val="797B41A3"/>
    <w:rsid w:val="7997EA6C"/>
    <w:rsid w:val="79FE72AE"/>
    <w:rsid w:val="7ADF27E2"/>
    <w:rsid w:val="7AEAE675"/>
    <w:rsid w:val="7AEC5358"/>
    <w:rsid w:val="7B315461"/>
    <w:rsid w:val="7B5353D8"/>
    <w:rsid w:val="7BAFCE5D"/>
    <w:rsid w:val="7C523723"/>
    <w:rsid w:val="7CE93C2F"/>
    <w:rsid w:val="7D46598C"/>
    <w:rsid w:val="7DAA5057"/>
    <w:rsid w:val="7DFB240B"/>
    <w:rsid w:val="7E0935ED"/>
    <w:rsid w:val="7EA128FE"/>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3">
    <w:name w:val="Default Paragraph Font"/>
    <w:autoRedefine/>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Body Text Indent"/>
    <w:basedOn w:val="1"/>
    <w:autoRedefine/>
    <w:qFormat/>
    <w:uiPriority w:val="0"/>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style>
  <w:style w:type="paragraph" w:styleId="8">
    <w:name w:val="List"/>
    <w:basedOn w:val="3"/>
    <w:autoRedefine/>
    <w:qFormat/>
    <w:uiPriority w:val="0"/>
  </w:style>
  <w:style w:type="paragraph" w:styleId="9">
    <w:name w:val="toc 2"/>
    <w:basedOn w:val="1"/>
    <w:next w:val="1"/>
    <w:autoRedefine/>
    <w:qFormat/>
    <w:uiPriority w:val="0"/>
    <w:pPr>
      <w:ind w:left="420" w:leftChars="200"/>
    </w:pPr>
  </w:style>
  <w:style w:type="paragraph" w:styleId="10">
    <w:name w:val="Normal (Web)"/>
    <w:basedOn w:val="1"/>
    <w:autoRedefine/>
    <w:qFormat/>
    <w:uiPriority w:val="0"/>
    <w:rPr>
      <w:sz w:val="24"/>
    </w:rPr>
  </w:style>
  <w:style w:type="paragraph" w:styleId="11">
    <w:name w:val="Body Text First Indent 2"/>
    <w:basedOn w:val="4"/>
    <w:autoRedefine/>
    <w:qFormat/>
    <w:uiPriority w:val="0"/>
    <w:pPr>
      <w:spacing w:before="100" w:beforeAutospacing="1"/>
      <w:ind w:left="0" w:firstLine="420"/>
      <w:jc w:val="left"/>
    </w:pPr>
    <w:rPr>
      <w:rFonts w:eastAsia="黑体"/>
      <w:sz w:val="32"/>
      <w:szCs w:val="32"/>
    </w:rPr>
  </w:style>
  <w:style w:type="character" w:customStyle="1" w:styleId="14">
    <w:name w:val="默认段落字体1"/>
    <w:autoRedefine/>
    <w:qFormat/>
    <w:uiPriority w:val="0"/>
  </w:style>
  <w:style w:type="paragraph" w:customStyle="1" w:styleId="15">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autoRedefine/>
    <w:qFormat/>
    <w:uiPriority w:val="0"/>
    <w:pPr>
      <w:widowControl w:val="0"/>
      <w:suppressLineNumbers/>
      <w:suppressAutoHyphens/>
    </w:pPr>
  </w:style>
  <w:style w:type="paragraph" w:customStyle="1" w:styleId="17">
    <w:name w:val="WPSOffice手动目录 1"/>
    <w:autoRedefine/>
    <w:qFormat/>
    <w:uiPriority w:val="0"/>
    <w:pPr>
      <w:ind w:leftChars="0"/>
    </w:pPr>
    <w:rPr>
      <w:rFonts w:ascii="Times New Roman" w:hAnsi="Times New Roman" w:eastAsia="宋体" w:cs="Times New Roman"/>
      <w:sz w:val="20"/>
      <w:szCs w:val="20"/>
    </w:rPr>
  </w:style>
  <w:style w:type="paragraph" w:customStyle="1" w:styleId="18">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倩妹儿</cp:lastModifiedBy>
  <dcterms:modified xsi:type="dcterms:W3CDTF">2024-04-12T07:03:34Z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C9A5DE4F79D446109B1454190CB516CC_13</vt:lpwstr>
  </property>
</Properties>
</file>