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76" w:lineRule="exact"/>
        <w:ind w:left="0" w:leftChars="0" w:right="0" w:rightChars="0"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广元市昭化区公务服务中心</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76" w:lineRule="exact"/>
        <w:ind w:left="0" w:right="0" w:firstLine="0"/>
        <w:jc w:val="center"/>
        <w:rPr>
          <w:rFonts w:hint="eastAsia" w:ascii="方正小标宋简体" w:hAnsi="方正小标宋简体" w:eastAsia="方正小标宋简体" w:cs="方正小标宋简体"/>
          <w:b w:val="0"/>
          <w:bCs w:val="0"/>
          <w:i w:val="0"/>
          <w:caps w:val="0"/>
          <w:color w:val="000000"/>
          <w:spacing w:val="0"/>
          <w:kern w:val="2"/>
          <w:sz w:val="44"/>
          <w:szCs w:val="44"/>
          <w:highlight w:val="none"/>
          <w:shd w:val="clear" w:color="auto" w:fill="auto"/>
          <w:lang w:val="en-US" w:eastAsia="zh-CN" w:bidi="ar"/>
        </w:rPr>
      </w:pPr>
      <w:r>
        <w:rPr>
          <w:rFonts w:hint="eastAsia" w:ascii="Times New Roman" w:hAnsi="Times New Roman" w:eastAsia="方正小标宋简体" w:cs="方正小标宋简体"/>
          <w:b w:val="0"/>
          <w:bCs w:val="0"/>
          <w:i w:val="0"/>
          <w:caps w:val="0"/>
          <w:color w:val="000000"/>
          <w:spacing w:val="0"/>
          <w:kern w:val="2"/>
          <w:sz w:val="44"/>
          <w:szCs w:val="44"/>
          <w:highlight w:val="none"/>
          <w:shd w:val="clear" w:color="auto" w:fill="auto"/>
          <w:lang w:val="en-US" w:eastAsia="zh-CN" w:bidi="ar"/>
        </w:rPr>
        <w:t>2024</w:t>
      </w:r>
      <w:r>
        <w:rPr>
          <w:rFonts w:hint="eastAsia" w:ascii="方正小标宋简体" w:hAnsi="方正小标宋简体" w:eastAsia="方正小标宋简体" w:cs="方正小标宋简体"/>
          <w:b w:val="0"/>
          <w:bCs w:val="0"/>
          <w:i w:val="0"/>
          <w:caps w:val="0"/>
          <w:color w:val="000000"/>
          <w:spacing w:val="0"/>
          <w:kern w:val="2"/>
          <w:sz w:val="44"/>
          <w:szCs w:val="44"/>
          <w:highlight w:val="none"/>
          <w:shd w:val="clear" w:color="auto" w:fill="auto"/>
          <w:lang w:val="en-US" w:eastAsia="zh-CN" w:bidi="ar"/>
        </w:rPr>
        <w:t>年部门预算编制说明</w:t>
      </w:r>
    </w:p>
    <w:p>
      <w:pPr>
        <w:spacing w:line="576" w:lineRule="exact"/>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spacing w:line="576" w:lineRule="exact"/>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w:t>
      </w:r>
      <w:r>
        <w:rPr>
          <w:rFonts w:hint="eastAsia" w:ascii="Times New Roman" w:hAnsi="Times New Roman"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2024</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年重点工作……………………………………</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3</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3</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4</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4</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4</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4</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4</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4</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5</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5</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7</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7</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7</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spacing w:line="576" w:lineRule="exact"/>
        <w:jc w:val="both"/>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8</w:t>
      </w:r>
      <w:r>
        <w:rPr>
          <w:rFonts w:hint="eastAsia" w:ascii="Times New Roman" w:hAnsi="Times New Roman" w:eastAsia="仿宋_GB2312"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eastAsia" w:ascii="仿宋_GB2312" w:hAnsi="仿宋_GB2312" w:eastAsia="仿宋_GB2312" w:cs="仿宋_GB2312"/>
          <w:b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NumType w:fmt="decimal" w:start="0"/>
          <w:cols w:space="720" w:num="1"/>
          <w:docGrid w:type="lines" w:linePitch="31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eastAsia" w:ascii="仿宋_GB2312" w:hAnsi="仿宋_GB2312" w:eastAsia="仿宋_GB2312" w:cs="仿宋_GB2312"/>
          <w:b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40" w:firstLineChars="2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40" w:firstLineChars="2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40" w:firstLineChars="2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40" w:firstLineChars="2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40" w:firstLineChars="2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40" w:firstLineChars="2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40" w:firstLineChars="2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40" w:firstLineChars="2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40" w:firstLineChars="2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40" w:firstLineChars="2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40" w:firstLineChars="2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40" w:firstLineChars="2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40" w:firstLineChars="2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640" w:firstLineChars="200"/>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footerReference r:id="rId4" w:type="default"/>
          <w:pgSz w:w="11906" w:h="16838"/>
          <w:pgMar w:top="2098" w:right="1474" w:bottom="1984" w:left="1587" w:header="720" w:footer="1559" w:gutter="0"/>
          <w:pgNumType w:fmt="decimal" w:start="0"/>
          <w:cols w:space="720" w:num="1"/>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color w:val="000000"/>
          <w:sz w:val="32"/>
          <w:szCs w:val="32"/>
          <w:lang w:val="en-US" w:eastAsia="zh-CN"/>
        </w:rPr>
        <w:t>区公务服务中心</w:t>
      </w:r>
      <w:r>
        <w:rPr>
          <w:rFonts w:hint="eastAsia" w:ascii="楷体_GB2312" w:hAnsi="楷体_GB2312" w:eastAsia="楷体_GB2312" w:cs="楷体_GB2312"/>
          <w:sz w:val="32"/>
          <w:szCs w:val="32"/>
        </w:rPr>
        <w:t>职能简介</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1、承担副厅级及以上领导（含曾经担任）来昭的服务保障工作。</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2、按照有关规定负责和参与市级及以上党委、政府派出的巡视、检查、督查（督导、督察）、考察、调研、考核、审计等综合性工作组来昭的服务保障工作。</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3、会同有关部门做好中央、国家机关各部委（含各民主党派、工商联等）和省、市级正县级实职领导来昭的服务保障工作。</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4、负责外县（区）党政代表团和人大、政协主要领导率队的考察团来昭的协调联络和服务保障工作。</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5、负责区委、区政府交办的由区公务服务中心承担的公务服务、招商引资事项的服务保障工作。</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6、会同区级有关部门承担区委、区政府交办的大型会议、活动的接待服务保障工作。</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7、指导镇、区级部门的公务活动服务保障工作；负责拟订全区公务服务相关规定。</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8、完成区委、区政府交办的其他任务。</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color w:val="000000"/>
          <w:sz w:val="32"/>
          <w:szCs w:val="32"/>
          <w:lang w:val="en-US" w:eastAsia="zh-CN"/>
        </w:rPr>
        <w:t>区公务服务中心</w:t>
      </w:r>
      <w:r>
        <w:rPr>
          <w:rFonts w:hint="eastAsia" w:ascii="Times New Roman" w:hAnsi="Times New Roman" w:eastAsia="楷体_GB2312" w:cs="楷体_GB2312"/>
          <w:sz w:val="32"/>
          <w:szCs w:val="32"/>
          <w:lang w:val="en-US"/>
        </w:rPr>
        <w:t>2024</w:t>
      </w:r>
      <w:r>
        <w:rPr>
          <w:rFonts w:hint="eastAsia" w:ascii="楷体_GB2312" w:hAnsi="楷体_GB2312" w:eastAsia="楷体_GB2312" w:cs="楷体_GB2312"/>
          <w:sz w:val="32"/>
          <w:szCs w:val="32"/>
        </w:rPr>
        <w:t>年重点工作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是在公务服务上提档升级。本着“规范、高效、热情、周到”的工作理念，以中央八项规定精神和国内公务接待管理办法为基准，严格执行“按规定接待才是最好的接待”的工作要求，大力倡导勤俭节约，杜绝餐桌浪费，持续推动公务服务由事务型向政务型转变升级。</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二是在学习提升上持续推进。进一步坚定理想信念，用党的政策理论武装头脑、指导工作、推动实践。同时要拓展学习途径，深化学习内容，不断丰富干部理论素养，提升工作能力和水平。</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是在运行机制上不断优化。以制度建设为突破口，推行公务接待制度化和程序化。在认真学习相关法律法规的基础上，进一步健全公务接待报送制度、用餐、住宿标准规定、财务制度、工作纪律规定等内部管理制度。对每一项接待任务都做到周密部署、认真准备。在接待之前多次到接待点、参观点、参观路线进行现场查看，及时查漏补缺，整改落实，做到工作流程明确、人员操作得当、服务合理到位，各个环节环环相扣。</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是在创新接待上体现特色。突出个性化服务，融“情”于接待工作当中，做到接待用心，以诚待人。充分考虑来宾的民族、文化背景、地域和饮食习惯等特点，力争在餐饮、住宿等方面做到兼顾大众与照顾个别，努力让宾客感受到宾至如归。深挖特色服务，围绕餐饮、住宿、调研点位等重点服务内容，将昭化肥肠、大朝乌金猪肉、王家贡米、昭化贡黄等食材，以及紫云猕猴桃、昭化火龙果、柳桥葡萄、虎跳黄桃等本地产特色水果搬上接待的餐桌，实现农特产品到餐桌的一站式体验，体现昭化饮食特色。</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是在后勤工作上加强保障。在职工食堂管理上，定期召开职工会议研究食堂管理制度及菜品质量，创新菜品、注重营养搭配，让广大职工吃到满意可口的饭菜。定点采购原料、食材，建立食品原料进库台账，严格管理食堂清洁卫生，定期开展大扫除、消杀，食堂工作人员持证上岗，强化服务技能和服务意识，提高食堂从业人员的职业素养和服务水平。在周转房管理上，加强对房间水电气、网络安全的日常管理，定期查看各类管线、电器、器具，确保设备正常运行。做好保洁，定期清扫，确保入住环境干净整洁。</w:t>
      </w:r>
    </w:p>
    <w:p>
      <w:pPr>
        <w:pStyle w:val="2"/>
        <w:overflowPunct w:val="0"/>
        <w:spacing w:after="0" w:line="576" w:lineRule="exact"/>
        <w:ind w:firstLine="640" w:firstLineChars="200"/>
        <w:rPr>
          <w:rFonts w:hint="eastAsia"/>
        </w:rPr>
      </w:pPr>
      <w:r>
        <w:rPr>
          <w:rFonts w:hint="eastAsia" w:ascii="仿宋_GB2312" w:hAnsi="仿宋_GB2312" w:eastAsia="仿宋_GB2312" w:cs="仿宋_GB2312"/>
          <w:b w:val="0"/>
          <w:bCs w:val="0"/>
          <w:color w:val="auto"/>
          <w:sz w:val="32"/>
          <w:szCs w:val="32"/>
          <w:lang w:val="en-US" w:eastAsia="zh-CN"/>
        </w:rPr>
        <w:t>六是在乡村振兴中有效助力。在区委办公室的统一带领下，做好乡村振兴工作。经常性前往联系村开展调研，建立常态化渠道将联系村农户的菜油、鸡、蔬菜、水果等农产品直接供应给职工食堂，增加农户收入，助推乡村振兴。</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区公务服务中心下属二级预算单位</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个，其中行政单位</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个，参照公务员法管理的事业单位</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个，其他事业单位</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个。</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我单位无下属二级预算单位，本单位无下属机构，设有</w:t>
      </w:r>
      <w:r>
        <w:rPr>
          <w:rFonts w:hint="eastAsia" w:ascii="Times New Roman" w:hAnsi="Times New Roman" w:eastAsia="仿宋_GB2312" w:cs="Times New Roman"/>
          <w:color w:val="000000"/>
          <w:sz w:val="32"/>
          <w:szCs w:val="32"/>
          <w:lang w:val="en-US" w:eastAsia="zh-CN"/>
        </w:rPr>
        <w:t>综合股、公务服务股、后勤保障股3个职能股室。</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按照综合预算的原则，</w:t>
      </w:r>
      <w:r>
        <w:rPr>
          <w:rFonts w:hint="eastAsia" w:ascii="Times New Roman" w:hAnsi="Times New Roman" w:eastAsia="仿宋_GB2312" w:cs="Times New Roman"/>
          <w:color w:val="000000"/>
          <w:sz w:val="32"/>
          <w:szCs w:val="32"/>
          <w:lang w:val="en-US" w:eastAsia="zh-CN"/>
        </w:rPr>
        <w:t>区公务服务中心</w:t>
      </w:r>
      <w:r>
        <w:rPr>
          <w:rFonts w:hint="eastAsia" w:ascii="仿宋_GB2312" w:hAnsi="仿宋_GB2312" w:eastAsia="仿宋_GB2312" w:cs="仿宋_GB2312"/>
          <w:sz w:val="32"/>
          <w:szCs w:val="32"/>
          <w:lang w:val="en-US" w:eastAsia="zh-CN"/>
        </w:rPr>
        <w:t>所有收入和支出均纳入部门预算管理。收入包括：一般公共预算拨款收入</w:t>
      </w:r>
      <w:r>
        <w:rPr>
          <w:rFonts w:hint="eastAsia" w:ascii="Times New Roman" w:hAnsi="Times New Roman" w:eastAsia="仿宋_GB2312" w:cs="仿宋_GB2312"/>
          <w:sz w:val="32"/>
          <w:szCs w:val="32"/>
          <w:lang w:val="en-US" w:eastAsia="zh-CN"/>
        </w:rPr>
        <w:t>338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89</w:t>
      </w:r>
      <w:r>
        <w:rPr>
          <w:rFonts w:hint="eastAsia" w:ascii="仿宋_GB2312" w:hAnsi="仿宋_GB2312" w:eastAsia="仿宋_GB2312" w:cs="仿宋_GB2312"/>
          <w:sz w:val="32"/>
          <w:szCs w:val="32"/>
          <w:lang w:val="en-US" w:eastAsia="zh-CN"/>
        </w:rPr>
        <w:t>万元；支出包括：</w:t>
      </w:r>
      <w:r>
        <w:rPr>
          <w:rFonts w:hint="eastAsia" w:ascii="仿宋_GB2312" w:hAnsi="仿宋_GB2312" w:eastAsia="仿宋_GB2312" w:cs="仿宋_GB2312"/>
          <w:sz w:val="32"/>
          <w:szCs w:val="32"/>
          <w:highlight w:val="none"/>
          <w:lang w:val="en-US" w:eastAsia="zh-CN"/>
        </w:rPr>
        <w:t>一般公共服务支出</w:t>
      </w:r>
      <w:r>
        <w:rPr>
          <w:rFonts w:hint="eastAsia" w:ascii="Times New Roman" w:hAnsi="Times New Roman" w:eastAsia="仿宋_GB2312" w:cs="仿宋_GB2312"/>
          <w:sz w:val="32"/>
          <w:szCs w:val="32"/>
          <w:highlight w:val="none"/>
          <w:lang w:val="en-US" w:eastAsia="zh-CN"/>
        </w:rPr>
        <w:t>314</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56</w:t>
      </w:r>
      <w:r>
        <w:rPr>
          <w:rFonts w:hint="eastAsia" w:ascii="仿宋_GB2312" w:hAnsi="仿宋_GB2312" w:eastAsia="仿宋_GB2312" w:cs="仿宋_GB2312"/>
          <w:sz w:val="32"/>
          <w:szCs w:val="32"/>
          <w:highlight w:val="none"/>
          <w:lang w:val="en-US" w:eastAsia="zh-CN"/>
        </w:rPr>
        <w:t>万元、</w:t>
      </w:r>
      <w:r>
        <w:rPr>
          <w:rFonts w:hint="eastAsia" w:ascii="Times New Roman" w:hAnsi="Times New Roman" w:eastAsia="仿宋_GB2312" w:cs="Times New Roman"/>
          <w:color w:val="000000"/>
          <w:sz w:val="32"/>
          <w:szCs w:val="32"/>
          <w:lang w:val="en-US" w:eastAsia="zh-CN"/>
        </w:rPr>
        <w:t>社会保障和就业支出</w:t>
      </w: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53</w:t>
      </w:r>
      <w:r>
        <w:rPr>
          <w:rFonts w:hint="eastAsia" w:ascii="Times New Roman" w:hAnsi="Times New Roman" w:eastAsia="仿宋_GB2312" w:cs="Times New Roman"/>
          <w:color w:val="000000"/>
          <w:sz w:val="32"/>
          <w:szCs w:val="32"/>
          <w:lang w:val="en-US" w:eastAsia="zh-CN"/>
        </w:rPr>
        <w:t>万元、卫生健康支出</w:t>
      </w: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16</w:t>
      </w:r>
      <w:r>
        <w:rPr>
          <w:rFonts w:hint="eastAsia" w:ascii="Times New Roman" w:hAnsi="Times New Roman" w:eastAsia="仿宋_GB2312" w:cs="Times New Roman"/>
          <w:color w:val="000000"/>
          <w:sz w:val="32"/>
          <w:szCs w:val="32"/>
          <w:lang w:val="en-US" w:eastAsia="zh-CN"/>
        </w:rPr>
        <w:t>万元、住房保障支出</w:t>
      </w:r>
      <w:r>
        <w:rPr>
          <w:rFonts w:hint="eastAsia" w:ascii="Times New Roman" w:hAnsi="Times New Roman" w:eastAsia="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64</w:t>
      </w:r>
      <w:r>
        <w:rPr>
          <w:rFonts w:hint="eastAsia" w:ascii="Times New Roman" w:hAnsi="Times New Roman" w:eastAsia="仿宋_GB2312" w:cs="Times New Roman"/>
          <w:color w:val="000000"/>
          <w:sz w:val="32"/>
          <w:szCs w:val="32"/>
          <w:lang w:val="en-US" w:eastAsia="zh-CN"/>
        </w:rPr>
        <w:t>万</w:t>
      </w:r>
      <w:r>
        <w:rPr>
          <w:rFonts w:hint="eastAsia" w:ascii="Times New Roman" w:hAnsi="Times New Roman" w:eastAsia="仿宋_GB2312" w:cs="Times New Roman"/>
          <w:color w:val="000000"/>
          <w:sz w:val="32"/>
          <w:szCs w:val="32"/>
          <w:highlight w:val="none"/>
          <w:lang w:val="en-US" w:eastAsia="zh-CN"/>
        </w:rPr>
        <w:t>元</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区公务服务中心</w:t>
      </w:r>
      <w:r>
        <w:rPr>
          <w:rFonts w:hint="eastAsia" w:ascii="Times New Roman" w:hAnsi="Times New Roman"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年收支预算总数</w:t>
      </w:r>
      <w:r>
        <w:rPr>
          <w:rFonts w:hint="eastAsia" w:ascii="Times New Roman" w:hAnsi="Times New Roman" w:eastAsia="仿宋_GB2312" w:cs="仿宋_GB2312"/>
          <w:sz w:val="32"/>
          <w:szCs w:val="32"/>
          <w:highlight w:val="none"/>
          <w:lang w:val="en-US" w:eastAsia="zh-CN"/>
        </w:rPr>
        <w:t>338</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89</w:t>
      </w:r>
      <w:r>
        <w:rPr>
          <w:rFonts w:hint="eastAsia" w:ascii="仿宋_GB2312" w:hAnsi="仿宋_GB2312" w:eastAsia="仿宋_GB2312" w:cs="仿宋_GB2312"/>
          <w:sz w:val="32"/>
          <w:szCs w:val="32"/>
          <w:highlight w:val="none"/>
          <w:lang w:val="en-US" w:eastAsia="zh-CN"/>
        </w:rPr>
        <w:t>万元,比</w:t>
      </w:r>
      <w:r>
        <w:rPr>
          <w:rFonts w:hint="eastAsia" w:ascii="Times New Roman" w:hAnsi="Times New Roman"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lang w:val="en-US" w:eastAsia="zh-CN"/>
        </w:rPr>
        <w:t>年收支预算总数增加</w:t>
      </w:r>
      <w:r>
        <w:rPr>
          <w:rFonts w:hint="eastAsia" w:ascii="Times New Roman" w:hAnsi="Times New Roman" w:eastAsia="仿宋_GB2312" w:cs="仿宋_GB2312"/>
          <w:sz w:val="32"/>
          <w:szCs w:val="32"/>
          <w:highlight w:val="none"/>
          <w:lang w:val="en-US" w:eastAsia="zh-CN"/>
        </w:rPr>
        <w:t>53</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69</w:t>
      </w:r>
      <w:r>
        <w:rPr>
          <w:rFonts w:hint="eastAsia" w:ascii="仿宋_GB2312" w:hAnsi="仿宋_GB2312" w:eastAsia="仿宋_GB2312" w:cs="仿宋_GB2312"/>
          <w:sz w:val="32"/>
          <w:szCs w:val="32"/>
          <w:highlight w:val="none"/>
          <w:lang w:val="en-US" w:eastAsia="zh-CN"/>
        </w:rPr>
        <w:t>万元，主要原因是</w:t>
      </w:r>
      <w:r>
        <w:rPr>
          <w:rFonts w:hint="eastAsia" w:ascii="Times New Roman" w:hAnsi="Times New Roman" w:eastAsia="仿宋_GB2312" w:cs="Times New Roman"/>
          <w:color w:val="auto"/>
          <w:sz w:val="32"/>
          <w:szCs w:val="32"/>
          <w:highlight w:val="none"/>
          <w:lang w:eastAsia="zh-CN"/>
        </w:rPr>
        <w:t>人员增加</w:t>
      </w:r>
      <w:r>
        <w:rPr>
          <w:rFonts w:hint="eastAsia" w:ascii="Times New Roman" w:hAnsi="Times New Roman" w:eastAsia="仿宋_GB2312" w:cs="Times New Roman"/>
          <w:color w:val="auto"/>
          <w:sz w:val="32"/>
          <w:szCs w:val="32"/>
          <w:highlight w:val="none"/>
          <w:lang w:val="en-US" w:eastAsia="zh-CN"/>
        </w:rPr>
        <w:t>及后勤综合保障经费增加</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（一）收入预算情况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区公务服务中心</w:t>
      </w:r>
      <w:r>
        <w:rPr>
          <w:rFonts w:hint="eastAsia" w:ascii="Times New Roman" w:hAnsi="Times New Roman"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年收入预算</w:t>
      </w:r>
      <w:r>
        <w:rPr>
          <w:rFonts w:hint="eastAsia" w:ascii="Times New Roman" w:hAnsi="Times New Roman" w:eastAsia="仿宋_GB2312" w:cs="仿宋_GB2312"/>
          <w:sz w:val="32"/>
          <w:szCs w:val="32"/>
          <w:highlight w:val="none"/>
          <w:lang w:val="en-US" w:eastAsia="zh-CN"/>
        </w:rPr>
        <w:t>338</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89</w:t>
      </w:r>
      <w:r>
        <w:rPr>
          <w:rFonts w:hint="eastAsia" w:ascii="仿宋_GB2312" w:hAnsi="仿宋_GB2312" w:eastAsia="仿宋_GB2312" w:cs="仿宋_GB2312"/>
          <w:sz w:val="32"/>
          <w:szCs w:val="32"/>
          <w:highlight w:val="none"/>
          <w:lang w:val="en-US" w:eastAsia="zh-CN"/>
        </w:rPr>
        <w:t>万元，其中：一般公共预算拨款收入</w:t>
      </w:r>
      <w:r>
        <w:rPr>
          <w:rFonts w:hint="eastAsia" w:ascii="Times New Roman" w:hAnsi="Times New Roman" w:eastAsia="仿宋_GB2312" w:cs="仿宋_GB2312"/>
          <w:sz w:val="32"/>
          <w:szCs w:val="32"/>
          <w:highlight w:val="none"/>
          <w:lang w:val="en-US" w:eastAsia="zh-CN"/>
        </w:rPr>
        <w:t>338</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89</w:t>
      </w:r>
      <w:r>
        <w:rPr>
          <w:rFonts w:hint="eastAsia" w:ascii="仿宋_GB2312" w:hAnsi="仿宋_GB2312" w:eastAsia="仿宋_GB2312" w:cs="仿宋_GB2312"/>
          <w:sz w:val="32"/>
          <w:szCs w:val="32"/>
          <w:highlight w:val="none"/>
          <w:lang w:val="en-US" w:eastAsia="zh-CN"/>
        </w:rPr>
        <w:t>万元，占</w:t>
      </w:r>
      <w:r>
        <w:rPr>
          <w:rFonts w:hint="eastAsia" w:ascii="Times New Roman" w:hAnsi="Times New Roman"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（二）支出预算情况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区公务服务中心</w:t>
      </w:r>
      <w:r>
        <w:rPr>
          <w:rFonts w:hint="eastAsia" w:ascii="Times New Roman" w:hAnsi="Times New Roman"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年支出预算</w:t>
      </w:r>
      <w:r>
        <w:rPr>
          <w:rFonts w:hint="eastAsia" w:ascii="Times New Roman" w:hAnsi="Times New Roman" w:eastAsia="仿宋_GB2312" w:cs="仿宋_GB2312"/>
          <w:sz w:val="32"/>
          <w:szCs w:val="32"/>
          <w:highlight w:val="none"/>
          <w:lang w:val="en-US" w:eastAsia="zh-CN"/>
        </w:rPr>
        <w:t>338</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89</w:t>
      </w:r>
      <w:r>
        <w:rPr>
          <w:rFonts w:hint="eastAsia" w:ascii="仿宋_GB2312" w:hAnsi="仿宋_GB2312" w:eastAsia="仿宋_GB2312" w:cs="仿宋_GB2312"/>
          <w:sz w:val="32"/>
          <w:szCs w:val="32"/>
          <w:highlight w:val="none"/>
          <w:lang w:val="en-US" w:eastAsia="zh-CN"/>
        </w:rPr>
        <w:t>万元，其中：基本支出</w:t>
      </w:r>
      <w:r>
        <w:rPr>
          <w:rFonts w:hint="eastAsia" w:ascii="Times New Roman" w:hAnsi="Times New Roman" w:eastAsia="仿宋_GB2312" w:cs="仿宋_GB2312"/>
          <w:sz w:val="32"/>
          <w:szCs w:val="32"/>
          <w:highlight w:val="none"/>
          <w:lang w:val="en-US" w:eastAsia="zh-CN"/>
        </w:rPr>
        <w:t>108</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59</w:t>
      </w:r>
      <w:r>
        <w:rPr>
          <w:rFonts w:hint="eastAsia" w:ascii="仿宋_GB2312" w:hAnsi="仿宋_GB2312" w:eastAsia="仿宋_GB2312" w:cs="仿宋_GB2312"/>
          <w:sz w:val="32"/>
          <w:szCs w:val="32"/>
          <w:highlight w:val="none"/>
          <w:lang w:val="en-US" w:eastAsia="zh-CN"/>
        </w:rPr>
        <w:t>万元，占</w:t>
      </w:r>
      <w:r>
        <w:rPr>
          <w:rFonts w:hint="eastAsia" w:ascii="Times New Roman" w:hAnsi="Times New Roman" w:eastAsia="仿宋_GB2312" w:cs="仿宋_GB2312"/>
          <w:sz w:val="32"/>
          <w:szCs w:val="32"/>
          <w:highlight w:val="none"/>
          <w:lang w:val="en-US" w:eastAsia="zh-CN"/>
        </w:rPr>
        <w:t>32</w:t>
      </w:r>
      <w:r>
        <w:rPr>
          <w:rFonts w:hint="eastAsia" w:ascii="仿宋_GB2312" w:hAnsi="仿宋_GB2312" w:eastAsia="仿宋_GB2312" w:cs="仿宋_GB2312"/>
          <w:sz w:val="32"/>
          <w:szCs w:val="32"/>
          <w:highlight w:val="none"/>
          <w:lang w:val="en-US" w:eastAsia="zh-CN"/>
        </w:rPr>
        <w:t>%；项目支出</w:t>
      </w:r>
      <w:r>
        <w:rPr>
          <w:rFonts w:hint="eastAsia" w:ascii="Times New Roman" w:hAnsi="Times New Roman" w:eastAsia="仿宋_GB2312" w:cs="仿宋_GB2312"/>
          <w:sz w:val="32"/>
          <w:szCs w:val="32"/>
          <w:highlight w:val="none"/>
          <w:lang w:val="en-US" w:eastAsia="zh-CN"/>
        </w:rPr>
        <w:t>230</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万元，占</w:t>
      </w:r>
      <w:r>
        <w:rPr>
          <w:rFonts w:hint="eastAsia" w:ascii="Times New Roman" w:hAnsi="Times New Roman" w:eastAsia="仿宋_GB2312" w:cs="仿宋_GB2312"/>
          <w:sz w:val="32"/>
          <w:szCs w:val="32"/>
          <w:highlight w:val="none"/>
          <w:lang w:val="en-US" w:eastAsia="zh-CN"/>
        </w:rPr>
        <w:t>68</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四、财政拨款收支预算情况说明</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区公务服务中心</w:t>
      </w:r>
      <w:r>
        <w:rPr>
          <w:rFonts w:hint="eastAsia" w:ascii="Times New Roman" w:hAnsi="Times New Roman"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lang w:val="en-US" w:eastAsia="zh-CN"/>
        </w:rPr>
        <w:t>年财政拨款收支预算总数</w:t>
      </w:r>
      <w:r>
        <w:rPr>
          <w:rFonts w:hint="eastAsia" w:ascii="Times New Roman" w:hAnsi="Times New Roman" w:eastAsia="仿宋_GB2312" w:cs="仿宋_GB2312"/>
          <w:sz w:val="32"/>
          <w:szCs w:val="32"/>
          <w:highlight w:val="none"/>
          <w:lang w:val="en-US" w:eastAsia="zh-CN"/>
        </w:rPr>
        <w:t>338</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89</w:t>
      </w:r>
      <w:r>
        <w:rPr>
          <w:rFonts w:hint="eastAsia" w:ascii="仿宋_GB2312" w:hAnsi="仿宋_GB2312" w:eastAsia="仿宋_GB2312" w:cs="仿宋_GB2312"/>
          <w:sz w:val="32"/>
          <w:szCs w:val="32"/>
          <w:highlight w:val="none"/>
          <w:lang w:val="en-US" w:eastAsia="zh-CN"/>
        </w:rPr>
        <w:t>万元,比</w:t>
      </w:r>
      <w:r>
        <w:rPr>
          <w:rFonts w:hint="eastAsia" w:ascii="Times New Roman" w:hAnsi="Times New Roman"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lang w:val="en-US" w:eastAsia="zh-CN"/>
        </w:rPr>
        <w:t>年财政拨款收支预算总数增加</w:t>
      </w:r>
      <w:r>
        <w:rPr>
          <w:rFonts w:hint="eastAsia" w:ascii="Times New Roman" w:hAnsi="Times New Roman" w:eastAsia="仿宋_GB2312" w:cs="仿宋_GB2312"/>
          <w:sz w:val="32"/>
          <w:szCs w:val="32"/>
          <w:highlight w:val="none"/>
          <w:lang w:val="en-US" w:eastAsia="zh-CN"/>
        </w:rPr>
        <w:t>53</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69</w:t>
      </w:r>
      <w:r>
        <w:rPr>
          <w:rFonts w:hint="eastAsia" w:ascii="仿宋_GB2312" w:hAnsi="仿宋_GB2312" w:eastAsia="仿宋_GB2312" w:cs="仿宋_GB2312"/>
          <w:sz w:val="32"/>
          <w:szCs w:val="32"/>
          <w:highlight w:val="none"/>
          <w:lang w:val="en-US" w:eastAsia="zh-CN"/>
        </w:rPr>
        <w:t>万元，主要原因是</w:t>
      </w:r>
      <w:r>
        <w:rPr>
          <w:rFonts w:hint="eastAsia" w:ascii="Times New Roman" w:hAnsi="Times New Roman" w:eastAsia="仿宋_GB2312" w:cs="Times New Roman"/>
          <w:color w:val="auto"/>
          <w:sz w:val="32"/>
          <w:szCs w:val="32"/>
          <w:highlight w:val="none"/>
          <w:lang w:eastAsia="zh-CN"/>
        </w:rPr>
        <w:t>人员增加</w:t>
      </w:r>
      <w:r>
        <w:rPr>
          <w:rFonts w:hint="eastAsia" w:ascii="Times New Roman" w:hAnsi="Times New Roman" w:eastAsia="仿宋_GB2312" w:cs="Times New Roman"/>
          <w:color w:val="auto"/>
          <w:sz w:val="32"/>
          <w:szCs w:val="32"/>
          <w:highlight w:val="none"/>
          <w:lang w:val="en-US" w:eastAsia="zh-CN"/>
        </w:rPr>
        <w:t>及后勤综合保障经费增加</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收入包括：本年一般公共预算拨款收入</w:t>
      </w:r>
      <w:r>
        <w:rPr>
          <w:rFonts w:hint="eastAsia" w:ascii="Times New Roman" w:hAnsi="Times New Roman" w:eastAsia="仿宋_GB2312" w:cs="仿宋_GB2312"/>
          <w:sz w:val="32"/>
          <w:szCs w:val="32"/>
          <w:highlight w:val="none"/>
          <w:lang w:val="en-US" w:eastAsia="zh-CN"/>
        </w:rPr>
        <w:t>338</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89</w:t>
      </w:r>
      <w:r>
        <w:rPr>
          <w:rFonts w:hint="eastAsia" w:ascii="仿宋_GB2312" w:hAnsi="仿宋_GB2312" w:eastAsia="仿宋_GB2312" w:cs="仿宋_GB2312"/>
          <w:sz w:val="32"/>
          <w:szCs w:val="32"/>
          <w:highlight w:val="none"/>
          <w:lang w:val="en-US" w:eastAsia="zh-CN"/>
        </w:rPr>
        <w:t>万元；支出包括：一般公共服务支出</w:t>
      </w:r>
      <w:r>
        <w:rPr>
          <w:rFonts w:hint="eastAsia" w:ascii="Times New Roman" w:hAnsi="Times New Roman" w:eastAsia="仿宋_GB2312" w:cs="仿宋_GB2312"/>
          <w:sz w:val="32"/>
          <w:szCs w:val="32"/>
          <w:highlight w:val="none"/>
          <w:lang w:val="en-US" w:eastAsia="zh-CN"/>
        </w:rPr>
        <w:t>314</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56</w:t>
      </w:r>
      <w:r>
        <w:rPr>
          <w:rFonts w:hint="eastAsia" w:ascii="仿宋_GB2312" w:hAnsi="仿宋_GB2312" w:eastAsia="仿宋_GB2312" w:cs="仿宋_GB2312"/>
          <w:sz w:val="32"/>
          <w:szCs w:val="32"/>
          <w:highlight w:val="none"/>
          <w:lang w:val="en-US" w:eastAsia="zh-CN"/>
        </w:rPr>
        <w:t>万元</w:t>
      </w:r>
      <w:bookmarkStart w:id="0" w:name="_GoBack"/>
      <w:bookmarkEnd w:id="0"/>
      <w:r>
        <w:rPr>
          <w:rFonts w:hint="eastAsia"/>
          <w:highlight w:val="none"/>
          <w:lang w:eastAsia="zh-CN"/>
        </w:rPr>
        <w:t>、</w:t>
      </w:r>
      <w:r>
        <w:rPr>
          <w:rFonts w:hint="eastAsia" w:ascii="Times New Roman" w:hAnsi="Times New Roman" w:eastAsia="仿宋_GB2312" w:cs="Times New Roman"/>
          <w:color w:val="000000"/>
          <w:sz w:val="32"/>
          <w:szCs w:val="32"/>
          <w:highlight w:val="none"/>
          <w:lang w:val="en-US" w:eastAsia="zh-CN"/>
        </w:rPr>
        <w:t>社会保障和就业支出</w:t>
      </w:r>
      <w:r>
        <w:rPr>
          <w:rFonts w:hint="eastAsia" w:ascii="Times New Roman" w:hAnsi="Times New Roman"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53</w:t>
      </w:r>
      <w:r>
        <w:rPr>
          <w:rFonts w:hint="eastAsia" w:ascii="Times New Roman" w:hAnsi="Times New Roman" w:eastAsia="仿宋_GB2312" w:cs="Times New Roman"/>
          <w:color w:val="000000"/>
          <w:sz w:val="32"/>
          <w:szCs w:val="32"/>
          <w:highlight w:val="none"/>
          <w:lang w:val="en-US" w:eastAsia="zh-CN"/>
        </w:rPr>
        <w:t>万元、卫生健康支出</w:t>
      </w:r>
      <w:r>
        <w:rPr>
          <w:rFonts w:hint="eastAsia" w:ascii="Times New Roman" w:hAnsi="Times New Roman"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16</w:t>
      </w:r>
      <w:r>
        <w:rPr>
          <w:rFonts w:hint="eastAsia" w:ascii="Times New Roman" w:hAnsi="Times New Roman" w:eastAsia="仿宋_GB2312" w:cs="Times New Roman"/>
          <w:color w:val="000000"/>
          <w:sz w:val="32"/>
          <w:szCs w:val="32"/>
          <w:highlight w:val="none"/>
          <w:lang w:val="en-US" w:eastAsia="zh-CN"/>
        </w:rPr>
        <w:t>万元、住房保障支出</w:t>
      </w:r>
      <w:r>
        <w:rPr>
          <w:rFonts w:hint="eastAsia" w:ascii="Times New Roman" w:hAnsi="Times New Roman"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64</w:t>
      </w:r>
      <w:r>
        <w:rPr>
          <w:rFonts w:hint="eastAsia" w:ascii="Times New Roman" w:hAnsi="Times New Roman" w:eastAsia="仿宋_GB2312" w:cs="Times New Roman"/>
          <w:color w:val="000000"/>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000000"/>
          <w:sz w:val="32"/>
          <w:szCs w:val="32"/>
          <w:lang w:val="en-US" w:eastAsia="zh-CN"/>
        </w:rPr>
        <w:t>区公务服务中心</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年一般公共预算当年拨款</w:t>
      </w:r>
      <w:r>
        <w:rPr>
          <w:rFonts w:hint="eastAsia" w:ascii="Times New Roman" w:hAnsi="Times New Roman" w:eastAsia="仿宋_GB2312" w:cs="仿宋_GB2312"/>
          <w:sz w:val="32"/>
          <w:szCs w:val="32"/>
          <w:lang w:val="en-US" w:eastAsia="zh-CN"/>
        </w:rPr>
        <w:t>338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89</w:t>
      </w:r>
      <w:r>
        <w:rPr>
          <w:rFonts w:hint="eastAsia" w:ascii="仿宋_GB2312" w:hAnsi="仿宋_GB2312" w:eastAsia="仿宋_GB2312" w:cs="仿宋_GB2312"/>
          <w:sz w:val="32"/>
          <w:szCs w:val="32"/>
          <w:lang w:val="en-US" w:eastAsia="zh-CN"/>
        </w:rPr>
        <w:t>万元，比</w:t>
      </w:r>
      <w:r>
        <w:rPr>
          <w:rFonts w:hint="eastAsia" w:ascii="Times New Roman" w:hAnsi="Times New Roman"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年预算数增加</w:t>
      </w:r>
      <w:r>
        <w:rPr>
          <w:rFonts w:hint="eastAsia" w:ascii="Times New Roman" w:hAnsi="Times New Roman" w:eastAsia="仿宋_GB2312" w:cs="仿宋_GB2312"/>
          <w:sz w:val="32"/>
          <w:szCs w:val="32"/>
          <w:lang w:val="en-US" w:eastAsia="zh-CN"/>
        </w:rPr>
        <w:t>53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69</w:t>
      </w:r>
      <w:r>
        <w:rPr>
          <w:rFonts w:hint="eastAsia" w:ascii="仿宋_GB2312" w:hAnsi="仿宋_GB2312" w:eastAsia="仿宋_GB2312" w:cs="仿宋_GB2312"/>
          <w:sz w:val="32"/>
          <w:szCs w:val="32"/>
          <w:lang w:val="en-US" w:eastAsia="zh-CN"/>
        </w:rPr>
        <w:t>万元，主要原因是</w:t>
      </w:r>
      <w:r>
        <w:rPr>
          <w:rFonts w:hint="eastAsia" w:ascii="Times New Roman" w:hAnsi="Times New Roman" w:eastAsia="仿宋_GB2312" w:cs="Times New Roman"/>
          <w:color w:val="auto"/>
          <w:sz w:val="32"/>
          <w:szCs w:val="32"/>
          <w:lang w:eastAsia="zh-CN"/>
        </w:rPr>
        <w:t>人员增加</w:t>
      </w:r>
      <w:r>
        <w:rPr>
          <w:rFonts w:hint="eastAsia" w:ascii="Times New Roman" w:hAnsi="Times New Roman" w:eastAsia="仿宋_GB2312" w:cs="Times New Roman"/>
          <w:color w:val="auto"/>
          <w:sz w:val="32"/>
          <w:szCs w:val="32"/>
          <w:lang w:val="en-US" w:eastAsia="zh-CN"/>
        </w:rPr>
        <w:t>及后勤综合保障经费增加</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仿宋_GB2312" w:hAnsi="仿宋_GB2312" w:eastAsia="仿宋_GB2312" w:cs="仿宋_GB2312"/>
          <w:sz w:val="32"/>
          <w:szCs w:val="32"/>
          <w:lang w:val="en-US" w:eastAsia="zh-CN"/>
        </w:rPr>
        <w:t>一般公共服务支出</w:t>
      </w:r>
      <w:r>
        <w:rPr>
          <w:rFonts w:hint="eastAsia" w:ascii="Times New Roman" w:hAnsi="Times New Roman" w:eastAsia="仿宋_GB2312" w:cs="仿宋_GB2312"/>
          <w:sz w:val="32"/>
          <w:szCs w:val="32"/>
          <w:lang w:val="en-US" w:eastAsia="zh-CN"/>
        </w:rPr>
        <w:t>314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56</w:t>
      </w:r>
      <w:r>
        <w:rPr>
          <w:rFonts w:hint="eastAsia" w:ascii="仿宋_GB2312" w:hAnsi="仿宋_GB2312" w:eastAsia="仿宋_GB2312" w:cs="仿宋_GB2312"/>
          <w:sz w:val="32"/>
          <w:szCs w:val="32"/>
          <w:lang w:val="en-US" w:eastAsia="zh-CN"/>
        </w:rPr>
        <w:t>万元，占</w:t>
      </w:r>
      <w:r>
        <w:rPr>
          <w:rFonts w:hint="eastAsia" w:ascii="Times New Roman" w:hAnsi="Times New Roman" w:eastAsia="仿宋_GB2312" w:cs="仿宋_GB2312"/>
          <w:sz w:val="32"/>
          <w:szCs w:val="32"/>
          <w:lang w:val="en-US" w:eastAsia="zh-CN"/>
        </w:rPr>
        <w:t>92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000000"/>
          <w:sz w:val="32"/>
          <w:szCs w:val="32"/>
          <w:lang w:val="en-US" w:eastAsia="zh-CN"/>
        </w:rPr>
        <w:t>；社会保障和就业支出</w:t>
      </w: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53</w:t>
      </w:r>
      <w:r>
        <w:rPr>
          <w:rFonts w:hint="eastAsia" w:ascii="Times New Roman" w:hAnsi="Times New Roman" w:eastAsia="仿宋_GB2312" w:cs="Times New Roman"/>
          <w:color w:val="000000"/>
          <w:sz w:val="32"/>
          <w:szCs w:val="32"/>
          <w:lang w:val="en-US" w:eastAsia="zh-CN"/>
        </w:rPr>
        <w:t>万元，占</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Times New Roman"/>
          <w:color w:val="000000"/>
          <w:sz w:val="32"/>
          <w:szCs w:val="32"/>
          <w:lang w:val="en-US" w:eastAsia="zh-CN"/>
        </w:rPr>
        <w:t>%；卫生健康支出</w:t>
      </w: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16</w:t>
      </w:r>
      <w:r>
        <w:rPr>
          <w:rFonts w:hint="eastAsia" w:ascii="Times New Roman" w:hAnsi="Times New Roman" w:eastAsia="仿宋_GB2312" w:cs="Times New Roman"/>
          <w:color w:val="000000"/>
          <w:sz w:val="32"/>
          <w:szCs w:val="32"/>
          <w:lang w:val="en-US" w:eastAsia="zh-CN"/>
        </w:rPr>
        <w:t>万元，占</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Times New Roman"/>
          <w:color w:val="000000"/>
          <w:sz w:val="32"/>
          <w:szCs w:val="32"/>
          <w:lang w:val="en-US" w:eastAsia="zh-CN"/>
        </w:rPr>
        <w:t>%；住房保障支出</w:t>
      </w:r>
      <w:r>
        <w:rPr>
          <w:rFonts w:hint="eastAsia" w:ascii="Times New Roman" w:hAnsi="Times New Roman" w:eastAsia="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64</w:t>
      </w:r>
      <w:r>
        <w:rPr>
          <w:rFonts w:hint="eastAsia" w:ascii="Times New Roman" w:hAnsi="Times New Roman" w:eastAsia="仿宋_GB2312" w:cs="Times New Roman"/>
          <w:color w:val="000000"/>
          <w:sz w:val="32"/>
          <w:szCs w:val="32"/>
          <w:lang w:val="en-US" w:eastAsia="zh-CN"/>
        </w:rPr>
        <w:t>万元，占</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仿宋_GB2312"/>
          <w:sz w:val="32"/>
          <w:szCs w:val="32"/>
          <w:lang w:val="en-US" w:eastAsia="zh-CN"/>
        </w:rPr>
        <w:t>1</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一般公共服务（类）</w:t>
      </w:r>
      <w:r>
        <w:rPr>
          <w:rFonts w:hint="eastAsia" w:ascii="Times New Roman" w:hAnsi="Times New Roman" w:eastAsia="仿宋_GB2312" w:cs="Times New Roman"/>
          <w:color w:val="000000"/>
          <w:sz w:val="32"/>
          <w:szCs w:val="32"/>
          <w:lang w:val="en-US" w:eastAsia="zh-CN"/>
        </w:rPr>
        <w:t>政府办公厅（室）及相关机构事务</w:t>
      </w:r>
      <w:r>
        <w:rPr>
          <w:rFonts w:hint="eastAsia" w:ascii="仿宋_GB2312" w:hAnsi="仿宋_GB2312" w:eastAsia="仿宋_GB2312" w:cs="仿宋_GB2312"/>
          <w:sz w:val="32"/>
          <w:szCs w:val="32"/>
          <w:lang w:val="en-US" w:eastAsia="zh-CN"/>
        </w:rPr>
        <w:t>（款）</w:t>
      </w:r>
      <w:r>
        <w:rPr>
          <w:rFonts w:hint="eastAsia" w:ascii="Times New Roman" w:hAnsi="Times New Roman" w:eastAsia="仿宋_GB2312" w:cs="Times New Roman"/>
          <w:color w:val="000000"/>
          <w:sz w:val="32"/>
          <w:szCs w:val="32"/>
          <w:lang w:val="en-US" w:eastAsia="zh-CN"/>
        </w:rPr>
        <w:t>事业运行</w:t>
      </w:r>
      <w:r>
        <w:rPr>
          <w:rFonts w:hint="eastAsia" w:ascii="仿宋_GB2312" w:hAnsi="仿宋_GB2312" w:eastAsia="仿宋_GB2312" w:cs="仿宋_GB2312"/>
          <w:sz w:val="32"/>
          <w:szCs w:val="32"/>
          <w:lang w:val="en-US" w:eastAsia="zh-CN"/>
        </w:rPr>
        <w:t>（项）</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年预算数为</w:t>
      </w:r>
      <w:r>
        <w:rPr>
          <w:rFonts w:hint="eastAsia" w:ascii="Times New Roman" w:hAnsi="Times New Roman" w:eastAsia="仿宋_GB2312" w:cs="仿宋_GB2312"/>
          <w:sz w:val="32"/>
          <w:szCs w:val="32"/>
          <w:lang w:val="en-US" w:eastAsia="zh-CN"/>
        </w:rPr>
        <w:t>314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56</w:t>
      </w:r>
      <w:r>
        <w:rPr>
          <w:rFonts w:hint="eastAsia" w:ascii="仿宋_GB2312" w:hAnsi="仿宋_GB2312" w:eastAsia="仿宋_GB2312" w:cs="仿宋_GB2312"/>
          <w:sz w:val="32"/>
          <w:szCs w:val="32"/>
          <w:lang w:val="en-US" w:eastAsia="zh-CN"/>
        </w:rPr>
        <w:t>万元，主要用于：</w:t>
      </w:r>
      <w:r>
        <w:rPr>
          <w:rFonts w:hint="eastAsia" w:ascii="Times New Roman" w:hAnsi="Times New Roman" w:eastAsia="仿宋_GB2312" w:cs="Times New Roman"/>
          <w:color w:val="000000"/>
          <w:sz w:val="32"/>
          <w:szCs w:val="32"/>
          <w:lang w:val="en-US" w:eastAsia="zh-CN"/>
        </w:rPr>
        <w:t>机关正常运转的基本支出，包括基本工资、津贴补贴以及办公费、印刷费、水电费等日常公用经费,公务接待、后勤综合保障等其他公用经费，保障部门正常运转。</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2.社会保障和就业（类）行政事业单位养老支出（款）机关事业单位基本养老保险缴费支出（项）2024年预算数为</w:t>
      </w: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53</w:t>
      </w:r>
      <w:r>
        <w:rPr>
          <w:rFonts w:hint="eastAsia" w:ascii="Times New Roman" w:hAnsi="Times New Roman" w:eastAsia="仿宋_GB2312" w:cs="Times New Roman"/>
          <w:color w:val="000000"/>
          <w:sz w:val="32"/>
          <w:szCs w:val="32"/>
          <w:lang w:val="en-US" w:eastAsia="zh-CN"/>
        </w:rPr>
        <w:t>万元，主要用于：实施养老保险制度由单位缴纳的基本养老保险支出。</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3.卫生健康（类）行政事业单位医疗（款）事业单位医疗（项）2024年预算数为</w:t>
      </w: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16</w:t>
      </w:r>
      <w:r>
        <w:rPr>
          <w:rFonts w:hint="eastAsia" w:ascii="Times New Roman" w:hAnsi="Times New Roman" w:eastAsia="仿宋_GB2312" w:cs="Times New Roman"/>
          <w:color w:val="000000"/>
          <w:sz w:val="32"/>
          <w:szCs w:val="32"/>
          <w:lang w:val="en-US" w:eastAsia="zh-CN"/>
        </w:rPr>
        <w:t>万元，主要用于：部门按规定由单位缴纳的基本医疗保险支出。</w:t>
      </w:r>
    </w:p>
    <w:p>
      <w:pPr>
        <w:pStyle w:val="2"/>
        <w:overflowPunct w:val="0"/>
        <w:spacing w:after="0" w:line="576" w:lineRule="exact"/>
        <w:ind w:firstLine="640" w:firstLineChars="200"/>
        <w:rPr>
          <w:rFonts w:hint="eastAsia"/>
          <w:lang w:val="en-US" w:eastAsia="zh-CN"/>
        </w:rPr>
      </w:pPr>
      <w:r>
        <w:rPr>
          <w:rFonts w:hint="eastAsia" w:ascii="Times New Roman" w:hAnsi="Times New Roman" w:eastAsia="仿宋_GB2312" w:cs="Times New Roman"/>
          <w:color w:val="000000"/>
          <w:sz w:val="32"/>
          <w:szCs w:val="32"/>
          <w:lang w:val="en-US" w:eastAsia="zh-CN"/>
        </w:rPr>
        <w:t>4.住房保障（类）住房改革支出（款）住房公积金（项）2024年预算数为</w:t>
      </w:r>
      <w:r>
        <w:rPr>
          <w:rFonts w:hint="eastAsia" w:ascii="Times New Roman" w:hAnsi="Times New Roman" w:eastAsia="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64</w:t>
      </w:r>
      <w:r>
        <w:rPr>
          <w:rFonts w:hint="eastAsia" w:ascii="Times New Roman" w:hAnsi="Times New Roman" w:eastAsia="仿宋_GB2312" w:cs="Times New Roman"/>
          <w:color w:val="000000"/>
          <w:sz w:val="32"/>
          <w:szCs w:val="32"/>
          <w:lang w:val="en-US" w:eastAsia="zh-CN"/>
        </w:rPr>
        <w:t>万元，主要用于：部门按规定为职工缴纳的住房公积金支出。</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000000"/>
          <w:sz w:val="32"/>
          <w:szCs w:val="32"/>
          <w:lang w:val="en-US" w:eastAsia="zh-CN"/>
        </w:rPr>
        <w:t>区公务服务中心</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年一般公共预算基本支出</w:t>
      </w:r>
      <w:r>
        <w:rPr>
          <w:rFonts w:hint="eastAsia" w:ascii="Times New Roman" w:hAnsi="Times New Roman" w:eastAsia="仿宋_GB2312" w:cs="仿宋_GB2312"/>
          <w:sz w:val="32"/>
          <w:szCs w:val="32"/>
          <w:lang w:val="en-US" w:eastAsia="zh-CN"/>
        </w:rPr>
        <w:t>108</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59</w:t>
      </w:r>
      <w:r>
        <w:rPr>
          <w:rFonts w:hint="eastAsia" w:ascii="仿宋_GB2312" w:hAnsi="仿宋_GB2312" w:eastAsia="仿宋_GB2312" w:cs="仿宋_GB2312"/>
          <w:sz w:val="32"/>
          <w:szCs w:val="32"/>
          <w:lang w:val="en-US" w:eastAsia="zh-CN"/>
        </w:rPr>
        <w:t>万元，其中：</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w:t>
      </w:r>
      <w:r>
        <w:rPr>
          <w:rFonts w:hint="eastAsia" w:ascii="Times New Roman" w:hAnsi="Times New Roman" w:eastAsia="仿宋_GB2312" w:cs="仿宋_GB2312"/>
          <w:sz w:val="32"/>
          <w:szCs w:val="32"/>
          <w:lang w:val="en-US" w:eastAsia="zh-CN"/>
        </w:rPr>
        <w:t>97</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39</w:t>
      </w:r>
      <w:r>
        <w:rPr>
          <w:rFonts w:hint="eastAsia" w:ascii="仿宋_GB2312" w:hAnsi="仿宋_GB2312" w:eastAsia="仿宋_GB2312" w:cs="仿宋_GB2312"/>
          <w:sz w:val="32"/>
          <w:szCs w:val="32"/>
          <w:lang w:val="en-US" w:eastAsia="zh-CN"/>
        </w:rPr>
        <w:t>万元，主要包括：基本工资、津贴补贴、奖金、社会保险缴费、离休费、住房公积金、抚恤金等支出。</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w:t>
      </w: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万元，主要包括：办公费、印刷费、水费、电费、邮电费、物业管理费、差旅费、维修（护）费、会议费、培训费、劳务费、工会经费、福利费、税金及附加费用、其他交通费用等支出。</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000000"/>
          <w:sz w:val="32"/>
          <w:szCs w:val="32"/>
          <w:lang w:val="en-US" w:eastAsia="zh-CN"/>
        </w:rPr>
        <w:t>区公务服务中心</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年“三公”经费财政拨款预算数</w:t>
      </w:r>
      <w:r>
        <w:rPr>
          <w:rFonts w:hint="eastAsia" w:ascii="Times New Roman" w:hAnsi="Times New Roman" w:eastAsia="仿宋_GB2312" w:cs="仿宋_GB2312"/>
          <w:sz w:val="32"/>
          <w:szCs w:val="32"/>
          <w:lang w:val="en-US" w:eastAsia="zh-CN"/>
        </w:rPr>
        <w:t>92</w:t>
      </w:r>
      <w:r>
        <w:rPr>
          <w:rFonts w:hint="eastAsia" w:ascii="仿宋_GB2312" w:hAnsi="仿宋_GB2312" w:eastAsia="仿宋_GB2312" w:cs="仿宋_GB2312"/>
          <w:sz w:val="32"/>
          <w:szCs w:val="32"/>
          <w:lang w:val="en-US" w:eastAsia="zh-CN"/>
        </w:rPr>
        <w:t>万元，其中：公务接待费</w:t>
      </w:r>
      <w:r>
        <w:rPr>
          <w:rFonts w:hint="eastAsia" w:ascii="Times New Roman" w:hAnsi="Times New Roman" w:eastAsia="仿宋_GB2312" w:cs="仿宋_GB2312"/>
          <w:sz w:val="32"/>
          <w:szCs w:val="32"/>
          <w:lang w:val="en-US" w:eastAsia="zh-CN"/>
        </w:rPr>
        <w:t>80</w:t>
      </w:r>
      <w:r>
        <w:rPr>
          <w:rFonts w:hint="eastAsia" w:ascii="仿宋_GB2312" w:hAnsi="仿宋_GB2312" w:eastAsia="仿宋_GB2312" w:cs="仿宋_GB2312"/>
          <w:sz w:val="32"/>
          <w:szCs w:val="32"/>
          <w:lang w:val="en-US" w:eastAsia="zh-CN"/>
        </w:rPr>
        <w:t>万元，公务用车购置及运行维护费</w:t>
      </w:r>
      <w:r>
        <w:rPr>
          <w:rFonts w:hint="eastAsia" w:ascii="Times New Roman" w:hAnsi="Times New Roman" w:eastAsia="仿宋_GB2312" w:cs="仿宋_GB2312"/>
          <w:sz w:val="32"/>
          <w:szCs w:val="32"/>
          <w:lang w:val="en-US" w:eastAsia="zh-CN"/>
        </w:rPr>
        <w:t>12</w:t>
      </w:r>
      <w:r>
        <w:rPr>
          <w:rFonts w:hint="eastAsia" w:ascii="仿宋_GB2312" w:hAnsi="仿宋_GB2312" w:eastAsia="仿宋_GB2312" w:cs="仿宋_GB2312"/>
          <w:sz w:val="32"/>
          <w:szCs w:val="32"/>
          <w:lang w:val="en-US" w:eastAsia="zh-CN"/>
        </w:rPr>
        <w:t>万元，因公出国（境）经费</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w:t>
      </w:r>
      <w:r>
        <w:rPr>
          <w:rFonts w:hint="eastAsia" w:ascii="Times New Roman" w:hAnsi="Times New Roman"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年预算相比下降</w:t>
      </w:r>
      <w:r>
        <w:rPr>
          <w:rFonts w:hint="eastAsia" w:ascii="Times New Roman" w:hAnsi="Times New Roman" w:eastAsia="仿宋_GB2312" w:cs="仿宋_GB2312"/>
          <w:sz w:val="32"/>
          <w:szCs w:val="32"/>
          <w:lang w:val="en-US" w:eastAsia="zh-CN"/>
        </w:rPr>
        <w:t>10</w:t>
      </w:r>
      <w:r>
        <w:rPr>
          <w:rFonts w:hint="eastAsia" w:ascii="仿宋_GB2312" w:hAnsi="仿宋_GB2312" w:eastAsia="仿宋_GB2312" w:cs="仿宋_GB2312"/>
          <w:sz w:val="32"/>
          <w:szCs w:val="32"/>
          <w:lang w:val="en-US" w:eastAsia="zh-CN"/>
        </w:rPr>
        <w:t>万元，主要原因是</w:t>
      </w:r>
      <w:r>
        <w:rPr>
          <w:rFonts w:hint="eastAsia" w:ascii="Times New Roman" w:hAnsi="Times New Roman" w:eastAsia="仿宋_GB2312" w:cs="Times New Roman"/>
          <w:color w:val="auto"/>
          <w:sz w:val="32"/>
          <w:szCs w:val="32"/>
          <w:lang w:val="en-US" w:eastAsia="zh-CN"/>
        </w:rPr>
        <w:t>厉行节约。</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年公务接待费计划用于执行接待考察调研、检查指导等公务活动开支的交通费、住宿费、用餐费等。</w:t>
      </w:r>
    </w:p>
    <w:p>
      <w:pPr>
        <w:keepNext w:val="0"/>
        <w:keepLines w:val="0"/>
        <w:pageBreakBefore w:val="0"/>
        <w:widowControl w:val="0"/>
        <w:numPr>
          <w:ilvl w:val="0"/>
          <w:numId w:val="1"/>
        </w:numPr>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w:t>
      </w:r>
      <w:r>
        <w:rPr>
          <w:rFonts w:hint="eastAsia" w:ascii="Times New Roman" w:hAnsi="Times New Roman"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年预算相比持平。</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辆，其中：轿车</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辆。</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年未安排公务用车购置费。</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年安排公务用车运行维护费</w:t>
      </w:r>
      <w:r>
        <w:rPr>
          <w:rFonts w:hint="eastAsia" w:ascii="Times New Roman" w:hAnsi="Times New Roman" w:eastAsia="仿宋_GB2312" w:cs="仿宋_GB2312"/>
          <w:sz w:val="32"/>
          <w:szCs w:val="32"/>
          <w:lang w:val="en-US" w:eastAsia="zh-CN"/>
        </w:rPr>
        <w:t>12</w:t>
      </w:r>
      <w:r>
        <w:rPr>
          <w:rFonts w:hint="eastAsia" w:ascii="仿宋_GB2312" w:hAnsi="仿宋_GB2312" w:eastAsia="仿宋_GB2312" w:cs="仿宋_GB2312"/>
          <w:sz w:val="32"/>
          <w:szCs w:val="32"/>
          <w:lang w:val="en-US" w:eastAsia="zh-CN"/>
        </w:rPr>
        <w:t>万元，用于</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辆公务用车燃油、过路（桥）、维修、保险等方面支出，主要保障全区现现场、调研、大型接待等，促进各项活动顺利开展。</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区公务服务中心2024年无因公出国（境）经费。</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000000"/>
          <w:sz w:val="32"/>
          <w:szCs w:val="32"/>
          <w:lang w:val="en-US" w:eastAsia="zh-CN"/>
        </w:rPr>
        <w:t>区公务服务中心</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年无政府性基金预算拨款安排的支出。</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000000"/>
          <w:sz w:val="32"/>
          <w:szCs w:val="32"/>
          <w:lang w:val="en-US" w:eastAsia="zh-CN"/>
        </w:rPr>
        <w:t>区公务服务中心</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年无国有资本经营预算拨款安排的支出。</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color w:val="000000"/>
          <w:sz w:val="32"/>
          <w:szCs w:val="32"/>
          <w:lang w:val="en-US" w:eastAsia="zh-CN"/>
        </w:rPr>
        <w:t>区公务服务中心</w:t>
      </w:r>
      <w:r>
        <w:rPr>
          <w:rFonts w:hint="eastAsia" w:ascii="仿宋_GB2312" w:hAnsi="仿宋_GB2312" w:eastAsia="仿宋_GB2312" w:cs="仿宋_GB2312"/>
          <w:sz w:val="32"/>
          <w:szCs w:val="32"/>
          <w:lang w:val="en-US" w:eastAsia="zh-CN"/>
        </w:rPr>
        <w:t>机关运行经费财政拨款预算为</w:t>
      </w: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万元，比</w:t>
      </w:r>
      <w:r>
        <w:rPr>
          <w:rFonts w:hint="eastAsia" w:ascii="Times New Roman" w:hAnsi="Times New Roman"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年预算增加</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万元，增长</w:t>
      </w:r>
      <w:r>
        <w:rPr>
          <w:rFonts w:hint="eastAsia" w:ascii="Times New Roman" w:hAnsi="Times New Roman" w:eastAsia="仿宋_GB2312" w:cs="仿宋_GB2312"/>
          <w:sz w:val="32"/>
          <w:szCs w:val="32"/>
          <w:lang w:val="en-US" w:eastAsia="zh-CN"/>
        </w:rPr>
        <w:t>14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%。主要原因人员增加。</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color w:val="000000"/>
          <w:sz w:val="32"/>
          <w:szCs w:val="32"/>
          <w:lang w:val="en-US" w:eastAsia="zh-CN"/>
        </w:rPr>
        <w:t>区公务服务中心</w:t>
      </w:r>
      <w:r>
        <w:rPr>
          <w:rFonts w:hint="eastAsia" w:ascii="仿宋_GB2312" w:hAnsi="仿宋_GB2312" w:eastAsia="仿宋_GB2312" w:cs="仿宋_GB2312"/>
          <w:sz w:val="32"/>
          <w:szCs w:val="32"/>
          <w:lang w:val="en-US" w:eastAsia="zh-CN"/>
        </w:rPr>
        <w:t>安排政府采购预算</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w:t>
      </w:r>
      <w:r>
        <w:rPr>
          <w:rFonts w:hint="eastAsia" w:ascii="Times New Roman" w:hAnsi="Times New Roman" w:eastAsia="仿宋_GB2312" w:cs="仿宋_GB2312"/>
          <w:sz w:val="32"/>
          <w:szCs w:val="32"/>
          <w:lang w:val="en-US" w:eastAsia="zh-CN"/>
        </w:rPr>
        <w:t>2023</w:t>
      </w:r>
      <w:r>
        <w:rPr>
          <w:rFonts w:hint="eastAsia" w:ascii="仿宋_GB2312" w:hAnsi="仿宋_GB2312" w:eastAsia="仿宋_GB2312" w:cs="仿宋_GB2312"/>
          <w:sz w:val="32"/>
          <w:szCs w:val="32"/>
          <w:lang w:val="en-US" w:eastAsia="zh-CN"/>
        </w:rPr>
        <w:t>年底，</w:t>
      </w:r>
      <w:r>
        <w:rPr>
          <w:rFonts w:hint="eastAsia" w:ascii="Times New Roman" w:hAnsi="Times New Roman" w:eastAsia="仿宋_GB2312" w:cs="Times New Roman"/>
          <w:color w:val="000000"/>
          <w:sz w:val="32"/>
          <w:szCs w:val="32"/>
          <w:lang w:val="en-US" w:eastAsia="zh-CN"/>
        </w:rPr>
        <w:t>区公务服务中心</w:t>
      </w:r>
      <w:r>
        <w:rPr>
          <w:rFonts w:hint="eastAsia" w:ascii="仿宋_GB2312" w:hAnsi="仿宋_GB2312" w:eastAsia="仿宋_GB2312" w:cs="仿宋_GB2312"/>
          <w:sz w:val="32"/>
          <w:szCs w:val="32"/>
          <w:lang w:val="en-US" w:eastAsia="zh-CN"/>
        </w:rPr>
        <w:t>共有车辆</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辆。单位价值</w:t>
      </w:r>
      <w:r>
        <w:rPr>
          <w:rFonts w:hint="eastAsia" w:ascii="Times New Roman" w:hAnsi="Times New Roman" w:eastAsia="仿宋_GB2312" w:cs="仿宋_GB2312"/>
          <w:sz w:val="32"/>
          <w:szCs w:val="32"/>
          <w:lang w:val="en-US" w:eastAsia="zh-CN"/>
        </w:rPr>
        <w:t>200</w:t>
      </w:r>
      <w:r>
        <w:rPr>
          <w:rFonts w:hint="eastAsia" w:ascii="仿宋_GB2312" w:hAnsi="仿宋_GB2312" w:eastAsia="仿宋_GB2312" w:cs="仿宋_GB2312"/>
          <w:sz w:val="32"/>
          <w:szCs w:val="32"/>
          <w:lang w:val="en-US" w:eastAsia="zh-CN"/>
        </w:rPr>
        <w:t>万元以上大型设备</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台（套）（或单位无价值</w:t>
      </w:r>
      <w:r>
        <w:rPr>
          <w:rFonts w:hint="eastAsia" w:ascii="Times New Roman" w:hAnsi="Times New Roman" w:eastAsia="仿宋_GB2312" w:cs="仿宋_GB2312"/>
          <w:sz w:val="32"/>
          <w:szCs w:val="32"/>
          <w:lang w:val="en-US" w:eastAsia="zh-CN"/>
        </w:rPr>
        <w:t>200</w:t>
      </w:r>
      <w:r>
        <w:rPr>
          <w:rFonts w:hint="eastAsia" w:ascii="仿宋_GB2312" w:hAnsi="仿宋_GB2312" w:eastAsia="仿宋_GB2312" w:cs="仿宋_GB2312"/>
          <w:sz w:val="32"/>
          <w:szCs w:val="32"/>
          <w:lang w:val="en-US" w:eastAsia="zh-CN"/>
        </w:rPr>
        <w:t>万元以上的大型设备）。8</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年部门预算安排车辆购置经费</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万元。其中，财政拨款预算安排</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万元，非财政拨款安排</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万元。拟购置定向保障用车</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车辆、执法执勤用车</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辆。安排大型设备购置经费</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万元（或</w:t>
      </w: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年部门预算未安排购置车辆及单位价值</w:t>
      </w:r>
      <w:r>
        <w:rPr>
          <w:rFonts w:hint="eastAsia" w:ascii="Times New Roman" w:hAnsi="Times New Roman" w:eastAsia="仿宋_GB2312" w:cs="仿宋_GB2312"/>
          <w:sz w:val="32"/>
          <w:szCs w:val="32"/>
          <w:lang w:val="en-US" w:eastAsia="zh-CN"/>
        </w:rPr>
        <w:t>200</w:t>
      </w:r>
      <w:r>
        <w:rPr>
          <w:rFonts w:hint="eastAsia" w:ascii="仿宋_GB2312" w:hAnsi="仿宋_GB2312" w:eastAsia="仿宋_GB2312" w:cs="仿宋_GB2312"/>
          <w:sz w:val="32"/>
          <w:szCs w:val="32"/>
          <w:lang w:val="en-US" w:eastAsia="zh-CN"/>
        </w:rPr>
        <w:t>万元以上大型设备）。</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color w:val="000000"/>
          <w:sz w:val="32"/>
          <w:szCs w:val="32"/>
          <w:lang w:val="en-US" w:eastAsia="zh-CN"/>
        </w:rPr>
        <w:t>区公务服务中心</w:t>
      </w:r>
      <w:r>
        <w:rPr>
          <w:rFonts w:hint="eastAsia" w:ascii="仿宋_GB2312" w:hAnsi="仿宋_GB2312" w:eastAsia="仿宋_GB2312" w:cs="仿宋_GB2312"/>
          <w:sz w:val="32"/>
          <w:szCs w:val="32"/>
          <w:lang w:val="en-US" w:eastAsia="zh-CN"/>
        </w:rPr>
        <w:t>开展绩效目标管理的项目</w:t>
      </w: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个，涉及预算</w:t>
      </w:r>
      <w:r>
        <w:rPr>
          <w:rFonts w:hint="eastAsia" w:ascii="Times New Roman" w:hAnsi="Times New Roman" w:eastAsia="仿宋_GB2312" w:cs="仿宋_GB2312"/>
          <w:sz w:val="32"/>
          <w:szCs w:val="32"/>
          <w:lang w:val="en-US" w:eastAsia="zh-CN"/>
        </w:rPr>
        <w:t>241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万元。其中：人员类项目</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个，涉及预算</w:t>
      </w: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万元；运转类项目</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个，涉及预算</w:t>
      </w:r>
      <w:r>
        <w:rPr>
          <w:rFonts w:hint="eastAsia" w:ascii="Times New Roman" w:hAnsi="Times New Roman" w:eastAsia="仿宋_GB2312" w:cs="仿宋_GB2312"/>
          <w:sz w:val="32"/>
          <w:szCs w:val="32"/>
          <w:lang w:val="en-US" w:eastAsia="zh-CN"/>
        </w:rPr>
        <w:t>230</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万元；特定目标类项目</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个，涉及预算</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万元。因部分项目内容涉密，不予公开。</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（二）一般公共服务（类）</w:t>
      </w:r>
      <w:r>
        <w:rPr>
          <w:rFonts w:hint="eastAsia" w:ascii="Times New Roman" w:hAnsi="Times New Roman" w:eastAsia="仿宋_GB2312" w:cs="Times New Roman"/>
          <w:color w:val="000000"/>
          <w:sz w:val="32"/>
          <w:szCs w:val="32"/>
          <w:lang w:val="en-US" w:eastAsia="zh-CN"/>
        </w:rPr>
        <w:t>及相关机构事务</w:t>
      </w:r>
      <w:r>
        <w:rPr>
          <w:rFonts w:hint="eastAsia" w:ascii="楷体_GB2312" w:hAnsi="楷体_GB2312" w:eastAsia="楷体_GB2312" w:cs="楷体_GB2312"/>
          <w:sz w:val="32"/>
          <w:szCs w:val="32"/>
          <w:lang w:val="en-US" w:eastAsia="zh-CN"/>
        </w:rPr>
        <w:t>（款）</w:t>
      </w:r>
      <w:r>
        <w:rPr>
          <w:rFonts w:hint="eastAsia" w:ascii="Times New Roman" w:hAnsi="Times New Roman" w:eastAsia="仿宋_GB2312" w:cs="Times New Roman"/>
          <w:color w:val="000000"/>
          <w:sz w:val="32"/>
          <w:szCs w:val="32"/>
          <w:lang w:val="en-US" w:eastAsia="zh-CN"/>
        </w:rPr>
        <w:t>事业运行</w:t>
      </w:r>
      <w:r>
        <w:rPr>
          <w:rFonts w:hint="eastAsia" w:ascii="楷体_GB2312" w:hAnsi="楷体_GB2312" w:eastAsia="楷体_GB2312" w:cs="楷体_GB2312"/>
          <w:sz w:val="32"/>
          <w:szCs w:val="32"/>
          <w:lang w:val="en-US" w:eastAsia="zh-CN"/>
        </w:rPr>
        <w:t>（项）：</w:t>
      </w:r>
      <w:r>
        <w:rPr>
          <w:rFonts w:hint="eastAsia" w:ascii="仿宋_GB2312" w:hAnsi="仿宋_GB2312" w:eastAsia="仿宋_GB2312" w:cs="仿宋_GB2312"/>
          <w:sz w:val="32"/>
          <w:szCs w:val="32"/>
          <w:lang w:val="en-US" w:eastAsia="zh-CN"/>
        </w:rPr>
        <w:t>指机关单位用于保障机构正常运行、开展日常工作的基本支出。</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（三）社会保障和就业（类）行政事业单位养老支出（款）机关事业单位基本养老保险缴费支出（项）：</w:t>
      </w:r>
      <w:r>
        <w:rPr>
          <w:rFonts w:hint="eastAsia" w:ascii="Times New Roman" w:hAnsi="Times New Roman" w:eastAsia="仿宋_GB2312" w:cs="Times New Roman"/>
          <w:color w:val="000000"/>
          <w:sz w:val="32"/>
          <w:szCs w:val="32"/>
          <w:lang w:val="en-US" w:eastAsia="zh-CN"/>
        </w:rPr>
        <w:t>指部门实施养老保险制度由单位缴纳的养老保险的支出。</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（四）卫生健康（类）行政事业单位医疗（款）事业单位医疗（项）：</w:t>
      </w:r>
      <w:r>
        <w:rPr>
          <w:rFonts w:hint="eastAsia" w:ascii="Times New Roman" w:hAnsi="Times New Roman" w:eastAsia="仿宋_GB2312" w:cs="Times New Roman"/>
          <w:color w:val="000000"/>
          <w:sz w:val="32"/>
          <w:szCs w:val="32"/>
          <w:lang w:val="en-US" w:eastAsia="zh-CN"/>
        </w:rPr>
        <w:t>指事业单位用于单位应缴纳基本医疗保险支出。</w:t>
      </w:r>
    </w:p>
    <w:p>
      <w:pPr>
        <w:keepNext w:val="0"/>
        <w:keepLines w:val="0"/>
        <w:pageBreakBefore w:val="0"/>
        <w:widowControl w:val="0"/>
        <w:suppressAutoHyphens/>
        <w:kinsoku/>
        <w:wordWrap/>
        <w:overflowPunct w:val="0"/>
        <w:topLinePunct w:val="0"/>
        <w:autoSpaceDE/>
        <w:autoSpaceDN/>
        <w:bidi w:val="0"/>
        <w:adjustRightInd/>
        <w:snapToGrid/>
        <w:spacing w:beforeAutospacing="0" w:afterAutospacing="0" w:line="576" w:lineRule="exact"/>
        <w:ind w:left="0" w:leftChars="0" w:right="0" w:righ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楷体_GB2312" w:hAnsi="楷体_GB2312" w:eastAsia="楷体_GB2312" w:cs="楷体_GB2312"/>
          <w:color w:val="000000"/>
          <w:sz w:val="32"/>
          <w:szCs w:val="32"/>
          <w:lang w:val="en-US" w:eastAsia="zh-CN"/>
        </w:rPr>
        <w:t>（五）住房保障（类）住房改革支出（款）住房公积金（项）：</w:t>
      </w:r>
      <w:r>
        <w:rPr>
          <w:rFonts w:hint="eastAsia" w:ascii="Times New Roman" w:hAnsi="Times New Roman" w:eastAsia="仿宋_GB2312" w:cs="Times New Roman"/>
          <w:color w:val="000000"/>
          <w:sz w:val="32"/>
          <w:szCs w:val="32"/>
          <w:lang w:val="en-US" w:eastAsia="zh-CN"/>
        </w:rPr>
        <w:t>指按照《住房公积金管理条例》的规定，由单位及其在职职工缴存的长期住房储金。</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（七）项目支出：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.部门预算公开表</w:t>
      </w:r>
    </w:p>
    <w:p>
      <w:pPr>
        <w:keepNext w:val="0"/>
        <w:keepLines w:val="0"/>
        <w:pageBreakBefore w:val="0"/>
        <w:widowControl w:val="0"/>
        <w:numPr>
          <w:ilvl w:val="-1"/>
          <w:numId w:val="0"/>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项目支出绩效目标表</w:t>
      </w:r>
    </w:p>
    <w:p>
      <w:pPr>
        <w:keepNext w:val="0"/>
        <w:keepLines w:val="0"/>
        <w:pageBreakBefore w:val="0"/>
        <w:widowControl w:val="0"/>
        <w:numPr>
          <w:ilvl w:val="-1"/>
          <w:numId w:val="0"/>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5"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66DD88-AA06-4504-A3DE-1B51F65395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embedRegular r:id="rId2" w:fontKey="{C433AA27-8098-44EC-9C44-0C9899383A74}"/>
  </w:font>
  <w:font w:name="仿宋_GB2312">
    <w:altName w:val="仿宋"/>
    <w:panose1 w:val="02010609030101010101"/>
    <w:charset w:val="86"/>
    <w:family w:val="auto"/>
    <w:pitch w:val="default"/>
    <w:sig w:usb0="00000000" w:usb1="00000000" w:usb2="00000000" w:usb3="00000000" w:csb0="00040000" w:csb1="00000000"/>
    <w:embedRegular r:id="rId3" w:fontKey="{0DF9A011-958D-42FA-9A70-278195F20A5B}"/>
  </w:font>
  <w:font w:name="楷体_GB2312">
    <w:panose1 w:val="02010609030101010101"/>
    <w:charset w:val="86"/>
    <w:family w:val="auto"/>
    <w:pitch w:val="default"/>
    <w:sig w:usb0="00000001" w:usb1="080E0000" w:usb2="00000000" w:usb3="00000000" w:csb0="00040000" w:csb1="00000000"/>
    <w:embedRegular r:id="rId4" w:fontKey="{3BB4B179-ECB3-4EDB-8C22-15650801A1B3}"/>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left="210" w:leftChars="100" w:right="210" w:rightChars="100"/>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5"/>
                      <w:ind w:left="210" w:leftChars="100" w:right="210" w:rightChars="100"/>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CE1D6"/>
    <w:multiLevelType w:val="singleLevel"/>
    <w:tmpl w:val="5BFCE1D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000000"/>
    <w:rsid w:val="00621C19"/>
    <w:rsid w:val="011E3D92"/>
    <w:rsid w:val="012352D1"/>
    <w:rsid w:val="01527EDF"/>
    <w:rsid w:val="017E0CD4"/>
    <w:rsid w:val="046C5A88"/>
    <w:rsid w:val="09551FE9"/>
    <w:rsid w:val="0FD179CD"/>
    <w:rsid w:val="110034B4"/>
    <w:rsid w:val="1174359A"/>
    <w:rsid w:val="1211524D"/>
    <w:rsid w:val="15063063"/>
    <w:rsid w:val="1585042C"/>
    <w:rsid w:val="16677B31"/>
    <w:rsid w:val="1AD75285"/>
    <w:rsid w:val="1C1339B8"/>
    <w:rsid w:val="1F7BF06F"/>
    <w:rsid w:val="1FEA15B7"/>
    <w:rsid w:val="1FEE4B73"/>
    <w:rsid w:val="23CE9849"/>
    <w:rsid w:val="249917FE"/>
    <w:rsid w:val="295757E3"/>
    <w:rsid w:val="2BB807BB"/>
    <w:rsid w:val="2CEA4137"/>
    <w:rsid w:val="2E1C4D11"/>
    <w:rsid w:val="2E942E8E"/>
    <w:rsid w:val="30B73737"/>
    <w:rsid w:val="313F54DB"/>
    <w:rsid w:val="31BE4652"/>
    <w:rsid w:val="342705B2"/>
    <w:rsid w:val="344D555F"/>
    <w:rsid w:val="349605F0"/>
    <w:rsid w:val="3840650A"/>
    <w:rsid w:val="39F304DD"/>
    <w:rsid w:val="3B1D688D"/>
    <w:rsid w:val="3ECB6600"/>
    <w:rsid w:val="3FE536F1"/>
    <w:rsid w:val="411029F0"/>
    <w:rsid w:val="41F20586"/>
    <w:rsid w:val="42E92355"/>
    <w:rsid w:val="45194C57"/>
    <w:rsid w:val="45F4643C"/>
    <w:rsid w:val="48D507A7"/>
    <w:rsid w:val="49B93C25"/>
    <w:rsid w:val="53055B12"/>
    <w:rsid w:val="533A2E71"/>
    <w:rsid w:val="53E75832"/>
    <w:rsid w:val="54244390"/>
    <w:rsid w:val="543F11CA"/>
    <w:rsid w:val="545A6004"/>
    <w:rsid w:val="54662A63"/>
    <w:rsid w:val="58064E12"/>
    <w:rsid w:val="5BFEE015"/>
    <w:rsid w:val="603040BD"/>
    <w:rsid w:val="60B371C8"/>
    <w:rsid w:val="61F44587"/>
    <w:rsid w:val="62012616"/>
    <w:rsid w:val="62546364"/>
    <w:rsid w:val="628D3A49"/>
    <w:rsid w:val="62AA0157"/>
    <w:rsid w:val="62B00CD0"/>
    <w:rsid w:val="63EDCF55"/>
    <w:rsid w:val="63FBFBCF"/>
    <w:rsid w:val="64A62BA0"/>
    <w:rsid w:val="657B5DDA"/>
    <w:rsid w:val="658600E3"/>
    <w:rsid w:val="669360FD"/>
    <w:rsid w:val="67F500C6"/>
    <w:rsid w:val="68FF6A83"/>
    <w:rsid w:val="6AA95198"/>
    <w:rsid w:val="6C5874EB"/>
    <w:rsid w:val="6E4313BB"/>
    <w:rsid w:val="6FBBC9CF"/>
    <w:rsid w:val="71771B4C"/>
    <w:rsid w:val="72BDE561"/>
    <w:rsid w:val="74C74B98"/>
    <w:rsid w:val="78462278"/>
    <w:rsid w:val="78615304"/>
    <w:rsid w:val="7997EA6C"/>
    <w:rsid w:val="7AEAE675"/>
    <w:rsid w:val="7BAFCE5D"/>
    <w:rsid w:val="7C523723"/>
    <w:rsid w:val="7D46598C"/>
    <w:rsid w:val="7DFB240B"/>
    <w:rsid w:val="7E0935ED"/>
    <w:rsid w:val="7F211349"/>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before="0" w:after="140" w:line="276" w:lineRule="auto"/>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annotation text"/>
    <w:basedOn w:val="1"/>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2"/>
    <w:autoRedefine/>
    <w:qFormat/>
    <w:uiPriority w:val="0"/>
  </w:style>
  <w:style w:type="paragraph" w:styleId="8">
    <w:name w:val="Normal (Web)"/>
    <w:basedOn w:val="1"/>
    <w:autoRedefine/>
    <w:qFormat/>
    <w:uiPriority w:val="0"/>
    <w:rPr>
      <w:sz w:val="24"/>
    </w:rPr>
  </w:style>
  <w:style w:type="character" w:customStyle="1" w:styleId="11">
    <w:name w:val="默认段落字体1"/>
    <w:autoRedefine/>
    <w:qFormat/>
    <w:uiPriority w:val="0"/>
  </w:style>
  <w:style w:type="paragraph" w:customStyle="1" w:styleId="12">
    <w:name w:val="Heading"/>
    <w:basedOn w:val="1"/>
    <w:next w:val="2"/>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autoRedefine/>
    <w:qFormat/>
    <w:uiPriority w:val="0"/>
    <w:pPr>
      <w:widowControl w:val="0"/>
      <w:suppressLineNumbers/>
      <w:suppressAutoHyphens/>
    </w:pPr>
  </w:style>
  <w:style w:type="paragraph" w:customStyle="1" w:styleId="14">
    <w:name w:val="table of figures1"/>
    <w:basedOn w:val="1"/>
    <w:next w:val="1"/>
    <w:autoRedefine/>
    <w:qFormat/>
    <w:uiPriority w:val="99"/>
    <w:pPr>
      <w:ind w:left="200" w:leftChars="200" w:hanging="200" w:hanging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dcterms:modified xsi:type="dcterms:W3CDTF">2024-04-10T02:26:47Z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9CB385C42AE842B582647560702DEAA5_13</vt:lpwstr>
  </property>
</Properties>
</file>