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广元市昭化区人民医院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2024年部门预算编制说明</w:t>
      </w:r>
    </w:p>
    <w:p>
      <w:pPr>
        <w:jc w:val="center"/>
        <w:rPr>
          <w:rFonts w:hint="eastAsia" w:ascii="黑体" w:hAnsi="黑体" w:eastAsia="黑体" w:cs="黑体"/>
          <w:b/>
          <w:bCs/>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目   录</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一、基本职能及主要工作...............................3</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（一）单位职能简介...................................3</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（二）单位2024年重点工作............................3</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二、部门预算单位构成.................................4</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三、收支预算情况说明.................................4</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（一）收入预算情况...................................5</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（二）支出预算情况...................................5</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四、财政拨款收支预算情况说明.........................5</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五、一般公共预算当年拨款情况说明.....................5</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（一）一般公共预算当年拨款规模变化情况...............5</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（二）一般公共预算当年拨款结构情况...................6</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（三）一般公共预算当年拨款具体使用情况...............6</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六、一般公共预算基本支出情况说明.....................7</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七、“三公”经费财政拨款预算安排情况说明.............7</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八、政府性基金预算支出情况说明.......................8</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九、国有资本经营预算支出情况说明.....................8</w:t>
      </w:r>
    </w:p>
    <w:p>
      <w:pPr>
        <w:jc w:val="both"/>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十、其他重要事项的情况说明...........................8</w:t>
      </w:r>
    </w:p>
    <w:p>
      <w:pPr>
        <w:jc w:val="both"/>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十一、名词解释.......................................9</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auto"/>
          <w:spacing w:val="0"/>
          <w:sz w:val="28"/>
          <w:szCs w:val="28"/>
          <w:highlight w:val="none"/>
          <w:shd w:val="clear" w:color="auto" w:fill="FFFFFF"/>
          <w:lang w:val="en-US" w:eastAsia="zh-CN"/>
        </w:rPr>
      </w:pPr>
      <w:r>
        <w:rPr>
          <w:rFonts w:hint="eastAsia" w:ascii="宋体" w:hAnsi="宋体" w:cs="宋体"/>
          <w:b/>
          <w:i w:val="0"/>
          <w:caps w:val="0"/>
          <w:color w:val="auto"/>
          <w:spacing w:val="0"/>
          <w:sz w:val="28"/>
          <w:szCs w:val="28"/>
          <w:highlight w:val="none"/>
          <w:shd w:val="clear" w:color="auto" w:fill="FFFFFF"/>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区人民医院</w:t>
      </w:r>
      <w:r>
        <w:rPr>
          <w:rFonts w:hint="eastAsia" w:ascii="楷体_GB2312" w:hAnsi="楷体_GB2312" w:eastAsia="楷体_GB2312" w:cs="楷体_GB2312"/>
          <w:color w:val="auto"/>
          <w:sz w:val="32"/>
          <w:szCs w:val="32"/>
        </w:rPr>
        <w:t>职能简介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Times New Roman" w:hAnsi="Times New Roman" w:eastAsia="仿宋_GB2312" w:cs="仿宋_GB2312"/>
          <w:b w:val="0"/>
          <w:i w:val="0"/>
          <w:caps w:val="0"/>
          <w:color w:val="auto"/>
          <w:spacing w:val="0"/>
          <w:sz w:val="32"/>
          <w:szCs w:val="32"/>
          <w:shd w:val="clear" w:color="auto" w:fill="FFFFFF"/>
        </w:rPr>
        <w:t>广元市昭化区</w:t>
      </w:r>
      <w:r>
        <w:rPr>
          <w:rFonts w:hint="eastAsia" w:ascii="Times New Roman" w:hAnsi="Times New Roman" w:eastAsia="仿宋_GB2312" w:cs="仿宋_GB2312"/>
          <w:b w:val="0"/>
          <w:i w:val="0"/>
          <w:caps w:val="0"/>
          <w:color w:val="auto"/>
          <w:spacing w:val="0"/>
          <w:sz w:val="32"/>
          <w:szCs w:val="32"/>
          <w:shd w:val="clear" w:color="auto" w:fill="FFFFFF"/>
          <w:lang w:eastAsia="zh-CN"/>
        </w:rPr>
        <w:t>人民医院</w:t>
      </w:r>
      <w:r>
        <w:rPr>
          <w:rFonts w:hint="eastAsia" w:ascii="Times New Roman" w:hAnsi="Times New Roman" w:eastAsia="仿宋_GB2312" w:cs="仿宋_GB2312"/>
          <w:b w:val="0"/>
          <w:i w:val="0"/>
          <w:caps w:val="0"/>
          <w:color w:val="auto"/>
          <w:spacing w:val="0"/>
          <w:sz w:val="32"/>
          <w:szCs w:val="32"/>
          <w:shd w:val="clear" w:color="auto" w:fill="FFFFFF"/>
          <w:lang w:val="en-US" w:eastAsia="zh-CN"/>
        </w:rPr>
        <w:t>为</w:t>
      </w:r>
      <w:r>
        <w:rPr>
          <w:rFonts w:hint="eastAsia" w:ascii="Times New Roman" w:hAnsi="Times New Roman" w:eastAsia="仿宋_GB2312" w:cs="仿宋_GB2312"/>
          <w:b w:val="0"/>
          <w:i w:val="0"/>
          <w:caps w:val="0"/>
          <w:color w:val="auto"/>
          <w:spacing w:val="0"/>
          <w:sz w:val="32"/>
          <w:szCs w:val="32"/>
          <w:shd w:val="clear" w:color="auto" w:fill="FFFFFF"/>
          <w:lang w:eastAsia="zh-CN"/>
        </w:rPr>
        <w:t>区内唯一一所集医疗、急救、科研、教学为一体的二级甲等综合性医院</w:t>
      </w:r>
      <w:r>
        <w:rPr>
          <w:rFonts w:hint="eastAsia" w:cs="仿宋_GB2312"/>
          <w:b w:val="0"/>
          <w:i w:val="0"/>
          <w:caps w:val="0"/>
          <w:color w:val="auto"/>
          <w:spacing w:val="0"/>
          <w:sz w:val="32"/>
          <w:szCs w:val="32"/>
          <w:shd w:val="clear" w:color="auto" w:fill="FFFFFF"/>
          <w:lang w:eastAsia="zh-CN"/>
        </w:rPr>
        <w:t>。</w:t>
      </w:r>
      <w:r>
        <w:rPr>
          <w:rFonts w:hint="eastAsia" w:ascii="Times New Roman" w:hAnsi="Times New Roman" w:eastAsia="仿宋_GB2312" w:cs="仿宋_GB2312"/>
          <w:b w:val="0"/>
          <w:i w:val="0"/>
          <w:caps w:val="0"/>
          <w:color w:val="auto"/>
          <w:spacing w:val="0"/>
          <w:sz w:val="32"/>
          <w:szCs w:val="32"/>
          <w:shd w:val="clear" w:color="auto" w:fill="FFFFFF"/>
          <w:lang w:eastAsia="zh-CN"/>
        </w:rPr>
        <w:t>主要负责区域基本医疗服务、危重急症病人的抢救和公共卫生救治，并承担对乡镇（中心）卫生院、街道社区卫生服务中心、村卫生室、社区卫生服务站的业务技术指导和卫生人员的进修培训。完成</w:t>
      </w:r>
      <w:r>
        <w:rPr>
          <w:rFonts w:hint="eastAsia" w:ascii="Times New Roman" w:hAnsi="Times New Roman" w:eastAsia="仿宋_GB2312" w:cs="仿宋_GB2312"/>
          <w:b w:val="0"/>
          <w:i w:val="0"/>
          <w:caps w:val="0"/>
          <w:color w:val="auto"/>
          <w:spacing w:val="0"/>
          <w:sz w:val="32"/>
          <w:szCs w:val="32"/>
          <w:shd w:val="clear" w:color="auto" w:fill="FFFFFF"/>
          <w:lang w:val="en-US" w:eastAsia="zh-CN"/>
        </w:rPr>
        <w:t>卫生健康</w:t>
      </w:r>
      <w:r>
        <w:rPr>
          <w:rFonts w:hint="eastAsia" w:ascii="Times New Roman" w:hAnsi="Times New Roman" w:eastAsia="仿宋_GB2312" w:cs="仿宋_GB2312"/>
          <w:b w:val="0"/>
          <w:i w:val="0"/>
          <w:caps w:val="0"/>
          <w:color w:val="auto"/>
          <w:spacing w:val="0"/>
          <w:sz w:val="32"/>
          <w:szCs w:val="32"/>
          <w:shd w:val="clear" w:color="auto" w:fill="FFFFFF"/>
          <w:lang w:eastAsia="zh-CN"/>
        </w:rPr>
        <w:t>行政部门安排的卫生支农工作，承担一定的教学和科研任务。医院同时承担着昭化区及毗邻地区常见病、多发病，疑难危急重症疾病的诊治、转诊及会诊任务，也是全区唯一一家传染病疫情防控定点医院。在区委、区政府坚强领导下，在市、区卫生行政主管部门的大力支持下，昭化区人民医院领导班子及全体职工将紧密团结，继续奋力开拓创新，通过创建检验、影像、麻醉、呼吸、消化等重点专科及创建县级胸痛中心、脑卒中中心、创伤中心，以点带面，奋力拼搏，高位求进，全力做好人民群众健康守护神</w:t>
      </w:r>
      <w:r>
        <w:rPr>
          <w:rFonts w:hint="eastAsia" w:cs="仿宋_GB2312"/>
          <w:b w:val="0"/>
          <w:i w:val="0"/>
          <w:caps w:val="0"/>
          <w:color w:val="auto"/>
          <w:spacing w:val="0"/>
          <w:sz w:val="32"/>
          <w:szCs w:val="32"/>
          <w:shd w:val="clear" w:color="auto"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区人民医院</w:t>
      </w:r>
      <w:r>
        <w:rPr>
          <w:rFonts w:hint="eastAsia" w:ascii="楷体_GB2312" w:hAnsi="楷体_GB2312" w:eastAsia="楷体_GB2312" w:cs="楷体_GB2312"/>
          <w:color w:val="auto"/>
          <w:sz w:val="32"/>
          <w:szCs w:val="32"/>
          <w:lang w:val="en-US"/>
        </w:rPr>
        <w:t>2024</w:t>
      </w:r>
      <w:r>
        <w:rPr>
          <w:rFonts w:hint="eastAsia" w:ascii="楷体_GB2312" w:hAnsi="楷体_GB2312" w:eastAsia="楷体_GB2312" w:cs="楷体_GB2312"/>
          <w:color w:val="auto"/>
          <w:sz w:val="32"/>
          <w:szCs w:val="32"/>
        </w:rPr>
        <w:t>年重点工作</w:t>
      </w:r>
    </w:p>
    <w:p>
      <w:pPr>
        <w:pStyle w:val="10"/>
        <w:keepNext w:val="0"/>
        <w:keepLines w:val="0"/>
        <w:pageBreakBefore w:val="0"/>
        <w:tabs>
          <w:tab w:val="left" w:pos="3360"/>
        </w:tabs>
        <w:kinsoku/>
        <w:wordWrap/>
        <w:overflowPunct/>
        <w:topLinePunct w:val="0"/>
        <w:autoSpaceDE/>
        <w:autoSpaceDN/>
        <w:bidi w:val="0"/>
        <w:adjustRightInd/>
        <w:snapToGrid/>
        <w:spacing w:before="0" w:beforeLines="0" w:beforeAutospacing="0" w:after="0" w:afterLines="0" w:afterAutospacing="0" w:line="576" w:lineRule="exact"/>
        <w:ind w:left="0" w:leftChars="0" w:firstLine="640" w:firstLineChars="200"/>
        <w:jc w:val="both"/>
        <w:textAlignment w:val="auto"/>
        <w:rPr>
          <w:rFonts w:hint="eastAsia" w:ascii="Times New Roman" w:hAnsi="Times New Roman" w:eastAsia="仿宋_GB2312" w:cs="仿宋_GB2312"/>
          <w:b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i w:val="0"/>
          <w:caps w:val="0"/>
          <w:color w:val="auto"/>
          <w:spacing w:val="0"/>
          <w:kern w:val="2"/>
          <w:sz w:val="32"/>
          <w:szCs w:val="32"/>
          <w:shd w:val="clear" w:color="auto" w:fill="FFFFFF"/>
          <w:lang w:val="en-US" w:eastAsia="zh-CN" w:bidi="ar-SA"/>
        </w:rPr>
        <w:t>2024年，全院工作指导思想是：坚定以习近平新时代中国特色社会主义思想为指导，深入学习贯彻党的二十大精神，全面落实党的新时代卫生健康工作方针，锚定以人民为中心的发展思路，秉承“人民至上、生命至上”的办院理念，坚持稳中求进、以进促稳工作总基调，深化改革，创新驱动，激发业务发展动力活力，坚持守正创新，发扬斗争精神，以推动高质量发展为主题，以牢牢把握佑护人民健康为主线，以医疗质量持续改进为根本，以项目建设为支撑，以满足人民日益增长的健康需要为目的，加力统筹做好发展与安全两件大事，为奋力谱写中国式现代化昭化卫生健康事业新篇章作出昭医贡献。</w:t>
      </w:r>
    </w:p>
    <w:p>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firstLine="640" w:firstLineChars="200"/>
        <w:textAlignment w:val="auto"/>
        <w:rPr>
          <w:rFonts w:hint="default" w:ascii="黑体" w:hAnsi="黑体" w:eastAsia="黑体" w:cs="黑体"/>
          <w:color w:val="000000"/>
          <w:kern w:val="2"/>
          <w:sz w:val="32"/>
          <w:szCs w:val="32"/>
          <w:lang w:val="en-US" w:eastAsia="zh-CN" w:bidi="ar-SA"/>
        </w:rPr>
      </w:pPr>
      <w:r>
        <w:rPr>
          <w:rFonts w:hint="eastAsia" w:ascii="Times New Roman" w:hAnsi="Times New Roman" w:eastAsia="仿宋_GB2312" w:cs="仿宋_GB2312"/>
          <w:b w:val="0"/>
          <w:i w:val="0"/>
          <w:caps w:val="0"/>
          <w:color w:val="auto"/>
          <w:spacing w:val="0"/>
          <w:kern w:val="2"/>
          <w:sz w:val="32"/>
          <w:szCs w:val="32"/>
          <w:shd w:val="clear" w:color="auto" w:fill="FFFFFF"/>
          <w:lang w:val="en-US" w:eastAsia="zh-CN" w:bidi="ar-SA"/>
        </w:rPr>
        <w:t>主要目标任务：一是以坚定的政治立场，夯实党建根基，促进党建水平提升；二是以坚决果断的态度，过硬的措施，抓实区委巡察反馈问题整改；三是以全力备战的姿态，高标准迎接“二甲”巡查评审；四是以敢于亮剑的精神，严实推进医药领域腐败问题集中整治；五是以时不我待，只争朝夕的工作干劲加快推进新绩效改革；六是以多点发力，助推业务提质增效，以强化管理为手段，保障医疗安全；七是以注重能力提升为目标，加强人才队伍建设，持续加力跟进，确保项目按期开工建设；八是强化有力措施，安全和后勤保障工作双发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广元市昭化区人民医院为广元市昭化区卫生健康局</w:t>
      </w:r>
      <w:r>
        <w:rPr>
          <w:rFonts w:hint="eastAsia" w:ascii="仿宋_GB2312" w:hAnsi="仿宋_GB2312" w:eastAsia="仿宋_GB2312" w:cs="仿宋_GB2312"/>
          <w:color w:val="auto"/>
          <w:sz w:val="32"/>
          <w:szCs w:val="32"/>
          <w:lang w:val="en-US" w:eastAsia="zh-CN"/>
        </w:rPr>
        <w:t>下属一级预算单位，本单位无下属机构，</w:t>
      </w:r>
      <w:r>
        <w:rPr>
          <w:rFonts w:hint="eastAsia" w:ascii="Times New Roman" w:hAnsi="Times New Roman" w:eastAsia="仿宋_GB2312" w:cs="仿宋_GB2312"/>
          <w:color w:val="auto"/>
          <w:sz w:val="32"/>
          <w:szCs w:val="32"/>
          <w:lang w:eastAsia="zh-CN"/>
        </w:rPr>
        <w:t>科室设置包括职能科室和业务科室</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按照综合预算的原则，广元市昭化区人民医院所有收入和支出均纳入部门预算管理。收入包括：一般公共预算拨款收入；支出包括：社会保障和就业支出、卫生健康支出、住房保障支出。广元市昭化区人民医院2024年收支预算总数1451.7万元,比2023年收支预算总数增加35.33万元，主要原因是</w:t>
      </w:r>
      <w:r>
        <w:rPr>
          <w:rFonts w:hint="eastAsia" w:ascii="Times New Roman" w:hAnsi="Times New Roman" w:eastAsia="仿宋_GB2312" w:cs="仿宋_GB2312"/>
          <w:color w:val="auto"/>
          <w:sz w:val="32"/>
          <w:szCs w:val="32"/>
          <w:lang w:val="en-US" w:eastAsia="zh-CN"/>
        </w:rPr>
        <w:t>2024年在编在职人员增加、退休人员增加、工资调整、人员职称晋升、保险费用增加等。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广元市昭化区人民医院2024年收入预算1451.7万元，其中：一般公共预算拨款收入1451.7万元，占100%；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广元市昭化区人民医院2024年支出预算1451.7万元，其中：基本支出1065.7万元，占73.41%；项目支出386万元，占26.59%</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广元市昭化区人民医院2024年财政拨款收支预算总数1451.7万元,比2023年财政拨款收支预算总数增加35.33万元，主要原因是</w:t>
      </w:r>
      <w:r>
        <w:rPr>
          <w:rFonts w:hint="eastAsia" w:ascii="Times New Roman" w:hAnsi="Times New Roman" w:eastAsia="仿宋_GB2312" w:cs="仿宋_GB2312"/>
          <w:color w:val="auto"/>
          <w:sz w:val="32"/>
          <w:szCs w:val="32"/>
          <w:lang w:val="en-US" w:eastAsia="zh-CN"/>
        </w:rPr>
        <w:t>2024年在编在职人员增加、退休人员增加、工资调整、人员职称晋升、保险费用增加等。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收入包括：本年一般公共预算拨款收入1451.7万元；支出包括：社会保障和就业支出163.17万元、卫生健康支出1202.09万元、住房保障支出86.43万元。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广元市昭化区人民医院2024年一般公共预算当年拨款1451.7万元，比2023年预算数增加35.33万元，主要原因是</w:t>
      </w:r>
      <w:r>
        <w:rPr>
          <w:rFonts w:hint="eastAsia" w:ascii="Times New Roman" w:hAnsi="Times New Roman" w:eastAsia="仿宋_GB2312" w:cs="仿宋_GB2312"/>
          <w:color w:val="auto"/>
          <w:sz w:val="32"/>
          <w:szCs w:val="32"/>
          <w:lang w:val="en-US" w:eastAsia="zh-CN"/>
        </w:rPr>
        <w:t>2024年在编在职人员增加、退休人员增加、工资调整、人员职称晋升、保险费用增加等。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社会保障和就业支出163.17万元，占11.24%；卫生健康支出1202.09万元，占82.81%；住房保障支出86.43万元，占5.95%。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卫生健康支出</w:t>
      </w:r>
      <w:r>
        <w:rPr>
          <w:rFonts w:hint="eastAsia" w:ascii="Times New Roman" w:hAnsi="Times New Roman" w:eastAsia="仿宋_GB2312" w:cs="仿宋_GB2312"/>
          <w:color w:val="auto"/>
          <w:sz w:val="32"/>
          <w:szCs w:val="32"/>
        </w:rPr>
        <w:t>（类）</w:t>
      </w:r>
      <w:r>
        <w:rPr>
          <w:rFonts w:hint="eastAsia" w:ascii="Times New Roman" w:hAnsi="Times New Roman" w:eastAsia="仿宋_GB2312" w:cs="仿宋_GB2312"/>
          <w:color w:val="auto"/>
          <w:sz w:val="32"/>
          <w:szCs w:val="32"/>
          <w:lang w:eastAsia="zh-CN"/>
        </w:rPr>
        <w:t>公立医院</w:t>
      </w:r>
      <w:r>
        <w:rPr>
          <w:rFonts w:hint="eastAsia" w:ascii="Times New Roman" w:hAnsi="Times New Roman" w:eastAsia="仿宋_GB2312" w:cs="仿宋_GB2312"/>
          <w:color w:val="auto"/>
          <w:sz w:val="32"/>
          <w:szCs w:val="32"/>
        </w:rPr>
        <w:t>（款）</w:t>
      </w:r>
      <w:r>
        <w:rPr>
          <w:rFonts w:hint="eastAsia" w:ascii="Times New Roman" w:hAnsi="Times New Roman" w:eastAsia="仿宋_GB2312" w:cs="仿宋_GB2312"/>
          <w:color w:val="auto"/>
          <w:sz w:val="32"/>
          <w:szCs w:val="32"/>
          <w:lang w:eastAsia="zh-CN"/>
        </w:rPr>
        <w:t>综合医院</w:t>
      </w:r>
      <w:r>
        <w:rPr>
          <w:rFonts w:hint="eastAsia" w:ascii="Times New Roman" w:hAnsi="Times New Roman" w:eastAsia="仿宋_GB2312" w:cs="仿宋_GB2312"/>
          <w:color w:val="auto"/>
          <w:sz w:val="32"/>
          <w:szCs w:val="32"/>
        </w:rPr>
        <w:t>支出（项）202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年预算数为</w:t>
      </w:r>
      <w:r>
        <w:rPr>
          <w:rFonts w:hint="eastAsia" w:ascii="Times New Roman" w:hAnsi="Times New Roman" w:eastAsia="仿宋_GB2312" w:cs="仿宋_GB2312"/>
          <w:color w:val="auto"/>
          <w:sz w:val="32"/>
          <w:szCs w:val="32"/>
          <w:lang w:val="en-US" w:eastAsia="zh-CN"/>
        </w:rPr>
        <w:t>1160.89</w:t>
      </w:r>
      <w:r>
        <w:rPr>
          <w:rFonts w:hint="eastAsia" w:ascii="Times New Roman" w:hAnsi="Times New Roman" w:eastAsia="仿宋_GB2312" w:cs="仿宋_GB2312"/>
          <w:color w:val="auto"/>
          <w:sz w:val="32"/>
          <w:szCs w:val="32"/>
        </w:rPr>
        <w:t>万元，主要用于：</w:t>
      </w:r>
      <w:r>
        <w:rPr>
          <w:rFonts w:hint="eastAsia" w:ascii="Times New Roman" w:hAnsi="Times New Roman" w:eastAsia="仿宋_GB2312" w:cs="仿宋_GB2312"/>
          <w:color w:val="auto"/>
          <w:sz w:val="32"/>
          <w:szCs w:val="32"/>
          <w:lang w:eastAsia="zh-CN"/>
        </w:rPr>
        <w:t>医院人员支出工资、绩效</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2.社会保障和就业（类）行政事业单位养老支出（款）机关事业单位基本养老保险缴费支出（项）2024年预算数为115.25万元，主要用于：实施养老保险制度由单位缴纳的基本养老保险支出。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3.社会保障和就业（类）行政事业单位养老支出（款）机关事业单位职业年金缴费支出（项）2024年预算数为42.6万元，主要用于：实施养老保险制度由单位缴纳的职业年金支出。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4.社会保障和就业（类）其他社会保障和就业支出（款）其他社会保障和就业支出（项）2024年预算数为5.32万元，主要用于：其他用于社会保障和就业方面的支出。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5.卫生健康（类）行政事业单位医疗（款）事业单位医疗（项）2024年预算数为41.21万元，主要用于：事业单位按规定由单位缴纳的基本医疗保险支出。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6.住房保障（类）住房改革支出（款）住房公积金（项）2024年预算数为86.43万元，主要用于：部门按规定为职工缴纳的住房公积金支出。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广元市昭化区人民医院2024年一般公共预算基本支出1065.7万元，其中：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人员经费1065.7万元，主要包括：基本工资、津贴补贴、奖金、社会保险缴费、住房公积金等支出。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无公用经费预算。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广元市昭化区人民医院2024年“三公”经费财政拨款预算数0万元，其中：公务接待费0万元（2024年本单位无公务接待费预算），公务用车购置及运行维护费0万元（2024年本单位无公务用车购置及运行维护费预算），因公出国（境）经费0万元（2024年本单位无因公出国（境）经费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区人民医院2024年公务接待费0万元（2024年本单位无公务接待费财政拨款预算），与2023年预算相比持平。</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区人民医院</w:t>
      </w: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年公务用车购置</w:t>
      </w:r>
      <w:r>
        <w:rPr>
          <w:rFonts w:hint="eastAsia" w:ascii="Times New Roman" w:hAnsi="Times New Roman" w:eastAsia="仿宋_GB2312" w:cs="仿宋_GB2312"/>
          <w:color w:val="auto"/>
          <w:sz w:val="32"/>
          <w:szCs w:val="32"/>
          <w:lang w:eastAsia="zh-CN"/>
        </w:rPr>
        <w:t>及运行维护费</w:t>
      </w:r>
      <w:r>
        <w:rPr>
          <w:rFonts w:hint="eastAsia" w:ascii="Times New Roman" w:hAnsi="Times New Roman" w:eastAsia="仿宋_GB2312" w:cs="仿宋_GB2312"/>
          <w:color w:val="auto"/>
          <w:sz w:val="32"/>
          <w:szCs w:val="32"/>
          <w:lang w:val="en-US" w:eastAsia="zh-CN"/>
        </w:rPr>
        <w:t>0万元（2024年本单位无公务用车购置及运行维护费财政拨款预算），与2023年预算相比持平。</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区人民医院2024年因公出国（境）经费0万元（2024年本单位无因公出国（境）经费预算），与2023年预算相比持平。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广元市昭化区人民医院2024年无政府性基金预算拨款安排的支出。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广元市昭化区人民医院2024年无国有资本经营预算拨款安排的支出。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区人民医院未安排机关运行经费。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2024年，区人民医院安排政府采购预算0万元，2024年本单位无政府采购预算安排。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截至2023年底，区人民医院共有车辆4辆，其中，领导干部用车0辆、定向保障用车0辆、执法执勤用车0辆，</w:t>
      </w:r>
      <w:r>
        <w:rPr>
          <w:rFonts w:hint="eastAsia" w:ascii="Times New Roman" w:hAnsi="Times New Roman" w:eastAsia="仿宋_GB2312" w:cs="仿宋_GB2312"/>
          <w:color w:val="auto"/>
          <w:sz w:val="32"/>
          <w:szCs w:val="32"/>
          <w:lang w:val="en-US" w:eastAsia="zh-CN"/>
        </w:rPr>
        <w:t>特种专业技术车辆（救护车）4辆。</w:t>
      </w:r>
      <w:r>
        <w:rPr>
          <w:rFonts w:hint="eastAsia" w:ascii="仿宋_GB2312" w:hAnsi="仿宋_GB2312" w:eastAsia="仿宋_GB2312" w:cs="仿宋_GB2312"/>
          <w:color w:val="auto"/>
          <w:sz w:val="32"/>
          <w:szCs w:val="32"/>
          <w:lang w:val="en-US" w:eastAsia="zh-CN"/>
        </w:rPr>
        <w:t>单位价值200万元以上大型设备7台（套）。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区人民医院开展绩效目标管理的项目2个，涉及预算386万元。其中：人员类项目0个，涉及预算0万元；运转类项目1个，涉及预算26万元；特定目标类项目1个，涉及预算360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（一）财政拨款收入</w:t>
      </w:r>
      <w:r>
        <w:rPr>
          <w:rFonts w:hint="default" w:ascii="楷体_GB2312" w:hAnsi="楷体_GB2312" w:eastAsia="楷体_GB2312" w:cs="楷体_GB2312"/>
          <w:color w:val="auto"/>
          <w:sz w:val="32"/>
          <w:szCs w:val="32"/>
          <w:lang w:val="en-US" w:eastAsia="zh-CN"/>
        </w:rPr>
        <w:t>:</w:t>
      </w:r>
      <w:r>
        <w:rPr>
          <w:rFonts w:hint="eastAsia" w:ascii="仿宋_GB2312" w:hAnsi="仿宋_GB2312" w:eastAsia="仿宋_GB2312" w:cs="仿宋_GB2312"/>
          <w:color w:val="auto"/>
          <w:sz w:val="32"/>
          <w:szCs w:val="32"/>
          <w:lang w:val="en-US" w:eastAsia="zh-CN"/>
        </w:rPr>
        <w:t>指区</w:t>
      </w:r>
      <w:bookmarkStart w:id="0" w:name="_GoBack"/>
      <w:bookmarkEnd w:id="0"/>
      <w:r>
        <w:rPr>
          <w:rFonts w:hint="eastAsia" w:ascii="仿宋_GB2312" w:hAnsi="仿宋_GB2312" w:eastAsia="仿宋_GB2312" w:cs="仿宋_GB2312"/>
          <w:color w:val="auto"/>
          <w:sz w:val="32"/>
          <w:szCs w:val="32"/>
          <w:lang w:val="en-US" w:eastAsia="zh-CN"/>
        </w:rPr>
        <w:t>财政当年安排的财政预算收入。按现行管理制度</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（二）社会保障和就业（类）行政事业单位养老支出（款）机关事业单位基本养老保险缴费支出（项）：</w:t>
      </w:r>
      <w:r>
        <w:rPr>
          <w:rFonts w:hint="eastAsia" w:ascii="仿宋_GB2312" w:hAnsi="仿宋_GB2312" w:eastAsia="仿宋_GB2312" w:cs="仿宋_GB2312"/>
          <w:color w:val="auto"/>
          <w:sz w:val="32"/>
          <w:szCs w:val="32"/>
          <w:lang w:val="en-US" w:eastAsia="zh-CN"/>
        </w:rPr>
        <w:t>指部门实施养老保险制度由单位缴纳的养老保险的支出。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（三）社会保障和就业（类）行政事业单位养老支出（款）机关事业单位职业年金缴费支出（项）：</w:t>
      </w:r>
      <w:r>
        <w:rPr>
          <w:rFonts w:hint="eastAsia" w:ascii="仿宋_GB2312" w:hAnsi="仿宋_GB2312" w:eastAsia="仿宋_GB2312" w:cs="仿宋_GB2312"/>
          <w:color w:val="auto"/>
          <w:sz w:val="32"/>
          <w:szCs w:val="32"/>
          <w:lang w:val="en-US" w:eastAsia="zh-CN"/>
        </w:rPr>
        <w:t>指部门实施养老保险制度由单位缴纳的职业年金的支出。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（四）卫生健康（类）行政事业单位医疗（款）事业单位医疗（项）：</w:t>
      </w:r>
      <w:r>
        <w:rPr>
          <w:rFonts w:hint="eastAsia" w:ascii="仿宋_GB2312" w:hAnsi="仿宋_GB2312" w:eastAsia="仿宋_GB2312" w:cs="仿宋_GB2312"/>
          <w:color w:val="auto"/>
          <w:sz w:val="32"/>
          <w:szCs w:val="32"/>
          <w:lang w:val="en-US" w:eastAsia="zh-CN"/>
        </w:rPr>
        <w:t>指事业单位用于单位应缴纳基本医疗保险支出。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（五）住房保障（类）住房改革支出（款）住房公积金（项）：</w:t>
      </w:r>
      <w:r>
        <w:rPr>
          <w:rFonts w:hint="eastAsia" w:ascii="仿宋_GB2312" w:hAnsi="仿宋_GB2312" w:eastAsia="仿宋_GB2312" w:cs="仿宋_GB2312"/>
          <w:color w:val="auto"/>
          <w:sz w:val="32"/>
          <w:szCs w:val="32"/>
          <w:lang w:val="en-US" w:eastAsia="zh-CN"/>
        </w:rPr>
        <w:t>指按照《住房公积金管理条例》的规定，由单位及其在职职工缴存的长期住房储金。</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（六）基本支出：</w:t>
      </w:r>
      <w:r>
        <w:rPr>
          <w:rFonts w:hint="eastAsia" w:ascii="仿宋_GB2312" w:hAnsi="仿宋_GB2312" w:eastAsia="仿宋_GB2312" w:cs="仿宋_GB2312"/>
          <w:color w:val="auto"/>
          <w:sz w:val="32"/>
          <w:szCs w:val="32"/>
          <w:lang w:val="en-US" w:eastAsia="zh-CN"/>
        </w:rPr>
        <w:t>指为保证机构正常运转，完成日常工作任务而发生的人员支出和公用支出。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（七）项目支出：</w:t>
      </w:r>
      <w:r>
        <w:rPr>
          <w:rFonts w:hint="eastAsia" w:ascii="仿宋_GB2312" w:hAnsi="仿宋_GB2312" w:eastAsia="仿宋_GB2312" w:cs="仿宋_GB2312"/>
          <w:color w:val="auto"/>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abstractNum w:abstractNumId="1">
    <w:nsid w:val="63FC517B"/>
    <w:multiLevelType w:val="singleLevel"/>
    <w:tmpl w:val="63FC517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MGNiOTVjZTA5ZDYyM2ZiMDViMTVkMmUxYjkwYTIifQ=="/>
  </w:docVars>
  <w:rsids>
    <w:rsidRoot w:val="00000000"/>
    <w:rsid w:val="012352D1"/>
    <w:rsid w:val="017E570E"/>
    <w:rsid w:val="023B7671"/>
    <w:rsid w:val="0603291B"/>
    <w:rsid w:val="08C757D0"/>
    <w:rsid w:val="0A222B45"/>
    <w:rsid w:val="0DC42165"/>
    <w:rsid w:val="113A7442"/>
    <w:rsid w:val="1154570F"/>
    <w:rsid w:val="138F4FF4"/>
    <w:rsid w:val="159206E8"/>
    <w:rsid w:val="1B42207F"/>
    <w:rsid w:val="1F451914"/>
    <w:rsid w:val="1F7BF06F"/>
    <w:rsid w:val="1FEE4B73"/>
    <w:rsid w:val="229E66D1"/>
    <w:rsid w:val="23CE9849"/>
    <w:rsid w:val="29EB58A7"/>
    <w:rsid w:val="2AC270C6"/>
    <w:rsid w:val="2AD05F31"/>
    <w:rsid w:val="3258369A"/>
    <w:rsid w:val="35505CEA"/>
    <w:rsid w:val="358C697E"/>
    <w:rsid w:val="37B87D95"/>
    <w:rsid w:val="38050A2B"/>
    <w:rsid w:val="39F304DD"/>
    <w:rsid w:val="3D124D7F"/>
    <w:rsid w:val="3D5F318D"/>
    <w:rsid w:val="3F1C50AD"/>
    <w:rsid w:val="41525CAE"/>
    <w:rsid w:val="45E31905"/>
    <w:rsid w:val="466207FA"/>
    <w:rsid w:val="4BB77D79"/>
    <w:rsid w:val="54244390"/>
    <w:rsid w:val="54662A63"/>
    <w:rsid w:val="58064E12"/>
    <w:rsid w:val="58913F28"/>
    <w:rsid w:val="59F04BCF"/>
    <w:rsid w:val="5BFEE015"/>
    <w:rsid w:val="5CE42FDC"/>
    <w:rsid w:val="5DED10A9"/>
    <w:rsid w:val="5E9F0C80"/>
    <w:rsid w:val="60332C8B"/>
    <w:rsid w:val="63EDCF55"/>
    <w:rsid w:val="63FBFBCF"/>
    <w:rsid w:val="669360FD"/>
    <w:rsid w:val="66EC3A5B"/>
    <w:rsid w:val="68FF6A83"/>
    <w:rsid w:val="69FE5AAC"/>
    <w:rsid w:val="6FBBC9CF"/>
    <w:rsid w:val="6FFD220E"/>
    <w:rsid w:val="72BDE561"/>
    <w:rsid w:val="78462278"/>
    <w:rsid w:val="7997EA6C"/>
    <w:rsid w:val="7A80776B"/>
    <w:rsid w:val="7AAE6A7B"/>
    <w:rsid w:val="7AEAE675"/>
    <w:rsid w:val="7BAFCE5D"/>
    <w:rsid w:val="7C523723"/>
    <w:rsid w:val="7D46598C"/>
    <w:rsid w:val="7DBD5C82"/>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autoRedefine/>
    <w:unhideWhenUsed/>
    <w:qFormat/>
    <w:uiPriority w:val="99"/>
    <w:pPr>
      <w:spacing w:after="120"/>
      <w:ind w:left="420" w:leftChars="200"/>
    </w:pPr>
  </w:style>
  <w:style w:type="paragraph" w:styleId="4">
    <w:name w:val="Normal Indent"/>
    <w:basedOn w:val="1"/>
    <w:autoRedefine/>
    <w:unhideWhenUsed/>
    <w:qFormat/>
    <w:uiPriority w:val="99"/>
    <w:pPr>
      <w:spacing w:line="300" w:lineRule="auto"/>
      <w:ind w:firstLine="482" w:firstLineChars="200"/>
    </w:pPr>
    <w:rPr>
      <w:rFonts w:ascii="宋体" w:cs="宋体"/>
      <w:kern w:val="0"/>
      <w:sz w:val="24"/>
      <w:szCs w:val="24"/>
      <w:lang w:val="zh-CN"/>
    </w:rPr>
  </w:style>
  <w:style w:type="paragraph" w:styleId="5">
    <w:name w:val="caption"/>
    <w:basedOn w:val="1"/>
    <w:autoRedefine/>
    <w:qFormat/>
    <w:uiPriority w:val="0"/>
    <w:pPr>
      <w:widowControl w:val="0"/>
      <w:suppressLineNumbers/>
      <w:suppressAutoHyphens/>
      <w:spacing w:before="120" w:after="120"/>
    </w:pPr>
    <w:rPr>
      <w:i/>
      <w:iCs/>
      <w:sz w:val="24"/>
      <w:szCs w:val="24"/>
    </w:rPr>
  </w:style>
  <w:style w:type="paragraph" w:styleId="6">
    <w:name w:val="Body Text"/>
    <w:basedOn w:val="1"/>
    <w:autoRedefine/>
    <w:qFormat/>
    <w:uiPriority w:val="0"/>
    <w:pPr>
      <w:spacing w:before="0" w:after="140" w:line="276" w:lineRule="auto"/>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6"/>
    <w:autoRedefine/>
    <w:qFormat/>
    <w:uiPriority w:val="0"/>
  </w:style>
  <w:style w:type="paragraph" w:styleId="10">
    <w:name w:val="Normal (Web)"/>
    <w:basedOn w:val="1"/>
    <w:autoRedefine/>
    <w:qFormat/>
    <w:uiPriority w:val="0"/>
    <w:rPr>
      <w:sz w:val="24"/>
    </w:rPr>
  </w:style>
  <w:style w:type="character" w:customStyle="1" w:styleId="13">
    <w:name w:val="默认段落字体1"/>
    <w:autoRedefine/>
    <w:qFormat/>
    <w:uiPriority w:val="0"/>
  </w:style>
  <w:style w:type="paragraph" w:customStyle="1" w:styleId="14">
    <w:name w:val="Heading"/>
    <w:basedOn w:val="1"/>
    <w:next w:val="6"/>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2024-04-07T03:29:24Z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564F9A9CC69647DF93F023752E0B1C81_13</vt:lpwstr>
  </property>
</Properties>
</file>