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中共广元市昭化区委机构编制委员会办公室2024年部门预算编制说明</w:t>
      </w:r>
    </w:p>
    <w:p>
      <w:pPr>
        <w:pStyle w:val="5"/>
        <w:rPr>
          <w:rFonts w:hint="eastAsia"/>
          <w:lang w:val="en-US" w:eastAsia="zh-CN"/>
        </w:rPr>
      </w:pP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十、其他重要事项的情况说明...........................(7)</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十一、名词解释.......................................(8)</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区委编办</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贯彻执行中央关于行政管理体制改革和机构改革、事业单位改革及机构编制管理的方针政策、法律法规规章，研究起草规章草案、规范性文件，制定相关政策并监督实施。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负责区委、区政府各部门，区人大、区政协机关，区法院、区检察院机关，各民主党派区委机关、区人民团体机关的机构编制管理工作。协调区级部门之间的职责分工。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给市委编委呈报副科级或按照副科级及以上规格管理机构的设置、调整。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研究拟订全区事业单位改革方案和事业单位编制标准及实施意见，负责区属事业单位机构编制管理，审核区属事业单位的机构编制方案，负责参照《公务员法》管理事业单位职责的审核工作。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监督检查全区行政管理体制改革和机构改革方案及机构编制规定执行情况，按照市委编委的要求，建立机构编制工作考核评估制度，会同有关部门查处机构编制违法违纪行为。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负责全区事业单位登记管理工作。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承办区委、区政府和区委编委交办的其他事项。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区委编办</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1.统筹推进区镇机构改革。以坚持和加强党中央集中统一领导为统领，以推进基层治理体系和治理能力现代化为导向，按照《党和国家机构改革方案》、《党中央 国务院议事协调机构优化调整方案》和省市机构改革方案明确的改革任务和目标要求，统筹优化全区重点领域机构设置和职能配置，规范机构编制管理，进一步完善加强党的全面领导体制机制，进一步优化适应构建新发展格局、推动高质量发展新要求的机构职能体系，进一步破解基层管理中存在的体制机制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2.聚力服务保障高质量发展。聚焦区委“1456”发展战略和“拼经济、比发展”决策部署，</w:t>
      </w:r>
      <w:r>
        <w:rPr>
          <w:rFonts w:hint="eastAsia" w:ascii="Times New Roman" w:hAnsi="Times New Roman" w:eastAsia="仿宋_GB2312" w:cs="Times New Roman"/>
          <w:sz w:val="32"/>
          <w:szCs w:val="32"/>
        </w:rPr>
        <w:t>找准</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的切入点、着力点，发挥</w:t>
      </w:r>
      <w:r>
        <w:rPr>
          <w:rFonts w:hint="eastAsia" w:ascii="Times New Roman" w:hAnsi="Times New Roman" w:eastAsia="仿宋_GB2312" w:cs="Times New Roman"/>
          <w:sz w:val="32"/>
          <w:szCs w:val="32"/>
          <w:lang w:val="en-US" w:eastAsia="zh-CN"/>
        </w:rPr>
        <w:t>机构编制的</w:t>
      </w:r>
      <w:r>
        <w:rPr>
          <w:rFonts w:hint="eastAsia" w:ascii="Times New Roman" w:hAnsi="Times New Roman" w:eastAsia="仿宋_GB2312" w:cs="Times New Roman"/>
          <w:sz w:val="32"/>
          <w:szCs w:val="32"/>
        </w:rPr>
        <w:t>先导作用，以更大的政治勇气和政治担当破除制约高质量发展的体制性障碍，在</w:t>
      </w:r>
      <w:r>
        <w:rPr>
          <w:rFonts w:hint="eastAsia" w:ascii="Times New Roman" w:hAnsi="Times New Roman" w:eastAsia="仿宋_GB2312" w:cs="Times New Roman"/>
          <w:sz w:val="32"/>
          <w:szCs w:val="32"/>
          <w:lang w:val="en-US" w:eastAsia="zh-CN"/>
        </w:rPr>
        <w:t>经济建设、科技创新、乡村振兴、绿色发展等</w:t>
      </w:r>
      <w:r>
        <w:rPr>
          <w:rFonts w:hint="eastAsia" w:ascii="Times New Roman" w:hAnsi="Times New Roman" w:eastAsia="仿宋_GB2312" w:cs="Times New Roman"/>
          <w:sz w:val="32"/>
          <w:szCs w:val="32"/>
        </w:rPr>
        <w:t>领域，着力推出一批高水平制度创新举措，以深层次改革激发高质量发展活力。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3.用心服务保障高品质民生。</w:t>
      </w:r>
      <w:r>
        <w:rPr>
          <w:rFonts w:hint="eastAsia" w:ascii="Times New Roman" w:hAnsi="Times New Roman" w:eastAsia="仿宋_GB2312" w:cs="Times New Roman"/>
          <w:sz w:val="32"/>
          <w:szCs w:val="32"/>
        </w:rPr>
        <w:t>坚持以人民为中心的发展思想，密切关注人民群众最关心最直接最现实的利益问题，</w:t>
      </w:r>
      <w:r>
        <w:rPr>
          <w:rFonts w:hint="eastAsia" w:ascii="Times New Roman" w:hAnsi="Times New Roman" w:eastAsia="仿宋_GB2312" w:cs="Times New Roman"/>
          <w:sz w:val="32"/>
          <w:szCs w:val="32"/>
          <w:lang w:val="en-US" w:eastAsia="zh-CN"/>
        </w:rPr>
        <w:t>围绕教育、医疗、文化、社会保障等民生领域，从机构设置、职能配置、编制配备、用编进人等方面出实招，用心用力解决好群众“急难愁盼”背后的体制机制问题，健全基本公共服务体系，提高公共服务水平。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4.持续加强机构编制部门自身建设。坚定不移推进全面从严治党。持续加强思想能力作风建设，大力倡树“严真细实快”作风，打造一支能干事、专业化、作风优、理念新、敢斗争的干部队伍，推动机构编制工作提质增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Times New Roman"/>
          <w:color w:val="auto"/>
          <w:kern w:val="2"/>
          <w:sz w:val="32"/>
          <w:szCs w:val="32"/>
          <w:highlight w:val="none"/>
          <w:lang w:val="en-US" w:eastAsia="zh-CN" w:bidi="ar-SA"/>
        </w:rPr>
        <w:t>区委编办属于一级预算单位，参照公务员法管理的事业单位1个，其他事业单位1个，分别是：昭化区事业单位登记服务中心、昭化区机构编制信息中心,无</w:t>
      </w:r>
      <w:r>
        <w:rPr>
          <w:rFonts w:hint="eastAsia" w:ascii="仿宋_GB2312" w:hAnsi="仿宋_GB2312" w:eastAsia="仿宋_GB2312" w:cs="仿宋_GB2312"/>
          <w:sz w:val="32"/>
          <w:szCs w:val="32"/>
          <w:lang w:val="en-US" w:eastAsia="zh-CN"/>
        </w:rPr>
        <w:t>下属二级预算单位。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委编办所有收入和支出均纳入部门预算管理。收入包括：一般公共预算拨款收入；支出包括：一般公共服务支出、社会保障和就业支出、卫生健康支出、住房保障支出。区委编办2024年收支预算总数225.05万元,比2023年收支预算总数减少</w:t>
      </w:r>
      <w:r>
        <w:rPr>
          <w:rFonts w:hint="eastAsia" w:ascii="Times New Roman" w:hAnsi="Times New Roman" w:eastAsia="仿宋_GB2312" w:cs="Times New Roman"/>
          <w:sz w:val="32"/>
          <w:szCs w:val="32"/>
          <w:lang w:val="en-US" w:eastAsia="zh-CN"/>
        </w:rPr>
        <w:t>19.28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，减少</w:t>
      </w:r>
      <w:r>
        <w:rPr>
          <w:rFonts w:hint="default" w:ascii="Times New Roman" w:hAnsi="Times New Roman" w:eastAsia="仿宋_GB2312" w:cs="Times New Roman"/>
          <w:color w:val="000000"/>
          <w:sz w:val="32"/>
          <w:szCs w:val="32"/>
          <w:lang w:val="en-US" w:eastAsia="zh-CN"/>
        </w:rPr>
        <w:t>的主要原因是</w:t>
      </w:r>
      <w:r>
        <w:rPr>
          <w:rFonts w:hint="eastAsia" w:ascii="Times New Roman" w:hAnsi="Times New Roman" w:eastAsia="仿宋_GB2312" w:cs="Times New Roman"/>
          <w:color w:val="000000"/>
          <w:sz w:val="32"/>
          <w:szCs w:val="32"/>
          <w:lang w:val="en-US" w:eastAsia="zh-CN"/>
        </w:rPr>
        <w:t>人员退休及调出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区委编办2024年收入预算225.05万元，其中：一般公共预算拨款收225.05万元，占100%。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区委编办2024年支出预算225.05万元，其中：基本支出186.85万元，占83%；项目支出38.2万元，占17%</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区委编办2024年财政拨款收支预算总数225.05万元,比2023年财政拨款收支预算总数减少</w:t>
      </w:r>
      <w:r>
        <w:rPr>
          <w:rFonts w:hint="eastAsia" w:ascii="Times New Roman" w:hAnsi="Times New Roman" w:eastAsia="仿宋_GB2312" w:cs="Times New Roman"/>
          <w:sz w:val="32"/>
          <w:szCs w:val="32"/>
          <w:lang w:val="en-US" w:eastAsia="zh-CN"/>
        </w:rPr>
        <w:t>19.28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，减少</w:t>
      </w:r>
      <w:r>
        <w:rPr>
          <w:rFonts w:hint="default" w:ascii="Times New Roman" w:hAnsi="Times New Roman" w:eastAsia="仿宋_GB2312" w:cs="Times New Roman"/>
          <w:color w:val="000000"/>
          <w:sz w:val="32"/>
          <w:szCs w:val="32"/>
          <w:lang w:val="en-US" w:eastAsia="zh-CN"/>
        </w:rPr>
        <w:t>的主要原因是</w:t>
      </w:r>
      <w:r>
        <w:rPr>
          <w:rFonts w:hint="eastAsia" w:ascii="Times New Roman" w:hAnsi="Times New Roman" w:eastAsia="仿宋_GB2312" w:cs="Times New Roman"/>
          <w:color w:val="000000"/>
          <w:sz w:val="32"/>
          <w:szCs w:val="32"/>
          <w:lang w:val="en-US" w:eastAsia="zh-CN"/>
        </w:rPr>
        <w:t>人员退休及调出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收入包括：本年一般公共预算拨款收入225.05万元；支出包括：一般公共服务支出182.7万元、社会保障和就业支出21.32万元、卫生健康支出6.74万元、住房保障支出14.29万元。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区委编办2024年一般公共预算当年拨款225.05万元，比2023年预算数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19.28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主要原因是</w:t>
      </w:r>
      <w:r>
        <w:rPr>
          <w:rFonts w:hint="eastAsia" w:ascii="Times New Roman" w:hAnsi="Times New Roman" w:eastAsia="仿宋_GB2312" w:cs="Times New Roman"/>
          <w:color w:val="000000"/>
          <w:sz w:val="32"/>
          <w:szCs w:val="32"/>
          <w:lang w:val="en-US" w:eastAsia="zh-CN"/>
        </w:rPr>
        <w:t>人员退休及调出。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一般公共服务支出182.7万元，占81.18%；社会保障和就业支出21.32万元，占9.47%；卫生健康支出6.74万元，占3%；住房保障支出14.29万元，占6.35%。</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一般公共服务（类）党委办公厅（室）及相关机构事务（款）行政运行（项）</w:t>
      </w:r>
      <w:r>
        <w:rPr>
          <w:rFonts w:hint="eastAsia" w:ascii="仿宋_GB2312" w:hAnsi="仿宋_GB2312" w:eastAsia="仿宋_GB2312" w:cs="仿宋_GB2312"/>
          <w:sz w:val="32"/>
          <w:szCs w:val="32"/>
          <w:lang w:val="en-US" w:eastAsia="zh-CN"/>
        </w:rPr>
        <w:t>2024年预算数为144.5万元，主要用于：</w:t>
      </w:r>
      <w:r>
        <w:rPr>
          <w:rFonts w:hint="default" w:ascii="Times New Roman" w:hAnsi="Times New Roman" w:eastAsia="仿宋_GB2312" w:cs="Times New Roman"/>
          <w:b w:val="0"/>
          <w:bCs w:val="0"/>
          <w:color w:val="000000"/>
          <w:sz w:val="32"/>
          <w:szCs w:val="32"/>
          <w:highlight w:val="none"/>
          <w:lang w:val="en-US" w:eastAsia="zh-CN"/>
        </w:rPr>
        <w:t>编办及参公管理事业单位和其他事业单位正常运转的基本支出，包括基本工资、津贴补贴等人员经费以及办公费、印刷费、差旅费、邮电费等日常公用经费</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保障部门正常运转。</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一般公共服务（类）党委办公厅（室）及相关机构事务（款）</w:t>
      </w:r>
      <w:r>
        <w:rPr>
          <w:rFonts w:hint="eastAsia" w:ascii="Times New Roman" w:hAnsi="Times New Roman" w:eastAsia="仿宋_GB2312" w:cs="Times New Roman"/>
          <w:b w:val="0"/>
          <w:bCs w:val="0"/>
          <w:kern w:val="2"/>
          <w:sz w:val="32"/>
          <w:szCs w:val="32"/>
          <w:lang w:val="en-US" w:eastAsia="zh-CN" w:bidi="ar-SA"/>
        </w:rPr>
        <w:t>一般行政管理事务</w:t>
      </w:r>
      <w:r>
        <w:rPr>
          <w:rFonts w:hint="default" w:ascii="Times New Roman" w:hAnsi="Times New Roman" w:eastAsia="仿宋_GB2312" w:cs="Times New Roman"/>
          <w:b w:val="0"/>
          <w:bCs w:val="0"/>
          <w:kern w:val="2"/>
          <w:sz w:val="32"/>
          <w:szCs w:val="32"/>
          <w:lang w:val="en-US" w:eastAsia="zh-CN" w:bidi="ar-SA"/>
        </w:rPr>
        <w:t>（项）</w:t>
      </w:r>
      <w:r>
        <w:rPr>
          <w:rFonts w:hint="eastAsia" w:ascii="仿宋_GB2312" w:hAnsi="仿宋_GB2312" w:eastAsia="仿宋_GB2312" w:cs="仿宋_GB2312"/>
          <w:sz w:val="32"/>
          <w:szCs w:val="32"/>
          <w:lang w:val="en-US" w:eastAsia="zh-CN"/>
        </w:rPr>
        <w:t>2024年预算数为38.2万元，主要用于：</w:t>
      </w:r>
      <w:r>
        <w:rPr>
          <w:rFonts w:hint="default" w:ascii="Times New Roman" w:hAnsi="Times New Roman" w:eastAsia="仿宋_GB2312" w:cs="Times New Roman"/>
          <w:b w:val="0"/>
          <w:bCs w:val="0"/>
          <w:color w:val="000000"/>
          <w:sz w:val="32"/>
          <w:szCs w:val="32"/>
          <w:highlight w:val="none"/>
          <w:lang w:val="en-US" w:eastAsia="zh-CN"/>
        </w:rPr>
        <w:t>编办及参公管理事业单位和其他事业单位</w:t>
      </w:r>
      <w:r>
        <w:rPr>
          <w:rFonts w:hint="eastAsia" w:ascii="Times New Roman" w:hAnsi="Times New Roman" w:eastAsia="仿宋_GB2312" w:cs="Times New Roman"/>
          <w:b w:val="0"/>
          <w:bCs w:val="0"/>
          <w:color w:val="000000"/>
          <w:sz w:val="32"/>
          <w:szCs w:val="32"/>
          <w:highlight w:val="none"/>
          <w:lang w:val="en-US" w:eastAsia="zh-CN"/>
        </w:rPr>
        <w:t>未单独设置项级科目</w:t>
      </w:r>
      <w:r>
        <w:rPr>
          <w:rFonts w:hint="eastAsia" w:ascii="Times New Roman" w:hAnsi="Times New Roman" w:eastAsia="仿宋_GB2312" w:cs="Times New Roman"/>
          <w:b w:val="0"/>
          <w:bCs w:val="0"/>
          <w:color w:val="auto"/>
          <w:kern w:val="2"/>
          <w:sz w:val="32"/>
          <w:szCs w:val="32"/>
          <w:lang w:val="en-US" w:eastAsia="zh-CN" w:bidi="ar-SA"/>
        </w:rPr>
        <w:t>的其他项目支出。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3.社会保障和就业（类）行政事业单位养老支出（款）行政单位离退休（项）2024年预算数2万元，主要用于：机关及参公管理事业单位离退休人员经费支出。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4.社会保障和就业（类）行政事业单位养老支出（款）机关事业单位基本养老保险缴费支出（项）2024年预算数为19.05万元，主要用于：实施养老保险制度由单位缴纳的基本养老</w:t>
      </w:r>
      <w:r>
        <w:rPr>
          <w:rFonts w:hint="eastAsia" w:ascii="仿宋_GB2312" w:hAnsi="仿宋_GB2312" w:eastAsia="仿宋_GB2312" w:cs="仿宋_GB2312"/>
          <w:sz w:val="32"/>
          <w:szCs w:val="32"/>
          <w:lang w:val="en-US" w:eastAsia="zh-CN"/>
        </w:rPr>
        <w:t>保险支出。</w:t>
      </w:r>
    </w:p>
    <w:p>
      <w:pPr>
        <w:pStyle w:val="5"/>
        <w:ind w:firstLine="640" w:firstLineChars="200"/>
        <w:rPr>
          <w:rFonts w:hint="eastAsia"/>
        </w:rPr>
      </w:pPr>
      <w:r>
        <w:rPr>
          <w:rFonts w:hint="eastAsia" w:ascii="Times New Roman" w:hAnsi="Times New Roman" w:eastAsia="仿宋_GB2312" w:cs="Times New Roman"/>
          <w:b w:val="0"/>
          <w:bCs w:val="0"/>
          <w:color w:val="auto"/>
          <w:kern w:val="2"/>
          <w:sz w:val="32"/>
          <w:szCs w:val="32"/>
          <w:lang w:val="en-US" w:eastAsia="zh-CN" w:bidi="ar-SA"/>
        </w:rPr>
        <w:t>5.社会保障和就业（类）其他社会保障和就业支出（款）其他社会保障和就业支出（项）2024年预算数为0.27万元，主要用于其他社会保障和就业方面的支出。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6.卫生健康（类）行政事业单位医疗（款）行政单位医疗（项）2024年预算数为5.21万元，主要用于：机关及参公管理事业单位按规定由单位缴纳的基本医疗保险支出。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7.卫生健康（类）行政事业单位医疗（款）事业单位医疗（项）2024年预算数为1.53万元，主要用于：事业单位按规定由单位缴纳的基本医疗保险支出。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8.住房保障（类）住房改革支出（款）住房公积金（项）2024年预算数为14.29万元，主要用于：部门按规定为职工缴纳的住房公积金支出。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区委编办2024年一般公共预算基本支出186.85万元，其中：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人员经费162.45万元，主要包括：基本工资、津贴补贴、奖金、社会保险缴费、住房公积金等支出。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公用经费24.4万元，主要包括：办公费、会议费、公务接待费、工会经费、其他交通费用等支出。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区委编办2024年“三公”经费财政拨款预算数1万元，其中：公务接待费1万元，公务用车购置及运行维护费0万元，因公出国（境）经费0万元。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区委编办无公务用车，2024年未安排公务用车购置费及运行维护费，与2023年预算相比持平。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区委编办2024年无政府性基金预算拨款安排的支出。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区委编办2024年无国有资本经营预算拨款安排的支出。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2024年，区委编办1家参公管理事业单位的机关运行经费财政拨款预算为24.4万元，比2023年预算减少2.64万元，下降9.76%。主要原因人员调出。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2024年，区委编办未安排政府采购预算。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年底，区委编办共有车辆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2024年区委编办开展绩效目标管理的项目8个，涉及预算62.6万元。其中：人员类项目3个，涉及预算24.4万元；运转类项目5个，涉及预算38.2万元。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w:t>
      </w:r>
      <w:r>
        <w:rPr>
          <w:rFonts w:hint="default" w:ascii="Times New Roman" w:hAnsi="Times New Roman" w:eastAsia="仿宋_GB2312" w:cs="Times New Roman"/>
          <w:b w:val="0"/>
          <w:bCs w:val="0"/>
          <w:color w:val="000000"/>
          <w:sz w:val="32"/>
          <w:szCs w:val="32"/>
          <w:highlight w:val="none"/>
          <w:lang w:val="en-US" w:eastAsia="zh-CN"/>
        </w:rPr>
        <w:t>一般公共服务（类）党委办公厅（室）及相关机构事务（款）行政运行（项）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A5915"/>
    <w:multiLevelType w:val="singleLevel"/>
    <w:tmpl w:val="B32A5915"/>
    <w:lvl w:ilvl="0" w:tentative="0">
      <w:start w:val="3"/>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zA3ODczZTMyNTE1MjljZDY4N2YxOTA4NDY2OTMifQ=="/>
  </w:docVars>
  <w:rsids>
    <w:rsidRoot w:val="00000000"/>
    <w:rsid w:val="012352D1"/>
    <w:rsid w:val="0219117B"/>
    <w:rsid w:val="0312605F"/>
    <w:rsid w:val="183879D7"/>
    <w:rsid w:val="1F7BF06F"/>
    <w:rsid w:val="1FEE4B73"/>
    <w:rsid w:val="23CE9849"/>
    <w:rsid w:val="2D080DB4"/>
    <w:rsid w:val="2F962D6F"/>
    <w:rsid w:val="35F638E3"/>
    <w:rsid w:val="39C40336"/>
    <w:rsid w:val="39F304DD"/>
    <w:rsid w:val="3C510C5D"/>
    <w:rsid w:val="3DD26234"/>
    <w:rsid w:val="3E2822F7"/>
    <w:rsid w:val="430159F8"/>
    <w:rsid w:val="51FF7534"/>
    <w:rsid w:val="54244390"/>
    <w:rsid w:val="54662A63"/>
    <w:rsid w:val="58064E12"/>
    <w:rsid w:val="588E2AA9"/>
    <w:rsid w:val="58971702"/>
    <w:rsid w:val="5BFEE015"/>
    <w:rsid w:val="61493688"/>
    <w:rsid w:val="63EDCF55"/>
    <w:rsid w:val="63FBFBCF"/>
    <w:rsid w:val="669360FD"/>
    <w:rsid w:val="68FF6A83"/>
    <w:rsid w:val="693B0CE0"/>
    <w:rsid w:val="69FE6621"/>
    <w:rsid w:val="6FBBC9CF"/>
    <w:rsid w:val="726B6B24"/>
    <w:rsid w:val="72BDE561"/>
    <w:rsid w:val="78462278"/>
    <w:rsid w:val="7997EA6C"/>
    <w:rsid w:val="7AEAE675"/>
    <w:rsid w:val="7BAFCE5D"/>
    <w:rsid w:val="7C523723"/>
    <w:rsid w:val="7D46598C"/>
    <w:rsid w:val="7DFB240B"/>
    <w:rsid w:val="7E0935ED"/>
    <w:rsid w:val="7FA74AB5"/>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character" w:customStyle="1" w:styleId="15">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2024-04-01T07:41:00Z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57E48C7CCCC6488EAEB0F69D34BFCB15_13</vt:lpwstr>
  </property>
</Properties>
</file>