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9C45B8">
      <w:pPr>
        <w:spacing w:line="600" w:lineRule="exact"/>
        <w:jc w:val="center"/>
        <w:outlineLvl w:val="0"/>
        <w:rPr>
          <w:rFonts w:hint="default" w:ascii="方正小标宋简体" w:hAnsi="宋体" w:eastAsia="方正小标宋简体"/>
          <w:color w:val="auto"/>
          <w:sz w:val="72"/>
          <w:szCs w:val="72"/>
          <w:highlight w:val="none"/>
          <w:lang w:val="en-US" w:eastAsia="zh-CN"/>
        </w:rPr>
      </w:pPr>
      <w:bookmarkStart w:id="0" w:name="_Toc15306267"/>
    </w:p>
    <w:p w14:paraId="0433E033">
      <w:pPr>
        <w:spacing w:line="600" w:lineRule="exact"/>
        <w:jc w:val="center"/>
        <w:outlineLvl w:val="0"/>
        <w:rPr>
          <w:rFonts w:ascii="方正小标宋简体" w:hAnsi="宋体" w:eastAsia="方正小标宋简体"/>
          <w:color w:val="auto"/>
          <w:sz w:val="72"/>
          <w:szCs w:val="72"/>
          <w:highlight w:val="none"/>
        </w:rPr>
      </w:pPr>
    </w:p>
    <w:p w14:paraId="0A37F0CF">
      <w:pPr>
        <w:spacing w:line="600" w:lineRule="exact"/>
        <w:jc w:val="center"/>
        <w:outlineLvl w:val="0"/>
        <w:rPr>
          <w:rFonts w:ascii="方正小标宋简体" w:hAnsi="宋体" w:eastAsia="方正小标宋简体"/>
          <w:color w:val="auto"/>
          <w:sz w:val="72"/>
          <w:szCs w:val="72"/>
          <w:highlight w:val="none"/>
        </w:rPr>
      </w:pPr>
    </w:p>
    <w:p w14:paraId="6D4371C4">
      <w:pPr>
        <w:spacing w:line="600" w:lineRule="exact"/>
        <w:jc w:val="center"/>
        <w:outlineLvl w:val="0"/>
        <w:rPr>
          <w:rFonts w:ascii="方正小标宋简体" w:hAnsi="宋体" w:eastAsia="方正小标宋简体"/>
          <w:color w:val="auto"/>
          <w:sz w:val="72"/>
          <w:szCs w:val="72"/>
          <w:highlight w:val="none"/>
        </w:rPr>
      </w:pPr>
    </w:p>
    <w:p w14:paraId="77B04335">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1" w:name="_Toc15377193"/>
      <w:bookmarkStart w:id="2" w:name="_Toc15396475"/>
      <w:bookmarkStart w:id="3" w:name="_Toc15378441"/>
      <w:bookmarkStart w:id="4" w:name="_Toc15396597"/>
      <w:bookmarkStart w:id="5" w:name="_Toc15377425"/>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bookmarkEnd w:id="0"/>
    <w:p w14:paraId="2FB96730">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15306268"/>
      <w:bookmarkStart w:id="7" w:name="_Toc15396476"/>
      <w:bookmarkStart w:id="8" w:name="_Toc15377194"/>
      <w:bookmarkStart w:id="9" w:name="_Toc15378442"/>
      <w:bookmarkStart w:id="10" w:name="_Toc15396598"/>
      <w:bookmarkStart w:id="11" w:name="_Toc15377426"/>
      <w:r>
        <w:rPr>
          <w:rFonts w:hint="eastAsia" w:ascii="方正小标宋简体" w:hAnsi="方正小标宋简体" w:eastAsia="方正小标宋简体" w:cs="方正小标宋简体"/>
          <w:color w:val="auto"/>
          <w:sz w:val="58"/>
          <w:szCs w:val="58"/>
          <w:highlight w:val="none"/>
        </w:rPr>
        <w:t>四川省</w:t>
      </w:r>
      <w:r>
        <w:rPr>
          <w:rFonts w:hint="eastAsia" w:ascii="方正小标宋简体" w:hAnsi="方正小标宋简体" w:eastAsia="方正小标宋简体" w:cs="方正小标宋简体"/>
          <w:color w:val="auto"/>
          <w:sz w:val="58"/>
          <w:szCs w:val="58"/>
          <w:highlight w:val="none"/>
          <w:lang w:val="en-US" w:eastAsia="zh-CN"/>
        </w:rPr>
        <w:t>广元市昭化区融媒体中心</w:t>
      </w:r>
      <w:r>
        <w:rPr>
          <w:rFonts w:hint="eastAsia" w:ascii="方正小标宋简体" w:hAnsi="方正小标宋简体" w:eastAsia="方正小标宋简体" w:cs="方正小标宋简体"/>
          <w:color w:val="auto"/>
          <w:sz w:val="72"/>
          <w:szCs w:val="72"/>
          <w:highlight w:val="none"/>
          <w:lang w:val="en-US" w:eastAsia="zh-CN"/>
        </w:rPr>
        <w:t>部门</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p>
    <w:p w14:paraId="45692166">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3B96748C">
      <w:pPr>
        <w:pStyle w:val="12"/>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27</w:t>
      </w:r>
      <w:r>
        <w:rPr>
          <w:rFonts w:hint="eastAsia"/>
          <w:color w:val="auto"/>
          <w:highlight w:val="none"/>
        </w:rPr>
        <w:t>日</w:t>
      </w:r>
    </w:p>
    <w:p w14:paraId="1191185D">
      <w:pPr>
        <w:rPr>
          <w:color w:val="auto"/>
          <w:highlight w:val="none"/>
        </w:rPr>
      </w:pPr>
    </w:p>
    <w:p w14:paraId="63BF724D">
      <w:pPr>
        <w:pStyle w:val="12"/>
        <w:adjustRightInd w:val="0"/>
        <w:snapToGrid w:val="0"/>
        <w:spacing w:before="0" w:line="440" w:lineRule="exact"/>
        <w:jc w:val="left"/>
        <w:rPr>
          <w:rFonts w:cstheme="minorBidi"/>
          <w:color w:val="auto"/>
          <w:sz w:val="24"/>
          <w:szCs w:val="24"/>
          <w:highlight w:val="none"/>
        </w:rPr>
      </w:pPr>
      <w:r>
        <w:rPr>
          <w:rFonts w:hint="eastAsia"/>
          <w:color w:val="auto"/>
          <w:sz w:val="24"/>
          <w:highlight w:val="none"/>
        </w:rPr>
        <w:t>第一部分</w:t>
      </w:r>
      <w:r>
        <w:rPr>
          <w:color w:val="auto"/>
          <w:sz w:val="24"/>
          <w:highlight w:val="none"/>
        </w:rPr>
        <w:t xml:space="preserve"> </w:t>
      </w:r>
      <w:r>
        <w:rPr>
          <w:rFonts w:hint="eastAsia"/>
          <w:color w:val="auto"/>
          <w:sz w:val="24"/>
          <w:highlight w:val="none"/>
          <w:lang w:val="en-US" w:eastAsia="zh-CN"/>
        </w:rPr>
        <w:t>部门</w:t>
      </w:r>
      <w:r>
        <w:rPr>
          <w:rFonts w:hint="eastAsia"/>
          <w:color w:val="auto"/>
          <w:sz w:val="24"/>
          <w:highlight w:val="none"/>
        </w:rPr>
        <w:t>概况</w:t>
      </w:r>
    </w:p>
    <w:p w14:paraId="7B24B505">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eastAsia="宋体"/>
          <w:color w:val="auto"/>
          <w:sz w:val="24"/>
          <w:highlight w:val="none"/>
          <w:lang w:val="en-US" w:eastAsia="zh-CN"/>
        </w:rPr>
      </w:pPr>
      <w:r>
        <w:rPr>
          <w:rFonts w:hint="eastAsia"/>
          <w:color w:val="auto"/>
          <w:sz w:val="24"/>
          <w:highlight w:val="none"/>
        </w:rPr>
        <w:t>一、</w:t>
      </w:r>
      <w:r>
        <w:rPr>
          <w:rFonts w:hint="eastAsia"/>
          <w:color w:val="auto"/>
          <w:sz w:val="24"/>
          <w:highlight w:val="none"/>
          <w:lang w:val="en-US" w:eastAsia="zh-CN"/>
        </w:rPr>
        <w:t>部门职责</w:t>
      </w:r>
      <w:r>
        <w:rPr>
          <w:rFonts w:hint="eastAsia"/>
          <w:sz w:val="24"/>
          <w:lang w:val="en-US" w:eastAsia="zh-CN"/>
        </w:rPr>
        <w:t>.................................................................................... ...................4</w:t>
      </w:r>
    </w:p>
    <w:p w14:paraId="59CEC2E0">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eastAsia="zh-CN"/>
        </w:rPr>
        <w:t>二、</w:t>
      </w:r>
      <w:r>
        <w:rPr>
          <w:rFonts w:hint="eastAsia" w:asciiTheme="minorEastAsia" w:hAnsiTheme="minorEastAsia" w:eastAsiaTheme="minorEastAsia" w:cstheme="minorEastAsia"/>
          <w:color w:val="auto"/>
          <w:sz w:val="24"/>
          <w:highlight w:val="none"/>
          <w:lang w:val="en-US" w:eastAsia="zh-CN"/>
        </w:rPr>
        <w:t>机构设置</w:t>
      </w:r>
      <w:r>
        <w:rPr>
          <w:rFonts w:hint="eastAsia"/>
          <w:sz w:val="24"/>
          <w:lang w:val="en-US" w:eastAsia="zh-CN"/>
        </w:rPr>
        <w:t>........................................................................................................4</w:t>
      </w:r>
    </w:p>
    <w:p w14:paraId="21FB5665">
      <w:pPr>
        <w:pStyle w:val="12"/>
        <w:keepNext w:val="0"/>
        <w:keepLines w:val="0"/>
        <w:pageBreakBefore w:val="0"/>
        <w:kinsoku/>
        <w:wordWrap/>
        <w:overflowPunct/>
        <w:topLinePunct w:val="0"/>
        <w:bidi w:val="0"/>
        <w:adjustRightInd w:val="0"/>
        <w:snapToGrid w:val="0"/>
        <w:spacing w:before="0" w:line="560" w:lineRule="exact"/>
        <w:jc w:val="left"/>
        <w:textAlignment w:val="auto"/>
        <w:rPr>
          <w:color w:val="auto"/>
          <w:sz w:val="24"/>
          <w:szCs w:val="24"/>
          <w:highlight w:val="none"/>
        </w:rPr>
      </w:pPr>
      <w:r>
        <w:rPr>
          <w:rFonts w:hint="eastAsia"/>
          <w:color w:val="auto"/>
          <w:sz w:val="24"/>
          <w:highlight w:val="none"/>
        </w:rPr>
        <w:t>第二部分</w:t>
      </w:r>
      <w:r>
        <w:rPr>
          <w:rFonts w:hint="eastAsia"/>
          <w:color w:val="auto"/>
          <w:sz w:val="24"/>
          <w:highlight w:val="none"/>
          <w:lang w:val="en-US" w:eastAsia="zh-CN"/>
        </w:rPr>
        <w:t xml:space="preserve"> 2022年度部门</w:t>
      </w:r>
      <w:r>
        <w:rPr>
          <w:rFonts w:hint="eastAsia"/>
          <w:color w:val="auto"/>
          <w:sz w:val="24"/>
          <w:highlight w:val="none"/>
        </w:rPr>
        <w:t>决算情况说明</w:t>
      </w:r>
    </w:p>
    <w:p w14:paraId="15F421B3">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一、收入支出决算总体情况说明</w:t>
      </w:r>
      <w:r>
        <w:rPr>
          <w:rFonts w:hint="eastAsia"/>
          <w:sz w:val="24"/>
          <w:lang w:val="en-US" w:eastAsia="zh-CN"/>
        </w:rPr>
        <w:t>........................................................................5</w:t>
      </w:r>
    </w:p>
    <w:p w14:paraId="44B0BEF0">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二、收入决算情况说明</w:t>
      </w:r>
      <w:r>
        <w:rPr>
          <w:rFonts w:hint="eastAsia"/>
          <w:sz w:val="24"/>
          <w:lang w:val="en-US" w:eastAsia="zh-CN"/>
        </w:rPr>
        <w:t>.........................................................................................5</w:t>
      </w:r>
    </w:p>
    <w:p w14:paraId="152D83D9">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三、支出决算情况说明</w:t>
      </w:r>
      <w:r>
        <w:rPr>
          <w:rFonts w:hint="eastAsia"/>
          <w:sz w:val="24"/>
          <w:lang w:val="en-US" w:eastAsia="zh-CN"/>
        </w:rPr>
        <w:t>.........................................................................................6</w:t>
      </w:r>
    </w:p>
    <w:p w14:paraId="12251569">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四、财政拨款收入支出决算总体情况说明</w:t>
      </w:r>
      <w:r>
        <w:rPr>
          <w:rFonts w:hint="eastAsia"/>
          <w:sz w:val="24"/>
          <w:lang w:val="en-US" w:eastAsia="zh-CN"/>
        </w:rPr>
        <w:t>..........................................................7</w:t>
      </w:r>
    </w:p>
    <w:p w14:paraId="313E231D">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五、一般公共预算财政拨款支出决算情况说明</w:t>
      </w:r>
      <w:r>
        <w:rPr>
          <w:rFonts w:hint="eastAsia"/>
          <w:sz w:val="24"/>
          <w:lang w:val="en-US" w:eastAsia="zh-CN"/>
        </w:rPr>
        <w:t>...................................................7</w:t>
      </w:r>
    </w:p>
    <w:p w14:paraId="3BDAC6D3">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六、一般公共预算财政拨款基本支出决算情况说明</w:t>
      </w:r>
      <w:r>
        <w:rPr>
          <w:rFonts w:hint="eastAsia"/>
          <w:sz w:val="24"/>
          <w:lang w:val="en-US" w:eastAsia="zh-CN"/>
        </w:rPr>
        <w:t>...........................................9</w:t>
      </w:r>
    </w:p>
    <w:p w14:paraId="56ADD4CB">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r>
        <w:rPr>
          <w:rFonts w:hint="eastAsia"/>
          <w:sz w:val="24"/>
          <w:lang w:val="en-US" w:eastAsia="zh-CN"/>
        </w:rPr>
        <w:t>..................................................9</w:t>
      </w:r>
    </w:p>
    <w:p w14:paraId="77CB714C">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八、政府性基金预算支出决算情况说明</w:t>
      </w:r>
      <w:r>
        <w:rPr>
          <w:rFonts w:hint="eastAsia"/>
          <w:sz w:val="24"/>
          <w:lang w:val="en-US" w:eastAsia="zh-CN"/>
        </w:rPr>
        <w:t>.............................................................11</w:t>
      </w:r>
    </w:p>
    <w:p w14:paraId="03C0A124">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color w:val="auto"/>
          <w:sz w:val="24"/>
          <w:highlight w:val="none"/>
          <w:lang w:val="en-US"/>
        </w:rPr>
      </w:pPr>
      <w:r>
        <w:rPr>
          <w:rFonts w:hint="eastAsia"/>
          <w:color w:val="auto"/>
          <w:sz w:val="24"/>
          <w:highlight w:val="none"/>
        </w:rPr>
        <w:t>九、国有资本经营预算支出决算情况说明</w:t>
      </w:r>
      <w:r>
        <w:rPr>
          <w:rFonts w:hint="eastAsia"/>
          <w:sz w:val="24"/>
          <w:lang w:val="en-US" w:eastAsia="zh-CN"/>
        </w:rPr>
        <w:t>........................................................11</w:t>
      </w:r>
    </w:p>
    <w:p w14:paraId="216C1C31">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Times New Roman" w:hAnsi="Times New Roman" w:cs="Times New Roman"/>
          <w:color w:val="auto"/>
          <w:sz w:val="24"/>
          <w:highlight w:val="none"/>
          <w:lang w:val="en-US" w:eastAsia="zh-CN"/>
        </w:rPr>
      </w:pPr>
      <w:r>
        <w:rPr>
          <w:rFonts w:hint="eastAsia"/>
          <w:color w:val="auto"/>
          <w:sz w:val="24"/>
          <w:highlight w:val="none"/>
        </w:rPr>
        <w:t>十</w:t>
      </w:r>
      <w:r>
        <w:rPr>
          <w:rFonts w:hint="eastAsia" w:ascii="Times New Roman" w:hAnsi="Times New Roman" w:cs="Times New Roman"/>
          <w:color w:val="auto"/>
          <w:sz w:val="24"/>
          <w:highlight w:val="none"/>
          <w:lang w:eastAsia="zh-CN"/>
        </w:rPr>
        <w:t>、其他重要事项的情况说明</w:t>
      </w:r>
      <w:r>
        <w:rPr>
          <w:rFonts w:hint="eastAsia" w:ascii="Times New Roman" w:hAnsi="Times New Roman" w:cs="Times New Roman"/>
          <w:color w:val="auto"/>
          <w:sz w:val="24"/>
          <w:highlight w:val="none"/>
          <w:lang w:val="en-US" w:eastAsia="zh-CN"/>
        </w:rPr>
        <w:t>.............................................................</w:t>
      </w:r>
      <w:r>
        <w:rPr>
          <w:rFonts w:hint="eastAsia"/>
          <w:sz w:val="24"/>
          <w:lang w:val="en-US" w:eastAsia="zh-CN"/>
        </w:rPr>
        <w:t>.</w:t>
      </w:r>
      <w:r>
        <w:rPr>
          <w:rFonts w:hint="eastAsia" w:ascii="Times New Roman" w:hAnsi="Times New Roman" w:cs="Times New Roman"/>
          <w:color w:val="auto"/>
          <w:sz w:val="24"/>
          <w:highlight w:val="none"/>
          <w:lang w:val="en-US" w:eastAsia="zh-CN"/>
        </w:rPr>
        <w:t>...............12</w:t>
      </w:r>
    </w:p>
    <w:p w14:paraId="02F6CD63">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（一）机关运行经费支出情况</w:t>
      </w:r>
      <w:r>
        <w:rPr>
          <w:rFonts w:hint="eastAsia" w:ascii="Times New Roman" w:hAnsi="Times New Roman" w:cs="Times New Roman"/>
          <w:color w:val="auto"/>
          <w:sz w:val="24"/>
          <w:highlight w:val="none"/>
          <w:lang w:val="en-US" w:eastAsia="zh-CN"/>
        </w:rPr>
        <w:t>..........................................................</w:t>
      </w:r>
      <w:r>
        <w:rPr>
          <w:rFonts w:hint="eastAsia"/>
          <w:sz w:val="24"/>
          <w:lang w:val="en-US" w:eastAsia="zh-CN"/>
        </w:rPr>
        <w:t>..</w:t>
      </w:r>
      <w:r>
        <w:rPr>
          <w:rFonts w:hint="eastAsia" w:ascii="Times New Roman" w:hAnsi="Times New Roman" w:cs="Times New Roman"/>
          <w:color w:val="auto"/>
          <w:sz w:val="24"/>
          <w:highlight w:val="none"/>
          <w:lang w:val="en-US" w:eastAsia="zh-CN"/>
        </w:rPr>
        <w:t>.................12</w:t>
      </w:r>
    </w:p>
    <w:p w14:paraId="1F52E647">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（二）政府采购支出情况</w:t>
      </w:r>
      <w:r>
        <w:rPr>
          <w:rFonts w:hint="eastAsia" w:ascii="Times New Roman" w:hAnsi="Times New Roman" w:cs="Times New Roman"/>
          <w:color w:val="auto"/>
          <w:sz w:val="24"/>
          <w:highlight w:val="none"/>
          <w:lang w:val="en-US" w:eastAsia="zh-CN"/>
        </w:rPr>
        <w:t>.............................................................</w:t>
      </w:r>
      <w:r>
        <w:rPr>
          <w:rFonts w:hint="eastAsia"/>
          <w:sz w:val="24"/>
          <w:lang w:val="en-US" w:eastAsia="zh-CN"/>
        </w:rPr>
        <w:t>..</w:t>
      </w:r>
      <w:r>
        <w:rPr>
          <w:rFonts w:hint="eastAsia" w:ascii="Times New Roman" w:hAnsi="Times New Roman" w:cs="Times New Roman"/>
          <w:color w:val="auto"/>
          <w:sz w:val="24"/>
          <w:highlight w:val="none"/>
          <w:lang w:val="en-US" w:eastAsia="zh-CN"/>
        </w:rPr>
        <w:t>......................12</w:t>
      </w:r>
    </w:p>
    <w:p w14:paraId="3891FC8D">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（三）国有资产占有使用情况</w:t>
      </w:r>
      <w:r>
        <w:rPr>
          <w:rFonts w:hint="eastAsia" w:ascii="Times New Roman" w:hAnsi="Times New Roman" w:cs="Times New Roman"/>
          <w:color w:val="auto"/>
          <w:sz w:val="24"/>
          <w:highlight w:val="none"/>
          <w:lang w:val="en-US" w:eastAsia="zh-CN"/>
        </w:rPr>
        <w:t>.................................................</w:t>
      </w:r>
      <w:r>
        <w:rPr>
          <w:rFonts w:hint="eastAsia"/>
          <w:sz w:val="24"/>
          <w:lang w:val="en-US" w:eastAsia="zh-CN"/>
        </w:rPr>
        <w:t>..</w:t>
      </w:r>
      <w:r>
        <w:rPr>
          <w:rFonts w:hint="eastAsia" w:ascii="Times New Roman" w:hAnsi="Times New Roman" w:cs="Times New Roman"/>
          <w:color w:val="auto"/>
          <w:sz w:val="24"/>
          <w:highlight w:val="none"/>
          <w:lang w:val="en-US" w:eastAsia="zh-CN"/>
        </w:rPr>
        <w:t>..........................12</w:t>
      </w:r>
    </w:p>
    <w:p w14:paraId="0C91CB00">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仿宋" w:hAnsi="仿宋" w:eastAsia="仿宋"/>
          <w:b/>
          <w:color w:val="auto"/>
          <w:sz w:val="24"/>
          <w:szCs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四</w:t>
      </w:r>
      <w:r>
        <w:rPr>
          <w:rFonts w:hint="eastAsia" w:ascii="Times New Roman" w:hAnsi="Times New Roman" w:cs="Times New Roman"/>
          <w:color w:val="auto"/>
          <w:sz w:val="24"/>
          <w:highlight w:val="none"/>
          <w:lang w:eastAsia="zh-CN"/>
        </w:rPr>
        <w:t>）预算绩效管理情况</w:t>
      </w:r>
      <w:r>
        <w:rPr>
          <w:rFonts w:hint="eastAsia" w:ascii="Times New Roman" w:hAnsi="Times New Roman" w:cs="Times New Roman"/>
          <w:color w:val="auto"/>
          <w:sz w:val="24"/>
          <w:highlight w:val="none"/>
          <w:lang w:val="en-US" w:eastAsia="zh-CN"/>
        </w:rPr>
        <w:t>...........</w:t>
      </w:r>
      <w:r>
        <w:rPr>
          <w:rFonts w:hint="eastAsia"/>
          <w:sz w:val="24"/>
          <w:lang w:val="en-US" w:eastAsia="zh-CN"/>
        </w:rPr>
        <w:t>..........................................................................12</w:t>
      </w:r>
    </w:p>
    <w:p w14:paraId="3512C95A">
      <w:pPr>
        <w:pStyle w:val="12"/>
        <w:keepNext w:val="0"/>
        <w:keepLines w:val="0"/>
        <w:pageBreakBefore w:val="0"/>
        <w:kinsoku/>
        <w:wordWrap/>
        <w:overflowPunct/>
        <w:topLinePunct w:val="0"/>
        <w:bidi w:val="0"/>
        <w:adjustRightInd w:val="0"/>
        <w:snapToGrid w:val="0"/>
        <w:spacing w:before="0" w:line="560" w:lineRule="exact"/>
        <w:jc w:val="left"/>
        <w:textAlignment w:val="auto"/>
        <w:rPr>
          <w:rFonts w:hint="default" w:cstheme="minorBidi"/>
          <w:color w:val="auto"/>
          <w:sz w:val="24"/>
          <w:szCs w:val="24"/>
          <w:highlight w:val="none"/>
          <w:lang w:val="en-US"/>
        </w:rPr>
      </w:pPr>
      <w:r>
        <w:rPr>
          <w:rFonts w:hint="eastAsia"/>
          <w:color w:val="auto"/>
          <w:sz w:val="24"/>
          <w:highlight w:val="none"/>
        </w:rPr>
        <w:t>第三部分</w:t>
      </w:r>
      <w:r>
        <w:rPr>
          <w:color w:val="auto"/>
          <w:sz w:val="24"/>
          <w:highlight w:val="none"/>
        </w:rPr>
        <w:t xml:space="preserve"> </w:t>
      </w:r>
      <w:r>
        <w:rPr>
          <w:rFonts w:hint="eastAsia"/>
          <w:color w:val="auto"/>
          <w:sz w:val="24"/>
          <w:highlight w:val="none"/>
        </w:rPr>
        <w:t>名词解释</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14</w:t>
      </w:r>
    </w:p>
    <w:p w14:paraId="70EB3D02">
      <w:pPr>
        <w:pStyle w:val="12"/>
        <w:keepNext w:val="0"/>
        <w:keepLines w:val="0"/>
        <w:pageBreakBefore w:val="0"/>
        <w:kinsoku/>
        <w:wordWrap/>
        <w:overflowPunct/>
        <w:topLinePunct w:val="0"/>
        <w:bidi w:val="0"/>
        <w:adjustRightInd w:val="0"/>
        <w:snapToGrid w:val="0"/>
        <w:spacing w:before="0" w:line="560" w:lineRule="exact"/>
        <w:jc w:val="left"/>
        <w:textAlignment w:val="auto"/>
        <w:rPr>
          <w:rFonts w:hint="default" w:cstheme="minorBidi"/>
          <w:color w:val="auto"/>
          <w:sz w:val="24"/>
          <w:szCs w:val="24"/>
          <w:highlight w:val="none"/>
          <w:lang w:val="en-US"/>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16</w:t>
      </w:r>
    </w:p>
    <w:p w14:paraId="0EE7F6C7">
      <w:pPr>
        <w:pStyle w:val="12"/>
        <w:keepNext w:val="0"/>
        <w:keepLines w:val="0"/>
        <w:pageBreakBefore w:val="0"/>
        <w:kinsoku/>
        <w:wordWrap/>
        <w:overflowPunct/>
        <w:topLinePunct w:val="0"/>
        <w:bidi w:val="0"/>
        <w:adjustRightInd w:val="0"/>
        <w:snapToGrid w:val="0"/>
        <w:spacing w:before="0" w:line="560" w:lineRule="exact"/>
        <w:jc w:val="left"/>
        <w:textAlignment w:val="auto"/>
        <w:rPr>
          <w:rFonts w:hint="default" w:cstheme="minorBidi"/>
          <w:color w:val="auto"/>
          <w:sz w:val="24"/>
          <w:szCs w:val="24"/>
          <w:highlight w:val="none"/>
          <w:lang w:val="en-US"/>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55</w:t>
      </w:r>
    </w:p>
    <w:p w14:paraId="7E627FF2">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bookmarkStart w:id="12" w:name="_Toc15377196"/>
      <w:bookmarkStart w:id="13" w:name="_Toc15396599"/>
      <w:r>
        <w:rPr>
          <w:rFonts w:hint="eastAsia" w:ascii="仿宋" w:hAnsi="仿宋" w:eastAsia="仿宋"/>
          <w:sz w:val="24"/>
          <w:highlight w:val="none"/>
        </w:rPr>
        <w:t>一、</w:t>
      </w:r>
      <w:r>
        <w:rPr>
          <w:rFonts w:hint="eastAsia"/>
          <w:sz w:val="24"/>
          <w:highlight w:val="none"/>
        </w:rPr>
        <w:t>收入支出决算总表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20A3A661">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二、</w:t>
      </w:r>
      <w:r>
        <w:rPr>
          <w:rFonts w:hint="eastAsia"/>
          <w:sz w:val="24"/>
          <w:highlight w:val="none"/>
        </w:rPr>
        <w:t>收入</w:t>
      </w:r>
      <w:r>
        <w:rPr>
          <w:rFonts w:hint="eastAsia" w:ascii="Times New Roman" w:hAnsi="Times New Roman" w:cs="Times New Roman"/>
          <w:sz w:val="24"/>
          <w:highlight w:val="none"/>
        </w:rPr>
        <w:t>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7F38598C">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三、</w:t>
      </w:r>
      <w:r>
        <w:rPr>
          <w:rFonts w:hint="eastAsia"/>
          <w:sz w:val="24"/>
          <w:highlight w:val="none"/>
        </w:rPr>
        <w:t>支出</w:t>
      </w:r>
      <w:r>
        <w:rPr>
          <w:rFonts w:hint="eastAsia" w:ascii="Times New Roman" w:hAnsi="Times New Roman" w:cs="Times New Roman"/>
          <w:sz w:val="24"/>
          <w:highlight w:val="none"/>
        </w:rPr>
        <w:t>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3A53AFAB">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四、</w:t>
      </w:r>
      <w:r>
        <w:rPr>
          <w:rFonts w:hint="eastAsia"/>
          <w:sz w:val="24"/>
          <w:highlight w:val="none"/>
        </w:rPr>
        <w:t>财政拨款收入支出决算总表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58FA5228">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五、</w:t>
      </w:r>
      <w:r>
        <w:rPr>
          <w:rFonts w:hint="eastAsia" w:ascii="Times New Roman" w:hAnsi="Times New Roman" w:cs="Times New Roman"/>
          <w:sz w:val="24"/>
          <w:highlight w:val="none"/>
        </w:rPr>
        <w:t>财政拨款支出决算明细表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1451FA5A">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六、</w:t>
      </w:r>
      <w:r>
        <w:rPr>
          <w:rFonts w:hint="eastAsia"/>
          <w:sz w:val="24"/>
          <w:highlight w:val="none"/>
        </w:rPr>
        <w:t>一般公共预算财政拨款支出决算表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7B06E45D">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七、</w:t>
      </w:r>
      <w:r>
        <w:rPr>
          <w:rFonts w:hint="eastAsia"/>
          <w:sz w:val="24"/>
          <w:highlight w:val="none"/>
        </w:rPr>
        <w:t>一般公共预算财政拨款支出决算明细表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278191E9">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八、</w:t>
      </w:r>
      <w:r>
        <w:rPr>
          <w:rFonts w:hint="eastAsia"/>
          <w:sz w:val="24"/>
          <w:highlight w:val="none"/>
        </w:rPr>
        <w:t>一般公共预算财政拨款基本支出决算表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346637FA">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九、</w:t>
      </w:r>
      <w:r>
        <w:rPr>
          <w:rFonts w:hint="eastAsia"/>
          <w:sz w:val="24"/>
          <w:highlight w:val="none"/>
        </w:rPr>
        <w:t>一般公共预算财政拨款项目支出决算表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017B7961">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color w:val="auto"/>
          <w:sz w:val="24"/>
          <w:highlight w:val="none"/>
          <w:lang w:val="en-US"/>
        </w:rPr>
      </w:pPr>
      <w:r>
        <w:rPr>
          <w:rFonts w:hint="eastAsia"/>
          <w:color w:val="auto"/>
          <w:sz w:val="24"/>
          <w:highlight w:val="none"/>
        </w:rPr>
        <w:t>十、政府性基金预算财政拨款收入支出决算表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6A244D47">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color w:val="auto"/>
          <w:sz w:val="24"/>
          <w:highlight w:val="none"/>
          <w:lang w:val="en-US"/>
        </w:rPr>
      </w:pPr>
      <w:r>
        <w:rPr>
          <w:rFonts w:hint="eastAsia"/>
          <w:color w:val="auto"/>
          <w:sz w:val="24"/>
          <w:highlight w:val="none"/>
        </w:rPr>
        <w:t>十一、国有资本经营预算财政拨款收入支出决算表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3FE885EB">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color w:val="auto"/>
          <w:sz w:val="24"/>
          <w:highlight w:val="none"/>
          <w:lang w:val="en-US"/>
        </w:rPr>
      </w:pPr>
      <w:r>
        <w:rPr>
          <w:rFonts w:hint="eastAsia"/>
          <w:color w:val="auto"/>
          <w:sz w:val="24"/>
          <w:highlight w:val="none"/>
        </w:rPr>
        <w:t>十二、</w:t>
      </w:r>
      <w:r>
        <w:rPr>
          <w:rFonts w:hint="eastAsia"/>
          <w:color w:val="auto"/>
          <w:sz w:val="24"/>
          <w:highlight w:val="none"/>
          <w:lang w:val="en-US" w:eastAsia="zh-CN"/>
        </w:rPr>
        <w:t>国有资本经营预算财政拨款支出决算表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1F7E8910">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Theme="minorEastAsia" w:hAnsiTheme="minorEastAsia" w:eastAsiaTheme="minorEastAsia" w:cstheme="minorEastAsia"/>
          <w:color w:val="auto"/>
          <w:sz w:val="24"/>
          <w:highlight w:val="none"/>
          <w:lang w:val="en-US" w:eastAsia="zh-CN"/>
        </w:rPr>
      </w:pPr>
      <w:r>
        <w:rPr>
          <w:rFonts w:hint="eastAsia"/>
          <w:color w:val="auto"/>
          <w:sz w:val="24"/>
          <w:highlight w:val="none"/>
        </w:rPr>
        <w:t>十三、财政拨款“三公”经费支出决算表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14:paraId="0D8C4683">
      <w:pPr>
        <w:keepNext w:val="0"/>
        <w:keepLines w:val="0"/>
        <w:pageBreakBefore w:val="0"/>
        <w:widowControl/>
        <w:kinsoku/>
        <w:wordWrap/>
        <w:overflowPunct/>
        <w:topLinePunct w:val="0"/>
        <w:bidi w:val="0"/>
        <w:spacing w:line="560" w:lineRule="exact"/>
        <w:jc w:val="left"/>
        <w:textAlignment w:val="auto"/>
        <w:rPr>
          <w:rFonts w:ascii="仿宋" w:hAnsi="仿宋" w:eastAsia="仿宋"/>
          <w:bCs/>
          <w:color w:val="auto"/>
          <w:kern w:val="44"/>
          <w:sz w:val="24"/>
          <w:highlight w:val="none"/>
        </w:rPr>
      </w:pPr>
      <w:r>
        <w:rPr>
          <w:rFonts w:ascii="仿宋" w:hAnsi="仿宋" w:eastAsia="仿宋"/>
          <w:b/>
          <w:color w:val="auto"/>
          <w:sz w:val="24"/>
          <w:highlight w:val="none"/>
        </w:rPr>
        <w:br w:type="page"/>
      </w:r>
    </w:p>
    <w:p w14:paraId="72423B76">
      <w:pPr>
        <w:pStyle w:val="2"/>
        <w:jc w:val="center"/>
        <w:rPr>
          <w:rStyle w:val="28"/>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val="en-US" w:eastAsia="zh-CN"/>
        </w:rPr>
        <w:t>部门</w:t>
      </w:r>
      <w:r>
        <w:rPr>
          <w:rStyle w:val="28"/>
          <w:rFonts w:hint="eastAsia" w:ascii="黑体" w:hAnsi="黑体" w:eastAsia="黑体"/>
          <w:b w:val="0"/>
          <w:bCs w:val="0"/>
          <w:color w:val="auto"/>
          <w:highlight w:val="none"/>
        </w:rPr>
        <w:t>概况</w:t>
      </w:r>
      <w:bookmarkEnd w:id="12"/>
      <w:bookmarkEnd w:id="13"/>
    </w:p>
    <w:p w14:paraId="2DFB9E73">
      <w:pPr>
        <w:widowControl/>
        <w:jc w:val="left"/>
        <w:rPr>
          <w:rFonts w:ascii="黑体" w:eastAsia="黑体"/>
          <w:color w:val="auto"/>
          <w:sz w:val="32"/>
          <w:szCs w:val="32"/>
          <w:highlight w:val="none"/>
        </w:rPr>
      </w:pPr>
    </w:p>
    <w:p w14:paraId="539619F8">
      <w:pPr>
        <w:pStyle w:val="3"/>
        <w:numPr>
          <w:ilvl w:val="0"/>
          <w:numId w:val="1"/>
        </w:numPr>
        <w:rPr>
          <w:rStyle w:val="29"/>
          <w:rFonts w:hint="eastAsia" w:ascii="黑体" w:hAnsi="黑体" w:eastAsia="黑体"/>
          <w:b w:val="0"/>
          <w:bCs w:val="0"/>
          <w:color w:val="auto"/>
          <w:highlight w:val="none"/>
          <w:lang w:eastAsia="zh-CN"/>
        </w:rPr>
      </w:pPr>
      <w:bookmarkStart w:id="14" w:name="_Toc15377197"/>
      <w:bookmarkStart w:id="15" w:name="_Toc15396600"/>
      <w:r>
        <w:rPr>
          <w:rStyle w:val="29"/>
          <w:rFonts w:hint="eastAsia" w:ascii="黑体" w:hAnsi="黑体" w:eastAsia="黑体"/>
          <w:b w:val="0"/>
          <w:bCs w:val="0"/>
          <w:color w:val="auto"/>
          <w:highlight w:val="none"/>
          <w:lang w:val="en-US" w:eastAsia="zh-CN"/>
        </w:rPr>
        <w:t>部门职责</w:t>
      </w:r>
    </w:p>
    <w:p w14:paraId="3B81B53D">
      <w:pPr>
        <w:pStyle w:val="5"/>
        <w:adjustRightInd w:val="0"/>
        <w:snapToGrid w:val="0"/>
        <w:spacing w:line="600" w:lineRule="exact"/>
        <w:ind w:firstLine="672" w:firstLineChars="210"/>
        <w:rPr>
          <w:rFonts w:hint="eastAsia"/>
          <w:bCs/>
          <w:color w:val="000000"/>
          <w:sz w:val="32"/>
          <w:szCs w:val="32"/>
        </w:rPr>
      </w:pPr>
      <w:r>
        <w:rPr>
          <w:rFonts w:hint="eastAsia"/>
          <w:bCs/>
          <w:color w:val="000000"/>
          <w:sz w:val="32"/>
          <w:szCs w:val="32"/>
          <w:lang w:val="en-US" w:eastAsia="zh-CN"/>
        </w:rPr>
        <w:t>广元市</w:t>
      </w:r>
      <w:r>
        <w:rPr>
          <w:rFonts w:hint="eastAsia"/>
          <w:bCs/>
          <w:color w:val="000000"/>
          <w:sz w:val="32"/>
          <w:szCs w:val="32"/>
        </w:rPr>
        <w:t>昭化</w:t>
      </w:r>
      <w:r>
        <w:rPr>
          <w:rFonts w:hint="eastAsia"/>
          <w:bCs/>
          <w:color w:val="000000"/>
          <w:sz w:val="32"/>
          <w:szCs w:val="32"/>
          <w:lang w:eastAsia="zh-CN"/>
        </w:rPr>
        <w:t>区</w:t>
      </w:r>
      <w:r>
        <w:rPr>
          <w:rFonts w:hint="eastAsia"/>
          <w:bCs/>
          <w:color w:val="000000"/>
          <w:sz w:val="32"/>
          <w:szCs w:val="32"/>
          <w:lang w:val="en-US" w:eastAsia="zh-CN"/>
        </w:rPr>
        <w:t>融媒体中心</w:t>
      </w:r>
      <w:r>
        <w:rPr>
          <w:rFonts w:hint="eastAsia"/>
          <w:bCs/>
          <w:color w:val="000000"/>
          <w:sz w:val="32"/>
          <w:szCs w:val="32"/>
        </w:rPr>
        <w:t>主要负责新闻、广告、广播技术服务、电视节目播映、转播等工作。负责全区广播电视宣传工作，坚持正确的舆论导向，拟定宣传要点；办好昭化地方特色的新闻节目和其他综合性节目，创办精品栏目，提高节目质量，加大对外宣传力度，严格宣传新闻纪律；负责自办节目的策划、采制、审查、包装及播出编排和管理工作，负责电视节目交流；加大对乡镇广播电视宣传工作的指导和播放质量的监督力度。</w:t>
      </w:r>
    </w:p>
    <w:p w14:paraId="3CD61422">
      <w:pPr>
        <w:pStyle w:val="3"/>
        <w:numPr>
          <w:ilvl w:val="0"/>
          <w:numId w:val="0"/>
        </w:numPr>
        <w:rPr>
          <w:rFonts w:hint="eastAsia" w:ascii="黑体" w:hAnsi="黑体" w:eastAsia="黑体"/>
          <w:b w:val="0"/>
          <w:color w:val="auto"/>
          <w:highlight w:val="none"/>
        </w:rPr>
      </w:pPr>
      <w:r>
        <w:rPr>
          <w:rFonts w:hint="eastAsia" w:ascii="黑体" w:hAnsi="黑体" w:eastAsia="黑体"/>
          <w:b w:val="0"/>
          <w:color w:val="auto"/>
          <w:highlight w:val="none"/>
          <w:lang w:val="en-US" w:eastAsia="zh-CN"/>
        </w:rPr>
        <w:t>二、机构设置</w:t>
      </w:r>
      <w:bookmarkEnd w:id="14"/>
      <w:bookmarkEnd w:id="15"/>
    </w:p>
    <w:p w14:paraId="70DA9E94">
      <w:pPr>
        <w:spacing w:line="600" w:lineRule="exact"/>
        <w:ind w:firstLine="640" w:firstLineChars="200"/>
        <w:rPr>
          <w:rFonts w:hint="eastAsia" w:ascii="华文仿宋" w:hAnsi="华文仿宋" w:eastAsia="华文仿宋" w:cs="华文仿宋"/>
          <w:color w:val="000000"/>
          <w:sz w:val="32"/>
          <w:szCs w:val="32"/>
        </w:rPr>
      </w:pPr>
      <w:bookmarkStart w:id="16" w:name="_Toc15377204"/>
      <w:bookmarkStart w:id="17" w:name="_Toc15396602"/>
      <w:r>
        <w:rPr>
          <w:rFonts w:hint="eastAsia" w:ascii="华文仿宋" w:hAnsi="华文仿宋" w:eastAsia="华文仿宋" w:cs="华文仿宋"/>
          <w:sz w:val="32"/>
          <w:szCs w:val="32"/>
          <w:lang w:val="en-US" w:eastAsia="zh-CN"/>
        </w:rPr>
        <w:t>区融媒体中心</w:t>
      </w:r>
      <w:r>
        <w:rPr>
          <w:rFonts w:hint="eastAsia" w:ascii="华文仿宋" w:hAnsi="华文仿宋" w:eastAsia="华文仿宋" w:cs="华文仿宋"/>
          <w:color w:val="000000"/>
          <w:sz w:val="32"/>
          <w:szCs w:val="32"/>
          <w:lang w:eastAsia="zh-CN"/>
        </w:rPr>
        <w:t>是</w:t>
      </w:r>
      <w:r>
        <w:rPr>
          <w:rFonts w:hint="eastAsia" w:ascii="华文仿宋" w:hAnsi="华文仿宋" w:eastAsia="华文仿宋" w:cs="华文仿宋"/>
          <w:color w:val="000000"/>
          <w:sz w:val="32"/>
          <w:szCs w:val="32"/>
          <w:lang w:val="en-US" w:eastAsia="zh-CN"/>
        </w:rPr>
        <w:t>区委直属</w:t>
      </w:r>
      <w:r>
        <w:rPr>
          <w:rFonts w:hint="eastAsia" w:ascii="华文仿宋" w:hAnsi="华文仿宋" w:eastAsia="华文仿宋" w:cs="华文仿宋"/>
          <w:color w:val="000000"/>
          <w:sz w:val="32"/>
          <w:szCs w:val="32"/>
          <w:lang w:eastAsia="zh-CN"/>
        </w:rPr>
        <w:t>的</w:t>
      </w:r>
      <w:r>
        <w:rPr>
          <w:rFonts w:hint="eastAsia" w:ascii="华文仿宋" w:hAnsi="华文仿宋" w:eastAsia="华文仿宋" w:cs="华文仿宋"/>
          <w:color w:val="000000"/>
          <w:sz w:val="32"/>
          <w:szCs w:val="32"/>
          <w:lang w:val="en-US" w:eastAsia="zh-CN"/>
        </w:rPr>
        <w:t>正科级</w:t>
      </w:r>
      <w:r>
        <w:rPr>
          <w:rFonts w:hint="eastAsia" w:ascii="华文仿宋" w:hAnsi="华文仿宋" w:eastAsia="华文仿宋" w:cs="华文仿宋"/>
          <w:color w:val="000000"/>
          <w:sz w:val="32"/>
          <w:szCs w:val="32"/>
          <w:lang w:eastAsia="zh-CN"/>
        </w:rPr>
        <w:t>事业单位，</w:t>
      </w:r>
      <w:r>
        <w:rPr>
          <w:rFonts w:hint="eastAsia" w:ascii="华文仿宋" w:hAnsi="华文仿宋" w:eastAsia="华文仿宋" w:cs="华文仿宋"/>
          <w:color w:val="000000"/>
          <w:sz w:val="32"/>
          <w:szCs w:val="32"/>
          <w:lang w:val="en-US" w:eastAsia="zh-CN"/>
        </w:rPr>
        <w:t>归口区委宣传部领导和管理</w:t>
      </w:r>
      <w:r>
        <w:rPr>
          <w:rFonts w:hint="eastAsia" w:ascii="华文仿宋" w:hAnsi="华文仿宋" w:eastAsia="华文仿宋" w:cs="华文仿宋"/>
          <w:color w:val="000000"/>
          <w:sz w:val="32"/>
          <w:szCs w:val="32"/>
          <w:lang w:eastAsia="zh-CN"/>
        </w:rPr>
        <w:t>，</w:t>
      </w:r>
      <w:r>
        <w:rPr>
          <w:rFonts w:hint="eastAsia" w:ascii="华文仿宋" w:hAnsi="华文仿宋" w:eastAsia="华文仿宋" w:cs="华文仿宋"/>
          <w:color w:val="000000"/>
          <w:sz w:val="32"/>
          <w:szCs w:val="32"/>
        </w:rPr>
        <w:t>下属二级单位</w:t>
      </w:r>
      <w:r>
        <w:rPr>
          <w:rFonts w:hint="eastAsia" w:ascii="华文仿宋" w:hAnsi="华文仿宋" w:eastAsia="华文仿宋" w:cs="华文仿宋"/>
          <w:color w:val="000000"/>
          <w:sz w:val="32"/>
          <w:szCs w:val="32"/>
          <w:lang w:val="en-US" w:eastAsia="zh-CN"/>
        </w:rPr>
        <w:t>0</w:t>
      </w:r>
      <w:r>
        <w:rPr>
          <w:rFonts w:hint="eastAsia" w:ascii="华文仿宋" w:hAnsi="华文仿宋" w:eastAsia="华文仿宋" w:cs="华文仿宋"/>
          <w:color w:val="000000"/>
          <w:sz w:val="32"/>
          <w:szCs w:val="32"/>
        </w:rPr>
        <w:t>个，其中行政单位</w:t>
      </w:r>
      <w:r>
        <w:rPr>
          <w:rFonts w:hint="eastAsia" w:ascii="华文仿宋" w:hAnsi="华文仿宋" w:eastAsia="华文仿宋" w:cs="华文仿宋"/>
          <w:color w:val="000000"/>
          <w:sz w:val="32"/>
          <w:szCs w:val="32"/>
          <w:lang w:val="en-US" w:eastAsia="zh-CN"/>
        </w:rPr>
        <w:t>0</w:t>
      </w:r>
      <w:r>
        <w:rPr>
          <w:rFonts w:hint="eastAsia" w:ascii="华文仿宋" w:hAnsi="华文仿宋" w:eastAsia="华文仿宋" w:cs="华文仿宋"/>
          <w:color w:val="000000"/>
          <w:sz w:val="32"/>
          <w:szCs w:val="32"/>
        </w:rPr>
        <w:t>个，参照公务员法管理的事业单位</w:t>
      </w:r>
      <w:r>
        <w:rPr>
          <w:rFonts w:hint="eastAsia" w:ascii="华文仿宋" w:hAnsi="华文仿宋" w:eastAsia="华文仿宋" w:cs="华文仿宋"/>
          <w:bCs/>
          <w:color w:val="000000"/>
          <w:sz w:val="32"/>
          <w:szCs w:val="32"/>
          <w:lang w:val="en-US" w:eastAsia="zh-CN"/>
        </w:rPr>
        <w:t>0</w:t>
      </w:r>
      <w:r>
        <w:rPr>
          <w:rFonts w:hint="eastAsia" w:ascii="华文仿宋" w:hAnsi="华文仿宋" w:eastAsia="华文仿宋" w:cs="华文仿宋"/>
          <w:color w:val="000000"/>
          <w:sz w:val="32"/>
          <w:szCs w:val="32"/>
        </w:rPr>
        <w:t>个，其他事业单位</w:t>
      </w:r>
      <w:r>
        <w:rPr>
          <w:rFonts w:hint="eastAsia" w:ascii="华文仿宋" w:hAnsi="华文仿宋" w:eastAsia="华文仿宋" w:cs="华文仿宋"/>
          <w:color w:val="000000"/>
          <w:sz w:val="32"/>
          <w:szCs w:val="32"/>
          <w:lang w:val="en-US" w:eastAsia="zh-CN"/>
        </w:rPr>
        <w:t>0</w:t>
      </w:r>
      <w:r>
        <w:rPr>
          <w:rFonts w:hint="eastAsia" w:ascii="华文仿宋" w:hAnsi="华文仿宋" w:eastAsia="华文仿宋" w:cs="华文仿宋"/>
          <w:color w:val="000000"/>
          <w:sz w:val="32"/>
          <w:szCs w:val="32"/>
        </w:rPr>
        <w:t>个。</w:t>
      </w:r>
    </w:p>
    <w:p w14:paraId="535BF392">
      <w:pPr>
        <w:spacing w:line="600" w:lineRule="exact"/>
        <w:ind w:firstLine="640" w:firstLineChars="200"/>
        <w:rPr>
          <w:rFonts w:hint="eastAsia" w:ascii="华文仿宋" w:hAnsi="华文仿宋" w:eastAsia="华文仿宋" w:cs="华文仿宋"/>
          <w:color w:val="000000"/>
          <w:sz w:val="32"/>
          <w:szCs w:val="32"/>
        </w:rPr>
      </w:pPr>
      <w:r>
        <w:rPr>
          <w:rFonts w:hint="eastAsia" w:ascii="华文仿宋" w:hAnsi="华文仿宋" w:eastAsia="华文仿宋" w:cs="华文仿宋"/>
          <w:color w:val="000000"/>
          <w:sz w:val="32"/>
          <w:szCs w:val="32"/>
        </w:rPr>
        <w:t>20</w:t>
      </w:r>
      <w:r>
        <w:rPr>
          <w:rFonts w:hint="eastAsia" w:ascii="华文仿宋" w:hAnsi="华文仿宋" w:eastAsia="华文仿宋" w:cs="华文仿宋"/>
          <w:color w:val="000000"/>
          <w:sz w:val="32"/>
          <w:szCs w:val="32"/>
          <w:lang w:val="en-US" w:eastAsia="zh-CN"/>
        </w:rPr>
        <w:t>22</w:t>
      </w:r>
      <w:r>
        <w:rPr>
          <w:rFonts w:hint="eastAsia" w:ascii="华文仿宋" w:hAnsi="华文仿宋" w:eastAsia="华文仿宋" w:cs="华文仿宋"/>
          <w:color w:val="000000"/>
          <w:sz w:val="32"/>
          <w:szCs w:val="32"/>
        </w:rPr>
        <w:t>年，</w:t>
      </w:r>
      <w:r>
        <w:rPr>
          <w:rFonts w:hint="eastAsia" w:ascii="华文仿宋" w:hAnsi="华文仿宋" w:eastAsia="华文仿宋" w:cs="华文仿宋"/>
          <w:sz w:val="32"/>
          <w:szCs w:val="32"/>
          <w:lang w:val="en-US" w:eastAsia="zh-CN"/>
        </w:rPr>
        <w:t>区融媒体中心</w:t>
      </w:r>
      <w:r>
        <w:rPr>
          <w:rFonts w:hint="eastAsia" w:ascii="华文仿宋" w:hAnsi="华文仿宋" w:eastAsia="华文仿宋" w:cs="华文仿宋"/>
          <w:color w:val="000000"/>
          <w:sz w:val="32"/>
          <w:szCs w:val="32"/>
          <w:lang w:eastAsia="zh-CN"/>
        </w:rPr>
        <w:t>核准编制</w:t>
      </w:r>
      <w:r>
        <w:rPr>
          <w:rFonts w:hint="eastAsia" w:ascii="华文仿宋" w:hAnsi="华文仿宋" w:eastAsia="华文仿宋" w:cs="华文仿宋"/>
          <w:color w:val="000000"/>
          <w:sz w:val="32"/>
          <w:szCs w:val="32"/>
          <w:lang w:val="en-US" w:eastAsia="zh-CN"/>
        </w:rPr>
        <w:t>24</w:t>
      </w:r>
      <w:r>
        <w:rPr>
          <w:rFonts w:hint="eastAsia" w:ascii="华文仿宋" w:hAnsi="华文仿宋" w:eastAsia="华文仿宋" w:cs="华文仿宋"/>
          <w:color w:val="000000"/>
          <w:sz w:val="32"/>
          <w:szCs w:val="32"/>
        </w:rPr>
        <w:t>人，</w:t>
      </w:r>
      <w:r>
        <w:rPr>
          <w:rFonts w:hint="eastAsia" w:ascii="华文仿宋" w:hAnsi="华文仿宋" w:eastAsia="华文仿宋" w:cs="华文仿宋"/>
          <w:color w:val="000000"/>
          <w:sz w:val="32"/>
          <w:szCs w:val="32"/>
          <w:lang w:eastAsia="zh-CN"/>
        </w:rPr>
        <w:t>年末实有在编人数为</w:t>
      </w:r>
      <w:r>
        <w:rPr>
          <w:rFonts w:hint="eastAsia" w:ascii="华文仿宋" w:hAnsi="华文仿宋" w:eastAsia="华文仿宋" w:cs="华文仿宋"/>
          <w:color w:val="000000"/>
          <w:sz w:val="32"/>
          <w:szCs w:val="32"/>
          <w:lang w:val="en-US" w:eastAsia="zh-CN"/>
        </w:rPr>
        <w:t>23人，其中：</w:t>
      </w:r>
      <w:r>
        <w:rPr>
          <w:rFonts w:hint="eastAsia" w:ascii="华文仿宋" w:hAnsi="华文仿宋" w:eastAsia="华文仿宋" w:cs="华文仿宋"/>
          <w:color w:val="000000"/>
          <w:sz w:val="32"/>
          <w:szCs w:val="32"/>
        </w:rPr>
        <w:t>事业编制</w:t>
      </w:r>
      <w:r>
        <w:rPr>
          <w:rFonts w:hint="eastAsia" w:ascii="华文仿宋" w:hAnsi="华文仿宋" w:eastAsia="华文仿宋" w:cs="华文仿宋"/>
          <w:color w:val="000000"/>
          <w:sz w:val="32"/>
          <w:szCs w:val="32"/>
          <w:lang w:eastAsia="zh-CN"/>
        </w:rPr>
        <w:t>人员</w:t>
      </w:r>
      <w:r>
        <w:rPr>
          <w:rFonts w:hint="eastAsia" w:ascii="华文仿宋" w:hAnsi="华文仿宋" w:eastAsia="华文仿宋" w:cs="华文仿宋"/>
          <w:color w:val="000000"/>
          <w:sz w:val="32"/>
          <w:szCs w:val="32"/>
          <w:lang w:val="en-US" w:eastAsia="zh-CN"/>
        </w:rPr>
        <w:t>23</w:t>
      </w:r>
      <w:r>
        <w:rPr>
          <w:rFonts w:hint="eastAsia" w:ascii="华文仿宋" w:hAnsi="华文仿宋" w:eastAsia="华文仿宋" w:cs="华文仿宋"/>
          <w:color w:val="000000"/>
          <w:sz w:val="32"/>
          <w:szCs w:val="32"/>
        </w:rPr>
        <w:t>人</w:t>
      </w:r>
      <w:r>
        <w:rPr>
          <w:rFonts w:hint="eastAsia" w:ascii="华文仿宋" w:hAnsi="华文仿宋" w:eastAsia="华文仿宋" w:cs="华文仿宋"/>
          <w:color w:val="000000"/>
          <w:sz w:val="32"/>
          <w:szCs w:val="32"/>
          <w:lang w:eastAsia="zh-CN"/>
        </w:rPr>
        <w:t>，</w:t>
      </w:r>
      <w:r>
        <w:rPr>
          <w:rFonts w:hint="eastAsia" w:ascii="华文仿宋" w:hAnsi="华文仿宋" w:eastAsia="华文仿宋" w:cs="华文仿宋"/>
          <w:color w:val="000000"/>
          <w:sz w:val="32"/>
          <w:szCs w:val="32"/>
        </w:rPr>
        <w:t>退休人员</w:t>
      </w:r>
      <w:r>
        <w:rPr>
          <w:rFonts w:hint="eastAsia" w:ascii="华文仿宋" w:hAnsi="华文仿宋" w:eastAsia="华文仿宋" w:cs="华文仿宋"/>
          <w:color w:val="000000"/>
          <w:sz w:val="32"/>
          <w:szCs w:val="32"/>
          <w:lang w:val="en-US" w:eastAsia="zh-CN"/>
        </w:rPr>
        <w:t>0</w:t>
      </w:r>
      <w:r>
        <w:rPr>
          <w:rFonts w:hint="eastAsia" w:ascii="华文仿宋" w:hAnsi="华文仿宋" w:eastAsia="华文仿宋" w:cs="华文仿宋"/>
          <w:color w:val="000000"/>
          <w:sz w:val="32"/>
          <w:szCs w:val="32"/>
        </w:rPr>
        <w:t>人。</w:t>
      </w:r>
    </w:p>
    <w:p w14:paraId="14852008">
      <w:pPr>
        <w:spacing w:line="600" w:lineRule="exact"/>
        <w:ind w:firstLine="640" w:firstLineChars="200"/>
        <w:rPr>
          <w:rFonts w:hint="eastAsia" w:ascii="华文仿宋" w:hAnsi="华文仿宋" w:eastAsia="华文仿宋" w:cs="华文仿宋"/>
          <w:color w:val="000000"/>
          <w:sz w:val="32"/>
          <w:szCs w:val="32"/>
          <w:lang w:val="en-US" w:eastAsia="zh-CN"/>
        </w:rPr>
      </w:pPr>
      <w:r>
        <w:rPr>
          <w:rFonts w:hint="eastAsia" w:ascii="华文仿宋" w:hAnsi="华文仿宋" w:eastAsia="华文仿宋" w:cs="华文仿宋"/>
          <w:color w:val="000000"/>
          <w:sz w:val="32"/>
          <w:szCs w:val="32"/>
          <w:lang w:val="en-US" w:eastAsia="zh-CN"/>
        </w:rPr>
        <w:t xml:space="preserve"> </w:t>
      </w:r>
    </w:p>
    <w:p w14:paraId="1903BA50">
      <w:pPr>
        <w:pStyle w:val="2"/>
        <w:ind w:right="440"/>
        <w:jc w:val="center"/>
        <w:rPr>
          <w:rStyle w:val="28"/>
          <w:rFonts w:ascii="黑体" w:hAnsi="黑体" w:eastAsia="黑体"/>
          <w:b w:val="0"/>
          <w:bCs/>
          <w:color w:val="auto"/>
          <w:highlight w:val="none"/>
        </w:rPr>
      </w:pPr>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2022年度</w:t>
      </w:r>
      <w:r>
        <w:rPr>
          <w:rStyle w:val="28"/>
          <w:rFonts w:hint="eastAsia" w:ascii="黑体" w:hAnsi="黑体" w:eastAsia="黑体"/>
          <w:b w:val="0"/>
          <w:bCs/>
          <w:color w:val="auto"/>
          <w:highlight w:val="none"/>
          <w:lang w:val="en-US" w:eastAsia="zh-CN"/>
        </w:rPr>
        <w:t>部门</w:t>
      </w:r>
      <w:r>
        <w:rPr>
          <w:rStyle w:val="28"/>
          <w:rFonts w:hint="eastAsia" w:ascii="黑体" w:hAnsi="黑体" w:eastAsia="黑体"/>
          <w:b w:val="0"/>
          <w:bCs/>
          <w:color w:val="auto"/>
          <w:highlight w:val="none"/>
        </w:rPr>
        <w:t>决算情况说明</w:t>
      </w:r>
      <w:bookmarkEnd w:id="16"/>
      <w:bookmarkEnd w:id="17"/>
    </w:p>
    <w:p w14:paraId="6524CE56">
      <w:pPr>
        <w:rPr>
          <w:color w:val="auto"/>
          <w:highlight w:val="none"/>
        </w:rPr>
      </w:pPr>
    </w:p>
    <w:p w14:paraId="0C3503C5">
      <w:pPr>
        <w:pStyle w:val="27"/>
        <w:numPr>
          <w:ilvl w:val="0"/>
          <w:numId w:val="2"/>
        </w:numPr>
        <w:spacing w:line="600" w:lineRule="exact"/>
        <w:ind w:firstLineChars="0"/>
        <w:outlineLvl w:val="1"/>
        <w:rPr>
          <w:rStyle w:val="29"/>
          <w:rFonts w:ascii="黑体" w:hAnsi="黑体" w:eastAsia="黑体"/>
          <w:b w:val="0"/>
          <w:color w:val="auto"/>
          <w:highlight w:val="none"/>
        </w:rPr>
      </w:pPr>
      <w:bookmarkStart w:id="18" w:name="_Toc15377205"/>
      <w:bookmarkStart w:id="19" w:name="_Toc15396603"/>
      <w:r>
        <w:rPr>
          <w:rFonts w:hint="eastAsia" w:ascii="黑体" w:hAnsi="黑体" w:eastAsia="黑体"/>
          <w:color w:val="auto"/>
          <w:sz w:val="32"/>
          <w:szCs w:val="32"/>
          <w:highlight w:val="none"/>
        </w:rPr>
        <w:t>收</w:t>
      </w:r>
      <w:r>
        <w:rPr>
          <w:rStyle w:val="29"/>
          <w:rFonts w:hint="eastAsia" w:ascii="黑体" w:hAnsi="黑体" w:eastAsia="黑体"/>
          <w:b w:val="0"/>
          <w:color w:val="auto"/>
          <w:highlight w:val="none"/>
        </w:rPr>
        <w:t>入支出决算总体情况说明</w:t>
      </w:r>
      <w:bookmarkEnd w:id="18"/>
      <w:bookmarkEnd w:id="19"/>
    </w:p>
    <w:p w14:paraId="1B857E8A">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w:t>
      </w:r>
      <w:r>
        <w:rPr>
          <w:rFonts w:hint="eastAsia" w:ascii="仿宋" w:hAnsi="仿宋" w:eastAsia="仿宋"/>
          <w:color w:val="auto"/>
          <w:sz w:val="32"/>
          <w:szCs w:val="32"/>
          <w:highlight w:val="none"/>
          <w:lang w:val="en-US" w:eastAsia="zh-CN"/>
        </w:rPr>
        <w:t>入</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val="en-US" w:eastAsia="zh-CN"/>
        </w:rPr>
        <w:t>519.98</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支出总计512.98万元</w:t>
      </w:r>
      <w:r>
        <w:rPr>
          <w:rFonts w:hint="eastAsia" w:ascii="仿宋" w:hAnsi="仿宋" w:eastAsia="仿宋"/>
          <w:color w:val="auto"/>
          <w:sz w:val="32"/>
          <w:szCs w:val="32"/>
          <w:highlight w:val="none"/>
        </w:rPr>
        <w:t>。与20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年相比，收</w:t>
      </w:r>
      <w:r>
        <w:rPr>
          <w:rFonts w:hint="eastAsia" w:ascii="仿宋" w:hAnsi="仿宋" w:eastAsia="仿宋"/>
          <w:color w:val="auto"/>
          <w:sz w:val="32"/>
          <w:szCs w:val="32"/>
          <w:highlight w:val="none"/>
          <w:lang w:val="en-US" w:eastAsia="zh-CN"/>
        </w:rPr>
        <w:t>入</w:t>
      </w:r>
      <w:r>
        <w:rPr>
          <w:rFonts w:hint="eastAsia" w:ascii="仿宋" w:hAnsi="仿宋" w:eastAsia="仿宋"/>
          <w:color w:val="auto"/>
          <w:sz w:val="32"/>
          <w:szCs w:val="32"/>
          <w:highlight w:val="none"/>
        </w:rPr>
        <w:t>总计增加</w:t>
      </w:r>
      <w:r>
        <w:rPr>
          <w:rFonts w:hint="eastAsia" w:ascii="仿宋" w:hAnsi="仿宋" w:eastAsia="仿宋"/>
          <w:color w:val="auto"/>
          <w:sz w:val="32"/>
          <w:szCs w:val="32"/>
          <w:highlight w:val="none"/>
          <w:lang w:val="en-US" w:eastAsia="zh-CN"/>
        </w:rPr>
        <w:t>77.31</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支出总计增加70.31万元</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各</w:t>
      </w:r>
      <w:r>
        <w:rPr>
          <w:rFonts w:hint="eastAsia" w:ascii="仿宋" w:hAnsi="仿宋" w:eastAsia="仿宋"/>
          <w:color w:val="auto"/>
          <w:sz w:val="32"/>
          <w:szCs w:val="32"/>
          <w:highlight w:val="none"/>
        </w:rPr>
        <w:t>增长</w:t>
      </w:r>
      <w:r>
        <w:rPr>
          <w:rFonts w:hint="eastAsia" w:ascii="仿宋" w:hAnsi="仿宋" w:eastAsia="仿宋"/>
          <w:color w:val="auto"/>
          <w:sz w:val="32"/>
          <w:szCs w:val="32"/>
          <w:highlight w:val="none"/>
          <w:lang w:val="en-US" w:eastAsia="zh-CN"/>
        </w:rPr>
        <w:t>14.87</w:t>
      </w:r>
      <w:r>
        <w:rPr>
          <w:rFonts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和13.71%</w:t>
      </w:r>
      <w:r>
        <w:rPr>
          <w:rFonts w:hint="eastAsia" w:ascii="仿宋" w:hAnsi="仿宋" w:eastAsia="仿宋"/>
          <w:color w:val="auto"/>
          <w:sz w:val="32"/>
          <w:szCs w:val="32"/>
          <w:highlight w:val="none"/>
        </w:rPr>
        <w:t>。主要变动原因是</w:t>
      </w:r>
      <w:r>
        <w:rPr>
          <w:rFonts w:hint="eastAsia" w:ascii="仿宋_GB2312" w:eastAsia="仿宋_GB2312"/>
          <w:color w:val="000000"/>
          <w:sz w:val="32"/>
          <w:szCs w:val="32"/>
          <w:lang w:val="en-US" w:eastAsia="zh-CN"/>
        </w:rPr>
        <w:t>2022年事业人员工资保险目标奖等经费增加以及基础目标绩效经费支出增加</w:t>
      </w:r>
      <w:r>
        <w:rPr>
          <w:rFonts w:hint="eastAsia" w:ascii="仿宋_GB2312" w:eastAsia="仿宋_GB2312"/>
          <w:color w:val="000000"/>
          <w:sz w:val="32"/>
          <w:szCs w:val="32"/>
          <w:lang w:eastAsia="zh-CN"/>
        </w:rPr>
        <w:t>。</w:t>
      </w:r>
    </w:p>
    <w:p w14:paraId="11F1B832">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2456890E">
      <w:pPr>
        <w:pStyle w:val="14"/>
        <w:rPr>
          <w:rFonts w:ascii="仿宋_GB2312" w:eastAsia="仿宋_GB2312"/>
          <w:color w:val="auto"/>
          <w:sz w:val="32"/>
          <w:szCs w:val="32"/>
          <w:highlight w:val="none"/>
        </w:rPr>
      </w:pPr>
      <w:r>
        <w:rPr>
          <w:rFonts w:hint="eastAsia" w:ascii="宋体" w:hAnsi="宋体" w:cs="宋体"/>
          <w:kern w:val="0"/>
          <w:sz w:val="24"/>
          <w:szCs w:val="24"/>
          <w:lang w:val="en-US" w:eastAsia="zh-CN" w:bidi="ar"/>
        </w:rPr>
        <w:t xml:space="preserve">   </w:t>
      </w:r>
      <w:r>
        <w:drawing>
          <wp:inline distT="0" distB="0" distL="114300" distR="114300">
            <wp:extent cx="4572000" cy="2743200"/>
            <wp:effectExtent l="4445" t="4445" r="1460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48D63CD">
      <w:pPr>
        <w:keepNext w:val="0"/>
        <w:keepLines w:val="0"/>
        <w:widowControl/>
        <w:suppressLineNumbers w:val="0"/>
        <w:jc w:val="left"/>
      </w:pPr>
    </w:p>
    <w:p w14:paraId="1E4A420A">
      <w:pPr>
        <w:pStyle w:val="27"/>
        <w:numPr>
          <w:ilvl w:val="0"/>
          <w:numId w:val="2"/>
        </w:numPr>
        <w:spacing w:line="600" w:lineRule="exact"/>
        <w:ind w:firstLineChars="0"/>
        <w:outlineLvl w:val="1"/>
        <w:rPr>
          <w:rStyle w:val="29"/>
          <w:rFonts w:ascii="黑体" w:hAnsi="黑体" w:eastAsia="黑体"/>
          <w:b w:val="0"/>
          <w:color w:val="auto"/>
          <w:highlight w:val="none"/>
        </w:rPr>
      </w:pPr>
      <w:bookmarkStart w:id="20" w:name="_Toc15377206"/>
      <w:bookmarkStart w:id="21" w:name="_Toc15396604"/>
      <w:r>
        <w:rPr>
          <w:rFonts w:hint="eastAsia" w:ascii="黑体" w:hAnsi="黑体" w:eastAsia="黑体"/>
          <w:color w:val="auto"/>
          <w:sz w:val="32"/>
          <w:szCs w:val="32"/>
          <w:highlight w:val="none"/>
        </w:rPr>
        <w:t>收</w:t>
      </w:r>
      <w:r>
        <w:rPr>
          <w:rStyle w:val="29"/>
          <w:rFonts w:hint="eastAsia" w:ascii="黑体" w:hAnsi="黑体" w:eastAsia="黑体"/>
          <w:b w:val="0"/>
          <w:color w:val="auto"/>
          <w:highlight w:val="none"/>
        </w:rPr>
        <w:t>入决算情况说明</w:t>
      </w:r>
      <w:bookmarkEnd w:id="20"/>
      <w:bookmarkEnd w:id="21"/>
    </w:p>
    <w:p w14:paraId="7E4CB039">
      <w:pPr>
        <w:spacing w:line="600" w:lineRule="exact"/>
        <w:ind w:firstLine="640" w:firstLineChars="200"/>
        <w:outlineLvl w:val="1"/>
        <w:rPr>
          <w:rFonts w:ascii="仿宋" w:hAnsi="仿宋" w:eastAsia="仿宋"/>
          <w:color w:val="000000"/>
          <w:sz w:val="32"/>
          <w:szCs w:val="32"/>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519.98</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519.98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000000"/>
          <w:sz w:val="32"/>
          <w:szCs w:val="32"/>
        </w:rPr>
        <w:t>政府性基金预算财政拨款收入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万元，上级补助收入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万元，事业收入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万元，经营收入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万元，附属单位上缴收入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万元，其他收入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年初预算均未安排</w:t>
      </w:r>
      <w:r>
        <w:rPr>
          <w:rFonts w:hint="eastAsia" w:ascii="仿宋" w:hAnsi="仿宋" w:eastAsia="仿宋"/>
          <w:color w:val="000000"/>
          <w:sz w:val="32"/>
          <w:szCs w:val="32"/>
          <w:lang w:eastAsia="zh-CN"/>
        </w:rPr>
        <w:t>。</w:t>
      </w:r>
    </w:p>
    <w:p w14:paraId="5B7C5C68">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14:paraId="5954A7B4">
      <w:pPr>
        <w:pStyle w:val="14"/>
        <w:rPr>
          <w:rFonts w:ascii="仿宋_GB2312" w:eastAsia="仿宋_GB2312"/>
          <w:color w:val="auto"/>
          <w:sz w:val="32"/>
          <w:szCs w:val="32"/>
          <w:highlight w:val="none"/>
        </w:rPr>
      </w:pPr>
      <w:r>
        <w:rPr>
          <w:rFonts w:hint="eastAsia"/>
          <w:lang w:val="en-US" w:eastAsia="zh-CN"/>
        </w:rPr>
        <w:t xml:space="preserve">   </w:t>
      </w:r>
      <w:r>
        <w:drawing>
          <wp:inline distT="0" distB="0" distL="114300" distR="114300">
            <wp:extent cx="4572000" cy="2743200"/>
            <wp:effectExtent l="4445" t="4445" r="14605" b="14605"/>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E30000B">
      <w:pPr>
        <w:pStyle w:val="27"/>
        <w:numPr>
          <w:ilvl w:val="0"/>
          <w:numId w:val="2"/>
        </w:numPr>
        <w:spacing w:line="600" w:lineRule="exact"/>
        <w:ind w:firstLineChars="0"/>
        <w:outlineLvl w:val="1"/>
        <w:rPr>
          <w:rStyle w:val="29"/>
          <w:rFonts w:ascii="黑体" w:hAnsi="黑体" w:eastAsia="黑体"/>
          <w:b w:val="0"/>
          <w:color w:val="auto"/>
          <w:highlight w:val="none"/>
        </w:rPr>
      </w:pPr>
      <w:bookmarkStart w:id="22" w:name="_Toc15396605"/>
      <w:bookmarkStart w:id="23" w:name="_Toc15377207"/>
      <w:r>
        <w:rPr>
          <w:rFonts w:hint="eastAsia" w:ascii="黑体" w:hAnsi="黑体" w:eastAsia="黑体"/>
          <w:color w:val="auto"/>
          <w:sz w:val="32"/>
          <w:szCs w:val="32"/>
          <w:highlight w:val="none"/>
        </w:rPr>
        <w:t>支</w:t>
      </w:r>
      <w:r>
        <w:rPr>
          <w:rStyle w:val="29"/>
          <w:rFonts w:hint="eastAsia" w:ascii="黑体" w:hAnsi="黑体" w:eastAsia="黑体"/>
          <w:b w:val="0"/>
          <w:color w:val="auto"/>
          <w:highlight w:val="none"/>
        </w:rPr>
        <w:t>出决算情况说明</w:t>
      </w:r>
      <w:bookmarkEnd w:id="22"/>
      <w:bookmarkEnd w:id="23"/>
    </w:p>
    <w:p w14:paraId="6F2967D5">
      <w:pPr>
        <w:spacing w:line="600" w:lineRule="exact"/>
        <w:ind w:firstLine="640" w:firstLineChars="200"/>
        <w:outlineLvl w:val="1"/>
        <w:rPr>
          <w:rFonts w:hint="eastAsia" w:ascii="仿宋" w:hAnsi="仿宋" w:eastAsia="仿宋"/>
          <w:color w:val="000000"/>
          <w:sz w:val="32"/>
          <w:szCs w:val="32"/>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万元，上缴上级支出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万元，经营支出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万元，对附属单位补助支出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年初预算均未安排</w:t>
      </w:r>
      <w:r>
        <w:rPr>
          <w:rFonts w:hint="eastAsia" w:ascii="仿宋" w:hAnsi="仿宋" w:eastAsia="仿宋"/>
          <w:color w:val="000000"/>
          <w:sz w:val="32"/>
          <w:szCs w:val="32"/>
          <w:lang w:eastAsia="zh-CN"/>
        </w:rPr>
        <w:t>。</w:t>
      </w:r>
    </w:p>
    <w:p w14:paraId="17861F78">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14:paraId="3C07107A">
      <w:pPr>
        <w:pStyle w:val="14"/>
        <w:rPr>
          <w:rFonts w:ascii="仿宋_GB2312" w:eastAsia="仿宋_GB2312"/>
          <w:color w:val="auto"/>
          <w:sz w:val="32"/>
          <w:szCs w:val="32"/>
          <w:highlight w:val="none"/>
        </w:rPr>
      </w:pPr>
      <w:r>
        <w:rPr>
          <w:rFonts w:hint="eastAsia"/>
          <w:lang w:val="en-US" w:eastAsia="zh-CN"/>
        </w:rPr>
        <w:t xml:space="preserve">   </w:t>
      </w:r>
      <w:r>
        <w:drawing>
          <wp:inline distT="0" distB="0" distL="114300" distR="114300">
            <wp:extent cx="4609465" cy="2705735"/>
            <wp:effectExtent l="4445" t="4445" r="15240" b="13970"/>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B7CAF2">
      <w:pPr>
        <w:spacing w:line="600" w:lineRule="exact"/>
        <w:ind w:firstLine="640" w:firstLineChars="200"/>
        <w:outlineLvl w:val="1"/>
        <w:rPr>
          <w:rStyle w:val="29"/>
          <w:rFonts w:ascii="黑体" w:hAnsi="黑体" w:eastAsia="黑体"/>
          <w:b w:val="0"/>
          <w:color w:val="auto"/>
          <w:highlight w:val="none"/>
        </w:rPr>
      </w:pPr>
      <w:bookmarkStart w:id="24" w:name="_Toc15396606"/>
      <w:bookmarkStart w:id="25" w:name="_Toc15377208"/>
      <w:r>
        <w:rPr>
          <w:rFonts w:hint="eastAsia" w:ascii="黑体" w:hAnsi="黑体" w:eastAsia="黑体"/>
          <w:color w:val="auto"/>
          <w:sz w:val="32"/>
          <w:szCs w:val="32"/>
          <w:highlight w:val="none"/>
        </w:rPr>
        <w:t>四、财</w:t>
      </w:r>
      <w:r>
        <w:rPr>
          <w:rStyle w:val="29"/>
          <w:rFonts w:hint="eastAsia" w:ascii="黑体" w:hAnsi="黑体" w:eastAsia="黑体"/>
          <w:b w:val="0"/>
          <w:color w:val="auto"/>
          <w:highlight w:val="none"/>
        </w:rPr>
        <w:t>政拨款收入支出决算总体情况说明</w:t>
      </w:r>
      <w:bookmarkEnd w:id="24"/>
      <w:bookmarkEnd w:id="25"/>
    </w:p>
    <w:p w14:paraId="3AB533C6">
      <w:pPr>
        <w:spacing w:line="6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年财政拨款收</w:t>
      </w:r>
      <w:r>
        <w:rPr>
          <w:rFonts w:hint="eastAsia" w:ascii="仿宋" w:hAnsi="仿宋" w:eastAsia="仿宋"/>
          <w:color w:val="auto"/>
          <w:sz w:val="32"/>
          <w:szCs w:val="32"/>
          <w:highlight w:val="none"/>
          <w:lang w:val="en-US" w:eastAsia="zh-CN"/>
        </w:rPr>
        <w:t>入</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val="en-US" w:eastAsia="zh-CN"/>
        </w:rPr>
        <w:t>519.98</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支出总计512.98万元</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年相比，财政拨款收</w:t>
      </w:r>
      <w:r>
        <w:rPr>
          <w:rFonts w:hint="eastAsia" w:ascii="仿宋" w:hAnsi="仿宋" w:eastAsia="仿宋"/>
          <w:color w:val="auto"/>
          <w:sz w:val="32"/>
          <w:szCs w:val="32"/>
          <w:highlight w:val="none"/>
          <w:lang w:val="en-US" w:eastAsia="zh-CN"/>
        </w:rPr>
        <w:t>入</w:t>
      </w:r>
      <w:r>
        <w:rPr>
          <w:rFonts w:hint="eastAsia" w:ascii="仿宋" w:hAnsi="仿宋" w:eastAsia="仿宋"/>
          <w:color w:val="auto"/>
          <w:sz w:val="32"/>
          <w:szCs w:val="32"/>
          <w:highlight w:val="none"/>
        </w:rPr>
        <w:t>总计增加</w:t>
      </w:r>
      <w:r>
        <w:rPr>
          <w:rFonts w:hint="eastAsia" w:ascii="仿宋" w:hAnsi="仿宋" w:eastAsia="仿宋"/>
          <w:color w:val="auto"/>
          <w:sz w:val="32"/>
          <w:szCs w:val="32"/>
          <w:highlight w:val="none"/>
          <w:lang w:val="en-US" w:eastAsia="zh-CN"/>
        </w:rPr>
        <w:t>77.31</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支出总计增加70.31万元</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各</w:t>
      </w:r>
      <w:r>
        <w:rPr>
          <w:rFonts w:hint="eastAsia" w:ascii="仿宋" w:hAnsi="仿宋" w:eastAsia="仿宋"/>
          <w:color w:val="auto"/>
          <w:sz w:val="32"/>
          <w:szCs w:val="32"/>
          <w:highlight w:val="none"/>
        </w:rPr>
        <w:t>增长</w:t>
      </w:r>
      <w:r>
        <w:rPr>
          <w:rFonts w:hint="eastAsia" w:ascii="仿宋" w:hAnsi="仿宋" w:eastAsia="仿宋"/>
          <w:color w:val="auto"/>
          <w:sz w:val="32"/>
          <w:szCs w:val="32"/>
          <w:highlight w:val="none"/>
          <w:lang w:val="en-US" w:eastAsia="zh-CN"/>
        </w:rPr>
        <w:t>14.87</w:t>
      </w:r>
      <w:r>
        <w:rPr>
          <w:rFonts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和13.71%</w:t>
      </w:r>
      <w:r>
        <w:rPr>
          <w:rFonts w:hint="eastAsia" w:ascii="仿宋" w:hAnsi="仿宋" w:eastAsia="仿宋"/>
          <w:color w:val="auto"/>
          <w:sz w:val="32"/>
          <w:szCs w:val="32"/>
          <w:highlight w:val="none"/>
        </w:rPr>
        <w:t>。主要变动原因是</w:t>
      </w:r>
      <w:r>
        <w:rPr>
          <w:rFonts w:hint="eastAsia" w:ascii="仿宋_GB2312" w:eastAsia="仿宋_GB2312"/>
          <w:color w:val="000000"/>
          <w:sz w:val="32"/>
          <w:szCs w:val="32"/>
          <w:lang w:val="en-US" w:eastAsia="zh-CN"/>
        </w:rPr>
        <w:t>2022年事业人员工资保险目标奖等经费增加以及基础目标绩效经费支出增加</w:t>
      </w:r>
      <w:r>
        <w:rPr>
          <w:rFonts w:hint="eastAsia" w:ascii="仿宋_GB2312" w:eastAsia="仿宋_GB2312"/>
          <w:color w:val="000000"/>
          <w:sz w:val="32"/>
          <w:szCs w:val="32"/>
          <w:lang w:eastAsia="zh-CN"/>
        </w:rPr>
        <w:t>。</w:t>
      </w:r>
    </w:p>
    <w:p w14:paraId="5F8FB2E6">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13C29BAB">
      <w:pPr>
        <w:pStyle w:val="14"/>
        <w:rPr>
          <w:rFonts w:ascii="仿宋" w:hAnsi="仿宋" w:eastAsia="仿宋"/>
          <w:b/>
          <w:color w:val="auto"/>
          <w:sz w:val="32"/>
          <w:szCs w:val="32"/>
          <w:highlight w:val="none"/>
        </w:rPr>
      </w:pPr>
      <w:r>
        <w:rPr>
          <w:rFonts w:hint="eastAsia"/>
          <w:lang w:val="en-US" w:eastAsia="zh-CN"/>
        </w:rPr>
        <w:t xml:space="preserve">    </w:t>
      </w:r>
      <w:r>
        <w:drawing>
          <wp:inline distT="0" distB="0" distL="114300" distR="114300">
            <wp:extent cx="4572000" cy="2743200"/>
            <wp:effectExtent l="4445" t="4445" r="14605" b="1460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3DD45E">
      <w:pPr>
        <w:spacing w:line="600" w:lineRule="exact"/>
        <w:ind w:firstLine="640" w:firstLineChars="200"/>
        <w:outlineLvl w:val="1"/>
        <w:rPr>
          <w:rStyle w:val="29"/>
          <w:rFonts w:ascii="黑体" w:hAnsi="黑体" w:eastAsia="黑体"/>
          <w:b w:val="0"/>
          <w:color w:val="auto"/>
          <w:highlight w:val="none"/>
        </w:rPr>
      </w:pPr>
      <w:bookmarkStart w:id="26" w:name="_Toc15396607"/>
      <w:bookmarkStart w:id="27"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般公共预算财政拨款支出决算情况说明</w:t>
      </w:r>
      <w:bookmarkEnd w:id="26"/>
      <w:bookmarkEnd w:id="27"/>
    </w:p>
    <w:p w14:paraId="60EE83EB">
      <w:pPr>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14:paraId="1E873CD2">
      <w:pPr>
        <w:spacing w:line="6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70.31</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13.71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_GB2312" w:eastAsia="仿宋_GB2312"/>
          <w:color w:val="000000"/>
          <w:sz w:val="32"/>
          <w:szCs w:val="32"/>
          <w:lang w:val="en-US" w:eastAsia="zh-CN"/>
        </w:rPr>
        <w:t>2021年事业人员工资保险目标奖等经费增加以及基础目标绩效经费支出增加</w:t>
      </w:r>
      <w:r>
        <w:rPr>
          <w:rFonts w:hint="eastAsia" w:ascii="仿宋_GB2312" w:eastAsia="仿宋_GB2312"/>
          <w:color w:val="000000"/>
          <w:sz w:val="32"/>
          <w:szCs w:val="32"/>
          <w:lang w:eastAsia="zh-CN"/>
        </w:rPr>
        <w:t>。</w:t>
      </w:r>
    </w:p>
    <w:p w14:paraId="44EF9C5E">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（图5：一般公共预算财政拨款支出决算变动情况）（柱状图）</w:t>
      </w:r>
    </w:p>
    <w:p w14:paraId="00A6F087">
      <w:pPr>
        <w:pStyle w:val="14"/>
        <w:rPr>
          <w:rFonts w:ascii="仿宋" w:hAnsi="仿宋" w:eastAsia="仿宋"/>
          <w:color w:val="auto"/>
          <w:sz w:val="32"/>
          <w:szCs w:val="32"/>
          <w:highlight w:val="none"/>
        </w:rPr>
      </w:pPr>
      <w:r>
        <w:rPr>
          <w:rFonts w:hint="eastAsia"/>
          <w:lang w:val="en-US" w:eastAsia="zh-CN"/>
        </w:rPr>
        <w:t xml:space="preserve">    </w:t>
      </w: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FD25AD">
      <w:pPr>
        <w:spacing w:line="600" w:lineRule="exact"/>
        <w:ind w:firstLine="643" w:firstLineChars="200"/>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14:paraId="2D2BDA05">
      <w:pPr>
        <w:spacing w:line="600" w:lineRule="exact"/>
        <w:ind w:firstLine="640"/>
        <w:rPr>
          <w:rFonts w:hint="eastAsia"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bCs/>
          <w:color w:val="auto"/>
          <w:sz w:val="32"/>
          <w:szCs w:val="32"/>
          <w:highlight w:val="none"/>
        </w:rPr>
        <w:t>文化旅游体育与传媒（类）支出</w:t>
      </w:r>
      <w:r>
        <w:rPr>
          <w:rFonts w:hint="eastAsia" w:ascii="仿宋" w:hAnsi="仿宋" w:eastAsia="仿宋"/>
          <w:b w:val="0"/>
          <w:bCs w:val="0"/>
          <w:color w:val="auto"/>
          <w:sz w:val="32"/>
          <w:szCs w:val="32"/>
          <w:highlight w:val="none"/>
          <w:lang w:val="en-US" w:eastAsia="zh-CN"/>
        </w:rPr>
        <w:t>445.98</w:t>
      </w:r>
      <w:r>
        <w:rPr>
          <w:rFonts w:hint="eastAsia" w:ascii="仿宋" w:hAnsi="仿宋" w:eastAsia="仿宋"/>
          <w:b w:val="0"/>
          <w:bCs w:val="0"/>
          <w:color w:val="auto"/>
          <w:sz w:val="32"/>
          <w:szCs w:val="32"/>
          <w:highlight w:val="none"/>
        </w:rPr>
        <w:t>万元，占</w:t>
      </w:r>
      <w:r>
        <w:rPr>
          <w:rFonts w:hint="eastAsia" w:ascii="仿宋" w:hAnsi="仿宋" w:eastAsia="仿宋"/>
          <w:b w:val="0"/>
          <w:bCs w:val="0"/>
          <w:color w:val="auto"/>
          <w:sz w:val="32"/>
          <w:szCs w:val="32"/>
          <w:highlight w:val="none"/>
          <w:lang w:val="en-US" w:eastAsia="zh-CN"/>
        </w:rPr>
        <w:t>86.94</w:t>
      </w:r>
      <w:r>
        <w:rPr>
          <w:rFonts w:ascii="仿宋" w:hAnsi="仿宋" w:eastAsia="仿宋"/>
          <w:b w:val="0"/>
          <w:bCs w:val="0"/>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社会保障和就业（类）</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31.37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6.12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11.98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2.34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23.64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4.61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5C095DE8">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75BD37D3">
      <w:pPr>
        <w:pStyle w:val="14"/>
        <w:rPr>
          <w:rFonts w:ascii="仿宋" w:hAnsi="仿宋" w:eastAsia="仿宋"/>
          <w:color w:val="auto"/>
          <w:sz w:val="32"/>
          <w:szCs w:val="32"/>
          <w:highlight w:val="none"/>
        </w:rPr>
      </w:pPr>
      <w:r>
        <w:rPr>
          <w:rFonts w:hint="eastAsia"/>
          <w:lang w:val="en-US" w:eastAsia="zh-CN"/>
        </w:rPr>
        <w:t xml:space="preserve">     </w:t>
      </w:r>
      <w:r>
        <w:drawing>
          <wp:inline distT="0" distB="0" distL="114300" distR="114300">
            <wp:extent cx="4476750" cy="2458085"/>
            <wp:effectExtent l="4445" t="4445" r="14605" b="1397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BB0678">
      <w:pPr>
        <w:pStyle w:val="14"/>
        <w:rPr>
          <w:rFonts w:ascii="仿宋" w:hAnsi="仿宋" w:eastAsia="仿宋"/>
          <w:color w:val="auto"/>
          <w:sz w:val="32"/>
          <w:szCs w:val="32"/>
          <w:highlight w:val="none"/>
        </w:rPr>
      </w:pPr>
    </w:p>
    <w:p w14:paraId="4DF62914">
      <w:pPr>
        <w:spacing w:line="600" w:lineRule="exact"/>
        <w:ind w:firstLine="643" w:firstLineChars="200"/>
        <w:outlineLvl w:val="2"/>
        <w:rPr>
          <w:rFonts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rPr>
        <w:t>（三）一般公共预算财政拨款支出决算具体情况</w:t>
      </w:r>
      <w:bookmarkEnd w:id="30"/>
    </w:p>
    <w:p w14:paraId="04EFACDA">
      <w:pPr>
        <w:spacing w:line="600" w:lineRule="exact"/>
        <w:ind w:firstLine="643" w:firstLineChars="200"/>
        <w:outlineLvl w:val="2"/>
        <w:rPr>
          <w:rFonts w:ascii="仿宋" w:hAnsi="仿宋" w:eastAsia="仿宋"/>
          <w:color w:val="auto"/>
          <w:sz w:val="32"/>
          <w:szCs w:val="32"/>
          <w:highlight w:val="none"/>
        </w:rPr>
      </w:pPr>
      <w:bookmarkStart w:id="31" w:name="_Toc15377444"/>
      <w:bookmarkStart w:id="32" w:name="_Toc15377213"/>
      <w:bookmarkStart w:id="33" w:name="_Toc15378460"/>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val="0"/>
          <w:bCs w:val="0"/>
          <w:color w:val="auto"/>
          <w:sz w:val="32"/>
          <w:szCs w:val="32"/>
          <w:highlight w:val="none"/>
          <w:lang w:val="en-US" w:eastAsia="zh-CN"/>
        </w:rPr>
        <w:t>512.98</w:t>
      </w:r>
      <w:r>
        <w:rPr>
          <w:rFonts w:hint="eastAsia" w:ascii="仿宋" w:hAnsi="仿宋" w:eastAsia="仿宋"/>
          <w:b w:val="0"/>
          <w:bCs w:val="0"/>
          <w:color w:val="auto"/>
          <w:sz w:val="32"/>
          <w:szCs w:val="32"/>
          <w:highlight w:val="none"/>
        </w:rPr>
        <w:t>万元</w:t>
      </w:r>
      <w:r>
        <w:rPr>
          <w:rFonts w:hint="eastAsia" w:ascii="仿宋" w:hAnsi="仿宋" w:eastAsia="仿宋"/>
          <w:color w:val="auto"/>
          <w:sz w:val="32"/>
          <w:szCs w:val="32"/>
          <w:highlight w:val="none"/>
        </w:rPr>
        <w:t>，</w:t>
      </w:r>
      <w:r>
        <w:rPr>
          <w:rStyle w:val="18"/>
          <w:rFonts w:hint="eastAsia" w:ascii="仿宋" w:hAnsi="仿宋" w:eastAsia="仿宋"/>
          <w:bCs/>
          <w:color w:val="auto"/>
          <w:sz w:val="32"/>
          <w:szCs w:val="32"/>
          <w:highlight w:val="none"/>
        </w:rPr>
        <w:t>完成预算</w:t>
      </w:r>
      <w:r>
        <w:rPr>
          <w:rStyle w:val="18"/>
          <w:rFonts w:hint="eastAsia" w:ascii="仿宋" w:hAnsi="仿宋" w:eastAsia="仿宋"/>
          <w:bCs/>
          <w:color w:val="auto"/>
          <w:sz w:val="32"/>
          <w:szCs w:val="32"/>
          <w:highlight w:val="none"/>
          <w:lang w:val="en-US" w:eastAsia="zh-CN"/>
        </w:rPr>
        <w:t>98.65</w:t>
      </w:r>
      <w:r>
        <w:rPr>
          <w:rStyle w:val="18"/>
          <w:rFonts w:ascii="仿宋" w:hAnsi="仿宋" w:eastAsia="仿宋"/>
          <w:bCs/>
          <w:color w:val="auto"/>
          <w:sz w:val="32"/>
          <w:szCs w:val="32"/>
          <w:highlight w:val="none"/>
        </w:rPr>
        <w:t>%</w:t>
      </w:r>
      <w:r>
        <w:rPr>
          <w:rStyle w:val="18"/>
          <w:rFonts w:hint="eastAsia" w:ascii="仿宋" w:hAnsi="仿宋" w:eastAsia="仿宋"/>
          <w:bCs/>
          <w:color w:val="auto"/>
          <w:sz w:val="32"/>
          <w:szCs w:val="32"/>
          <w:highlight w:val="none"/>
        </w:rPr>
        <w:t>。其中：</w:t>
      </w:r>
      <w:bookmarkEnd w:id="31"/>
      <w:bookmarkEnd w:id="32"/>
      <w:bookmarkEnd w:id="33"/>
    </w:p>
    <w:p w14:paraId="0F3AD819">
      <w:pPr>
        <w:spacing w:line="600" w:lineRule="exact"/>
        <w:ind w:firstLine="643" w:firstLineChars="200"/>
        <w:rPr>
          <w:rFonts w:hint="eastAsia" w:ascii="仿宋_GB2312" w:eastAsia="仿宋_GB2312"/>
          <w:color w:val="000000"/>
          <w:sz w:val="32"/>
          <w:szCs w:val="32"/>
        </w:rPr>
      </w:pPr>
      <w:r>
        <w:rPr>
          <w:rStyle w:val="18"/>
          <w:rFonts w:hint="eastAsia" w:ascii="仿宋_GB2312" w:eastAsia="仿宋_GB2312"/>
          <w:color w:val="000000"/>
          <w:sz w:val="32"/>
          <w:szCs w:val="32"/>
        </w:rPr>
        <w:t>1.</w:t>
      </w:r>
      <w:r>
        <w:rPr>
          <w:rStyle w:val="18"/>
          <w:rFonts w:hint="eastAsia" w:ascii="仿宋_GB2312" w:eastAsia="仿宋_GB2312"/>
          <w:color w:val="000000"/>
          <w:sz w:val="32"/>
          <w:szCs w:val="32"/>
          <w:lang w:eastAsia="zh-CN"/>
        </w:rPr>
        <w:t>文化体育与传媒</w:t>
      </w:r>
      <w:r>
        <w:rPr>
          <w:rStyle w:val="18"/>
          <w:rFonts w:hint="eastAsia" w:ascii="仿宋_GB2312" w:eastAsia="仿宋_GB2312"/>
          <w:color w:val="000000"/>
          <w:sz w:val="32"/>
          <w:szCs w:val="32"/>
        </w:rPr>
        <w:t>（类）</w:t>
      </w:r>
      <w:r>
        <w:rPr>
          <w:rStyle w:val="18"/>
          <w:rFonts w:hint="eastAsia" w:ascii="仿宋_GB2312" w:eastAsia="仿宋_GB2312"/>
          <w:color w:val="000000"/>
          <w:sz w:val="32"/>
          <w:szCs w:val="32"/>
          <w:lang w:eastAsia="zh-CN"/>
        </w:rPr>
        <w:t>新闻出版广播影视</w:t>
      </w:r>
      <w:r>
        <w:rPr>
          <w:rStyle w:val="18"/>
          <w:rFonts w:hint="eastAsia" w:ascii="仿宋_GB2312" w:eastAsia="仿宋_GB2312"/>
          <w:color w:val="000000"/>
          <w:sz w:val="32"/>
          <w:szCs w:val="32"/>
        </w:rPr>
        <w:t>（款）</w:t>
      </w:r>
      <w:r>
        <w:rPr>
          <w:rStyle w:val="18"/>
          <w:rFonts w:hint="eastAsia" w:ascii="仿宋_GB2312" w:eastAsia="仿宋_GB2312"/>
          <w:color w:val="000000"/>
          <w:sz w:val="32"/>
          <w:szCs w:val="32"/>
          <w:lang w:eastAsia="zh-CN"/>
        </w:rPr>
        <w:t>行政运行</w:t>
      </w:r>
      <w:r>
        <w:rPr>
          <w:rStyle w:val="18"/>
          <w:rFonts w:hint="eastAsia" w:ascii="仿宋_GB2312" w:eastAsia="仿宋_GB2312"/>
          <w:color w:val="000000"/>
          <w:sz w:val="32"/>
          <w:szCs w:val="32"/>
        </w:rPr>
        <w:t>（项）:</w:t>
      </w:r>
      <w:r>
        <w:rPr>
          <w:rFonts w:hint="eastAsia" w:ascii="仿宋_GB2312" w:eastAsia="仿宋_GB2312"/>
          <w:color w:val="000000"/>
          <w:sz w:val="32"/>
          <w:szCs w:val="32"/>
        </w:rPr>
        <w:t>20</w:t>
      </w:r>
      <w:r>
        <w:rPr>
          <w:rFonts w:hint="eastAsia" w:ascii="仿宋_GB2312" w:eastAsia="仿宋_GB2312"/>
          <w:color w:val="000000"/>
          <w:sz w:val="32"/>
          <w:szCs w:val="32"/>
          <w:lang w:val="en-US" w:eastAsia="zh-CN"/>
        </w:rPr>
        <w:t>22</w:t>
      </w:r>
      <w:r>
        <w:rPr>
          <w:rFonts w:hint="eastAsia" w:ascii="仿宋_GB2312" w:eastAsia="仿宋_GB2312"/>
          <w:color w:val="000000"/>
          <w:sz w:val="32"/>
          <w:szCs w:val="32"/>
        </w:rPr>
        <w:t>年</w:t>
      </w:r>
      <w:r>
        <w:rPr>
          <w:rFonts w:hint="eastAsia" w:ascii="仿宋_GB2312" w:eastAsia="仿宋_GB2312"/>
          <w:color w:val="000000"/>
          <w:sz w:val="32"/>
          <w:szCs w:val="32"/>
          <w:highlight w:val="none"/>
          <w:lang w:val="en-US" w:eastAsia="zh-CN"/>
        </w:rPr>
        <w:t>预算数为</w:t>
      </w:r>
      <w:r>
        <w:rPr>
          <w:rFonts w:hint="eastAsia" w:ascii="仿宋" w:hAnsi="仿宋" w:eastAsia="仿宋"/>
          <w:b w:val="0"/>
          <w:bCs w:val="0"/>
          <w:color w:val="auto"/>
          <w:sz w:val="32"/>
          <w:szCs w:val="32"/>
          <w:highlight w:val="none"/>
          <w:lang w:val="en-US" w:eastAsia="zh-CN"/>
        </w:rPr>
        <w:t>452.98</w:t>
      </w:r>
      <w:r>
        <w:rPr>
          <w:rFonts w:hint="eastAsia" w:ascii="仿宋_GB2312" w:eastAsia="仿宋_GB2312"/>
          <w:color w:val="000000"/>
          <w:sz w:val="32"/>
          <w:szCs w:val="32"/>
          <w:highlight w:val="none"/>
          <w:lang w:val="en-US" w:eastAsia="zh-CN"/>
        </w:rPr>
        <w:t>万元，</w:t>
      </w:r>
      <w:r>
        <w:rPr>
          <w:rFonts w:hint="eastAsia" w:ascii="仿宋_GB2312" w:eastAsia="仿宋_GB2312"/>
          <w:color w:val="000000"/>
          <w:sz w:val="32"/>
          <w:szCs w:val="32"/>
        </w:rPr>
        <w:t>决算数为</w:t>
      </w:r>
      <w:r>
        <w:rPr>
          <w:rFonts w:hint="eastAsia" w:ascii="仿宋" w:hAnsi="仿宋" w:eastAsia="仿宋"/>
          <w:b w:val="0"/>
          <w:bCs w:val="0"/>
          <w:color w:val="auto"/>
          <w:sz w:val="32"/>
          <w:szCs w:val="32"/>
          <w:highlight w:val="none"/>
          <w:lang w:val="en-US" w:eastAsia="zh-CN"/>
        </w:rPr>
        <w:t>445.98</w:t>
      </w:r>
      <w:r>
        <w:rPr>
          <w:rFonts w:hint="eastAsia" w:ascii="仿宋_GB2312" w:eastAsia="仿宋_GB2312"/>
          <w:color w:val="000000"/>
          <w:sz w:val="32"/>
          <w:szCs w:val="32"/>
        </w:rPr>
        <w:t>万元，完成预算</w:t>
      </w:r>
      <w:r>
        <w:rPr>
          <w:rFonts w:hint="eastAsia" w:ascii="仿宋_GB2312" w:eastAsia="仿宋_GB2312"/>
          <w:color w:val="000000"/>
          <w:sz w:val="32"/>
          <w:szCs w:val="32"/>
          <w:lang w:val="en-US" w:eastAsia="zh-CN"/>
        </w:rPr>
        <w:t>98.65</w:t>
      </w:r>
      <w:r>
        <w:rPr>
          <w:rFonts w:hint="eastAsia" w:ascii="仿宋_GB2312" w:eastAsia="仿宋_GB2312"/>
          <w:color w:val="000000"/>
          <w:sz w:val="32"/>
          <w:szCs w:val="32"/>
        </w:rPr>
        <w:t>%。</w:t>
      </w:r>
      <w:r>
        <w:rPr>
          <w:rFonts w:hint="eastAsia" w:ascii="仿宋_GB2312" w:eastAsia="仿宋_GB2312"/>
          <w:color w:val="000000"/>
          <w:sz w:val="32"/>
          <w:szCs w:val="32"/>
        </w:rPr>
        <w:br w:type="textWrapping"/>
      </w:r>
      <w:r>
        <w:rPr>
          <w:rFonts w:hint="eastAsia" w:ascii="仿宋_GB2312" w:eastAsia="仿宋_GB2312"/>
          <w:color w:val="000000"/>
          <w:sz w:val="32"/>
          <w:szCs w:val="32"/>
        </w:rPr>
        <w:t>　　</w:t>
      </w:r>
      <w:r>
        <w:rPr>
          <w:rStyle w:val="18"/>
          <w:rFonts w:hint="eastAsia" w:ascii="仿宋_GB2312" w:eastAsia="仿宋_GB2312"/>
          <w:color w:val="000000"/>
          <w:sz w:val="32"/>
          <w:szCs w:val="32"/>
          <w:lang w:val="en-US" w:eastAsia="zh-CN"/>
        </w:rPr>
        <w:t>2</w:t>
      </w:r>
      <w:r>
        <w:rPr>
          <w:rStyle w:val="18"/>
          <w:rFonts w:hint="eastAsia" w:ascii="仿宋_GB2312" w:eastAsia="仿宋_GB2312"/>
          <w:color w:val="000000"/>
          <w:sz w:val="32"/>
          <w:szCs w:val="32"/>
        </w:rPr>
        <w:t>.社会保障和就业（类）</w:t>
      </w:r>
      <w:r>
        <w:rPr>
          <w:rStyle w:val="18"/>
          <w:rFonts w:hint="eastAsia" w:ascii="仿宋_GB2312" w:eastAsia="仿宋_GB2312"/>
          <w:color w:val="000000"/>
          <w:sz w:val="32"/>
          <w:szCs w:val="32"/>
          <w:lang w:eastAsia="zh-CN"/>
        </w:rPr>
        <w:t>行政事业单位离退休</w:t>
      </w:r>
      <w:r>
        <w:rPr>
          <w:rStyle w:val="18"/>
          <w:rFonts w:hint="eastAsia" w:ascii="仿宋_GB2312" w:eastAsia="仿宋_GB2312"/>
          <w:color w:val="000000"/>
          <w:sz w:val="32"/>
          <w:szCs w:val="32"/>
        </w:rPr>
        <w:t>（款）</w:t>
      </w:r>
      <w:r>
        <w:rPr>
          <w:rStyle w:val="18"/>
          <w:rFonts w:hint="eastAsia" w:ascii="仿宋_GB2312" w:eastAsia="仿宋_GB2312"/>
          <w:color w:val="000000"/>
          <w:sz w:val="32"/>
          <w:szCs w:val="32"/>
          <w:lang w:eastAsia="zh-CN"/>
        </w:rPr>
        <w:t>机关事业单位基本养老保险缴费支出</w:t>
      </w:r>
      <w:r>
        <w:rPr>
          <w:rStyle w:val="18"/>
          <w:rFonts w:hint="eastAsia" w:ascii="仿宋_GB2312" w:eastAsia="仿宋_GB2312"/>
          <w:color w:val="000000"/>
          <w:sz w:val="32"/>
          <w:szCs w:val="32"/>
        </w:rPr>
        <w:t>（项）:</w:t>
      </w:r>
      <w:r>
        <w:rPr>
          <w:rFonts w:hint="eastAsia" w:ascii="仿宋_GB2312" w:eastAsia="仿宋_GB2312"/>
          <w:color w:val="000000"/>
          <w:sz w:val="32"/>
          <w:szCs w:val="32"/>
        </w:rPr>
        <w:t>20</w:t>
      </w:r>
      <w:r>
        <w:rPr>
          <w:rFonts w:hint="eastAsia" w:ascii="仿宋_GB2312" w:eastAsia="仿宋_GB2312"/>
          <w:color w:val="000000"/>
          <w:sz w:val="32"/>
          <w:szCs w:val="32"/>
          <w:lang w:val="en-US" w:eastAsia="zh-CN"/>
        </w:rPr>
        <w:t>22</w:t>
      </w:r>
      <w:r>
        <w:rPr>
          <w:rFonts w:hint="eastAsia" w:ascii="仿宋_GB2312" w:eastAsia="仿宋_GB2312"/>
          <w:color w:val="000000"/>
          <w:sz w:val="32"/>
          <w:szCs w:val="32"/>
        </w:rPr>
        <w:t>年</w:t>
      </w:r>
      <w:r>
        <w:rPr>
          <w:rFonts w:hint="eastAsia" w:ascii="仿宋_GB2312" w:eastAsia="仿宋_GB2312"/>
          <w:color w:val="000000"/>
          <w:sz w:val="32"/>
          <w:szCs w:val="32"/>
          <w:highlight w:val="none"/>
          <w:lang w:val="en-US" w:eastAsia="zh-CN"/>
        </w:rPr>
        <w:t>预算数为</w:t>
      </w:r>
      <w:r>
        <w:rPr>
          <w:rFonts w:hint="eastAsia" w:ascii="仿宋" w:hAnsi="仿宋" w:eastAsia="仿宋"/>
          <w:color w:val="auto"/>
          <w:sz w:val="32"/>
          <w:szCs w:val="32"/>
          <w:highlight w:val="none"/>
          <w:lang w:val="en-US" w:eastAsia="zh-CN"/>
        </w:rPr>
        <w:t>31.37</w:t>
      </w:r>
      <w:r>
        <w:rPr>
          <w:rFonts w:hint="eastAsia" w:ascii="仿宋_GB2312" w:eastAsia="仿宋_GB2312"/>
          <w:color w:val="000000"/>
          <w:sz w:val="32"/>
          <w:szCs w:val="32"/>
          <w:highlight w:val="none"/>
          <w:lang w:val="en-US" w:eastAsia="zh-CN"/>
        </w:rPr>
        <w:t>万元，</w:t>
      </w:r>
      <w:r>
        <w:rPr>
          <w:rFonts w:hint="eastAsia" w:ascii="仿宋_GB2312" w:eastAsia="仿宋_GB2312"/>
          <w:color w:val="000000"/>
          <w:sz w:val="32"/>
          <w:szCs w:val="32"/>
        </w:rPr>
        <w:t>决算数为</w:t>
      </w:r>
      <w:r>
        <w:rPr>
          <w:rFonts w:hint="eastAsia" w:ascii="仿宋" w:hAnsi="仿宋" w:eastAsia="仿宋"/>
          <w:color w:val="auto"/>
          <w:sz w:val="32"/>
          <w:szCs w:val="32"/>
          <w:highlight w:val="none"/>
          <w:lang w:val="en-US" w:eastAsia="zh-CN"/>
        </w:rPr>
        <w:t>31.37</w:t>
      </w:r>
      <w:r>
        <w:rPr>
          <w:rFonts w:hint="eastAsia" w:ascii="仿宋_GB2312" w:eastAsia="仿宋_GB2312"/>
          <w:color w:val="000000"/>
          <w:sz w:val="32"/>
          <w:szCs w:val="32"/>
          <w:lang w:val="en-US" w:eastAsia="zh-CN"/>
        </w:rPr>
        <w:t>万</w:t>
      </w:r>
      <w:r>
        <w:rPr>
          <w:rFonts w:hint="eastAsia" w:ascii="仿宋_GB2312" w:eastAsia="仿宋_GB2312"/>
          <w:color w:val="000000"/>
          <w:sz w:val="32"/>
          <w:szCs w:val="32"/>
        </w:rPr>
        <w:t>元，完成预算</w:t>
      </w:r>
      <w:r>
        <w:rPr>
          <w:rFonts w:hint="eastAsia" w:ascii="仿宋_GB2312"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rPr>
        <w:br w:type="textWrapping"/>
      </w:r>
      <w:r>
        <w:rPr>
          <w:rFonts w:hint="eastAsia" w:ascii="仿宋_GB2312" w:eastAsia="仿宋_GB2312"/>
          <w:color w:val="000000"/>
          <w:sz w:val="32"/>
          <w:szCs w:val="32"/>
        </w:rPr>
        <w:t>　　</w:t>
      </w:r>
      <w:r>
        <w:rPr>
          <w:rStyle w:val="18"/>
          <w:rFonts w:hint="eastAsia" w:ascii="仿宋_GB2312" w:eastAsia="仿宋_GB2312"/>
          <w:color w:val="000000"/>
          <w:sz w:val="32"/>
          <w:szCs w:val="32"/>
          <w:lang w:val="en-US" w:eastAsia="zh-CN"/>
        </w:rPr>
        <w:t>3</w:t>
      </w:r>
      <w:r>
        <w:rPr>
          <w:rStyle w:val="18"/>
          <w:rFonts w:hint="eastAsia" w:ascii="仿宋_GB2312" w:eastAsia="仿宋_GB2312"/>
          <w:color w:val="000000"/>
          <w:sz w:val="32"/>
          <w:szCs w:val="32"/>
        </w:rPr>
        <w:t>.医疗卫生与计划生育（类）</w:t>
      </w:r>
      <w:r>
        <w:rPr>
          <w:rStyle w:val="18"/>
          <w:rFonts w:hint="eastAsia" w:ascii="仿宋_GB2312" w:eastAsia="仿宋_GB2312"/>
          <w:color w:val="000000"/>
          <w:sz w:val="32"/>
          <w:szCs w:val="32"/>
          <w:lang w:eastAsia="zh-CN"/>
        </w:rPr>
        <w:t>医疗保障</w:t>
      </w:r>
      <w:r>
        <w:rPr>
          <w:rStyle w:val="18"/>
          <w:rFonts w:hint="eastAsia" w:ascii="仿宋_GB2312" w:eastAsia="仿宋_GB2312"/>
          <w:color w:val="000000"/>
          <w:sz w:val="32"/>
          <w:szCs w:val="32"/>
        </w:rPr>
        <w:t>（款）</w:t>
      </w:r>
      <w:r>
        <w:rPr>
          <w:rStyle w:val="18"/>
          <w:rFonts w:hint="eastAsia" w:ascii="仿宋_GB2312" w:eastAsia="仿宋_GB2312"/>
          <w:color w:val="000000"/>
          <w:sz w:val="32"/>
          <w:szCs w:val="32"/>
          <w:lang w:eastAsia="zh-CN"/>
        </w:rPr>
        <w:t>事业单位医疗</w:t>
      </w:r>
      <w:r>
        <w:rPr>
          <w:rStyle w:val="18"/>
          <w:rFonts w:hint="eastAsia" w:ascii="仿宋_GB2312" w:eastAsia="仿宋_GB2312"/>
          <w:color w:val="000000"/>
          <w:sz w:val="32"/>
          <w:szCs w:val="32"/>
        </w:rPr>
        <w:t>（项）:</w:t>
      </w:r>
      <w:r>
        <w:rPr>
          <w:rFonts w:hint="eastAsia" w:ascii="仿宋_GB2312" w:eastAsia="仿宋_GB2312"/>
          <w:color w:val="000000"/>
          <w:sz w:val="32"/>
          <w:szCs w:val="32"/>
        </w:rPr>
        <w:t>20</w:t>
      </w:r>
      <w:r>
        <w:rPr>
          <w:rFonts w:hint="eastAsia" w:ascii="仿宋_GB2312" w:eastAsia="仿宋_GB2312"/>
          <w:color w:val="000000"/>
          <w:sz w:val="32"/>
          <w:szCs w:val="32"/>
          <w:lang w:val="en-US" w:eastAsia="zh-CN"/>
        </w:rPr>
        <w:t>22</w:t>
      </w:r>
      <w:r>
        <w:rPr>
          <w:rFonts w:hint="eastAsia" w:ascii="仿宋_GB2312" w:eastAsia="仿宋_GB2312"/>
          <w:color w:val="000000"/>
          <w:sz w:val="32"/>
          <w:szCs w:val="32"/>
        </w:rPr>
        <w:t>年</w:t>
      </w:r>
      <w:r>
        <w:rPr>
          <w:rFonts w:hint="eastAsia" w:ascii="仿宋_GB2312" w:eastAsia="仿宋_GB2312"/>
          <w:color w:val="000000"/>
          <w:sz w:val="32"/>
          <w:szCs w:val="32"/>
          <w:highlight w:val="none"/>
          <w:lang w:val="en-US" w:eastAsia="zh-CN"/>
        </w:rPr>
        <w:t>预算数为</w:t>
      </w:r>
      <w:r>
        <w:rPr>
          <w:rFonts w:hint="eastAsia" w:ascii="仿宋" w:hAnsi="仿宋" w:eastAsia="仿宋"/>
          <w:color w:val="auto"/>
          <w:sz w:val="32"/>
          <w:szCs w:val="32"/>
          <w:highlight w:val="none"/>
          <w:lang w:val="en-US" w:eastAsia="zh-CN"/>
        </w:rPr>
        <w:t>11.98</w:t>
      </w:r>
      <w:r>
        <w:rPr>
          <w:rFonts w:hint="eastAsia" w:ascii="仿宋_GB2312" w:eastAsia="仿宋_GB2312"/>
          <w:color w:val="000000"/>
          <w:sz w:val="32"/>
          <w:szCs w:val="32"/>
          <w:highlight w:val="none"/>
          <w:lang w:val="en-US" w:eastAsia="zh-CN"/>
        </w:rPr>
        <w:t>万元，</w:t>
      </w:r>
      <w:r>
        <w:rPr>
          <w:rFonts w:hint="eastAsia" w:ascii="仿宋_GB2312" w:eastAsia="仿宋_GB2312"/>
          <w:color w:val="000000"/>
          <w:sz w:val="32"/>
          <w:szCs w:val="32"/>
        </w:rPr>
        <w:t>决算数为</w:t>
      </w:r>
      <w:r>
        <w:rPr>
          <w:rFonts w:hint="eastAsia" w:ascii="仿宋" w:hAnsi="仿宋" w:eastAsia="仿宋"/>
          <w:color w:val="auto"/>
          <w:sz w:val="32"/>
          <w:szCs w:val="32"/>
          <w:highlight w:val="none"/>
          <w:lang w:val="en-US" w:eastAsia="zh-CN"/>
        </w:rPr>
        <w:t>11.98</w:t>
      </w:r>
      <w:r>
        <w:rPr>
          <w:rFonts w:hint="eastAsia" w:ascii="仿宋_GB2312" w:eastAsia="仿宋_GB2312"/>
          <w:color w:val="000000"/>
          <w:sz w:val="32"/>
          <w:szCs w:val="32"/>
        </w:rPr>
        <w:t>万元，完成预算</w:t>
      </w:r>
      <w:r>
        <w:rPr>
          <w:rFonts w:hint="eastAsia" w:ascii="仿宋_GB2312" w:eastAsia="仿宋_GB2312"/>
          <w:color w:val="000000"/>
          <w:sz w:val="32"/>
          <w:szCs w:val="32"/>
          <w:lang w:val="en-US" w:eastAsia="zh-CN"/>
        </w:rPr>
        <w:t>100</w:t>
      </w:r>
      <w:r>
        <w:rPr>
          <w:rFonts w:hint="eastAsia" w:ascii="仿宋_GB2312" w:eastAsia="仿宋_GB2312"/>
          <w:color w:val="000000"/>
          <w:sz w:val="32"/>
          <w:szCs w:val="32"/>
        </w:rPr>
        <w:t>%。</w:t>
      </w:r>
    </w:p>
    <w:p w14:paraId="3BF29725">
      <w:pPr>
        <w:spacing w:line="600" w:lineRule="exact"/>
        <w:ind w:firstLine="643" w:firstLineChars="200"/>
        <w:rPr>
          <w:rFonts w:hint="eastAsia" w:ascii="仿宋_GB2312" w:eastAsia="仿宋_GB2312"/>
          <w:color w:val="000000"/>
          <w:sz w:val="32"/>
          <w:szCs w:val="32"/>
        </w:rPr>
      </w:pPr>
      <w:r>
        <w:rPr>
          <w:rStyle w:val="18"/>
          <w:rFonts w:hint="eastAsia" w:ascii="仿宋_GB2312" w:eastAsia="仿宋_GB2312"/>
          <w:color w:val="000000"/>
          <w:sz w:val="32"/>
          <w:szCs w:val="32"/>
          <w:lang w:val="en-US" w:eastAsia="zh-CN"/>
        </w:rPr>
        <w:t>4</w:t>
      </w:r>
      <w:r>
        <w:rPr>
          <w:rStyle w:val="18"/>
          <w:rFonts w:hint="eastAsia" w:ascii="仿宋_GB2312" w:eastAsia="仿宋_GB2312"/>
          <w:color w:val="000000"/>
          <w:sz w:val="32"/>
          <w:szCs w:val="32"/>
        </w:rPr>
        <w:t>.</w:t>
      </w:r>
      <w:r>
        <w:rPr>
          <w:rStyle w:val="18"/>
          <w:rFonts w:hint="eastAsia" w:ascii="仿宋_GB2312" w:eastAsia="仿宋_GB2312"/>
          <w:color w:val="000000"/>
          <w:sz w:val="32"/>
          <w:szCs w:val="32"/>
          <w:lang w:eastAsia="zh-CN"/>
        </w:rPr>
        <w:t>住房保障</w:t>
      </w:r>
      <w:r>
        <w:rPr>
          <w:rStyle w:val="18"/>
          <w:rFonts w:hint="eastAsia" w:ascii="仿宋_GB2312" w:eastAsia="仿宋_GB2312"/>
          <w:color w:val="000000"/>
          <w:sz w:val="32"/>
          <w:szCs w:val="32"/>
        </w:rPr>
        <w:t>（类）</w:t>
      </w:r>
      <w:r>
        <w:rPr>
          <w:rStyle w:val="18"/>
          <w:rFonts w:hint="eastAsia" w:ascii="仿宋_GB2312" w:eastAsia="仿宋_GB2312"/>
          <w:color w:val="000000"/>
          <w:sz w:val="32"/>
          <w:szCs w:val="32"/>
          <w:lang w:eastAsia="zh-CN"/>
        </w:rPr>
        <w:t>住房改革支出</w:t>
      </w:r>
      <w:r>
        <w:rPr>
          <w:rStyle w:val="18"/>
          <w:rFonts w:hint="eastAsia" w:ascii="仿宋_GB2312" w:eastAsia="仿宋_GB2312"/>
          <w:color w:val="000000"/>
          <w:sz w:val="32"/>
          <w:szCs w:val="32"/>
        </w:rPr>
        <w:t>（款）</w:t>
      </w:r>
      <w:r>
        <w:rPr>
          <w:rStyle w:val="18"/>
          <w:rFonts w:hint="eastAsia" w:ascii="仿宋_GB2312" w:eastAsia="仿宋_GB2312"/>
          <w:color w:val="000000"/>
          <w:sz w:val="32"/>
          <w:szCs w:val="32"/>
          <w:lang w:eastAsia="zh-CN"/>
        </w:rPr>
        <w:t>住房公积金</w:t>
      </w:r>
      <w:r>
        <w:rPr>
          <w:rStyle w:val="18"/>
          <w:rFonts w:hint="eastAsia" w:ascii="仿宋_GB2312" w:eastAsia="仿宋_GB2312"/>
          <w:color w:val="000000"/>
          <w:sz w:val="32"/>
          <w:szCs w:val="32"/>
        </w:rPr>
        <w:t>（项）:</w:t>
      </w:r>
      <w:r>
        <w:rPr>
          <w:rFonts w:hint="eastAsia" w:ascii="仿宋_GB2312" w:eastAsia="仿宋_GB2312"/>
          <w:color w:val="000000"/>
          <w:sz w:val="32"/>
          <w:szCs w:val="32"/>
        </w:rPr>
        <w:t>20</w:t>
      </w:r>
      <w:r>
        <w:rPr>
          <w:rFonts w:hint="eastAsia" w:ascii="仿宋_GB2312" w:eastAsia="仿宋_GB2312"/>
          <w:color w:val="000000"/>
          <w:sz w:val="32"/>
          <w:szCs w:val="32"/>
          <w:lang w:val="en-US" w:eastAsia="zh-CN"/>
        </w:rPr>
        <w:t>22</w:t>
      </w:r>
      <w:r>
        <w:rPr>
          <w:rFonts w:hint="eastAsia" w:ascii="仿宋_GB2312" w:eastAsia="仿宋_GB2312"/>
          <w:color w:val="000000"/>
          <w:sz w:val="32"/>
          <w:szCs w:val="32"/>
        </w:rPr>
        <w:t>年</w:t>
      </w:r>
      <w:r>
        <w:rPr>
          <w:rFonts w:hint="eastAsia" w:ascii="仿宋_GB2312" w:eastAsia="仿宋_GB2312"/>
          <w:color w:val="000000"/>
          <w:sz w:val="32"/>
          <w:szCs w:val="32"/>
          <w:highlight w:val="none"/>
          <w:lang w:val="en-US" w:eastAsia="zh-CN"/>
        </w:rPr>
        <w:t>预算数为</w:t>
      </w:r>
      <w:r>
        <w:rPr>
          <w:rFonts w:hint="eastAsia" w:ascii="仿宋" w:hAnsi="仿宋" w:eastAsia="仿宋"/>
          <w:color w:val="auto"/>
          <w:sz w:val="32"/>
          <w:szCs w:val="32"/>
          <w:highlight w:val="none"/>
          <w:lang w:val="en-US" w:eastAsia="zh-CN"/>
        </w:rPr>
        <w:t>23.64</w:t>
      </w:r>
      <w:r>
        <w:rPr>
          <w:rFonts w:hint="eastAsia" w:ascii="仿宋_GB2312" w:eastAsia="仿宋_GB2312"/>
          <w:color w:val="000000"/>
          <w:sz w:val="32"/>
          <w:szCs w:val="32"/>
          <w:highlight w:val="none"/>
          <w:lang w:val="en-US" w:eastAsia="zh-CN"/>
        </w:rPr>
        <w:t>万元，</w:t>
      </w:r>
      <w:r>
        <w:rPr>
          <w:rFonts w:hint="eastAsia" w:ascii="仿宋_GB2312" w:eastAsia="仿宋_GB2312"/>
          <w:color w:val="000000"/>
          <w:sz w:val="32"/>
          <w:szCs w:val="32"/>
        </w:rPr>
        <w:t>决算数为</w:t>
      </w:r>
      <w:r>
        <w:rPr>
          <w:rFonts w:hint="eastAsia" w:ascii="仿宋" w:hAnsi="仿宋" w:eastAsia="仿宋"/>
          <w:color w:val="auto"/>
          <w:sz w:val="32"/>
          <w:szCs w:val="32"/>
          <w:highlight w:val="none"/>
          <w:lang w:val="en-US" w:eastAsia="zh-CN"/>
        </w:rPr>
        <w:t>23.64</w:t>
      </w:r>
      <w:r>
        <w:rPr>
          <w:rFonts w:hint="eastAsia" w:ascii="仿宋_GB2312" w:eastAsia="仿宋_GB2312"/>
          <w:color w:val="000000"/>
          <w:sz w:val="32"/>
          <w:szCs w:val="32"/>
        </w:rPr>
        <w:t>万元，完成预算</w:t>
      </w:r>
      <w:r>
        <w:rPr>
          <w:rFonts w:hint="eastAsia" w:ascii="仿宋_GB2312" w:eastAsia="仿宋_GB2312"/>
          <w:color w:val="000000"/>
          <w:sz w:val="32"/>
          <w:szCs w:val="32"/>
          <w:lang w:val="en-US" w:eastAsia="zh-CN"/>
        </w:rPr>
        <w:t>100</w:t>
      </w:r>
      <w:r>
        <w:rPr>
          <w:rFonts w:hint="eastAsia" w:ascii="仿宋_GB2312" w:eastAsia="仿宋_GB2312"/>
          <w:color w:val="000000"/>
          <w:sz w:val="32"/>
          <w:szCs w:val="32"/>
        </w:rPr>
        <w:t>%。</w:t>
      </w:r>
    </w:p>
    <w:p w14:paraId="29396200">
      <w:pPr>
        <w:tabs>
          <w:tab w:val="right" w:pos="8306"/>
        </w:tabs>
        <w:spacing w:line="600" w:lineRule="exact"/>
        <w:ind w:firstLine="640"/>
        <w:outlineLvl w:val="1"/>
        <w:rPr>
          <w:rStyle w:val="29"/>
          <w:color w:val="auto"/>
          <w:highlight w:val="none"/>
        </w:rPr>
      </w:pPr>
      <w:bookmarkStart w:id="34" w:name="_Toc15377214"/>
      <w:bookmarkStart w:id="35"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般公共预算财政拨款基本支出决算情况说明</w:t>
      </w:r>
      <w:bookmarkEnd w:id="34"/>
      <w:bookmarkEnd w:id="35"/>
      <w:r>
        <w:rPr>
          <w:rStyle w:val="29"/>
          <w:rFonts w:ascii="黑体" w:hAnsi="黑体" w:eastAsia="黑体"/>
          <w:b w:val="0"/>
          <w:color w:val="auto"/>
          <w:highlight w:val="none"/>
        </w:rPr>
        <w:tab/>
      </w:r>
    </w:p>
    <w:p w14:paraId="37DC7703">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万元，其中：</w:t>
      </w:r>
    </w:p>
    <w:p w14:paraId="0B56A618">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275.24</w:t>
      </w:r>
      <w:r>
        <w:rPr>
          <w:rFonts w:hint="eastAsia" w:ascii="仿宋" w:hAnsi="仿宋" w:eastAsia="仿宋"/>
          <w:color w:val="auto"/>
          <w:sz w:val="32"/>
          <w:szCs w:val="32"/>
          <w:highlight w:val="none"/>
        </w:rPr>
        <w:t>万元，主要包括：基本工资、津贴补贴、绩效工资、机关事业单位基本养老保险缴费、职业年金缴费、其他社会保障缴费、其他工资福利支出、医疗费补助、住房公积金、其他对个人和家庭的补助支出等。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237.74</w:t>
      </w:r>
      <w:r>
        <w:rPr>
          <w:rFonts w:hint="eastAsia" w:ascii="仿宋" w:hAnsi="仿宋" w:eastAsia="仿宋"/>
          <w:color w:val="auto"/>
          <w:sz w:val="32"/>
          <w:szCs w:val="32"/>
          <w:highlight w:val="none"/>
        </w:rPr>
        <w:t>万元，主要包括：办公费、印刷费、水费、电费、邮电费、物业管理费、差旅费、维修（护）费、租赁费、会议费、培训费、公务接待费、劳务费、工会经费、其他交通费、税金及附加费用、其他商品和服务支出等。</w:t>
      </w:r>
    </w:p>
    <w:p w14:paraId="296B8D22">
      <w:pPr>
        <w:spacing w:line="600" w:lineRule="exact"/>
        <w:ind w:firstLine="640"/>
        <w:outlineLvl w:val="1"/>
        <w:rPr>
          <w:rStyle w:val="29"/>
          <w:rFonts w:ascii="黑体" w:hAnsi="黑体" w:eastAsia="黑体"/>
          <w:b w:val="0"/>
          <w:color w:val="auto"/>
          <w:highlight w:val="none"/>
        </w:rPr>
      </w:pPr>
      <w:bookmarkStart w:id="36" w:name="_Toc15377215"/>
      <w:bookmarkStart w:id="37" w:name="_Toc15396609"/>
      <w:r>
        <w:rPr>
          <w:rFonts w:hint="eastAsia" w:ascii="黑体" w:eastAsia="黑体"/>
          <w:color w:val="auto"/>
          <w:sz w:val="32"/>
          <w:szCs w:val="32"/>
          <w:highlight w:val="none"/>
        </w:rPr>
        <w:t>七、</w:t>
      </w:r>
      <w:r>
        <w:rPr>
          <w:rStyle w:val="29"/>
          <w:rFonts w:hint="eastAsia" w:ascii="黑体" w:hAnsi="黑体" w:eastAsia="黑体"/>
          <w:b w:val="0"/>
          <w:color w:val="auto"/>
          <w:highlight w:val="none"/>
        </w:rPr>
        <w:t>财政拨款</w:t>
      </w:r>
      <w:r>
        <w:rPr>
          <w:rStyle w:val="29"/>
          <w:rFonts w:hint="eastAsia" w:ascii="黑体" w:hAnsi="黑体" w:eastAsia="黑体"/>
          <w:b w:val="0"/>
          <w:color w:val="auto"/>
          <w:highlight w:val="none"/>
          <w:lang w:eastAsia="zh-CN"/>
        </w:rPr>
        <w:t>“</w:t>
      </w:r>
      <w:r>
        <w:rPr>
          <w:rStyle w:val="29"/>
          <w:rFonts w:hint="eastAsia" w:ascii="黑体" w:hAnsi="黑体" w:eastAsia="黑体"/>
          <w:b w:val="0"/>
          <w:color w:val="auto"/>
          <w:highlight w:val="none"/>
        </w:rPr>
        <w:t>三公”经费支出决算情况说明</w:t>
      </w:r>
      <w:bookmarkEnd w:id="36"/>
      <w:bookmarkEnd w:id="37"/>
    </w:p>
    <w:p w14:paraId="3C399910">
      <w:pPr>
        <w:spacing w:line="600" w:lineRule="exact"/>
        <w:ind w:firstLine="640"/>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14:paraId="67218CB6">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0.36</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18.46</w:t>
      </w:r>
      <w:r>
        <w:rPr>
          <w:rFonts w:ascii="仿宋" w:hAnsi="仿宋" w:eastAsia="仿宋"/>
          <w:color w:val="auto"/>
          <w:sz w:val="32"/>
          <w:szCs w:val="32"/>
          <w:highlight w:val="none"/>
        </w:rPr>
        <w:t>%</w:t>
      </w:r>
      <w:r>
        <w:rPr>
          <w:rFonts w:hint="eastAsia" w:ascii="仿宋" w:hAnsi="仿宋" w:eastAsia="仿宋"/>
          <w:color w:val="auto"/>
          <w:sz w:val="32"/>
          <w:szCs w:val="32"/>
          <w:highlight w:val="none"/>
        </w:rPr>
        <w:t>，决算数小于预算数的主要原因是</w:t>
      </w:r>
      <w:r>
        <w:rPr>
          <w:rFonts w:hint="eastAsia" w:ascii="仿宋_GB2312" w:eastAsia="仿宋_GB2312"/>
          <w:color w:val="333333"/>
          <w:sz w:val="32"/>
          <w:szCs w:val="32"/>
          <w:lang w:val="en-US" w:eastAsia="zh-CN"/>
        </w:rPr>
        <w:t>区融媒体中心</w:t>
      </w:r>
      <w:r>
        <w:rPr>
          <w:rFonts w:hint="eastAsia" w:ascii="仿宋_GB2312" w:eastAsia="仿宋_GB2312"/>
          <w:color w:val="333333"/>
          <w:sz w:val="32"/>
          <w:szCs w:val="32"/>
          <w:lang w:eastAsia="zh-CN"/>
        </w:rPr>
        <w:t>按照年初预算，严格控制三公经费支出</w:t>
      </w:r>
      <w:r>
        <w:rPr>
          <w:rFonts w:hint="eastAsia" w:ascii="仿宋_GB2312" w:eastAsia="仿宋_GB2312"/>
          <w:color w:val="333333"/>
          <w:sz w:val="32"/>
          <w:szCs w:val="32"/>
        </w:rPr>
        <w:t>。</w:t>
      </w:r>
    </w:p>
    <w:p w14:paraId="7866EC0E">
      <w:pPr>
        <w:spacing w:line="600" w:lineRule="exact"/>
        <w:ind w:firstLine="640"/>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14:paraId="4855FD3C">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_GB2312" w:eastAsia="仿宋_GB2312"/>
          <w:color w:val="333333"/>
          <w:sz w:val="32"/>
          <w:szCs w:val="32"/>
        </w:rPr>
        <w:t>年初预算</w:t>
      </w:r>
      <w:r>
        <w:rPr>
          <w:rFonts w:hint="eastAsia" w:ascii="仿宋_GB2312" w:eastAsia="仿宋_GB2312"/>
          <w:color w:val="333333"/>
          <w:sz w:val="32"/>
          <w:szCs w:val="32"/>
          <w:lang w:val="en-US" w:eastAsia="zh-CN"/>
        </w:rPr>
        <w:t>为0万元，与上年持平</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_GB2312" w:eastAsia="仿宋_GB2312"/>
          <w:color w:val="333333"/>
          <w:sz w:val="32"/>
          <w:szCs w:val="32"/>
        </w:rPr>
        <w:t>年初预算</w:t>
      </w:r>
      <w:r>
        <w:rPr>
          <w:rFonts w:hint="eastAsia" w:ascii="仿宋_GB2312" w:eastAsia="仿宋_GB2312"/>
          <w:color w:val="333333"/>
          <w:sz w:val="32"/>
          <w:szCs w:val="32"/>
          <w:lang w:val="en-US" w:eastAsia="zh-CN"/>
        </w:rPr>
        <w:t>为0万元，与上年持平</w:t>
      </w:r>
      <w:r>
        <w:rPr>
          <w:rFonts w:hint="eastAsia" w:ascii="仿宋_GB2312" w:eastAsia="仿宋_GB2312"/>
          <w:color w:val="333333"/>
          <w:sz w:val="32"/>
          <w:szCs w:val="32"/>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0.36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3C9CE5D3">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0B74234A">
      <w:pPr>
        <w:pStyle w:val="14"/>
        <w:rPr>
          <w:rFonts w:hint="eastAsia" w:ascii="仿宋" w:hAnsi="仿宋" w:eastAsia="仿宋"/>
          <w:color w:val="auto"/>
          <w:sz w:val="32"/>
          <w:szCs w:val="32"/>
          <w:highlight w:val="none"/>
        </w:rPr>
      </w:pPr>
      <w:r>
        <w:rPr>
          <w:rFonts w:hint="eastAsia"/>
          <w:lang w:val="en-US" w:eastAsia="zh-CN"/>
        </w:rPr>
        <w:t xml:space="preserve">    </w:t>
      </w:r>
      <w:r>
        <w:drawing>
          <wp:inline distT="0" distB="0" distL="114300" distR="114300">
            <wp:extent cx="4467225" cy="1769745"/>
            <wp:effectExtent l="5080" t="4445" r="4445" b="16510"/>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55F8E3">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 w:hAnsi="仿宋" w:eastAsia="仿宋"/>
          <w:b w:val="0"/>
          <w:bCs/>
          <w:color w:val="auto"/>
          <w:sz w:val="32"/>
          <w:szCs w:val="32"/>
          <w:highlight w:val="none"/>
          <w:lang w:val="en-US" w:eastAsia="zh-CN"/>
        </w:rPr>
        <w:t>年初未安排预算</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因公出国（境）支出决算</w:t>
      </w:r>
      <w:r>
        <w:rPr>
          <w:rFonts w:hint="eastAsia" w:ascii="仿宋_GB2312" w:eastAsia="仿宋_GB2312"/>
          <w:color w:val="auto"/>
          <w:sz w:val="32"/>
          <w:szCs w:val="32"/>
          <w:highlight w:val="none"/>
          <w:lang w:val="en-US" w:eastAsia="zh-CN"/>
        </w:rPr>
        <w:t>较</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无变化</w:t>
      </w:r>
      <w:r>
        <w:rPr>
          <w:rFonts w:hint="eastAsia" w:ascii="仿宋_GB2312" w:eastAsia="仿宋_GB2312"/>
          <w:color w:val="auto"/>
          <w:sz w:val="32"/>
          <w:szCs w:val="32"/>
          <w:highlight w:val="none"/>
        </w:rPr>
        <w:t>。</w:t>
      </w:r>
    </w:p>
    <w:p w14:paraId="41BABF0F">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 w:hAnsi="仿宋" w:eastAsia="仿宋"/>
          <w:b w:val="0"/>
          <w:bCs/>
          <w:color w:val="auto"/>
          <w:sz w:val="32"/>
          <w:szCs w:val="32"/>
          <w:highlight w:val="none"/>
          <w:lang w:val="en-US" w:eastAsia="zh-CN"/>
        </w:rPr>
        <w:t>年初未安排</w:t>
      </w:r>
      <w:r>
        <w:rPr>
          <w:rFonts w:hint="eastAsia" w:ascii="仿宋" w:hAnsi="仿宋" w:eastAsia="仿宋"/>
          <w:b w:val="0"/>
          <w:bCs/>
          <w:color w:val="auto"/>
          <w:spacing w:val="-20"/>
          <w:sz w:val="32"/>
          <w:szCs w:val="32"/>
          <w:highlight w:val="none"/>
          <w:lang w:val="en-US" w:eastAsia="zh-CN"/>
        </w:rPr>
        <w:t>预算</w:t>
      </w:r>
      <w:r>
        <w:rPr>
          <w:rStyle w:val="18"/>
          <w:rFonts w:hint="eastAsia" w:ascii="仿宋" w:hAnsi="仿宋" w:eastAsia="仿宋"/>
          <w:b w:val="0"/>
          <w:bCs/>
          <w:color w:val="auto"/>
          <w:spacing w:val="-20"/>
          <w:sz w:val="32"/>
          <w:szCs w:val="32"/>
          <w:highlight w:val="none"/>
        </w:rPr>
        <w:t>。</w:t>
      </w:r>
      <w:r>
        <w:rPr>
          <w:rFonts w:hint="eastAsia" w:ascii="仿宋_GB2312" w:eastAsia="仿宋_GB2312"/>
          <w:color w:val="auto"/>
          <w:spacing w:val="-20"/>
          <w:sz w:val="32"/>
          <w:szCs w:val="32"/>
          <w:highlight w:val="none"/>
        </w:rPr>
        <w:t>公务用车购置及运行维护费支出决算</w:t>
      </w:r>
      <w:r>
        <w:rPr>
          <w:rFonts w:hint="eastAsia" w:ascii="仿宋_GB2312" w:eastAsia="仿宋_GB2312"/>
          <w:color w:val="auto"/>
          <w:spacing w:val="-20"/>
          <w:sz w:val="32"/>
          <w:szCs w:val="32"/>
          <w:highlight w:val="none"/>
          <w:lang w:val="en-US" w:eastAsia="zh-CN"/>
        </w:rPr>
        <w:t>较</w:t>
      </w:r>
      <w:r>
        <w:rPr>
          <w:rFonts w:ascii="仿宋_GB2312" w:eastAsia="仿宋_GB2312"/>
          <w:color w:val="auto"/>
          <w:spacing w:val="-20"/>
          <w:sz w:val="32"/>
          <w:szCs w:val="32"/>
          <w:highlight w:val="none"/>
        </w:rPr>
        <w:t>20</w:t>
      </w:r>
      <w:r>
        <w:rPr>
          <w:rFonts w:hint="eastAsia" w:ascii="仿宋_GB2312" w:eastAsia="仿宋_GB2312"/>
          <w:color w:val="auto"/>
          <w:spacing w:val="-20"/>
          <w:sz w:val="32"/>
          <w:szCs w:val="32"/>
          <w:highlight w:val="none"/>
          <w:lang w:val="en-US" w:eastAsia="zh-CN"/>
        </w:rPr>
        <w:t>21</w:t>
      </w:r>
      <w:r>
        <w:rPr>
          <w:rFonts w:hint="eastAsia" w:ascii="仿宋_GB2312" w:eastAsia="仿宋_GB2312"/>
          <w:color w:val="auto"/>
          <w:spacing w:val="-20"/>
          <w:sz w:val="32"/>
          <w:szCs w:val="32"/>
          <w:highlight w:val="none"/>
        </w:rPr>
        <w:t>年</w:t>
      </w:r>
      <w:r>
        <w:rPr>
          <w:rFonts w:hint="eastAsia" w:ascii="仿宋_GB2312" w:eastAsia="仿宋_GB2312"/>
          <w:color w:val="auto"/>
          <w:spacing w:val="-20"/>
          <w:sz w:val="32"/>
          <w:szCs w:val="32"/>
          <w:highlight w:val="none"/>
          <w:lang w:val="en-US" w:eastAsia="zh-CN"/>
        </w:rPr>
        <w:t>无变化</w:t>
      </w:r>
      <w:r>
        <w:rPr>
          <w:rFonts w:hint="eastAsia" w:ascii="仿宋_GB2312" w:eastAsia="仿宋_GB2312"/>
          <w:color w:val="auto"/>
          <w:spacing w:val="-20"/>
          <w:sz w:val="32"/>
          <w:szCs w:val="32"/>
          <w:highlight w:val="none"/>
        </w:rPr>
        <w:t>。</w:t>
      </w:r>
    </w:p>
    <w:p w14:paraId="68FBF42E">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0E53D4DB">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0.36</w:t>
      </w:r>
      <w:r>
        <w:rPr>
          <w:rFonts w:hint="eastAsia" w:ascii="仿宋_GB2312" w:eastAsia="仿宋_GB2312"/>
          <w:color w:val="auto"/>
          <w:sz w:val="32"/>
          <w:szCs w:val="32"/>
          <w:highlight w:val="none"/>
        </w:rPr>
        <w:t>万元，</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18.46</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0.14</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28</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333333"/>
          <w:sz w:val="32"/>
          <w:szCs w:val="32"/>
          <w:lang w:val="en-US" w:eastAsia="zh-CN"/>
        </w:rPr>
        <w:t>区融媒体中心</w:t>
      </w:r>
      <w:r>
        <w:rPr>
          <w:rFonts w:hint="eastAsia" w:ascii="仿宋_GB2312" w:eastAsia="仿宋_GB2312"/>
          <w:color w:val="333333"/>
          <w:sz w:val="32"/>
          <w:szCs w:val="32"/>
          <w:lang w:eastAsia="zh-CN"/>
        </w:rPr>
        <w:t>按照年初预算，严格控制三公经费支出</w:t>
      </w:r>
      <w:r>
        <w:rPr>
          <w:rFonts w:hint="eastAsia" w:ascii="仿宋_GB2312" w:eastAsia="仿宋_GB2312"/>
          <w:color w:val="auto"/>
          <w:sz w:val="32"/>
          <w:szCs w:val="32"/>
          <w:highlight w:val="none"/>
        </w:rPr>
        <w:t>。其中：</w:t>
      </w:r>
    </w:p>
    <w:p w14:paraId="736E8197">
      <w:pPr>
        <w:spacing w:line="600" w:lineRule="exact"/>
        <w:ind w:firstLine="640"/>
        <w:rPr>
          <w:rFonts w:ascii="仿宋_GB2312" w:eastAsia="仿宋_GB2312"/>
          <w:color w:val="000000"/>
          <w:sz w:val="32"/>
          <w:szCs w:val="32"/>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0.36</w:t>
      </w:r>
      <w:r>
        <w:rPr>
          <w:rFonts w:hint="eastAsia" w:ascii="仿宋_GB2312" w:eastAsia="仿宋_GB2312"/>
          <w:color w:val="auto"/>
          <w:sz w:val="32"/>
          <w:szCs w:val="32"/>
          <w:highlight w:val="none"/>
        </w:rPr>
        <w:t>万元，</w:t>
      </w:r>
      <w:r>
        <w:rPr>
          <w:rFonts w:hint="eastAsia" w:ascii="仿宋_GB2312" w:eastAsia="仿宋_GB2312"/>
          <w:color w:val="000000"/>
          <w:sz w:val="32"/>
          <w:szCs w:val="32"/>
        </w:rPr>
        <w:t>主要用于</w:t>
      </w:r>
      <w:r>
        <w:rPr>
          <w:rFonts w:hint="eastAsia" w:ascii="仿宋_GB2312" w:eastAsia="仿宋_GB2312"/>
          <w:color w:val="000000"/>
          <w:sz w:val="32"/>
          <w:szCs w:val="32"/>
          <w:lang w:val="en-US" w:eastAsia="zh-CN"/>
        </w:rPr>
        <w:t>宣传</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采访、培训活动</w:t>
      </w:r>
      <w:r>
        <w:rPr>
          <w:rFonts w:hint="eastAsia" w:ascii="仿宋_GB2312" w:eastAsia="仿宋_GB2312"/>
          <w:color w:val="000000"/>
          <w:sz w:val="32"/>
          <w:szCs w:val="32"/>
        </w:rPr>
        <w:t>开支的交通费、住宿费、用餐费等。国内公务接待</w:t>
      </w:r>
      <w:r>
        <w:rPr>
          <w:rFonts w:hint="eastAsia" w:ascii="仿宋_GB2312" w:eastAsia="仿宋_GB2312"/>
          <w:color w:val="000000"/>
          <w:sz w:val="32"/>
          <w:szCs w:val="32"/>
          <w:lang w:val="en-US" w:eastAsia="zh-CN"/>
        </w:rPr>
        <w:t>8</w:t>
      </w:r>
      <w:r>
        <w:rPr>
          <w:rFonts w:hint="eastAsia" w:ascii="仿宋_GB2312" w:eastAsia="仿宋_GB2312"/>
          <w:color w:val="000000"/>
          <w:sz w:val="32"/>
          <w:szCs w:val="32"/>
        </w:rPr>
        <w:t>批次，</w:t>
      </w:r>
      <w:r>
        <w:rPr>
          <w:rFonts w:hint="eastAsia" w:ascii="仿宋_GB2312" w:eastAsia="仿宋_GB2312"/>
          <w:color w:val="000000"/>
          <w:sz w:val="32"/>
          <w:szCs w:val="32"/>
          <w:lang w:val="en-US" w:eastAsia="zh-CN"/>
        </w:rPr>
        <w:t>35</w:t>
      </w:r>
      <w:r>
        <w:rPr>
          <w:rFonts w:hint="eastAsia" w:ascii="仿宋_GB2312" w:eastAsia="仿宋_GB2312"/>
          <w:color w:val="000000"/>
          <w:sz w:val="32"/>
          <w:szCs w:val="32"/>
        </w:rPr>
        <w:t>人，共计支出</w:t>
      </w:r>
      <w:r>
        <w:rPr>
          <w:rFonts w:hint="eastAsia" w:ascii="仿宋_GB2312" w:eastAsia="仿宋_GB2312"/>
          <w:color w:val="000000"/>
          <w:sz w:val="32"/>
          <w:szCs w:val="32"/>
          <w:lang w:val="en-US" w:eastAsia="zh-CN"/>
        </w:rPr>
        <w:t>0.36</w:t>
      </w:r>
      <w:r>
        <w:rPr>
          <w:rFonts w:hint="eastAsia" w:ascii="仿宋_GB2312" w:eastAsia="仿宋_GB2312"/>
          <w:color w:val="000000"/>
          <w:sz w:val="32"/>
          <w:szCs w:val="32"/>
        </w:rPr>
        <w:t>万元，具体内容包括：</w:t>
      </w:r>
      <w:r>
        <w:rPr>
          <w:rFonts w:hint="eastAsia" w:ascii="仿宋_GB2312" w:eastAsia="仿宋_GB2312"/>
          <w:color w:val="000000"/>
          <w:sz w:val="32"/>
          <w:szCs w:val="32"/>
          <w:lang w:eastAsia="zh-CN"/>
        </w:rPr>
        <w:t>与市局，中央、省、市电视台，区内各乡镇，区级部分机关单位联系工作接待；开</w:t>
      </w:r>
      <w:r>
        <w:rPr>
          <w:rFonts w:hint="eastAsia" w:ascii="仿宋_GB2312" w:eastAsia="仿宋_GB2312"/>
          <w:color w:val="000000"/>
          <w:sz w:val="32"/>
          <w:szCs w:val="32"/>
          <w:lang w:val="en-US" w:eastAsia="zh-CN"/>
        </w:rPr>
        <w:t>办栏目</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区融媒体中心接待调研</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专题片及创优审核等</w:t>
      </w:r>
      <w:r>
        <w:rPr>
          <w:rFonts w:hint="eastAsia" w:ascii="仿宋_GB2312" w:eastAsia="仿宋_GB2312"/>
          <w:color w:val="000000"/>
          <w:sz w:val="32"/>
          <w:szCs w:val="32"/>
          <w:lang w:eastAsia="zh-CN"/>
        </w:rPr>
        <w:t>工作接待等</w:t>
      </w:r>
      <w:r>
        <w:rPr>
          <w:rFonts w:hint="eastAsia" w:ascii="仿宋_GB2312" w:eastAsia="仿宋_GB2312"/>
          <w:color w:val="000000"/>
          <w:sz w:val="32"/>
          <w:szCs w:val="32"/>
        </w:rPr>
        <w:t>。</w:t>
      </w:r>
    </w:p>
    <w:p w14:paraId="33B66B27">
      <w:pPr>
        <w:spacing w:line="600" w:lineRule="exact"/>
        <w:ind w:firstLine="643" w:firstLineChars="200"/>
        <w:rPr>
          <w:rFonts w:ascii="仿宋_GB2312" w:eastAsia="仿宋_GB2312"/>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较2021年无变化</w:t>
      </w:r>
      <w:r>
        <w:rPr>
          <w:rFonts w:hint="eastAsia" w:ascii="仿宋_GB2312" w:eastAsia="仿宋_GB2312"/>
          <w:color w:val="auto"/>
          <w:sz w:val="32"/>
          <w:szCs w:val="32"/>
          <w:highlight w:val="none"/>
        </w:rPr>
        <w:t>。</w:t>
      </w:r>
    </w:p>
    <w:p w14:paraId="234A842E">
      <w:pPr>
        <w:spacing w:line="600" w:lineRule="exact"/>
        <w:ind w:firstLine="640"/>
        <w:outlineLvl w:val="1"/>
        <w:rPr>
          <w:rStyle w:val="29"/>
          <w:rFonts w:ascii="黑体" w:hAnsi="黑体" w:eastAsia="黑体"/>
          <w:color w:val="auto"/>
          <w:highlight w:val="none"/>
        </w:rPr>
      </w:pPr>
      <w:bookmarkStart w:id="40" w:name="_Toc15377218"/>
      <w:bookmarkStart w:id="41" w:name="_Toc15396610"/>
      <w:r>
        <w:rPr>
          <w:rFonts w:hint="eastAsia" w:ascii="黑体" w:eastAsia="黑体"/>
          <w:color w:val="auto"/>
          <w:sz w:val="32"/>
          <w:szCs w:val="32"/>
          <w:highlight w:val="none"/>
        </w:rPr>
        <w:t>八、</w:t>
      </w:r>
      <w:r>
        <w:rPr>
          <w:rStyle w:val="29"/>
          <w:rFonts w:hint="eastAsia" w:ascii="黑体" w:hAnsi="黑体" w:eastAsia="黑体"/>
          <w:b w:val="0"/>
          <w:color w:val="auto"/>
          <w:highlight w:val="none"/>
        </w:rPr>
        <w:t>政府性基金预算支出决算情况说明</w:t>
      </w:r>
      <w:bookmarkEnd w:id="40"/>
      <w:bookmarkEnd w:id="41"/>
    </w:p>
    <w:p w14:paraId="7CA9E551">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较2021年无变化</w:t>
      </w:r>
      <w:r>
        <w:rPr>
          <w:rFonts w:hint="eastAsia" w:ascii="仿宋_GB2312" w:eastAsia="仿宋_GB2312"/>
          <w:color w:val="auto"/>
          <w:sz w:val="32"/>
          <w:szCs w:val="32"/>
          <w:highlight w:val="none"/>
        </w:rPr>
        <w:t>。</w:t>
      </w:r>
    </w:p>
    <w:p w14:paraId="31F1F8EE">
      <w:pPr>
        <w:numPr>
          <w:ilvl w:val="0"/>
          <w:numId w:val="3"/>
        </w:numPr>
        <w:spacing w:line="600" w:lineRule="exact"/>
        <w:ind w:firstLine="640"/>
        <w:outlineLvl w:val="1"/>
        <w:rPr>
          <w:rStyle w:val="29"/>
          <w:rFonts w:ascii="黑体" w:hAnsi="黑体" w:eastAsia="黑体"/>
          <w:b w:val="0"/>
          <w:color w:val="auto"/>
          <w:highlight w:val="none"/>
        </w:rPr>
      </w:pPr>
      <w:bookmarkStart w:id="42" w:name="_Toc15396611"/>
      <w:bookmarkStart w:id="43" w:name="_Toc15377219"/>
      <w:r>
        <w:rPr>
          <w:rStyle w:val="29"/>
          <w:rFonts w:hint="eastAsia" w:ascii="黑体" w:hAnsi="黑体" w:eastAsia="黑体"/>
          <w:b w:val="0"/>
          <w:color w:val="auto"/>
          <w:highlight w:val="none"/>
        </w:rPr>
        <w:t>国有资本经营预算支出决算情况说明</w:t>
      </w:r>
      <w:bookmarkEnd w:id="42"/>
      <w:bookmarkEnd w:id="43"/>
    </w:p>
    <w:p w14:paraId="0BF413A9">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较2021年无变化</w:t>
      </w:r>
      <w:r>
        <w:rPr>
          <w:rFonts w:hint="eastAsia" w:ascii="仿宋_GB2312" w:eastAsia="仿宋_GB2312"/>
          <w:color w:val="auto"/>
          <w:sz w:val="32"/>
          <w:szCs w:val="32"/>
          <w:highlight w:val="none"/>
        </w:rPr>
        <w:t>。</w:t>
      </w:r>
    </w:p>
    <w:p w14:paraId="11FBFC2D">
      <w:pPr>
        <w:numPr>
          <w:ilvl w:val="0"/>
          <w:numId w:val="3"/>
        </w:numPr>
        <w:spacing w:line="600" w:lineRule="exact"/>
        <w:ind w:firstLine="640"/>
        <w:outlineLvl w:val="1"/>
        <w:rPr>
          <w:rStyle w:val="29"/>
          <w:rFonts w:hint="eastAsia" w:ascii="黑体" w:hAnsi="黑体" w:eastAsia="黑体"/>
          <w:b w:val="0"/>
          <w:color w:val="auto"/>
          <w:highlight w:val="none"/>
        </w:rPr>
      </w:pPr>
      <w:bookmarkStart w:id="44" w:name="_Toc15396612"/>
      <w:bookmarkStart w:id="45" w:name="_Toc15377221"/>
      <w:r>
        <w:rPr>
          <w:rStyle w:val="29"/>
          <w:rFonts w:hint="eastAsia" w:ascii="黑体" w:hAnsi="黑体" w:eastAsia="黑体"/>
          <w:b w:val="0"/>
          <w:color w:val="auto"/>
          <w:highlight w:val="none"/>
        </w:rPr>
        <w:t>其他重要事项的情况说明</w:t>
      </w:r>
      <w:bookmarkEnd w:id="44"/>
      <w:bookmarkEnd w:id="45"/>
    </w:p>
    <w:p w14:paraId="01985803">
      <w:pPr>
        <w:spacing w:line="600" w:lineRule="exact"/>
        <w:ind w:firstLine="643" w:firstLineChars="200"/>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14:paraId="211FC8CF">
      <w:pPr>
        <w:spacing w:line="600" w:lineRule="exact"/>
        <w:ind w:firstLine="640" w:firstLineChars="200"/>
        <w:rPr>
          <w:rFonts w:hint="eastAsia" w:ascii="仿宋" w:hAnsi="仿宋" w:eastAsia="仿宋"/>
          <w:b w:val="0"/>
          <w:bCs/>
          <w:color w:val="auto"/>
          <w:sz w:val="32"/>
          <w:szCs w:val="32"/>
          <w:highlight w:val="none"/>
          <w:lang w:eastAsia="zh-CN"/>
        </w:rPr>
      </w:pPr>
      <w:r>
        <w:rPr>
          <w:rFonts w:hint="eastAsia" w:ascii="仿宋" w:hAnsi="仿宋" w:eastAsia="仿宋" w:cs="仿宋"/>
          <w:b w:val="0"/>
          <w:bCs/>
          <w:color w:val="auto"/>
          <w:sz w:val="32"/>
          <w:szCs w:val="32"/>
          <w:highlight w:val="none"/>
          <w:lang w:val="en-US" w:eastAsia="zh-CN"/>
        </w:rPr>
        <w:t>2022年</w:t>
      </w:r>
      <w:r>
        <w:rPr>
          <w:rFonts w:hint="eastAsia" w:ascii="仿宋" w:hAnsi="仿宋" w:eastAsia="仿宋" w:cs="仿宋"/>
          <w:b w:val="0"/>
          <w:bCs/>
          <w:i w:val="0"/>
          <w:iCs w:val="0"/>
          <w:caps w:val="0"/>
          <w:color w:val="000000"/>
          <w:spacing w:val="0"/>
          <w:sz w:val="32"/>
          <w:szCs w:val="32"/>
          <w:highlight w:val="none"/>
        </w:rPr>
        <w:t>未发生机关运行经费支出</w:t>
      </w:r>
      <w:r>
        <w:rPr>
          <w:rFonts w:hint="eastAsia" w:ascii="仿宋" w:hAnsi="仿宋" w:eastAsia="仿宋" w:cs="仿宋"/>
          <w:b w:val="0"/>
          <w:bCs/>
          <w:i w:val="0"/>
          <w:iCs w:val="0"/>
          <w:caps w:val="0"/>
          <w:color w:val="000000"/>
          <w:spacing w:val="0"/>
          <w:sz w:val="32"/>
          <w:szCs w:val="32"/>
          <w:highlight w:val="none"/>
          <w:lang w:val="en-US" w:eastAsia="zh-CN"/>
        </w:rPr>
        <w:t>,与2021年决算数持平</w:t>
      </w:r>
      <w:r>
        <w:rPr>
          <w:rFonts w:hint="eastAsia" w:ascii="仿宋" w:hAnsi="仿宋" w:eastAsia="仿宋"/>
          <w:b w:val="0"/>
          <w:bCs/>
          <w:color w:val="auto"/>
          <w:sz w:val="32"/>
          <w:szCs w:val="32"/>
          <w:highlight w:val="none"/>
          <w:lang w:eastAsia="zh-CN"/>
        </w:rPr>
        <w:t>。</w:t>
      </w:r>
    </w:p>
    <w:p w14:paraId="7C5027F8">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7" w:name="_Toc15377223"/>
      <w:r>
        <w:rPr>
          <w:rFonts w:hint="eastAsia" w:ascii="仿宋" w:hAnsi="仿宋" w:eastAsia="仿宋"/>
          <w:b/>
          <w:color w:val="auto"/>
          <w:sz w:val="32"/>
          <w:szCs w:val="32"/>
          <w:highlight w:val="none"/>
        </w:rPr>
        <w:t>（二）政府采购支出情况</w:t>
      </w:r>
      <w:bookmarkEnd w:id="47"/>
    </w:p>
    <w:p w14:paraId="15814AA4">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000000"/>
          <w:sz w:val="32"/>
          <w:szCs w:val="32"/>
          <w:lang w:eastAsia="zh-CN"/>
        </w:rPr>
        <w:t>无</w:t>
      </w:r>
      <w:r>
        <w:rPr>
          <w:rFonts w:hint="eastAsia" w:ascii="仿宋_GB2312" w:eastAsia="仿宋_GB2312"/>
          <w:color w:val="000000"/>
          <w:sz w:val="32"/>
          <w:szCs w:val="32"/>
        </w:rPr>
        <w:t>政府采购支出</w:t>
      </w:r>
      <w:r>
        <w:rPr>
          <w:rFonts w:hint="eastAsia" w:ascii="仿宋_GB2312" w:eastAsia="仿宋_GB2312"/>
          <w:color w:val="000000"/>
          <w:sz w:val="32"/>
          <w:szCs w:val="32"/>
          <w:lang w:eastAsia="zh-CN"/>
        </w:rPr>
        <w:t>，</w:t>
      </w:r>
      <w:r>
        <w:rPr>
          <w:rFonts w:hint="eastAsia" w:ascii="仿宋_GB2312" w:eastAsia="仿宋_GB2312"/>
          <w:color w:val="auto"/>
          <w:sz w:val="32"/>
          <w:szCs w:val="32"/>
          <w:highlight w:val="none"/>
          <w:lang w:val="en-US" w:eastAsia="zh-CN"/>
        </w:rPr>
        <w:t>较2021年无变化</w:t>
      </w:r>
      <w:r>
        <w:rPr>
          <w:rFonts w:hint="eastAsia" w:ascii="仿宋_GB2312" w:eastAsia="仿宋_GB2312"/>
          <w:color w:val="auto"/>
          <w:sz w:val="32"/>
          <w:szCs w:val="32"/>
          <w:highlight w:val="none"/>
        </w:rPr>
        <w:t>。</w:t>
      </w:r>
    </w:p>
    <w:p w14:paraId="7E2F37D9">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8" w:name="_Toc15377224"/>
      <w:r>
        <w:rPr>
          <w:rFonts w:hint="eastAsia" w:ascii="仿宋" w:hAnsi="仿宋" w:eastAsia="仿宋"/>
          <w:b/>
          <w:color w:val="auto"/>
          <w:sz w:val="32"/>
          <w:szCs w:val="32"/>
          <w:highlight w:val="none"/>
        </w:rPr>
        <w:t>（三）国有资产占有使用情况</w:t>
      </w:r>
      <w:bookmarkEnd w:id="48"/>
    </w:p>
    <w:p w14:paraId="3CDBE45F">
      <w:pPr>
        <w:autoSpaceDE w:val="0"/>
        <w:autoSpaceDN w:val="0"/>
        <w:adjustRightInd w:val="0"/>
        <w:spacing w:line="600" w:lineRule="exact"/>
        <w:ind w:firstLine="640" w:firstLineChars="200"/>
        <w:jc w:val="left"/>
        <w:rPr>
          <w:rFonts w:hint="eastAsia" w:ascii="仿宋_GB2312" w:eastAsia="仿宋_GB2312"/>
          <w:color w:val="000000"/>
          <w:sz w:val="32"/>
          <w:szCs w:val="32"/>
          <w:lang w:eastAsia="zh-CN"/>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333333"/>
          <w:sz w:val="32"/>
          <w:szCs w:val="32"/>
          <w:lang w:val="en-US" w:eastAsia="zh-CN"/>
        </w:rPr>
        <w:t>区融媒体中心</w:t>
      </w:r>
      <w:r>
        <w:rPr>
          <w:rFonts w:hint="eastAsia" w:ascii="仿宋_GB2312" w:eastAsia="仿宋_GB2312"/>
          <w:color w:val="000000"/>
          <w:sz w:val="32"/>
          <w:szCs w:val="32"/>
          <w:lang w:val="en-US" w:eastAsia="zh-CN"/>
        </w:rPr>
        <w:t>共</w:t>
      </w:r>
      <w:r>
        <w:rPr>
          <w:rFonts w:hint="eastAsia" w:ascii="仿宋_GB2312" w:eastAsia="仿宋_GB2312"/>
          <w:color w:val="000000"/>
          <w:sz w:val="32"/>
          <w:szCs w:val="32"/>
        </w:rPr>
        <w:t>有</w:t>
      </w:r>
      <w:r>
        <w:rPr>
          <w:rFonts w:hint="eastAsia" w:ascii="仿宋_GB2312" w:eastAsia="仿宋_GB2312"/>
          <w:color w:val="000000"/>
          <w:sz w:val="32"/>
          <w:szCs w:val="32"/>
          <w:lang w:eastAsia="zh-CN"/>
        </w:rPr>
        <w:t>其他</w:t>
      </w:r>
      <w:r>
        <w:rPr>
          <w:rFonts w:hint="eastAsia" w:ascii="仿宋_GB2312" w:eastAsia="仿宋_GB2312"/>
          <w:color w:val="000000"/>
          <w:sz w:val="32"/>
          <w:szCs w:val="32"/>
        </w:rPr>
        <w:t>车辆</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辆</w:t>
      </w:r>
      <w:r>
        <w:rPr>
          <w:rFonts w:hint="eastAsia" w:ascii="仿宋_GB2312" w:eastAsia="仿宋_GB2312"/>
          <w:color w:val="000000"/>
          <w:sz w:val="32"/>
          <w:szCs w:val="32"/>
          <w:lang w:eastAsia="zh-CN"/>
        </w:rPr>
        <w:t>（原区电影公司面包车）</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曾</w:t>
      </w:r>
      <w:r>
        <w:rPr>
          <w:rFonts w:hint="eastAsia" w:ascii="仿宋_GB2312" w:eastAsia="仿宋_GB2312"/>
          <w:color w:val="000000"/>
          <w:sz w:val="32"/>
          <w:szCs w:val="32"/>
          <w:lang w:eastAsia="zh-CN"/>
        </w:rPr>
        <w:t>被</w:t>
      </w:r>
      <w:r>
        <w:rPr>
          <w:rFonts w:hint="eastAsia" w:ascii="仿宋_GB2312" w:eastAsia="仿宋_GB2312"/>
          <w:color w:val="333333"/>
          <w:sz w:val="32"/>
          <w:szCs w:val="32"/>
          <w:lang w:val="en-US" w:eastAsia="zh-CN"/>
        </w:rPr>
        <w:t>区融媒体中心</w:t>
      </w:r>
      <w:r>
        <w:rPr>
          <w:rFonts w:hint="eastAsia" w:ascii="仿宋_GB2312" w:eastAsia="仿宋_GB2312"/>
          <w:color w:val="000000"/>
          <w:sz w:val="32"/>
          <w:szCs w:val="32"/>
          <w:lang w:eastAsia="zh-CN"/>
        </w:rPr>
        <w:t>用作新闻采访车，</w:t>
      </w:r>
      <w:r>
        <w:rPr>
          <w:rFonts w:hint="eastAsia" w:ascii="仿宋_GB2312" w:eastAsia="仿宋_GB2312"/>
          <w:color w:val="000000"/>
          <w:sz w:val="32"/>
          <w:szCs w:val="32"/>
          <w:lang w:val="en-US" w:eastAsia="zh-CN"/>
        </w:rPr>
        <w:t>车辆因发动机损坏处于停运状态，经向区政府报告同意后，目前正在走报废流程</w:t>
      </w:r>
      <w:r>
        <w:rPr>
          <w:rFonts w:hint="eastAsia" w:ascii="仿宋_GB2312" w:eastAsia="仿宋_GB2312"/>
          <w:color w:val="000000"/>
          <w:sz w:val="32"/>
          <w:szCs w:val="32"/>
          <w:lang w:eastAsia="zh-CN"/>
        </w:rPr>
        <w:t>。</w:t>
      </w:r>
    </w:p>
    <w:p w14:paraId="3855023F">
      <w:pPr>
        <w:numPr>
          <w:ilvl w:val="0"/>
          <w:numId w:val="4"/>
        </w:numPr>
        <w:autoSpaceDE w:val="0"/>
        <w:autoSpaceDN w:val="0"/>
        <w:adjustRightInd w:val="0"/>
        <w:spacing w:line="600" w:lineRule="exact"/>
        <w:ind w:firstLine="643" w:firstLineChars="200"/>
        <w:jc w:val="left"/>
        <w:outlineLvl w:val="2"/>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预算绩效管理情况</w:t>
      </w:r>
    </w:p>
    <w:p w14:paraId="1864663A">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根据预算绩效管理要求，本单位在</w:t>
      </w:r>
      <w:r>
        <w:rPr>
          <w:rFonts w:hint="eastAsia" w:ascii="仿宋_GB2312" w:hAnsi="仿宋_GB2312" w:eastAsia="仿宋_GB2312" w:cs="仿宋_GB2312"/>
          <w:color w:val="auto"/>
          <w:sz w:val="32"/>
          <w:szCs w:val="32"/>
          <w:highlight w:val="none"/>
          <w:lang w:val="en-US" w:eastAsia="zh-CN"/>
        </w:rPr>
        <w:t>2022年度</w:t>
      </w:r>
      <w:r>
        <w:rPr>
          <w:rFonts w:hint="eastAsia" w:ascii="仿宋_GB2312" w:hAnsi="仿宋_GB2312" w:eastAsia="仿宋_GB2312" w:cs="仿宋_GB2312"/>
          <w:color w:val="auto"/>
          <w:sz w:val="32"/>
          <w:szCs w:val="32"/>
          <w:highlight w:val="none"/>
        </w:rPr>
        <w:t>预算编制阶段，组织对聘用人员政府购买服务</w:t>
      </w:r>
      <w:r>
        <w:rPr>
          <w:rFonts w:hint="eastAsia" w:ascii="仿宋_GB2312" w:hAnsi="仿宋_GB2312" w:eastAsia="仿宋_GB2312" w:cs="仿宋_GB2312"/>
          <w:color w:val="auto"/>
          <w:sz w:val="32"/>
          <w:szCs w:val="32"/>
          <w:highlight w:val="none"/>
          <w:lang w:val="en-US" w:eastAsia="zh-CN"/>
        </w:rPr>
        <w:t>等8个项目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个项目</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编制了绩效目标，预算执行过程中，选取</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个项目开展绩效监控</w:t>
      </w:r>
      <w:r>
        <w:rPr>
          <w:rFonts w:hint="eastAsia" w:ascii="仿宋_GB2312" w:hAnsi="仿宋_GB2312" w:eastAsia="仿宋_GB2312" w:cs="仿宋_GB2312"/>
          <w:color w:val="auto"/>
          <w:sz w:val="32"/>
          <w:szCs w:val="32"/>
          <w:highlight w:val="none"/>
          <w:lang w:eastAsia="zh-CN"/>
        </w:rPr>
        <w:t>。</w:t>
      </w:r>
    </w:p>
    <w:p w14:paraId="350D3CEE">
      <w:pPr>
        <w:pStyle w:val="5"/>
        <w:ind w:firstLine="640" w:firstLineChars="200"/>
        <w:rPr>
          <w:rFonts w:hint="eastAsia" w:hAnsi="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组织对2022年度一般公共预算全面开展绩效自评，形成</w:t>
      </w:r>
      <w:r>
        <w:rPr>
          <w:rFonts w:hint="eastAsia" w:hAnsi="仿宋_GB2312" w:cs="仿宋_GB2312"/>
          <w:color w:val="auto"/>
          <w:sz w:val="32"/>
          <w:szCs w:val="32"/>
          <w:highlight w:val="none"/>
          <w:lang w:val="en-US" w:eastAsia="zh-CN"/>
        </w:rPr>
        <w:t>广元市昭化区融媒体中心</w:t>
      </w:r>
      <w:r>
        <w:rPr>
          <w:rFonts w:hint="eastAsia" w:ascii="仿宋_GB2312" w:hAnsi="仿宋_GB2312" w:eastAsia="仿宋_GB2312" w:cs="仿宋_GB2312"/>
          <w:color w:val="auto"/>
          <w:sz w:val="32"/>
          <w:szCs w:val="32"/>
          <w:highlight w:val="none"/>
        </w:rPr>
        <w:t>部门整体（含部门预算项目）绩效自评报告</w:t>
      </w:r>
      <w:r>
        <w:rPr>
          <w:rFonts w:hint="eastAsia" w:hAnsi="仿宋_GB2312" w:cs="仿宋_GB2312"/>
          <w:color w:val="auto"/>
          <w:sz w:val="32"/>
          <w:szCs w:val="32"/>
          <w:highlight w:val="none"/>
          <w:lang w:val="en-US" w:eastAsia="zh-CN"/>
        </w:rPr>
        <w:t>和</w:t>
      </w:r>
      <w:r>
        <w:rPr>
          <w:rFonts w:hint="eastAsia" w:ascii="仿宋_GB2312" w:hAnsi="仿宋_GB2312" w:eastAsia="仿宋_GB2312" w:cs="仿宋_GB2312"/>
          <w:color w:val="auto"/>
          <w:sz w:val="32"/>
          <w:szCs w:val="32"/>
          <w:highlight w:val="none"/>
        </w:rPr>
        <w:t>革命老区转移支付资金</w:t>
      </w:r>
      <w:r>
        <w:rPr>
          <w:rFonts w:hint="eastAsia" w:hAnsi="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融媒体能力提升</w:t>
      </w:r>
      <w:r>
        <w:rPr>
          <w:rFonts w:hint="eastAsia" w:hAnsi="仿宋_GB2312" w:cs="仿宋_GB2312"/>
          <w:color w:val="auto"/>
          <w:sz w:val="32"/>
          <w:szCs w:val="32"/>
          <w:highlight w:val="none"/>
          <w:lang w:eastAsia="zh-CN"/>
        </w:rPr>
        <w:t>、昭化区融媒体中心建设项目—设备采购项目</w:t>
      </w:r>
      <w:r>
        <w:rPr>
          <w:rFonts w:hint="eastAsia" w:hAnsi="仿宋_GB2312" w:cs="仿宋_GB2312"/>
          <w:color w:val="auto"/>
          <w:sz w:val="32"/>
          <w:szCs w:val="32"/>
          <w:highlight w:val="none"/>
          <w:lang w:val="en-US" w:eastAsia="zh-CN"/>
        </w:rPr>
        <w:t>2个</w:t>
      </w:r>
      <w:r>
        <w:rPr>
          <w:rFonts w:hint="eastAsia" w:ascii="仿宋_GB2312" w:hAnsi="仿宋_GB2312" w:eastAsia="仿宋_GB2312" w:cs="仿宋_GB2312"/>
          <w:color w:val="auto"/>
          <w:sz w:val="32"/>
          <w:szCs w:val="32"/>
          <w:highlight w:val="none"/>
        </w:rPr>
        <w:t>专项预算项目绩效自评报告</w:t>
      </w:r>
      <w:r>
        <w:rPr>
          <w:rFonts w:hint="eastAsia" w:hAnsi="仿宋_GB2312" w:cs="仿宋_GB2312"/>
          <w:color w:val="auto"/>
          <w:sz w:val="32"/>
          <w:szCs w:val="32"/>
          <w:highlight w:val="none"/>
          <w:lang w:eastAsia="zh-CN"/>
        </w:rPr>
        <w:t>。</w:t>
      </w:r>
    </w:p>
    <w:p w14:paraId="023797E2">
      <w:pPr>
        <w:pStyle w:val="5"/>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其中，</w:t>
      </w:r>
      <w:r>
        <w:rPr>
          <w:rFonts w:hint="eastAsia" w:hAnsi="仿宋_GB2312" w:cs="仿宋_GB2312"/>
          <w:color w:val="auto"/>
          <w:sz w:val="32"/>
          <w:szCs w:val="32"/>
          <w:highlight w:val="none"/>
          <w:lang w:val="en-US" w:eastAsia="zh-CN"/>
        </w:rPr>
        <w:t>广元市昭化区融媒体中心</w:t>
      </w:r>
      <w:r>
        <w:rPr>
          <w:rFonts w:hint="eastAsia" w:ascii="仿宋_GB2312" w:hAnsi="仿宋_GB2312" w:eastAsia="仿宋_GB2312" w:cs="仿宋_GB2312"/>
          <w:color w:val="auto"/>
          <w:sz w:val="32"/>
          <w:szCs w:val="32"/>
          <w:highlight w:val="none"/>
        </w:rPr>
        <w:t>部门整体（含部门预算项目）绩效自评得分为</w:t>
      </w:r>
      <w:r>
        <w:rPr>
          <w:rFonts w:hint="eastAsia" w:hAnsi="仿宋_GB2312" w:cs="仿宋_GB2312"/>
          <w:color w:val="auto"/>
          <w:sz w:val="32"/>
          <w:szCs w:val="32"/>
          <w:highlight w:val="none"/>
          <w:lang w:val="en-US" w:eastAsia="zh-CN"/>
        </w:rPr>
        <w:t>91</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en-US" w:eastAsia="zh-CN"/>
        </w:rPr>
        <w:t>昭化区融媒体中心根据单位实际情况制定年初部门预算绩效目标，其中人员类265.4万元按月保障在职人员工资保险；日常工作运转类32.8万元保障各项日常工作正常运转，包括办公费、差旅费、公务接待费、工会经费、印刷费等支出；其他运转类194.9万元保障区内主题宣传及《直通县区》栏目宣传、记者站运转及聘用人员的工资保险费用、设备维护、门户网站的正常运维、新媒体开发运维、区政府电子政务外网运维。2022年全年支出512.98万元，支付过程及时有力，控制有度，结余其他运转类资金7万元，完成年初预算的98.65%，无</w:t>
      </w:r>
      <w:r>
        <w:rPr>
          <w:rFonts w:hint="eastAsia" w:ascii="仿宋_GB2312" w:hAnsi="仿宋_GB2312" w:eastAsia="仿宋_GB2312" w:cs="仿宋_GB2312"/>
          <w:color w:val="auto"/>
          <w:sz w:val="32"/>
          <w:szCs w:val="32"/>
          <w:highlight w:val="none"/>
        </w:rPr>
        <w:t>低效无效率</w:t>
      </w:r>
      <w:r>
        <w:rPr>
          <w:rFonts w:hint="eastAsia" w:ascii="仿宋_GB2312" w:hAnsi="仿宋_GB2312" w:eastAsia="仿宋_GB2312" w:cs="仿宋_GB2312"/>
          <w:color w:val="auto"/>
          <w:sz w:val="32"/>
          <w:szCs w:val="32"/>
          <w:highlight w:val="none"/>
          <w:lang w:val="en-US" w:eastAsia="zh-CN"/>
        </w:rPr>
        <w:t>资金使用情况，无</w:t>
      </w:r>
      <w:r>
        <w:rPr>
          <w:rFonts w:hint="eastAsia" w:ascii="仿宋_GB2312" w:hAnsi="仿宋_GB2312" w:eastAsia="仿宋_GB2312" w:cs="仿宋_GB2312"/>
          <w:color w:val="auto"/>
          <w:sz w:val="32"/>
          <w:szCs w:val="32"/>
          <w:highlight w:val="none"/>
        </w:rPr>
        <w:t>违规记录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实现了年初制定的绩效目标。</w:t>
      </w:r>
    </w:p>
    <w:p w14:paraId="0F77D1AC">
      <w:pPr>
        <w:pStyle w:val="5"/>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革命老区转移支付资金-融媒体能力提升专项预算项目绩效自评得分为</w:t>
      </w:r>
      <w:r>
        <w:rPr>
          <w:rFonts w:hint="eastAsia" w:hAnsi="仿宋_GB2312" w:cs="仿宋_GB2312"/>
          <w:color w:val="auto"/>
          <w:sz w:val="32"/>
          <w:szCs w:val="32"/>
          <w:highlight w:val="none"/>
          <w:lang w:val="en-US" w:eastAsia="zh-CN"/>
        </w:rPr>
        <w:t>92</w:t>
      </w:r>
      <w:r>
        <w:rPr>
          <w:rFonts w:hint="eastAsia" w:ascii="仿宋_GB2312" w:hAnsi="仿宋_GB2312" w:eastAsia="仿宋_GB2312" w:cs="仿宋_GB2312"/>
          <w:color w:val="auto"/>
          <w:sz w:val="32"/>
          <w:szCs w:val="32"/>
          <w:highlight w:val="none"/>
        </w:rPr>
        <w:t>分，绩效自评综述：按照区融媒体中心工作职责，保障在职人员与聘用人员的工资保险等福利待遇；保障对机房、摄像机、新闻编辑系统、直播设备、各种专业零配件的更换维护升级；保障门户网站及电子政务外网的运管维护、年度区内主题宣传和《直通县区》栏目联办宣传。</w:t>
      </w:r>
    </w:p>
    <w:p w14:paraId="364D2F57">
      <w:pPr>
        <w:pStyle w:val="5"/>
        <w:ind w:firstLine="640" w:firstLineChars="200"/>
        <w:rPr>
          <w:rFonts w:hint="eastAsia" w:ascii="仿宋_GB2312" w:hAnsi="仿宋_GB2312" w:eastAsia="仿宋_GB2312" w:cs="仿宋_GB2312"/>
          <w:color w:val="auto"/>
          <w:sz w:val="32"/>
          <w:szCs w:val="32"/>
          <w:highlight w:val="none"/>
        </w:rPr>
      </w:pPr>
      <w:r>
        <w:rPr>
          <w:rFonts w:hint="eastAsia" w:hAnsi="仿宋_GB2312" w:cs="仿宋_GB2312"/>
          <w:color w:val="auto"/>
          <w:sz w:val="32"/>
          <w:szCs w:val="32"/>
          <w:highlight w:val="none"/>
          <w:lang w:eastAsia="zh-CN"/>
        </w:rPr>
        <w:t>昭化区融媒体中心建设项目—设备采购项目</w:t>
      </w:r>
      <w:r>
        <w:rPr>
          <w:rFonts w:hint="eastAsia" w:ascii="仿宋_GB2312" w:hAnsi="仿宋_GB2312" w:eastAsia="仿宋_GB2312" w:cs="仿宋_GB2312"/>
          <w:color w:val="auto"/>
          <w:sz w:val="32"/>
          <w:szCs w:val="32"/>
          <w:highlight w:val="none"/>
        </w:rPr>
        <w:t>专项预算项目绩效自评得分为</w:t>
      </w:r>
      <w:r>
        <w:rPr>
          <w:rFonts w:hint="eastAsia" w:hAnsi="仿宋_GB2312" w:cs="仿宋_GB2312"/>
          <w:color w:val="auto"/>
          <w:sz w:val="32"/>
          <w:szCs w:val="32"/>
          <w:highlight w:val="none"/>
          <w:lang w:val="en-US" w:eastAsia="zh-CN"/>
        </w:rPr>
        <w:t>96</w:t>
      </w:r>
      <w:r>
        <w:rPr>
          <w:rFonts w:hint="eastAsia" w:ascii="仿宋_GB2312" w:hAnsi="仿宋_GB2312" w:eastAsia="仿宋_GB2312" w:cs="仿宋_GB2312"/>
          <w:color w:val="auto"/>
          <w:sz w:val="32"/>
          <w:szCs w:val="32"/>
          <w:highlight w:val="none"/>
        </w:rPr>
        <w:t>分，绩效自评综述：为全面完成各级各类宣传任务，本年对融媒体中心平台运维升级1次，保障每日正常持续运转。绩效自评报告详见附件。</w:t>
      </w:r>
    </w:p>
    <w:p w14:paraId="3B4DF6B7">
      <w:pPr>
        <w:pStyle w:val="5"/>
        <w:ind w:firstLine="640" w:firstLineChars="200"/>
        <w:rPr>
          <w:rFonts w:hint="eastAsia" w:ascii="仿宋_GB2312" w:hAnsi="仿宋_GB2312" w:eastAsia="仿宋_GB2312" w:cs="仿宋_GB2312"/>
          <w:color w:val="auto"/>
          <w:sz w:val="32"/>
          <w:szCs w:val="32"/>
          <w:highlight w:val="none"/>
        </w:rPr>
      </w:pPr>
    </w:p>
    <w:p w14:paraId="5A55F1CC">
      <w:pPr>
        <w:numPr>
          <w:ilvl w:val="0"/>
          <w:numId w:val="5"/>
        </w:numPr>
        <w:spacing w:line="600" w:lineRule="exact"/>
        <w:ind w:firstLine="660" w:firstLineChars="150"/>
        <w:jc w:val="center"/>
        <w:outlineLvl w:val="0"/>
        <w:rPr>
          <w:rFonts w:ascii="仿宋_GB2312" w:eastAsia="仿宋_GB2312"/>
          <w:sz w:val="32"/>
          <w:szCs w:val="32"/>
        </w:rPr>
      </w:pPr>
      <w:bookmarkStart w:id="49" w:name="_Toc15377225"/>
      <w:bookmarkStart w:id="50" w:name="_Toc15396613"/>
      <w:r>
        <w:rPr>
          <w:rFonts w:hint="eastAsia" w:ascii="黑体" w:hAnsi="黑体" w:eastAsia="黑体"/>
          <w:color w:val="auto"/>
          <w:sz w:val="44"/>
          <w:szCs w:val="44"/>
          <w:highlight w:val="none"/>
        </w:rPr>
        <w:t>名</w:t>
      </w:r>
      <w:r>
        <w:rPr>
          <w:rStyle w:val="28"/>
          <w:rFonts w:hint="eastAsia" w:ascii="黑体" w:hAnsi="黑体" w:eastAsia="黑体"/>
          <w:b w:val="0"/>
          <w:color w:val="auto"/>
          <w:highlight w:val="none"/>
        </w:rPr>
        <w:t>词解释</w:t>
      </w:r>
      <w:bookmarkEnd w:id="49"/>
      <w:bookmarkEnd w:id="50"/>
      <w:bookmarkStart w:id="51" w:name="_Toc15377226"/>
    </w:p>
    <w:p w14:paraId="2C6EB9F3">
      <w:pPr>
        <w:pStyle w:val="14"/>
      </w:pPr>
    </w:p>
    <w:p w14:paraId="01756FAC">
      <w:pPr>
        <w:pStyle w:val="26"/>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r>
        <w:rPr>
          <w:rFonts w:ascii="仿宋_GB2312" w:eastAsia="仿宋_GB2312"/>
          <w:sz w:val="32"/>
          <w:szCs w:val="32"/>
        </w:rPr>
        <w:t xml:space="preserve"> </w:t>
      </w:r>
    </w:p>
    <w:p w14:paraId="09439CF2">
      <w:pPr>
        <w:pStyle w:val="26"/>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14:paraId="3EDE3EAE">
      <w:pPr>
        <w:pStyle w:val="26"/>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、年末结转和结余：指单位按有关规定结转到下年或以后年度继续使用的资金。</w:t>
      </w:r>
    </w:p>
    <w:p w14:paraId="70849899">
      <w:pPr>
        <w:spacing w:line="600" w:lineRule="exact"/>
        <w:ind w:firstLine="640" w:firstLineChars="200"/>
        <w:rPr>
          <w:rStyle w:val="18"/>
          <w:rFonts w:hint="eastAsia" w:ascii="仿宋" w:hAnsi="仿宋" w:eastAsia="仿宋"/>
          <w:b w:val="0"/>
          <w:bCs w:val="0"/>
          <w:color w:val="000000"/>
          <w:sz w:val="32"/>
          <w:szCs w:val="32"/>
          <w:lang w:val="en-US" w:eastAsia="zh-CN"/>
        </w:rPr>
      </w:pPr>
      <w:r>
        <w:rPr>
          <w:rFonts w:hint="eastAsia" w:ascii="仿宋_GB2312" w:eastAsia="仿宋_GB2312"/>
          <w:b w:val="0"/>
          <w:bCs w:val="0"/>
          <w:color w:val="000000"/>
          <w:sz w:val="32"/>
          <w:szCs w:val="32"/>
          <w:lang w:val="en-US" w:eastAsia="zh-CN"/>
        </w:rPr>
        <w:t>4</w:t>
      </w:r>
      <w:r>
        <w:rPr>
          <w:rFonts w:ascii="仿宋_GB2312" w:eastAsia="仿宋_GB2312"/>
          <w:b w:val="0"/>
          <w:bCs w:val="0"/>
          <w:color w:val="000000"/>
          <w:sz w:val="32"/>
          <w:szCs w:val="32"/>
        </w:rPr>
        <w:t>.</w:t>
      </w:r>
      <w:r>
        <w:rPr>
          <w:rStyle w:val="18"/>
          <w:rFonts w:hint="eastAsia" w:ascii="仿宋" w:hAnsi="仿宋" w:eastAsia="仿宋"/>
          <w:b w:val="0"/>
          <w:bCs w:val="0"/>
          <w:color w:val="000000"/>
          <w:sz w:val="32"/>
          <w:szCs w:val="32"/>
        </w:rPr>
        <w:t>文化体育与传媒（类）</w:t>
      </w:r>
      <w:r>
        <w:rPr>
          <w:rStyle w:val="18"/>
          <w:rFonts w:hint="eastAsia" w:ascii="仿宋_GB2312" w:eastAsia="仿宋_GB2312"/>
          <w:b w:val="0"/>
          <w:bCs w:val="0"/>
          <w:color w:val="000000"/>
          <w:sz w:val="32"/>
          <w:szCs w:val="32"/>
          <w:lang w:eastAsia="zh-CN"/>
        </w:rPr>
        <w:t>新闻出版广播影视</w:t>
      </w:r>
      <w:r>
        <w:rPr>
          <w:rStyle w:val="18"/>
          <w:rFonts w:hint="eastAsia" w:ascii="仿宋" w:hAnsi="仿宋" w:eastAsia="仿宋"/>
          <w:b w:val="0"/>
          <w:bCs w:val="0"/>
          <w:color w:val="000000"/>
          <w:sz w:val="32"/>
          <w:szCs w:val="32"/>
        </w:rPr>
        <w:t>（款）</w:t>
      </w:r>
      <w:r>
        <w:rPr>
          <w:rStyle w:val="18"/>
          <w:rFonts w:hint="eastAsia" w:ascii="仿宋_GB2312" w:eastAsia="仿宋_GB2312"/>
          <w:b w:val="0"/>
          <w:bCs w:val="0"/>
          <w:color w:val="000000"/>
          <w:sz w:val="32"/>
          <w:szCs w:val="32"/>
          <w:lang w:eastAsia="zh-CN"/>
        </w:rPr>
        <w:t>行政运行</w:t>
      </w:r>
      <w:r>
        <w:rPr>
          <w:rStyle w:val="18"/>
          <w:rFonts w:hint="eastAsia" w:ascii="仿宋" w:hAnsi="仿宋" w:eastAsia="仿宋"/>
          <w:b w:val="0"/>
          <w:bCs w:val="0"/>
          <w:color w:val="000000"/>
          <w:sz w:val="32"/>
          <w:szCs w:val="32"/>
        </w:rPr>
        <w:t>（项）</w:t>
      </w:r>
      <w:r>
        <w:rPr>
          <w:rStyle w:val="18"/>
          <w:rFonts w:ascii="仿宋" w:hAnsi="仿宋" w:eastAsia="仿宋"/>
          <w:b w:val="0"/>
          <w:bCs w:val="0"/>
          <w:color w:val="000000"/>
          <w:sz w:val="32"/>
          <w:szCs w:val="32"/>
        </w:rPr>
        <w:t xml:space="preserve">: </w:t>
      </w:r>
      <w:r>
        <w:rPr>
          <w:rStyle w:val="18"/>
          <w:rFonts w:hint="eastAsia" w:ascii="仿宋" w:hAnsi="仿宋" w:eastAsia="仿宋"/>
          <w:b w:val="0"/>
          <w:bCs w:val="0"/>
          <w:color w:val="000000"/>
          <w:sz w:val="32"/>
          <w:szCs w:val="32"/>
          <w:lang w:val="en-US" w:eastAsia="zh-CN"/>
        </w:rPr>
        <w:t>指行政单位（包括实行公务员管理的事业单位）的基本支出。</w:t>
      </w:r>
    </w:p>
    <w:p w14:paraId="578F0D35">
      <w:pPr>
        <w:spacing w:line="600" w:lineRule="exact"/>
        <w:ind w:firstLine="640" w:firstLineChars="200"/>
        <w:rPr>
          <w:rStyle w:val="18"/>
          <w:rFonts w:hint="eastAsia" w:ascii="仿宋" w:hAnsi="仿宋" w:eastAsia="仿宋"/>
          <w:b w:val="0"/>
          <w:bCs/>
          <w:color w:val="000000"/>
          <w:sz w:val="32"/>
          <w:szCs w:val="32"/>
          <w:lang w:val="en-US" w:eastAsia="zh-CN"/>
        </w:rPr>
      </w:pPr>
      <w:r>
        <w:rPr>
          <w:rStyle w:val="18"/>
          <w:rFonts w:hint="eastAsia" w:ascii="仿宋" w:hAnsi="仿宋" w:eastAsia="仿宋"/>
          <w:b w:val="0"/>
          <w:bCs w:val="0"/>
          <w:color w:val="000000"/>
          <w:sz w:val="32"/>
          <w:szCs w:val="32"/>
          <w:lang w:val="en-US" w:eastAsia="zh-CN"/>
        </w:rPr>
        <w:t>5</w:t>
      </w:r>
      <w:r>
        <w:rPr>
          <w:rStyle w:val="18"/>
          <w:rFonts w:ascii="仿宋" w:hAnsi="仿宋" w:eastAsia="仿宋"/>
          <w:b w:val="0"/>
          <w:bCs w:val="0"/>
          <w:color w:val="000000"/>
          <w:sz w:val="32"/>
          <w:szCs w:val="32"/>
        </w:rPr>
        <w:t>.</w:t>
      </w:r>
      <w:r>
        <w:rPr>
          <w:rStyle w:val="18"/>
          <w:rFonts w:hint="eastAsia" w:ascii="仿宋_GB2312" w:eastAsia="仿宋_GB2312"/>
          <w:b w:val="0"/>
          <w:bCs w:val="0"/>
          <w:color w:val="000000"/>
          <w:sz w:val="32"/>
          <w:szCs w:val="32"/>
        </w:rPr>
        <w:t>社会保障和就业（类）</w:t>
      </w:r>
      <w:r>
        <w:rPr>
          <w:rStyle w:val="18"/>
          <w:rFonts w:hint="eastAsia" w:ascii="仿宋_GB2312" w:eastAsia="仿宋_GB2312"/>
          <w:b w:val="0"/>
          <w:bCs w:val="0"/>
          <w:color w:val="000000"/>
          <w:sz w:val="32"/>
          <w:szCs w:val="32"/>
          <w:lang w:eastAsia="zh-CN"/>
        </w:rPr>
        <w:t>行政事业单位离退休</w:t>
      </w:r>
      <w:r>
        <w:rPr>
          <w:rStyle w:val="18"/>
          <w:rFonts w:hint="eastAsia" w:ascii="仿宋_GB2312" w:eastAsia="仿宋_GB2312"/>
          <w:b w:val="0"/>
          <w:bCs w:val="0"/>
          <w:color w:val="000000"/>
          <w:sz w:val="32"/>
          <w:szCs w:val="32"/>
        </w:rPr>
        <w:t>（款）</w:t>
      </w:r>
      <w:r>
        <w:rPr>
          <w:rStyle w:val="18"/>
          <w:rFonts w:hint="eastAsia" w:ascii="仿宋_GB2312" w:eastAsia="仿宋_GB2312"/>
          <w:b w:val="0"/>
          <w:bCs w:val="0"/>
          <w:color w:val="000000"/>
          <w:sz w:val="32"/>
          <w:szCs w:val="32"/>
          <w:lang w:eastAsia="zh-CN"/>
        </w:rPr>
        <w:t>机关事业单位基本养老保险缴费支出</w:t>
      </w:r>
      <w:r>
        <w:rPr>
          <w:rStyle w:val="18"/>
          <w:rFonts w:hint="eastAsia" w:ascii="仿宋_GB2312" w:eastAsia="仿宋_GB2312"/>
          <w:b w:val="0"/>
          <w:bCs w:val="0"/>
          <w:color w:val="000000"/>
          <w:sz w:val="32"/>
          <w:szCs w:val="32"/>
        </w:rPr>
        <w:t>（项）</w:t>
      </w:r>
      <w:r>
        <w:rPr>
          <w:rStyle w:val="18"/>
          <w:rFonts w:hint="eastAsia" w:ascii="仿宋_GB2312" w:eastAsia="仿宋_GB2312"/>
          <w:b w:val="0"/>
          <w:bCs w:val="0"/>
          <w:color w:val="000000"/>
          <w:sz w:val="32"/>
          <w:szCs w:val="32"/>
          <w:highlight w:val="none"/>
        </w:rPr>
        <w:t>:</w:t>
      </w:r>
      <w:r>
        <w:rPr>
          <w:rFonts w:hint="eastAsia" w:ascii="仿宋_GB2312" w:hAnsi="Calibri" w:eastAsia="仿宋_GB2312" w:cs="仿宋"/>
          <w:color w:val="000000"/>
          <w:kern w:val="0"/>
          <w:sz w:val="32"/>
          <w:szCs w:val="32"/>
          <w:lang w:val="en-US" w:eastAsia="zh-CN" w:bidi="ar-SA"/>
        </w:rPr>
        <w:t>指用于机关事业单位实施养老保险制度由单位缴纳的基本养老保险费支出。</w:t>
      </w:r>
    </w:p>
    <w:p w14:paraId="20AD9156">
      <w:pPr>
        <w:ind w:firstLine="640" w:firstLineChars="200"/>
        <w:rPr>
          <w:rFonts w:hint="eastAsia" w:ascii="仿宋_GB2312" w:hAnsi="Calibri" w:eastAsia="仿宋_GB2312" w:cs="仿宋"/>
          <w:color w:val="000000"/>
          <w:kern w:val="0"/>
          <w:sz w:val="32"/>
          <w:szCs w:val="32"/>
          <w:lang w:val="en-US" w:eastAsia="zh-CN" w:bidi="ar-SA"/>
        </w:rPr>
      </w:pPr>
      <w:r>
        <w:rPr>
          <w:rStyle w:val="18"/>
          <w:rFonts w:hint="eastAsia" w:ascii="仿宋" w:hAnsi="仿宋" w:eastAsia="仿宋"/>
          <w:b w:val="0"/>
          <w:bCs w:val="0"/>
          <w:color w:val="000000"/>
          <w:sz w:val="32"/>
          <w:szCs w:val="32"/>
          <w:lang w:val="en-US" w:eastAsia="zh-CN"/>
        </w:rPr>
        <w:t>6</w:t>
      </w:r>
      <w:r>
        <w:rPr>
          <w:rStyle w:val="18"/>
          <w:rFonts w:ascii="仿宋" w:hAnsi="仿宋" w:eastAsia="仿宋"/>
          <w:b w:val="0"/>
          <w:bCs w:val="0"/>
          <w:color w:val="000000"/>
          <w:sz w:val="32"/>
          <w:szCs w:val="32"/>
        </w:rPr>
        <w:t>.</w:t>
      </w:r>
      <w:r>
        <w:rPr>
          <w:rStyle w:val="18"/>
          <w:rFonts w:hint="eastAsia" w:ascii="仿宋_GB2312" w:eastAsia="仿宋_GB2312"/>
          <w:b w:val="0"/>
          <w:bCs w:val="0"/>
          <w:color w:val="000000"/>
          <w:sz w:val="32"/>
          <w:szCs w:val="32"/>
        </w:rPr>
        <w:t>医疗卫生与计划生育（类）</w:t>
      </w:r>
      <w:r>
        <w:rPr>
          <w:rStyle w:val="18"/>
          <w:rFonts w:hint="eastAsia" w:ascii="仿宋_GB2312" w:eastAsia="仿宋_GB2312"/>
          <w:b w:val="0"/>
          <w:bCs w:val="0"/>
          <w:color w:val="000000"/>
          <w:sz w:val="32"/>
          <w:szCs w:val="32"/>
          <w:lang w:eastAsia="zh-CN"/>
        </w:rPr>
        <w:t>医疗保障</w:t>
      </w:r>
      <w:r>
        <w:rPr>
          <w:rStyle w:val="18"/>
          <w:rFonts w:hint="eastAsia" w:ascii="仿宋_GB2312" w:eastAsia="仿宋_GB2312"/>
          <w:b w:val="0"/>
          <w:bCs w:val="0"/>
          <w:color w:val="000000"/>
          <w:sz w:val="32"/>
          <w:szCs w:val="32"/>
        </w:rPr>
        <w:t>（款）</w:t>
      </w:r>
      <w:r>
        <w:rPr>
          <w:rStyle w:val="18"/>
          <w:rFonts w:hint="eastAsia" w:ascii="仿宋_GB2312" w:eastAsia="仿宋_GB2312"/>
          <w:b w:val="0"/>
          <w:bCs w:val="0"/>
          <w:color w:val="000000"/>
          <w:sz w:val="32"/>
          <w:szCs w:val="32"/>
          <w:lang w:eastAsia="zh-CN"/>
        </w:rPr>
        <w:t>事业单位医疗</w:t>
      </w:r>
      <w:r>
        <w:rPr>
          <w:rStyle w:val="18"/>
          <w:rFonts w:hint="eastAsia" w:ascii="仿宋_GB2312" w:eastAsia="仿宋_GB2312"/>
          <w:b w:val="0"/>
          <w:bCs w:val="0"/>
          <w:color w:val="000000"/>
          <w:sz w:val="32"/>
          <w:szCs w:val="32"/>
        </w:rPr>
        <w:t>（项）:</w:t>
      </w:r>
      <w:r>
        <w:rPr>
          <w:rFonts w:hint="eastAsia" w:ascii="仿宋_GB2312" w:hAnsi="Calibri" w:eastAsia="仿宋_GB2312" w:cs="仿宋"/>
          <w:color w:val="000000"/>
          <w:kern w:val="0"/>
          <w:sz w:val="32"/>
          <w:szCs w:val="32"/>
          <w:lang w:val="en-US" w:eastAsia="zh-CN" w:bidi="ar-SA"/>
        </w:rPr>
        <w:t>指财政部门集中安排的事业单位基本医疗保险缴费经费。</w:t>
      </w:r>
    </w:p>
    <w:p w14:paraId="1F11D075">
      <w:pPr>
        <w:spacing w:line="600" w:lineRule="exact"/>
        <w:ind w:firstLine="640" w:firstLineChars="200"/>
        <w:rPr>
          <w:rStyle w:val="18"/>
          <w:rFonts w:hint="eastAsia" w:ascii="仿宋_GB2312" w:eastAsia="仿宋_GB2312"/>
          <w:b w:val="0"/>
          <w:bCs w:val="0"/>
          <w:color w:val="000000"/>
          <w:sz w:val="32"/>
          <w:szCs w:val="32"/>
          <w:lang w:val="en-US" w:eastAsia="zh-CN"/>
        </w:rPr>
      </w:pPr>
      <w:r>
        <w:rPr>
          <w:rFonts w:hint="eastAsia" w:ascii="仿宋_GB2312" w:eastAsia="仿宋_GB2312"/>
          <w:b w:val="0"/>
          <w:bCs w:val="0"/>
          <w:color w:val="000000"/>
          <w:sz w:val="32"/>
          <w:szCs w:val="32"/>
          <w:lang w:val="en-US" w:eastAsia="zh-CN"/>
        </w:rPr>
        <w:t>7.</w:t>
      </w:r>
      <w:r>
        <w:rPr>
          <w:rStyle w:val="18"/>
          <w:rFonts w:hint="eastAsia" w:ascii="仿宋_GB2312" w:eastAsia="仿宋_GB2312"/>
          <w:b w:val="0"/>
          <w:bCs w:val="0"/>
          <w:color w:val="000000"/>
          <w:sz w:val="32"/>
          <w:szCs w:val="32"/>
          <w:lang w:eastAsia="zh-CN"/>
        </w:rPr>
        <w:t>住房保障</w:t>
      </w:r>
      <w:r>
        <w:rPr>
          <w:rStyle w:val="18"/>
          <w:rFonts w:hint="eastAsia" w:ascii="仿宋_GB2312" w:eastAsia="仿宋_GB2312"/>
          <w:b w:val="0"/>
          <w:bCs w:val="0"/>
          <w:color w:val="000000"/>
          <w:sz w:val="32"/>
          <w:szCs w:val="32"/>
        </w:rPr>
        <w:t>（类）</w:t>
      </w:r>
      <w:r>
        <w:rPr>
          <w:rStyle w:val="18"/>
          <w:rFonts w:hint="eastAsia" w:ascii="仿宋_GB2312" w:eastAsia="仿宋_GB2312"/>
          <w:b w:val="0"/>
          <w:bCs w:val="0"/>
          <w:color w:val="000000"/>
          <w:sz w:val="32"/>
          <w:szCs w:val="32"/>
          <w:lang w:eastAsia="zh-CN"/>
        </w:rPr>
        <w:t>住房改革支出</w:t>
      </w:r>
      <w:r>
        <w:rPr>
          <w:rStyle w:val="18"/>
          <w:rFonts w:hint="eastAsia" w:ascii="仿宋_GB2312" w:eastAsia="仿宋_GB2312"/>
          <w:b w:val="0"/>
          <w:bCs w:val="0"/>
          <w:color w:val="000000"/>
          <w:sz w:val="32"/>
          <w:szCs w:val="32"/>
        </w:rPr>
        <w:t>（款）</w:t>
      </w:r>
      <w:r>
        <w:rPr>
          <w:rStyle w:val="18"/>
          <w:rFonts w:hint="eastAsia" w:ascii="仿宋_GB2312" w:eastAsia="仿宋_GB2312"/>
          <w:b w:val="0"/>
          <w:bCs w:val="0"/>
          <w:color w:val="000000"/>
          <w:sz w:val="32"/>
          <w:szCs w:val="32"/>
          <w:lang w:eastAsia="zh-CN"/>
        </w:rPr>
        <w:t>住房公积金</w:t>
      </w:r>
      <w:r>
        <w:rPr>
          <w:rStyle w:val="18"/>
          <w:rFonts w:hint="eastAsia" w:ascii="仿宋_GB2312" w:eastAsia="仿宋_GB2312"/>
          <w:b w:val="0"/>
          <w:bCs w:val="0"/>
          <w:color w:val="000000"/>
          <w:sz w:val="32"/>
          <w:szCs w:val="32"/>
        </w:rPr>
        <w:t>（项）:</w:t>
      </w:r>
      <w:r>
        <w:rPr>
          <w:rStyle w:val="18"/>
          <w:rFonts w:hint="eastAsia" w:ascii="仿宋_GB2312" w:eastAsia="仿宋_GB2312"/>
          <w:b w:val="0"/>
          <w:bCs w:val="0"/>
          <w:color w:val="000000"/>
          <w:sz w:val="32"/>
          <w:szCs w:val="32"/>
          <w:lang w:val="en-US" w:eastAsia="zh-CN"/>
        </w:rPr>
        <w:t>指行政事业单位按人力资源和社会保障部、财政部规定的基本工资和津贴补贴以及规定比例为职工缴纳的住房公积金。</w:t>
      </w:r>
    </w:p>
    <w:p w14:paraId="3DC4CB73">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8</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14:paraId="136F8FD5">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9</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14:paraId="0A96D55B">
      <w:pPr>
        <w:pStyle w:val="26"/>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10</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“三公”经费：指部门用财政拨款安排的因公出国（境）费、公务用车购置及运行费和公务接待费。其中，公务接待费反映单位按规定开支的各类公务接待支出。</w:t>
      </w:r>
    </w:p>
    <w:p w14:paraId="1FF8FAE7">
      <w:pPr>
        <w:spacing w:line="600" w:lineRule="exact"/>
        <w:jc w:val="left"/>
        <w:rPr>
          <w:rFonts w:ascii="宋体"/>
          <w:b/>
          <w:color w:val="000000"/>
          <w:sz w:val="44"/>
          <w:szCs w:val="44"/>
        </w:rPr>
      </w:pPr>
    </w:p>
    <w:p w14:paraId="52B04A35">
      <w:pPr>
        <w:spacing w:before="16" w:line="360" w:lineRule="auto"/>
        <w:jc w:val="center"/>
        <w:rPr>
          <w:rFonts w:hint="eastAsia" w:ascii="宋体" w:hAnsi="宋体" w:eastAsia="宋体" w:cs="宋体"/>
          <w:sz w:val="16"/>
          <w:szCs w:val="16"/>
        </w:rPr>
      </w:pPr>
      <w:r>
        <w:rPr>
          <w:rFonts w:ascii="宋体"/>
          <w:b/>
          <w:color w:val="000000"/>
          <w:sz w:val="44"/>
          <w:szCs w:val="44"/>
        </w:rPr>
        <w:br w:type="page"/>
      </w:r>
      <w:bookmarkStart w:id="52" w:name="_Toc15396618"/>
    </w:p>
    <w:p w14:paraId="11E6955B">
      <w:pPr>
        <w:numPr>
          <w:ilvl w:val="0"/>
          <w:numId w:val="5"/>
        </w:numPr>
        <w:spacing w:line="600" w:lineRule="exact"/>
        <w:ind w:left="0" w:leftChars="0" w:firstLine="660" w:firstLineChars="150"/>
        <w:jc w:val="center"/>
        <w:outlineLvl w:val="0"/>
        <w:rPr>
          <w:rStyle w:val="28"/>
          <w:rFonts w:hint="eastAsia" w:ascii="黑体" w:hAnsi="黑体" w:eastAsia="黑体"/>
          <w:b w:val="0"/>
          <w:color w:val="auto"/>
          <w:highlight w:val="none"/>
        </w:rPr>
      </w:pPr>
      <w:r>
        <w:rPr>
          <w:rStyle w:val="28"/>
          <w:rFonts w:hint="eastAsia" w:ascii="黑体" w:hAnsi="黑体" w:eastAsia="黑体"/>
          <w:b w:val="0"/>
          <w:color w:val="auto"/>
          <w:highlight w:val="none"/>
        </w:rPr>
        <w:t>附件</w:t>
      </w:r>
    </w:p>
    <w:p w14:paraId="687A8A38">
      <w:pPr>
        <w:pStyle w:val="5"/>
        <w:numPr>
          <w:ilvl w:val="0"/>
          <w:numId w:val="0"/>
        </w:numPr>
        <w:rPr>
          <w:rFonts w:hint="eastAsia"/>
          <w:lang w:eastAsia="zh-CN"/>
        </w:rPr>
      </w:pPr>
    </w:p>
    <w:p w14:paraId="4488D97F">
      <w:pPr>
        <w:pStyle w:val="5"/>
        <w:numPr>
          <w:ilvl w:val="0"/>
          <w:numId w:val="0"/>
        </w:numPr>
        <w:rPr>
          <w:rFonts w:hint="eastAsia"/>
          <w:lang w:eastAsia="zh-CN"/>
        </w:rPr>
      </w:pPr>
    </w:p>
    <w:p w14:paraId="16A6972C">
      <w:pPr>
        <w:pStyle w:val="5"/>
        <w:numPr>
          <w:ilvl w:val="0"/>
          <w:numId w:val="0"/>
        </w:numPr>
        <w:rPr>
          <w:rFonts w:hint="eastAsia"/>
          <w:lang w:eastAsia="zh-CN"/>
        </w:rPr>
      </w:pPr>
    </w:p>
    <w:p w14:paraId="007889D6">
      <w:pPr>
        <w:pStyle w:val="5"/>
        <w:numPr>
          <w:ilvl w:val="0"/>
          <w:numId w:val="0"/>
        </w:numPr>
        <w:rPr>
          <w:rFonts w:hint="eastAsia"/>
          <w:lang w:eastAsia="zh-CN"/>
        </w:rPr>
      </w:pPr>
    </w:p>
    <w:p w14:paraId="0F9E9EBA">
      <w:pPr>
        <w:pStyle w:val="5"/>
        <w:numPr>
          <w:ilvl w:val="0"/>
          <w:numId w:val="0"/>
        </w:numPr>
        <w:rPr>
          <w:rFonts w:hint="eastAsia"/>
          <w:lang w:eastAsia="zh-CN"/>
        </w:rPr>
      </w:pPr>
    </w:p>
    <w:p w14:paraId="189EAB9C">
      <w:pPr>
        <w:pStyle w:val="5"/>
        <w:numPr>
          <w:ilvl w:val="0"/>
          <w:numId w:val="0"/>
        </w:numPr>
        <w:rPr>
          <w:rFonts w:hint="eastAsia"/>
          <w:lang w:eastAsia="zh-CN"/>
        </w:rPr>
      </w:pPr>
    </w:p>
    <w:p w14:paraId="2303F52B">
      <w:pPr>
        <w:pStyle w:val="5"/>
        <w:numPr>
          <w:ilvl w:val="0"/>
          <w:numId w:val="0"/>
        </w:numPr>
        <w:rPr>
          <w:rFonts w:hint="eastAsia"/>
          <w:lang w:eastAsia="zh-CN"/>
        </w:rPr>
      </w:pPr>
    </w:p>
    <w:p w14:paraId="3350666A">
      <w:pPr>
        <w:pStyle w:val="5"/>
        <w:numPr>
          <w:ilvl w:val="0"/>
          <w:numId w:val="0"/>
        </w:numPr>
        <w:rPr>
          <w:rFonts w:hint="eastAsia"/>
          <w:lang w:eastAsia="zh-CN"/>
        </w:rPr>
      </w:pPr>
    </w:p>
    <w:p w14:paraId="0255C1B8">
      <w:pPr>
        <w:pStyle w:val="5"/>
        <w:numPr>
          <w:ilvl w:val="0"/>
          <w:numId w:val="0"/>
        </w:numPr>
        <w:rPr>
          <w:rFonts w:hint="eastAsia"/>
          <w:lang w:eastAsia="zh-CN"/>
        </w:rPr>
      </w:pPr>
    </w:p>
    <w:p w14:paraId="47D06E06">
      <w:pPr>
        <w:pStyle w:val="5"/>
        <w:numPr>
          <w:ilvl w:val="0"/>
          <w:numId w:val="0"/>
        </w:numPr>
        <w:rPr>
          <w:rFonts w:hint="eastAsia"/>
          <w:lang w:eastAsia="zh-CN"/>
        </w:rPr>
      </w:pPr>
    </w:p>
    <w:p w14:paraId="5ABBB778">
      <w:pPr>
        <w:pStyle w:val="5"/>
        <w:numPr>
          <w:ilvl w:val="0"/>
          <w:numId w:val="0"/>
        </w:numPr>
        <w:rPr>
          <w:rFonts w:hint="eastAsia"/>
          <w:lang w:eastAsia="zh-CN"/>
        </w:rPr>
      </w:pPr>
    </w:p>
    <w:p w14:paraId="09C87FF8">
      <w:pPr>
        <w:pStyle w:val="5"/>
        <w:numPr>
          <w:ilvl w:val="0"/>
          <w:numId w:val="0"/>
        </w:numPr>
        <w:rPr>
          <w:rFonts w:hint="eastAsia"/>
          <w:lang w:eastAsia="zh-CN"/>
        </w:rPr>
      </w:pPr>
    </w:p>
    <w:p w14:paraId="1C08F72D">
      <w:pPr>
        <w:pStyle w:val="5"/>
        <w:numPr>
          <w:ilvl w:val="0"/>
          <w:numId w:val="0"/>
        </w:numPr>
        <w:rPr>
          <w:rFonts w:hint="eastAsia"/>
          <w:lang w:eastAsia="zh-CN"/>
        </w:rPr>
      </w:pPr>
    </w:p>
    <w:p w14:paraId="4B1423A3">
      <w:pPr>
        <w:pStyle w:val="5"/>
        <w:numPr>
          <w:ilvl w:val="0"/>
          <w:numId w:val="0"/>
        </w:numPr>
        <w:rPr>
          <w:rFonts w:hint="eastAsia"/>
          <w:lang w:eastAsia="zh-CN"/>
        </w:rPr>
      </w:pPr>
    </w:p>
    <w:p w14:paraId="2245024F">
      <w:pPr>
        <w:pStyle w:val="5"/>
        <w:numPr>
          <w:ilvl w:val="0"/>
          <w:numId w:val="0"/>
        </w:numPr>
        <w:rPr>
          <w:rFonts w:hint="eastAsia"/>
          <w:lang w:eastAsia="zh-CN"/>
        </w:rPr>
      </w:pPr>
    </w:p>
    <w:p w14:paraId="0E7FE390">
      <w:pPr>
        <w:pStyle w:val="5"/>
        <w:numPr>
          <w:ilvl w:val="0"/>
          <w:numId w:val="0"/>
        </w:numPr>
        <w:rPr>
          <w:rFonts w:hint="eastAsia"/>
          <w:lang w:eastAsia="zh-CN"/>
        </w:rPr>
      </w:pPr>
    </w:p>
    <w:p w14:paraId="45BBC82D">
      <w:pPr>
        <w:pStyle w:val="5"/>
        <w:numPr>
          <w:ilvl w:val="0"/>
          <w:numId w:val="0"/>
        </w:numPr>
        <w:rPr>
          <w:rFonts w:hint="eastAsia"/>
          <w:lang w:eastAsia="zh-CN"/>
        </w:rPr>
      </w:pPr>
    </w:p>
    <w:p w14:paraId="15A607D0">
      <w:pPr>
        <w:pStyle w:val="5"/>
        <w:numPr>
          <w:ilvl w:val="0"/>
          <w:numId w:val="0"/>
        </w:numPr>
        <w:rPr>
          <w:rFonts w:hint="eastAsia"/>
          <w:lang w:eastAsia="zh-CN"/>
        </w:rPr>
      </w:pPr>
    </w:p>
    <w:p w14:paraId="71797D9E">
      <w:pPr>
        <w:keepNext w:val="0"/>
        <w:keepLines w:val="0"/>
        <w:pageBreakBefore w:val="0"/>
        <w:kinsoku/>
        <w:wordWrap/>
        <w:overflowPunct/>
        <w:topLinePunct w:val="0"/>
        <w:autoSpaceDE/>
        <w:autoSpaceDN/>
        <w:bidi w:val="0"/>
        <w:spacing w:line="572" w:lineRule="exact"/>
        <w:jc w:val="left"/>
        <w:textAlignment w:val="auto"/>
        <w:outlineLvl w:val="0"/>
        <w:rPr>
          <w:rFonts w:hint="eastAsia" w:ascii="方正小标宋简体" w:hAnsi="方正小标宋简体" w:eastAsia="黑体" w:cs="方正小标宋简体"/>
          <w:color w:val="auto"/>
          <w:sz w:val="44"/>
          <w:szCs w:val="44"/>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68D7B543">
      <w:pPr>
        <w:keepNext w:val="0"/>
        <w:keepLines w:val="0"/>
        <w:pageBreakBefore w:val="0"/>
        <w:widowControl/>
        <w:kinsoku/>
        <w:wordWrap/>
        <w:overflowPunct/>
        <w:topLinePunct w:val="0"/>
        <w:autoSpaceDE/>
        <w:autoSpaceDN/>
        <w:bidi w:val="0"/>
        <w:spacing w:line="560" w:lineRule="exact"/>
        <w:contextualSpacing/>
        <w:jc w:val="center"/>
        <w:textAlignment w:val="auto"/>
        <w:rPr>
          <w:rFonts w:hint="eastAsia" w:ascii="宋体" w:hAnsi="宋体"/>
          <w:b/>
          <w:color w:val="auto"/>
          <w:sz w:val="32"/>
          <w:szCs w:val="32"/>
          <w:highlight w:val="none"/>
          <w:shd w:val="clear" w:color="auto" w:fill="FFFFFF"/>
          <w:lang w:val="en-US" w:eastAsia="zh-CN"/>
        </w:rPr>
      </w:pPr>
      <w:r>
        <w:rPr>
          <w:rFonts w:hint="eastAsia" w:ascii="宋体" w:hAnsi="宋体"/>
          <w:b/>
          <w:color w:val="auto"/>
          <w:sz w:val="32"/>
          <w:szCs w:val="32"/>
          <w:highlight w:val="none"/>
          <w:shd w:val="clear" w:color="auto" w:fill="FFFFFF"/>
          <w:lang w:val="en-US" w:eastAsia="zh-CN"/>
        </w:rPr>
        <w:t>广元市昭化区融媒体中心</w:t>
      </w:r>
    </w:p>
    <w:p w14:paraId="374149EE">
      <w:pPr>
        <w:keepNext w:val="0"/>
        <w:keepLines w:val="0"/>
        <w:pageBreakBefore w:val="0"/>
        <w:widowControl/>
        <w:kinsoku/>
        <w:wordWrap/>
        <w:overflowPunct/>
        <w:topLinePunct w:val="0"/>
        <w:autoSpaceDE/>
        <w:autoSpaceDN/>
        <w:bidi w:val="0"/>
        <w:spacing w:line="560" w:lineRule="exact"/>
        <w:contextualSpacing/>
        <w:jc w:val="center"/>
        <w:textAlignment w:val="auto"/>
        <w:rPr>
          <w:rFonts w:ascii="宋体" w:hAnsi="宋体" w:eastAsia="宋体"/>
          <w:b/>
          <w:color w:val="auto"/>
          <w:sz w:val="32"/>
          <w:szCs w:val="32"/>
          <w:highlight w:val="none"/>
          <w:shd w:val="clear" w:color="auto" w:fill="FFFFFF"/>
        </w:rPr>
      </w:pPr>
      <w:r>
        <w:rPr>
          <w:rFonts w:hint="eastAsia" w:ascii="宋体" w:hAnsi="宋体" w:eastAsia="宋体"/>
          <w:b/>
          <w:color w:val="auto"/>
          <w:sz w:val="32"/>
          <w:szCs w:val="32"/>
          <w:highlight w:val="none"/>
          <w:shd w:val="clear" w:color="auto" w:fill="FFFFFF"/>
        </w:rPr>
        <w:t>20</w:t>
      </w:r>
      <w:r>
        <w:rPr>
          <w:rFonts w:hint="eastAsia" w:ascii="宋体" w:hAnsi="宋体" w:eastAsia="宋体"/>
          <w:b/>
          <w:color w:val="auto"/>
          <w:sz w:val="32"/>
          <w:szCs w:val="32"/>
          <w:highlight w:val="none"/>
          <w:shd w:val="clear" w:color="auto" w:fill="FFFFFF"/>
          <w:lang w:val="en-US" w:eastAsia="zh-CN"/>
        </w:rPr>
        <w:t>2</w:t>
      </w:r>
      <w:r>
        <w:rPr>
          <w:rFonts w:hint="eastAsia" w:ascii="宋体" w:hAnsi="宋体"/>
          <w:b/>
          <w:color w:val="auto"/>
          <w:sz w:val="32"/>
          <w:szCs w:val="32"/>
          <w:highlight w:val="none"/>
          <w:shd w:val="clear" w:color="auto" w:fill="FFFFFF"/>
          <w:lang w:val="en-US" w:eastAsia="zh-CN"/>
        </w:rPr>
        <w:t>2</w:t>
      </w:r>
      <w:r>
        <w:rPr>
          <w:rFonts w:hint="eastAsia" w:ascii="宋体" w:hAnsi="宋体" w:eastAsia="宋体"/>
          <w:b/>
          <w:color w:val="auto"/>
          <w:sz w:val="32"/>
          <w:szCs w:val="32"/>
          <w:highlight w:val="none"/>
          <w:shd w:val="clear" w:color="auto" w:fill="FFFFFF"/>
        </w:rPr>
        <w:t>年部门整体绩效评价报告</w:t>
      </w:r>
    </w:p>
    <w:p w14:paraId="60AED02B">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p>
    <w:p w14:paraId="5D5554D6">
      <w:pPr>
        <w:keepNext w:val="0"/>
        <w:keepLines w:val="0"/>
        <w:pageBreakBefore w:val="0"/>
        <w:widowControl/>
        <w:numPr>
          <w:ilvl w:val="0"/>
          <w:numId w:val="6"/>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黑体" w:hAnsi="宋体" w:eastAsia="黑体" w:cs="宋体"/>
          <w:color w:val="auto"/>
          <w:kern w:val="0"/>
          <w:sz w:val="32"/>
          <w:szCs w:val="32"/>
          <w:highlight w:val="none"/>
          <w:shd w:val="clear" w:color="auto" w:fill="FFFFFF"/>
          <w:lang w:val="zh-CN"/>
        </w:rPr>
      </w:pPr>
      <w:r>
        <w:rPr>
          <w:rFonts w:hint="eastAsia" w:ascii="黑体" w:hAnsi="宋体" w:eastAsia="黑体" w:cs="宋体"/>
          <w:color w:val="auto"/>
          <w:kern w:val="0"/>
          <w:sz w:val="32"/>
          <w:szCs w:val="32"/>
          <w:highlight w:val="none"/>
          <w:shd w:val="clear" w:color="auto" w:fill="FFFFFF"/>
          <w:lang w:val="zh-CN"/>
        </w:rPr>
        <w:t>单位基本情况</w:t>
      </w:r>
    </w:p>
    <w:p w14:paraId="5D70E7C0">
      <w:pPr>
        <w:keepNext w:val="0"/>
        <w:keepLines w:val="0"/>
        <w:pageBreakBefore w:val="0"/>
        <w:widowControl/>
        <w:numPr>
          <w:ilvl w:val="0"/>
          <w:numId w:val="7"/>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机构组成</w:t>
      </w:r>
    </w:p>
    <w:p w14:paraId="114758F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lang w:val="en-US" w:eastAsia="zh-CN"/>
        </w:rPr>
        <w:t>广元市</w:t>
      </w:r>
      <w:r>
        <w:rPr>
          <w:rFonts w:hint="eastAsia" w:ascii="仿宋" w:hAnsi="仿宋" w:eastAsia="仿宋" w:cs="仿宋"/>
          <w:sz w:val="32"/>
          <w:szCs w:val="32"/>
          <w:lang w:eastAsia="zh-CN"/>
        </w:rPr>
        <w:t>昭化</w:t>
      </w:r>
      <w:r>
        <w:rPr>
          <w:rFonts w:hint="eastAsia" w:ascii="仿宋" w:hAnsi="仿宋" w:eastAsia="仿宋" w:cs="仿宋"/>
          <w:sz w:val="32"/>
          <w:szCs w:val="32"/>
          <w:lang w:val="en-US" w:eastAsia="zh-CN"/>
        </w:rPr>
        <w:t>区融媒体中心是区级直属</w:t>
      </w:r>
      <w:r>
        <w:rPr>
          <w:rFonts w:hint="eastAsia" w:ascii="仿宋" w:hAnsi="仿宋" w:eastAsia="仿宋" w:cs="仿宋"/>
          <w:sz w:val="32"/>
          <w:szCs w:val="32"/>
        </w:rPr>
        <w:t>的独立预算机构</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无下属单位。</w:t>
      </w:r>
    </w:p>
    <w:p w14:paraId="2D4D9F25">
      <w:pPr>
        <w:keepNext w:val="0"/>
        <w:keepLines w:val="0"/>
        <w:pageBreakBefore w:val="0"/>
        <w:widowControl/>
        <w:numPr>
          <w:ilvl w:val="0"/>
          <w:numId w:val="7"/>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机构职能和人员概况</w:t>
      </w:r>
    </w:p>
    <w:p w14:paraId="2AC35D50">
      <w:pPr>
        <w:keepNext w:val="0"/>
        <w:keepLines w:val="0"/>
        <w:pageBreakBefore w:val="0"/>
        <w:wordWrap/>
        <w:overflowPunct/>
        <w:topLinePunct w:val="0"/>
        <w:bidi w:val="0"/>
        <w:spacing w:line="560" w:lineRule="exact"/>
        <w:ind w:firstLine="420" w:firstLineChars="200"/>
        <w:jc w:val="left"/>
        <w:rPr>
          <w:rFonts w:ascii="Times New Roman" w:hAnsi="Times New Roman" w:eastAsia="仿宋_GB2312"/>
          <w:sz w:val="32"/>
          <w:szCs w:val="32"/>
        </w:rPr>
      </w:pPr>
      <w:r>
        <w:rPr>
          <w:rFonts w:hint="eastAsia"/>
          <w:lang w:val="en-US" w:eastAsia="zh-CN"/>
        </w:rPr>
        <w:t xml:space="preserve">  </w:t>
      </w: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14:paraId="0B5BAC54">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lang w:val="en-US" w:eastAsia="zh-CN"/>
        </w:rPr>
        <w:t>2、</w:t>
      </w:r>
      <w:r>
        <w:rPr>
          <w:rFonts w:ascii="Times New Roman" w:hAnsi="Times New Roman" w:eastAsia="仿宋_GB2312"/>
          <w:sz w:val="32"/>
          <w:szCs w:val="32"/>
        </w:rPr>
        <w:t>承担全区广播宣传工作，坚持正确的舆论导向，拟定宣传要点，收集、采编发射和传输节目，提高节目质量；办好昭化地方特色的新闻节目和其他综合性节目，加大对外宣传力度，协助指导镇广播宣传工作。</w:t>
      </w:r>
    </w:p>
    <w:p w14:paraId="127B21D5">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val="en-US" w:eastAsia="zh-CN"/>
        </w:rPr>
        <w:t>3、</w:t>
      </w:r>
      <w:r>
        <w:rPr>
          <w:rFonts w:ascii="Times New Roman" w:hAnsi="Times New Roman" w:eastAsia="仿宋_GB2312"/>
          <w:sz w:val="32"/>
          <w:szCs w:val="32"/>
        </w:rPr>
        <w:t>承担全区电视宣传工作，坚持正确的舆论导向，加大对外宣传力度，拟定宣传要点，办好昭化新闻节目和其他综合性节目，创办精品栏目，提高节目质量；负责自办节目的策划、采制、审查、包装以及播出编排和管理工作，负责电视节目的采、编、播及电视节目交流。</w:t>
      </w:r>
    </w:p>
    <w:p w14:paraId="18D62743">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承担全区新媒体宣传工作，做好“昭化融媒”手机APP、“微信公众号”、微博，开展采集、制作、播发、刊载新闻信息及产品等工作。</w:t>
      </w:r>
    </w:p>
    <w:p w14:paraId="670C2B7D">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lang w:val="en-US" w:eastAsia="zh-CN"/>
        </w:rPr>
        <w:t>5、</w:t>
      </w: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14:paraId="7A3E99C7">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lang w:val="en-US" w:eastAsia="zh-CN"/>
        </w:rPr>
        <w:t>6、</w:t>
      </w: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14:paraId="5330CEF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Arial"/>
          <w:snapToGrid w:val="0"/>
          <w:color w:val="000000"/>
          <w:kern w:val="0"/>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人员概况</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2022年底，</w:t>
      </w:r>
      <w:r>
        <w:rPr>
          <w:rFonts w:hint="eastAsia" w:ascii="Times New Roman" w:hAnsi="Times New Roman" w:eastAsia="仿宋_GB2312" w:cs="Arial"/>
          <w:snapToGrid w:val="0"/>
          <w:color w:val="000000"/>
          <w:kern w:val="0"/>
          <w:sz w:val="32"/>
          <w:szCs w:val="32"/>
        </w:rPr>
        <w:t>全</w:t>
      </w:r>
      <w:r>
        <w:rPr>
          <w:rFonts w:hint="eastAsia" w:ascii="Times New Roman" w:hAnsi="Times New Roman" w:eastAsia="仿宋_GB2312" w:cs="Arial"/>
          <w:snapToGrid w:val="0"/>
          <w:color w:val="000000"/>
          <w:kern w:val="0"/>
          <w:sz w:val="32"/>
          <w:szCs w:val="32"/>
          <w:lang w:val="en-US" w:eastAsia="zh-CN"/>
        </w:rPr>
        <w:t>中心在职在岗</w:t>
      </w:r>
      <w:r>
        <w:rPr>
          <w:rFonts w:hint="eastAsia" w:ascii="Times New Roman" w:hAnsi="Times New Roman" w:eastAsia="仿宋_GB2312" w:cs="Arial"/>
          <w:snapToGrid w:val="0"/>
          <w:color w:val="000000"/>
          <w:kern w:val="0"/>
          <w:sz w:val="32"/>
          <w:szCs w:val="32"/>
        </w:rPr>
        <w:t>干部</w:t>
      </w:r>
      <w:r>
        <w:rPr>
          <w:rFonts w:hint="eastAsia" w:ascii="Times New Roman" w:hAnsi="Times New Roman" w:eastAsia="仿宋_GB2312" w:cs="Arial"/>
          <w:snapToGrid w:val="0"/>
          <w:color w:val="000000"/>
          <w:kern w:val="0"/>
          <w:sz w:val="32"/>
          <w:szCs w:val="32"/>
          <w:lang w:val="en-US" w:eastAsia="zh-CN"/>
        </w:rPr>
        <w:t>职工37</w:t>
      </w:r>
      <w:r>
        <w:rPr>
          <w:rFonts w:hint="eastAsia" w:ascii="Times New Roman" w:hAnsi="Times New Roman" w:eastAsia="仿宋_GB2312" w:cs="Arial"/>
          <w:snapToGrid w:val="0"/>
          <w:color w:val="000000"/>
          <w:kern w:val="0"/>
          <w:sz w:val="32"/>
          <w:szCs w:val="32"/>
        </w:rPr>
        <w:t>人，其中：公务员</w:t>
      </w:r>
      <w:r>
        <w:rPr>
          <w:rFonts w:hint="eastAsia" w:ascii="Times New Roman" w:hAnsi="Times New Roman" w:eastAsia="仿宋_GB2312" w:cs="Arial"/>
          <w:snapToGrid w:val="0"/>
          <w:color w:val="000000"/>
          <w:kern w:val="0"/>
          <w:sz w:val="32"/>
          <w:szCs w:val="32"/>
          <w:lang w:val="en-US" w:eastAsia="zh-CN"/>
        </w:rPr>
        <w:t>0</w:t>
      </w:r>
      <w:r>
        <w:rPr>
          <w:rFonts w:hint="eastAsia" w:ascii="Times New Roman" w:hAnsi="Times New Roman" w:eastAsia="仿宋_GB2312" w:cs="Arial"/>
          <w:snapToGrid w:val="0"/>
          <w:color w:val="000000"/>
          <w:kern w:val="0"/>
          <w:sz w:val="32"/>
          <w:szCs w:val="32"/>
        </w:rPr>
        <w:t>人</w:t>
      </w:r>
      <w:r>
        <w:rPr>
          <w:rFonts w:hint="eastAsia" w:ascii="Times New Roman" w:hAnsi="Times New Roman" w:eastAsia="仿宋_GB2312" w:cs="Arial"/>
          <w:snapToGrid w:val="0"/>
          <w:color w:val="000000"/>
          <w:kern w:val="0"/>
          <w:sz w:val="32"/>
          <w:szCs w:val="32"/>
          <w:lang w:eastAsia="zh-CN"/>
        </w:rPr>
        <w:t>，</w:t>
      </w:r>
      <w:r>
        <w:rPr>
          <w:rFonts w:hint="eastAsia" w:ascii="Times New Roman" w:hAnsi="Times New Roman" w:eastAsia="仿宋_GB2312" w:cs="Arial"/>
          <w:snapToGrid w:val="0"/>
          <w:color w:val="000000"/>
          <w:kern w:val="0"/>
          <w:sz w:val="32"/>
          <w:szCs w:val="32"/>
        </w:rPr>
        <w:t>事业干部</w:t>
      </w:r>
      <w:r>
        <w:rPr>
          <w:rFonts w:hint="eastAsia" w:ascii="Times New Roman" w:hAnsi="Times New Roman" w:eastAsia="仿宋_GB2312" w:cs="Arial"/>
          <w:snapToGrid w:val="0"/>
          <w:color w:val="000000"/>
          <w:kern w:val="0"/>
          <w:sz w:val="32"/>
          <w:szCs w:val="32"/>
          <w:lang w:val="en-US" w:eastAsia="zh-CN"/>
        </w:rPr>
        <w:t>23</w:t>
      </w:r>
      <w:r>
        <w:rPr>
          <w:rFonts w:hint="eastAsia" w:ascii="Times New Roman" w:hAnsi="Times New Roman" w:eastAsia="仿宋_GB2312" w:cs="Arial"/>
          <w:snapToGrid w:val="0"/>
          <w:color w:val="000000"/>
          <w:kern w:val="0"/>
          <w:sz w:val="32"/>
          <w:szCs w:val="32"/>
        </w:rPr>
        <w:t>人</w:t>
      </w:r>
      <w:r>
        <w:rPr>
          <w:rFonts w:hint="eastAsia" w:ascii="Times New Roman" w:hAnsi="Times New Roman" w:eastAsia="仿宋_GB2312" w:cs="Arial"/>
          <w:snapToGrid w:val="0"/>
          <w:color w:val="000000"/>
          <w:kern w:val="0"/>
          <w:sz w:val="32"/>
          <w:szCs w:val="32"/>
          <w:lang w:eastAsia="zh-CN"/>
        </w:rPr>
        <w:t>，</w:t>
      </w:r>
      <w:r>
        <w:rPr>
          <w:rFonts w:hint="eastAsia" w:ascii="Times New Roman" w:hAnsi="Times New Roman" w:eastAsia="仿宋_GB2312" w:cs="Arial"/>
          <w:snapToGrid w:val="0"/>
          <w:color w:val="000000"/>
          <w:kern w:val="0"/>
          <w:sz w:val="32"/>
          <w:szCs w:val="32"/>
          <w:lang w:val="en-US" w:eastAsia="zh-CN"/>
        </w:rPr>
        <w:t>聘用人员14人</w:t>
      </w:r>
      <w:r>
        <w:rPr>
          <w:rFonts w:hint="eastAsia" w:ascii="Times New Roman" w:hAnsi="Times New Roman" w:eastAsia="仿宋_GB2312" w:cs="Arial"/>
          <w:snapToGrid w:val="0"/>
          <w:color w:val="000000"/>
          <w:kern w:val="0"/>
          <w:sz w:val="32"/>
          <w:szCs w:val="32"/>
          <w:lang w:eastAsia="zh-CN"/>
        </w:rPr>
        <w:t>。</w:t>
      </w:r>
      <w:r>
        <w:rPr>
          <w:rFonts w:hint="eastAsia" w:ascii="Times New Roman" w:hAnsi="Times New Roman" w:eastAsia="仿宋_GB2312" w:cs="Arial"/>
          <w:snapToGrid w:val="0"/>
          <w:color w:val="000000"/>
          <w:kern w:val="0"/>
          <w:sz w:val="32"/>
          <w:szCs w:val="32"/>
          <w:lang w:val="en-US" w:eastAsia="zh-CN"/>
        </w:rPr>
        <w:t>见实习</w:t>
      </w:r>
      <w:r>
        <w:rPr>
          <w:rFonts w:hint="eastAsia" w:ascii="Times New Roman" w:hAnsi="Times New Roman" w:eastAsia="仿宋_GB2312" w:cs="Arial"/>
          <w:snapToGrid w:val="0"/>
          <w:color w:val="000000"/>
          <w:kern w:val="0"/>
          <w:sz w:val="32"/>
          <w:szCs w:val="32"/>
        </w:rPr>
        <w:t>人员</w:t>
      </w:r>
      <w:r>
        <w:rPr>
          <w:rFonts w:hint="eastAsia" w:ascii="Times New Roman" w:hAnsi="Times New Roman" w:eastAsia="仿宋_GB2312" w:cs="Arial"/>
          <w:snapToGrid w:val="0"/>
          <w:color w:val="000000"/>
          <w:kern w:val="0"/>
          <w:sz w:val="32"/>
          <w:szCs w:val="32"/>
          <w:lang w:val="en-US" w:eastAsia="zh-CN"/>
        </w:rPr>
        <w:t>3</w:t>
      </w:r>
      <w:r>
        <w:rPr>
          <w:rFonts w:hint="eastAsia" w:ascii="Times New Roman" w:hAnsi="Times New Roman" w:eastAsia="仿宋_GB2312" w:cs="Arial"/>
          <w:snapToGrid w:val="0"/>
          <w:color w:val="000000"/>
          <w:kern w:val="0"/>
          <w:sz w:val="32"/>
          <w:szCs w:val="32"/>
        </w:rPr>
        <w:t>人</w:t>
      </w:r>
      <w:r>
        <w:rPr>
          <w:rFonts w:hint="eastAsia" w:ascii="Times New Roman" w:hAnsi="Times New Roman" w:eastAsia="仿宋_GB2312" w:cs="Arial"/>
          <w:snapToGrid w:val="0"/>
          <w:color w:val="000000"/>
          <w:kern w:val="0"/>
          <w:sz w:val="32"/>
          <w:szCs w:val="32"/>
          <w:lang w:eastAsia="zh-CN"/>
        </w:rPr>
        <w:t>，</w:t>
      </w:r>
      <w:r>
        <w:rPr>
          <w:rFonts w:hint="eastAsia" w:ascii="Times New Roman" w:hAnsi="Times New Roman" w:eastAsia="仿宋_GB2312" w:cs="Arial"/>
          <w:snapToGrid w:val="0"/>
          <w:color w:val="000000"/>
          <w:kern w:val="0"/>
          <w:sz w:val="32"/>
          <w:szCs w:val="32"/>
        </w:rPr>
        <w:t>退休人员</w:t>
      </w:r>
      <w:r>
        <w:rPr>
          <w:rFonts w:hint="eastAsia" w:ascii="Times New Roman" w:hAnsi="Times New Roman" w:eastAsia="仿宋_GB2312" w:cs="Arial"/>
          <w:snapToGrid w:val="0"/>
          <w:color w:val="000000"/>
          <w:kern w:val="0"/>
          <w:sz w:val="32"/>
          <w:szCs w:val="32"/>
          <w:lang w:val="en-US" w:eastAsia="zh-CN"/>
        </w:rPr>
        <w:t>0</w:t>
      </w:r>
      <w:r>
        <w:rPr>
          <w:rFonts w:hint="eastAsia" w:ascii="Times New Roman" w:hAnsi="Times New Roman" w:eastAsia="仿宋_GB2312" w:cs="Arial"/>
          <w:snapToGrid w:val="0"/>
          <w:color w:val="000000"/>
          <w:kern w:val="0"/>
          <w:sz w:val="32"/>
          <w:szCs w:val="32"/>
        </w:rPr>
        <w:t>人。</w:t>
      </w:r>
    </w:p>
    <w:p w14:paraId="0A29DAA6">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（三）年度主要工作任务</w:t>
      </w:r>
    </w:p>
    <w:p w14:paraId="0BDA3302">
      <w:pPr>
        <w:pStyle w:val="14"/>
        <w:keepNext w:val="0"/>
        <w:keepLines w:val="0"/>
        <w:pageBreakBefore w:val="0"/>
        <w:numPr>
          <w:ilvl w:val="0"/>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1、“融”字为先，办媒理念更新潮。</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区融媒体中心把信息传播矩阵建设和平台阵地建设放在首位，围绕“主流舆论阵地、综合服务平台、社区信息枢纽”的发展定位，投</w:t>
      </w:r>
      <w:r>
        <w:rPr>
          <w:rFonts w:hint="eastAsia" w:eastAsia="仿宋_GB2312" w:cs="Times New Roman"/>
          <w:color w:val="000000" w:themeColor="text1"/>
          <w:kern w:val="2"/>
          <w:sz w:val="32"/>
          <w:szCs w:val="32"/>
          <w:lang w:val="en-US" w:eastAsia="zh-CN" w:bidi="ar-SA"/>
          <w14:textFill>
            <w14:solidFill>
              <w14:schemeClr w14:val="tx1"/>
            </w14:solidFill>
          </w14:textFill>
        </w:rPr>
        <w:t>入资金20</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万元推动“融媒+”体系建设。</w:t>
      </w:r>
      <w:r>
        <w:rPr>
          <w:rFonts w:hint="eastAsia" w:ascii="仿宋" w:hAnsi="仿宋" w:eastAsia="仿宋" w:cs="仿宋"/>
          <w:color w:val="000000" w:themeColor="text1"/>
          <w:kern w:val="2"/>
          <w:sz w:val="32"/>
          <w:szCs w:val="32"/>
          <w:lang w:val="en-US" w:eastAsia="zh-CN" w:bidi="ar-SA"/>
          <w14:textFill>
            <w14:solidFill>
              <w14:schemeClr w14:val="tx1"/>
            </w14:solidFill>
          </w14:textFill>
        </w:rPr>
        <w:t>坚持以用户为中心，以体验为核心，形成“图、文、音、视”四大内容形态和涵盖咨询服务、政务服务、便民服务在内的全领域功能结构。对中央厨房系统等进行全面升级，新版本的中央厨房不仅可以支持网站、APP、小程序的统一管理，还可以直接推送稿件至第三方平台，真正意义上实现一键多发的功能。</w:t>
      </w:r>
    </w:p>
    <w:p w14:paraId="5C473EB4">
      <w:pPr>
        <w:keepNext w:val="0"/>
        <w:keepLines w:val="0"/>
        <w:pageBreakBefore w:val="0"/>
        <w:numPr>
          <w:ilvl w:val="0"/>
          <w:numId w:val="0"/>
        </w:numPr>
        <w:kinsoku/>
        <w:wordWrap/>
        <w:overflowPunct/>
        <w:topLinePunct w:val="0"/>
        <w:autoSpaceDE/>
        <w:autoSpaceDN/>
        <w:bidi w:val="0"/>
        <w:adjustRightInd/>
        <w:snapToGrid/>
        <w:spacing w:line="560" w:lineRule="exact"/>
        <w:ind w:firstLine="320" w:firstLineChars="100"/>
        <w:textAlignment w:val="auto"/>
        <w:rPr>
          <w:rFonts w:hint="default"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（二）“宣”字为要，传播昭化好声音。</w:t>
      </w:r>
      <w:r>
        <w:rPr>
          <w:rFonts w:hint="eastAsia" w:ascii="黑体" w:hAnsi="黑体" w:eastAsia="黑体" w:cs="黑体"/>
          <w:color w:val="000000" w:themeColor="text1"/>
          <w:kern w:val="2"/>
          <w:sz w:val="32"/>
          <w:szCs w:val="32"/>
          <w:lang w:val="en-US" w:eastAsia="zh-CN" w:bidi="ar-SA"/>
          <w14:textFill>
            <w14:solidFill>
              <w14:schemeClr w14:val="tx1"/>
            </w14:solidFill>
          </w14:textFill>
        </w:rPr>
        <w:t>一是稳步推进内宣工作，满足观众视听需求。</w:t>
      </w:r>
      <w:r>
        <w:rPr>
          <w:rFonts w:hint="eastAsia" w:ascii="仿宋" w:hAnsi="仿宋" w:eastAsia="仿宋" w:cs="仿宋"/>
          <w:color w:val="000000" w:themeColor="text1"/>
          <w:kern w:val="2"/>
          <w:sz w:val="32"/>
          <w:szCs w:val="32"/>
          <w:lang w:val="en-US" w:eastAsia="zh-CN" w:bidi="ar-SA"/>
          <w14:textFill>
            <w14:solidFill>
              <w14:schemeClr w14:val="tx1"/>
            </w14:solidFill>
          </w14:textFill>
        </w:rPr>
        <w:t>紧扣党的二十大、习近平总书记来川视察、党的十九届六中全会、省第十二次党代会、市第八次党代会、市委八届二次全会和区第八次党代会、区委八届二次全会等重大会议开展新闻宣传，推动中央、省、市、区会议精神第一时间落地生根。围绕“创建第七届全国文明城市”“创建天府旅游名县”“疫情防控”“拼经济搞建设”等重大选题开展新闻策划，推出专题专栏，讲好昭化故事。按照“活动兴业”要求，组织实施“2022年丰收节”“知客大赛”等大型直播活动。全年在《昭化新闻》《昭化之声》开设专题专栏30余个，刊播新闻2100条，制作《亮单晒诺》《优化营商环境》电视访谈14期；通过昭化区门户网站推送新闻稿件5100余条；在《昭化发布》《蜀道昭化》微信公众号刊发推文1768条，同比增长10%。其中，《致昭化籍在外务工的倡议书》点击率超过20000+；在蜀道昭化APP、昭化发布微博、还看今昭网站、今日头条、四川观察、学习强国等新媒体平台发稿9000余条。</w:t>
      </w:r>
      <w:r>
        <w:rPr>
          <w:rFonts w:hint="eastAsia" w:ascii="黑体" w:hAnsi="黑体" w:eastAsia="黑体" w:cs="黑体"/>
          <w:color w:val="000000" w:themeColor="text1"/>
          <w:kern w:val="2"/>
          <w:sz w:val="32"/>
          <w:szCs w:val="32"/>
          <w:lang w:val="en-US" w:eastAsia="zh-CN" w:bidi="ar-SA"/>
          <w14:textFill>
            <w14:solidFill>
              <w14:schemeClr w14:val="tx1"/>
            </w14:solidFill>
          </w14:textFill>
        </w:rPr>
        <w:t>二是讲好昭化故事，强化对外宣传。</w:t>
      </w:r>
      <w:r>
        <w:rPr>
          <w:rFonts w:hint="eastAsia" w:ascii="仿宋" w:hAnsi="仿宋" w:eastAsia="仿宋" w:cs="仿宋"/>
          <w:color w:val="000000" w:themeColor="text1"/>
          <w:kern w:val="2"/>
          <w:sz w:val="32"/>
          <w:szCs w:val="32"/>
          <w:lang w:val="en-US" w:eastAsia="zh-CN" w:bidi="ar-SA"/>
          <w14:textFill>
            <w14:solidFill>
              <w14:schemeClr w14:val="tx1"/>
            </w14:solidFill>
          </w14:textFill>
        </w:rPr>
        <w:t>主动对接中央、省、市主流媒体，融入全市上宣外宣工作大局，争取“行走中国大蜀道·2022国际媒体广元行”“2022年中国（广元）女儿节相亲大会”落户昭化，持续宣传好抗美援朝老英雄李化武、“农民作家”张克茂典型事迹及昭化王家贡米、法治帐图等经验做法，全年在省及以上主流媒体刊发新闻稿件6686条，同比增长</w:t>
      </w:r>
      <w:r>
        <w:rPr>
          <w:rFonts w:hint="eastAsia" w:ascii="仿宋" w:hAnsi="仿宋" w:eastAsia="仿宋" w:cs="仿宋"/>
          <w:color w:val="auto"/>
          <w:kern w:val="2"/>
          <w:sz w:val="32"/>
          <w:szCs w:val="32"/>
          <w:lang w:val="en-US" w:eastAsia="zh-CN" w:bidi="ar-SA"/>
        </w:rPr>
        <w:t>52.4%</w:t>
      </w:r>
      <w:r>
        <w:rPr>
          <w:rFonts w:hint="eastAsia" w:ascii="仿宋" w:hAnsi="仿宋" w:eastAsia="仿宋" w:cs="仿宋"/>
          <w:color w:val="000000" w:themeColor="text1"/>
          <w:kern w:val="2"/>
          <w:sz w:val="32"/>
          <w:szCs w:val="32"/>
          <w:lang w:val="en-US" w:eastAsia="zh-CN" w:bidi="ar-SA"/>
          <w14:textFill>
            <w14:solidFill>
              <w14:schemeClr w14:val="tx1"/>
            </w14:solidFill>
          </w14:textFill>
        </w:rPr>
        <w:t>。其中，人民日报发稿6条（头版头条1条），</w:t>
      </w:r>
      <w:r>
        <w:rPr>
          <w:rFonts w:hint="eastAsia" w:ascii="仿宋" w:hAnsi="仿宋" w:eastAsia="仿宋" w:cs="仿宋"/>
          <w:color w:val="auto"/>
          <w:kern w:val="2"/>
          <w:sz w:val="32"/>
          <w:szCs w:val="32"/>
          <w:lang w:val="en-US" w:eastAsia="zh-CN" w:bidi="ar-SA"/>
        </w:rPr>
        <w:t>中央电视台发稿27条（新闻联播5条）</w:t>
      </w:r>
      <w:r>
        <w:rPr>
          <w:rFonts w:hint="eastAsia" w:ascii="仿宋" w:hAnsi="仿宋" w:eastAsia="仿宋" w:cs="仿宋"/>
          <w:color w:val="000000" w:themeColor="text1"/>
          <w:kern w:val="2"/>
          <w:sz w:val="32"/>
          <w:szCs w:val="32"/>
          <w:lang w:val="en-US" w:eastAsia="zh-CN" w:bidi="ar-SA"/>
          <w14:textFill>
            <w14:solidFill>
              <w14:schemeClr w14:val="tx1"/>
            </w14:solidFill>
          </w14:textFill>
        </w:rPr>
        <w:t>，中央级其它报刊</w:t>
      </w:r>
      <w:r>
        <w:rPr>
          <w:rFonts w:hint="eastAsia" w:ascii="仿宋" w:hAnsi="仿宋" w:eastAsia="仿宋" w:cs="仿宋"/>
          <w:b w:val="0"/>
          <w:bCs w:val="0"/>
          <w:color w:val="auto"/>
          <w:kern w:val="2"/>
          <w:sz w:val="32"/>
          <w:szCs w:val="32"/>
          <w:lang w:val="en-US" w:eastAsia="zh-CN" w:bidi="ar-SA"/>
        </w:rPr>
        <w:t>28</w:t>
      </w:r>
      <w:r>
        <w:rPr>
          <w:rFonts w:hint="eastAsia" w:ascii="仿宋" w:hAnsi="仿宋" w:eastAsia="仿宋" w:cs="仿宋"/>
          <w:color w:val="000000" w:themeColor="text1"/>
          <w:kern w:val="2"/>
          <w:sz w:val="32"/>
          <w:szCs w:val="32"/>
          <w:lang w:val="en-US" w:eastAsia="zh-CN" w:bidi="ar-SA"/>
          <w14:textFill>
            <w14:solidFill>
              <w14:schemeClr w14:val="tx1"/>
            </w14:solidFill>
          </w14:textFill>
        </w:rPr>
        <w:t>条；四</w:t>
      </w:r>
      <w:r>
        <w:rPr>
          <w:rFonts w:hint="eastAsia" w:ascii="仿宋" w:hAnsi="仿宋" w:eastAsia="仿宋" w:cs="仿宋"/>
          <w:color w:val="auto"/>
          <w:kern w:val="2"/>
          <w:sz w:val="32"/>
          <w:szCs w:val="32"/>
          <w:lang w:val="en-US" w:eastAsia="zh-CN" w:bidi="ar-SA"/>
        </w:rPr>
        <w:t>川日报发稿32条（头版4条），四川电视台发稿158条（四川新闻联播59条）。1—11月外宣发稿量居全市第二</w:t>
      </w:r>
      <w:r>
        <w:rPr>
          <w:rFonts w:hint="eastAsia" w:ascii="仿宋" w:hAnsi="仿宋" w:eastAsia="仿宋" w:cs="仿宋"/>
          <w:color w:val="000000" w:themeColor="text1"/>
          <w:kern w:val="2"/>
          <w:sz w:val="32"/>
          <w:szCs w:val="32"/>
          <w:lang w:val="en-US" w:eastAsia="zh-CN" w:bidi="ar-SA"/>
          <w14:textFill>
            <w14:solidFill>
              <w14:schemeClr w14:val="tx1"/>
            </w14:solidFill>
          </w14:textFill>
        </w:rPr>
        <w:t>。截至目前，共开设7个海外平台账号，开设总量位居全市前列，发布推文89篇，</w:t>
      </w:r>
      <w:r>
        <w:rPr>
          <w:rFonts w:hint="eastAsia" w:ascii="仿宋" w:hAnsi="仿宋" w:eastAsia="仿宋" w:cs="仿宋"/>
          <w:color w:val="auto"/>
          <w:kern w:val="2"/>
          <w:sz w:val="32"/>
          <w:szCs w:val="32"/>
          <w:lang w:val="en-US" w:eastAsia="zh-CN" w:bidi="ar-SA"/>
        </w:rPr>
        <w:t>多语种稿件8篇。</w:t>
      </w:r>
      <w:r>
        <w:rPr>
          <w:rFonts w:hint="eastAsia" w:ascii="黑体" w:hAnsi="黑体" w:eastAsia="黑体" w:cs="黑体"/>
          <w:color w:val="000000" w:themeColor="text1"/>
          <w:kern w:val="2"/>
          <w:sz w:val="32"/>
          <w:szCs w:val="32"/>
          <w:lang w:val="en-US" w:eastAsia="zh-CN" w:bidi="ar-SA"/>
          <w14:textFill>
            <w14:solidFill>
              <w14:schemeClr w14:val="tx1"/>
            </w14:solidFill>
          </w14:textFill>
        </w:rPr>
        <w:t>三是立足温情引导共情，视频专题亮点纷呈。</w:t>
      </w:r>
      <w:r>
        <w:rPr>
          <w:rFonts w:hint="eastAsia" w:ascii="Times New Roman" w:hAnsi="Times New Roman" w:eastAsia="仿宋_GB2312" w:cs="Times New Roman"/>
          <w:sz w:val="32"/>
          <w:szCs w:val="32"/>
          <w:lang w:val="en-US" w:eastAsia="zh-CN"/>
        </w:rPr>
        <w:t>围绕全区中心工作，创</w:t>
      </w:r>
      <w:r>
        <w:rPr>
          <w:rFonts w:hint="eastAsia" w:ascii="仿宋" w:hAnsi="仿宋" w:eastAsia="仿宋" w:cs="仿宋"/>
          <w:color w:val="000000" w:themeColor="text1"/>
          <w:kern w:val="2"/>
          <w:sz w:val="32"/>
          <w:szCs w:val="32"/>
          <w:lang w:val="en-US" w:eastAsia="zh-CN" w:bidi="ar-SA"/>
          <w14:textFill>
            <w14:solidFill>
              <w14:schemeClr w14:val="tx1"/>
            </w14:solidFill>
          </w14:textFill>
        </w:rPr>
        <w:t>新策划短视频、专题片。微信视频号全年发布短视频816条，其中《“昭”之能战不负“蓉”光》《青春舞动“毽”康相伴》《爱在昭化情满方舱》等短视频累计播放量达150余万次，累计点赞50余万次。</w:t>
      </w:r>
      <w:r>
        <w:rPr>
          <w:rFonts w:hint="eastAsia" w:ascii="Times New Roman" w:hAnsi="Times New Roman" w:eastAsia="仿宋_GB2312" w:cs="Times New Roman"/>
          <w:sz w:val="32"/>
          <w:szCs w:val="32"/>
        </w:rPr>
        <w:t>今年以来，</w:t>
      </w:r>
      <w:r>
        <w:rPr>
          <w:rFonts w:hint="eastAsia" w:ascii="Times New Roman" w:hAnsi="Times New Roman" w:eastAsia="仿宋_GB2312" w:cs="Times New Roman"/>
          <w:sz w:val="32"/>
          <w:szCs w:val="32"/>
          <w:lang w:val="en-US" w:eastAsia="zh-CN"/>
        </w:rPr>
        <w:t>学习强国</w:t>
      </w:r>
      <w:r>
        <w:rPr>
          <w:rFonts w:hint="eastAsia" w:ascii="Times New Roman" w:hAnsi="Times New Roman" w:eastAsia="仿宋_GB2312" w:cs="Times New Roman"/>
          <w:sz w:val="32"/>
          <w:szCs w:val="32"/>
        </w:rPr>
        <w:t>共提交稿件407件，被四川平台采用</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89件，其中全国平台采用6件。</w:t>
      </w:r>
      <w:r>
        <w:rPr>
          <w:rFonts w:hint="eastAsia" w:ascii="仿宋" w:hAnsi="仿宋" w:eastAsia="仿宋" w:cs="仿宋"/>
          <w:color w:val="000000" w:themeColor="text1"/>
          <w:kern w:val="2"/>
          <w:sz w:val="32"/>
          <w:szCs w:val="32"/>
          <w:lang w:val="en-US" w:eastAsia="zh-CN" w:bidi="ar-SA"/>
          <w14:textFill>
            <w14:solidFill>
              <w14:schemeClr w14:val="tx1"/>
            </w14:solidFill>
          </w14:textFill>
        </w:rPr>
        <w:t>全年制播《守护平安》、《一颗红心向田园》等34部专题片，生动展现昭化区以人民为中心、推进乡村振兴新图景。</w:t>
      </w:r>
    </w:p>
    <w:p w14:paraId="30714051">
      <w:pPr>
        <w:pStyle w:val="8"/>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（三）“严”字为根，意识形态更聚力。</w:t>
      </w:r>
      <w:r>
        <w:rPr>
          <w:rFonts w:hint="eastAsia" w:ascii="仿宋" w:hAnsi="仿宋" w:eastAsia="仿宋" w:cs="仿宋"/>
          <w:color w:val="000000" w:themeColor="text1"/>
          <w:kern w:val="2"/>
          <w:sz w:val="32"/>
          <w:szCs w:val="32"/>
          <w:lang w:val="en-US" w:eastAsia="zh-CN" w:bidi="ar-SA"/>
          <w14:textFill>
            <w14:solidFill>
              <w14:schemeClr w14:val="tx1"/>
            </w14:solidFill>
          </w14:textFill>
        </w:rPr>
        <w:t>印发《区融媒体中心全面从严治党“三张清单”》《昭化区融媒体中心“三重一大”议事规则》等20余个制度规范，将权</w:t>
      </w:r>
      <w:r>
        <w:rPr>
          <w:rFonts w:hint="eastAsia" w:ascii="仿宋" w:hAnsi="仿宋" w:cs="仿宋"/>
          <w:color w:val="000000" w:themeColor="text1"/>
          <w:kern w:val="2"/>
          <w:sz w:val="32"/>
          <w:szCs w:val="32"/>
          <w:lang w:val="en-US" w:eastAsia="zh-CN" w:bidi="ar-SA"/>
          <w14:textFill>
            <w14:solidFill>
              <w14:schemeClr w14:val="tx1"/>
            </w14:solidFill>
          </w14:textFill>
        </w:rPr>
        <w:t>力</w:t>
      </w:r>
      <w:r>
        <w:rPr>
          <w:rFonts w:hint="eastAsia" w:ascii="仿宋" w:hAnsi="仿宋" w:eastAsia="仿宋" w:cs="仿宋"/>
          <w:color w:val="000000" w:themeColor="text1"/>
          <w:kern w:val="2"/>
          <w:sz w:val="32"/>
          <w:szCs w:val="32"/>
          <w:lang w:val="en-US" w:eastAsia="zh-CN" w:bidi="ar-SA"/>
          <w14:textFill>
            <w14:solidFill>
              <w14:schemeClr w14:val="tx1"/>
            </w14:solidFill>
          </w14:textFill>
        </w:rPr>
        <w:t>关进制度的笼子里。单位一把手带头讲党课</w:t>
      </w:r>
      <w:r>
        <w:rPr>
          <w:rFonts w:hint="eastAsia" w:ascii="仿宋" w:hAnsi="仿宋" w:cs="仿宋"/>
          <w:color w:val="000000" w:themeColor="text1"/>
          <w:kern w:val="2"/>
          <w:sz w:val="32"/>
          <w:szCs w:val="32"/>
          <w:lang w:val="en-US" w:eastAsia="zh-CN" w:bidi="ar-SA"/>
          <w14:textFill>
            <w14:solidFill>
              <w14:schemeClr w14:val="tx1"/>
            </w14:solidFill>
          </w14:textFill>
        </w:rPr>
        <w:t>4</w:t>
      </w:r>
      <w:r>
        <w:rPr>
          <w:rFonts w:hint="eastAsia" w:ascii="仿宋" w:hAnsi="仿宋" w:eastAsia="仿宋" w:cs="仿宋"/>
          <w:color w:val="000000" w:themeColor="text1"/>
          <w:kern w:val="2"/>
          <w:sz w:val="32"/>
          <w:szCs w:val="32"/>
          <w:lang w:val="en-US" w:eastAsia="zh-CN" w:bidi="ar-SA"/>
          <w14:textFill>
            <w14:solidFill>
              <w14:schemeClr w14:val="tx1"/>
            </w14:solidFill>
          </w14:textFill>
        </w:rPr>
        <w:t>次，</w:t>
      </w:r>
      <w:r>
        <w:rPr>
          <w:rFonts w:hint="eastAsia" w:ascii="仿宋" w:hAnsi="仿宋" w:cs="仿宋"/>
          <w:color w:val="000000" w:themeColor="text1"/>
          <w:kern w:val="2"/>
          <w:sz w:val="32"/>
          <w:szCs w:val="32"/>
          <w:lang w:val="en-US" w:eastAsia="zh-CN" w:bidi="ar-SA"/>
          <w14:textFill>
            <w14:solidFill>
              <w14:schemeClr w14:val="tx1"/>
            </w14:solidFill>
          </w14:textFill>
        </w:rPr>
        <w:t>每季度专题研究</w:t>
      </w:r>
      <w:r>
        <w:rPr>
          <w:rFonts w:hint="eastAsia" w:ascii="仿宋" w:hAnsi="仿宋" w:eastAsia="仿宋" w:cs="仿宋"/>
          <w:b w:val="0"/>
          <w:bCs w:val="0"/>
          <w:sz w:val="32"/>
          <w:szCs w:val="32"/>
          <w:lang w:val="en-US" w:eastAsia="zh-CN"/>
        </w:rPr>
        <w:t>意识形态工作</w:t>
      </w:r>
      <w:r>
        <w:rPr>
          <w:rFonts w:hint="eastAsia" w:ascii="仿宋" w:hAnsi="仿宋" w:cs="仿宋"/>
          <w:b w:val="0"/>
          <w:bCs w:val="0"/>
          <w:sz w:val="32"/>
          <w:szCs w:val="32"/>
          <w:lang w:val="en-US" w:eastAsia="zh-CN"/>
        </w:rPr>
        <w:t>，开展谈心谈话。</w:t>
      </w:r>
      <w:r>
        <w:rPr>
          <w:rFonts w:hint="eastAsia" w:ascii="仿宋" w:hAnsi="仿宋" w:eastAsia="仿宋" w:cs="仿宋"/>
          <w:b w:val="0"/>
          <w:bCs w:val="0"/>
          <w:sz w:val="32"/>
          <w:szCs w:val="32"/>
          <w:lang w:val="en-US" w:eastAsia="zh-CN"/>
        </w:rPr>
        <w:t>结合三会一课</w:t>
      </w:r>
      <w:r>
        <w:rPr>
          <w:rFonts w:hint="eastAsia" w:ascii="仿宋" w:hAnsi="仿宋" w:cs="仿宋"/>
          <w:color w:val="000000" w:themeColor="text1"/>
          <w:kern w:val="2"/>
          <w:sz w:val="32"/>
          <w:szCs w:val="32"/>
          <w:lang w:val="en-US" w:eastAsia="zh-CN" w:bidi="ar-SA"/>
          <w14:textFill>
            <w14:solidFill>
              <w14:schemeClr w14:val="tx1"/>
            </w14:solidFill>
          </w14:textFill>
        </w:rPr>
        <w:t>组织</w:t>
      </w:r>
      <w:r>
        <w:rPr>
          <w:rFonts w:hint="eastAsia" w:ascii="仿宋" w:hAnsi="仿宋" w:eastAsia="仿宋" w:cs="仿宋"/>
          <w:color w:val="000000" w:themeColor="text1"/>
          <w:kern w:val="2"/>
          <w:sz w:val="32"/>
          <w:szCs w:val="32"/>
          <w:lang w:val="en-US" w:eastAsia="zh-CN" w:bidi="ar-SA"/>
          <w14:textFill>
            <w14:solidFill>
              <w14:schemeClr w14:val="tx1"/>
            </w14:solidFill>
          </w14:textFill>
        </w:rPr>
        <w:t>干部职工</w:t>
      </w:r>
      <w:r>
        <w:rPr>
          <w:rFonts w:hint="eastAsia" w:ascii="仿宋" w:hAnsi="仿宋" w:cs="仿宋"/>
          <w:color w:val="000000" w:themeColor="text1"/>
          <w:kern w:val="2"/>
          <w:sz w:val="32"/>
          <w:szCs w:val="32"/>
          <w:lang w:val="en-US" w:eastAsia="zh-CN" w:bidi="ar-SA"/>
          <w14:textFill>
            <w14:solidFill>
              <w14:schemeClr w14:val="tx1"/>
            </w14:solidFill>
          </w14:textFill>
        </w:rPr>
        <w:t>学习</w:t>
      </w:r>
      <w:r>
        <w:rPr>
          <w:rFonts w:hint="eastAsia" w:ascii="仿宋" w:hAnsi="仿宋" w:eastAsia="仿宋" w:cs="仿宋"/>
          <w:color w:val="000000" w:themeColor="text1"/>
          <w:kern w:val="2"/>
          <w:sz w:val="32"/>
          <w:szCs w:val="32"/>
          <w:lang w:val="en-US" w:eastAsia="zh-CN" w:bidi="ar-SA"/>
          <w14:textFill>
            <w14:solidFill>
              <w14:schemeClr w14:val="tx1"/>
            </w14:solidFill>
          </w14:textFill>
        </w:rPr>
        <w:t>，观看警示教育片3次。鼓励党员干部积极发挥先锋模范作用，投身疫情防控、新闻宣传一线，为“四城新区”建设</w:t>
      </w:r>
      <w:r>
        <w:rPr>
          <w:rFonts w:hint="default" w:ascii="仿宋" w:hAnsi="仿宋" w:eastAsia="仿宋" w:cs="仿宋"/>
          <w:color w:val="000000" w:themeColor="text1"/>
          <w:kern w:val="2"/>
          <w:sz w:val="32"/>
          <w:szCs w:val="32"/>
          <w:lang w:val="en-US" w:eastAsia="zh-CN" w:bidi="ar-SA"/>
          <w14:textFill>
            <w14:solidFill>
              <w14:schemeClr w14:val="tx1"/>
            </w14:solidFill>
          </w14:textFill>
        </w:rPr>
        <w:t>凝聚人心</w:t>
      </w:r>
      <w:r>
        <w:rPr>
          <w:rFonts w:hint="eastAsia" w:ascii="仿宋" w:hAnsi="仿宋" w:eastAsia="仿宋" w:cs="仿宋"/>
          <w:color w:val="000000" w:themeColor="text1"/>
          <w:kern w:val="2"/>
          <w:sz w:val="32"/>
          <w:szCs w:val="32"/>
          <w:lang w:val="en-US" w:eastAsia="zh-CN" w:bidi="ar-SA"/>
          <w14:textFill>
            <w14:solidFill>
              <w14:schemeClr w14:val="tx1"/>
            </w14:solidFill>
          </w14:textFill>
        </w:rPr>
        <w:t>、</w:t>
      </w:r>
      <w:r>
        <w:rPr>
          <w:rFonts w:hint="default" w:ascii="仿宋" w:hAnsi="仿宋" w:eastAsia="仿宋" w:cs="仿宋"/>
          <w:color w:val="000000" w:themeColor="text1"/>
          <w:kern w:val="2"/>
          <w:sz w:val="32"/>
          <w:szCs w:val="32"/>
          <w:lang w:val="en-US" w:eastAsia="zh-CN" w:bidi="ar-SA"/>
          <w14:textFill>
            <w14:solidFill>
              <w14:schemeClr w14:val="tx1"/>
            </w14:solidFill>
          </w14:textFill>
        </w:rPr>
        <w:t>鼓舞士气</w:t>
      </w:r>
      <w:r>
        <w:rPr>
          <w:rFonts w:hint="eastAsia" w:ascii="仿宋" w:hAnsi="仿宋" w:eastAsia="仿宋" w:cs="仿宋"/>
          <w:color w:val="000000" w:themeColor="text1"/>
          <w:kern w:val="2"/>
          <w:sz w:val="32"/>
          <w:szCs w:val="32"/>
          <w:lang w:val="en-US" w:eastAsia="zh-CN" w:bidi="ar-SA"/>
          <w14:textFill>
            <w14:solidFill>
              <w14:schemeClr w14:val="tx1"/>
            </w14:solidFill>
          </w14:textFill>
        </w:rPr>
        <w:t>。全年接收预备党员2人，吸纳入党积极分子2人</w:t>
      </w:r>
      <w:r>
        <w:rPr>
          <w:rFonts w:hint="eastAsia" w:ascii="仿宋" w:hAnsi="仿宋" w:cs="仿宋"/>
          <w:color w:val="000000" w:themeColor="text1"/>
          <w:kern w:val="2"/>
          <w:sz w:val="32"/>
          <w:szCs w:val="32"/>
          <w:lang w:val="en-US" w:eastAsia="zh-CN" w:bidi="ar-SA"/>
          <w14:textFill>
            <w14:solidFill>
              <w14:schemeClr w14:val="tx1"/>
            </w14:solidFill>
          </w14:textFill>
        </w:rPr>
        <w:t>，</w:t>
      </w:r>
      <w:r>
        <w:rPr>
          <w:rFonts w:hint="eastAsia" w:ascii="仿宋" w:hAnsi="仿宋" w:eastAsia="仿宋" w:cs="仿宋"/>
          <w:color w:val="000000" w:themeColor="text1"/>
          <w:kern w:val="2"/>
          <w:sz w:val="32"/>
          <w:szCs w:val="32"/>
          <w:lang w:val="en-US" w:eastAsia="zh-CN" w:bidi="ar-SA"/>
          <w14:textFill>
            <w14:solidFill>
              <w14:schemeClr w14:val="tx1"/>
            </w14:solidFill>
          </w14:textFill>
        </w:rPr>
        <w:t>转正党员2人。</w:t>
      </w:r>
    </w:p>
    <w:p w14:paraId="0E4483C6">
      <w:pPr>
        <w:pStyle w:val="8"/>
        <w:keepNext w:val="0"/>
        <w:keepLines w:val="0"/>
        <w:pageBreakBefore w:val="0"/>
        <w:widowControl/>
        <w:wordWrap/>
        <w:overflowPunct/>
        <w:topLinePunct w:val="0"/>
        <w:bidi w:val="0"/>
        <w:spacing w:line="560" w:lineRule="exact"/>
        <w:rPr>
          <w:rFonts w:hint="eastAsia" w:ascii="仿宋" w:hAnsi="仿宋" w:eastAsia="仿宋" w:cs="宋体"/>
          <w:sz w:val="30"/>
          <w:szCs w:val="30"/>
          <w:lang w:eastAsia="zh-CN"/>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（四）“帮”字为本，乡村振兴强推进。</w:t>
      </w:r>
      <w:r>
        <w:rPr>
          <w:rFonts w:hint="eastAsia" w:ascii="仿宋" w:hAnsi="仿宋" w:eastAsia="仿宋" w:cs="仿宋"/>
          <w:color w:val="000000" w:themeColor="text1"/>
          <w:kern w:val="2"/>
          <w:sz w:val="32"/>
          <w:szCs w:val="32"/>
          <w:lang w:val="en-US" w:eastAsia="zh-CN" w:bidi="ar-SA"/>
          <w14:textFill>
            <w14:solidFill>
              <w14:schemeClr w14:val="tx1"/>
            </w14:solidFill>
          </w14:textFill>
        </w:rPr>
        <w:t>积极响应区委决策部署，派驻1名同志驻扎昭化镇松宁村，会同区委宣传部持续巩固拓展脱贫攻坚成果，助力乡村振兴。</w:t>
      </w:r>
      <w:r>
        <w:rPr>
          <w:rFonts w:hint="eastAsia" w:ascii="仿宋" w:hAnsi="仿宋" w:cs="仿宋"/>
          <w:color w:val="000000" w:themeColor="text1"/>
          <w:kern w:val="2"/>
          <w:sz w:val="32"/>
          <w:szCs w:val="32"/>
          <w:lang w:val="en-US" w:eastAsia="zh-CN" w:bidi="ar-SA"/>
          <w14:textFill>
            <w14:solidFill>
              <w14:schemeClr w14:val="tx1"/>
            </w14:solidFill>
          </w14:textFill>
        </w:rPr>
        <w:t>积极</w:t>
      </w:r>
      <w:r>
        <w:rPr>
          <w:rFonts w:hint="eastAsia" w:ascii="仿宋" w:hAnsi="仿宋" w:eastAsia="仿宋" w:cs="仿宋"/>
          <w:color w:val="000000" w:themeColor="text1"/>
          <w:kern w:val="2"/>
          <w:sz w:val="32"/>
          <w:szCs w:val="32"/>
          <w:lang w:val="en-US" w:eastAsia="zh-CN" w:bidi="ar-SA"/>
          <w14:textFill>
            <w14:solidFill>
              <w14:schemeClr w14:val="tx1"/>
            </w14:solidFill>
          </w14:textFill>
        </w:rPr>
        <w:t>争取中央专项资金60万元，建立松宁村魔芋产业示范园40亩</w:t>
      </w:r>
      <w:r>
        <w:rPr>
          <w:rFonts w:hint="eastAsia" w:ascii="仿宋" w:hAnsi="仿宋" w:cs="仿宋"/>
          <w:color w:val="000000" w:themeColor="text1"/>
          <w:kern w:val="2"/>
          <w:sz w:val="32"/>
          <w:szCs w:val="32"/>
          <w:lang w:val="en-US" w:eastAsia="zh-CN" w:bidi="ar-SA"/>
          <w14:textFill>
            <w14:solidFill>
              <w14:schemeClr w14:val="tx1"/>
            </w14:solidFill>
          </w14:textFill>
        </w:rPr>
        <w:t>，</w:t>
      </w:r>
      <w:r>
        <w:rPr>
          <w:rFonts w:hint="eastAsia" w:ascii="仿宋" w:hAnsi="仿宋" w:eastAsia="仿宋" w:cs="仿宋"/>
          <w:color w:val="000000" w:themeColor="text1"/>
          <w:kern w:val="2"/>
          <w:sz w:val="32"/>
          <w:szCs w:val="32"/>
          <w:lang w:val="en-US" w:eastAsia="zh-CN" w:bidi="ar-SA"/>
          <w14:textFill>
            <w14:solidFill>
              <w14:schemeClr w14:val="tx1"/>
            </w14:solidFill>
          </w14:textFill>
        </w:rPr>
        <w:t>带动全村40人实现劳务收入10万元以上。</w:t>
      </w:r>
      <w:r>
        <w:rPr>
          <w:rFonts w:hint="eastAsia" w:ascii="仿宋" w:hAnsi="仿宋" w:eastAsia="仿宋" w:cs="宋体"/>
          <w:sz w:val="30"/>
          <w:szCs w:val="30"/>
          <w:lang w:eastAsia="zh-CN"/>
        </w:rPr>
        <w:t>全面建设了产业库房及管理库房150平方米，建设完成农机库房80平方米，全村农机配套设备安全存放使用。争取</w:t>
      </w:r>
      <w:r>
        <w:rPr>
          <w:rFonts w:hint="eastAsia" w:ascii="仿宋" w:hAnsi="仿宋" w:eastAsia="仿宋" w:cs="宋体"/>
          <w:sz w:val="30"/>
          <w:szCs w:val="30"/>
        </w:rPr>
        <w:t>资金40</w:t>
      </w:r>
      <w:r>
        <w:rPr>
          <w:rFonts w:hint="eastAsia" w:ascii="仿宋" w:hAnsi="仿宋" w:eastAsia="仿宋" w:cs="宋体"/>
          <w:sz w:val="30"/>
          <w:szCs w:val="30"/>
          <w:lang w:eastAsia="zh-CN"/>
        </w:rPr>
        <w:t>余</w:t>
      </w:r>
      <w:r>
        <w:rPr>
          <w:rFonts w:hint="eastAsia" w:ascii="仿宋" w:hAnsi="仿宋" w:eastAsia="仿宋" w:cs="宋体"/>
          <w:sz w:val="30"/>
          <w:szCs w:val="30"/>
        </w:rPr>
        <w:t>万元</w:t>
      </w:r>
      <w:r>
        <w:rPr>
          <w:rFonts w:hint="eastAsia" w:ascii="仿宋" w:hAnsi="仿宋" w:eastAsia="仿宋" w:cs="宋体"/>
          <w:sz w:val="30"/>
          <w:szCs w:val="30"/>
          <w:lang w:eastAsia="zh-CN"/>
        </w:rPr>
        <w:t>完成村</w:t>
      </w:r>
      <w:r>
        <w:rPr>
          <w:rFonts w:hint="eastAsia" w:ascii="仿宋" w:hAnsi="仿宋" w:eastAsia="仿宋" w:cs="宋体"/>
          <w:sz w:val="30"/>
          <w:szCs w:val="30"/>
        </w:rPr>
        <w:t>人居环境和村党群服务中心环境治理项目，</w:t>
      </w:r>
      <w:r>
        <w:rPr>
          <w:rFonts w:hint="eastAsia" w:ascii="仿宋" w:hAnsi="仿宋" w:cs="宋体"/>
          <w:sz w:val="30"/>
          <w:szCs w:val="30"/>
          <w:lang w:val="en-US" w:eastAsia="zh-CN"/>
        </w:rPr>
        <w:t>完</w:t>
      </w:r>
      <w:r>
        <w:rPr>
          <w:rFonts w:hint="eastAsia" w:ascii="仿宋" w:hAnsi="仿宋" w:eastAsia="仿宋" w:cs="宋体"/>
          <w:sz w:val="30"/>
          <w:szCs w:val="30"/>
          <w:lang w:eastAsia="zh-CN"/>
        </w:rPr>
        <w:t>成</w:t>
      </w:r>
      <w:r>
        <w:rPr>
          <w:rFonts w:hint="eastAsia" w:ascii="仿宋" w:hAnsi="仿宋" w:eastAsia="仿宋" w:cs="宋体"/>
          <w:sz w:val="30"/>
          <w:szCs w:val="30"/>
        </w:rPr>
        <w:t>8</w:t>
      </w:r>
      <w:r>
        <w:rPr>
          <w:rFonts w:hint="eastAsia" w:ascii="仿宋" w:hAnsi="仿宋" w:cs="宋体"/>
          <w:sz w:val="30"/>
          <w:szCs w:val="30"/>
          <w:lang w:val="en-US" w:eastAsia="zh-CN"/>
        </w:rPr>
        <w:t>7</w:t>
      </w:r>
      <w:r>
        <w:rPr>
          <w:rFonts w:hint="eastAsia" w:ascii="仿宋" w:hAnsi="仿宋" w:eastAsia="仿宋" w:cs="宋体"/>
          <w:sz w:val="30"/>
          <w:szCs w:val="30"/>
        </w:rPr>
        <w:t>户厕所建立三格化粪池</w:t>
      </w:r>
      <w:r>
        <w:rPr>
          <w:rFonts w:hint="eastAsia" w:ascii="仿宋" w:hAnsi="仿宋" w:eastAsia="仿宋" w:cs="宋体"/>
          <w:sz w:val="30"/>
          <w:szCs w:val="30"/>
          <w:lang w:eastAsia="zh-CN"/>
        </w:rPr>
        <w:t>并</w:t>
      </w:r>
      <w:r>
        <w:rPr>
          <w:rFonts w:hint="eastAsia" w:ascii="仿宋" w:hAnsi="仿宋" w:eastAsia="仿宋" w:cs="宋体"/>
          <w:sz w:val="30"/>
          <w:szCs w:val="30"/>
        </w:rPr>
        <w:t>进行无害化处理。</w:t>
      </w:r>
    </w:p>
    <w:p w14:paraId="748F7E87">
      <w:pPr>
        <w:pStyle w:val="14"/>
        <w:keepNext w:val="0"/>
        <w:keepLines w:val="0"/>
        <w:pageBreakBefore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（五）“变”字为魂，创收经营更多元。</w:t>
      </w:r>
      <w:r>
        <w:rPr>
          <w:rFonts w:hint="eastAsia" w:ascii="仿宋" w:hAnsi="仿宋" w:eastAsia="仿宋" w:cs="仿宋"/>
          <w:color w:val="000000" w:themeColor="text1"/>
          <w:kern w:val="2"/>
          <w:sz w:val="32"/>
          <w:szCs w:val="32"/>
          <w:lang w:val="en-US" w:eastAsia="zh-CN" w:bidi="ar-SA"/>
          <w14:textFill>
            <w14:solidFill>
              <w14:schemeClr w14:val="tx1"/>
            </w14:solidFill>
          </w14:textFill>
        </w:rPr>
        <w:t>中心自加压力、深挖潜力，在传统媒体吸引力下降的情况下，积极发挥新媒体作用，对接乡镇、部门，通过开放新媒体广告位、制播新闻专题和短视频、现场制播、推送上宣外宣稿件等方式，全力推进市场开发和经营创收，全年共创收50余万元。</w:t>
      </w:r>
    </w:p>
    <w:p w14:paraId="6ED690F1">
      <w:pPr>
        <w:pStyle w:val="14"/>
        <w:keepNext w:val="0"/>
        <w:keepLines w:val="0"/>
        <w:pageBreakBefore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(六)“新”字为核，管理理念更科学。</w:t>
      </w:r>
      <w:r>
        <w:rPr>
          <w:rFonts w:hint="eastAsia" w:ascii="黑体" w:hAnsi="黑体" w:eastAsia="黑体" w:cs="黑体"/>
          <w:color w:val="000000" w:themeColor="text1"/>
          <w:kern w:val="2"/>
          <w:sz w:val="32"/>
          <w:szCs w:val="32"/>
          <w:lang w:val="en-US" w:eastAsia="zh-CN" w:bidi="ar-SA"/>
          <w14:textFill>
            <w14:solidFill>
              <w14:schemeClr w14:val="tx1"/>
            </w14:solidFill>
          </w14:textFill>
        </w:rPr>
        <w:t>一是营造学习氛围。</w:t>
      </w:r>
      <w:r>
        <w:rPr>
          <w:rFonts w:hint="eastAsia" w:ascii="仿宋" w:hAnsi="仿宋" w:eastAsia="仿宋" w:cs="仿宋"/>
          <w:color w:val="000000" w:themeColor="text1"/>
          <w:kern w:val="2"/>
          <w:sz w:val="32"/>
          <w:szCs w:val="32"/>
          <w:lang w:val="en-US" w:eastAsia="zh-CN" w:bidi="ar-SA"/>
          <w14:textFill>
            <w14:solidFill>
              <w14:schemeClr w14:val="tx1"/>
            </w14:solidFill>
          </w14:textFill>
        </w:rPr>
        <w:t>采取“引进来+送出去”的方式，加大对从业人员专业</w:t>
      </w:r>
      <w:r>
        <w:rPr>
          <w:rFonts w:hint="eastAsia" w:ascii="仿宋" w:hAnsi="仿宋" w:eastAsia="仿宋" w:cs="仿宋"/>
          <w:color w:val="auto"/>
          <w:kern w:val="2"/>
          <w:sz w:val="32"/>
          <w:szCs w:val="32"/>
          <w:lang w:val="en-US" w:eastAsia="zh-CN" w:bidi="ar-SA"/>
        </w:rPr>
        <w:t>技术和政治素养的培训力度，提升新闻宣传队伍整体素质。一年来，组织各类培训10余次，33人次参加省、市及网络线上培训，17人次获区委区政府表彰，</w:t>
      </w:r>
      <w:r>
        <w:rPr>
          <w:rFonts w:hint="eastAsia" w:ascii="仿宋" w:hAnsi="仿宋" w:eastAsia="仿宋" w:cs="仿宋"/>
          <w:color w:val="auto"/>
          <w:sz w:val="32"/>
          <w:szCs w:val="32"/>
          <w:lang w:val="en-US" w:eastAsia="zh-CN"/>
        </w:rPr>
        <w:t>昭化区融媒体中心在2022全国县级融媒体中心融合影响力指数发布中荣获综合创新能力20 强。</w:t>
      </w:r>
      <w:r>
        <w:rPr>
          <w:rFonts w:hint="eastAsia" w:ascii="黑体" w:hAnsi="黑体" w:eastAsia="黑体" w:cs="黑体"/>
          <w:color w:val="auto"/>
          <w:kern w:val="2"/>
          <w:sz w:val="32"/>
          <w:szCs w:val="32"/>
          <w:lang w:val="en-US" w:eastAsia="zh-CN" w:bidi="ar-SA"/>
        </w:rPr>
        <w:t>二是改革薪酬制度。</w:t>
      </w:r>
      <w:r>
        <w:rPr>
          <w:rFonts w:hint="eastAsia" w:ascii="仿宋" w:hAnsi="仿宋" w:eastAsia="仿宋" w:cs="仿宋"/>
          <w:color w:val="auto"/>
          <w:kern w:val="2"/>
          <w:sz w:val="32"/>
          <w:szCs w:val="32"/>
          <w:lang w:val="en-US" w:eastAsia="zh-CN" w:bidi="ar-SA"/>
        </w:rPr>
        <w:t>打破编内人员和编外人员身份差异，创新编外人员职称评审制度，完成4名编内人员和16名编外人员的职务职级晋升，做到“共岗共责、同工同酬、优劳优酬”，调动从业人员积极性。</w:t>
      </w:r>
      <w:r>
        <w:rPr>
          <w:rFonts w:hint="eastAsia" w:ascii="黑体" w:hAnsi="黑体" w:eastAsia="黑体" w:cs="黑体"/>
          <w:color w:val="auto"/>
          <w:kern w:val="2"/>
          <w:sz w:val="32"/>
          <w:szCs w:val="32"/>
          <w:lang w:val="en-US" w:eastAsia="zh-CN" w:bidi="ar-SA"/>
        </w:rPr>
        <w:t>三是严格把控流程。</w:t>
      </w:r>
      <w:r>
        <w:rPr>
          <w:rFonts w:hint="eastAsia" w:ascii="仿宋" w:hAnsi="仿宋" w:eastAsia="仿宋" w:cs="仿宋"/>
          <w:color w:val="auto"/>
          <w:kern w:val="2"/>
          <w:sz w:val="32"/>
          <w:szCs w:val="32"/>
          <w:lang w:val="en-US" w:eastAsia="zh-CN" w:bidi="ar-SA"/>
        </w:rPr>
        <w:t>中心严格把控网络舆情问题，建立健全网络舆情应对及处置制度，规范刊播秩序</w:t>
      </w:r>
      <w:r>
        <w:rPr>
          <w:rFonts w:hint="eastAsia" w:ascii="仿宋" w:hAnsi="仿宋" w:eastAsia="仿宋" w:cs="仿宋"/>
          <w:kern w:val="2"/>
          <w:sz w:val="32"/>
          <w:szCs w:val="32"/>
          <w:lang w:val="en-US" w:eastAsia="zh-CN" w:bidi="ar-SA"/>
        </w:rPr>
        <w:t>，在重要保障期内加强安全刊播防控体系建设，</w:t>
      </w:r>
      <w:r>
        <w:rPr>
          <w:rFonts w:hint="eastAsia" w:ascii="仿宋" w:hAnsi="仿宋" w:eastAsia="仿宋" w:cs="仿宋"/>
          <w:color w:val="000000" w:themeColor="text1"/>
          <w:kern w:val="2"/>
          <w:sz w:val="32"/>
          <w:szCs w:val="32"/>
          <w:lang w:val="en-US" w:eastAsia="zh-CN" w:bidi="ar-SA"/>
          <w14:textFill>
            <w14:solidFill>
              <w14:schemeClr w14:val="tx1"/>
            </w14:solidFill>
          </w14:textFill>
        </w:rPr>
        <w:t>通过开展桌面推演1次、广播电视安全播出和消防安全检查18次，查摆并整改问题5个，确保广播电视节目的安全、优质播出。</w:t>
      </w:r>
    </w:p>
    <w:p w14:paraId="47FFAC58">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（四）部门整体支出绩效目标</w:t>
      </w:r>
    </w:p>
    <w:p w14:paraId="3536947C">
      <w:pPr>
        <w:pStyle w:val="15"/>
        <w:keepNext w:val="0"/>
        <w:keepLines w:val="0"/>
        <w:pageBreakBefore w:val="0"/>
        <w:wordWrap/>
        <w:overflowPunct/>
        <w:topLinePunct w:val="0"/>
        <w:bidi w:val="0"/>
        <w:spacing w:line="560" w:lineRule="exact"/>
        <w:ind w:left="0" w:leftChars="0" w:firstLine="640" w:firstLineChars="200"/>
        <w:rPr>
          <w:rFonts w:hint="eastAsia" w:ascii="仿宋" w:hAnsi="仿宋" w:eastAsia="仿宋" w:cs="仿宋"/>
          <w:kern w:val="2"/>
          <w:sz w:val="32"/>
          <w:szCs w:val="32"/>
          <w:lang w:val="zh-CN" w:eastAsia="zh-CN" w:bidi="ar-SA"/>
        </w:rPr>
      </w:pPr>
      <w:r>
        <w:rPr>
          <w:rFonts w:hint="eastAsia" w:ascii="仿宋" w:hAnsi="仿宋" w:eastAsia="仿宋" w:cs="仿宋"/>
          <w:kern w:val="2"/>
          <w:sz w:val="32"/>
          <w:szCs w:val="32"/>
          <w:lang w:val="zh-CN" w:eastAsia="zh-CN" w:bidi="ar-SA"/>
        </w:rPr>
        <w:t>按照区融媒体中心工作职责，保障22名在职人员与16名聘用人员的工资保险等福利待遇；保障对机房、摄像机、新闻编辑系统、直播设备、各种专业零配件的更换维护升级均不少于1次；保障门户网站及电子政务外网的运管维护均不少于1次；全力开展年度区内主题宣传上稿6600余条和《直通县区》栏目联办宣传。</w:t>
      </w:r>
    </w:p>
    <w:p w14:paraId="0CFBA58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二、</w:t>
      </w:r>
      <w:r>
        <w:rPr>
          <w:rFonts w:hint="eastAsia" w:ascii="黑体" w:hAnsi="宋体" w:eastAsia="黑体" w:cs="宋体"/>
          <w:color w:val="auto"/>
          <w:kern w:val="0"/>
          <w:sz w:val="32"/>
          <w:szCs w:val="32"/>
          <w:highlight w:val="none"/>
          <w:shd w:val="clear" w:color="auto" w:fill="FFFFFF"/>
          <w:lang w:eastAsia="zh-CN"/>
        </w:rPr>
        <w:t>部门</w:t>
      </w:r>
      <w:r>
        <w:rPr>
          <w:rFonts w:hint="eastAsia" w:ascii="黑体" w:hAnsi="宋体" w:eastAsia="黑体" w:cs="宋体"/>
          <w:color w:val="auto"/>
          <w:kern w:val="0"/>
          <w:sz w:val="32"/>
          <w:szCs w:val="32"/>
          <w:highlight w:val="none"/>
          <w:shd w:val="clear" w:color="auto" w:fill="FFFFFF"/>
        </w:rPr>
        <w:t>资金收支情况</w:t>
      </w:r>
    </w:p>
    <w:p w14:paraId="7B1026A2">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（一）部门总体收支情况</w:t>
      </w:r>
    </w:p>
    <w:p w14:paraId="5A2FCC5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1.部门总体收入情况</w:t>
      </w:r>
    </w:p>
    <w:p w14:paraId="7E962509">
      <w:pPr>
        <w:keepNext w:val="0"/>
        <w:keepLines w:val="0"/>
        <w:pageBreakBefore w:val="0"/>
        <w:wordWrap/>
        <w:overflowPunct/>
        <w:topLinePunct w:val="0"/>
        <w:bidi w:val="0"/>
        <w:spacing w:line="560"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区融媒体中心2022年财政预算收入519.98万元，较2021</w:t>
      </w:r>
      <w:r>
        <w:rPr>
          <w:rFonts w:hint="eastAsia" w:eastAsia="仿宋_GB2312"/>
          <w:sz w:val="32"/>
          <w:szCs w:val="32"/>
          <w:lang w:val="en-US" w:eastAsia="zh-CN"/>
        </w:rPr>
        <w:t>年</w:t>
      </w:r>
      <w:r>
        <w:rPr>
          <w:rFonts w:hint="eastAsia" w:ascii="Times New Roman" w:hAnsi="Times New Roman" w:eastAsia="仿宋_GB2312"/>
          <w:sz w:val="32"/>
          <w:szCs w:val="32"/>
          <w:lang w:val="en-US" w:eastAsia="zh-CN"/>
        </w:rPr>
        <w:t>财政预算收入442.67万元增加77.31万元，主要原因是人员经费和项目增加。</w:t>
      </w:r>
    </w:p>
    <w:p w14:paraId="56B258F7">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2.部门总体支出情况</w:t>
      </w:r>
    </w:p>
    <w:p w14:paraId="5EF80F0A">
      <w:pPr>
        <w:keepNext w:val="0"/>
        <w:keepLines w:val="0"/>
        <w:pageBreakBefore w:val="0"/>
        <w:wordWrap/>
        <w:overflowPunct/>
        <w:topLinePunct w:val="0"/>
        <w:bidi w:val="0"/>
        <w:spacing w:line="560" w:lineRule="exact"/>
        <w:ind w:firstLine="420" w:firstLineChars="200"/>
        <w:jc w:val="left"/>
        <w:rPr>
          <w:rFonts w:hint="eastAsia" w:ascii="Times New Roman" w:hAnsi="Times New Roman" w:eastAsia="仿宋_GB2312"/>
          <w:sz w:val="32"/>
          <w:szCs w:val="32"/>
        </w:rPr>
      </w:pPr>
      <w:r>
        <w:rPr>
          <w:rFonts w:hint="eastAsia"/>
          <w:lang w:val="en-US" w:eastAsia="zh-CN"/>
        </w:rPr>
        <w:t xml:space="preserve">  </w:t>
      </w: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区融媒体中心2022年财政预算支出512.98万元，较2021</w:t>
      </w:r>
      <w:r>
        <w:rPr>
          <w:rFonts w:hint="eastAsia" w:eastAsia="仿宋_GB2312"/>
          <w:sz w:val="32"/>
          <w:szCs w:val="32"/>
          <w:lang w:val="en-US" w:eastAsia="zh-CN"/>
        </w:rPr>
        <w:t>年</w:t>
      </w:r>
      <w:r>
        <w:rPr>
          <w:rFonts w:hint="eastAsia" w:ascii="Times New Roman" w:hAnsi="Times New Roman" w:eastAsia="仿宋_GB2312"/>
          <w:sz w:val="32"/>
          <w:szCs w:val="32"/>
          <w:lang w:val="en-US" w:eastAsia="zh-CN"/>
        </w:rPr>
        <w:t>财政预算支出442.67万元增加70.31万元，主要原因是人员经费和项目增加。</w:t>
      </w:r>
    </w:p>
    <w:p w14:paraId="2C5BB3DD">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3.部门总体结转结余情况</w:t>
      </w:r>
    </w:p>
    <w:p w14:paraId="1079F0F1">
      <w:pPr>
        <w:pStyle w:val="5"/>
        <w:keepNext w:val="0"/>
        <w:keepLines w:val="0"/>
        <w:pageBreakBefore w:val="0"/>
        <w:numPr>
          <w:ilvl w:val="0"/>
          <w:numId w:val="0"/>
        </w:numPr>
        <w:wordWrap/>
        <w:overflowPunct/>
        <w:topLinePunct w:val="0"/>
        <w:bidi w:val="0"/>
        <w:spacing w:line="560" w:lineRule="exact"/>
        <w:rPr>
          <w:rFonts w:hint="default"/>
          <w:lang w:val="en-US" w:eastAsia="zh-CN"/>
        </w:rPr>
      </w:pPr>
      <w:r>
        <w:rPr>
          <w:rFonts w:hint="eastAsia"/>
          <w:lang w:val="en-US" w:eastAsia="zh-CN"/>
        </w:rPr>
        <w:t xml:space="preserve">    </w:t>
      </w: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w:t>
      </w:r>
      <w:r>
        <w:rPr>
          <w:rFonts w:hint="eastAsia" w:ascii="Times New Roman" w:hAnsi="Times New Roman"/>
          <w:sz w:val="32"/>
          <w:szCs w:val="32"/>
          <w:lang w:val="en-US" w:eastAsia="zh-CN"/>
        </w:rPr>
        <w:t>预算</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结转结余</w:t>
      </w:r>
      <w:r>
        <w:rPr>
          <w:rFonts w:hint="eastAsia" w:ascii="Times New Roman" w:hAnsi="Times New Roman"/>
          <w:sz w:val="32"/>
          <w:szCs w:val="32"/>
          <w:lang w:val="en-US" w:eastAsia="zh-CN"/>
        </w:rPr>
        <w:t>7</w:t>
      </w:r>
      <w:r>
        <w:rPr>
          <w:rFonts w:hint="eastAsia" w:ascii="Times New Roman" w:hAnsi="Times New Roman" w:eastAsia="仿宋_GB2312"/>
          <w:sz w:val="32"/>
          <w:szCs w:val="32"/>
          <w:lang w:val="en-US" w:eastAsia="zh-CN"/>
        </w:rPr>
        <w:t>万元，较2021</w:t>
      </w:r>
      <w:r>
        <w:rPr>
          <w:rFonts w:hint="eastAsia" w:ascii="Times New Roman" w:hAnsi="Times New Roman"/>
          <w:sz w:val="32"/>
          <w:szCs w:val="32"/>
          <w:lang w:val="en-US" w:eastAsia="zh-CN"/>
        </w:rPr>
        <w:t>年</w:t>
      </w:r>
      <w:r>
        <w:rPr>
          <w:rFonts w:hint="eastAsia" w:ascii="Times New Roman" w:hAnsi="Times New Roman" w:eastAsia="仿宋_GB2312"/>
          <w:sz w:val="32"/>
          <w:szCs w:val="32"/>
          <w:lang w:val="en-US" w:eastAsia="zh-CN"/>
        </w:rPr>
        <w:t>增加7万元，主要原因是</w:t>
      </w:r>
      <w:r>
        <w:rPr>
          <w:rFonts w:hint="eastAsia" w:ascii="Times New Roman" w:hAnsi="Times New Roman"/>
          <w:sz w:val="32"/>
          <w:szCs w:val="32"/>
          <w:lang w:val="en-US" w:eastAsia="zh-CN"/>
        </w:rPr>
        <w:t>项目资金未支付完毕</w:t>
      </w:r>
      <w:r>
        <w:rPr>
          <w:rFonts w:hint="eastAsia" w:ascii="Times New Roman" w:hAnsi="Times New Roman" w:eastAsia="仿宋_GB2312"/>
          <w:sz w:val="32"/>
          <w:szCs w:val="32"/>
          <w:lang w:val="en-US" w:eastAsia="zh-CN"/>
        </w:rPr>
        <w:t>。</w:t>
      </w:r>
    </w:p>
    <w:p w14:paraId="06BD129D">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（二）部门财政拨款收支情况</w:t>
      </w:r>
    </w:p>
    <w:p w14:paraId="1E6B3E6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1.部门财政拨款收入情况</w:t>
      </w:r>
    </w:p>
    <w:p w14:paraId="10B9DEFF">
      <w:pPr>
        <w:keepNext w:val="0"/>
        <w:keepLines w:val="0"/>
        <w:pageBreakBefore w:val="0"/>
        <w:wordWrap/>
        <w:overflowPunct/>
        <w:topLinePunct w:val="0"/>
        <w:bidi w:val="0"/>
        <w:spacing w:line="560"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w:t>
      </w:r>
      <w:r>
        <w:rPr>
          <w:rFonts w:hint="eastAsia" w:ascii="Times New Roman" w:hAnsi="Times New Roman" w:eastAsia="仿宋_GB2312"/>
          <w:sz w:val="32"/>
          <w:szCs w:val="32"/>
          <w:lang w:val="en-US" w:eastAsia="zh-CN"/>
        </w:rPr>
        <w:t>收入519.98万元，较2021财政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w:t>
      </w:r>
      <w:r>
        <w:rPr>
          <w:rFonts w:hint="eastAsia" w:ascii="Times New Roman" w:hAnsi="Times New Roman" w:eastAsia="仿宋_GB2312"/>
          <w:sz w:val="32"/>
          <w:szCs w:val="32"/>
          <w:lang w:val="en-US" w:eastAsia="zh-CN"/>
        </w:rPr>
        <w:t>收入442.67万元增加77.31万元，主要原因是人员经费和项目增加。</w:t>
      </w:r>
    </w:p>
    <w:p w14:paraId="719D29C0">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2.部门财政拨款支出情况</w:t>
      </w:r>
    </w:p>
    <w:p w14:paraId="6431C62A">
      <w:pPr>
        <w:pStyle w:val="5"/>
        <w:keepNext w:val="0"/>
        <w:keepLines w:val="0"/>
        <w:pageBreakBefore w:val="0"/>
        <w:numPr>
          <w:ilvl w:val="0"/>
          <w:numId w:val="0"/>
        </w:numPr>
        <w:wordWrap/>
        <w:overflowPunct/>
        <w:topLinePunct w:val="0"/>
        <w:bidi w:val="0"/>
        <w:spacing w:line="560" w:lineRule="exact"/>
        <w:ind w:firstLine="640" w:firstLineChars="200"/>
        <w:rPr>
          <w:rFonts w:hint="eastAsia"/>
          <w:lang w:val="en-US" w:eastAsia="zh-CN"/>
        </w:rPr>
      </w:pP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w:t>
      </w:r>
      <w:r>
        <w:rPr>
          <w:rFonts w:hint="eastAsia" w:ascii="Times New Roman" w:hAnsi="Times New Roman" w:eastAsia="仿宋_GB2312"/>
          <w:sz w:val="32"/>
          <w:szCs w:val="32"/>
          <w:lang w:val="en-US" w:eastAsia="zh-CN"/>
        </w:rPr>
        <w:t>支出512.98万元，较2021财政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w:t>
      </w:r>
      <w:r>
        <w:rPr>
          <w:rFonts w:hint="eastAsia" w:ascii="Times New Roman" w:hAnsi="Times New Roman" w:eastAsia="仿宋_GB2312"/>
          <w:sz w:val="32"/>
          <w:szCs w:val="32"/>
          <w:lang w:val="en-US" w:eastAsia="zh-CN"/>
        </w:rPr>
        <w:t>支出442.67万元增加70.31万元，主要原因是人员经费和项目增加。</w:t>
      </w:r>
    </w:p>
    <w:p w14:paraId="6040097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Chars="0"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3.部门财政拨款结转结余情况</w:t>
      </w:r>
    </w:p>
    <w:p w14:paraId="7986C7A2">
      <w:pPr>
        <w:pStyle w:val="5"/>
        <w:keepNext w:val="0"/>
        <w:keepLines w:val="0"/>
        <w:pageBreakBefore w:val="0"/>
        <w:numPr>
          <w:ilvl w:val="0"/>
          <w:numId w:val="0"/>
        </w:numPr>
        <w:wordWrap/>
        <w:overflowPunct/>
        <w:topLinePunct w:val="0"/>
        <w:bidi w:val="0"/>
        <w:spacing w:line="560" w:lineRule="exact"/>
        <w:ind w:leftChars="0" w:firstLine="640" w:firstLineChars="200"/>
        <w:rPr>
          <w:rFonts w:hint="default"/>
          <w:lang w:val="en-US" w:eastAsia="zh-CN"/>
        </w:rPr>
      </w:pP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拨款结转结余</w:t>
      </w:r>
      <w:r>
        <w:rPr>
          <w:rFonts w:hint="eastAsia" w:ascii="Times New Roman" w:hAnsi="Times New Roman"/>
          <w:sz w:val="32"/>
          <w:szCs w:val="32"/>
          <w:lang w:val="en-US" w:eastAsia="zh-CN"/>
        </w:rPr>
        <w:t>7</w:t>
      </w:r>
      <w:r>
        <w:rPr>
          <w:rFonts w:hint="eastAsia" w:ascii="Times New Roman" w:hAnsi="Times New Roman" w:eastAsia="仿宋_GB2312"/>
          <w:sz w:val="32"/>
          <w:szCs w:val="32"/>
          <w:lang w:val="en-US" w:eastAsia="zh-CN"/>
        </w:rPr>
        <w:t>万元，较2021</w:t>
      </w:r>
      <w:r>
        <w:rPr>
          <w:rFonts w:hint="eastAsia" w:ascii="Times New Roman" w:hAnsi="Times New Roman"/>
          <w:sz w:val="32"/>
          <w:szCs w:val="32"/>
          <w:lang w:val="en-US" w:eastAsia="zh-CN"/>
        </w:rPr>
        <w:t>年</w:t>
      </w:r>
      <w:r>
        <w:rPr>
          <w:rFonts w:hint="eastAsia" w:ascii="Times New Roman" w:hAnsi="Times New Roman" w:eastAsia="仿宋_GB2312"/>
          <w:sz w:val="32"/>
          <w:szCs w:val="32"/>
          <w:lang w:val="en-US" w:eastAsia="zh-CN"/>
        </w:rPr>
        <w:t>增加7万元，主要原因是</w:t>
      </w:r>
      <w:r>
        <w:rPr>
          <w:rFonts w:hint="eastAsia" w:ascii="Times New Roman" w:hAnsi="Times New Roman"/>
          <w:sz w:val="32"/>
          <w:szCs w:val="32"/>
          <w:lang w:val="en-US" w:eastAsia="zh-CN"/>
        </w:rPr>
        <w:t>项目资金未支付完毕</w:t>
      </w:r>
      <w:r>
        <w:rPr>
          <w:rFonts w:hint="eastAsia" w:ascii="Times New Roman" w:hAnsi="Times New Roman" w:eastAsia="仿宋_GB2312"/>
          <w:sz w:val="32"/>
          <w:szCs w:val="32"/>
          <w:lang w:val="en-US" w:eastAsia="zh-CN"/>
        </w:rPr>
        <w:t>。</w:t>
      </w:r>
    </w:p>
    <w:p w14:paraId="5563FABB">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三、</w:t>
      </w:r>
      <w:r>
        <w:rPr>
          <w:rFonts w:hint="eastAsia" w:ascii="黑体" w:hAnsi="宋体" w:eastAsia="黑体" w:cs="宋体"/>
          <w:color w:val="auto"/>
          <w:kern w:val="0"/>
          <w:sz w:val="32"/>
          <w:szCs w:val="32"/>
          <w:highlight w:val="none"/>
          <w:u w:val="none"/>
          <w:shd w:val="clear" w:color="auto" w:fill="FFFFFF"/>
        </w:rPr>
        <w:t>部门整体绩效</w:t>
      </w:r>
      <w:r>
        <w:rPr>
          <w:rFonts w:hint="eastAsia" w:ascii="黑体" w:hAnsi="宋体" w:eastAsia="黑体" w:cs="宋体"/>
          <w:color w:val="auto"/>
          <w:kern w:val="0"/>
          <w:sz w:val="32"/>
          <w:szCs w:val="32"/>
          <w:highlight w:val="none"/>
          <w:u w:val="none"/>
          <w:shd w:val="clear" w:color="auto" w:fill="FFFFFF"/>
          <w:lang w:eastAsia="zh-CN"/>
        </w:rPr>
        <w:t>分析</w:t>
      </w:r>
    </w:p>
    <w:p w14:paraId="358FDBBF">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楷体_GB2312" w:hAnsi="楷体_GB2312" w:eastAsia="楷体_GB2312" w:cs="楷体_GB2312"/>
          <w:b/>
          <w:bCs/>
          <w:color w:val="auto"/>
          <w:kern w:val="0"/>
          <w:sz w:val="32"/>
          <w:szCs w:val="32"/>
          <w:highlight w:val="none"/>
          <w:shd w:val="clear" w:color="auto" w:fill="FFFFFF"/>
          <w:lang w:val="zh-CN"/>
        </w:rPr>
        <w:t>（一）部门预算项目绩效分析</w:t>
      </w:r>
    </w:p>
    <w:p w14:paraId="2D6DD9AA">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1.人员类项目绩效分析</w:t>
      </w:r>
    </w:p>
    <w:p w14:paraId="10230EC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Times New Roman"/>
          <w:kern w:val="2"/>
          <w:sz w:val="32"/>
          <w:szCs w:val="32"/>
          <w:lang w:val="en-US" w:eastAsia="zh-CN" w:bidi="ar-SA"/>
        </w:rPr>
        <w:t>昭化区融媒体中心根据单位实际情况制定年初部门预算绩效目标，其中人员类265.4万元按月保障在职人员工资保险，全额完成了部门绩效目标任务的实现，支出控制有度，处置及时有效，执行进度100%，预算完成度100%，无资金结余和违规违法行为。</w:t>
      </w:r>
    </w:p>
    <w:p w14:paraId="0A162467">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2.运转类项目绩效分析</w:t>
      </w:r>
    </w:p>
    <w:p w14:paraId="3CABAE4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Times New Roman"/>
          <w:kern w:val="2"/>
          <w:sz w:val="32"/>
          <w:szCs w:val="32"/>
          <w:lang w:val="en-US" w:eastAsia="zh-CN" w:bidi="ar-SA"/>
        </w:rPr>
        <w:t>其中，日常工作运转类32.8万元保障各项日常工作正常运转，包括办公费、差旅费、公务接待费、工会经费、印刷费等支出；其他运转类194.9万元保障区内主题宣传及《直通县区》栏目宣传、记者站运转及聘用人员的工资保险费用、设备维护、门户网站的正常运维、新媒体开发运维、区政府电子政务外网运维。全额完成了部门绩效目标任务的实现，支出控制有度，处置及时有效，项目资金结余7万元，无违规违法行为。</w:t>
      </w:r>
    </w:p>
    <w:p w14:paraId="52800BE3">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3.特定目标类项目绩效分析</w:t>
      </w:r>
    </w:p>
    <w:p w14:paraId="0FA76311">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区融媒体中心无特定目标类项目。</w:t>
      </w:r>
    </w:p>
    <w:p w14:paraId="506B6F0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（二）部门整体履职绩效分析</w:t>
      </w:r>
    </w:p>
    <w:p w14:paraId="1059568A">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按照区融媒体中心工作职责，</w:t>
      </w:r>
      <w:r>
        <w:rPr>
          <w:rFonts w:hint="eastAsia" w:ascii="仿宋_GB2312" w:hAnsi="仿宋_GB2312" w:eastAsia="仿宋_GB2312" w:cs="Times New Roman"/>
          <w:kern w:val="2"/>
          <w:sz w:val="32"/>
          <w:szCs w:val="32"/>
          <w:lang w:val="en-US" w:eastAsia="zh-CN" w:bidi="ar-SA"/>
        </w:rPr>
        <w:t>2022年全年支出512.98万元，</w:t>
      </w:r>
      <w:r>
        <w:rPr>
          <w:rFonts w:hint="eastAsia" w:ascii="仿宋_GB2312" w:hAnsi="仿宋_GB2312" w:eastAsia="仿宋_GB2312" w:cs="仿宋_GB2312"/>
          <w:b w:val="0"/>
          <w:bCs w:val="0"/>
          <w:color w:val="auto"/>
          <w:kern w:val="0"/>
          <w:sz w:val="32"/>
          <w:szCs w:val="32"/>
          <w:highlight w:val="none"/>
          <w:shd w:val="clear" w:color="auto" w:fill="FFFFFF"/>
          <w:lang w:val="zh-CN" w:eastAsia="zh-CN"/>
        </w:rPr>
        <w:t>保障了22名在职人员与16名聘用人员的工资保险等福利待遇；保障对机房、摄像机、新闻编辑系统、直播设备、各种专业零配件的更换维护升级均不少于1次；保障门户网站及电子政务外网的运管维护均不少于1次；全力开展年度区内主题宣传上稿6600余条和《直通县区》栏目联办宣传。</w:t>
      </w:r>
      <w:r>
        <w:rPr>
          <w:rFonts w:hint="eastAsia" w:ascii="仿宋_GB2312" w:hAnsi="仿宋_GB2312" w:eastAsia="仿宋_GB2312" w:cs="Times New Roman"/>
          <w:kern w:val="2"/>
          <w:sz w:val="32"/>
          <w:szCs w:val="32"/>
          <w:lang w:val="en-US" w:eastAsia="zh-CN" w:bidi="ar-SA"/>
        </w:rPr>
        <w:t>支付过程及时有力，控制有度，结余其他运转类资金7万元，完成年初预算的98.65%，无</w:t>
      </w:r>
      <w:r>
        <w:rPr>
          <w:rFonts w:hint="eastAsia" w:ascii="仿宋" w:hAnsi="仿宋" w:eastAsia="仿宋" w:cs="仿宋"/>
          <w:sz w:val="32"/>
          <w:szCs w:val="32"/>
        </w:rPr>
        <w:t>低效无效率</w:t>
      </w:r>
      <w:r>
        <w:rPr>
          <w:rFonts w:hint="eastAsia" w:ascii="仿宋" w:hAnsi="仿宋" w:eastAsia="仿宋" w:cs="仿宋"/>
          <w:sz w:val="32"/>
          <w:szCs w:val="32"/>
          <w:lang w:val="en-US" w:eastAsia="zh-CN"/>
        </w:rPr>
        <w:t>资金使用情况，无</w:t>
      </w:r>
      <w:r>
        <w:rPr>
          <w:rFonts w:hint="eastAsia" w:ascii="仿宋" w:hAnsi="仿宋" w:eastAsia="仿宋" w:cs="仿宋"/>
          <w:sz w:val="32"/>
          <w:szCs w:val="32"/>
        </w:rPr>
        <w:t>违规记录</w:t>
      </w:r>
      <w:r>
        <w:rPr>
          <w:rFonts w:hint="eastAsia" w:ascii="仿宋" w:hAnsi="仿宋" w:eastAsia="仿宋" w:cs="仿宋"/>
          <w:sz w:val="32"/>
          <w:szCs w:val="32"/>
          <w:lang w:eastAsia="zh-CN"/>
        </w:rPr>
        <w:t>，</w:t>
      </w:r>
      <w:r>
        <w:rPr>
          <w:rFonts w:hint="eastAsia" w:ascii="仿宋_GB2312" w:hAnsi="仿宋_GB2312" w:eastAsia="仿宋_GB2312" w:cs="Times New Roman"/>
          <w:kern w:val="2"/>
          <w:sz w:val="32"/>
          <w:szCs w:val="32"/>
          <w:lang w:val="en-US" w:eastAsia="zh-CN" w:bidi="ar-SA"/>
        </w:rPr>
        <w:t>实现了年初制定的绩效目标</w:t>
      </w:r>
      <w:r>
        <w:rPr>
          <w:rFonts w:hint="eastAsia" w:ascii="仿宋_GB2312" w:hAnsi="仿宋_GB2312" w:eastAsia="仿宋_GB2312" w:cs="仿宋_GB2312"/>
          <w:b w:val="0"/>
          <w:bCs w:val="0"/>
          <w:color w:val="auto"/>
          <w:kern w:val="0"/>
          <w:sz w:val="32"/>
          <w:szCs w:val="32"/>
          <w:highlight w:val="none"/>
          <w:shd w:val="clear" w:color="auto" w:fill="FFFFFF"/>
          <w:lang w:val="zh-CN" w:eastAsia="zh-CN"/>
        </w:rPr>
        <w:t>。</w:t>
      </w:r>
    </w:p>
    <w:p w14:paraId="61B44BB6">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（三）结果应用情况。</w:t>
      </w:r>
    </w:p>
    <w:p w14:paraId="065181C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按川财基﹝2012﹞4号公开公示制度要求，对各项资金的收支余管理情况进行了公开公示，对机关人员经费及公用经费开支情况定期不定期的上传机关微信或QQ工作群公示等，并设置了监督举报电话。按川财基﹝2012﹞4号信息通达制度要求，落实出纳为信息联络员，并有信息传递记录装订成册，并已分类整理、装订成册、归档保管。</w:t>
      </w:r>
    </w:p>
    <w:p w14:paraId="2FA6B84D">
      <w:pPr>
        <w:keepNext w:val="0"/>
        <w:keepLines w:val="0"/>
        <w:pageBreakBefore w:val="0"/>
        <w:widowControl/>
        <w:numPr>
          <w:ilvl w:val="0"/>
          <w:numId w:val="8"/>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自评质量。</w:t>
      </w:r>
    </w:p>
    <w:p w14:paraId="4FA993C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2022年昭化区融媒体中心财务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2022年基本完成，在保障机关运转、履行职能职责上整体情况良好。</w:t>
      </w:r>
    </w:p>
    <w:p w14:paraId="6203B8F3">
      <w:pPr>
        <w:keepNext w:val="0"/>
        <w:keepLines w:val="0"/>
        <w:pageBreakBefore w:val="0"/>
        <w:widowControl/>
        <w:numPr>
          <w:ilvl w:val="0"/>
          <w:numId w:val="2"/>
        </w:numPr>
        <w:kinsoku/>
        <w:wordWrap/>
        <w:overflowPunct/>
        <w:topLinePunct w:val="0"/>
        <w:autoSpaceDE/>
        <w:autoSpaceDN/>
        <w:bidi w:val="0"/>
        <w:adjustRightInd w:val="0"/>
        <w:snapToGrid w:val="0"/>
        <w:spacing w:line="560" w:lineRule="exact"/>
        <w:ind w:left="1360" w:leftChars="0" w:hanging="720" w:firstLineChars="0"/>
        <w:contextualSpacing/>
        <w:jc w:val="left"/>
        <w:textAlignment w:val="auto"/>
        <w:rPr>
          <w:rFonts w:hint="eastAsia"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评价结论及建议</w:t>
      </w:r>
    </w:p>
    <w:p w14:paraId="0ECA404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（一）评价结论</w:t>
      </w:r>
    </w:p>
    <w:p w14:paraId="32BEF4FF">
      <w:pPr>
        <w:pStyle w:val="5"/>
        <w:ind w:firstLine="640" w:firstLineChars="200"/>
        <w:rPr>
          <w:rFonts w:hint="eastAsia"/>
          <w:sz w:val="32"/>
          <w:szCs w:val="32"/>
          <w:lang w:val="zh-CN" w:eastAsia="zh-CN"/>
        </w:rPr>
      </w:pPr>
      <w:r>
        <w:rPr>
          <w:rFonts w:hint="eastAsia"/>
          <w:sz w:val="32"/>
          <w:szCs w:val="32"/>
          <w:lang w:val="zh-CN" w:eastAsia="zh-CN"/>
        </w:rPr>
        <w:t>我单位按照《广元市昭化区人民政府办公室关于印发&lt;广元市昭化区财政预算绩效管理实施细则&gt;的通知》(昭府办函[2018]118号)绩效评价指标体系开展绩效评价。自评得分为91分，</w:t>
      </w:r>
      <w:r>
        <w:rPr>
          <w:rFonts w:hint="eastAsia"/>
          <w:sz w:val="32"/>
          <w:szCs w:val="32"/>
          <w:lang w:val="en-US" w:eastAsia="zh-CN"/>
        </w:rPr>
        <w:t>结论为优</w:t>
      </w:r>
      <w:r>
        <w:rPr>
          <w:rFonts w:hint="eastAsia"/>
          <w:sz w:val="32"/>
          <w:szCs w:val="32"/>
          <w:lang w:val="zh-CN" w:eastAsia="zh-CN"/>
        </w:rPr>
        <w:t>。</w:t>
      </w:r>
    </w:p>
    <w:p w14:paraId="615557D0">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w:t>
      </w:r>
      <w:r>
        <w:rPr>
          <w:rFonts w:hint="eastAsia" w:ascii="楷体_GB2312" w:hAnsi="楷体_GB2312" w:eastAsia="楷体_GB2312" w:cs="楷体_GB2312"/>
          <w:b/>
          <w:bCs/>
          <w:color w:val="auto"/>
          <w:kern w:val="0"/>
          <w:sz w:val="32"/>
          <w:szCs w:val="32"/>
          <w:highlight w:val="none"/>
          <w:shd w:val="clear" w:color="auto" w:fill="FFFFFF"/>
          <w:lang w:val="en-US" w:eastAsia="zh-CN"/>
        </w:rPr>
        <w:t>二</w:t>
      </w:r>
      <w:r>
        <w:rPr>
          <w:rFonts w:hint="eastAsia" w:ascii="楷体_GB2312" w:hAnsi="楷体_GB2312" w:eastAsia="楷体_GB2312" w:cs="楷体_GB2312"/>
          <w:b/>
          <w:bCs/>
          <w:color w:val="auto"/>
          <w:kern w:val="0"/>
          <w:sz w:val="32"/>
          <w:szCs w:val="32"/>
          <w:highlight w:val="none"/>
          <w:shd w:val="clear" w:color="auto" w:fill="FFFFFF"/>
          <w:lang w:val="zh-CN"/>
        </w:rPr>
        <w:t>）存在问题</w:t>
      </w:r>
    </w:p>
    <w:p w14:paraId="33185FF1">
      <w:pPr>
        <w:pStyle w:val="5"/>
        <w:numPr>
          <w:ilvl w:val="0"/>
          <w:numId w:val="0"/>
        </w:numPr>
        <w:ind w:firstLine="600" w:firstLineChars="200"/>
        <w:rPr>
          <w:rFonts w:hint="eastAsia"/>
          <w:lang w:val="zh-CN" w:eastAsia="zh-CN"/>
        </w:rPr>
      </w:pPr>
      <w:r>
        <w:rPr>
          <w:rFonts w:hint="eastAsia"/>
          <w:lang w:val="zh-CN" w:eastAsia="zh-CN"/>
        </w:rPr>
        <w:t>单位内控和绩效目标意识有待继续提升。</w:t>
      </w:r>
    </w:p>
    <w:p w14:paraId="5A32058E">
      <w:pPr>
        <w:keepNext w:val="0"/>
        <w:keepLines w:val="0"/>
        <w:pageBreakBefore w:val="0"/>
        <w:widowControl/>
        <w:numPr>
          <w:ilvl w:val="0"/>
          <w:numId w:val="7"/>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改进建议</w:t>
      </w:r>
    </w:p>
    <w:p w14:paraId="41B41BE8">
      <w:pPr>
        <w:pStyle w:val="5"/>
        <w:numPr>
          <w:ilvl w:val="0"/>
          <w:numId w:val="0"/>
        </w:numPr>
        <w:ind w:firstLine="600" w:firstLineChars="200"/>
        <w:rPr>
          <w:rFonts w:hint="eastAsia"/>
          <w:lang w:val="zh-CN" w:eastAsia="zh-CN"/>
        </w:rPr>
      </w:pPr>
      <w:r>
        <w:rPr>
          <w:rFonts w:hint="eastAsia"/>
          <w:lang w:val="zh-CN" w:eastAsia="zh-CN"/>
        </w:rPr>
        <w:t>严格按《行政单位财务规则》和《行政单位会计制度》的规定准确核算财务收支、编制财务报表，同时加强资产管理，定期和不定期盘点资产，以保证资产账实相符、账表相符。</w:t>
      </w:r>
    </w:p>
    <w:p w14:paraId="0254726E">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7D1BA62E">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700833B6">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29679BB3">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6BC41E7A">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3BABDD55">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6041047E">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部门整体绩效自评表（2022年度）</w:t>
      </w:r>
    </w:p>
    <w:tbl>
      <w:tblPr>
        <w:tblStyle w:val="16"/>
        <w:tblpPr w:leftFromText="180" w:rightFromText="180" w:vertAnchor="text" w:horzAnchor="page" w:tblpX="1698" w:tblpY="63"/>
        <w:tblOverlap w:val="never"/>
        <w:tblW w:w="88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0"/>
        <w:gridCol w:w="642"/>
        <w:gridCol w:w="1189"/>
        <w:gridCol w:w="650"/>
        <w:gridCol w:w="1442"/>
        <w:gridCol w:w="1401"/>
        <w:gridCol w:w="1401"/>
        <w:gridCol w:w="1403"/>
      </w:tblGrid>
      <w:tr w14:paraId="13411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085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32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3FD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中共广元市昭化区委宣传部</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B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2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F05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广元市昭化区融媒体中心</w:t>
            </w:r>
          </w:p>
        </w:tc>
      </w:tr>
      <w:tr w14:paraId="2C88B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7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86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项目(政策)资金 (万元)</w:t>
            </w: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42B22">
            <w:pPr>
              <w:jc w:val="left"/>
              <w:rPr>
                <w:rFonts w:hint="eastAsia" w:ascii="Arial" w:hAnsi="Arial" w:eastAsia="宋体" w:cs="Arial"/>
                <w:i w:val="0"/>
                <w:iCs w:val="0"/>
                <w:color w:val="000000"/>
                <w:sz w:val="18"/>
                <w:szCs w:val="18"/>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DA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EA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2E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CB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r>
      <w:tr w14:paraId="182F8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5918C">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1F4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B60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503.18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BC6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519.98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7175">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512.98</w:t>
            </w:r>
            <w:r>
              <w:rPr>
                <w:rFonts w:hint="eastAsia" w:ascii="宋体" w:hAnsi="宋体" w:eastAsia="宋体" w:cs="宋体"/>
                <w:i w:val="0"/>
                <w:iCs w:val="0"/>
                <w:snapToGrid w:val="0"/>
                <w:color w:val="000000"/>
                <w:kern w:val="0"/>
                <w:sz w:val="18"/>
                <w:szCs w:val="18"/>
                <w:u w:val="none"/>
                <w:lang w:val="en-US" w:eastAsia="zh-CN" w:bidi="ar"/>
              </w:rPr>
              <w:t>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22E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98.65%</w:t>
            </w:r>
          </w:p>
        </w:tc>
      </w:tr>
      <w:tr w14:paraId="042CC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1EC55">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D509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(一)财政拨款小计</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EBC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503.18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23E0">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519.98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45CB">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512.98</w:t>
            </w:r>
            <w:r>
              <w:rPr>
                <w:rFonts w:hint="eastAsia" w:ascii="宋体" w:hAnsi="宋体" w:eastAsia="宋体" w:cs="宋体"/>
                <w:i w:val="0"/>
                <w:iCs w:val="0"/>
                <w:snapToGrid w:val="0"/>
                <w:color w:val="000000"/>
                <w:kern w:val="0"/>
                <w:sz w:val="18"/>
                <w:szCs w:val="18"/>
                <w:u w:val="none"/>
                <w:lang w:val="en-US" w:eastAsia="zh-CN" w:bidi="ar"/>
              </w:rPr>
              <w:t>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7C8E">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98.65%</w:t>
            </w:r>
          </w:p>
        </w:tc>
      </w:tr>
      <w:tr w14:paraId="4B41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E7A49">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510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1.一般公共预算</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D9C4">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503.18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16B6">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519.98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A96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512.98</w:t>
            </w:r>
            <w:r>
              <w:rPr>
                <w:rFonts w:hint="eastAsia" w:ascii="宋体" w:hAnsi="宋体" w:eastAsia="宋体" w:cs="宋体"/>
                <w:i w:val="0"/>
                <w:iCs w:val="0"/>
                <w:snapToGrid w:val="0"/>
                <w:color w:val="000000"/>
                <w:kern w:val="0"/>
                <w:sz w:val="18"/>
                <w:szCs w:val="18"/>
                <w:u w:val="none"/>
                <w:lang w:val="en-US" w:eastAsia="zh-CN" w:bidi="ar"/>
              </w:rPr>
              <w:t>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F4B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98.65%</w:t>
            </w:r>
          </w:p>
        </w:tc>
      </w:tr>
      <w:tr w14:paraId="2B955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9E028">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C75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2.政府性基金</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8094">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168B">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6739">
            <w:pPr>
              <w:jc w:val="center"/>
              <w:rPr>
                <w:rFonts w:hint="default" w:ascii="Arial" w:hAnsi="Arial" w:eastAsia="宋体" w:cs="Arial"/>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2BFF">
            <w:pPr>
              <w:jc w:val="center"/>
              <w:rPr>
                <w:rFonts w:hint="default" w:ascii="Arial" w:hAnsi="Arial" w:eastAsia="宋体" w:cs="Arial"/>
                <w:i w:val="0"/>
                <w:iCs w:val="0"/>
                <w:color w:val="000000"/>
                <w:sz w:val="18"/>
                <w:szCs w:val="18"/>
                <w:u w:val="none"/>
              </w:rPr>
            </w:pPr>
          </w:p>
        </w:tc>
      </w:tr>
      <w:tr w14:paraId="011CB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9E016">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43A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3.国有资本经营预算</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AFE6">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4251">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604E">
            <w:pPr>
              <w:jc w:val="center"/>
              <w:rPr>
                <w:rFonts w:hint="default" w:ascii="Arial" w:hAnsi="Arial" w:eastAsia="宋体" w:cs="Arial"/>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981E">
            <w:pPr>
              <w:jc w:val="center"/>
              <w:rPr>
                <w:rFonts w:hint="default" w:ascii="Arial" w:hAnsi="Arial" w:eastAsia="宋体" w:cs="Arial"/>
                <w:i w:val="0"/>
                <w:iCs w:val="0"/>
                <w:color w:val="000000"/>
                <w:sz w:val="18"/>
                <w:szCs w:val="18"/>
                <w:u w:val="none"/>
              </w:rPr>
            </w:pPr>
          </w:p>
        </w:tc>
      </w:tr>
      <w:tr w14:paraId="572CF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EDA31">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BB20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4.社保基金</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5AFB">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7D7A">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E952">
            <w:pPr>
              <w:jc w:val="center"/>
              <w:rPr>
                <w:rFonts w:hint="default" w:ascii="Arial" w:hAnsi="Arial" w:eastAsia="宋体" w:cs="Arial"/>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6A2B">
            <w:pPr>
              <w:jc w:val="center"/>
              <w:rPr>
                <w:rFonts w:hint="default" w:ascii="Arial" w:hAnsi="Arial" w:eastAsia="宋体" w:cs="Arial"/>
                <w:i w:val="0"/>
                <w:iCs w:val="0"/>
                <w:color w:val="000000"/>
                <w:sz w:val="18"/>
                <w:szCs w:val="18"/>
                <w:u w:val="none"/>
              </w:rPr>
            </w:pPr>
          </w:p>
        </w:tc>
      </w:tr>
      <w:tr w14:paraId="7212B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05599">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E1A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(二)其他资金</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14C0">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07E8">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8765">
            <w:pPr>
              <w:jc w:val="center"/>
              <w:rPr>
                <w:rFonts w:hint="default" w:ascii="Arial" w:hAnsi="Arial" w:eastAsia="宋体" w:cs="Arial"/>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AB67">
            <w:pPr>
              <w:jc w:val="center"/>
              <w:rPr>
                <w:rFonts w:hint="default" w:ascii="Arial" w:hAnsi="Arial" w:eastAsia="宋体" w:cs="Arial"/>
                <w:i w:val="0"/>
                <w:iCs w:val="0"/>
                <w:color w:val="000000"/>
                <w:sz w:val="18"/>
                <w:szCs w:val="18"/>
                <w:u w:val="none"/>
              </w:rPr>
            </w:pPr>
          </w:p>
        </w:tc>
      </w:tr>
      <w:tr w14:paraId="44E4E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261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整体目标</w:t>
            </w:r>
          </w:p>
        </w:tc>
        <w:tc>
          <w:tcPr>
            <w:tcW w:w="3923" w:type="dxa"/>
            <w:gridSpan w:val="4"/>
            <w:tcBorders>
              <w:top w:val="single" w:color="000000" w:sz="4" w:space="0"/>
              <w:left w:val="single" w:color="000000" w:sz="4" w:space="0"/>
              <w:bottom w:val="nil"/>
              <w:right w:val="single" w:color="000000" w:sz="4" w:space="0"/>
            </w:tcBorders>
            <w:shd w:val="clear" w:color="auto" w:fill="auto"/>
            <w:vAlign w:val="center"/>
          </w:tcPr>
          <w:p w14:paraId="38745D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年度目标</w:t>
            </w:r>
          </w:p>
        </w:tc>
        <w:tc>
          <w:tcPr>
            <w:tcW w:w="4205" w:type="dxa"/>
            <w:gridSpan w:val="3"/>
            <w:tcBorders>
              <w:top w:val="single" w:color="000000" w:sz="4" w:space="0"/>
              <w:left w:val="single" w:color="000000" w:sz="4" w:space="0"/>
              <w:bottom w:val="nil"/>
              <w:right w:val="single" w:color="000000" w:sz="4" w:space="0"/>
            </w:tcBorders>
            <w:shd w:val="clear" w:color="auto" w:fill="auto"/>
            <w:vAlign w:val="center"/>
          </w:tcPr>
          <w:p w14:paraId="696FF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完成情况</w:t>
            </w:r>
          </w:p>
        </w:tc>
      </w:tr>
      <w:tr w14:paraId="006D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49CD5">
            <w:pPr>
              <w:jc w:val="center"/>
              <w:rPr>
                <w:rFonts w:hint="eastAsia" w:ascii="宋体" w:hAnsi="宋体" w:eastAsia="宋体" w:cs="宋体"/>
                <w:i w:val="0"/>
                <w:iCs w:val="0"/>
                <w:color w:val="000000"/>
                <w:sz w:val="18"/>
                <w:szCs w:val="18"/>
                <w:u w:val="none"/>
              </w:rPr>
            </w:pPr>
          </w:p>
        </w:tc>
        <w:tc>
          <w:tcPr>
            <w:tcW w:w="39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CA1A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按照区融媒体中心工作职责，保障在职人员与聘用人员的工资保险等福利待遇；保障对机房、摄像机、新闻编辑系统、直播设备、各种专业零配件的更换维护升级；保障门户网站及电子政务外网的运管维护；全力开展年度区内主题宣传上稿</w:t>
            </w:r>
            <w:r>
              <w:rPr>
                <w:rFonts w:hint="default" w:ascii="Arial" w:hAnsi="Arial" w:eastAsia="宋体" w:cs="Arial"/>
                <w:i w:val="0"/>
                <w:iCs w:val="0"/>
                <w:snapToGrid w:val="0"/>
                <w:color w:val="000000"/>
                <w:kern w:val="0"/>
                <w:sz w:val="18"/>
                <w:szCs w:val="18"/>
                <w:u w:val="none"/>
                <w:lang w:val="en-US" w:eastAsia="zh-CN" w:bidi="ar"/>
              </w:rPr>
              <w:t>600</w:t>
            </w:r>
            <w:r>
              <w:rPr>
                <w:rFonts w:hint="eastAsia" w:ascii="宋体" w:hAnsi="宋体" w:eastAsia="宋体" w:cs="宋体"/>
                <w:i w:val="0"/>
                <w:iCs w:val="0"/>
                <w:snapToGrid w:val="0"/>
                <w:color w:val="000000"/>
                <w:kern w:val="0"/>
                <w:sz w:val="18"/>
                <w:szCs w:val="18"/>
                <w:u w:val="none"/>
                <w:lang w:val="en-US" w:eastAsia="zh-CN" w:bidi="ar"/>
              </w:rPr>
              <w:t>条和《直通县区》栏目联办宣传。</w:t>
            </w:r>
          </w:p>
        </w:tc>
        <w:tc>
          <w:tcPr>
            <w:tcW w:w="42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933C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按照区融媒体中心工作职责，保障</w:t>
            </w:r>
            <w:r>
              <w:rPr>
                <w:rFonts w:hint="default" w:ascii="Arial" w:hAnsi="Arial" w:eastAsia="宋体" w:cs="Arial"/>
                <w:i w:val="0"/>
                <w:iCs w:val="0"/>
                <w:snapToGrid w:val="0"/>
                <w:color w:val="000000"/>
                <w:kern w:val="0"/>
                <w:sz w:val="18"/>
                <w:szCs w:val="18"/>
                <w:u w:val="none"/>
                <w:lang w:val="en-US" w:eastAsia="zh-CN" w:bidi="ar"/>
              </w:rPr>
              <w:t>22</w:t>
            </w:r>
            <w:r>
              <w:rPr>
                <w:rFonts w:hint="eastAsia" w:ascii="宋体" w:hAnsi="宋体" w:eastAsia="宋体" w:cs="宋体"/>
                <w:i w:val="0"/>
                <w:iCs w:val="0"/>
                <w:snapToGrid w:val="0"/>
                <w:color w:val="000000"/>
                <w:kern w:val="0"/>
                <w:sz w:val="18"/>
                <w:szCs w:val="18"/>
                <w:u w:val="none"/>
                <w:lang w:val="en-US" w:eastAsia="zh-CN" w:bidi="ar"/>
              </w:rPr>
              <w:t>名在职人员与</w:t>
            </w:r>
            <w:r>
              <w:rPr>
                <w:rFonts w:hint="default" w:ascii="Arial" w:hAnsi="Arial" w:eastAsia="宋体" w:cs="Arial"/>
                <w:i w:val="0"/>
                <w:iCs w:val="0"/>
                <w:snapToGrid w:val="0"/>
                <w:color w:val="000000"/>
                <w:kern w:val="0"/>
                <w:sz w:val="18"/>
                <w:szCs w:val="18"/>
                <w:u w:val="none"/>
                <w:lang w:val="en-US" w:eastAsia="zh-CN" w:bidi="ar"/>
              </w:rPr>
              <w:t>16</w:t>
            </w:r>
            <w:r>
              <w:rPr>
                <w:rFonts w:hint="eastAsia" w:ascii="宋体" w:hAnsi="宋体" w:eastAsia="宋体" w:cs="宋体"/>
                <w:i w:val="0"/>
                <w:iCs w:val="0"/>
                <w:snapToGrid w:val="0"/>
                <w:color w:val="000000"/>
                <w:kern w:val="0"/>
                <w:sz w:val="18"/>
                <w:szCs w:val="18"/>
                <w:u w:val="none"/>
                <w:lang w:val="en-US" w:eastAsia="zh-CN" w:bidi="ar"/>
              </w:rPr>
              <w:t>名聘用人员的工资保险等福利待遇；保障对机房、摄像机、新闻编辑系统、直播设备、各种专业零配件的更换维护升级均不少于</w:t>
            </w:r>
            <w:r>
              <w:rPr>
                <w:rFonts w:hint="default" w:ascii="Arial" w:hAnsi="Arial" w:eastAsia="宋体" w:cs="Arial"/>
                <w:i w:val="0"/>
                <w:iCs w:val="0"/>
                <w:snapToGrid w:val="0"/>
                <w:color w:val="000000"/>
                <w:kern w:val="0"/>
                <w:sz w:val="18"/>
                <w:szCs w:val="18"/>
                <w:u w:val="none"/>
                <w:lang w:val="en-US" w:eastAsia="zh-CN" w:bidi="ar"/>
              </w:rPr>
              <w:t>1</w:t>
            </w:r>
            <w:r>
              <w:rPr>
                <w:rFonts w:hint="eastAsia" w:ascii="宋体" w:hAnsi="宋体" w:eastAsia="宋体" w:cs="宋体"/>
                <w:i w:val="0"/>
                <w:iCs w:val="0"/>
                <w:snapToGrid w:val="0"/>
                <w:color w:val="000000"/>
                <w:kern w:val="0"/>
                <w:sz w:val="18"/>
                <w:szCs w:val="18"/>
                <w:u w:val="none"/>
                <w:lang w:val="en-US" w:eastAsia="zh-CN" w:bidi="ar"/>
              </w:rPr>
              <w:t>次；保障门户网站及电子政务外网的运管维护均不少于</w:t>
            </w:r>
            <w:r>
              <w:rPr>
                <w:rFonts w:hint="default" w:ascii="Arial" w:hAnsi="Arial" w:eastAsia="宋体" w:cs="Arial"/>
                <w:i w:val="0"/>
                <w:iCs w:val="0"/>
                <w:snapToGrid w:val="0"/>
                <w:color w:val="000000"/>
                <w:kern w:val="0"/>
                <w:sz w:val="18"/>
                <w:szCs w:val="18"/>
                <w:u w:val="none"/>
                <w:lang w:val="en-US" w:eastAsia="zh-CN" w:bidi="ar"/>
              </w:rPr>
              <w:t>1</w:t>
            </w:r>
            <w:r>
              <w:rPr>
                <w:rFonts w:hint="eastAsia" w:ascii="宋体" w:hAnsi="宋体" w:eastAsia="宋体" w:cs="宋体"/>
                <w:i w:val="0"/>
                <w:iCs w:val="0"/>
                <w:snapToGrid w:val="0"/>
                <w:color w:val="000000"/>
                <w:kern w:val="0"/>
                <w:sz w:val="18"/>
                <w:szCs w:val="18"/>
                <w:u w:val="none"/>
                <w:lang w:val="en-US" w:eastAsia="zh-CN" w:bidi="ar"/>
              </w:rPr>
              <w:t>次；全力开展年度区内主题宣传上稿</w:t>
            </w:r>
            <w:r>
              <w:rPr>
                <w:rFonts w:hint="default" w:ascii="Arial" w:hAnsi="Arial" w:eastAsia="宋体" w:cs="Arial"/>
                <w:i w:val="0"/>
                <w:iCs w:val="0"/>
                <w:snapToGrid w:val="0"/>
                <w:color w:val="000000"/>
                <w:kern w:val="0"/>
                <w:sz w:val="18"/>
                <w:szCs w:val="18"/>
                <w:u w:val="none"/>
                <w:lang w:val="en-US" w:eastAsia="zh-CN" w:bidi="ar"/>
              </w:rPr>
              <w:t>6600</w:t>
            </w:r>
            <w:r>
              <w:rPr>
                <w:rFonts w:hint="eastAsia" w:ascii="宋体" w:hAnsi="宋体" w:eastAsia="宋体" w:cs="宋体"/>
                <w:i w:val="0"/>
                <w:iCs w:val="0"/>
                <w:snapToGrid w:val="0"/>
                <w:color w:val="000000"/>
                <w:kern w:val="0"/>
                <w:sz w:val="18"/>
                <w:szCs w:val="18"/>
                <w:u w:val="none"/>
                <w:lang w:val="en-US" w:eastAsia="zh-CN" w:bidi="ar"/>
              </w:rPr>
              <w:t>余条和《直通县区》栏目联办宣传。</w:t>
            </w:r>
          </w:p>
        </w:tc>
      </w:tr>
      <w:tr w14:paraId="4E5F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F48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部门整体绩效指标</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7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B5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4EA0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BE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91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92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偏差原因分析及改进措施</w:t>
            </w:r>
          </w:p>
        </w:tc>
      </w:tr>
      <w:tr w14:paraId="1CF15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BE041">
            <w:pPr>
              <w:jc w:val="center"/>
              <w:rPr>
                <w:rFonts w:hint="eastAsia" w:ascii="宋体" w:hAnsi="宋体" w:eastAsia="宋体" w:cs="宋体"/>
                <w:i w:val="0"/>
                <w:iCs w:val="0"/>
                <w:color w:val="000000"/>
                <w:sz w:val="18"/>
                <w:szCs w:val="18"/>
                <w:u w:val="none"/>
              </w:rPr>
            </w:pP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6FB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41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数量指标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264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记者站聘用人员数量</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1D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＝3人/年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A37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3人</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D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7EAD3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F3282">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C7C28">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1F15E">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8107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5"/>
                <w:szCs w:val="15"/>
                <w:u w:val="none"/>
                <w:lang w:val="en-US" w:eastAsia="zh-CN" w:bidi="ar"/>
              </w:rPr>
              <w:t>年新媒体平台开发维护数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42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≥2个（套）</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68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2个</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C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2F923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DB11B">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A4E0D">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AEBC9">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EA6F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年撰写稿件数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9F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≥600件</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957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6600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C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27F73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36F82">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C9F66">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7463C">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CC24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设备维护次数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D1B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≥1次/年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D09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3次</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C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74277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5EC7E">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F751B">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5D5CD">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A5EB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政府外网维护次数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D5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≥1次/年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4F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1次</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D0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29A51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B27DC">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1BAA4">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453B6">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BF3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周上传稿件数量</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E5B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≥3件</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FC1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100件</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8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2337E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EFD3B">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30398">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44A9F">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8045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聘用人员数量</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4F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＝13人/年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513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13人</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B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011BD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C67C4">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635F7">
            <w:pPr>
              <w:jc w:val="center"/>
              <w:rPr>
                <w:rFonts w:hint="eastAsia" w:ascii="宋体" w:hAnsi="宋体" w:eastAsia="宋体" w:cs="宋体"/>
                <w:i w:val="0"/>
                <w:iCs w:val="0"/>
                <w:color w:val="000000"/>
                <w:sz w:val="18"/>
                <w:szCs w:val="18"/>
                <w:u w:val="none"/>
              </w:rPr>
            </w:pP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84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质量指标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CE3F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稿件合格率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E405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40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95%</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9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51889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396E3">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24ED6">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04FA2">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873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设备维护合格率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F75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63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6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524BA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E8FEA">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2CB74">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BDA88">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5A96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网站运维合格率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160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F8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7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7E18D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CCCA8">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3CB60">
            <w:pPr>
              <w:jc w:val="center"/>
              <w:rPr>
                <w:rFonts w:hint="eastAsia" w:ascii="宋体" w:hAnsi="宋体" w:eastAsia="宋体" w:cs="宋体"/>
                <w:i w:val="0"/>
                <w:iCs w:val="0"/>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2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时效指标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CF664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故障修复响应时间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E8E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≤3天</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1BC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1天</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7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70AD0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10A7A">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DF3D1">
            <w:pPr>
              <w:jc w:val="center"/>
              <w:rPr>
                <w:rFonts w:hint="eastAsia" w:ascii="宋体" w:hAnsi="宋体" w:eastAsia="宋体" w:cs="宋体"/>
                <w:i w:val="0"/>
                <w:iCs w:val="0"/>
                <w:color w:val="000000"/>
                <w:sz w:val="18"/>
                <w:szCs w:val="18"/>
                <w:u w:val="none"/>
              </w:rPr>
            </w:pP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01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snapToGrid w:val="0"/>
                <w:color w:val="000000"/>
                <w:kern w:val="0"/>
                <w:sz w:val="15"/>
                <w:szCs w:val="15"/>
                <w:u w:val="none"/>
                <w:lang w:val="en-US" w:eastAsia="zh-CN" w:bidi="ar"/>
              </w:rPr>
              <w:t>成本指标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03794">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人员工资及单位运转费用</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FF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≤298.2万元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718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298.2万元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8E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5B417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EB648">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39C37">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7FE27">
            <w:pPr>
              <w:jc w:val="center"/>
              <w:rPr>
                <w:rFonts w:hint="eastAsia" w:ascii="宋体" w:hAnsi="宋体" w:eastAsia="宋体" w:cs="宋体"/>
                <w:i w:val="0"/>
                <w:iCs w:val="0"/>
                <w:color w:val="000000"/>
                <w:sz w:val="15"/>
                <w:szCs w:val="15"/>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63C9E0">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政府购买服务等其他运转类</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A3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≤204.9万元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76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197.9万元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4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2B03D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816C8">
            <w:pPr>
              <w:jc w:val="center"/>
              <w:rPr>
                <w:rFonts w:hint="eastAsia" w:ascii="宋体" w:hAnsi="宋体" w:eastAsia="宋体" w:cs="宋体"/>
                <w:i w:val="0"/>
                <w:iCs w:val="0"/>
                <w:color w:val="000000"/>
                <w:sz w:val="18"/>
                <w:szCs w:val="18"/>
                <w:u w:val="none"/>
              </w:rPr>
            </w:pP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B1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816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snapToGrid w:val="0"/>
                <w:color w:val="000000"/>
                <w:kern w:val="0"/>
                <w:sz w:val="15"/>
                <w:szCs w:val="15"/>
                <w:u w:val="none"/>
                <w:lang w:val="en-US" w:eastAsia="zh-CN" w:bidi="ar"/>
              </w:rPr>
              <w:t>经济效益指标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E2B15">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设备服务创收值</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2F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≥40万元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EE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60万元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C8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19412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FFDEB">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BE67D">
            <w:pPr>
              <w:jc w:val="center"/>
              <w:rPr>
                <w:rFonts w:hint="eastAsia" w:ascii="宋体" w:hAnsi="宋体" w:eastAsia="宋体" w:cs="宋体"/>
                <w:i w:val="0"/>
                <w:iCs w:val="0"/>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59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snapToGrid w:val="0"/>
                <w:color w:val="000000"/>
                <w:kern w:val="0"/>
                <w:sz w:val="15"/>
                <w:szCs w:val="15"/>
                <w:u w:val="none"/>
                <w:lang w:val="en-US" w:eastAsia="zh-CN" w:bidi="ar"/>
              </w:rPr>
              <w:t>社会效益指标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5A4AC0">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年度优秀作品获</w:t>
            </w:r>
            <w:r>
              <w:rPr>
                <w:rFonts w:hint="eastAsia" w:ascii="宋体" w:hAnsi="宋体" w:cs="宋体"/>
                <w:i w:val="0"/>
                <w:iCs w:val="0"/>
                <w:snapToGrid w:val="0"/>
                <w:color w:val="000000"/>
                <w:kern w:val="0"/>
                <w:sz w:val="15"/>
                <w:szCs w:val="15"/>
                <w:u w:val="none"/>
                <w:lang w:val="en-US" w:eastAsia="zh-CN" w:bidi="ar"/>
              </w:rPr>
              <w:t>奖</w:t>
            </w:r>
            <w:r>
              <w:rPr>
                <w:rFonts w:ascii="宋体" w:hAnsi="宋体" w:eastAsia="宋体" w:cs="宋体"/>
                <w:i w:val="0"/>
                <w:iCs w:val="0"/>
                <w:snapToGrid w:val="0"/>
                <w:color w:val="000000"/>
                <w:kern w:val="0"/>
                <w:sz w:val="15"/>
                <w:szCs w:val="15"/>
                <w:u w:val="none"/>
                <w:lang w:val="en-US" w:eastAsia="zh-CN" w:bidi="ar"/>
              </w:rPr>
              <w:t>次数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E7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≥3次/年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DFE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15次</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C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11D16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9A8D0">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CF033">
            <w:pPr>
              <w:jc w:val="center"/>
              <w:rPr>
                <w:rFonts w:hint="eastAsia" w:ascii="宋体" w:hAnsi="宋体" w:eastAsia="宋体" w:cs="宋体"/>
                <w:i w:val="0"/>
                <w:iCs w:val="0"/>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6130">
            <w:pPr>
              <w:keepNext w:val="0"/>
              <w:keepLines w:val="0"/>
              <w:widowControl/>
              <w:suppressLineNumbers w:val="0"/>
              <w:jc w:val="both"/>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snapToGrid w:val="0"/>
                <w:color w:val="000000"/>
                <w:kern w:val="0"/>
                <w:sz w:val="13"/>
                <w:szCs w:val="13"/>
                <w:u w:val="none"/>
                <w:lang w:val="en-US" w:eastAsia="zh-CN" w:bidi="ar"/>
              </w:rPr>
              <w:t>可持续发展指标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C55456">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设备及网站正常运行率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A4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69E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2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6492E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4D621">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8B99B">
            <w:pPr>
              <w:jc w:val="center"/>
              <w:rPr>
                <w:rFonts w:hint="eastAsia" w:ascii="宋体" w:hAnsi="宋体" w:eastAsia="宋体" w:cs="宋体"/>
                <w:i w:val="0"/>
                <w:iCs w:val="0"/>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F52C">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snapToGrid w:val="0"/>
                <w:color w:val="000000"/>
                <w:kern w:val="0"/>
                <w:sz w:val="13"/>
                <w:szCs w:val="13"/>
                <w:u w:val="none"/>
                <w:lang w:val="en-US" w:eastAsia="zh-CN" w:bidi="ar"/>
              </w:rPr>
              <w:t>可持续影响指标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7D18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新闻稿件报道转发率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3CE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C2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99%</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3F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249E1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BFD51">
            <w:pPr>
              <w:jc w:val="center"/>
              <w:rPr>
                <w:rFonts w:hint="eastAsia" w:ascii="宋体" w:hAnsi="宋体" w:eastAsia="宋体" w:cs="宋体"/>
                <w:i w:val="0"/>
                <w:iCs w:val="0"/>
                <w:color w:val="000000"/>
                <w:sz w:val="18"/>
                <w:szCs w:val="18"/>
                <w:u w:val="none"/>
              </w:rPr>
            </w:pP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6E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2B6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服务对象满意度指标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63B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聘用人员满意度</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B4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16D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E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7C7FE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79F6D">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DEAA7">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FB990">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F450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设备使用人员满意度</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9A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344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7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14:paraId="71482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EFC62">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C7E78">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3BBD4">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9B3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宣传服务受众满意度</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2CC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DE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1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bl>
    <w:p w14:paraId="5F7422A2">
      <w:pPr>
        <w:pStyle w:val="5"/>
        <w:keepNext w:val="0"/>
        <w:keepLines w:val="0"/>
        <w:pageBreakBefore w:val="0"/>
        <w:wordWrap/>
        <w:overflowPunct/>
        <w:topLinePunct w:val="0"/>
        <w:bidi w:val="0"/>
        <w:spacing w:line="560" w:lineRule="exact"/>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2</w:t>
      </w:r>
    </w:p>
    <w:p w14:paraId="0D3DA6BC">
      <w:pPr>
        <w:pStyle w:val="36"/>
        <w:keepNext w:val="0"/>
        <w:keepLines w:val="0"/>
        <w:pageBreakBefore w:val="0"/>
        <w:widowControl w:val="0"/>
        <w:kinsoku/>
        <w:wordWrap/>
        <w:overflowPunct/>
        <w:topLinePunct w:val="0"/>
        <w:autoSpaceDE/>
        <w:autoSpaceDN/>
        <w:bidi w:val="0"/>
        <w:spacing w:line="560" w:lineRule="exact"/>
        <w:jc w:val="center"/>
        <w:textAlignment w:val="auto"/>
        <w:rPr>
          <w:rFonts w:hint="default"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广元市昭化区融媒体中心</w:t>
      </w:r>
    </w:p>
    <w:p w14:paraId="542A2623">
      <w:pPr>
        <w:pStyle w:val="36"/>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2023年革命老区转移支付资金-融媒体能力提升</w:t>
      </w:r>
    </w:p>
    <w:p w14:paraId="5B00536E">
      <w:pPr>
        <w:pStyle w:val="36"/>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专项资金预算项目绩效自评报告</w:t>
      </w:r>
    </w:p>
    <w:p w14:paraId="7A3B4A32">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highlight w:val="none"/>
        </w:rPr>
      </w:pPr>
    </w:p>
    <w:p w14:paraId="1768FB6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lang w:val="zh-CN"/>
        </w:rPr>
      </w:pPr>
      <w:r>
        <w:rPr>
          <w:rFonts w:hint="eastAsia" w:ascii="黑体" w:hAnsi="宋体" w:eastAsia="黑体"/>
          <w:color w:val="auto"/>
          <w:sz w:val="32"/>
          <w:szCs w:val="32"/>
          <w:highlight w:val="none"/>
        </w:rPr>
        <w:t>一、</w:t>
      </w:r>
      <w:r>
        <w:rPr>
          <w:rFonts w:hint="eastAsia" w:ascii="黑体" w:hAnsi="宋体" w:eastAsia="黑体"/>
          <w:color w:val="auto"/>
          <w:sz w:val="32"/>
          <w:szCs w:val="32"/>
          <w:highlight w:val="none"/>
          <w:lang w:val="zh-CN"/>
        </w:rPr>
        <w:t>项目概况</w:t>
      </w:r>
    </w:p>
    <w:p w14:paraId="3E0924EF">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（一）项目基本情况</w:t>
      </w:r>
    </w:p>
    <w:p w14:paraId="63191CAB">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1．项目主管部门（单位）在该项目管理中的职能。</w:t>
      </w:r>
    </w:p>
    <w:p w14:paraId="07912346">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14:paraId="4034BACB">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承担全区广播</w:t>
      </w:r>
      <w:r>
        <w:rPr>
          <w:rFonts w:hint="eastAsia" w:ascii="Times New Roman" w:hAnsi="Times New Roman" w:eastAsia="仿宋_GB2312"/>
          <w:sz w:val="32"/>
          <w:szCs w:val="32"/>
          <w:lang w:eastAsia="zh-CN"/>
        </w:rPr>
        <w:t>、</w:t>
      </w:r>
      <w:r>
        <w:rPr>
          <w:rFonts w:ascii="Times New Roman" w:hAnsi="Times New Roman" w:eastAsia="仿宋_GB2312"/>
          <w:sz w:val="32"/>
          <w:szCs w:val="32"/>
        </w:rPr>
        <w:t>电视</w:t>
      </w:r>
      <w:r>
        <w:rPr>
          <w:rFonts w:hint="eastAsia" w:ascii="Times New Roman" w:hAnsi="Times New Roman" w:eastAsia="仿宋_GB2312"/>
          <w:sz w:val="32"/>
          <w:szCs w:val="32"/>
          <w:lang w:eastAsia="zh-CN"/>
        </w:rPr>
        <w:t>、</w:t>
      </w:r>
      <w:r>
        <w:rPr>
          <w:rFonts w:ascii="Times New Roman" w:hAnsi="Times New Roman" w:eastAsia="仿宋_GB2312"/>
          <w:sz w:val="32"/>
          <w:szCs w:val="32"/>
        </w:rPr>
        <w:t>新媒体宣传工作，坚持正确的舆论导向，拟定宣传要点，收集、采编发射和传输节目，提高节目质量；做好“昭化融媒”手机APP、“微信公众号”、微博，开展采集、制作、播发、刊载新闻信息及产品等工作。办好昭化地方特色的新闻节目和其他综合性节目，加大对外宣传力度，协助指导镇广播宣传工作。</w:t>
      </w:r>
    </w:p>
    <w:p w14:paraId="40A33D36">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14:paraId="7744339B">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14:paraId="2D36ED60">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shd w:val="clear" w:fill="FFFFFF"/>
          <w:lang w:val="zh-CN" w:eastAsia="zh-CN" w:bidi="ar-SA"/>
        </w:rPr>
        <w:t>2．</w:t>
      </w:r>
      <w:r>
        <w:rPr>
          <w:rFonts w:hint="eastAsia" w:ascii="仿宋_GB2312" w:hAnsi="仿宋_GB2312" w:eastAsia="仿宋_GB2312" w:cs="仿宋_GB2312"/>
          <w:color w:val="auto"/>
          <w:kern w:val="0"/>
          <w:sz w:val="32"/>
          <w:szCs w:val="32"/>
          <w:highlight w:val="none"/>
          <w:u w:val="none"/>
          <w:shd w:val="clear" w:color="auto" w:fill="FFFFFF"/>
          <w:lang w:val="zh-CN"/>
        </w:rPr>
        <w:t>项目立项、资金申报的依据。</w:t>
      </w:r>
    </w:p>
    <w:p w14:paraId="67E1AA25">
      <w:pPr>
        <w:ind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2018年</w:t>
      </w:r>
      <w:r>
        <w:rPr>
          <w:rFonts w:hint="eastAsia" w:ascii="仿宋_GB2312" w:hAnsi="宋体" w:eastAsia="仿宋_GB2312"/>
          <w:sz w:val="32"/>
          <w:szCs w:val="32"/>
        </w:rPr>
        <w:t>8月21日</w:t>
      </w:r>
      <w:r>
        <w:rPr>
          <w:rFonts w:hint="eastAsia" w:ascii="仿宋_GB2312" w:hAnsi="宋体" w:eastAsia="仿宋_GB2312"/>
          <w:sz w:val="32"/>
          <w:szCs w:val="32"/>
          <w:lang w:eastAsia="zh-CN"/>
        </w:rPr>
        <w:t>，</w:t>
      </w:r>
      <w:r>
        <w:rPr>
          <w:rFonts w:hint="eastAsia" w:ascii="仿宋_GB2312" w:hAnsi="宋体" w:eastAsia="仿宋_GB2312"/>
          <w:sz w:val="32"/>
          <w:szCs w:val="32"/>
        </w:rPr>
        <w:t>习近平</w:t>
      </w:r>
      <w:r>
        <w:rPr>
          <w:rFonts w:hint="eastAsia" w:ascii="仿宋_GB2312" w:hAnsi="宋体" w:eastAsia="仿宋_GB2312"/>
          <w:sz w:val="32"/>
          <w:szCs w:val="32"/>
          <w:lang w:eastAsia="zh-CN"/>
        </w:rPr>
        <w:t>总书记</w:t>
      </w:r>
      <w:r>
        <w:rPr>
          <w:rFonts w:hint="eastAsia" w:ascii="仿宋_GB2312" w:hAnsi="宋体" w:eastAsia="仿宋_GB2312"/>
          <w:sz w:val="32"/>
          <w:szCs w:val="32"/>
        </w:rPr>
        <w:t>在召开的全国宣传思想工作会议上指出，</w:t>
      </w:r>
      <w:r>
        <w:rPr>
          <w:rFonts w:hint="eastAsia" w:ascii="仿宋_GB2312" w:hAnsi="宋体" w:eastAsia="仿宋_GB2312"/>
          <w:sz w:val="32"/>
          <w:szCs w:val="32"/>
          <w:lang w:eastAsia="zh-CN"/>
        </w:rPr>
        <w:t>“</w:t>
      </w:r>
      <w:r>
        <w:rPr>
          <w:rFonts w:hint="eastAsia" w:ascii="仿宋_GB2312" w:hAnsi="宋体" w:eastAsia="仿宋_GB2312"/>
          <w:sz w:val="32"/>
          <w:szCs w:val="32"/>
        </w:rPr>
        <w:t>要扎实抓好县级融媒体中心建设，更好引导群众、服务群众</w:t>
      </w:r>
      <w:r>
        <w:rPr>
          <w:rFonts w:hint="eastAsia" w:ascii="仿宋_GB2312" w:hAnsi="宋体" w:eastAsia="仿宋_GB2312"/>
          <w:sz w:val="32"/>
          <w:szCs w:val="32"/>
          <w:lang w:eastAsia="zh-CN"/>
        </w:rPr>
        <w:t>”</w:t>
      </w:r>
      <w:r>
        <w:rPr>
          <w:rFonts w:hint="eastAsia" w:ascii="仿宋_GB2312" w:hAnsi="宋体" w:eastAsia="仿宋_GB2312"/>
          <w:sz w:val="32"/>
          <w:szCs w:val="32"/>
        </w:rPr>
        <w:t>。</w:t>
      </w:r>
    </w:p>
    <w:p w14:paraId="4690513C">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宋体" w:eastAsia="仿宋_GB2312"/>
          <w:sz w:val="32"/>
          <w:szCs w:val="32"/>
          <w:lang w:val="en-US" w:eastAsia="zh-CN"/>
        </w:rPr>
        <w:t>昭化区</w:t>
      </w:r>
      <w:r>
        <w:rPr>
          <w:rFonts w:hint="eastAsia" w:ascii="仿宋_GB2312" w:hAnsi="宋体" w:eastAsia="仿宋_GB2312"/>
          <w:sz w:val="32"/>
          <w:szCs w:val="32"/>
        </w:rPr>
        <w:t>根据中央、省</w:t>
      </w:r>
      <w:r>
        <w:rPr>
          <w:rFonts w:hint="eastAsia" w:ascii="仿宋_GB2312" w:hAnsi="宋体" w:eastAsia="仿宋_GB2312"/>
          <w:sz w:val="32"/>
          <w:szCs w:val="32"/>
          <w:lang w:eastAsia="zh-CN"/>
        </w:rPr>
        <w:t>、</w:t>
      </w:r>
      <w:r>
        <w:rPr>
          <w:rFonts w:hint="eastAsia" w:ascii="仿宋_GB2312" w:hAnsi="宋体" w:eastAsia="仿宋_GB2312"/>
          <w:sz w:val="32"/>
          <w:szCs w:val="32"/>
        </w:rPr>
        <w:t>市</w:t>
      </w:r>
      <w:r>
        <w:rPr>
          <w:rFonts w:hint="eastAsia" w:ascii="仿宋_GB2312" w:hAnsi="宋体" w:eastAsia="仿宋_GB2312"/>
          <w:sz w:val="32"/>
          <w:szCs w:val="32"/>
          <w:lang w:val="en-US" w:eastAsia="zh-CN"/>
        </w:rPr>
        <w:t>关于县级融媒体中心建设</w:t>
      </w:r>
      <w:r>
        <w:rPr>
          <w:rFonts w:hint="eastAsia" w:ascii="仿宋_GB2312" w:hAnsi="宋体" w:eastAsia="仿宋_GB2312"/>
          <w:sz w:val="32"/>
          <w:szCs w:val="32"/>
        </w:rPr>
        <w:t>相关</w:t>
      </w:r>
      <w:r>
        <w:rPr>
          <w:rFonts w:hint="eastAsia" w:ascii="仿宋_GB2312" w:hAnsi="宋体" w:eastAsia="仿宋_GB2312"/>
          <w:sz w:val="32"/>
          <w:szCs w:val="32"/>
          <w:lang w:val="en-US" w:eastAsia="zh-CN"/>
        </w:rPr>
        <w:t>文件精神，</w:t>
      </w:r>
      <w:r>
        <w:rPr>
          <w:rFonts w:hint="eastAsia" w:ascii="仿宋_GB2312" w:hAnsi="宋体" w:eastAsia="仿宋_GB2312"/>
          <w:sz w:val="32"/>
          <w:szCs w:val="32"/>
          <w:lang w:eastAsia="zh-CN"/>
        </w:rPr>
        <w:t>按照</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精心谋划，全力推进县级</w:t>
      </w:r>
      <w:r>
        <w:rPr>
          <w:rFonts w:hint="eastAsia" w:ascii="仿宋_GB2312" w:hAnsi="宋体" w:eastAsia="仿宋_GB2312"/>
          <w:sz w:val="32"/>
          <w:szCs w:val="32"/>
        </w:rPr>
        <w:t>融媒体中心建设</w:t>
      </w:r>
      <w:r>
        <w:rPr>
          <w:rFonts w:hint="eastAsia" w:ascii="仿宋_GB2312" w:hAnsi="宋体" w:eastAsia="仿宋_GB2312"/>
          <w:sz w:val="32"/>
          <w:szCs w:val="32"/>
          <w:lang w:val="en-US" w:eastAsia="zh-CN"/>
        </w:rPr>
        <w:t>。</w:t>
      </w:r>
    </w:p>
    <w:p w14:paraId="157B554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shd w:val="clear" w:fill="FFFFFF"/>
          <w:lang w:val="zh-CN" w:eastAsia="zh-CN" w:bidi="ar-SA"/>
        </w:rPr>
        <w:t>3．</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或项目</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w:t>
      </w:r>
    </w:p>
    <w:p w14:paraId="61B8170D">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 xml:space="preserve">    昭化区融媒体中心制定了《昭融媒项目管理办法》，在项目实施过程中，严格按照管理办法支付相关费用，无违法违规行为。</w:t>
      </w:r>
    </w:p>
    <w:p w14:paraId="088C5F17">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shd w:val="clear" w:fill="FFFFFF"/>
          <w:lang w:val="zh-CN" w:eastAsia="zh-CN" w:bidi="ar-SA"/>
        </w:rPr>
        <w:t>4．</w:t>
      </w:r>
      <w:r>
        <w:rPr>
          <w:rFonts w:hint="eastAsia" w:ascii="仿宋_GB2312" w:hAnsi="仿宋_GB2312" w:eastAsia="仿宋_GB2312" w:cs="仿宋_GB2312"/>
          <w:color w:val="auto"/>
          <w:kern w:val="0"/>
          <w:sz w:val="32"/>
          <w:szCs w:val="32"/>
          <w:highlight w:val="none"/>
          <w:u w:val="none"/>
          <w:shd w:val="clear" w:color="auto" w:fill="FFFFFF"/>
          <w:lang w:val="zh-CN"/>
        </w:rPr>
        <w:t>资金分配的原则及考虑因素。</w:t>
      </w:r>
    </w:p>
    <w:p w14:paraId="6D1D0BC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在项目实施过程中，严格按照财经纪律和《中华人民共和国会计法》规定，严格按照《昭融媒项目管理办法》，合理有序支付项目资金，确保年终按照项目进度全额拨款，真正做到财务公开透明守法守规。</w:t>
      </w:r>
    </w:p>
    <w:p w14:paraId="1B97EEC2">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（二）项目绩效目标。</w:t>
      </w:r>
    </w:p>
    <w:p w14:paraId="4853723D">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1．项目主要内容。</w:t>
      </w:r>
    </w:p>
    <w:p w14:paraId="0408D6C7">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2019年，昭化区根据中央、省、市关于县级融媒体中心建设相关文件精神，按照中宣部、国家广播电视总局发布的《县级融媒体中心建设规范》和省委宣传部关于《全面推进县级融媒体中心建设方案》要求，通过构建昭化区融媒体中心，实现更广泛传递党和政府声音，更好引导群众、服务群众。</w:t>
      </w:r>
    </w:p>
    <w:p w14:paraId="1D4DB76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项目应实现的具体绩效目标。</w:t>
      </w:r>
    </w:p>
    <w:p w14:paraId="4F6A282F">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按照区融媒体中心工作职责，保障在职人员与聘用人员的工资保险等福利待遇；保障对机房、摄像机、新闻编辑系统、直播设备、各种专业零配件的更换维护升级；保障门户网站及电子政务外网的运管维护、年度区内主题宣传和《直通县区》栏目联办宣传。</w:t>
      </w:r>
    </w:p>
    <w:p w14:paraId="3703B282">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ascii="仿宋_GB2312" w:hAnsi="仿宋_GB2312" w:eastAsia="仿宋_GB2312" w:cs="仿宋_GB2312"/>
          <w:color w:val="auto"/>
          <w:kern w:val="0"/>
          <w:sz w:val="32"/>
          <w:szCs w:val="32"/>
          <w:highlight w:val="none"/>
          <w:u w:val="none"/>
          <w:shd w:val="clear" w:color="auto" w:fill="FFFFFF"/>
          <w:lang w:val="zh-CN"/>
        </w:rPr>
        <w:t>3．</w:t>
      </w:r>
      <w:r>
        <w:rPr>
          <w:rFonts w:hint="eastAsia" w:eastAsia="仿宋"/>
          <w:sz w:val="32"/>
        </w:rPr>
        <w:t xml:space="preserve">项目资金申报相符性 </w:t>
      </w:r>
    </w:p>
    <w:p w14:paraId="30B2911E">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革命老区转移支付资金-融媒体能力提升</w:t>
      </w:r>
      <w:r>
        <w:rPr>
          <w:rFonts w:hint="eastAsia" w:eastAsia="仿宋"/>
          <w:sz w:val="32"/>
        </w:rPr>
        <w:t>项目申报内容与具体实施内容相符、申报目标合理可行。</w:t>
      </w:r>
    </w:p>
    <w:p w14:paraId="3EEB7618">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（三）项目自评步骤及方法。</w:t>
      </w:r>
    </w:p>
    <w:p w14:paraId="1288E7D6">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区融媒体中心建设项目</w:t>
      </w:r>
      <w:r>
        <w:rPr>
          <w:rFonts w:hint="eastAsia" w:ascii="仿宋_GB2312" w:hAnsi="仿宋_GB2312" w:eastAsia="仿宋_GB2312" w:cs="仿宋_GB2312"/>
          <w:color w:val="auto"/>
          <w:kern w:val="0"/>
          <w:sz w:val="32"/>
          <w:szCs w:val="32"/>
          <w:highlight w:val="none"/>
          <w:u w:val="none"/>
          <w:shd w:val="clear" w:color="auto" w:fill="FFFFFF"/>
          <w:lang w:val="zh-CN" w:eastAsia="zh-CN"/>
        </w:rPr>
        <w:t>依据</w:t>
      </w:r>
      <w:r>
        <w:rPr>
          <w:rFonts w:hint="eastAsia" w:ascii="仿宋_GB2312" w:hAnsi="仿宋_GB2312" w:eastAsia="仿宋_GB2312" w:cs="仿宋_GB2312"/>
          <w:color w:val="auto"/>
          <w:kern w:val="0"/>
          <w:sz w:val="32"/>
          <w:szCs w:val="32"/>
          <w:highlight w:val="none"/>
          <w:u w:val="none"/>
          <w:shd w:val="clear" w:color="auto" w:fill="FFFFFF"/>
          <w:lang w:val="zh-CN"/>
        </w:rPr>
        <w:t>《广元市昭化区人民政府办公室关于印发&lt;广元市 昭化区财政支出事后绩效评价管理办法&gt;的通知》(昭府办函〔2022〕37号)</w:t>
      </w:r>
      <w:r>
        <w:rPr>
          <w:rFonts w:hint="eastAsia" w:ascii="仿宋_GB2312" w:hAnsi="仿宋_GB2312" w:eastAsia="仿宋_GB2312" w:cs="仿宋_GB2312"/>
          <w:color w:val="auto"/>
          <w:kern w:val="0"/>
          <w:sz w:val="32"/>
          <w:szCs w:val="32"/>
          <w:highlight w:val="none"/>
          <w:u w:val="none"/>
          <w:shd w:val="clear" w:color="auto" w:fill="FFFFFF"/>
          <w:lang w:val="zh-CN" w:eastAsia="zh-CN"/>
        </w:rPr>
        <w:t>文件自评且逐项量分。</w:t>
      </w:r>
    </w:p>
    <w:p w14:paraId="75D4BBAB">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二、项目资金申报及使用情况</w:t>
      </w:r>
    </w:p>
    <w:p w14:paraId="1B5B7706">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（一）项目资金申报及批复情况。</w:t>
      </w:r>
    </w:p>
    <w:p w14:paraId="359E5A9F">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广元市昭化区融媒体中心202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年度项目支出名称：</w:t>
      </w:r>
      <w:r>
        <w:rPr>
          <w:rFonts w:hint="eastAsia" w:eastAsia="仿宋"/>
          <w:sz w:val="32"/>
          <w:lang w:val="en-US" w:eastAsia="zh-CN"/>
        </w:rPr>
        <w:t>革命老区转移支付资金-融媒体能力提升项目</w:t>
      </w:r>
      <w:r>
        <w:rPr>
          <w:rFonts w:hint="eastAsia" w:ascii="仿宋_GB2312" w:hAnsi="仿宋_GB2312" w:eastAsia="仿宋_GB2312" w:cs="仿宋_GB2312"/>
          <w:color w:val="auto"/>
          <w:kern w:val="0"/>
          <w:sz w:val="32"/>
          <w:szCs w:val="32"/>
          <w:highlight w:val="none"/>
          <w:u w:val="none"/>
          <w:shd w:val="clear" w:color="auto" w:fill="FFFFFF"/>
          <w:lang w:val="zh-CN"/>
        </w:rPr>
        <w:t>，该项目</w:t>
      </w:r>
      <w:r>
        <w:rPr>
          <w:rFonts w:hint="eastAsia" w:ascii="仿宋_GB2312" w:hAnsi="仿宋_GB2312" w:eastAsia="仿宋_GB2312" w:cs="仿宋_GB2312"/>
          <w:color w:val="auto"/>
          <w:kern w:val="0"/>
          <w:sz w:val="32"/>
          <w:szCs w:val="32"/>
          <w:highlight w:val="none"/>
          <w:u w:val="none"/>
          <w:shd w:val="clear" w:color="auto" w:fill="FFFFFF"/>
          <w:lang w:val="en-US" w:eastAsia="zh-CN"/>
        </w:rPr>
        <w:t>资金申报</w:t>
      </w:r>
      <w:r>
        <w:rPr>
          <w:rFonts w:hint="eastAsia" w:ascii="仿宋_GB2312" w:hAnsi="仿宋_GB2312" w:eastAsia="仿宋_GB2312" w:cs="仿宋_GB2312"/>
          <w:color w:val="auto"/>
          <w:kern w:val="0"/>
          <w:sz w:val="32"/>
          <w:szCs w:val="32"/>
          <w:highlight w:val="none"/>
          <w:u w:val="none"/>
          <w:shd w:val="clear" w:color="auto" w:fill="FFFFFF"/>
          <w:lang w:val="zh-CN"/>
        </w:rPr>
        <w:t>总金额为</w:t>
      </w:r>
      <w:r>
        <w:rPr>
          <w:rFonts w:hint="eastAsia" w:ascii="仿宋_GB2312" w:hAnsi="仿宋_GB2312" w:eastAsia="仿宋_GB2312" w:cs="仿宋_GB2312"/>
          <w:color w:val="auto"/>
          <w:kern w:val="0"/>
          <w:sz w:val="32"/>
          <w:szCs w:val="32"/>
          <w:highlight w:val="none"/>
          <w:u w:val="none"/>
          <w:shd w:val="clear" w:color="auto" w:fill="FFFFFF"/>
          <w:lang w:val="en-US" w:eastAsia="zh-CN"/>
        </w:rPr>
        <w:t>50.0</w:t>
      </w:r>
      <w:r>
        <w:rPr>
          <w:rFonts w:hint="eastAsia" w:ascii="仿宋_GB2312" w:hAnsi="仿宋_GB2312" w:eastAsia="仿宋_GB2312" w:cs="仿宋_GB2312"/>
          <w:color w:val="auto"/>
          <w:kern w:val="0"/>
          <w:sz w:val="32"/>
          <w:szCs w:val="32"/>
          <w:highlight w:val="none"/>
          <w:u w:val="none"/>
          <w:shd w:val="clear" w:color="auto" w:fill="FFFFFF"/>
          <w:lang w:val="zh-CN"/>
        </w:rPr>
        <w:t>5万元，</w:t>
      </w:r>
      <w:r>
        <w:rPr>
          <w:rFonts w:hint="eastAsia" w:ascii="仿宋_GB2312" w:hAnsi="仿宋_GB2312" w:eastAsia="仿宋_GB2312" w:cs="仿宋_GB2312"/>
          <w:color w:val="auto"/>
          <w:kern w:val="0"/>
          <w:sz w:val="32"/>
          <w:szCs w:val="32"/>
          <w:highlight w:val="none"/>
          <w:u w:val="none"/>
          <w:shd w:val="clear" w:color="auto" w:fill="FFFFFF"/>
          <w:lang w:val="en-US" w:eastAsia="zh-CN"/>
        </w:rPr>
        <w:t>其中省财政拨款额度为50.05万元，2022年区财政拨款金额为36.08万元。</w:t>
      </w:r>
    </w:p>
    <w:p w14:paraId="4C08C582">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（二）资金计划、到位及使用情况（可用表格形式反映）。</w:t>
      </w:r>
    </w:p>
    <w:p w14:paraId="4287EC46">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1．资金计划。</w:t>
      </w:r>
    </w:p>
    <w:p w14:paraId="74E6EFDA">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为省级专项资金，无其他资金来源。2022</w:t>
      </w:r>
      <w:r>
        <w:rPr>
          <w:rFonts w:hint="eastAsia" w:eastAsia="仿宋"/>
          <w:sz w:val="32"/>
        </w:rPr>
        <w:t>年初</w:t>
      </w:r>
      <w:r>
        <w:rPr>
          <w:rFonts w:hint="eastAsia" w:eastAsia="仿宋"/>
          <w:sz w:val="32"/>
          <w:lang w:val="en-US" w:eastAsia="zh-CN"/>
        </w:rPr>
        <w:t>财政</w:t>
      </w:r>
      <w:r>
        <w:rPr>
          <w:rFonts w:hint="eastAsia" w:eastAsia="仿宋"/>
          <w:sz w:val="32"/>
        </w:rPr>
        <w:t>预算资金为</w:t>
      </w:r>
      <w:r>
        <w:rPr>
          <w:rFonts w:hint="eastAsia" w:eastAsia="仿宋"/>
          <w:sz w:val="32"/>
          <w:lang w:val="en-US" w:eastAsia="zh-CN"/>
        </w:rPr>
        <w:t>50.05</w:t>
      </w:r>
      <w:r>
        <w:rPr>
          <w:rFonts w:hint="eastAsia" w:eastAsia="仿宋"/>
          <w:sz w:val="32"/>
        </w:rPr>
        <w:t>万元。</w:t>
      </w:r>
    </w:p>
    <w:p w14:paraId="44F9F2C2">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资金到位。</w:t>
      </w:r>
    </w:p>
    <w:p w14:paraId="3B7EA78F">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eastAsia="仿宋"/>
          <w:sz w:val="32"/>
          <w:lang w:val="en-US" w:eastAsia="zh-CN"/>
        </w:rPr>
      </w:pPr>
      <w:r>
        <w:rPr>
          <w:rFonts w:hint="eastAsia" w:eastAsia="仿宋"/>
          <w:sz w:val="32"/>
        </w:rPr>
        <w:t>该项目</w:t>
      </w:r>
      <w:r>
        <w:rPr>
          <w:rFonts w:hint="eastAsia" w:eastAsia="仿宋"/>
          <w:sz w:val="32"/>
          <w:lang w:val="en-US" w:eastAsia="zh-CN"/>
        </w:rPr>
        <w:t>为省级专项资金，无其他资金来源。2022</w:t>
      </w:r>
      <w:r>
        <w:rPr>
          <w:rFonts w:hint="eastAsia" w:eastAsia="仿宋"/>
          <w:sz w:val="32"/>
        </w:rPr>
        <w:t>年初</w:t>
      </w:r>
      <w:r>
        <w:rPr>
          <w:rFonts w:hint="eastAsia" w:eastAsia="仿宋"/>
          <w:sz w:val="32"/>
          <w:lang w:val="en-US" w:eastAsia="zh-CN"/>
        </w:rPr>
        <w:t>财政</w:t>
      </w:r>
      <w:r>
        <w:rPr>
          <w:rFonts w:hint="eastAsia" w:eastAsia="仿宋"/>
          <w:sz w:val="32"/>
        </w:rPr>
        <w:t>预算资金为</w:t>
      </w:r>
      <w:r>
        <w:rPr>
          <w:rFonts w:hint="eastAsia" w:eastAsia="仿宋"/>
          <w:sz w:val="32"/>
          <w:lang w:val="en-US" w:eastAsia="zh-CN"/>
        </w:rPr>
        <w:t>50.05</w:t>
      </w:r>
      <w:r>
        <w:rPr>
          <w:rFonts w:hint="eastAsia" w:eastAsia="仿宋"/>
          <w:sz w:val="32"/>
        </w:rPr>
        <w:t>万元</w:t>
      </w:r>
      <w:r>
        <w:rPr>
          <w:rFonts w:hint="eastAsia" w:eastAsia="仿宋"/>
          <w:sz w:val="32"/>
          <w:lang w:eastAsia="zh-CN"/>
        </w:rPr>
        <w:t>，</w:t>
      </w:r>
      <w:r>
        <w:rPr>
          <w:rFonts w:hint="eastAsia" w:eastAsia="仿宋"/>
          <w:sz w:val="32"/>
          <w:lang w:val="en-US" w:eastAsia="zh-CN"/>
        </w:rPr>
        <w:t>2022年终实际财政拨款资金为36.08万元。</w:t>
      </w:r>
    </w:p>
    <w:p w14:paraId="460FDEF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left="0" w:leftChars="0"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shd w:val="clear" w:fill="FFFFFF"/>
          <w:lang w:val="zh-CN" w:eastAsia="zh-CN" w:bidi="ar-SA"/>
        </w:rPr>
        <w:t>5．</w:t>
      </w:r>
      <w:r>
        <w:rPr>
          <w:rFonts w:hint="eastAsia" w:ascii="仿宋_GB2312" w:hAnsi="仿宋_GB2312" w:eastAsia="仿宋_GB2312" w:cs="仿宋_GB2312"/>
          <w:color w:val="auto"/>
          <w:kern w:val="0"/>
          <w:sz w:val="32"/>
          <w:szCs w:val="32"/>
          <w:highlight w:val="none"/>
          <w:u w:val="none"/>
          <w:shd w:val="clear" w:color="auto" w:fill="FFFFFF"/>
          <w:lang w:val="zh-CN"/>
        </w:rPr>
        <w:t>资金使用。</w:t>
      </w:r>
    </w:p>
    <w:p w14:paraId="20F4CA90">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rPr>
        <w:t>截止评价时，该项目</w:t>
      </w:r>
      <w:r>
        <w:rPr>
          <w:rFonts w:hint="eastAsia" w:eastAsia="仿宋"/>
          <w:sz w:val="32"/>
          <w:lang w:val="en-US" w:eastAsia="zh-CN"/>
        </w:rPr>
        <w:t>财政拨款资金36.08万元，</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支付</w:t>
      </w:r>
      <w:r>
        <w:rPr>
          <w:rFonts w:hint="eastAsia" w:eastAsia="仿宋"/>
          <w:sz w:val="32"/>
        </w:rPr>
        <w:t>依规合法</w:t>
      </w:r>
      <w:r>
        <w:rPr>
          <w:rFonts w:hint="eastAsia" w:eastAsia="仿宋"/>
          <w:sz w:val="32"/>
          <w:lang w:eastAsia="zh-CN"/>
        </w:rPr>
        <w:t>、</w:t>
      </w:r>
      <w:r>
        <w:rPr>
          <w:rFonts w:hint="eastAsia" w:ascii="仿宋_GB2312" w:hAnsi="仿宋_GB2312" w:eastAsia="仿宋_GB2312" w:cs="仿宋_GB2312"/>
          <w:color w:val="auto"/>
          <w:kern w:val="0"/>
          <w:sz w:val="32"/>
          <w:szCs w:val="32"/>
          <w:highlight w:val="none"/>
          <w:u w:val="none"/>
          <w:shd w:val="clear" w:color="auto" w:fill="FFFFFF"/>
          <w:lang w:val="zh-CN"/>
        </w:rPr>
        <w:t>安全规范有效，</w:t>
      </w:r>
      <w:r>
        <w:rPr>
          <w:rFonts w:hint="eastAsia" w:eastAsia="仿宋"/>
          <w:sz w:val="32"/>
        </w:rPr>
        <w:t>资金支付</w:t>
      </w:r>
      <w:r>
        <w:rPr>
          <w:rFonts w:hint="eastAsia" w:ascii="仿宋_GB2312" w:hAnsi="仿宋_GB2312" w:eastAsia="仿宋_GB2312" w:cs="仿宋_GB2312"/>
          <w:color w:val="auto"/>
          <w:kern w:val="0"/>
          <w:sz w:val="32"/>
          <w:szCs w:val="32"/>
          <w:highlight w:val="none"/>
          <w:u w:val="none"/>
          <w:shd w:val="clear" w:color="auto" w:fill="FFFFFF"/>
          <w:lang w:val="zh-CN"/>
        </w:rPr>
        <w:t>与预算相符，</w:t>
      </w:r>
      <w:r>
        <w:rPr>
          <w:rFonts w:hint="eastAsia" w:ascii="仿宋_GB2312" w:hAnsi="仿宋_GB2312" w:eastAsia="仿宋_GB2312" w:cs="仿宋_GB2312"/>
          <w:color w:val="auto"/>
          <w:kern w:val="0"/>
          <w:sz w:val="32"/>
          <w:szCs w:val="32"/>
          <w:highlight w:val="none"/>
          <w:u w:val="none"/>
          <w:shd w:val="clear" w:color="auto" w:fill="FFFFFF"/>
          <w:lang w:val="en-US" w:eastAsia="zh-CN"/>
        </w:rPr>
        <w:t>无违规违纪行为</w:t>
      </w:r>
      <w:r>
        <w:rPr>
          <w:rFonts w:hint="eastAsia" w:ascii="仿宋_GB2312" w:hAnsi="仿宋_GB2312" w:eastAsia="仿宋_GB2312" w:cs="仿宋_GB2312"/>
          <w:color w:val="auto"/>
          <w:kern w:val="0"/>
          <w:sz w:val="32"/>
          <w:szCs w:val="32"/>
          <w:highlight w:val="none"/>
          <w:u w:val="none"/>
          <w:shd w:val="clear" w:color="auto" w:fill="FFFFFF"/>
          <w:lang w:val="zh-CN"/>
        </w:rPr>
        <w:t>。</w:t>
      </w:r>
    </w:p>
    <w:p w14:paraId="1B00CEE6">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（三）项目财务管理情况。</w:t>
      </w:r>
    </w:p>
    <w:p w14:paraId="235B74B1">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在财务管理中，严格按照财务管理制度</w:t>
      </w:r>
      <w:r>
        <w:rPr>
          <w:rFonts w:hint="eastAsia" w:eastAsia="仿宋"/>
          <w:sz w:val="32"/>
          <w:lang w:val="en-US" w:eastAsia="zh-CN"/>
        </w:rPr>
        <w:t>支</w:t>
      </w:r>
      <w:r>
        <w:rPr>
          <w:rFonts w:hint="eastAsia" w:eastAsia="仿宋"/>
          <w:sz w:val="32"/>
        </w:rPr>
        <w:t>付项目资金，真正做到了财务公开透明守法守规。</w:t>
      </w:r>
    </w:p>
    <w:p w14:paraId="0DCD139A">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三、项目实施及管理情况</w:t>
      </w:r>
    </w:p>
    <w:p w14:paraId="5C24623C">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（一）项目组织架构及实施流程。</w:t>
      </w:r>
    </w:p>
    <w:p w14:paraId="12BB8222">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宋体" w:eastAsia="仿宋_GB2312"/>
          <w:sz w:val="32"/>
          <w:szCs w:val="32"/>
          <w:lang w:val="en-US" w:eastAsia="zh-CN"/>
        </w:rPr>
      </w:pPr>
      <w:r>
        <w:rPr>
          <w:rFonts w:hint="eastAsia" w:eastAsia="仿宋"/>
          <w:sz w:val="32"/>
        </w:rPr>
        <w:t>我中心高度重视该项目工作，成立了以中心主任为组长，分管领导为副组长，</w:t>
      </w:r>
      <w:r>
        <w:rPr>
          <w:rFonts w:hint="eastAsia" w:eastAsia="仿宋"/>
          <w:sz w:val="32"/>
          <w:lang w:val="en-US" w:eastAsia="zh-CN"/>
        </w:rPr>
        <w:t>项目管理员及</w:t>
      </w:r>
      <w:r>
        <w:rPr>
          <w:rFonts w:hint="eastAsia" w:eastAsia="仿宋"/>
          <w:sz w:val="32"/>
        </w:rPr>
        <w:t>两名财务人员为组员的项目实施小组</w:t>
      </w:r>
      <w:r>
        <w:rPr>
          <w:rFonts w:hint="eastAsia" w:eastAsia="仿宋"/>
          <w:sz w:val="32"/>
          <w:lang w:eastAsia="zh-CN"/>
        </w:rPr>
        <w:t>。</w:t>
      </w:r>
      <w:r>
        <w:rPr>
          <w:rFonts w:hint="eastAsia" w:eastAsia="仿宋"/>
          <w:sz w:val="32"/>
          <w:lang w:val="en-US" w:eastAsia="zh-CN"/>
        </w:rPr>
        <w:t>项目流程根据</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按照建设目标步骤实施。</w:t>
      </w:r>
    </w:p>
    <w:p w14:paraId="5D3C5003">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00" w:lineRule="exact"/>
        <w:ind w:firstLine="643" w:firstLineChars="200"/>
        <w:textAlignment w:val="baseline"/>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项目管理情况。</w:t>
      </w:r>
    </w:p>
    <w:p w14:paraId="186E6D8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项目管理员及</w:t>
      </w:r>
      <w:r>
        <w:rPr>
          <w:rFonts w:hint="eastAsia" w:eastAsia="仿宋"/>
          <w:sz w:val="32"/>
        </w:rPr>
        <w:t>两名财务人员</w:t>
      </w:r>
      <w:r>
        <w:rPr>
          <w:rFonts w:hint="eastAsia" w:eastAsia="仿宋"/>
          <w:sz w:val="32"/>
          <w:lang w:val="en-US" w:eastAsia="zh-CN"/>
        </w:rPr>
        <w:t>严格</w:t>
      </w:r>
      <w:r>
        <w:rPr>
          <w:rFonts w:hint="eastAsia" w:ascii="仿宋_GB2312" w:hAnsi="仿宋_GB2312" w:eastAsia="仿宋_GB2312" w:cs="仿宋_GB2312"/>
          <w:color w:val="auto"/>
          <w:kern w:val="0"/>
          <w:sz w:val="32"/>
          <w:szCs w:val="32"/>
          <w:highlight w:val="none"/>
          <w:u w:val="none"/>
          <w:shd w:val="clear" w:color="auto" w:fill="FFFFFF"/>
          <w:lang w:val="zh-CN"/>
        </w:rPr>
        <w:t>执行相关法律法规</w:t>
      </w:r>
      <w:r>
        <w:rPr>
          <w:rFonts w:hint="eastAsia" w:ascii="仿宋_GB2312" w:hAnsi="仿宋_GB2312" w:cs="仿宋_GB2312"/>
          <w:color w:val="auto"/>
          <w:kern w:val="0"/>
          <w:sz w:val="32"/>
          <w:szCs w:val="32"/>
          <w:highlight w:val="none"/>
          <w:u w:val="none"/>
          <w:shd w:val="clear" w:color="auto" w:fill="FFFFFF"/>
          <w:lang w:val="zh-CN"/>
        </w:rPr>
        <w:t>、</w:t>
      </w:r>
      <w:r>
        <w:rPr>
          <w:rFonts w:hint="eastAsia" w:ascii="仿宋_GB2312" w:hAnsi="仿宋_GB2312" w:eastAsia="仿宋_GB2312" w:cs="仿宋_GB2312"/>
          <w:color w:val="auto"/>
          <w:kern w:val="0"/>
          <w:sz w:val="32"/>
          <w:szCs w:val="32"/>
          <w:highlight w:val="none"/>
          <w:u w:val="none"/>
          <w:shd w:val="clear" w:color="auto" w:fill="FFFFFF"/>
          <w:lang w:val="zh-CN"/>
        </w:rPr>
        <w:t>项目管理制度</w:t>
      </w:r>
      <w:r>
        <w:rPr>
          <w:rFonts w:hint="eastAsia" w:eastAsia="仿宋"/>
          <w:sz w:val="32"/>
        </w:rPr>
        <w:t>，依法守规，合理管控开支，按照年初预算计划，做到申请、审核、支付依规合法，全力促进新闻宣传工作每月</w:t>
      </w:r>
      <w:r>
        <w:rPr>
          <w:rFonts w:hint="eastAsia" w:eastAsia="仿宋"/>
          <w:sz w:val="32"/>
          <w:lang w:val="en-US" w:eastAsia="zh-CN"/>
        </w:rPr>
        <w:t>出</w:t>
      </w:r>
      <w:r>
        <w:rPr>
          <w:rFonts w:hint="eastAsia" w:eastAsia="仿宋"/>
          <w:sz w:val="32"/>
        </w:rPr>
        <w:t>亮点。</w:t>
      </w:r>
    </w:p>
    <w:p w14:paraId="755C081E">
      <w:pPr>
        <w:keepNext w:val="0"/>
        <w:keepLines w:val="0"/>
        <w:pageBreakBefore w:val="0"/>
        <w:numPr>
          <w:ilvl w:val="0"/>
          <w:numId w:val="9"/>
        </w:numPr>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项目监管情况。</w:t>
      </w:r>
    </w:p>
    <w:p w14:paraId="3BF0AD55">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项目监管过程中，我中心项目管理员日常跟踪紧盯项目管理，做到了严格管理施工，作业可控有度，目标完成有效。</w:t>
      </w:r>
    </w:p>
    <w:p w14:paraId="734DB2B8">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四、项目绩效情况</w:t>
      </w:r>
      <w:r>
        <w:rPr>
          <w:rFonts w:hint="eastAsia" w:ascii="仿宋_GB2312" w:hAnsi="宋体"/>
          <w:color w:val="auto"/>
          <w:sz w:val="32"/>
          <w:szCs w:val="32"/>
          <w:highlight w:val="none"/>
          <w:u w:val="none"/>
          <w:lang w:val="zh-CN"/>
        </w:rPr>
        <w:tab/>
      </w:r>
    </w:p>
    <w:p w14:paraId="251A519C">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（一）项目完成情况。</w:t>
      </w:r>
    </w:p>
    <w:p w14:paraId="454BE787">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按照区融媒体中心工作职责，保障对机房、摄像机、新闻编辑系统、直播设备、各种专业零配件的更换维护升级均不少于1次；保障门户网站及电子政务外网的运管维护均不少于1次；全力开展年度区内主题宣传上稿6600余条和《直通县区》栏目联办宣传。</w:t>
      </w:r>
    </w:p>
    <w:p w14:paraId="42A332AD">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（二）项目效益情况。</w:t>
      </w:r>
    </w:p>
    <w:p w14:paraId="373699D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default" w:eastAsia="仿宋"/>
          <w:sz w:val="32"/>
          <w:lang w:val="en-US" w:eastAsia="zh-CN"/>
        </w:rPr>
      </w:pPr>
      <w:r>
        <w:rPr>
          <w:rFonts w:hint="eastAsia" w:eastAsia="仿宋"/>
          <w:sz w:val="32"/>
        </w:rPr>
        <w:t>该项目实施后，全区经济社会在内外新闻宣传下，进一步树立全区良好形象，助推全区经济社会发展大好形势；在区融媒体中心全媒体平台可持续影响下，受益群体越来越多，群众满意度达全区覆盖面积的9</w:t>
      </w:r>
      <w:r>
        <w:rPr>
          <w:rFonts w:hint="eastAsia" w:eastAsia="仿宋"/>
          <w:sz w:val="32"/>
          <w:lang w:val="en-US" w:eastAsia="zh-CN"/>
        </w:rPr>
        <w:t>5</w:t>
      </w:r>
      <w:r>
        <w:rPr>
          <w:rFonts w:hint="eastAsia" w:eastAsia="仿宋"/>
          <w:sz w:val="32"/>
        </w:rPr>
        <w:t>%</w:t>
      </w:r>
      <w:r>
        <w:rPr>
          <w:rFonts w:hint="eastAsia" w:eastAsia="仿宋"/>
          <w:sz w:val="32"/>
          <w:lang w:val="en-US" w:eastAsia="zh-CN"/>
        </w:rPr>
        <w:t>以上</w:t>
      </w:r>
      <w:r>
        <w:rPr>
          <w:rFonts w:hint="eastAsia" w:eastAsia="仿宋"/>
          <w:sz w:val="32"/>
        </w:rPr>
        <w:t>，</w:t>
      </w:r>
      <w:r>
        <w:rPr>
          <w:rFonts w:hint="eastAsia" w:eastAsia="仿宋"/>
          <w:sz w:val="32"/>
          <w:lang w:val="en-US" w:eastAsia="zh-CN"/>
        </w:rPr>
        <w:t>新媒体平台推广率稳步上升。</w:t>
      </w:r>
    </w:p>
    <w:p w14:paraId="2896C51C">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五、评价结论及建议</w:t>
      </w:r>
    </w:p>
    <w:p w14:paraId="5106F9A1">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（一）评价结论。</w:t>
      </w:r>
    </w:p>
    <w:p w14:paraId="45FF4B19">
      <w:pPr>
        <w:pStyle w:val="5"/>
        <w:ind w:firstLine="640" w:firstLineChars="200"/>
        <w:rPr>
          <w:rFonts w:hint="eastAsia"/>
          <w:sz w:val="32"/>
          <w:szCs w:val="32"/>
          <w:lang w:val="zh-CN" w:eastAsia="zh-CN"/>
        </w:rPr>
      </w:pPr>
      <w:r>
        <w:rPr>
          <w:rFonts w:hint="eastAsia"/>
          <w:sz w:val="32"/>
          <w:szCs w:val="32"/>
          <w:lang w:val="zh-CN" w:eastAsia="zh-CN"/>
        </w:rPr>
        <w:t>我单位按照《广元市昭化区人民政府办公室关于印发&lt;广元市昭化区财政预算绩效管理实施细则&gt;的通知》(昭府办函[2018]118号)绩效评价指标体系开展绩效评价。自评得分为9</w:t>
      </w:r>
      <w:r>
        <w:rPr>
          <w:rFonts w:hint="eastAsia"/>
          <w:sz w:val="32"/>
          <w:szCs w:val="32"/>
          <w:lang w:val="en-US" w:eastAsia="zh-CN"/>
        </w:rPr>
        <w:t>2</w:t>
      </w:r>
      <w:r>
        <w:rPr>
          <w:rFonts w:hint="eastAsia"/>
          <w:sz w:val="32"/>
          <w:szCs w:val="32"/>
          <w:lang w:val="zh-CN" w:eastAsia="zh-CN"/>
        </w:rPr>
        <w:t>分，</w:t>
      </w:r>
      <w:r>
        <w:rPr>
          <w:rFonts w:hint="eastAsia"/>
          <w:sz w:val="32"/>
          <w:szCs w:val="32"/>
          <w:lang w:val="en-US" w:eastAsia="zh-CN"/>
        </w:rPr>
        <w:t>结论为优</w:t>
      </w:r>
      <w:r>
        <w:rPr>
          <w:rFonts w:hint="eastAsia"/>
          <w:sz w:val="32"/>
          <w:szCs w:val="32"/>
          <w:lang w:val="zh-CN" w:eastAsia="zh-CN"/>
        </w:rPr>
        <w:t>。</w:t>
      </w:r>
    </w:p>
    <w:p w14:paraId="78A796A1">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（二）存在的问题。</w:t>
      </w:r>
    </w:p>
    <w:p w14:paraId="2597DABC">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单位内控和绩效目标意识有待继续提升。</w:t>
      </w:r>
    </w:p>
    <w:p w14:paraId="663FB504">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（三）相关建议。</w:t>
      </w:r>
    </w:p>
    <w:p w14:paraId="2F1CF202">
      <w:pPr>
        <w:pStyle w:val="5"/>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rPr>
        <w:t>严格按《行政单位财务规则》和《行政单位会计制度》的规定准确核算财务收支、编制财务报表，同时加强资产管理，定期和不定期盘点资产，以保证资产账实相符、账表相符。</w:t>
      </w:r>
    </w:p>
    <w:tbl>
      <w:tblPr>
        <w:tblStyle w:val="16"/>
        <w:tblW w:w="9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4"/>
        <w:gridCol w:w="757"/>
        <w:gridCol w:w="760"/>
        <w:gridCol w:w="760"/>
        <w:gridCol w:w="745"/>
        <w:gridCol w:w="880"/>
        <w:gridCol w:w="751"/>
        <w:gridCol w:w="786"/>
        <w:gridCol w:w="750"/>
        <w:gridCol w:w="745"/>
        <w:gridCol w:w="1452"/>
      </w:tblGrid>
      <w:tr w14:paraId="0075F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914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AE66ECB">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30A17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71B9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62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3124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51081122T000006806505-革命老区转移支付资金-融媒体能力提升</w:t>
            </w:r>
          </w:p>
        </w:tc>
      </w:tr>
      <w:tr w14:paraId="42EAE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trPr>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94C2E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8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C29C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广元市昭化区融媒体中心部门</w:t>
            </w:r>
          </w:p>
        </w:tc>
        <w:tc>
          <w:tcPr>
            <w:tcW w:w="786" w:type="dxa"/>
            <w:tcBorders>
              <w:top w:val="nil"/>
              <w:left w:val="nil"/>
              <w:bottom w:val="nil"/>
              <w:right w:val="nil"/>
            </w:tcBorders>
            <w:shd w:val="clear" w:color="auto" w:fill="auto"/>
            <w:vAlign w:val="center"/>
          </w:tcPr>
          <w:p w14:paraId="3C2D1AC3">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9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118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广元市昭化区融媒体中心</w:t>
            </w:r>
          </w:p>
        </w:tc>
      </w:tr>
      <w:tr w14:paraId="7CA30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D94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457D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8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2CDF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7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58E82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411A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3EB69">
            <w:pPr>
              <w:rPr>
                <w:rFonts w:hint="eastAsia" w:ascii="宋体" w:hAnsi="宋体" w:eastAsia="宋体" w:cs="宋体"/>
                <w:i w:val="0"/>
                <w:iCs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F1BD3">
            <w:pPr>
              <w:rPr>
                <w:rFonts w:hint="eastAsia" w:ascii="宋体" w:hAnsi="宋体" w:eastAsia="宋体" w:cs="宋体"/>
                <w:i w:val="0"/>
                <w:iCs w:val="0"/>
                <w:color w:val="000000"/>
                <w:sz w:val="18"/>
                <w:szCs w:val="18"/>
                <w:u w:val="none"/>
              </w:rPr>
            </w:pPr>
          </w:p>
        </w:tc>
        <w:tc>
          <w:tcPr>
            <w:tcW w:w="38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C1CCC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区融媒体中心工作职责，保障在职人员与聘用人员的工资保险等福利待遇；保障对机房、摄像机、新闻编辑系统、直播设备、各种专业零配件的更换维护升级；保障门户网站及电子政务外网的运管维护、年度区内主题宣传和《直通县区》栏目联办宣传。</w:t>
            </w:r>
          </w:p>
        </w:tc>
        <w:tc>
          <w:tcPr>
            <w:tcW w:w="37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7E07B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区融媒体中心工作职责，保障对机房、摄像机、新闻编辑系统、直播设备、各种专业零配件的更换维护升级均不少于1次；保障门户网站及电子政务外网的运管维护均不少于1次；全力开展年度区内主题宣传上稿6600余条和《直通县区》栏目联办宣传。</w:t>
            </w:r>
          </w:p>
        </w:tc>
      </w:tr>
      <w:tr w14:paraId="6050C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A46D0">
            <w:pP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F5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62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44955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昭化区融媒体中心根据单位实际情况制定年初部门预算绩效目标，保障对机房、摄像机、新闻编辑系统、直播设备、各种专业零配件的更换维护升级均不少于1次；保障门户网站及电子政务外网的运管维护均不少于1次；全力开展年度区内主题宣传上稿6600余条和《直通县区》栏目联办宣传。2022年全年支出36.08万元，支付过程及时有力，控制有度，结余资金13.97万元，完成年初预算的72.08%，无低效无效率资金使用情况，无违规记录，实现了年初制定的绩效目标。</w:t>
            </w:r>
          </w:p>
        </w:tc>
      </w:tr>
      <w:tr w14:paraId="5F065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404A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19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66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56A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7684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5F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01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CD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C4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A19B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0206D">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A6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1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C0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01BB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36.08</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D6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72.08%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B8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DB90">
            <w:pPr>
              <w:jc w:val="center"/>
              <w:rPr>
                <w:rFonts w:hint="eastAsia" w:ascii="宋体" w:hAnsi="宋体" w:eastAsia="宋体" w:cs="宋体"/>
                <w:i w:val="0"/>
                <w:iCs w:val="0"/>
                <w:color w:val="000000"/>
                <w:sz w:val="18"/>
                <w:szCs w:val="18"/>
                <w:u w:val="none"/>
              </w:rPr>
            </w:pPr>
          </w:p>
        </w:tc>
        <w:tc>
          <w:tcPr>
            <w:tcW w:w="14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54C857">
            <w:pPr>
              <w:keepNext w:val="0"/>
              <w:keepLines w:val="0"/>
              <w:widowControl/>
              <w:suppressLineNumbers w:val="0"/>
              <w:jc w:val="left"/>
              <w:textAlignment w:val="center"/>
              <w:rPr>
                <w:rFonts w:hint="eastAsia" w:ascii="黑体" w:hAnsi="黑体" w:eastAsia="黑体" w:cs="黑体"/>
                <w:i/>
                <w:iCs/>
                <w:color w:val="000000"/>
                <w:sz w:val="18"/>
                <w:szCs w:val="18"/>
                <w:u w:val="none"/>
              </w:rPr>
            </w:pPr>
          </w:p>
        </w:tc>
      </w:tr>
      <w:tr w14:paraId="77E83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98C0F">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12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C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07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CC53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36.08</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AB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72.08%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F2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94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F2EF8">
            <w:pPr>
              <w:rPr>
                <w:rFonts w:hint="eastAsia" w:ascii="黑体" w:hAnsi="黑体" w:eastAsia="黑体" w:cs="黑体"/>
                <w:i/>
                <w:iCs/>
                <w:color w:val="000000"/>
                <w:sz w:val="18"/>
                <w:szCs w:val="18"/>
                <w:u w:val="none"/>
              </w:rPr>
            </w:pPr>
          </w:p>
        </w:tc>
      </w:tr>
      <w:tr w14:paraId="27BD6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8A8B1">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3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9A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7A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E87E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EB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57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A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DAE56">
            <w:pPr>
              <w:rPr>
                <w:rFonts w:hint="eastAsia" w:ascii="黑体" w:hAnsi="黑体" w:eastAsia="黑体" w:cs="黑体"/>
                <w:i/>
                <w:iCs/>
                <w:color w:val="000000"/>
                <w:sz w:val="18"/>
                <w:szCs w:val="18"/>
                <w:u w:val="none"/>
              </w:rPr>
            </w:pPr>
          </w:p>
        </w:tc>
      </w:tr>
      <w:tr w14:paraId="6A8AE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EC313">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89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FE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60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4607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46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95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91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31FFD">
            <w:pPr>
              <w:rPr>
                <w:rFonts w:hint="eastAsia" w:ascii="黑体" w:hAnsi="黑体" w:eastAsia="黑体" w:cs="黑体"/>
                <w:i/>
                <w:iCs/>
                <w:color w:val="000000"/>
                <w:sz w:val="18"/>
                <w:szCs w:val="18"/>
                <w:u w:val="none"/>
              </w:rPr>
            </w:pPr>
          </w:p>
        </w:tc>
      </w:tr>
      <w:tr w14:paraId="4CD30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80D98">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6D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860D">
            <w:pPr>
              <w:jc w:val="center"/>
              <w:rPr>
                <w:rFonts w:hint="eastAsia" w:ascii="微软雅黑" w:hAnsi="微软雅黑" w:eastAsia="微软雅黑" w:cs="微软雅黑"/>
                <w:i/>
                <w:iCs/>
                <w:color w:val="000000"/>
                <w:sz w:val="16"/>
                <w:szCs w:val="16"/>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FC84">
            <w:pPr>
              <w:jc w:val="center"/>
              <w:rPr>
                <w:rFonts w:hint="eastAsia" w:ascii="微软雅黑" w:hAnsi="微软雅黑" w:eastAsia="微软雅黑" w:cs="微软雅黑"/>
                <w:i/>
                <w:iCs/>
                <w:color w:val="000000"/>
                <w:sz w:val="16"/>
                <w:szCs w:val="16"/>
                <w:u w:val="none"/>
              </w:rPr>
            </w:pP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95F1DC">
            <w:pPr>
              <w:jc w:val="center"/>
              <w:rPr>
                <w:rFonts w:hint="eastAsia" w:ascii="微软雅黑" w:hAnsi="微软雅黑" w:eastAsia="微软雅黑" w:cs="微软雅黑"/>
                <w:i/>
                <w:iCs/>
                <w:color w:val="000000"/>
                <w:sz w:val="16"/>
                <w:szCs w:val="16"/>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CDB4">
            <w:pPr>
              <w:jc w:val="center"/>
              <w:rPr>
                <w:rFonts w:hint="eastAsia" w:ascii="微软雅黑" w:hAnsi="微软雅黑" w:eastAsia="微软雅黑" w:cs="微软雅黑"/>
                <w:i/>
                <w:iCs/>
                <w:color w:val="000000"/>
                <w:sz w:val="16"/>
                <w:szCs w:val="16"/>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64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E9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F710C">
            <w:pPr>
              <w:rPr>
                <w:rFonts w:hint="eastAsia" w:ascii="黑体" w:hAnsi="黑体" w:eastAsia="黑体" w:cs="黑体"/>
                <w:i/>
                <w:iCs/>
                <w:color w:val="000000"/>
                <w:sz w:val="18"/>
                <w:szCs w:val="18"/>
                <w:u w:val="none"/>
              </w:rPr>
            </w:pPr>
          </w:p>
        </w:tc>
      </w:tr>
      <w:tr w14:paraId="6CF09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6E6B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19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36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47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75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67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BD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7D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AB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D8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57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5E13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681BE">
            <w:pPr>
              <w:jc w:val="center"/>
              <w:rPr>
                <w:rFonts w:hint="eastAsia" w:ascii="宋体" w:hAnsi="宋体" w:eastAsia="宋体" w:cs="宋体"/>
                <w:i w:val="0"/>
                <w:iCs w:val="0"/>
                <w:color w:val="000000"/>
                <w:sz w:val="18"/>
                <w:szCs w:val="18"/>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C26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B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88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设备维护次数</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0548">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16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≥1次/年</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FCE6">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AD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BB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C8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E76E">
            <w:pPr>
              <w:jc w:val="center"/>
              <w:rPr>
                <w:rFonts w:hint="eastAsia" w:ascii="宋体" w:hAnsi="宋体" w:eastAsia="宋体" w:cs="宋体"/>
                <w:i w:val="0"/>
                <w:iCs w:val="0"/>
                <w:color w:val="000000"/>
                <w:sz w:val="18"/>
                <w:szCs w:val="18"/>
                <w:u w:val="none"/>
              </w:rPr>
            </w:pPr>
          </w:p>
        </w:tc>
      </w:tr>
      <w:tr w14:paraId="09828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C0FBE">
            <w:pPr>
              <w:jc w:val="center"/>
              <w:rPr>
                <w:rFonts w:hint="eastAsia" w:ascii="宋体" w:hAnsi="宋体" w:eastAsia="宋体" w:cs="宋体"/>
                <w:i w:val="0"/>
                <w:iCs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211D5">
            <w:pPr>
              <w:jc w:val="center"/>
              <w:rPr>
                <w:rFonts w:hint="eastAsia" w:ascii="宋体" w:hAnsi="宋体" w:eastAsia="宋体" w:cs="宋体"/>
                <w:i w:val="0"/>
                <w:iCs w:val="0"/>
                <w:color w:val="000000"/>
                <w:sz w:val="18"/>
                <w:szCs w:val="18"/>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B5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F0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设备维护合格率</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0DF3">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7A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8466">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A6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F6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7D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427B">
            <w:pPr>
              <w:jc w:val="center"/>
              <w:rPr>
                <w:rFonts w:hint="eastAsia" w:ascii="宋体" w:hAnsi="宋体" w:eastAsia="宋体" w:cs="宋体"/>
                <w:i w:val="0"/>
                <w:iCs w:val="0"/>
                <w:color w:val="000000"/>
                <w:sz w:val="18"/>
                <w:szCs w:val="18"/>
                <w:u w:val="none"/>
              </w:rPr>
            </w:pPr>
          </w:p>
        </w:tc>
      </w:tr>
      <w:tr w14:paraId="71580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C9EB7">
            <w:pPr>
              <w:jc w:val="center"/>
              <w:rPr>
                <w:rFonts w:hint="eastAsia" w:ascii="宋体" w:hAnsi="宋体" w:eastAsia="宋体" w:cs="宋体"/>
                <w:i w:val="0"/>
                <w:iCs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A71E5">
            <w:pPr>
              <w:jc w:val="center"/>
              <w:rPr>
                <w:rFonts w:hint="eastAsia" w:ascii="宋体" w:hAnsi="宋体" w:eastAsia="宋体" w:cs="宋体"/>
                <w:i w:val="0"/>
                <w:iCs w:val="0"/>
                <w:color w:val="000000"/>
                <w:sz w:val="18"/>
                <w:szCs w:val="18"/>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53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2E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故障修复响应时间</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9A31">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28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≤3天</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A853">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72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01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37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CC14">
            <w:pPr>
              <w:jc w:val="center"/>
              <w:rPr>
                <w:rFonts w:hint="eastAsia" w:ascii="宋体" w:hAnsi="宋体" w:eastAsia="宋体" w:cs="宋体"/>
                <w:i w:val="0"/>
                <w:iCs w:val="0"/>
                <w:color w:val="000000"/>
                <w:sz w:val="18"/>
                <w:szCs w:val="18"/>
                <w:u w:val="none"/>
              </w:rPr>
            </w:pPr>
          </w:p>
        </w:tc>
      </w:tr>
      <w:tr w14:paraId="3B8D7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DAEAE">
            <w:pPr>
              <w:jc w:val="center"/>
              <w:rPr>
                <w:rFonts w:hint="eastAsia" w:ascii="宋体" w:hAnsi="宋体" w:eastAsia="宋体" w:cs="宋体"/>
                <w:i w:val="0"/>
                <w:iCs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D76FE">
            <w:pPr>
              <w:jc w:val="center"/>
              <w:rPr>
                <w:rFonts w:hint="eastAsia" w:ascii="宋体" w:hAnsi="宋体" w:eastAsia="宋体" w:cs="宋体"/>
                <w:i w:val="0"/>
                <w:iCs w:val="0"/>
                <w:color w:val="000000"/>
                <w:sz w:val="18"/>
                <w:szCs w:val="18"/>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A7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D0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经费支出额度</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3B16">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CA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≤50.05万元</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D013">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2F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36.08万元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05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FD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19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资金结转超时被收回统一安排使用</w:t>
            </w:r>
          </w:p>
        </w:tc>
      </w:tr>
      <w:tr w14:paraId="6B1B3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1"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123E7">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C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BC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CF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设备及网站正常运行率</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005F">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EC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81A8">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41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4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DB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0AE6">
            <w:pPr>
              <w:jc w:val="center"/>
              <w:rPr>
                <w:rFonts w:hint="eastAsia" w:ascii="宋体" w:hAnsi="宋体" w:eastAsia="宋体" w:cs="宋体"/>
                <w:i w:val="0"/>
                <w:iCs w:val="0"/>
                <w:color w:val="000000"/>
                <w:sz w:val="18"/>
                <w:szCs w:val="18"/>
                <w:u w:val="none"/>
              </w:rPr>
            </w:pPr>
          </w:p>
        </w:tc>
      </w:tr>
      <w:tr w14:paraId="1AE83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2"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A5B6D">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07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E6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A4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受众满意度</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B807">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24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E1F7">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F8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8F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43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9588">
            <w:pPr>
              <w:jc w:val="center"/>
              <w:rPr>
                <w:rFonts w:hint="eastAsia" w:ascii="微软雅黑" w:hAnsi="微软雅黑" w:eastAsia="微软雅黑" w:cs="微软雅黑"/>
                <w:i/>
                <w:iCs/>
                <w:color w:val="000000"/>
                <w:sz w:val="16"/>
                <w:szCs w:val="16"/>
                <w:u w:val="none"/>
              </w:rPr>
            </w:pPr>
          </w:p>
        </w:tc>
      </w:tr>
      <w:tr w14:paraId="4019B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A69A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A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29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0B57">
            <w:pPr>
              <w:rPr>
                <w:rFonts w:hint="eastAsia" w:ascii="宋体" w:hAnsi="宋体" w:eastAsia="宋体" w:cs="宋体"/>
                <w:i w:val="0"/>
                <w:iCs w:val="0"/>
                <w:color w:val="000000"/>
                <w:sz w:val="18"/>
                <w:szCs w:val="18"/>
                <w:u w:val="none"/>
              </w:rPr>
            </w:pPr>
          </w:p>
        </w:tc>
      </w:tr>
      <w:tr w14:paraId="2E596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3"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C9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38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5D7D70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我单位按照《广元市昭化区人民政府办公室关于印发&lt;广元市昭化区财政预算绩效管理实施细则&gt;的通知》(昭府办函[2018]118号)绩效评价指标体系开展绩效评价。自评得分为92分。</w:t>
            </w:r>
          </w:p>
        </w:tc>
      </w:tr>
      <w:tr w14:paraId="0736C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4"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DA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38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199ED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单位内控和绩效目标意识有待继续提升。</w:t>
            </w:r>
          </w:p>
        </w:tc>
      </w:tr>
      <w:tr w14:paraId="5448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AA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38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03662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严格按《行政单位财务规则》和《行政单位会计制度》的规定准确核算财务收支、编制财务报表，同时加强资产管理，定期和不定期盘点资产，以保证资产账实相符、账表相符。</w:t>
            </w:r>
          </w:p>
        </w:tc>
      </w:tr>
      <w:tr w14:paraId="43C7A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7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A239E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项目负责人：邢洪</w:t>
            </w:r>
          </w:p>
        </w:tc>
        <w:tc>
          <w:tcPr>
            <w:tcW w:w="53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9A720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财务负责人：白琳</w:t>
            </w:r>
          </w:p>
        </w:tc>
      </w:tr>
    </w:tbl>
    <w:p w14:paraId="0EDCBE40">
      <w:pPr>
        <w:pStyle w:val="5"/>
        <w:rPr>
          <w:rFonts w:hint="eastAsia" w:ascii="仿宋_GB2312" w:hAnsi="仿宋_GB2312" w:eastAsia="仿宋_GB2312" w:cs="仿宋_GB2312"/>
          <w:color w:val="auto"/>
          <w:sz w:val="32"/>
          <w:szCs w:val="32"/>
          <w:highlight w:val="none"/>
          <w:lang w:val="en-US" w:eastAsia="zh-CN"/>
        </w:rPr>
      </w:pPr>
    </w:p>
    <w:p w14:paraId="0615C17A">
      <w:pPr>
        <w:pStyle w:val="5"/>
        <w:keepNext w:val="0"/>
        <w:keepLines w:val="0"/>
        <w:pageBreakBefore w:val="0"/>
        <w:wordWrap/>
        <w:overflowPunct/>
        <w:topLinePunct w:val="0"/>
        <w:bidi w:val="0"/>
        <w:spacing w:line="560" w:lineRule="exact"/>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3</w:t>
      </w:r>
    </w:p>
    <w:p w14:paraId="1F91CFF3">
      <w:pPr>
        <w:pStyle w:val="36"/>
        <w:keepNext w:val="0"/>
        <w:keepLines w:val="0"/>
        <w:pageBreakBefore w:val="0"/>
        <w:widowControl w:val="0"/>
        <w:kinsoku/>
        <w:wordWrap/>
        <w:overflowPunct/>
        <w:topLinePunct w:val="0"/>
        <w:autoSpaceDE/>
        <w:autoSpaceDN/>
        <w:bidi w:val="0"/>
        <w:spacing w:line="560" w:lineRule="exact"/>
        <w:jc w:val="center"/>
        <w:textAlignment w:val="auto"/>
        <w:rPr>
          <w:rFonts w:hint="default"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广元市昭化区融媒体中心</w:t>
      </w:r>
    </w:p>
    <w:p w14:paraId="7BBAB523">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2023年昭化区融媒体中心建设项目—设备采购项目</w:t>
      </w:r>
    </w:p>
    <w:p w14:paraId="216F1653">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highlight w:val="none"/>
        </w:rPr>
      </w:pPr>
      <w:r>
        <w:rPr>
          <w:rFonts w:hint="eastAsia" w:ascii="方正小标宋简体" w:hAnsi="方正小标宋简体" w:eastAsia="方正小标宋简体" w:cs="方正小标宋简体"/>
          <w:color w:val="auto"/>
          <w:kern w:val="2"/>
          <w:sz w:val="32"/>
          <w:szCs w:val="32"/>
          <w:highlight w:val="none"/>
          <w:lang w:val="en-US" w:eastAsia="zh-CN"/>
        </w:rPr>
        <w:t>专项资金预算项目绩效自评报告</w:t>
      </w:r>
    </w:p>
    <w:p w14:paraId="0BFE298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lang w:val="zh-CN"/>
        </w:rPr>
      </w:pPr>
      <w:r>
        <w:rPr>
          <w:rFonts w:hint="eastAsia" w:ascii="黑体" w:hAnsi="宋体" w:eastAsia="黑体"/>
          <w:color w:val="auto"/>
          <w:sz w:val="32"/>
          <w:szCs w:val="32"/>
          <w:highlight w:val="none"/>
        </w:rPr>
        <w:t>一、</w:t>
      </w:r>
      <w:r>
        <w:rPr>
          <w:rFonts w:hint="eastAsia" w:ascii="黑体" w:hAnsi="宋体" w:eastAsia="黑体"/>
          <w:color w:val="auto"/>
          <w:sz w:val="32"/>
          <w:szCs w:val="32"/>
          <w:highlight w:val="none"/>
          <w:lang w:val="zh-CN"/>
        </w:rPr>
        <w:t>项目概况</w:t>
      </w:r>
    </w:p>
    <w:p w14:paraId="307F5FA0">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（一）项目基本情况</w:t>
      </w:r>
    </w:p>
    <w:p w14:paraId="45011FA2">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1．项目主管部门（单位）在该项目管理中的职能。</w:t>
      </w:r>
    </w:p>
    <w:p w14:paraId="7AE2B91D">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14:paraId="7E9BAB6F">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承担全区广播</w:t>
      </w:r>
      <w:r>
        <w:rPr>
          <w:rFonts w:hint="eastAsia" w:ascii="Times New Roman" w:hAnsi="Times New Roman" w:eastAsia="仿宋_GB2312"/>
          <w:sz w:val="32"/>
          <w:szCs w:val="32"/>
          <w:lang w:eastAsia="zh-CN"/>
        </w:rPr>
        <w:t>、</w:t>
      </w:r>
      <w:r>
        <w:rPr>
          <w:rFonts w:ascii="Times New Roman" w:hAnsi="Times New Roman" w:eastAsia="仿宋_GB2312"/>
          <w:sz w:val="32"/>
          <w:szCs w:val="32"/>
        </w:rPr>
        <w:t>电视</w:t>
      </w:r>
      <w:r>
        <w:rPr>
          <w:rFonts w:hint="eastAsia" w:ascii="Times New Roman" w:hAnsi="Times New Roman" w:eastAsia="仿宋_GB2312"/>
          <w:sz w:val="32"/>
          <w:szCs w:val="32"/>
          <w:lang w:eastAsia="zh-CN"/>
        </w:rPr>
        <w:t>、</w:t>
      </w:r>
      <w:r>
        <w:rPr>
          <w:rFonts w:ascii="Times New Roman" w:hAnsi="Times New Roman" w:eastAsia="仿宋_GB2312"/>
          <w:sz w:val="32"/>
          <w:szCs w:val="32"/>
        </w:rPr>
        <w:t>新媒体宣传工作，坚持正确的舆论导向，拟定宣传要点，收集、采编发射和传输节目，提高节目质量；做好“昭化融媒”手机APP、“微信公众号”、微博，开展采集、制作、播发、刊载新闻信息及产品等工作。办好昭化地方特色的新闻节目和其他综合性节目，加大对外宣传力度，协助指导镇广播宣传工作。</w:t>
      </w:r>
    </w:p>
    <w:p w14:paraId="1E40CC28">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14:paraId="35D7909A">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14:paraId="4A427E0E">
      <w:pPr>
        <w:keepNext w:val="0"/>
        <w:keepLines w:val="0"/>
        <w:pageBreakBefore w:val="0"/>
        <w:widowControl/>
        <w:numPr>
          <w:ilvl w:val="0"/>
          <w:numId w:val="1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项目立项、资金申报的依据。</w:t>
      </w:r>
    </w:p>
    <w:p w14:paraId="592A8F39">
      <w:pPr>
        <w:ind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2018年</w:t>
      </w:r>
      <w:r>
        <w:rPr>
          <w:rFonts w:hint="eastAsia" w:ascii="仿宋_GB2312" w:hAnsi="宋体" w:eastAsia="仿宋_GB2312"/>
          <w:sz w:val="32"/>
          <w:szCs w:val="32"/>
        </w:rPr>
        <w:t>8月21日</w:t>
      </w:r>
      <w:r>
        <w:rPr>
          <w:rFonts w:hint="eastAsia" w:ascii="仿宋_GB2312" w:hAnsi="宋体" w:eastAsia="仿宋_GB2312"/>
          <w:sz w:val="32"/>
          <w:szCs w:val="32"/>
          <w:lang w:eastAsia="zh-CN"/>
        </w:rPr>
        <w:t>，</w:t>
      </w:r>
      <w:r>
        <w:rPr>
          <w:rFonts w:hint="eastAsia" w:ascii="仿宋_GB2312" w:hAnsi="宋体" w:eastAsia="仿宋_GB2312"/>
          <w:sz w:val="32"/>
          <w:szCs w:val="32"/>
        </w:rPr>
        <w:t>习近平</w:t>
      </w:r>
      <w:r>
        <w:rPr>
          <w:rFonts w:hint="eastAsia" w:ascii="仿宋_GB2312" w:hAnsi="宋体" w:eastAsia="仿宋_GB2312"/>
          <w:sz w:val="32"/>
          <w:szCs w:val="32"/>
          <w:lang w:eastAsia="zh-CN"/>
        </w:rPr>
        <w:t>总书记</w:t>
      </w:r>
      <w:r>
        <w:rPr>
          <w:rFonts w:hint="eastAsia" w:ascii="仿宋_GB2312" w:hAnsi="宋体" w:eastAsia="仿宋_GB2312"/>
          <w:sz w:val="32"/>
          <w:szCs w:val="32"/>
        </w:rPr>
        <w:t>在召开的全国宣传思想工作会议上指出，</w:t>
      </w:r>
      <w:r>
        <w:rPr>
          <w:rFonts w:hint="eastAsia" w:ascii="仿宋_GB2312" w:hAnsi="宋体" w:eastAsia="仿宋_GB2312"/>
          <w:sz w:val="32"/>
          <w:szCs w:val="32"/>
          <w:lang w:eastAsia="zh-CN"/>
        </w:rPr>
        <w:t>“</w:t>
      </w:r>
      <w:r>
        <w:rPr>
          <w:rFonts w:hint="eastAsia" w:ascii="仿宋_GB2312" w:hAnsi="宋体" w:eastAsia="仿宋_GB2312"/>
          <w:sz w:val="32"/>
          <w:szCs w:val="32"/>
        </w:rPr>
        <w:t>要扎实抓好县级融媒体中心建设，更好引导群众、服务群众</w:t>
      </w:r>
      <w:r>
        <w:rPr>
          <w:rFonts w:hint="eastAsia" w:ascii="仿宋_GB2312" w:hAnsi="宋体" w:eastAsia="仿宋_GB2312"/>
          <w:sz w:val="32"/>
          <w:szCs w:val="32"/>
          <w:lang w:eastAsia="zh-CN"/>
        </w:rPr>
        <w:t>”</w:t>
      </w:r>
      <w:r>
        <w:rPr>
          <w:rFonts w:hint="eastAsia" w:ascii="仿宋_GB2312" w:hAnsi="宋体" w:eastAsia="仿宋_GB2312"/>
          <w:sz w:val="32"/>
          <w:szCs w:val="32"/>
        </w:rPr>
        <w:t>。</w:t>
      </w:r>
    </w:p>
    <w:p w14:paraId="66BE6C26">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宋体" w:eastAsia="仿宋_GB2312"/>
          <w:sz w:val="32"/>
          <w:szCs w:val="32"/>
          <w:lang w:val="en-US" w:eastAsia="zh-CN"/>
        </w:rPr>
        <w:t>昭化区</w:t>
      </w:r>
      <w:r>
        <w:rPr>
          <w:rFonts w:hint="eastAsia" w:ascii="仿宋_GB2312" w:hAnsi="宋体" w:eastAsia="仿宋_GB2312"/>
          <w:sz w:val="32"/>
          <w:szCs w:val="32"/>
        </w:rPr>
        <w:t>根据中央、省</w:t>
      </w:r>
      <w:r>
        <w:rPr>
          <w:rFonts w:hint="eastAsia" w:ascii="仿宋_GB2312" w:hAnsi="宋体" w:eastAsia="仿宋_GB2312"/>
          <w:sz w:val="32"/>
          <w:szCs w:val="32"/>
          <w:lang w:eastAsia="zh-CN"/>
        </w:rPr>
        <w:t>、</w:t>
      </w:r>
      <w:r>
        <w:rPr>
          <w:rFonts w:hint="eastAsia" w:ascii="仿宋_GB2312" w:hAnsi="宋体" w:eastAsia="仿宋_GB2312"/>
          <w:sz w:val="32"/>
          <w:szCs w:val="32"/>
        </w:rPr>
        <w:t>市</w:t>
      </w:r>
      <w:r>
        <w:rPr>
          <w:rFonts w:hint="eastAsia" w:ascii="仿宋_GB2312" w:hAnsi="宋体" w:eastAsia="仿宋_GB2312"/>
          <w:sz w:val="32"/>
          <w:szCs w:val="32"/>
          <w:lang w:val="en-US" w:eastAsia="zh-CN"/>
        </w:rPr>
        <w:t>关于县级融媒体中心建设</w:t>
      </w:r>
      <w:r>
        <w:rPr>
          <w:rFonts w:hint="eastAsia" w:ascii="仿宋_GB2312" w:hAnsi="宋体" w:eastAsia="仿宋_GB2312"/>
          <w:sz w:val="32"/>
          <w:szCs w:val="32"/>
        </w:rPr>
        <w:t>相关</w:t>
      </w:r>
      <w:r>
        <w:rPr>
          <w:rFonts w:hint="eastAsia" w:ascii="仿宋_GB2312" w:hAnsi="宋体" w:eastAsia="仿宋_GB2312"/>
          <w:sz w:val="32"/>
          <w:szCs w:val="32"/>
          <w:lang w:val="en-US" w:eastAsia="zh-CN"/>
        </w:rPr>
        <w:t>文件精神，</w:t>
      </w:r>
      <w:r>
        <w:rPr>
          <w:rFonts w:hint="eastAsia" w:ascii="仿宋_GB2312" w:hAnsi="宋体" w:eastAsia="仿宋_GB2312"/>
          <w:sz w:val="32"/>
          <w:szCs w:val="32"/>
          <w:lang w:eastAsia="zh-CN"/>
        </w:rPr>
        <w:t>按照</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精心谋划，全力推进县级</w:t>
      </w:r>
      <w:r>
        <w:rPr>
          <w:rFonts w:hint="eastAsia" w:ascii="仿宋_GB2312" w:hAnsi="宋体" w:eastAsia="仿宋_GB2312"/>
          <w:sz w:val="32"/>
          <w:szCs w:val="32"/>
        </w:rPr>
        <w:t>融媒体中心建设</w:t>
      </w:r>
      <w:r>
        <w:rPr>
          <w:rFonts w:hint="eastAsia" w:ascii="仿宋_GB2312" w:hAnsi="宋体" w:eastAsia="仿宋_GB2312"/>
          <w:sz w:val="32"/>
          <w:szCs w:val="32"/>
          <w:lang w:val="en-US" w:eastAsia="zh-CN"/>
        </w:rPr>
        <w:t>。</w:t>
      </w:r>
    </w:p>
    <w:p w14:paraId="7183937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或项目</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w:t>
      </w:r>
    </w:p>
    <w:p w14:paraId="1CE3FFA2">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 xml:space="preserve">    昭化区融媒体中心制定了《昭融媒项目管理办法》，在项目实施过程中，严格按照管理办法支付相关费用，无违法违规行为。</w:t>
      </w:r>
    </w:p>
    <w:p w14:paraId="26D458F0">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w:t>
      </w:r>
      <w:r>
        <w:rPr>
          <w:rFonts w:hint="eastAsia" w:ascii="仿宋_GB2312" w:hAnsi="仿宋_GB2312" w:eastAsia="仿宋_GB2312" w:cs="仿宋_GB2312"/>
          <w:color w:val="auto"/>
          <w:kern w:val="0"/>
          <w:sz w:val="32"/>
          <w:szCs w:val="32"/>
          <w:highlight w:val="none"/>
          <w:u w:val="none"/>
          <w:shd w:val="clear" w:color="auto" w:fill="FFFFFF"/>
          <w:lang w:val="zh-CN"/>
        </w:rPr>
        <w:t>资金分配的原则及考虑因素。</w:t>
      </w:r>
    </w:p>
    <w:p w14:paraId="0887B6F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在项目实施过程中，严格按照财经纪律和《</w:t>
      </w:r>
      <w:r>
        <w:rPr>
          <w:rFonts w:hint="eastAsia" w:ascii="仿宋_GB2312" w:hAnsi="仿宋_GB2312" w:eastAsia="仿宋_GB2312" w:cs="仿宋_GB2312"/>
          <w:color w:val="auto"/>
          <w:kern w:val="0"/>
          <w:sz w:val="32"/>
          <w:szCs w:val="32"/>
          <w:highlight w:val="none"/>
          <w:u w:val="none"/>
          <w:shd w:val="clear" w:color="auto" w:fill="FFFFFF"/>
          <w:lang w:val="zh-CN"/>
        </w:rPr>
        <w:t>中华人民共和国会计法</w:t>
      </w:r>
      <w:bookmarkStart w:id="66" w:name="_GoBack"/>
      <w:bookmarkEnd w:id="66"/>
      <w:r>
        <w:rPr>
          <w:rFonts w:hint="eastAsia" w:ascii="仿宋_GB2312" w:hAnsi="仿宋_GB2312" w:eastAsia="仿宋_GB2312" w:cs="仿宋_GB2312"/>
          <w:color w:val="auto"/>
          <w:kern w:val="0"/>
          <w:sz w:val="32"/>
          <w:szCs w:val="32"/>
          <w:highlight w:val="none"/>
          <w:u w:val="none"/>
          <w:shd w:val="clear" w:color="auto" w:fill="FFFFFF"/>
          <w:lang w:val="en-US" w:eastAsia="zh-CN"/>
        </w:rPr>
        <w:t>》规定，严格按照《昭融媒项目管理办法》，合理有序支付项目资金，确保年终按照项目进度全额拨款，</w:t>
      </w:r>
      <w:r>
        <w:rPr>
          <w:rFonts w:hint="eastAsia" w:ascii="仿宋_GB2312" w:hAnsi="仿宋_GB2312" w:eastAsia="仿宋_GB2312" w:cs="仿宋_GB2312"/>
          <w:color w:val="auto"/>
          <w:kern w:val="0"/>
          <w:sz w:val="32"/>
          <w:szCs w:val="32"/>
          <w:highlight w:val="none"/>
          <w:u w:val="none"/>
          <w:shd w:val="clear" w:color="auto" w:fill="FFFFFF"/>
          <w:lang w:val="zh-CN"/>
        </w:rPr>
        <w:t>真正做到财务公开透明守法守规</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p w14:paraId="58CBEFBB">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（二）项目绩效目标</w:t>
      </w:r>
    </w:p>
    <w:p w14:paraId="14E723E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1．项目主要内容。</w:t>
      </w:r>
    </w:p>
    <w:p w14:paraId="478A617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2019年，昭化区根据中央、省、市关于县级融媒体中心建设相关文件精神，按照中宣部、国家广播电视总局发布的《县级融媒体中心建设规范》和省委宣传部关于《全面推进县级融媒体中心建设方案》要求，通过构建昭化区融媒体中心，整合昭化区媒体资源、再造工作流程，加强传播手段和宣传方式创新，建设“一次策划、一次采集、多元生成、多平发布”的融媒体中心，突出官媒的“喉舌”作用、自媒体的“生活” 作用、融媒体的“服务”作用，讲好昭化故事、传递昭化声音，实现更广泛传递党和政府声音，更好引导群众、服务群众。</w:t>
      </w:r>
    </w:p>
    <w:p w14:paraId="57D6523C">
      <w:pPr>
        <w:keepNext w:val="0"/>
        <w:keepLines w:val="0"/>
        <w:pageBreakBefore w:val="0"/>
        <w:widowControl/>
        <w:numPr>
          <w:ilvl w:val="0"/>
          <w:numId w:val="11"/>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项目应实现的具体绩效目标。</w:t>
      </w:r>
    </w:p>
    <w:p w14:paraId="35AE293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年度融媒体中心建设项目年初设定绩效目标为：融媒体中心系统平台年度内升级1次、报修率不大于1次且报修服务期限小于3天，新闻等宣传报道率、转发率达到</w:t>
      </w:r>
      <w:r>
        <w:rPr>
          <w:rFonts w:hint="eastAsia" w:eastAsia="仿宋"/>
          <w:sz w:val="32"/>
          <w:lang w:val="en-US" w:eastAsia="zh-CN"/>
        </w:rPr>
        <w:t>9</w:t>
      </w:r>
      <w:r>
        <w:rPr>
          <w:rFonts w:hint="eastAsia" w:eastAsia="仿宋"/>
          <w:sz w:val="32"/>
        </w:rPr>
        <w:t>0%，经费支付额度达到100%，受惠群众满意度</w:t>
      </w:r>
      <w:r>
        <w:rPr>
          <w:rFonts w:hint="eastAsia" w:eastAsia="仿宋"/>
          <w:sz w:val="32"/>
          <w:lang w:val="en-US" w:eastAsia="zh-CN"/>
        </w:rPr>
        <w:t>达9</w:t>
      </w:r>
      <w:r>
        <w:rPr>
          <w:rFonts w:hint="eastAsia" w:eastAsia="仿宋"/>
          <w:sz w:val="32"/>
        </w:rPr>
        <w:t>0%。</w:t>
      </w:r>
    </w:p>
    <w:p w14:paraId="468FE1F3">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（三）项目自评步骤及方法</w:t>
      </w:r>
    </w:p>
    <w:p w14:paraId="3CA8FAE1">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区融媒体中心建设项目</w:t>
      </w:r>
      <w:r>
        <w:rPr>
          <w:rFonts w:hint="eastAsia" w:ascii="仿宋_GB2312" w:hAnsi="仿宋_GB2312" w:eastAsia="仿宋_GB2312" w:cs="仿宋_GB2312"/>
          <w:color w:val="auto"/>
          <w:kern w:val="0"/>
          <w:sz w:val="32"/>
          <w:szCs w:val="32"/>
          <w:highlight w:val="none"/>
          <w:u w:val="none"/>
          <w:shd w:val="clear" w:color="auto" w:fill="FFFFFF"/>
          <w:lang w:val="zh-CN" w:eastAsia="zh-CN"/>
        </w:rPr>
        <w:t>依据</w:t>
      </w:r>
      <w:r>
        <w:rPr>
          <w:rFonts w:hint="eastAsia" w:ascii="仿宋_GB2312" w:hAnsi="仿宋_GB2312" w:eastAsia="仿宋_GB2312" w:cs="仿宋_GB2312"/>
          <w:color w:val="auto"/>
          <w:kern w:val="0"/>
          <w:sz w:val="32"/>
          <w:szCs w:val="32"/>
          <w:highlight w:val="none"/>
          <w:u w:val="none"/>
          <w:shd w:val="clear" w:color="auto" w:fill="FFFFFF"/>
          <w:lang w:val="zh-CN"/>
        </w:rPr>
        <w:t>《广元市昭化区人民政府办公室关于印发&lt;广元市 昭化区财政支出事后绩效评价管理办法&gt;的通知》(昭府办函〔2022〕37号)</w:t>
      </w:r>
      <w:r>
        <w:rPr>
          <w:rFonts w:hint="eastAsia" w:ascii="仿宋_GB2312" w:hAnsi="仿宋_GB2312" w:eastAsia="仿宋_GB2312" w:cs="仿宋_GB2312"/>
          <w:color w:val="auto"/>
          <w:kern w:val="0"/>
          <w:sz w:val="32"/>
          <w:szCs w:val="32"/>
          <w:highlight w:val="none"/>
          <w:u w:val="none"/>
          <w:shd w:val="clear" w:color="auto" w:fill="FFFFFF"/>
          <w:lang w:val="zh-CN" w:eastAsia="zh-CN"/>
        </w:rPr>
        <w:t>文件自评且逐项量分。</w:t>
      </w:r>
    </w:p>
    <w:p w14:paraId="79E7D248">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二、项目资金申报及使用情况</w:t>
      </w:r>
    </w:p>
    <w:p w14:paraId="538F9C61">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（一）项目资金申报及批复情况</w:t>
      </w:r>
    </w:p>
    <w:p w14:paraId="20A25FEE">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广元市昭化区融媒体中心202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年度项目支出名称：区融媒体中心建设项目，该项目政府采购招投标总金额为582.586万元，从2019年8开始建设，2019年11月建设完成并通过验收。该项目分5年（支付比例为3:2:2:2:1）付清项目款项，202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年为第</w:t>
      </w:r>
      <w:r>
        <w:rPr>
          <w:rFonts w:hint="eastAsia" w:ascii="仿宋_GB2312" w:hAnsi="仿宋_GB2312" w:eastAsia="仿宋_GB2312" w:cs="仿宋_GB2312"/>
          <w:color w:val="auto"/>
          <w:kern w:val="0"/>
          <w:sz w:val="32"/>
          <w:szCs w:val="32"/>
          <w:highlight w:val="none"/>
          <w:u w:val="none"/>
          <w:shd w:val="clear" w:color="auto" w:fill="FFFFFF"/>
          <w:lang w:val="zh-CN" w:eastAsia="zh-CN"/>
        </w:rPr>
        <w:t>四</w:t>
      </w:r>
      <w:r>
        <w:rPr>
          <w:rFonts w:hint="eastAsia" w:ascii="仿宋_GB2312" w:hAnsi="仿宋_GB2312" w:eastAsia="仿宋_GB2312" w:cs="仿宋_GB2312"/>
          <w:color w:val="auto"/>
          <w:kern w:val="0"/>
          <w:sz w:val="32"/>
          <w:szCs w:val="32"/>
          <w:highlight w:val="none"/>
          <w:u w:val="none"/>
          <w:shd w:val="clear" w:color="auto" w:fill="FFFFFF"/>
          <w:lang w:val="zh-CN"/>
        </w:rPr>
        <w:t>年支付部分。2019年建设</w:t>
      </w:r>
      <w:r>
        <w:rPr>
          <w:rFonts w:hint="eastAsia" w:ascii="仿宋_GB2312" w:hAnsi="仿宋_GB2312" w:eastAsia="仿宋_GB2312" w:cs="仿宋_GB2312"/>
          <w:color w:val="auto"/>
          <w:kern w:val="0"/>
          <w:sz w:val="32"/>
          <w:szCs w:val="32"/>
          <w:highlight w:val="none"/>
          <w:u w:val="none"/>
          <w:shd w:val="clear" w:color="auto" w:fill="FFFFFF"/>
          <w:lang w:val="en-US" w:eastAsia="zh-CN"/>
        </w:rPr>
        <w:t>此</w:t>
      </w:r>
      <w:r>
        <w:rPr>
          <w:rFonts w:hint="eastAsia" w:ascii="仿宋_GB2312" w:hAnsi="仿宋_GB2312" w:eastAsia="仿宋_GB2312" w:cs="仿宋_GB2312"/>
          <w:color w:val="auto"/>
          <w:kern w:val="0"/>
          <w:sz w:val="32"/>
          <w:szCs w:val="32"/>
          <w:highlight w:val="none"/>
          <w:u w:val="none"/>
          <w:shd w:val="clear" w:color="auto" w:fill="FFFFFF"/>
          <w:lang w:val="zh-CN"/>
        </w:rPr>
        <w:t>项目时，项目支出主管部门为广元市昭化区文化旅游和体育局，项目支出实施单位为区广播电视台（现单位改制后更名为区融媒体中心）。该项目支出时间为2019年1月至2023年12月（共5年），支出资金总额为582.586万元，其中财政拨款金额为582.586万元，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年财政拨款金额为116.5172万元。</w:t>
      </w:r>
    </w:p>
    <w:p w14:paraId="1B958F75">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（二）资金计划、到位及使用情况</w:t>
      </w:r>
    </w:p>
    <w:p w14:paraId="75009256">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1．资金计划。</w:t>
      </w:r>
    </w:p>
    <w:p w14:paraId="1A71E7AA">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为昭化区财政自筹资金，无其他资金来源。</w:t>
      </w:r>
      <w:r>
        <w:rPr>
          <w:rFonts w:hint="eastAsia" w:eastAsia="仿宋"/>
          <w:sz w:val="32"/>
        </w:rPr>
        <w:t>年初预算财政拨款资金为116.5172万元。</w:t>
      </w:r>
    </w:p>
    <w:p w14:paraId="5D67745E">
      <w:pPr>
        <w:keepNext w:val="0"/>
        <w:keepLines w:val="0"/>
        <w:pageBreakBefore w:val="0"/>
        <w:widowControl/>
        <w:numPr>
          <w:ilvl w:val="0"/>
          <w:numId w:val="12"/>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资金到位。</w:t>
      </w:r>
    </w:p>
    <w:p w14:paraId="604AEE7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为昭化区财政自筹资金，无其他资金来源。</w:t>
      </w:r>
      <w:r>
        <w:rPr>
          <w:rFonts w:hint="eastAsia" w:eastAsia="仿宋"/>
          <w:sz w:val="32"/>
        </w:rPr>
        <w:t>年初预算财政拨款资金为116.5172万元，年终实际拨款为116.5172万元。</w:t>
      </w:r>
    </w:p>
    <w:p w14:paraId="0DF4B6E0">
      <w:pPr>
        <w:keepNext w:val="0"/>
        <w:keepLines w:val="0"/>
        <w:pageBreakBefore w:val="0"/>
        <w:widowControl/>
        <w:numPr>
          <w:ilvl w:val="0"/>
          <w:numId w:val="12"/>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资金使用。</w:t>
      </w:r>
    </w:p>
    <w:p w14:paraId="73F38C4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截止评价时，该项目</w:t>
      </w:r>
      <w:r>
        <w:rPr>
          <w:rFonts w:hint="eastAsia" w:eastAsia="仿宋"/>
          <w:sz w:val="32"/>
          <w:lang w:val="en-US" w:eastAsia="zh-CN"/>
        </w:rPr>
        <w:t>昭化区财政自筹资金116.5172万元，</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全部支付到位。</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支付</w:t>
      </w:r>
      <w:r>
        <w:rPr>
          <w:rFonts w:hint="eastAsia" w:eastAsia="仿宋"/>
          <w:sz w:val="32"/>
        </w:rPr>
        <w:t>依规合法</w:t>
      </w:r>
      <w:r>
        <w:rPr>
          <w:rFonts w:hint="eastAsia" w:eastAsia="仿宋"/>
          <w:sz w:val="32"/>
          <w:lang w:eastAsia="zh-CN"/>
        </w:rPr>
        <w:t>、</w:t>
      </w:r>
      <w:r>
        <w:rPr>
          <w:rFonts w:hint="eastAsia" w:ascii="仿宋_GB2312" w:hAnsi="仿宋_GB2312" w:eastAsia="仿宋_GB2312" w:cs="仿宋_GB2312"/>
          <w:color w:val="auto"/>
          <w:kern w:val="0"/>
          <w:sz w:val="32"/>
          <w:szCs w:val="32"/>
          <w:highlight w:val="none"/>
          <w:u w:val="none"/>
          <w:shd w:val="clear" w:color="auto" w:fill="FFFFFF"/>
          <w:lang w:val="zh-CN"/>
        </w:rPr>
        <w:t>安全规范有效，</w:t>
      </w:r>
      <w:r>
        <w:rPr>
          <w:rFonts w:hint="eastAsia" w:eastAsia="仿宋"/>
          <w:sz w:val="32"/>
        </w:rPr>
        <w:t>资金支付</w:t>
      </w:r>
      <w:r>
        <w:rPr>
          <w:rFonts w:hint="eastAsia" w:ascii="仿宋_GB2312" w:hAnsi="仿宋_GB2312" w:eastAsia="仿宋_GB2312" w:cs="仿宋_GB2312"/>
          <w:color w:val="auto"/>
          <w:kern w:val="0"/>
          <w:sz w:val="32"/>
          <w:szCs w:val="32"/>
          <w:highlight w:val="none"/>
          <w:u w:val="none"/>
          <w:shd w:val="clear" w:color="auto" w:fill="FFFFFF"/>
          <w:lang w:val="zh-CN"/>
        </w:rPr>
        <w:t>与预算相符，</w:t>
      </w:r>
      <w:r>
        <w:rPr>
          <w:rFonts w:hint="eastAsia" w:ascii="仿宋_GB2312" w:hAnsi="仿宋_GB2312" w:eastAsia="仿宋_GB2312" w:cs="仿宋_GB2312"/>
          <w:color w:val="auto"/>
          <w:kern w:val="0"/>
          <w:sz w:val="32"/>
          <w:szCs w:val="32"/>
          <w:highlight w:val="none"/>
          <w:u w:val="none"/>
          <w:shd w:val="clear" w:color="auto" w:fill="FFFFFF"/>
          <w:lang w:val="en-US" w:eastAsia="zh-CN"/>
        </w:rPr>
        <w:t>无违规违纪行为</w:t>
      </w:r>
      <w:r>
        <w:rPr>
          <w:rFonts w:hint="eastAsia" w:ascii="仿宋_GB2312" w:hAnsi="仿宋_GB2312" w:eastAsia="仿宋_GB2312" w:cs="仿宋_GB2312"/>
          <w:color w:val="auto"/>
          <w:kern w:val="0"/>
          <w:sz w:val="32"/>
          <w:szCs w:val="32"/>
          <w:highlight w:val="none"/>
          <w:u w:val="none"/>
          <w:shd w:val="clear" w:color="auto" w:fill="FFFFFF"/>
          <w:lang w:val="zh-CN"/>
        </w:rPr>
        <w:t>。</w:t>
      </w:r>
    </w:p>
    <w:p w14:paraId="4F620049">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（三）项目财务管理情况</w:t>
      </w:r>
    </w:p>
    <w:p w14:paraId="133CF48B">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在财务管理中，严格按照财务管理制度</w:t>
      </w:r>
      <w:r>
        <w:rPr>
          <w:rFonts w:hint="eastAsia" w:eastAsia="仿宋"/>
          <w:sz w:val="32"/>
          <w:lang w:val="en-US" w:eastAsia="zh-CN"/>
        </w:rPr>
        <w:t>支</w:t>
      </w:r>
      <w:r>
        <w:rPr>
          <w:rFonts w:hint="eastAsia" w:eastAsia="仿宋"/>
          <w:sz w:val="32"/>
        </w:rPr>
        <w:t>付项目资金，真正做到了财务公开透明守法守规。</w:t>
      </w:r>
    </w:p>
    <w:p w14:paraId="3BEC999A">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三、项目实施及管理情况</w:t>
      </w:r>
    </w:p>
    <w:p w14:paraId="7B2BCD2C">
      <w:pPr>
        <w:keepNext w:val="0"/>
        <w:keepLines w:val="0"/>
        <w:pageBreakBefore w:val="0"/>
        <w:numPr>
          <w:ilvl w:val="0"/>
          <w:numId w:val="13"/>
        </w:numPr>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项目组织架构及实施流程。</w:t>
      </w:r>
    </w:p>
    <w:p w14:paraId="1EB3E8FF">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宋体" w:eastAsia="仿宋_GB2312"/>
          <w:sz w:val="32"/>
          <w:szCs w:val="32"/>
          <w:lang w:val="en-US" w:eastAsia="zh-CN"/>
        </w:rPr>
      </w:pPr>
      <w:r>
        <w:rPr>
          <w:rFonts w:hint="eastAsia" w:eastAsia="仿宋"/>
          <w:sz w:val="32"/>
        </w:rPr>
        <w:t>我中心高度重视该项目工作，成立了以中心主任为组长，分管领导为副组长，</w:t>
      </w:r>
      <w:r>
        <w:rPr>
          <w:rFonts w:hint="eastAsia" w:eastAsia="仿宋"/>
          <w:sz w:val="32"/>
          <w:lang w:val="en-US" w:eastAsia="zh-CN"/>
        </w:rPr>
        <w:t>项目管理员及</w:t>
      </w:r>
      <w:r>
        <w:rPr>
          <w:rFonts w:hint="eastAsia" w:eastAsia="仿宋"/>
          <w:sz w:val="32"/>
        </w:rPr>
        <w:t>两名财务人员为组员的项目实施小组</w:t>
      </w:r>
      <w:r>
        <w:rPr>
          <w:rFonts w:hint="eastAsia" w:eastAsia="仿宋"/>
          <w:sz w:val="32"/>
          <w:lang w:eastAsia="zh-CN"/>
        </w:rPr>
        <w:t>。</w:t>
      </w:r>
      <w:r>
        <w:rPr>
          <w:rFonts w:hint="eastAsia" w:eastAsia="仿宋"/>
          <w:sz w:val="32"/>
          <w:lang w:val="en-US" w:eastAsia="zh-CN"/>
        </w:rPr>
        <w:t>项目流程根据</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按照建设目标步骤实施。</w:t>
      </w:r>
    </w:p>
    <w:p w14:paraId="361BA897">
      <w:pPr>
        <w:keepNext w:val="0"/>
        <w:keepLines w:val="0"/>
        <w:pageBreakBefore w:val="0"/>
        <w:numPr>
          <w:ilvl w:val="0"/>
          <w:numId w:val="13"/>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项目管理情况。</w:t>
      </w:r>
    </w:p>
    <w:p w14:paraId="7406683D">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项目管理员及</w:t>
      </w:r>
      <w:r>
        <w:rPr>
          <w:rFonts w:hint="eastAsia" w:eastAsia="仿宋"/>
          <w:sz w:val="32"/>
        </w:rPr>
        <w:t>两名财务人员</w:t>
      </w:r>
      <w:r>
        <w:rPr>
          <w:rFonts w:hint="eastAsia" w:eastAsia="仿宋"/>
          <w:sz w:val="32"/>
          <w:lang w:val="en-US" w:eastAsia="zh-CN"/>
        </w:rPr>
        <w:t>严格</w:t>
      </w:r>
      <w:r>
        <w:rPr>
          <w:rFonts w:hint="eastAsia" w:ascii="仿宋_GB2312" w:hAnsi="仿宋_GB2312" w:eastAsia="仿宋_GB2312" w:cs="仿宋_GB2312"/>
          <w:color w:val="auto"/>
          <w:kern w:val="0"/>
          <w:sz w:val="32"/>
          <w:szCs w:val="32"/>
          <w:highlight w:val="none"/>
          <w:u w:val="none"/>
          <w:shd w:val="clear" w:color="auto" w:fill="FFFFFF"/>
          <w:lang w:val="zh-CN"/>
        </w:rPr>
        <w:t>执行相关法律法规</w:t>
      </w:r>
      <w:r>
        <w:rPr>
          <w:rFonts w:hint="eastAsia" w:ascii="仿宋_GB2312" w:hAnsi="仿宋_GB2312" w:cs="仿宋_GB2312"/>
          <w:color w:val="auto"/>
          <w:kern w:val="0"/>
          <w:sz w:val="32"/>
          <w:szCs w:val="32"/>
          <w:highlight w:val="none"/>
          <w:u w:val="none"/>
          <w:shd w:val="clear" w:color="auto" w:fill="FFFFFF"/>
          <w:lang w:val="zh-CN"/>
        </w:rPr>
        <w:t>、</w:t>
      </w:r>
      <w:r>
        <w:rPr>
          <w:rFonts w:hint="eastAsia" w:ascii="仿宋_GB2312" w:hAnsi="仿宋_GB2312" w:eastAsia="仿宋_GB2312" w:cs="仿宋_GB2312"/>
          <w:color w:val="auto"/>
          <w:kern w:val="0"/>
          <w:sz w:val="32"/>
          <w:szCs w:val="32"/>
          <w:highlight w:val="none"/>
          <w:u w:val="none"/>
          <w:shd w:val="clear" w:color="auto" w:fill="FFFFFF"/>
          <w:lang w:val="zh-CN"/>
        </w:rPr>
        <w:t>项目管理制度</w:t>
      </w:r>
      <w:r>
        <w:rPr>
          <w:rFonts w:hint="eastAsia" w:eastAsia="仿宋"/>
          <w:sz w:val="32"/>
        </w:rPr>
        <w:t>，依法守规，合理管控开支，按照年初预算计划，做到申请、审核、支付依规合法，全力促进新闻宣传工作每月</w:t>
      </w:r>
      <w:r>
        <w:rPr>
          <w:rFonts w:hint="eastAsia" w:eastAsia="仿宋"/>
          <w:sz w:val="32"/>
          <w:lang w:val="en-US" w:eastAsia="zh-CN"/>
        </w:rPr>
        <w:t>出</w:t>
      </w:r>
      <w:r>
        <w:rPr>
          <w:rFonts w:hint="eastAsia" w:eastAsia="仿宋"/>
          <w:sz w:val="32"/>
        </w:rPr>
        <w:t>亮点。</w:t>
      </w:r>
    </w:p>
    <w:p w14:paraId="781543AE">
      <w:pPr>
        <w:keepNext w:val="0"/>
        <w:keepLines w:val="0"/>
        <w:pageBreakBefore w:val="0"/>
        <w:numPr>
          <w:ilvl w:val="0"/>
          <w:numId w:val="13"/>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项目监管情况。</w:t>
      </w:r>
    </w:p>
    <w:p w14:paraId="050606ED">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项目采用外包形式，我中心项目管理员日常跟踪督促第三方项目监理，做到了严格管理施工，作业可控有度，目标完成有效。</w:t>
      </w:r>
    </w:p>
    <w:p w14:paraId="76B371E1">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四、项目绩效情况</w:t>
      </w:r>
      <w:r>
        <w:rPr>
          <w:rFonts w:hint="eastAsia" w:ascii="仿宋_GB2312" w:hAnsi="宋体"/>
          <w:color w:val="auto"/>
          <w:sz w:val="32"/>
          <w:szCs w:val="32"/>
          <w:highlight w:val="none"/>
          <w:u w:val="none"/>
          <w:lang w:val="zh-CN"/>
        </w:rPr>
        <w:tab/>
      </w:r>
    </w:p>
    <w:p w14:paraId="4459F1B2">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（一）项目完成情况</w:t>
      </w:r>
    </w:p>
    <w:p w14:paraId="486CC9F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eastAsia="仿宋_GB2312" w:cs="仿宋_GB2312"/>
          <w:b w:val="0"/>
          <w:color w:val="auto"/>
          <w:kern w:val="0"/>
          <w:sz w:val="32"/>
          <w:szCs w:val="32"/>
          <w:highlight w:val="none"/>
          <w:u w:val="none"/>
          <w:shd w:val="clear" w:color="auto" w:fill="FFFFFF"/>
          <w:lang w:val="zh-CN"/>
        </w:rPr>
      </w:pPr>
      <w:r>
        <w:rPr>
          <w:rFonts w:hint="eastAsia" w:ascii="仿宋_GB2312" w:hAnsi="仿宋_GB2312" w:eastAsia="仿宋_GB2312" w:cs="仿宋_GB2312"/>
          <w:b w:val="0"/>
          <w:color w:val="auto"/>
          <w:kern w:val="0"/>
          <w:sz w:val="32"/>
          <w:szCs w:val="32"/>
          <w:highlight w:val="none"/>
          <w:u w:val="none"/>
          <w:shd w:val="clear" w:color="auto" w:fill="FFFFFF"/>
          <w:lang w:val="zh-CN"/>
        </w:rPr>
        <w:t>融媒体中心系统平台202</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2</w:t>
      </w:r>
      <w:r>
        <w:rPr>
          <w:rFonts w:hint="eastAsia" w:ascii="仿宋_GB2312" w:hAnsi="仿宋_GB2312" w:eastAsia="仿宋_GB2312" w:cs="仿宋_GB2312"/>
          <w:b w:val="0"/>
          <w:color w:val="auto"/>
          <w:kern w:val="0"/>
          <w:sz w:val="32"/>
          <w:szCs w:val="32"/>
          <w:highlight w:val="none"/>
          <w:u w:val="none"/>
          <w:shd w:val="clear" w:color="auto" w:fill="FFFFFF"/>
          <w:lang w:val="zh-CN"/>
        </w:rPr>
        <w:t>年度内升级修护1次、报修率</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1</w:t>
      </w:r>
      <w:r>
        <w:rPr>
          <w:rFonts w:hint="eastAsia" w:ascii="仿宋_GB2312" w:hAnsi="仿宋_GB2312" w:eastAsia="仿宋_GB2312" w:cs="仿宋_GB2312"/>
          <w:b w:val="0"/>
          <w:color w:val="auto"/>
          <w:kern w:val="0"/>
          <w:sz w:val="32"/>
          <w:szCs w:val="32"/>
          <w:highlight w:val="none"/>
          <w:u w:val="none"/>
          <w:shd w:val="clear" w:color="auto" w:fill="FFFFFF"/>
          <w:lang w:val="zh-CN"/>
        </w:rPr>
        <w:t>次，经费支付额度达到100%，受惠群众满意度</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95</w:t>
      </w:r>
      <w:r>
        <w:rPr>
          <w:rFonts w:hint="eastAsia" w:ascii="仿宋_GB2312" w:hAnsi="仿宋_GB2312" w:eastAsia="仿宋_GB2312" w:cs="仿宋_GB2312"/>
          <w:b w:val="0"/>
          <w:color w:val="auto"/>
          <w:kern w:val="0"/>
          <w:sz w:val="32"/>
          <w:szCs w:val="32"/>
          <w:highlight w:val="none"/>
          <w:u w:val="none"/>
          <w:shd w:val="clear" w:color="auto" w:fill="FFFFFF"/>
          <w:lang w:val="zh-CN"/>
        </w:rPr>
        <w:t>%，新闻等宣传报道率、转发率达到100%。其中，昭化区在中央、省</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、市</w:t>
      </w:r>
      <w:r>
        <w:rPr>
          <w:rFonts w:hint="eastAsia" w:ascii="仿宋_GB2312" w:hAnsi="仿宋_GB2312" w:eastAsia="仿宋_GB2312" w:cs="仿宋_GB2312"/>
          <w:b w:val="0"/>
          <w:color w:val="auto"/>
          <w:kern w:val="0"/>
          <w:sz w:val="32"/>
          <w:szCs w:val="32"/>
          <w:highlight w:val="none"/>
          <w:u w:val="none"/>
          <w:shd w:val="clear" w:color="auto" w:fill="FFFFFF"/>
          <w:lang w:val="zh-CN"/>
        </w:rPr>
        <w:t>级主流媒体发稿</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6686条</w:t>
      </w:r>
      <w:r>
        <w:rPr>
          <w:rFonts w:hint="eastAsia" w:ascii="仿宋_GB2312" w:hAnsi="仿宋_GB2312" w:eastAsia="仿宋_GB2312" w:cs="仿宋_GB2312"/>
          <w:b w:val="0"/>
          <w:color w:val="auto"/>
          <w:kern w:val="0"/>
          <w:sz w:val="32"/>
          <w:szCs w:val="32"/>
          <w:highlight w:val="none"/>
          <w:u w:val="none"/>
          <w:shd w:val="clear" w:color="auto" w:fill="FFFFFF"/>
          <w:lang w:val="zh-CN"/>
        </w:rPr>
        <w:t>。</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其中，人民日报发稿6条（头版头条1条），中央电视台发稿27条（新闻联播5条），中央级其它报刊28条；四川日报发稿32条（头版4条），四川电视台发稿158条（四川新闻联播59条）；</w:t>
      </w:r>
      <w:r>
        <w:rPr>
          <w:rFonts w:hint="eastAsia" w:ascii="仿宋_GB2312" w:hAnsi="仿宋_GB2312" w:eastAsia="仿宋_GB2312" w:cs="仿宋_GB2312"/>
          <w:b w:val="0"/>
          <w:color w:val="auto"/>
          <w:kern w:val="0"/>
          <w:sz w:val="32"/>
          <w:szCs w:val="32"/>
          <w:highlight w:val="none"/>
          <w:u w:val="none"/>
          <w:shd w:val="clear" w:color="auto" w:fill="FFFFFF"/>
          <w:lang w:val="zh-CN"/>
        </w:rPr>
        <w:t xml:space="preserve">其中在《广元新闻》、《新闻点击》、《直通县区》用稿 </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8</w:t>
      </w:r>
      <w:r>
        <w:rPr>
          <w:rFonts w:hint="eastAsia" w:ascii="仿宋_GB2312" w:hAnsi="仿宋_GB2312" w:eastAsia="仿宋_GB2312" w:cs="仿宋_GB2312"/>
          <w:b w:val="0"/>
          <w:color w:val="auto"/>
          <w:kern w:val="0"/>
          <w:sz w:val="32"/>
          <w:szCs w:val="32"/>
          <w:highlight w:val="none"/>
          <w:u w:val="none"/>
          <w:shd w:val="clear" w:color="auto" w:fill="FFFFFF"/>
          <w:lang w:val="zh-CN"/>
        </w:rPr>
        <w:t>00余条。</w:t>
      </w:r>
    </w:p>
    <w:p w14:paraId="48CC74F8">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（二）项目效益情况</w:t>
      </w:r>
    </w:p>
    <w:p w14:paraId="13AFE5F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该项目实施后，全区经济社会在内外新闻宣传下，进一步树立全区良好形象，助推全区经济社会发展大好形势；在区融媒体中心全媒体平台可持续影响下，受益群体越来越多，群众满意度达全区覆盖面积的9</w:t>
      </w:r>
      <w:r>
        <w:rPr>
          <w:rFonts w:hint="eastAsia" w:eastAsia="仿宋"/>
          <w:sz w:val="32"/>
          <w:lang w:val="en-US" w:eastAsia="zh-CN"/>
        </w:rPr>
        <w:t>5</w:t>
      </w:r>
      <w:r>
        <w:rPr>
          <w:rFonts w:hint="eastAsia" w:eastAsia="仿宋"/>
          <w:sz w:val="32"/>
        </w:rPr>
        <w:t>%，《昭化观察》《昭化发布》《蜀道昭化》抖音号在川观平台推广下，最高点击量超</w:t>
      </w:r>
      <w:r>
        <w:rPr>
          <w:rFonts w:hint="eastAsia" w:eastAsia="仿宋"/>
          <w:sz w:val="32"/>
          <w:lang w:val="en-US" w:eastAsia="zh-CN"/>
        </w:rPr>
        <w:t>百</w:t>
      </w:r>
      <w:r>
        <w:rPr>
          <w:rFonts w:hint="eastAsia" w:eastAsia="仿宋"/>
          <w:sz w:val="32"/>
        </w:rPr>
        <w:t>万。</w:t>
      </w:r>
    </w:p>
    <w:p w14:paraId="7A0F71D9">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五、评价结论及建议</w:t>
      </w:r>
    </w:p>
    <w:p w14:paraId="53EA1142">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（一）评价结论</w:t>
      </w:r>
    </w:p>
    <w:p w14:paraId="2E441138">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年度融媒体中心建设项目资金支出合规合法，较好</w:t>
      </w:r>
      <w:r>
        <w:rPr>
          <w:rFonts w:hint="eastAsia" w:ascii="仿宋_GB2312" w:hAnsi="仿宋_GB2312" w:eastAsia="仿宋_GB2312" w:cs="仿宋_GB2312"/>
          <w:color w:val="auto"/>
          <w:kern w:val="0"/>
          <w:sz w:val="32"/>
          <w:szCs w:val="32"/>
          <w:highlight w:val="none"/>
          <w:u w:val="none"/>
          <w:shd w:val="clear" w:color="auto" w:fill="FFFFFF"/>
          <w:lang w:val="en-US" w:eastAsia="zh-CN"/>
        </w:rPr>
        <w:t>地</w:t>
      </w:r>
      <w:r>
        <w:rPr>
          <w:rFonts w:hint="eastAsia" w:ascii="仿宋_GB2312" w:hAnsi="仿宋_GB2312" w:eastAsia="仿宋_GB2312" w:cs="仿宋_GB2312"/>
          <w:color w:val="auto"/>
          <w:kern w:val="0"/>
          <w:sz w:val="32"/>
          <w:szCs w:val="32"/>
          <w:highlight w:val="none"/>
          <w:u w:val="none"/>
          <w:shd w:val="clear" w:color="auto" w:fill="FFFFFF"/>
          <w:lang w:val="zh-CN"/>
        </w:rPr>
        <w:t>完成了年度目标绩效任务，对标项目支出绩效评价指标体系，我单位对本项目进行总体自评，评价结果为：优，得分9</w:t>
      </w:r>
      <w:r>
        <w:rPr>
          <w:rFonts w:hint="eastAsia" w:ascii="仿宋_GB2312" w:hAnsi="仿宋_GB2312" w:eastAsia="仿宋_GB2312" w:cs="仿宋_GB2312"/>
          <w:color w:val="auto"/>
          <w:kern w:val="0"/>
          <w:sz w:val="32"/>
          <w:szCs w:val="32"/>
          <w:highlight w:val="none"/>
          <w:u w:val="none"/>
          <w:shd w:val="clear" w:color="auto" w:fill="FFFFFF"/>
          <w:lang w:val="en-US" w:eastAsia="zh-CN"/>
        </w:rPr>
        <w:t>6</w:t>
      </w:r>
      <w:r>
        <w:rPr>
          <w:rFonts w:hint="eastAsia" w:ascii="仿宋_GB2312" w:hAnsi="仿宋_GB2312" w:eastAsia="仿宋_GB2312" w:cs="仿宋_GB2312"/>
          <w:color w:val="auto"/>
          <w:kern w:val="0"/>
          <w:sz w:val="32"/>
          <w:szCs w:val="32"/>
          <w:highlight w:val="none"/>
          <w:u w:val="none"/>
          <w:shd w:val="clear" w:color="auto" w:fill="FFFFFF"/>
          <w:lang w:val="zh-CN"/>
        </w:rPr>
        <w:t>分。</w:t>
      </w:r>
    </w:p>
    <w:p w14:paraId="6870CEC4">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（二）存在的问题</w:t>
      </w:r>
    </w:p>
    <w:p w14:paraId="22F995A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1、追求稿件精品创作</w:t>
      </w:r>
      <w:r>
        <w:rPr>
          <w:rFonts w:hint="eastAsia" w:eastAsia="仿宋"/>
          <w:sz w:val="32"/>
          <w:lang w:eastAsia="zh-CN"/>
        </w:rPr>
        <w:t>，</w:t>
      </w:r>
      <w:r>
        <w:rPr>
          <w:rFonts w:hint="eastAsia" w:eastAsia="仿宋"/>
          <w:sz w:val="32"/>
        </w:rPr>
        <w:t>做出更好更有深度的好新闻、好广告片、</w:t>
      </w:r>
      <w:r>
        <w:rPr>
          <w:rFonts w:hint="eastAsia" w:eastAsia="仿宋"/>
          <w:sz w:val="32"/>
          <w:lang w:val="en-US" w:eastAsia="zh-CN"/>
        </w:rPr>
        <w:t>好</w:t>
      </w:r>
      <w:r>
        <w:rPr>
          <w:rFonts w:hint="eastAsia" w:eastAsia="仿宋"/>
          <w:sz w:val="32"/>
        </w:rPr>
        <w:t>专题片。</w:t>
      </w:r>
    </w:p>
    <w:p w14:paraId="3821BEA5">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eastAsia="仿宋"/>
          <w:sz w:val="32"/>
        </w:rPr>
        <w:t>2、</w:t>
      </w:r>
      <w:r>
        <w:rPr>
          <w:rFonts w:hint="eastAsia" w:eastAsia="仿宋"/>
          <w:sz w:val="32"/>
          <w:lang w:val="en-US" w:eastAsia="zh-CN"/>
        </w:rPr>
        <w:t>努力创新，</w:t>
      </w:r>
      <w:r>
        <w:rPr>
          <w:rFonts w:hint="eastAsia" w:eastAsia="仿宋"/>
          <w:sz w:val="32"/>
        </w:rPr>
        <w:t>展示昭化良好形象，助推全区经济社会发展大局。</w:t>
      </w:r>
    </w:p>
    <w:p w14:paraId="4BEB466A">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（三）相关建议</w:t>
      </w:r>
    </w:p>
    <w:p w14:paraId="795749B7">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1、做好“三审三校”，保证节目播控安全。</w:t>
      </w:r>
    </w:p>
    <w:p w14:paraId="5FC993CC">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2、做好宣传工作，加强舆论引导，用心用情服务人民群众。</w:t>
      </w:r>
    </w:p>
    <w:p w14:paraId="0F5674E1">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p w14:paraId="760E50C6">
      <w:pPr>
        <w:pStyle w:val="15"/>
        <w:rPr>
          <w:rFonts w:hint="eastAsia" w:ascii="黑体" w:hAnsi="黑体" w:eastAsia="黑体"/>
          <w:color w:val="auto"/>
          <w:sz w:val="44"/>
          <w:szCs w:val="44"/>
          <w:highlight w:val="none"/>
        </w:rPr>
      </w:pPr>
    </w:p>
    <w:p w14:paraId="17BD8C95">
      <w:pPr>
        <w:rPr>
          <w:rFonts w:hint="eastAsia" w:ascii="黑体" w:hAnsi="黑体" w:eastAsia="黑体"/>
          <w:color w:val="auto"/>
          <w:sz w:val="44"/>
          <w:szCs w:val="44"/>
          <w:highlight w:val="none"/>
        </w:rPr>
      </w:pPr>
    </w:p>
    <w:p w14:paraId="7CEC2BB0">
      <w:pPr>
        <w:pStyle w:val="15"/>
        <w:rPr>
          <w:rFonts w:hint="eastAsia" w:ascii="黑体" w:hAnsi="黑体" w:eastAsia="黑体"/>
          <w:color w:val="auto"/>
          <w:sz w:val="44"/>
          <w:szCs w:val="44"/>
          <w:highlight w:val="none"/>
        </w:rPr>
      </w:pPr>
    </w:p>
    <w:p w14:paraId="21711664">
      <w:pPr>
        <w:rPr>
          <w:rFonts w:hint="eastAsia" w:ascii="黑体" w:hAnsi="黑体" w:eastAsia="黑体"/>
          <w:color w:val="auto"/>
          <w:sz w:val="44"/>
          <w:szCs w:val="44"/>
          <w:highlight w:val="none"/>
        </w:rPr>
      </w:pPr>
    </w:p>
    <w:p w14:paraId="3CF9B504">
      <w:pPr>
        <w:pStyle w:val="15"/>
        <w:rPr>
          <w:rFonts w:hint="eastAsia" w:ascii="黑体" w:hAnsi="黑体" w:eastAsia="黑体"/>
          <w:color w:val="auto"/>
          <w:sz w:val="44"/>
          <w:szCs w:val="44"/>
          <w:highlight w:val="none"/>
        </w:rPr>
      </w:pPr>
    </w:p>
    <w:tbl>
      <w:tblPr>
        <w:tblStyle w:val="16"/>
        <w:tblW w:w="9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5"/>
        <w:gridCol w:w="786"/>
        <w:gridCol w:w="785"/>
        <w:gridCol w:w="808"/>
        <w:gridCol w:w="762"/>
        <w:gridCol w:w="1116"/>
        <w:gridCol w:w="763"/>
        <w:gridCol w:w="936"/>
        <w:gridCol w:w="774"/>
        <w:gridCol w:w="762"/>
        <w:gridCol w:w="1483"/>
      </w:tblGrid>
      <w:tr w14:paraId="0A0D0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6" w:hRule="atLeast"/>
        </w:trPr>
        <w:tc>
          <w:tcPr>
            <w:tcW w:w="97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2E06570">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46E04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16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B151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2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8361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51081122T000006884670-昭化区融媒体中心建设项目—设备采购项目</w:t>
            </w:r>
          </w:p>
        </w:tc>
      </w:tr>
      <w:tr w14:paraId="30F1D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16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051B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10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7E33E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广元市昭化区融媒体中心部门</w:t>
            </w:r>
          </w:p>
        </w:tc>
        <w:tc>
          <w:tcPr>
            <w:tcW w:w="817" w:type="dxa"/>
            <w:tcBorders>
              <w:top w:val="nil"/>
              <w:left w:val="nil"/>
              <w:bottom w:val="nil"/>
              <w:right w:val="nil"/>
            </w:tcBorders>
            <w:shd w:val="clear" w:color="auto" w:fill="auto"/>
            <w:vAlign w:val="center"/>
          </w:tcPr>
          <w:p w14:paraId="47F34249">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2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5130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广元市昭化区融媒体中心</w:t>
            </w:r>
          </w:p>
        </w:tc>
      </w:tr>
      <w:tr w14:paraId="1A400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E55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5513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10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8B54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02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BFBEE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C95A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019FF">
            <w:pP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83E0C">
            <w:pPr>
              <w:rPr>
                <w:rFonts w:hint="eastAsia" w:ascii="宋体" w:hAnsi="宋体" w:eastAsia="宋体" w:cs="宋体"/>
                <w:i w:val="0"/>
                <w:iCs w:val="0"/>
                <w:color w:val="000000"/>
                <w:sz w:val="18"/>
                <w:szCs w:val="18"/>
                <w:u w:val="none"/>
              </w:rPr>
            </w:pPr>
          </w:p>
        </w:tc>
        <w:tc>
          <w:tcPr>
            <w:tcW w:w="410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F6F2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为全面完成各级各类宣传任务，本年对融媒体中心平台运维升级1次，保障每日正常持续运转。</w:t>
            </w:r>
          </w:p>
        </w:tc>
        <w:tc>
          <w:tcPr>
            <w:tcW w:w="402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A2C2D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融媒体中心平台年内运维升级1次，全年平台运维升级1次，全面完成各项宣传任务。</w:t>
            </w:r>
          </w:p>
        </w:tc>
      </w:tr>
      <w:tr w14:paraId="4798F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4C4FB">
            <w:pP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F58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2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EE535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融媒体中心系统平台2022年度内升级修护1次、报修率1次，经费支付额度达到100%，受惠群众满意度95%，新闻等宣传报道率、转发率达到100%。其中，昭化区在中央、省、市级主流媒体发稿6686条。其中，人民日报发稿6条（头版头条1条），中央电视台发稿27条（新闻联播5条），中央级其它报刊28条；四川日报发稿32条（头版4条），四川电视台发稿158条（四川新闻联播59条）；其中在《广元新闻》、《新闻点击》、《直通县区》用稿 800余条。</w:t>
            </w:r>
          </w:p>
        </w:tc>
      </w:tr>
      <w:tr w14:paraId="733D1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1923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A4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7F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0A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C895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85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B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10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0B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776D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569B2">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37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7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73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116.52</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6884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0F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4A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E6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63E34">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D351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D2E72">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DE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2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96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116.52</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BDFE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CA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92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0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D1B4E">
            <w:pPr>
              <w:rPr>
                <w:rFonts w:hint="eastAsia" w:ascii="黑体" w:hAnsi="黑体" w:eastAsia="黑体" w:cs="黑体"/>
                <w:i/>
                <w:iCs/>
                <w:color w:val="000000"/>
                <w:sz w:val="18"/>
                <w:szCs w:val="18"/>
                <w:u w:val="none"/>
              </w:rPr>
            </w:pPr>
          </w:p>
        </w:tc>
      </w:tr>
      <w:tr w14:paraId="2D0DB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C4631">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3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B2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C4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DA29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F6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9F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D9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9A700">
            <w:pPr>
              <w:rPr>
                <w:rFonts w:hint="eastAsia" w:ascii="黑体" w:hAnsi="黑体" w:eastAsia="黑体" w:cs="黑体"/>
                <w:i/>
                <w:iCs/>
                <w:color w:val="000000"/>
                <w:sz w:val="18"/>
                <w:szCs w:val="18"/>
                <w:u w:val="none"/>
              </w:rPr>
            </w:pPr>
          </w:p>
        </w:tc>
      </w:tr>
      <w:tr w14:paraId="39EFE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D6CD6">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15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D4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28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441E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C1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49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09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58FA9">
            <w:pPr>
              <w:rPr>
                <w:rFonts w:hint="eastAsia" w:ascii="黑体" w:hAnsi="黑体" w:eastAsia="黑体" w:cs="黑体"/>
                <w:i/>
                <w:iCs/>
                <w:color w:val="000000"/>
                <w:sz w:val="18"/>
                <w:szCs w:val="18"/>
                <w:u w:val="none"/>
              </w:rPr>
            </w:pPr>
          </w:p>
        </w:tc>
      </w:tr>
      <w:tr w14:paraId="58D43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552E2">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0D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851B">
            <w:pPr>
              <w:jc w:val="center"/>
              <w:rPr>
                <w:rFonts w:hint="eastAsia" w:ascii="微软雅黑" w:hAnsi="微软雅黑" w:eastAsia="微软雅黑" w:cs="微软雅黑"/>
                <w:i/>
                <w:iCs/>
                <w:color w:val="000000"/>
                <w:sz w:val="16"/>
                <w:szCs w:val="16"/>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3D30">
            <w:pPr>
              <w:jc w:val="center"/>
              <w:rPr>
                <w:rFonts w:hint="eastAsia" w:ascii="微软雅黑" w:hAnsi="微软雅黑" w:eastAsia="微软雅黑" w:cs="微软雅黑"/>
                <w:i/>
                <w:iCs/>
                <w:color w:val="000000"/>
                <w:sz w:val="16"/>
                <w:szCs w:val="16"/>
                <w:u w:val="none"/>
              </w:rPr>
            </w:pP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FB208D">
            <w:pPr>
              <w:jc w:val="center"/>
              <w:rPr>
                <w:rFonts w:hint="eastAsia" w:ascii="微软雅黑" w:hAnsi="微软雅黑" w:eastAsia="微软雅黑" w:cs="微软雅黑"/>
                <w:i/>
                <w:iCs/>
                <w:color w:val="000000"/>
                <w:sz w:val="16"/>
                <w:szCs w:val="16"/>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3541">
            <w:pPr>
              <w:jc w:val="center"/>
              <w:rPr>
                <w:rFonts w:hint="eastAsia" w:ascii="微软雅黑" w:hAnsi="微软雅黑" w:eastAsia="微软雅黑" w:cs="微软雅黑"/>
                <w:i/>
                <w:iCs/>
                <w:color w:val="000000"/>
                <w:sz w:val="16"/>
                <w:szCs w:val="16"/>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B0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9A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2CDB6">
            <w:pPr>
              <w:rPr>
                <w:rFonts w:hint="eastAsia" w:ascii="黑体" w:hAnsi="黑体" w:eastAsia="黑体" w:cs="黑体"/>
                <w:i/>
                <w:iCs/>
                <w:color w:val="000000"/>
                <w:sz w:val="18"/>
                <w:szCs w:val="18"/>
                <w:u w:val="none"/>
              </w:rPr>
            </w:pPr>
          </w:p>
        </w:tc>
      </w:tr>
      <w:tr w14:paraId="2707F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59F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01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5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E6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E0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E3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A7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30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C2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DC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C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000A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4A03F">
            <w:pPr>
              <w:jc w:val="center"/>
              <w:rPr>
                <w:rFonts w:hint="eastAsia" w:ascii="宋体" w:hAnsi="宋体" w:eastAsia="宋体" w:cs="宋体"/>
                <w:i w:val="0"/>
                <w:iCs w:val="0"/>
                <w:color w:val="000000"/>
                <w:sz w:val="18"/>
                <w:szCs w:val="18"/>
                <w:u w:val="none"/>
              </w:rPr>
            </w:pP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2C2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45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9A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平台升级</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63E1">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8D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4988">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C3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D9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92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0C56">
            <w:pPr>
              <w:jc w:val="center"/>
              <w:rPr>
                <w:rFonts w:hint="eastAsia" w:ascii="宋体" w:hAnsi="宋体" w:eastAsia="宋体" w:cs="宋体"/>
                <w:i w:val="0"/>
                <w:iCs w:val="0"/>
                <w:color w:val="000000"/>
                <w:sz w:val="18"/>
                <w:szCs w:val="18"/>
                <w:u w:val="none"/>
              </w:rPr>
            </w:pPr>
          </w:p>
        </w:tc>
      </w:tr>
      <w:tr w14:paraId="19D31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BCC74">
            <w:pPr>
              <w:jc w:val="cente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E161E">
            <w:pPr>
              <w:jc w:val="center"/>
              <w:rPr>
                <w:rFonts w:hint="eastAsia" w:ascii="宋体" w:hAnsi="宋体" w:eastAsia="宋体" w:cs="宋体"/>
                <w:i w:val="0"/>
                <w:iCs w:val="0"/>
                <w:color w:val="000000"/>
                <w:sz w:val="18"/>
                <w:szCs w:val="18"/>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0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DB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故障报修率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66FE">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DD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DDE0">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F0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AB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A6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719F">
            <w:pPr>
              <w:jc w:val="center"/>
              <w:rPr>
                <w:rFonts w:hint="eastAsia" w:ascii="宋体" w:hAnsi="宋体" w:eastAsia="宋体" w:cs="宋体"/>
                <w:i w:val="0"/>
                <w:iCs w:val="0"/>
                <w:color w:val="000000"/>
                <w:sz w:val="18"/>
                <w:szCs w:val="18"/>
                <w:u w:val="none"/>
              </w:rPr>
            </w:pPr>
          </w:p>
        </w:tc>
      </w:tr>
      <w:tr w14:paraId="2CA04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6480E">
            <w:pPr>
              <w:jc w:val="cente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BBD41">
            <w:pPr>
              <w:jc w:val="center"/>
              <w:rPr>
                <w:rFonts w:hint="eastAsia" w:ascii="宋体" w:hAnsi="宋体" w:eastAsia="宋体" w:cs="宋体"/>
                <w:i w:val="0"/>
                <w:iCs w:val="0"/>
                <w:color w:val="000000"/>
                <w:sz w:val="18"/>
                <w:szCs w:val="18"/>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80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9E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报修及时性</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B831">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FC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≤3天</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803F">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A9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无</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ED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83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AC57">
            <w:pPr>
              <w:jc w:val="center"/>
              <w:rPr>
                <w:rFonts w:hint="eastAsia" w:ascii="宋体" w:hAnsi="宋体" w:eastAsia="宋体" w:cs="宋体"/>
                <w:i w:val="0"/>
                <w:iCs w:val="0"/>
                <w:color w:val="000000"/>
                <w:sz w:val="18"/>
                <w:szCs w:val="18"/>
                <w:u w:val="none"/>
              </w:rPr>
            </w:pPr>
          </w:p>
        </w:tc>
      </w:tr>
      <w:tr w14:paraId="09F61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20D0E">
            <w:pPr>
              <w:jc w:val="cente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91144">
            <w:pPr>
              <w:jc w:val="center"/>
              <w:rPr>
                <w:rFonts w:hint="eastAsia" w:ascii="宋体" w:hAnsi="宋体" w:eastAsia="宋体" w:cs="宋体"/>
                <w:i w:val="0"/>
                <w:iCs w:val="0"/>
                <w:color w:val="000000"/>
                <w:sz w:val="18"/>
                <w:szCs w:val="18"/>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23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6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经费支出额度</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E186">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7B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≤116.5172万元</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C05D">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5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116.5172万元</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22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A4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3069">
            <w:pPr>
              <w:jc w:val="center"/>
              <w:rPr>
                <w:rFonts w:hint="eastAsia" w:ascii="宋体" w:hAnsi="宋体" w:eastAsia="宋体" w:cs="宋体"/>
                <w:i w:val="0"/>
                <w:iCs w:val="0"/>
                <w:color w:val="000000"/>
                <w:sz w:val="18"/>
                <w:szCs w:val="18"/>
                <w:u w:val="none"/>
              </w:rPr>
            </w:pPr>
          </w:p>
        </w:tc>
      </w:tr>
      <w:tr w14:paraId="51BA2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EC10D">
            <w:pPr>
              <w:jc w:val="center"/>
              <w:rPr>
                <w:rFonts w:hint="eastAsia" w:ascii="宋体" w:hAnsi="宋体" w:eastAsia="宋体" w:cs="宋体"/>
                <w:i w:val="0"/>
                <w:iCs w:val="0"/>
                <w:color w:val="000000"/>
                <w:sz w:val="18"/>
                <w:szCs w:val="18"/>
                <w:u w:val="none"/>
              </w:rPr>
            </w:pP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F33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6A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8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年度优秀作品获奖次数</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8C1A">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A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E31B">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21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04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1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3353">
            <w:pPr>
              <w:jc w:val="center"/>
              <w:rPr>
                <w:rFonts w:hint="eastAsia" w:ascii="宋体" w:hAnsi="宋体" w:eastAsia="宋体" w:cs="宋体"/>
                <w:i w:val="0"/>
                <w:iCs w:val="0"/>
                <w:color w:val="000000"/>
                <w:sz w:val="18"/>
                <w:szCs w:val="18"/>
                <w:u w:val="none"/>
              </w:rPr>
            </w:pPr>
          </w:p>
        </w:tc>
      </w:tr>
      <w:tr w14:paraId="66DD5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8CCF9">
            <w:pPr>
              <w:jc w:val="cente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299D9">
            <w:pPr>
              <w:jc w:val="center"/>
              <w:rPr>
                <w:rFonts w:hint="eastAsia" w:ascii="宋体" w:hAnsi="宋体" w:eastAsia="宋体" w:cs="宋体"/>
                <w:i w:val="0"/>
                <w:iCs w:val="0"/>
                <w:color w:val="000000"/>
                <w:sz w:val="18"/>
                <w:szCs w:val="18"/>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9C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28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平台转发率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191C">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4E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9113">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DF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4B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6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80E2">
            <w:pPr>
              <w:jc w:val="center"/>
              <w:rPr>
                <w:rFonts w:hint="eastAsia" w:ascii="宋体" w:hAnsi="宋体" w:eastAsia="宋体" w:cs="宋体"/>
                <w:i w:val="0"/>
                <w:iCs w:val="0"/>
                <w:color w:val="000000"/>
                <w:sz w:val="18"/>
                <w:szCs w:val="18"/>
                <w:u w:val="none"/>
              </w:rPr>
            </w:pPr>
          </w:p>
        </w:tc>
      </w:tr>
      <w:tr w14:paraId="224EF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7111E">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32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26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82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受惠群众满意度</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1BB3">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24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7376">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6E4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D4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00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76DC">
            <w:pPr>
              <w:jc w:val="center"/>
              <w:rPr>
                <w:rFonts w:hint="eastAsia" w:ascii="微软雅黑" w:hAnsi="微软雅黑" w:eastAsia="微软雅黑" w:cs="微软雅黑"/>
                <w:i/>
                <w:iCs/>
                <w:color w:val="000000"/>
                <w:sz w:val="16"/>
                <w:szCs w:val="16"/>
                <w:u w:val="none"/>
              </w:rPr>
            </w:pPr>
          </w:p>
        </w:tc>
      </w:tr>
      <w:tr w14:paraId="0DFCC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655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7120A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1B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6D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C9C0">
            <w:pPr>
              <w:rPr>
                <w:rFonts w:hint="eastAsia" w:ascii="宋体" w:hAnsi="宋体" w:eastAsia="宋体" w:cs="宋体"/>
                <w:i w:val="0"/>
                <w:iCs w:val="0"/>
                <w:color w:val="000000"/>
                <w:sz w:val="18"/>
                <w:szCs w:val="18"/>
                <w:u w:val="none"/>
              </w:rPr>
            </w:pPr>
          </w:p>
        </w:tc>
      </w:tr>
      <w:tr w14:paraId="22CC5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B1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94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059B2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区融媒体中心2022年度融媒体中心建设项目资金支出合规合法，较好地完成了年度目标绩效任务，对标项目支出绩效评价指标体系，我单位对本项目进行总体自评，评价结果为：优，得分96分。</w:t>
            </w:r>
          </w:p>
        </w:tc>
      </w:tr>
      <w:tr w14:paraId="7EE6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E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94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A2B766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1、追求稿件精品创作，做出更好更有深度的好新闻、好广告片、好专题片。</w:t>
            </w:r>
            <w:r>
              <w:rPr>
                <w:rFonts w:hint="eastAsia" w:ascii="微软雅黑" w:hAnsi="微软雅黑" w:eastAsia="微软雅黑" w:cs="微软雅黑"/>
                <w:i/>
                <w:iCs/>
                <w:color w:val="000000"/>
                <w:kern w:val="0"/>
                <w:sz w:val="16"/>
                <w:szCs w:val="16"/>
                <w:u w:val="none"/>
                <w:lang w:val="en-US" w:eastAsia="zh-CN" w:bidi="ar"/>
              </w:rPr>
              <w:br w:type="textWrapping"/>
            </w:r>
            <w:r>
              <w:rPr>
                <w:rFonts w:hint="eastAsia" w:ascii="微软雅黑" w:hAnsi="微软雅黑" w:eastAsia="微软雅黑" w:cs="微软雅黑"/>
                <w:i/>
                <w:iCs/>
                <w:color w:val="000000"/>
                <w:kern w:val="0"/>
                <w:sz w:val="16"/>
                <w:szCs w:val="16"/>
                <w:u w:val="none"/>
                <w:lang w:val="en-US" w:eastAsia="zh-CN" w:bidi="ar"/>
              </w:rPr>
              <w:t>2、努力创新，展示昭化良好形象，助推全区经济社会发展大局。</w:t>
            </w:r>
          </w:p>
        </w:tc>
      </w:tr>
      <w:tr w14:paraId="28C4F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39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94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33289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1、做好“三审三校”，保证节目播控安全。</w:t>
            </w:r>
            <w:r>
              <w:rPr>
                <w:rFonts w:hint="eastAsia" w:ascii="微软雅黑" w:hAnsi="微软雅黑" w:eastAsia="微软雅黑" w:cs="微软雅黑"/>
                <w:i/>
                <w:iCs/>
                <w:color w:val="000000"/>
                <w:kern w:val="0"/>
                <w:sz w:val="16"/>
                <w:szCs w:val="16"/>
                <w:u w:val="none"/>
                <w:lang w:val="en-US" w:eastAsia="zh-CN" w:bidi="ar"/>
              </w:rPr>
              <w:br w:type="textWrapping"/>
            </w:r>
            <w:r>
              <w:rPr>
                <w:rFonts w:hint="eastAsia" w:ascii="微软雅黑" w:hAnsi="微软雅黑" w:eastAsia="微软雅黑" w:cs="微软雅黑"/>
                <w:i/>
                <w:iCs/>
                <w:color w:val="000000"/>
                <w:kern w:val="0"/>
                <w:sz w:val="16"/>
                <w:szCs w:val="16"/>
                <w:u w:val="none"/>
                <w:lang w:val="en-US" w:eastAsia="zh-CN" w:bidi="ar"/>
              </w:rPr>
              <w:t>2、做好宣传工作，加强舆论引导，用心用情服务人民群众。</w:t>
            </w:r>
          </w:p>
        </w:tc>
      </w:tr>
      <w:tr w14:paraId="53D47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0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C4A5A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项目负责人：邢洪</w:t>
            </w:r>
          </w:p>
        </w:tc>
        <w:tc>
          <w:tcPr>
            <w:tcW w:w="5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DB0CB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财务负责人：白琳</w:t>
            </w:r>
          </w:p>
        </w:tc>
      </w:tr>
    </w:tbl>
    <w:p w14:paraId="4A73B85A">
      <w:pPr>
        <w:rPr>
          <w:rFonts w:hint="eastAsia" w:ascii="黑体" w:hAnsi="黑体" w:eastAsia="黑体"/>
          <w:color w:val="auto"/>
          <w:sz w:val="44"/>
          <w:szCs w:val="44"/>
          <w:highlight w:val="none"/>
        </w:rPr>
      </w:pPr>
    </w:p>
    <w:p w14:paraId="0249EC8A">
      <w:pPr>
        <w:pStyle w:val="15"/>
        <w:rPr>
          <w:rFonts w:hint="eastAsia" w:ascii="黑体" w:hAnsi="黑体" w:eastAsia="黑体"/>
          <w:color w:val="auto"/>
          <w:sz w:val="44"/>
          <w:szCs w:val="44"/>
          <w:highlight w:val="none"/>
        </w:rPr>
      </w:pPr>
    </w:p>
    <w:p w14:paraId="2C6683EB">
      <w:pPr>
        <w:pStyle w:val="15"/>
        <w:rPr>
          <w:rFonts w:hint="eastAsia" w:ascii="黑体" w:hAnsi="黑体" w:eastAsia="黑体"/>
          <w:color w:val="auto"/>
          <w:sz w:val="44"/>
          <w:szCs w:val="44"/>
          <w:highlight w:val="none"/>
        </w:rPr>
      </w:pPr>
    </w:p>
    <w:p w14:paraId="317F20C2">
      <w:pPr>
        <w:pStyle w:val="15"/>
        <w:rPr>
          <w:rFonts w:hint="eastAsia" w:ascii="黑体" w:hAnsi="黑体" w:eastAsia="黑体"/>
          <w:color w:val="auto"/>
          <w:sz w:val="44"/>
          <w:szCs w:val="44"/>
          <w:highlight w:val="none"/>
        </w:rPr>
      </w:pPr>
    </w:p>
    <w:p w14:paraId="51ECEA28">
      <w:pPr>
        <w:pStyle w:val="15"/>
        <w:rPr>
          <w:rFonts w:hint="eastAsia" w:ascii="黑体" w:hAnsi="黑体" w:eastAsia="黑体"/>
          <w:color w:val="auto"/>
          <w:sz w:val="44"/>
          <w:szCs w:val="44"/>
          <w:highlight w:val="none"/>
        </w:rPr>
      </w:pPr>
    </w:p>
    <w:p w14:paraId="7CAA27EB">
      <w:pPr>
        <w:pStyle w:val="15"/>
        <w:rPr>
          <w:rFonts w:hint="eastAsia" w:ascii="黑体" w:hAnsi="黑体" w:eastAsia="黑体"/>
          <w:color w:val="auto"/>
          <w:sz w:val="44"/>
          <w:szCs w:val="44"/>
          <w:highlight w:val="none"/>
        </w:rPr>
      </w:pPr>
    </w:p>
    <w:p w14:paraId="271E5949">
      <w:pPr>
        <w:pStyle w:val="15"/>
        <w:rPr>
          <w:rFonts w:hint="eastAsia" w:ascii="黑体" w:hAnsi="黑体" w:eastAsia="黑体"/>
          <w:color w:val="auto"/>
          <w:sz w:val="44"/>
          <w:szCs w:val="44"/>
          <w:highlight w:val="none"/>
        </w:rPr>
      </w:pPr>
    </w:p>
    <w:p w14:paraId="799A5580">
      <w:pPr>
        <w:pStyle w:val="15"/>
        <w:rPr>
          <w:rFonts w:hint="eastAsia" w:ascii="黑体" w:hAnsi="黑体" w:eastAsia="黑体"/>
          <w:color w:val="auto"/>
          <w:sz w:val="44"/>
          <w:szCs w:val="44"/>
          <w:highlight w:val="none"/>
        </w:rPr>
      </w:pPr>
    </w:p>
    <w:p w14:paraId="7E300772">
      <w:pPr>
        <w:pStyle w:val="5"/>
        <w:keepNext w:val="0"/>
        <w:keepLines w:val="0"/>
        <w:pageBreakBefore w:val="0"/>
        <w:wordWrap/>
        <w:overflowPunct/>
        <w:topLinePunct w:val="0"/>
        <w:bidi w:val="0"/>
        <w:spacing w:line="560" w:lineRule="exact"/>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4</w:t>
      </w:r>
    </w:p>
    <w:p w14:paraId="30EAE2DC">
      <w:pPr>
        <w:pStyle w:val="36"/>
        <w:keepNext w:val="0"/>
        <w:keepLines w:val="0"/>
        <w:pageBreakBefore w:val="0"/>
        <w:widowControl w:val="0"/>
        <w:kinsoku/>
        <w:wordWrap/>
        <w:overflowPunct/>
        <w:topLinePunct w:val="0"/>
        <w:autoSpaceDE/>
        <w:autoSpaceDN/>
        <w:bidi w:val="0"/>
        <w:spacing w:line="560" w:lineRule="exact"/>
        <w:jc w:val="center"/>
        <w:textAlignment w:val="auto"/>
        <w:rPr>
          <w:rFonts w:hint="default"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广元市昭化区融媒体中心</w:t>
      </w:r>
    </w:p>
    <w:p w14:paraId="425F9CE0">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2023年昭化区融媒体中心聘用人员政府购买服务项目</w:t>
      </w:r>
    </w:p>
    <w:p w14:paraId="44B83BAE">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highlight w:val="none"/>
        </w:rPr>
      </w:pPr>
      <w:r>
        <w:rPr>
          <w:rFonts w:hint="eastAsia" w:ascii="方正小标宋简体" w:hAnsi="方正小标宋简体" w:eastAsia="方正小标宋简体" w:cs="方正小标宋简体"/>
          <w:color w:val="auto"/>
          <w:kern w:val="2"/>
          <w:sz w:val="32"/>
          <w:szCs w:val="32"/>
          <w:highlight w:val="none"/>
          <w:lang w:val="en-US" w:eastAsia="zh-CN"/>
        </w:rPr>
        <w:t>绩效自评报告</w:t>
      </w:r>
    </w:p>
    <w:p w14:paraId="307CCC7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lang w:val="zh-CN"/>
        </w:rPr>
      </w:pPr>
      <w:r>
        <w:rPr>
          <w:rFonts w:hint="eastAsia" w:ascii="黑体" w:hAnsi="宋体" w:eastAsia="黑体"/>
          <w:color w:val="auto"/>
          <w:sz w:val="32"/>
          <w:szCs w:val="32"/>
          <w:highlight w:val="none"/>
        </w:rPr>
        <w:t>一、</w:t>
      </w:r>
      <w:r>
        <w:rPr>
          <w:rFonts w:hint="eastAsia" w:ascii="黑体" w:hAnsi="宋体" w:eastAsia="黑体"/>
          <w:color w:val="auto"/>
          <w:sz w:val="32"/>
          <w:szCs w:val="32"/>
          <w:highlight w:val="none"/>
          <w:lang w:val="zh-CN"/>
        </w:rPr>
        <w:t>项目概况</w:t>
      </w:r>
    </w:p>
    <w:p w14:paraId="10D68877">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（一）项目基本情况</w:t>
      </w:r>
    </w:p>
    <w:p w14:paraId="2F7975A8">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1．项目主管部门（单位）在该项目管理中的职能。</w:t>
      </w:r>
    </w:p>
    <w:p w14:paraId="19E92E64">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14:paraId="2911003A">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承担全区广播</w:t>
      </w:r>
      <w:r>
        <w:rPr>
          <w:rFonts w:hint="eastAsia" w:ascii="Times New Roman" w:hAnsi="Times New Roman" w:eastAsia="仿宋_GB2312"/>
          <w:sz w:val="32"/>
          <w:szCs w:val="32"/>
          <w:lang w:eastAsia="zh-CN"/>
        </w:rPr>
        <w:t>、</w:t>
      </w:r>
      <w:r>
        <w:rPr>
          <w:rFonts w:ascii="Times New Roman" w:hAnsi="Times New Roman" w:eastAsia="仿宋_GB2312"/>
          <w:sz w:val="32"/>
          <w:szCs w:val="32"/>
        </w:rPr>
        <w:t>电视</w:t>
      </w:r>
      <w:r>
        <w:rPr>
          <w:rFonts w:hint="eastAsia" w:ascii="Times New Roman" w:hAnsi="Times New Roman" w:eastAsia="仿宋_GB2312"/>
          <w:sz w:val="32"/>
          <w:szCs w:val="32"/>
          <w:lang w:eastAsia="zh-CN"/>
        </w:rPr>
        <w:t>、</w:t>
      </w:r>
      <w:r>
        <w:rPr>
          <w:rFonts w:ascii="Times New Roman" w:hAnsi="Times New Roman" w:eastAsia="仿宋_GB2312"/>
          <w:sz w:val="32"/>
          <w:szCs w:val="32"/>
        </w:rPr>
        <w:t>新媒体宣传工作，坚持正确的舆论导向，拟定宣传要点，收集、采编发射和传输节目，提高节目质量；做好“昭化融媒”手机APP、“微信公众号”、微博，开展采集、制作、播发、刊载新闻信息及产品等工作。办好昭化地方特色的新闻节目和其他综合性节目，加大对外宣传力度，协助指导镇广播宣传工作。</w:t>
      </w:r>
    </w:p>
    <w:p w14:paraId="3CEF8A06">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14:paraId="57A2B5D3">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14:paraId="04A0CDF5">
      <w:pPr>
        <w:keepNext w:val="0"/>
        <w:keepLines w:val="0"/>
        <w:pageBreakBefore w:val="0"/>
        <w:widowControl/>
        <w:numPr>
          <w:ilvl w:val="0"/>
          <w:numId w:val="1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项目立项、资金申报的依据。</w:t>
      </w:r>
    </w:p>
    <w:p w14:paraId="0E4F26B8">
      <w:pPr>
        <w:ind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2018年</w:t>
      </w:r>
      <w:r>
        <w:rPr>
          <w:rFonts w:hint="eastAsia" w:ascii="仿宋_GB2312" w:hAnsi="宋体" w:eastAsia="仿宋_GB2312"/>
          <w:sz w:val="32"/>
          <w:szCs w:val="32"/>
        </w:rPr>
        <w:t>8月21日</w:t>
      </w:r>
      <w:r>
        <w:rPr>
          <w:rFonts w:hint="eastAsia" w:ascii="仿宋_GB2312" w:hAnsi="宋体" w:eastAsia="仿宋_GB2312"/>
          <w:sz w:val="32"/>
          <w:szCs w:val="32"/>
          <w:lang w:eastAsia="zh-CN"/>
        </w:rPr>
        <w:t>，</w:t>
      </w:r>
      <w:r>
        <w:rPr>
          <w:rFonts w:hint="eastAsia" w:ascii="仿宋_GB2312" w:hAnsi="宋体" w:eastAsia="仿宋_GB2312"/>
          <w:sz w:val="32"/>
          <w:szCs w:val="32"/>
        </w:rPr>
        <w:t>习近平</w:t>
      </w:r>
      <w:r>
        <w:rPr>
          <w:rFonts w:hint="eastAsia" w:ascii="仿宋_GB2312" w:hAnsi="宋体" w:eastAsia="仿宋_GB2312"/>
          <w:sz w:val="32"/>
          <w:szCs w:val="32"/>
          <w:lang w:eastAsia="zh-CN"/>
        </w:rPr>
        <w:t>总书记</w:t>
      </w:r>
      <w:r>
        <w:rPr>
          <w:rFonts w:hint="eastAsia" w:ascii="仿宋_GB2312" w:hAnsi="宋体" w:eastAsia="仿宋_GB2312"/>
          <w:sz w:val="32"/>
          <w:szCs w:val="32"/>
        </w:rPr>
        <w:t>在召开的全国宣传思想工作会议上指出，</w:t>
      </w:r>
      <w:r>
        <w:rPr>
          <w:rFonts w:hint="eastAsia" w:ascii="仿宋_GB2312" w:hAnsi="宋体" w:eastAsia="仿宋_GB2312"/>
          <w:sz w:val="32"/>
          <w:szCs w:val="32"/>
          <w:lang w:eastAsia="zh-CN"/>
        </w:rPr>
        <w:t>“</w:t>
      </w:r>
      <w:r>
        <w:rPr>
          <w:rFonts w:hint="eastAsia" w:ascii="仿宋_GB2312" w:hAnsi="宋体" w:eastAsia="仿宋_GB2312"/>
          <w:sz w:val="32"/>
          <w:szCs w:val="32"/>
        </w:rPr>
        <w:t>要扎实抓好县级融媒体中心建设，更好引导群众、服务群众</w:t>
      </w:r>
      <w:r>
        <w:rPr>
          <w:rFonts w:hint="eastAsia" w:ascii="仿宋_GB2312" w:hAnsi="宋体" w:eastAsia="仿宋_GB2312"/>
          <w:sz w:val="32"/>
          <w:szCs w:val="32"/>
          <w:lang w:eastAsia="zh-CN"/>
        </w:rPr>
        <w:t>”</w:t>
      </w:r>
      <w:r>
        <w:rPr>
          <w:rFonts w:hint="eastAsia" w:ascii="仿宋_GB2312" w:hAnsi="宋体" w:eastAsia="仿宋_GB2312"/>
          <w:sz w:val="32"/>
          <w:szCs w:val="32"/>
        </w:rPr>
        <w:t>。</w:t>
      </w:r>
    </w:p>
    <w:p w14:paraId="57140CB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宋体" w:eastAsia="仿宋_GB2312"/>
          <w:sz w:val="32"/>
          <w:szCs w:val="32"/>
          <w:lang w:val="en-US" w:eastAsia="zh-CN"/>
        </w:rPr>
        <w:t>昭化区</w:t>
      </w:r>
      <w:r>
        <w:rPr>
          <w:rFonts w:hint="eastAsia" w:ascii="仿宋_GB2312" w:hAnsi="宋体" w:eastAsia="仿宋_GB2312"/>
          <w:sz w:val="32"/>
          <w:szCs w:val="32"/>
        </w:rPr>
        <w:t>根据中央、省</w:t>
      </w:r>
      <w:r>
        <w:rPr>
          <w:rFonts w:hint="eastAsia" w:ascii="仿宋_GB2312" w:hAnsi="宋体" w:eastAsia="仿宋_GB2312"/>
          <w:sz w:val="32"/>
          <w:szCs w:val="32"/>
          <w:lang w:eastAsia="zh-CN"/>
        </w:rPr>
        <w:t>、</w:t>
      </w:r>
      <w:r>
        <w:rPr>
          <w:rFonts w:hint="eastAsia" w:ascii="仿宋_GB2312" w:hAnsi="宋体" w:eastAsia="仿宋_GB2312"/>
          <w:sz w:val="32"/>
          <w:szCs w:val="32"/>
        </w:rPr>
        <w:t>市</w:t>
      </w:r>
      <w:r>
        <w:rPr>
          <w:rFonts w:hint="eastAsia" w:ascii="仿宋_GB2312" w:hAnsi="宋体" w:eastAsia="仿宋_GB2312"/>
          <w:sz w:val="32"/>
          <w:szCs w:val="32"/>
          <w:lang w:val="en-US" w:eastAsia="zh-CN"/>
        </w:rPr>
        <w:t>关于县级融媒体中心建设</w:t>
      </w:r>
      <w:r>
        <w:rPr>
          <w:rFonts w:hint="eastAsia" w:ascii="仿宋_GB2312" w:hAnsi="宋体" w:eastAsia="仿宋_GB2312"/>
          <w:sz w:val="32"/>
          <w:szCs w:val="32"/>
        </w:rPr>
        <w:t>相关</w:t>
      </w:r>
      <w:r>
        <w:rPr>
          <w:rFonts w:hint="eastAsia" w:ascii="仿宋_GB2312" w:hAnsi="宋体" w:eastAsia="仿宋_GB2312"/>
          <w:sz w:val="32"/>
          <w:szCs w:val="32"/>
          <w:lang w:val="en-US" w:eastAsia="zh-CN"/>
        </w:rPr>
        <w:t>文件精神，</w:t>
      </w:r>
      <w:r>
        <w:rPr>
          <w:rFonts w:hint="eastAsia" w:ascii="仿宋_GB2312" w:hAnsi="宋体" w:eastAsia="仿宋_GB2312"/>
          <w:sz w:val="32"/>
          <w:szCs w:val="32"/>
          <w:lang w:eastAsia="zh-CN"/>
        </w:rPr>
        <w:t>按照</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精心谋划，全力推进县级</w:t>
      </w:r>
      <w:r>
        <w:rPr>
          <w:rFonts w:hint="eastAsia" w:ascii="仿宋_GB2312" w:hAnsi="宋体" w:eastAsia="仿宋_GB2312"/>
          <w:sz w:val="32"/>
          <w:szCs w:val="32"/>
        </w:rPr>
        <w:t>融媒体中心建设</w:t>
      </w:r>
      <w:r>
        <w:rPr>
          <w:rFonts w:hint="eastAsia" w:ascii="仿宋_GB2312" w:hAnsi="宋体" w:eastAsia="仿宋_GB2312"/>
          <w:sz w:val="32"/>
          <w:szCs w:val="32"/>
          <w:lang w:val="en-US" w:eastAsia="zh-CN"/>
        </w:rPr>
        <w:t>。</w:t>
      </w:r>
    </w:p>
    <w:p w14:paraId="6F9E22EF">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或项目</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w:t>
      </w:r>
    </w:p>
    <w:p w14:paraId="2C6653C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 xml:space="preserve">    昭化区融媒体中心制定了《昭融媒项目管理办法》，在项目实施过程中，严格按照管理办法支付相关费用，无违法违规行为。</w:t>
      </w:r>
    </w:p>
    <w:p w14:paraId="2E9FB556">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w:t>
      </w:r>
      <w:r>
        <w:rPr>
          <w:rFonts w:hint="eastAsia" w:ascii="仿宋_GB2312" w:hAnsi="仿宋_GB2312" w:eastAsia="仿宋_GB2312" w:cs="仿宋_GB2312"/>
          <w:color w:val="auto"/>
          <w:kern w:val="0"/>
          <w:sz w:val="32"/>
          <w:szCs w:val="32"/>
          <w:highlight w:val="none"/>
          <w:u w:val="none"/>
          <w:shd w:val="clear" w:color="auto" w:fill="FFFFFF"/>
          <w:lang w:val="zh-CN"/>
        </w:rPr>
        <w:t>资金分配的原则及考虑因素。</w:t>
      </w:r>
    </w:p>
    <w:p w14:paraId="353179AC">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在项目实施过程中，严格按照财经纪律和《中华人民共和国会计法》规定，严格按照《昭融媒项目管理办法》，合理有序支付项目资金，确保年终按照项目进度全额拨款，</w:t>
      </w:r>
      <w:r>
        <w:rPr>
          <w:rFonts w:hint="eastAsia" w:eastAsia="仿宋"/>
          <w:sz w:val="32"/>
        </w:rPr>
        <w:t>真正做到财务公开透明守法守规</w:t>
      </w:r>
      <w:r>
        <w:rPr>
          <w:rFonts w:hint="eastAsia" w:eastAsia="仿宋"/>
          <w:sz w:val="32"/>
          <w:lang w:eastAsia="zh-CN"/>
        </w:rPr>
        <w:t>。</w:t>
      </w:r>
    </w:p>
    <w:p w14:paraId="03C068C4">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（二）项目绩效目标</w:t>
      </w:r>
    </w:p>
    <w:p w14:paraId="1A1E6C61">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1．项目主要内容。</w:t>
      </w:r>
    </w:p>
    <w:p w14:paraId="6DB94AD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w:t>
      </w:r>
      <w:r>
        <w:rPr>
          <w:rFonts w:hint="eastAsia" w:eastAsia="仿宋"/>
          <w:sz w:val="32"/>
          <w:lang w:val="en-US" w:eastAsia="zh-CN"/>
        </w:rPr>
        <w:t>聘用不少于13人，完成单位交办的各项目标工资任务。</w:t>
      </w:r>
    </w:p>
    <w:p w14:paraId="04CBF527">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项目应实现的具体绩效目标。</w:t>
      </w:r>
    </w:p>
    <w:p w14:paraId="33C545A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w:t>
      </w:r>
      <w:r>
        <w:rPr>
          <w:rFonts w:hint="eastAsia" w:eastAsia="仿宋"/>
          <w:sz w:val="32"/>
          <w:lang w:val="en-US" w:eastAsia="zh-CN"/>
        </w:rPr>
        <w:t>聘用人员政府购买服务</w:t>
      </w:r>
      <w:r>
        <w:rPr>
          <w:rFonts w:hint="eastAsia" w:eastAsia="仿宋"/>
          <w:sz w:val="32"/>
        </w:rPr>
        <w:t>项目年初设定绩效目标为：</w:t>
      </w:r>
      <w:r>
        <w:rPr>
          <w:rFonts w:hint="eastAsia" w:eastAsia="仿宋"/>
          <w:sz w:val="32"/>
          <w:lang w:val="en-US" w:eastAsia="zh-CN"/>
        </w:rPr>
        <w:t>中心每年聘用不少于13人，聘用人员任务完成合格率、聘用人员安全工作率达100%，聘用人员任务完成及时率、作品报道转发率达90%以上，</w:t>
      </w:r>
      <w:r>
        <w:rPr>
          <w:rFonts w:hint="eastAsia" w:eastAsia="仿宋"/>
          <w:sz w:val="32"/>
        </w:rPr>
        <w:t>聘用人员满意度</w:t>
      </w:r>
      <w:r>
        <w:rPr>
          <w:rFonts w:hint="eastAsia" w:eastAsia="仿宋"/>
          <w:sz w:val="32"/>
          <w:lang w:val="en-US" w:eastAsia="zh-CN"/>
        </w:rPr>
        <w:t>达9</w:t>
      </w:r>
      <w:r>
        <w:rPr>
          <w:rFonts w:hint="eastAsia" w:eastAsia="仿宋"/>
          <w:sz w:val="32"/>
        </w:rPr>
        <w:t>0%</w:t>
      </w:r>
      <w:r>
        <w:rPr>
          <w:rFonts w:hint="eastAsia" w:eastAsia="仿宋"/>
          <w:sz w:val="32"/>
          <w:lang w:val="en-US" w:eastAsia="zh-CN"/>
        </w:rPr>
        <w:t>以上，年度优秀作品获奖次数不少于1件</w:t>
      </w:r>
      <w:r>
        <w:rPr>
          <w:rFonts w:hint="eastAsia" w:eastAsia="仿宋"/>
          <w:sz w:val="32"/>
        </w:rPr>
        <w:t>。</w:t>
      </w:r>
    </w:p>
    <w:p w14:paraId="746D62A7">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（三）项目自评步骤及方法</w:t>
      </w:r>
    </w:p>
    <w:p w14:paraId="05C7FCBC">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区融媒体中心建设项目</w:t>
      </w:r>
      <w:r>
        <w:rPr>
          <w:rFonts w:hint="eastAsia" w:ascii="仿宋_GB2312" w:hAnsi="仿宋_GB2312" w:eastAsia="仿宋_GB2312" w:cs="仿宋_GB2312"/>
          <w:color w:val="auto"/>
          <w:kern w:val="0"/>
          <w:sz w:val="32"/>
          <w:szCs w:val="32"/>
          <w:highlight w:val="none"/>
          <w:u w:val="none"/>
          <w:shd w:val="clear" w:color="auto" w:fill="FFFFFF"/>
          <w:lang w:val="zh-CN" w:eastAsia="zh-CN"/>
        </w:rPr>
        <w:t>依据</w:t>
      </w:r>
      <w:r>
        <w:rPr>
          <w:rFonts w:hint="eastAsia" w:ascii="仿宋_GB2312" w:hAnsi="仿宋_GB2312" w:eastAsia="仿宋_GB2312" w:cs="仿宋_GB2312"/>
          <w:color w:val="auto"/>
          <w:kern w:val="0"/>
          <w:sz w:val="32"/>
          <w:szCs w:val="32"/>
          <w:highlight w:val="none"/>
          <w:u w:val="none"/>
          <w:shd w:val="clear" w:color="auto" w:fill="FFFFFF"/>
          <w:lang w:val="zh-CN"/>
        </w:rPr>
        <w:t>《广元市昭化区人民政府办公室关于印发&lt;广元市 昭化区财政支出事后绩效评价管理办法&gt;的通知》(昭府办函〔2022〕37号)</w:t>
      </w:r>
      <w:r>
        <w:rPr>
          <w:rFonts w:hint="eastAsia" w:ascii="仿宋_GB2312" w:hAnsi="仿宋_GB2312" w:eastAsia="仿宋_GB2312" w:cs="仿宋_GB2312"/>
          <w:color w:val="auto"/>
          <w:kern w:val="0"/>
          <w:sz w:val="32"/>
          <w:szCs w:val="32"/>
          <w:highlight w:val="none"/>
          <w:u w:val="none"/>
          <w:shd w:val="clear" w:color="auto" w:fill="FFFFFF"/>
          <w:lang w:val="zh-CN" w:eastAsia="zh-CN"/>
        </w:rPr>
        <w:t>文件自评且逐项量分。</w:t>
      </w:r>
    </w:p>
    <w:p w14:paraId="30D6459C">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二、项目资金申报及使用情况</w:t>
      </w:r>
    </w:p>
    <w:p w14:paraId="5705ECC9">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（一）项目资金申报及批复情况</w:t>
      </w:r>
    </w:p>
    <w:p w14:paraId="656FECE8">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广元市昭化区融媒体中心202</w:t>
      </w:r>
      <w:r>
        <w:rPr>
          <w:rFonts w:hint="eastAsia" w:eastAsia="仿宋"/>
          <w:sz w:val="32"/>
          <w:lang w:val="en-US" w:eastAsia="zh-CN"/>
        </w:rPr>
        <w:t>2</w:t>
      </w:r>
      <w:r>
        <w:rPr>
          <w:rFonts w:hint="eastAsia" w:eastAsia="仿宋"/>
          <w:sz w:val="32"/>
        </w:rPr>
        <w:t>年度项目支出名称：</w:t>
      </w:r>
      <w:r>
        <w:rPr>
          <w:rFonts w:hint="eastAsia" w:eastAsia="仿宋"/>
          <w:sz w:val="32"/>
          <w:lang w:val="en-US" w:eastAsia="zh-CN"/>
        </w:rPr>
        <w:t>聘用人员政府购买服务</w:t>
      </w:r>
      <w:r>
        <w:rPr>
          <w:rFonts w:hint="eastAsia" w:eastAsia="仿宋"/>
          <w:sz w:val="32"/>
        </w:rPr>
        <w:t>，该项目</w:t>
      </w:r>
      <w:r>
        <w:rPr>
          <w:rFonts w:hint="eastAsia" w:eastAsia="仿宋"/>
          <w:sz w:val="32"/>
          <w:lang w:val="en-US" w:eastAsia="zh-CN"/>
        </w:rPr>
        <w:t>为常年预算项目，每年预算</w:t>
      </w:r>
      <w:r>
        <w:rPr>
          <w:rFonts w:hint="eastAsia" w:eastAsia="仿宋"/>
          <w:sz w:val="32"/>
        </w:rPr>
        <w:t>总金额为</w:t>
      </w:r>
      <w:r>
        <w:rPr>
          <w:rFonts w:hint="eastAsia" w:eastAsia="仿宋"/>
          <w:sz w:val="32"/>
          <w:lang w:val="en-US" w:eastAsia="zh-CN"/>
        </w:rPr>
        <w:t>4</w:t>
      </w:r>
      <w:r>
        <w:rPr>
          <w:rFonts w:hint="eastAsia" w:eastAsia="仿宋"/>
          <w:sz w:val="32"/>
        </w:rPr>
        <w:t>5</w:t>
      </w:r>
      <w:r>
        <w:rPr>
          <w:rFonts w:hint="eastAsia" w:eastAsia="仿宋"/>
          <w:sz w:val="32"/>
          <w:lang w:val="en-US" w:eastAsia="zh-CN"/>
        </w:rPr>
        <w:t>.5</w:t>
      </w:r>
      <w:r>
        <w:rPr>
          <w:rFonts w:hint="eastAsia" w:eastAsia="仿宋"/>
          <w:sz w:val="32"/>
        </w:rPr>
        <w:t>万元，支出资金总额为</w:t>
      </w:r>
      <w:r>
        <w:rPr>
          <w:rFonts w:hint="eastAsia" w:eastAsia="仿宋"/>
          <w:sz w:val="32"/>
          <w:lang w:val="en-US" w:eastAsia="zh-CN"/>
        </w:rPr>
        <w:t>4</w:t>
      </w:r>
      <w:r>
        <w:rPr>
          <w:rFonts w:hint="eastAsia" w:eastAsia="仿宋"/>
          <w:sz w:val="32"/>
        </w:rPr>
        <w:t>5</w:t>
      </w:r>
      <w:r>
        <w:rPr>
          <w:rFonts w:hint="eastAsia" w:eastAsia="仿宋"/>
          <w:sz w:val="32"/>
          <w:lang w:val="en-US" w:eastAsia="zh-CN"/>
        </w:rPr>
        <w:t>.5</w:t>
      </w:r>
      <w:r>
        <w:rPr>
          <w:rFonts w:hint="eastAsia" w:eastAsia="仿宋"/>
          <w:sz w:val="32"/>
        </w:rPr>
        <w:t>万元，其中财政拨款金额为</w:t>
      </w:r>
      <w:r>
        <w:rPr>
          <w:rFonts w:hint="eastAsia" w:eastAsia="仿宋"/>
          <w:sz w:val="32"/>
          <w:lang w:val="en-US" w:eastAsia="zh-CN"/>
        </w:rPr>
        <w:t>4</w:t>
      </w:r>
      <w:r>
        <w:rPr>
          <w:rFonts w:hint="eastAsia" w:eastAsia="仿宋"/>
          <w:sz w:val="32"/>
        </w:rPr>
        <w:t>5</w:t>
      </w:r>
      <w:r>
        <w:rPr>
          <w:rFonts w:hint="eastAsia" w:eastAsia="仿宋"/>
          <w:sz w:val="32"/>
          <w:lang w:val="en-US" w:eastAsia="zh-CN"/>
        </w:rPr>
        <w:t>.5</w:t>
      </w:r>
      <w:r>
        <w:rPr>
          <w:rFonts w:hint="eastAsia" w:eastAsia="仿宋"/>
          <w:sz w:val="32"/>
        </w:rPr>
        <w:t>万元，202</w:t>
      </w:r>
      <w:r>
        <w:rPr>
          <w:rFonts w:hint="eastAsia" w:eastAsia="仿宋"/>
          <w:sz w:val="32"/>
          <w:lang w:val="en-US" w:eastAsia="zh-CN"/>
        </w:rPr>
        <w:t>2</w:t>
      </w:r>
      <w:r>
        <w:rPr>
          <w:rFonts w:hint="eastAsia" w:eastAsia="仿宋"/>
          <w:sz w:val="32"/>
        </w:rPr>
        <w:t>年财政拨款金额为</w:t>
      </w:r>
      <w:r>
        <w:rPr>
          <w:rFonts w:hint="eastAsia" w:eastAsia="仿宋"/>
          <w:sz w:val="32"/>
          <w:lang w:val="en-US" w:eastAsia="zh-CN"/>
        </w:rPr>
        <w:t>4</w:t>
      </w:r>
      <w:r>
        <w:rPr>
          <w:rFonts w:hint="eastAsia" w:eastAsia="仿宋"/>
          <w:sz w:val="32"/>
        </w:rPr>
        <w:t>5</w:t>
      </w:r>
      <w:r>
        <w:rPr>
          <w:rFonts w:hint="eastAsia" w:eastAsia="仿宋"/>
          <w:sz w:val="32"/>
          <w:lang w:val="en-US" w:eastAsia="zh-CN"/>
        </w:rPr>
        <w:t>.5</w:t>
      </w:r>
      <w:r>
        <w:rPr>
          <w:rFonts w:hint="eastAsia" w:eastAsia="仿宋"/>
          <w:sz w:val="32"/>
        </w:rPr>
        <w:t>万元。项目支出主管部门为</w:t>
      </w:r>
      <w:r>
        <w:rPr>
          <w:rFonts w:hint="eastAsia" w:eastAsia="仿宋"/>
          <w:sz w:val="32"/>
          <w:lang w:val="en-US" w:eastAsia="zh-CN"/>
        </w:rPr>
        <w:t>中共</w:t>
      </w:r>
      <w:r>
        <w:rPr>
          <w:rFonts w:hint="eastAsia" w:eastAsia="仿宋"/>
          <w:sz w:val="32"/>
        </w:rPr>
        <w:t>广元市昭化区</w:t>
      </w:r>
      <w:r>
        <w:rPr>
          <w:rFonts w:hint="eastAsia" w:eastAsia="仿宋"/>
          <w:sz w:val="32"/>
          <w:lang w:val="en-US" w:eastAsia="zh-CN"/>
        </w:rPr>
        <w:t>委宣传部</w:t>
      </w:r>
      <w:r>
        <w:rPr>
          <w:rFonts w:hint="eastAsia" w:eastAsia="仿宋"/>
          <w:sz w:val="32"/>
        </w:rPr>
        <w:t>，项目支出实施单位为区融媒体中心。</w:t>
      </w:r>
    </w:p>
    <w:p w14:paraId="0A40F12C">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（二）资金计划、到位及使用情况</w:t>
      </w:r>
    </w:p>
    <w:p w14:paraId="30214706">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1．资金计划。</w:t>
      </w:r>
    </w:p>
    <w:p w14:paraId="509AF7CC">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为昭化区财政本级资金，无其他资金来源。</w:t>
      </w:r>
      <w:r>
        <w:rPr>
          <w:rFonts w:hint="eastAsia" w:eastAsia="仿宋"/>
          <w:sz w:val="32"/>
        </w:rPr>
        <w:t>年初预算财政拨款资金为</w:t>
      </w:r>
      <w:r>
        <w:rPr>
          <w:rFonts w:hint="eastAsia" w:eastAsia="仿宋"/>
          <w:sz w:val="32"/>
          <w:lang w:val="en-US" w:eastAsia="zh-CN"/>
        </w:rPr>
        <w:t>45.5</w:t>
      </w:r>
      <w:r>
        <w:rPr>
          <w:rFonts w:hint="eastAsia" w:eastAsia="仿宋"/>
          <w:sz w:val="32"/>
        </w:rPr>
        <w:t>万元。</w:t>
      </w:r>
    </w:p>
    <w:p w14:paraId="6E17C4D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资金到位。</w:t>
      </w:r>
    </w:p>
    <w:p w14:paraId="521220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为昭化区财政本级资金，无其他资金来源。</w:t>
      </w:r>
      <w:r>
        <w:rPr>
          <w:rFonts w:hint="eastAsia" w:eastAsia="仿宋"/>
          <w:sz w:val="32"/>
        </w:rPr>
        <w:t>年初预算财政拨款资金为</w:t>
      </w:r>
      <w:r>
        <w:rPr>
          <w:rFonts w:hint="eastAsia" w:eastAsia="仿宋"/>
          <w:sz w:val="32"/>
          <w:lang w:val="en-US" w:eastAsia="zh-CN"/>
        </w:rPr>
        <w:t>45.5</w:t>
      </w:r>
      <w:r>
        <w:rPr>
          <w:rFonts w:hint="eastAsia" w:eastAsia="仿宋"/>
          <w:sz w:val="32"/>
        </w:rPr>
        <w:t>万元，年终实际拨款为</w:t>
      </w:r>
      <w:r>
        <w:rPr>
          <w:rFonts w:hint="eastAsia" w:eastAsia="仿宋"/>
          <w:sz w:val="32"/>
          <w:lang w:val="en-US" w:eastAsia="zh-CN"/>
        </w:rPr>
        <w:t>45.5</w:t>
      </w:r>
      <w:r>
        <w:rPr>
          <w:rFonts w:hint="eastAsia" w:eastAsia="仿宋"/>
          <w:sz w:val="32"/>
        </w:rPr>
        <w:t>万元。</w:t>
      </w:r>
    </w:p>
    <w:p w14:paraId="30C1428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Chars="200" w:firstLine="320" w:firstLineChars="1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资金使用。</w:t>
      </w:r>
    </w:p>
    <w:p w14:paraId="72D3F2F9">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截止评价时，该项目</w:t>
      </w:r>
      <w:r>
        <w:rPr>
          <w:rFonts w:hint="eastAsia" w:eastAsia="仿宋"/>
          <w:sz w:val="32"/>
          <w:lang w:val="en-US" w:eastAsia="zh-CN"/>
        </w:rPr>
        <w:t>昭化区财政本级资金45.5万元，</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全部支付到位。</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支付</w:t>
      </w:r>
      <w:r>
        <w:rPr>
          <w:rFonts w:hint="eastAsia" w:eastAsia="仿宋"/>
          <w:sz w:val="32"/>
        </w:rPr>
        <w:t>依规合法</w:t>
      </w:r>
      <w:r>
        <w:rPr>
          <w:rFonts w:hint="eastAsia" w:eastAsia="仿宋"/>
          <w:sz w:val="32"/>
          <w:lang w:eastAsia="zh-CN"/>
        </w:rPr>
        <w:t>、</w:t>
      </w:r>
      <w:r>
        <w:rPr>
          <w:rFonts w:hint="eastAsia" w:ascii="仿宋_GB2312" w:hAnsi="仿宋_GB2312" w:eastAsia="仿宋_GB2312" w:cs="仿宋_GB2312"/>
          <w:color w:val="auto"/>
          <w:kern w:val="0"/>
          <w:sz w:val="32"/>
          <w:szCs w:val="32"/>
          <w:highlight w:val="none"/>
          <w:u w:val="none"/>
          <w:shd w:val="clear" w:color="auto" w:fill="FFFFFF"/>
          <w:lang w:val="zh-CN"/>
        </w:rPr>
        <w:t>安全规范有效，</w:t>
      </w:r>
      <w:r>
        <w:rPr>
          <w:rFonts w:hint="eastAsia" w:eastAsia="仿宋"/>
          <w:sz w:val="32"/>
        </w:rPr>
        <w:t>资金支付</w:t>
      </w:r>
      <w:r>
        <w:rPr>
          <w:rFonts w:hint="eastAsia" w:ascii="仿宋_GB2312" w:hAnsi="仿宋_GB2312" w:eastAsia="仿宋_GB2312" w:cs="仿宋_GB2312"/>
          <w:color w:val="auto"/>
          <w:kern w:val="0"/>
          <w:sz w:val="32"/>
          <w:szCs w:val="32"/>
          <w:highlight w:val="none"/>
          <w:u w:val="none"/>
          <w:shd w:val="clear" w:color="auto" w:fill="FFFFFF"/>
          <w:lang w:val="zh-CN"/>
        </w:rPr>
        <w:t>与预算相符，</w:t>
      </w:r>
      <w:r>
        <w:rPr>
          <w:rFonts w:hint="eastAsia" w:ascii="仿宋_GB2312" w:hAnsi="仿宋_GB2312" w:eastAsia="仿宋_GB2312" w:cs="仿宋_GB2312"/>
          <w:color w:val="auto"/>
          <w:kern w:val="0"/>
          <w:sz w:val="32"/>
          <w:szCs w:val="32"/>
          <w:highlight w:val="none"/>
          <w:u w:val="none"/>
          <w:shd w:val="clear" w:color="auto" w:fill="FFFFFF"/>
          <w:lang w:val="en-US" w:eastAsia="zh-CN"/>
        </w:rPr>
        <w:t>无违规违纪行为</w:t>
      </w:r>
      <w:r>
        <w:rPr>
          <w:rFonts w:hint="eastAsia" w:ascii="仿宋_GB2312" w:hAnsi="仿宋_GB2312" w:eastAsia="仿宋_GB2312" w:cs="仿宋_GB2312"/>
          <w:color w:val="auto"/>
          <w:kern w:val="0"/>
          <w:sz w:val="32"/>
          <w:szCs w:val="32"/>
          <w:highlight w:val="none"/>
          <w:u w:val="none"/>
          <w:shd w:val="clear" w:color="auto" w:fill="FFFFFF"/>
          <w:lang w:val="zh-CN"/>
        </w:rPr>
        <w:t>。</w:t>
      </w:r>
    </w:p>
    <w:p w14:paraId="3C74E74E">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（三）项目财务管理情况</w:t>
      </w:r>
    </w:p>
    <w:p w14:paraId="4B1D1EA5">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在财务管理中，严格按照财务管理制度</w:t>
      </w:r>
      <w:r>
        <w:rPr>
          <w:rFonts w:hint="eastAsia" w:eastAsia="仿宋"/>
          <w:sz w:val="32"/>
          <w:lang w:val="en-US" w:eastAsia="zh-CN"/>
        </w:rPr>
        <w:t>支</w:t>
      </w:r>
      <w:r>
        <w:rPr>
          <w:rFonts w:hint="eastAsia" w:eastAsia="仿宋"/>
          <w:sz w:val="32"/>
        </w:rPr>
        <w:t>付项目资金，真正做到了财务公开透明守法守规。</w:t>
      </w:r>
    </w:p>
    <w:p w14:paraId="4A5297B9">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三、项目实施及管理情况</w:t>
      </w:r>
    </w:p>
    <w:p w14:paraId="242006B1">
      <w:pPr>
        <w:keepNext w:val="0"/>
        <w:keepLines w:val="0"/>
        <w:pageBreakBefore w:val="0"/>
        <w:numPr>
          <w:ilvl w:val="0"/>
          <w:numId w:val="14"/>
        </w:numPr>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项目组织架构及实施流程。</w:t>
      </w:r>
    </w:p>
    <w:p w14:paraId="72EE729E">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宋体" w:eastAsia="仿宋_GB2312"/>
          <w:sz w:val="32"/>
          <w:szCs w:val="32"/>
          <w:lang w:val="en-US" w:eastAsia="zh-CN"/>
        </w:rPr>
      </w:pPr>
      <w:r>
        <w:rPr>
          <w:rFonts w:hint="eastAsia" w:eastAsia="仿宋"/>
          <w:sz w:val="32"/>
        </w:rPr>
        <w:t>我中心高度重视该项目工作，成立了以中心主任为组长，分管领导为副组长，</w:t>
      </w:r>
      <w:r>
        <w:rPr>
          <w:rFonts w:hint="eastAsia" w:eastAsia="仿宋"/>
          <w:sz w:val="32"/>
          <w:lang w:val="en-US" w:eastAsia="zh-CN"/>
        </w:rPr>
        <w:t>项目管理员及</w:t>
      </w:r>
      <w:r>
        <w:rPr>
          <w:rFonts w:hint="eastAsia" w:eastAsia="仿宋"/>
          <w:sz w:val="32"/>
        </w:rPr>
        <w:t>两名财务人员为组员的项目实施小组</w:t>
      </w:r>
      <w:r>
        <w:rPr>
          <w:rFonts w:hint="eastAsia" w:eastAsia="仿宋"/>
          <w:sz w:val="32"/>
          <w:lang w:eastAsia="zh-CN"/>
        </w:rPr>
        <w:t>。</w:t>
      </w:r>
      <w:r>
        <w:rPr>
          <w:rFonts w:hint="eastAsia" w:eastAsia="仿宋"/>
          <w:sz w:val="32"/>
          <w:lang w:val="en-US" w:eastAsia="zh-CN"/>
        </w:rPr>
        <w:t>项目流程根据</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按照建设目标步骤实施。</w:t>
      </w:r>
    </w:p>
    <w:p w14:paraId="583FA197">
      <w:pPr>
        <w:keepNext w:val="0"/>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项目管理情况。</w:t>
      </w:r>
    </w:p>
    <w:p w14:paraId="5FDE2365">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项目管理员及</w:t>
      </w:r>
      <w:r>
        <w:rPr>
          <w:rFonts w:hint="eastAsia" w:eastAsia="仿宋"/>
          <w:sz w:val="32"/>
        </w:rPr>
        <w:t>两名财务人员</w:t>
      </w:r>
      <w:r>
        <w:rPr>
          <w:rFonts w:hint="eastAsia" w:eastAsia="仿宋"/>
          <w:sz w:val="32"/>
          <w:lang w:val="en-US" w:eastAsia="zh-CN"/>
        </w:rPr>
        <w:t>严格</w:t>
      </w:r>
      <w:r>
        <w:rPr>
          <w:rFonts w:hint="eastAsia" w:ascii="仿宋_GB2312" w:hAnsi="仿宋_GB2312" w:eastAsia="仿宋_GB2312" w:cs="仿宋_GB2312"/>
          <w:color w:val="auto"/>
          <w:kern w:val="0"/>
          <w:sz w:val="32"/>
          <w:szCs w:val="32"/>
          <w:highlight w:val="none"/>
          <w:u w:val="none"/>
          <w:shd w:val="clear" w:color="auto" w:fill="FFFFFF"/>
          <w:lang w:val="zh-CN"/>
        </w:rPr>
        <w:t>执行相关法律法规</w:t>
      </w:r>
      <w:r>
        <w:rPr>
          <w:rFonts w:hint="eastAsia" w:ascii="仿宋_GB2312" w:hAnsi="仿宋_GB2312" w:cs="仿宋_GB2312"/>
          <w:color w:val="auto"/>
          <w:kern w:val="0"/>
          <w:sz w:val="32"/>
          <w:szCs w:val="32"/>
          <w:highlight w:val="none"/>
          <w:u w:val="none"/>
          <w:shd w:val="clear" w:color="auto" w:fill="FFFFFF"/>
          <w:lang w:val="zh-CN"/>
        </w:rPr>
        <w:t>、</w:t>
      </w:r>
      <w:r>
        <w:rPr>
          <w:rFonts w:hint="eastAsia" w:ascii="仿宋_GB2312" w:hAnsi="仿宋_GB2312" w:eastAsia="仿宋_GB2312" w:cs="仿宋_GB2312"/>
          <w:color w:val="auto"/>
          <w:kern w:val="0"/>
          <w:sz w:val="32"/>
          <w:szCs w:val="32"/>
          <w:highlight w:val="none"/>
          <w:u w:val="none"/>
          <w:shd w:val="clear" w:color="auto" w:fill="FFFFFF"/>
          <w:lang w:val="zh-CN"/>
        </w:rPr>
        <w:t>项目管理制度</w:t>
      </w:r>
      <w:r>
        <w:rPr>
          <w:rFonts w:hint="eastAsia" w:eastAsia="仿宋"/>
          <w:sz w:val="32"/>
        </w:rPr>
        <w:t>，依法守规，合理管控开支，按照年初预算计划，做到申请、审核、支付依规合法，全力促进新闻宣传工作每月</w:t>
      </w:r>
      <w:r>
        <w:rPr>
          <w:rFonts w:hint="eastAsia" w:eastAsia="仿宋"/>
          <w:sz w:val="32"/>
          <w:lang w:val="en-US" w:eastAsia="zh-CN"/>
        </w:rPr>
        <w:t>出</w:t>
      </w:r>
      <w:r>
        <w:rPr>
          <w:rFonts w:hint="eastAsia" w:eastAsia="仿宋"/>
          <w:sz w:val="32"/>
        </w:rPr>
        <w:t>亮点。</w:t>
      </w:r>
    </w:p>
    <w:p w14:paraId="63D41797">
      <w:pPr>
        <w:keepNext w:val="0"/>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项目监管情况。</w:t>
      </w:r>
    </w:p>
    <w:p w14:paraId="4570AEA7">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我中心项目管理员日常跟踪督促第三方责任人，做到了严格管理施工，作业可控有度，目标完成有效。</w:t>
      </w:r>
    </w:p>
    <w:p w14:paraId="12565A69">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四、项目绩效情况</w:t>
      </w:r>
      <w:r>
        <w:rPr>
          <w:rFonts w:hint="eastAsia" w:ascii="仿宋_GB2312" w:hAnsi="宋体"/>
          <w:color w:val="auto"/>
          <w:sz w:val="32"/>
          <w:szCs w:val="32"/>
          <w:highlight w:val="none"/>
          <w:u w:val="none"/>
          <w:lang w:val="zh-CN"/>
        </w:rPr>
        <w:tab/>
      </w:r>
    </w:p>
    <w:p w14:paraId="209402A5">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（一）项目完成情况</w:t>
      </w:r>
    </w:p>
    <w:p w14:paraId="04B29BF5">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eastAsia="仿宋"/>
          <w:sz w:val="32"/>
        </w:rPr>
      </w:pPr>
      <w:r>
        <w:rPr>
          <w:rFonts w:hint="eastAsia" w:eastAsia="仿宋"/>
          <w:sz w:val="32"/>
          <w:lang w:val="en-US" w:eastAsia="zh-CN"/>
        </w:rPr>
        <w:t>中心2022年聘用13人，聘用人员任务完成合格率、聘用人员安全工作率达100%，聘用人员任务完成及时率、作品报道转发率达95%，</w:t>
      </w:r>
      <w:r>
        <w:rPr>
          <w:rFonts w:hint="eastAsia" w:eastAsia="仿宋"/>
          <w:sz w:val="32"/>
        </w:rPr>
        <w:t>聘用人员满意度</w:t>
      </w:r>
      <w:r>
        <w:rPr>
          <w:rFonts w:hint="eastAsia" w:eastAsia="仿宋"/>
          <w:sz w:val="32"/>
          <w:lang w:val="en-US" w:eastAsia="zh-CN"/>
        </w:rPr>
        <w:t>达10</w:t>
      </w:r>
      <w:r>
        <w:rPr>
          <w:rFonts w:hint="eastAsia" w:eastAsia="仿宋"/>
          <w:sz w:val="32"/>
        </w:rPr>
        <w:t>0%</w:t>
      </w:r>
      <w:r>
        <w:rPr>
          <w:rFonts w:hint="eastAsia" w:eastAsia="仿宋"/>
          <w:sz w:val="32"/>
          <w:lang w:val="en-US" w:eastAsia="zh-CN"/>
        </w:rPr>
        <w:t>，年度优秀作品获奖次数8件</w:t>
      </w:r>
      <w:r>
        <w:rPr>
          <w:rFonts w:hint="eastAsia" w:eastAsia="仿宋"/>
          <w:sz w:val="32"/>
        </w:rPr>
        <w:t>。</w:t>
      </w:r>
    </w:p>
    <w:p w14:paraId="4730AB13">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（二）项目效益情况</w:t>
      </w:r>
    </w:p>
    <w:p w14:paraId="712D76C5">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该项目实施后，全区宣传</w:t>
      </w:r>
      <w:r>
        <w:rPr>
          <w:rFonts w:hint="eastAsia" w:eastAsia="仿宋"/>
          <w:sz w:val="32"/>
          <w:lang w:val="en-US" w:eastAsia="zh-CN"/>
        </w:rPr>
        <w:t>工作在项目良好运行</w:t>
      </w:r>
      <w:r>
        <w:rPr>
          <w:rFonts w:hint="eastAsia" w:eastAsia="仿宋"/>
          <w:sz w:val="32"/>
        </w:rPr>
        <w:t>下，进一步树立全区良好形象，助推全区经济社会发展大好形势；在</w:t>
      </w:r>
      <w:r>
        <w:rPr>
          <w:rFonts w:hint="eastAsia" w:eastAsia="仿宋"/>
          <w:sz w:val="32"/>
          <w:lang w:val="en-US" w:eastAsia="zh-CN"/>
        </w:rPr>
        <w:t>项目</w:t>
      </w:r>
      <w:r>
        <w:rPr>
          <w:rFonts w:hint="eastAsia" w:eastAsia="仿宋"/>
          <w:sz w:val="32"/>
        </w:rPr>
        <w:t>可持续影响下，聘用人员满意度</w:t>
      </w:r>
      <w:r>
        <w:rPr>
          <w:rFonts w:hint="eastAsia" w:eastAsia="仿宋"/>
          <w:sz w:val="32"/>
          <w:lang w:val="en-US" w:eastAsia="zh-CN"/>
        </w:rPr>
        <w:t>达100</w:t>
      </w:r>
      <w:r>
        <w:rPr>
          <w:rFonts w:hint="eastAsia" w:eastAsia="仿宋"/>
          <w:sz w:val="32"/>
        </w:rPr>
        <w:t>%。</w:t>
      </w:r>
    </w:p>
    <w:p w14:paraId="1EEFD912">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五、评价结论及建议</w:t>
      </w:r>
    </w:p>
    <w:p w14:paraId="1760DD58">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（一）评价结论</w:t>
      </w:r>
    </w:p>
    <w:p w14:paraId="7B074E0A">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年度聘用人员政府购买服务项目资金支出合规合法，较好</w:t>
      </w:r>
      <w:r>
        <w:rPr>
          <w:rFonts w:hint="eastAsia" w:eastAsia="仿宋"/>
          <w:sz w:val="32"/>
          <w:lang w:val="en-US" w:eastAsia="zh-CN"/>
        </w:rPr>
        <w:t>地</w:t>
      </w:r>
      <w:r>
        <w:rPr>
          <w:rFonts w:hint="eastAsia" w:eastAsia="仿宋"/>
          <w:sz w:val="32"/>
        </w:rPr>
        <w:t>完成了年度目标绩效任务，对标项目支出绩效评价指标体系，我单位对本项目进行总体自评，评价结果为：优，得分9</w:t>
      </w:r>
      <w:r>
        <w:rPr>
          <w:rFonts w:hint="eastAsia" w:eastAsia="仿宋"/>
          <w:sz w:val="32"/>
          <w:lang w:val="en-US" w:eastAsia="zh-CN"/>
        </w:rPr>
        <w:t>5</w:t>
      </w:r>
      <w:r>
        <w:rPr>
          <w:rFonts w:hint="eastAsia" w:eastAsia="仿宋"/>
          <w:sz w:val="32"/>
        </w:rPr>
        <w:t>分。</w:t>
      </w:r>
    </w:p>
    <w:p w14:paraId="37A22FC1">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（二）存在的问题</w:t>
      </w:r>
    </w:p>
    <w:p w14:paraId="29F9E01D">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eastAsia="仿宋"/>
          <w:sz w:val="32"/>
          <w:lang w:val="en-US" w:eastAsia="zh-CN"/>
        </w:rPr>
        <w:t>努力创新，</w:t>
      </w:r>
      <w:r>
        <w:rPr>
          <w:rFonts w:hint="eastAsia" w:eastAsia="仿宋"/>
          <w:sz w:val="32"/>
        </w:rPr>
        <w:t>展示昭化良好形象，助推全区经济社会发展大局。</w:t>
      </w:r>
    </w:p>
    <w:p w14:paraId="25EE0183">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（三）相关建议</w:t>
      </w:r>
    </w:p>
    <w:p w14:paraId="5CC61E50">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做好宣传工作，加强舆论引导，用心用情服务人民群众。</w:t>
      </w:r>
    </w:p>
    <w:p w14:paraId="214DFACC">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p w14:paraId="59EC335B">
      <w:pPr>
        <w:spacing w:before="103" w:line="219" w:lineRule="auto"/>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6200412E">
      <w:pPr>
        <w:spacing w:before="86" w:line="219" w:lineRule="auto"/>
        <w:ind w:left="3894"/>
        <w:rPr>
          <w:rFonts w:ascii="宋体" w:hAnsi="宋体" w:eastAsia="宋体" w:cs="宋体"/>
          <w:sz w:val="22"/>
          <w:szCs w:val="22"/>
        </w:rPr>
      </w:pPr>
      <w:r>
        <w:rPr>
          <w:rFonts w:ascii="宋体" w:hAnsi="宋体" w:eastAsia="宋体" w:cs="宋体"/>
          <w:spacing w:val="-14"/>
          <w:sz w:val="22"/>
          <w:szCs w:val="22"/>
        </w:rPr>
        <w:t>(</w:t>
      </w:r>
      <w:r>
        <w:rPr>
          <w:rFonts w:hint="eastAsia" w:ascii="宋体" w:hAnsi="宋体" w:eastAsia="宋体" w:cs="宋体"/>
          <w:spacing w:val="32"/>
          <w:sz w:val="22"/>
          <w:szCs w:val="22"/>
          <w:lang w:val="en-US" w:eastAsia="zh-CN"/>
        </w:rPr>
        <w:t>2022</w:t>
      </w:r>
      <w:r>
        <w:rPr>
          <w:rFonts w:ascii="宋体" w:hAnsi="宋体" w:eastAsia="宋体" w:cs="宋体"/>
          <w:spacing w:val="-14"/>
          <w:sz w:val="22"/>
          <w:szCs w:val="22"/>
        </w:rPr>
        <w:t>年度)</w:t>
      </w:r>
    </w:p>
    <w:p w14:paraId="0313CC4B">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tbl>
      <w:tblPr>
        <w:tblStyle w:val="35"/>
        <w:tblpPr w:leftFromText="180" w:rightFromText="180" w:vertAnchor="text" w:horzAnchor="page" w:tblpX="1082" w:tblpY="23"/>
        <w:tblOverlap w:val="never"/>
        <w:tblW w:w="100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916"/>
        <w:gridCol w:w="1226"/>
        <w:gridCol w:w="922"/>
        <w:gridCol w:w="911"/>
        <w:gridCol w:w="1363"/>
        <w:gridCol w:w="1864"/>
        <w:gridCol w:w="2107"/>
      </w:tblGrid>
      <w:tr w14:paraId="650A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626" w:type="dxa"/>
            <w:gridSpan w:val="2"/>
            <w:tcBorders>
              <w:top w:val="single" w:color="000000" w:sz="2" w:space="0"/>
              <w:bottom w:val="single" w:color="000000" w:sz="2" w:space="0"/>
            </w:tcBorders>
            <w:vAlign w:val="center"/>
          </w:tcPr>
          <w:p w14:paraId="4A1BE92F">
            <w:pPr>
              <w:spacing w:before="67" w:line="360" w:lineRule="auto"/>
              <w:ind w:firstLine="144"/>
              <w:jc w:val="center"/>
              <w:rPr>
                <w:rFonts w:ascii="宋体" w:hAnsi="宋体" w:eastAsia="宋体" w:cs="宋体"/>
                <w:sz w:val="18"/>
                <w:szCs w:val="18"/>
              </w:rPr>
            </w:pPr>
            <w:r>
              <w:rPr>
                <w:rFonts w:ascii="宋体" w:hAnsi="宋体" w:eastAsia="宋体" w:cs="宋体"/>
                <w:spacing w:val="-2"/>
                <w:sz w:val="18"/>
                <w:szCs w:val="18"/>
              </w:rPr>
              <w:t>项目(政策)名称</w:t>
            </w:r>
          </w:p>
        </w:tc>
        <w:tc>
          <w:tcPr>
            <w:tcW w:w="8393" w:type="dxa"/>
            <w:gridSpan w:val="6"/>
            <w:tcBorders>
              <w:top w:val="single" w:color="000000" w:sz="2" w:space="0"/>
              <w:bottom w:val="single" w:color="000000" w:sz="2" w:space="0"/>
            </w:tcBorders>
            <w:vAlign w:val="center"/>
          </w:tcPr>
          <w:p w14:paraId="536BA406">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聘用人员政府购买服务</w:t>
            </w:r>
          </w:p>
        </w:tc>
      </w:tr>
      <w:tr w14:paraId="4B131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6" w:type="dxa"/>
            <w:gridSpan w:val="2"/>
            <w:tcBorders>
              <w:top w:val="single" w:color="000000" w:sz="2" w:space="0"/>
              <w:bottom w:val="single" w:color="000000" w:sz="2" w:space="0"/>
            </w:tcBorders>
            <w:vAlign w:val="center"/>
          </w:tcPr>
          <w:p w14:paraId="07DCFBCF">
            <w:pPr>
              <w:spacing w:before="62" w:line="360" w:lineRule="auto"/>
              <w:ind w:firstLine="415"/>
              <w:jc w:val="center"/>
              <w:rPr>
                <w:rFonts w:ascii="宋体" w:hAnsi="宋体" w:eastAsia="宋体" w:cs="宋体"/>
                <w:sz w:val="18"/>
                <w:szCs w:val="18"/>
              </w:rPr>
            </w:pPr>
            <w:r>
              <w:rPr>
                <w:rFonts w:ascii="宋体" w:hAnsi="宋体" w:eastAsia="宋体" w:cs="宋体"/>
                <w:spacing w:val="5"/>
                <w:sz w:val="18"/>
                <w:szCs w:val="18"/>
              </w:rPr>
              <w:t>主管部门</w:t>
            </w:r>
          </w:p>
        </w:tc>
        <w:tc>
          <w:tcPr>
            <w:tcW w:w="3059" w:type="dxa"/>
            <w:gridSpan w:val="3"/>
            <w:tcBorders>
              <w:top w:val="single" w:color="000000" w:sz="2" w:space="0"/>
              <w:bottom w:val="single" w:color="000000" w:sz="2" w:space="0"/>
            </w:tcBorders>
            <w:vAlign w:val="center"/>
          </w:tcPr>
          <w:p w14:paraId="0837FB7C">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中共昭化区委宣传部</w:t>
            </w:r>
          </w:p>
        </w:tc>
        <w:tc>
          <w:tcPr>
            <w:tcW w:w="1363" w:type="dxa"/>
            <w:tcBorders>
              <w:top w:val="single" w:color="000000" w:sz="2" w:space="0"/>
              <w:bottom w:val="single" w:color="000000" w:sz="2" w:space="0"/>
            </w:tcBorders>
            <w:vAlign w:val="center"/>
          </w:tcPr>
          <w:p w14:paraId="4E4E7698">
            <w:pPr>
              <w:spacing w:before="62" w:line="360" w:lineRule="auto"/>
              <w:jc w:val="center"/>
              <w:rPr>
                <w:rFonts w:ascii="宋体" w:hAnsi="宋体" w:eastAsia="宋体" w:cs="宋体"/>
                <w:sz w:val="18"/>
                <w:szCs w:val="18"/>
              </w:rPr>
            </w:pPr>
            <w:r>
              <w:rPr>
                <w:rFonts w:ascii="宋体" w:hAnsi="宋体" w:eastAsia="宋体" w:cs="宋体"/>
                <w:spacing w:val="-3"/>
                <w:sz w:val="18"/>
                <w:szCs w:val="18"/>
              </w:rPr>
              <w:t>实施单位</w:t>
            </w:r>
          </w:p>
        </w:tc>
        <w:tc>
          <w:tcPr>
            <w:tcW w:w="3971" w:type="dxa"/>
            <w:gridSpan w:val="2"/>
            <w:tcBorders>
              <w:top w:val="single" w:color="000000" w:sz="2" w:space="0"/>
              <w:bottom w:val="single" w:color="000000" w:sz="2" w:space="0"/>
            </w:tcBorders>
            <w:vAlign w:val="center"/>
          </w:tcPr>
          <w:p w14:paraId="2AB9C8FE">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广元市昭化区融媒体中心</w:t>
            </w:r>
          </w:p>
        </w:tc>
      </w:tr>
      <w:tr w14:paraId="796B0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26" w:type="dxa"/>
            <w:gridSpan w:val="2"/>
            <w:vMerge w:val="restart"/>
            <w:tcBorders>
              <w:top w:val="single" w:color="000000" w:sz="2" w:space="0"/>
              <w:bottom w:val="nil"/>
            </w:tcBorders>
            <w:vAlign w:val="center"/>
          </w:tcPr>
          <w:p w14:paraId="1839E830">
            <w:pPr>
              <w:spacing w:line="360" w:lineRule="auto"/>
              <w:jc w:val="both"/>
              <w:rPr>
                <w:rFonts w:ascii="Arial"/>
                <w:sz w:val="21"/>
              </w:rPr>
            </w:pPr>
          </w:p>
          <w:p w14:paraId="525EF8D0">
            <w:pPr>
              <w:spacing w:line="360" w:lineRule="auto"/>
              <w:jc w:val="center"/>
              <w:rPr>
                <w:rFonts w:ascii="Arial"/>
                <w:sz w:val="21"/>
              </w:rPr>
            </w:pPr>
          </w:p>
          <w:p w14:paraId="7B887728">
            <w:pPr>
              <w:spacing w:before="59" w:line="360" w:lineRule="auto"/>
              <w:ind w:left="504" w:right="167" w:hanging="360"/>
              <w:jc w:val="center"/>
              <w:rPr>
                <w:rFonts w:ascii="宋体" w:hAnsi="宋体" w:eastAsia="宋体" w:cs="宋体"/>
                <w:sz w:val="18"/>
                <w:szCs w:val="18"/>
              </w:rPr>
            </w:pPr>
            <w:r>
              <w:rPr>
                <w:rFonts w:ascii="宋体" w:hAnsi="宋体" w:eastAsia="宋体" w:cs="宋体"/>
                <w:spacing w:val="-2"/>
                <w:sz w:val="18"/>
                <w:szCs w:val="18"/>
              </w:rPr>
              <w:t>项目(政策)资金</w:t>
            </w:r>
            <w:r>
              <w:rPr>
                <w:rFonts w:ascii="宋体" w:hAnsi="宋体" w:eastAsia="宋体" w:cs="宋体"/>
                <w:spacing w:val="6"/>
                <w:sz w:val="18"/>
                <w:szCs w:val="18"/>
              </w:rPr>
              <w:t xml:space="preserve"> </w:t>
            </w:r>
            <w:r>
              <w:rPr>
                <w:rFonts w:ascii="宋体" w:hAnsi="宋体" w:eastAsia="宋体" w:cs="宋体"/>
                <w:spacing w:val="9"/>
                <w:sz w:val="18"/>
                <w:szCs w:val="18"/>
              </w:rPr>
              <w:t>(万元)</w:t>
            </w:r>
          </w:p>
        </w:tc>
        <w:tc>
          <w:tcPr>
            <w:tcW w:w="2148" w:type="dxa"/>
            <w:gridSpan w:val="2"/>
            <w:tcBorders>
              <w:top w:val="single" w:color="000000" w:sz="2" w:space="0"/>
              <w:bottom w:val="single" w:color="000000" w:sz="2" w:space="0"/>
            </w:tcBorders>
            <w:vAlign w:val="center"/>
          </w:tcPr>
          <w:p w14:paraId="6DF93C4D">
            <w:pPr>
              <w:spacing w:line="360" w:lineRule="auto"/>
              <w:jc w:val="center"/>
              <w:rPr>
                <w:rFonts w:ascii="Arial"/>
                <w:sz w:val="21"/>
              </w:rPr>
            </w:pPr>
          </w:p>
        </w:tc>
        <w:tc>
          <w:tcPr>
            <w:tcW w:w="2274" w:type="dxa"/>
            <w:gridSpan w:val="2"/>
            <w:tcBorders>
              <w:top w:val="single" w:color="000000" w:sz="2" w:space="0"/>
              <w:bottom w:val="single" w:color="000000" w:sz="2" w:space="0"/>
            </w:tcBorders>
            <w:vAlign w:val="center"/>
          </w:tcPr>
          <w:p w14:paraId="51550B51">
            <w:pPr>
              <w:spacing w:before="72" w:line="360" w:lineRule="auto"/>
              <w:ind w:firstLine="653"/>
              <w:jc w:val="center"/>
              <w:rPr>
                <w:rFonts w:ascii="宋体" w:hAnsi="宋体" w:eastAsia="宋体" w:cs="宋体"/>
                <w:sz w:val="18"/>
                <w:szCs w:val="18"/>
              </w:rPr>
            </w:pPr>
            <w:r>
              <w:rPr>
                <w:rFonts w:ascii="宋体" w:hAnsi="宋体" w:eastAsia="宋体" w:cs="宋体"/>
                <w:spacing w:val="-2"/>
                <w:sz w:val="18"/>
                <w:szCs w:val="18"/>
              </w:rPr>
              <w:t>全年预算数</w:t>
            </w:r>
          </w:p>
        </w:tc>
        <w:tc>
          <w:tcPr>
            <w:tcW w:w="1864" w:type="dxa"/>
            <w:tcBorders>
              <w:top w:val="single" w:color="000000" w:sz="2" w:space="0"/>
              <w:bottom w:val="single" w:color="000000" w:sz="2" w:space="0"/>
            </w:tcBorders>
            <w:vAlign w:val="center"/>
          </w:tcPr>
          <w:p w14:paraId="5B74EFC1">
            <w:pPr>
              <w:spacing w:before="72" w:line="360" w:lineRule="auto"/>
              <w:ind w:firstLine="386"/>
              <w:jc w:val="center"/>
              <w:rPr>
                <w:rFonts w:ascii="宋体" w:hAnsi="宋体" w:eastAsia="宋体" w:cs="宋体"/>
                <w:sz w:val="18"/>
                <w:szCs w:val="18"/>
              </w:rPr>
            </w:pPr>
            <w:r>
              <w:rPr>
                <w:rFonts w:ascii="宋体" w:hAnsi="宋体" w:eastAsia="宋体" w:cs="宋体"/>
                <w:spacing w:val="-2"/>
                <w:sz w:val="18"/>
                <w:szCs w:val="18"/>
              </w:rPr>
              <w:t>全年执行数</w:t>
            </w:r>
          </w:p>
        </w:tc>
        <w:tc>
          <w:tcPr>
            <w:tcW w:w="2107" w:type="dxa"/>
            <w:tcBorders>
              <w:top w:val="single" w:color="000000" w:sz="2" w:space="0"/>
              <w:bottom w:val="single" w:color="000000" w:sz="2" w:space="0"/>
            </w:tcBorders>
            <w:vAlign w:val="center"/>
          </w:tcPr>
          <w:p w14:paraId="457999A3">
            <w:pPr>
              <w:spacing w:before="72" w:line="360" w:lineRule="auto"/>
              <w:ind w:firstLine="709"/>
              <w:jc w:val="center"/>
              <w:rPr>
                <w:rFonts w:ascii="宋体" w:hAnsi="宋体" w:eastAsia="宋体" w:cs="宋体"/>
                <w:sz w:val="18"/>
                <w:szCs w:val="18"/>
              </w:rPr>
            </w:pPr>
            <w:r>
              <w:rPr>
                <w:rFonts w:ascii="宋体" w:hAnsi="宋体" w:eastAsia="宋体" w:cs="宋体"/>
                <w:spacing w:val="-2"/>
                <w:sz w:val="18"/>
                <w:szCs w:val="18"/>
              </w:rPr>
              <w:t>执行率</w:t>
            </w:r>
          </w:p>
        </w:tc>
      </w:tr>
      <w:tr w14:paraId="7BE38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6" w:type="dxa"/>
            <w:gridSpan w:val="2"/>
            <w:vMerge w:val="continue"/>
            <w:tcBorders>
              <w:top w:val="nil"/>
              <w:bottom w:val="nil"/>
            </w:tcBorders>
            <w:vAlign w:val="center"/>
          </w:tcPr>
          <w:p w14:paraId="59FF3DC1">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14:paraId="4C4C2786">
            <w:pPr>
              <w:spacing w:before="62" w:line="360" w:lineRule="auto"/>
              <w:ind w:firstLine="162"/>
              <w:jc w:val="center"/>
              <w:rPr>
                <w:rFonts w:ascii="宋体" w:hAnsi="宋体" w:eastAsia="宋体" w:cs="宋体"/>
                <w:sz w:val="18"/>
                <w:szCs w:val="18"/>
              </w:rPr>
            </w:pPr>
            <w:r>
              <w:rPr>
                <w:rFonts w:ascii="宋体" w:hAnsi="宋体" w:eastAsia="宋体" w:cs="宋体"/>
                <w:spacing w:val="-2"/>
                <w:sz w:val="18"/>
                <w:szCs w:val="18"/>
              </w:rPr>
              <w:t>年度资金总额</w:t>
            </w:r>
          </w:p>
        </w:tc>
        <w:tc>
          <w:tcPr>
            <w:tcW w:w="2274" w:type="dxa"/>
            <w:gridSpan w:val="2"/>
            <w:tcBorders>
              <w:top w:val="single" w:color="000000" w:sz="2" w:space="0"/>
              <w:bottom w:val="single" w:color="000000" w:sz="2" w:space="0"/>
            </w:tcBorders>
            <w:vAlign w:val="center"/>
          </w:tcPr>
          <w:p w14:paraId="48CBC8A1">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1864" w:type="dxa"/>
            <w:tcBorders>
              <w:top w:val="single" w:color="000000" w:sz="2" w:space="0"/>
              <w:bottom w:val="single" w:color="000000" w:sz="2" w:space="0"/>
            </w:tcBorders>
            <w:vAlign w:val="center"/>
          </w:tcPr>
          <w:p w14:paraId="51D67F1A">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2107" w:type="dxa"/>
            <w:tcBorders>
              <w:top w:val="single" w:color="000000" w:sz="2" w:space="0"/>
              <w:bottom w:val="single" w:color="000000" w:sz="2" w:space="0"/>
            </w:tcBorders>
            <w:vAlign w:val="center"/>
          </w:tcPr>
          <w:p w14:paraId="76AB1121">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2FE6D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26" w:type="dxa"/>
            <w:gridSpan w:val="2"/>
            <w:vMerge w:val="continue"/>
            <w:tcBorders>
              <w:top w:val="nil"/>
              <w:bottom w:val="nil"/>
            </w:tcBorders>
            <w:vAlign w:val="center"/>
          </w:tcPr>
          <w:p w14:paraId="2DEF48FC">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14:paraId="1457942D">
            <w:pPr>
              <w:spacing w:before="72" w:line="360" w:lineRule="auto"/>
              <w:ind w:firstLine="162"/>
              <w:jc w:val="center"/>
              <w:rPr>
                <w:rFonts w:ascii="宋体" w:hAnsi="宋体" w:eastAsia="宋体" w:cs="宋体"/>
                <w:sz w:val="18"/>
                <w:szCs w:val="18"/>
              </w:rPr>
            </w:pPr>
            <w:r>
              <w:rPr>
                <w:rFonts w:ascii="宋体" w:hAnsi="宋体" w:eastAsia="宋体" w:cs="宋体"/>
                <w:sz w:val="18"/>
                <w:szCs w:val="18"/>
              </w:rPr>
              <w:t>(一)财政拨款小计</w:t>
            </w:r>
          </w:p>
        </w:tc>
        <w:tc>
          <w:tcPr>
            <w:tcW w:w="2274" w:type="dxa"/>
            <w:gridSpan w:val="2"/>
            <w:tcBorders>
              <w:top w:val="single" w:color="000000" w:sz="2" w:space="0"/>
              <w:bottom w:val="single" w:color="000000" w:sz="2" w:space="0"/>
            </w:tcBorders>
            <w:vAlign w:val="center"/>
          </w:tcPr>
          <w:p w14:paraId="23060236">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1864" w:type="dxa"/>
            <w:tcBorders>
              <w:top w:val="single" w:color="000000" w:sz="2" w:space="0"/>
              <w:bottom w:val="single" w:color="000000" w:sz="2" w:space="0"/>
            </w:tcBorders>
            <w:vAlign w:val="center"/>
          </w:tcPr>
          <w:p w14:paraId="5F04D3D4">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2107" w:type="dxa"/>
            <w:tcBorders>
              <w:top w:val="single" w:color="000000" w:sz="2" w:space="0"/>
              <w:bottom w:val="single" w:color="000000" w:sz="2" w:space="0"/>
            </w:tcBorders>
            <w:vAlign w:val="center"/>
          </w:tcPr>
          <w:p w14:paraId="2E30E8C9">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4EF0B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26" w:type="dxa"/>
            <w:gridSpan w:val="2"/>
            <w:vMerge w:val="continue"/>
            <w:tcBorders>
              <w:top w:val="nil"/>
              <w:bottom w:val="nil"/>
            </w:tcBorders>
            <w:vAlign w:val="center"/>
          </w:tcPr>
          <w:p w14:paraId="52EAD988">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14:paraId="0669975E">
            <w:pPr>
              <w:spacing w:before="72" w:line="360" w:lineRule="auto"/>
              <w:ind w:firstLine="162"/>
              <w:jc w:val="center"/>
              <w:rPr>
                <w:rFonts w:ascii="宋体" w:hAnsi="宋体" w:eastAsia="宋体" w:cs="宋体"/>
                <w:sz w:val="18"/>
                <w:szCs w:val="18"/>
              </w:rPr>
            </w:pPr>
            <w:r>
              <w:rPr>
                <w:rFonts w:ascii="宋体" w:hAnsi="宋体" w:eastAsia="宋体" w:cs="宋体"/>
                <w:spacing w:val="1"/>
                <w:sz w:val="18"/>
                <w:szCs w:val="18"/>
              </w:rPr>
              <w:t>1.一般公共预算</w:t>
            </w:r>
          </w:p>
        </w:tc>
        <w:tc>
          <w:tcPr>
            <w:tcW w:w="2274" w:type="dxa"/>
            <w:gridSpan w:val="2"/>
            <w:tcBorders>
              <w:top w:val="single" w:color="000000" w:sz="2" w:space="0"/>
              <w:bottom w:val="single" w:color="000000" w:sz="2" w:space="0"/>
            </w:tcBorders>
            <w:vAlign w:val="center"/>
          </w:tcPr>
          <w:p w14:paraId="7A9D8EC9">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1864" w:type="dxa"/>
            <w:tcBorders>
              <w:top w:val="single" w:color="000000" w:sz="2" w:space="0"/>
              <w:bottom w:val="single" w:color="000000" w:sz="2" w:space="0"/>
            </w:tcBorders>
            <w:vAlign w:val="center"/>
          </w:tcPr>
          <w:p w14:paraId="683E7A06">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2107" w:type="dxa"/>
            <w:tcBorders>
              <w:top w:val="single" w:color="000000" w:sz="2" w:space="0"/>
              <w:bottom w:val="single" w:color="000000" w:sz="2" w:space="0"/>
            </w:tcBorders>
            <w:vAlign w:val="center"/>
          </w:tcPr>
          <w:p w14:paraId="02B7C457">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22ED7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626" w:type="dxa"/>
            <w:gridSpan w:val="2"/>
            <w:vMerge w:val="continue"/>
            <w:tcBorders>
              <w:top w:val="nil"/>
              <w:bottom w:val="nil"/>
            </w:tcBorders>
            <w:vAlign w:val="center"/>
          </w:tcPr>
          <w:p w14:paraId="200ABEBD">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14:paraId="077BC9C7">
            <w:pPr>
              <w:spacing w:before="61" w:line="360" w:lineRule="auto"/>
              <w:ind w:firstLine="162"/>
              <w:jc w:val="center"/>
              <w:rPr>
                <w:rFonts w:ascii="宋体" w:hAnsi="宋体" w:eastAsia="宋体" w:cs="宋体"/>
                <w:sz w:val="18"/>
                <w:szCs w:val="18"/>
              </w:rPr>
            </w:pPr>
            <w:r>
              <w:rPr>
                <w:rFonts w:ascii="宋体" w:hAnsi="宋体" w:eastAsia="宋体" w:cs="宋体"/>
                <w:spacing w:val="-2"/>
                <w:sz w:val="18"/>
                <w:szCs w:val="18"/>
              </w:rPr>
              <w:t>2.政府性基金</w:t>
            </w:r>
          </w:p>
        </w:tc>
        <w:tc>
          <w:tcPr>
            <w:tcW w:w="2274" w:type="dxa"/>
            <w:gridSpan w:val="2"/>
            <w:tcBorders>
              <w:top w:val="single" w:color="000000" w:sz="2" w:space="0"/>
              <w:bottom w:val="single" w:color="000000" w:sz="2" w:space="0"/>
            </w:tcBorders>
            <w:vAlign w:val="center"/>
          </w:tcPr>
          <w:p w14:paraId="7DB54F19">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864" w:type="dxa"/>
            <w:tcBorders>
              <w:top w:val="single" w:color="000000" w:sz="2" w:space="0"/>
              <w:bottom w:val="single" w:color="000000" w:sz="2" w:space="0"/>
            </w:tcBorders>
            <w:vAlign w:val="center"/>
          </w:tcPr>
          <w:p w14:paraId="0E9BABDD">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107" w:type="dxa"/>
            <w:tcBorders>
              <w:top w:val="single" w:color="000000" w:sz="2" w:space="0"/>
              <w:bottom w:val="single" w:color="000000" w:sz="2" w:space="0"/>
            </w:tcBorders>
            <w:vAlign w:val="center"/>
          </w:tcPr>
          <w:p w14:paraId="34BD0FBB">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E6A9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626" w:type="dxa"/>
            <w:gridSpan w:val="2"/>
            <w:vMerge w:val="continue"/>
            <w:tcBorders>
              <w:top w:val="nil"/>
              <w:bottom w:val="nil"/>
            </w:tcBorders>
            <w:vAlign w:val="center"/>
          </w:tcPr>
          <w:p w14:paraId="2A81DCD2">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14:paraId="6D89B04A">
            <w:pPr>
              <w:spacing w:before="102" w:line="360" w:lineRule="auto"/>
              <w:ind w:firstLine="162"/>
              <w:jc w:val="center"/>
              <w:rPr>
                <w:rFonts w:ascii="宋体" w:hAnsi="宋体" w:eastAsia="宋体" w:cs="宋体"/>
                <w:sz w:val="18"/>
                <w:szCs w:val="18"/>
              </w:rPr>
            </w:pPr>
            <w:r>
              <w:rPr>
                <w:rFonts w:ascii="宋体" w:hAnsi="宋体" w:eastAsia="宋体" w:cs="宋体"/>
                <w:spacing w:val="-1"/>
                <w:sz w:val="18"/>
                <w:szCs w:val="18"/>
              </w:rPr>
              <w:t>3.国有资本经营预算</w:t>
            </w:r>
          </w:p>
        </w:tc>
        <w:tc>
          <w:tcPr>
            <w:tcW w:w="2274" w:type="dxa"/>
            <w:gridSpan w:val="2"/>
            <w:tcBorders>
              <w:top w:val="single" w:color="000000" w:sz="2" w:space="0"/>
              <w:bottom w:val="single" w:color="000000" w:sz="2" w:space="0"/>
            </w:tcBorders>
            <w:vAlign w:val="center"/>
          </w:tcPr>
          <w:p w14:paraId="35D33E9D">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864" w:type="dxa"/>
            <w:tcBorders>
              <w:top w:val="single" w:color="000000" w:sz="2" w:space="0"/>
              <w:bottom w:val="single" w:color="000000" w:sz="2" w:space="0"/>
            </w:tcBorders>
            <w:vAlign w:val="center"/>
          </w:tcPr>
          <w:p w14:paraId="3DD6B498">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107" w:type="dxa"/>
            <w:tcBorders>
              <w:top w:val="single" w:color="000000" w:sz="2" w:space="0"/>
              <w:bottom w:val="single" w:color="000000" w:sz="2" w:space="0"/>
            </w:tcBorders>
            <w:vAlign w:val="center"/>
          </w:tcPr>
          <w:p w14:paraId="7464350B">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5C48F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626" w:type="dxa"/>
            <w:gridSpan w:val="2"/>
            <w:vMerge w:val="continue"/>
            <w:tcBorders>
              <w:top w:val="nil"/>
              <w:bottom w:val="nil"/>
            </w:tcBorders>
            <w:vAlign w:val="center"/>
          </w:tcPr>
          <w:p w14:paraId="480EDDDD">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14:paraId="7854444F">
            <w:pPr>
              <w:spacing w:before="73" w:line="360" w:lineRule="auto"/>
              <w:ind w:firstLine="162"/>
              <w:jc w:val="center"/>
              <w:rPr>
                <w:rFonts w:ascii="宋体" w:hAnsi="宋体" w:eastAsia="宋体" w:cs="宋体"/>
                <w:sz w:val="18"/>
                <w:szCs w:val="18"/>
              </w:rPr>
            </w:pPr>
            <w:r>
              <w:rPr>
                <w:rFonts w:ascii="宋体" w:hAnsi="宋体" w:eastAsia="宋体" w:cs="宋体"/>
                <w:spacing w:val="-1"/>
                <w:sz w:val="18"/>
                <w:szCs w:val="18"/>
              </w:rPr>
              <w:t>4.社保基金</w:t>
            </w:r>
          </w:p>
        </w:tc>
        <w:tc>
          <w:tcPr>
            <w:tcW w:w="2274" w:type="dxa"/>
            <w:gridSpan w:val="2"/>
            <w:tcBorders>
              <w:top w:val="single" w:color="000000" w:sz="2" w:space="0"/>
              <w:bottom w:val="single" w:color="000000" w:sz="2" w:space="0"/>
            </w:tcBorders>
            <w:vAlign w:val="center"/>
          </w:tcPr>
          <w:p w14:paraId="352E423A">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864" w:type="dxa"/>
            <w:tcBorders>
              <w:top w:val="single" w:color="000000" w:sz="2" w:space="0"/>
              <w:bottom w:val="single" w:color="000000" w:sz="2" w:space="0"/>
            </w:tcBorders>
            <w:vAlign w:val="center"/>
          </w:tcPr>
          <w:p w14:paraId="38BDA050">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107" w:type="dxa"/>
            <w:tcBorders>
              <w:top w:val="single" w:color="000000" w:sz="2" w:space="0"/>
              <w:bottom w:val="single" w:color="000000" w:sz="2" w:space="0"/>
            </w:tcBorders>
            <w:vAlign w:val="center"/>
          </w:tcPr>
          <w:p w14:paraId="78BC97CC">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D143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626" w:type="dxa"/>
            <w:gridSpan w:val="2"/>
            <w:vMerge w:val="continue"/>
            <w:tcBorders>
              <w:top w:val="nil"/>
              <w:bottom w:val="single" w:color="000000" w:sz="2" w:space="0"/>
            </w:tcBorders>
            <w:vAlign w:val="center"/>
          </w:tcPr>
          <w:p w14:paraId="25E9E988">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14:paraId="4A4DFA26">
            <w:pPr>
              <w:spacing w:before="63" w:line="360" w:lineRule="auto"/>
              <w:ind w:firstLine="162"/>
              <w:jc w:val="center"/>
              <w:rPr>
                <w:rFonts w:ascii="宋体" w:hAnsi="宋体" w:eastAsia="宋体" w:cs="宋体"/>
                <w:sz w:val="18"/>
                <w:szCs w:val="18"/>
              </w:rPr>
            </w:pPr>
            <w:r>
              <w:rPr>
                <w:rFonts w:ascii="宋体" w:hAnsi="宋体" w:eastAsia="宋体" w:cs="宋体"/>
                <w:spacing w:val="1"/>
                <w:sz w:val="18"/>
                <w:szCs w:val="18"/>
              </w:rPr>
              <w:t>(二)其他资金</w:t>
            </w:r>
          </w:p>
        </w:tc>
        <w:tc>
          <w:tcPr>
            <w:tcW w:w="2274" w:type="dxa"/>
            <w:gridSpan w:val="2"/>
            <w:tcBorders>
              <w:top w:val="single" w:color="000000" w:sz="2" w:space="0"/>
              <w:bottom w:val="single" w:color="000000" w:sz="2" w:space="0"/>
            </w:tcBorders>
            <w:vAlign w:val="center"/>
          </w:tcPr>
          <w:p w14:paraId="5D7F8717">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864" w:type="dxa"/>
            <w:tcBorders>
              <w:top w:val="single" w:color="000000" w:sz="2" w:space="0"/>
              <w:bottom w:val="single" w:color="000000" w:sz="2" w:space="0"/>
            </w:tcBorders>
            <w:vAlign w:val="center"/>
          </w:tcPr>
          <w:p w14:paraId="623C1661">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107" w:type="dxa"/>
            <w:tcBorders>
              <w:top w:val="single" w:color="000000" w:sz="2" w:space="0"/>
              <w:bottom w:val="single" w:color="000000" w:sz="2" w:space="0"/>
            </w:tcBorders>
            <w:vAlign w:val="center"/>
          </w:tcPr>
          <w:p w14:paraId="3633E44E">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254E1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10" w:type="dxa"/>
            <w:vMerge w:val="restart"/>
            <w:tcBorders>
              <w:top w:val="single" w:color="000000" w:sz="2" w:space="0"/>
              <w:bottom w:val="nil"/>
            </w:tcBorders>
            <w:vAlign w:val="center"/>
          </w:tcPr>
          <w:p w14:paraId="68F84CBB">
            <w:pPr>
              <w:spacing w:line="360" w:lineRule="auto"/>
              <w:jc w:val="center"/>
              <w:rPr>
                <w:rFonts w:ascii="Arial"/>
                <w:sz w:val="21"/>
              </w:rPr>
            </w:pPr>
          </w:p>
          <w:p w14:paraId="614BCD50">
            <w:pPr>
              <w:spacing w:before="58" w:line="360" w:lineRule="auto"/>
              <w:ind w:left="274" w:right="46" w:hanging="219"/>
              <w:jc w:val="center"/>
              <w:rPr>
                <w:rFonts w:ascii="宋体" w:hAnsi="宋体" w:eastAsia="宋体" w:cs="宋体"/>
                <w:spacing w:val="-2"/>
                <w:sz w:val="18"/>
                <w:szCs w:val="18"/>
              </w:rPr>
            </w:pPr>
            <w:r>
              <w:rPr>
                <w:rFonts w:ascii="宋体" w:hAnsi="宋体" w:eastAsia="宋体" w:cs="宋体"/>
                <w:spacing w:val="-2"/>
                <w:sz w:val="18"/>
                <w:szCs w:val="18"/>
              </w:rPr>
              <w:t>年度总体</w:t>
            </w:r>
          </w:p>
          <w:p w14:paraId="6AA742B8">
            <w:pPr>
              <w:spacing w:before="58" w:line="360" w:lineRule="auto"/>
              <w:ind w:left="274" w:right="46" w:hanging="219"/>
              <w:jc w:val="center"/>
              <w:rPr>
                <w:rFonts w:ascii="宋体" w:hAnsi="宋体" w:eastAsia="宋体" w:cs="宋体"/>
                <w:sz w:val="18"/>
                <w:szCs w:val="18"/>
              </w:rPr>
            </w:pPr>
            <w:r>
              <w:rPr>
                <w:rFonts w:hint="eastAsia" w:ascii="宋体" w:hAnsi="宋体" w:eastAsia="宋体" w:cs="宋体"/>
                <w:spacing w:val="-2"/>
                <w:sz w:val="18"/>
                <w:szCs w:val="18"/>
                <w:lang w:val="en-US" w:eastAsia="zh-CN"/>
              </w:rPr>
              <w:t>目标</w:t>
            </w:r>
          </w:p>
        </w:tc>
        <w:tc>
          <w:tcPr>
            <w:tcW w:w="5338" w:type="dxa"/>
            <w:gridSpan w:val="5"/>
            <w:tcBorders>
              <w:top w:val="single" w:color="000000" w:sz="2" w:space="0"/>
              <w:bottom w:val="single" w:color="000000" w:sz="2" w:space="0"/>
            </w:tcBorders>
            <w:vAlign w:val="center"/>
          </w:tcPr>
          <w:p w14:paraId="2CCF883C">
            <w:pPr>
              <w:spacing w:before="173" w:line="360" w:lineRule="auto"/>
              <w:ind w:firstLine="2120"/>
              <w:jc w:val="both"/>
              <w:rPr>
                <w:rFonts w:ascii="宋体" w:hAnsi="宋体" w:eastAsia="宋体" w:cs="宋体"/>
                <w:sz w:val="18"/>
                <w:szCs w:val="18"/>
              </w:rPr>
            </w:pPr>
            <w:r>
              <w:rPr>
                <w:rFonts w:ascii="宋体" w:hAnsi="宋体" w:eastAsia="宋体" w:cs="宋体"/>
                <w:spacing w:val="-2"/>
                <w:sz w:val="18"/>
                <w:szCs w:val="18"/>
              </w:rPr>
              <w:t>预期目标</w:t>
            </w:r>
          </w:p>
        </w:tc>
        <w:tc>
          <w:tcPr>
            <w:tcW w:w="3971" w:type="dxa"/>
            <w:gridSpan w:val="2"/>
            <w:tcBorders>
              <w:top w:val="single" w:color="000000" w:sz="2" w:space="0"/>
              <w:bottom w:val="single" w:color="000000" w:sz="2" w:space="0"/>
            </w:tcBorders>
            <w:vAlign w:val="center"/>
          </w:tcPr>
          <w:p w14:paraId="6E3060F6">
            <w:pPr>
              <w:spacing w:before="173" w:line="360" w:lineRule="auto"/>
              <w:ind w:firstLine="1287"/>
              <w:jc w:val="both"/>
              <w:rPr>
                <w:rFonts w:ascii="宋体" w:hAnsi="宋体" w:eastAsia="宋体" w:cs="宋体"/>
                <w:sz w:val="18"/>
                <w:szCs w:val="18"/>
              </w:rPr>
            </w:pPr>
            <w:r>
              <w:rPr>
                <w:rFonts w:ascii="宋体" w:hAnsi="宋体" w:eastAsia="宋体" w:cs="宋体"/>
                <w:spacing w:val="-2"/>
                <w:sz w:val="18"/>
                <w:szCs w:val="18"/>
              </w:rPr>
              <w:t>实际完成情况</w:t>
            </w:r>
          </w:p>
        </w:tc>
      </w:tr>
      <w:tr w14:paraId="15622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3" w:hRule="atLeast"/>
        </w:trPr>
        <w:tc>
          <w:tcPr>
            <w:tcW w:w="710" w:type="dxa"/>
            <w:vMerge w:val="continue"/>
            <w:tcBorders>
              <w:top w:val="nil"/>
              <w:bottom w:val="single" w:color="auto" w:sz="4" w:space="0"/>
            </w:tcBorders>
            <w:vAlign w:val="center"/>
          </w:tcPr>
          <w:p w14:paraId="3F81D9BE">
            <w:pPr>
              <w:spacing w:line="360" w:lineRule="auto"/>
              <w:jc w:val="center"/>
              <w:rPr>
                <w:rFonts w:ascii="Arial"/>
                <w:sz w:val="21"/>
              </w:rPr>
            </w:pPr>
          </w:p>
        </w:tc>
        <w:tc>
          <w:tcPr>
            <w:tcW w:w="5338" w:type="dxa"/>
            <w:gridSpan w:val="5"/>
            <w:tcBorders>
              <w:top w:val="single" w:color="000000" w:sz="2" w:space="0"/>
              <w:bottom w:val="single" w:color="auto" w:sz="4" w:space="0"/>
            </w:tcBorders>
            <w:vAlign w:val="center"/>
          </w:tcPr>
          <w:p w14:paraId="54BF9D33">
            <w:pPr>
              <w:spacing w:line="360" w:lineRule="auto"/>
              <w:ind w:firstLine="420" w:firstLineChars="200"/>
              <w:jc w:val="both"/>
              <w:rPr>
                <w:rFonts w:hint="default" w:ascii="Arial"/>
                <w:sz w:val="21"/>
                <w:lang w:val="en-US"/>
              </w:rPr>
            </w:pPr>
            <w:r>
              <w:rPr>
                <w:rFonts w:hint="default" w:ascii="Arial"/>
                <w:sz w:val="21"/>
                <w:lang w:val="en-US" w:eastAsia="zh-CN"/>
              </w:rPr>
              <w:t>中心每年聘用不少于13人，聘用人员任务完成合格率、聘用人员安全工作率达100%，聘用人员任务完成及时率、作品报道转发率达90%以上，</w:t>
            </w:r>
            <w:r>
              <w:rPr>
                <w:rFonts w:hint="default" w:ascii="Arial"/>
                <w:sz w:val="21"/>
                <w:lang w:val="en-US"/>
              </w:rPr>
              <w:t>聘用人员满意度</w:t>
            </w:r>
            <w:r>
              <w:rPr>
                <w:rFonts w:hint="default" w:ascii="Arial"/>
                <w:sz w:val="21"/>
                <w:lang w:val="en-US" w:eastAsia="zh-CN"/>
              </w:rPr>
              <w:t>达9</w:t>
            </w:r>
            <w:r>
              <w:rPr>
                <w:rFonts w:hint="default" w:ascii="Arial"/>
                <w:sz w:val="21"/>
                <w:lang w:val="en-US"/>
              </w:rPr>
              <w:t>0%</w:t>
            </w:r>
            <w:r>
              <w:rPr>
                <w:rFonts w:hint="default" w:ascii="Arial"/>
                <w:sz w:val="21"/>
                <w:lang w:val="en-US" w:eastAsia="zh-CN"/>
              </w:rPr>
              <w:t>以上，年度优秀作品获奖次数不少于1件</w:t>
            </w:r>
            <w:r>
              <w:rPr>
                <w:rFonts w:hint="default" w:ascii="Arial"/>
                <w:sz w:val="21"/>
                <w:lang w:val="en-US"/>
              </w:rPr>
              <w:t>。</w:t>
            </w:r>
          </w:p>
        </w:tc>
        <w:tc>
          <w:tcPr>
            <w:tcW w:w="3971" w:type="dxa"/>
            <w:gridSpan w:val="2"/>
            <w:tcBorders>
              <w:top w:val="single" w:color="000000" w:sz="2" w:space="0"/>
              <w:bottom w:val="single" w:color="auto" w:sz="4" w:space="0"/>
            </w:tcBorders>
            <w:vAlign w:val="center"/>
          </w:tcPr>
          <w:p w14:paraId="1882BEE8">
            <w:pPr>
              <w:spacing w:line="360" w:lineRule="auto"/>
              <w:ind w:firstLine="420" w:firstLineChars="200"/>
              <w:jc w:val="both"/>
              <w:rPr>
                <w:rFonts w:hint="default" w:ascii="Arial" w:eastAsia="宋体"/>
                <w:sz w:val="21"/>
                <w:lang w:val="en-US" w:eastAsia="zh-CN"/>
              </w:rPr>
            </w:pPr>
            <w:r>
              <w:rPr>
                <w:rFonts w:hint="default" w:ascii="Arial" w:eastAsia="宋体"/>
                <w:sz w:val="21"/>
                <w:lang w:val="en-US" w:eastAsia="zh-CN"/>
              </w:rPr>
              <w:t>中心2022年聘用13人，聘用人员任务完成合格率、聘用人员安全工作率达100%，聘用人员任务完成及时率、作品报道转发率达95%，聘用人员满意度达100%，年度优秀作品获奖次数8件。</w:t>
            </w:r>
          </w:p>
        </w:tc>
      </w:tr>
      <w:tr w14:paraId="3F425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10" w:type="dxa"/>
            <w:vMerge w:val="restart"/>
            <w:tcBorders>
              <w:top w:val="single" w:color="auto" w:sz="4" w:space="0"/>
              <w:left w:val="single" w:color="auto" w:sz="4" w:space="0"/>
              <w:bottom w:val="single" w:color="auto" w:sz="4" w:space="0"/>
              <w:right w:val="single" w:color="auto" w:sz="4" w:space="0"/>
            </w:tcBorders>
            <w:vAlign w:val="center"/>
          </w:tcPr>
          <w:p w14:paraId="1AF7784A">
            <w:pPr>
              <w:spacing w:line="360" w:lineRule="auto"/>
              <w:jc w:val="center"/>
              <w:rPr>
                <w:rFonts w:ascii="Arial"/>
                <w:sz w:val="21"/>
              </w:rPr>
            </w:pPr>
          </w:p>
          <w:p w14:paraId="5D33D54B">
            <w:pPr>
              <w:spacing w:line="360" w:lineRule="auto"/>
              <w:jc w:val="center"/>
              <w:rPr>
                <w:rFonts w:ascii="Arial"/>
                <w:sz w:val="21"/>
              </w:rPr>
            </w:pPr>
          </w:p>
          <w:p w14:paraId="750C1FFE">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绩</w:t>
            </w:r>
          </w:p>
          <w:p w14:paraId="4F112AC8">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效</w:t>
            </w:r>
          </w:p>
          <w:p w14:paraId="68DB78C7">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指</w:t>
            </w:r>
          </w:p>
          <w:p w14:paraId="633772AC">
            <w:pPr>
              <w:spacing w:before="59" w:line="360" w:lineRule="auto"/>
              <w:ind w:firstLine="55"/>
              <w:jc w:val="center"/>
              <w:rPr>
                <w:rFonts w:ascii="宋体" w:hAnsi="宋体" w:eastAsia="宋体" w:cs="宋体"/>
                <w:sz w:val="18"/>
                <w:szCs w:val="18"/>
              </w:rPr>
            </w:pPr>
            <w:r>
              <w:rPr>
                <w:rFonts w:ascii="宋体" w:hAnsi="宋体" w:eastAsia="宋体" w:cs="宋体"/>
                <w:spacing w:val="-2"/>
                <w:sz w:val="18"/>
                <w:szCs w:val="18"/>
              </w:rPr>
              <w:t>标</w:t>
            </w:r>
          </w:p>
        </w:tc>
        <w:tc>
          <w:tcPr>
            <w:tcW w:w="916" w:type="dxa"/>
            <w:tcBorders>
              <w:top w:val="single" w:color="auto" w:sz="4" w:space="0"/>
              <w:left w:val="single" w:color="auto" w:sz="4" w:space="0"/>
              <w:bottom w:val="single" w:color="auto" w:sz="4" w:space="0"/>
              <w:right w:val="single" w:color="auto" w:sz="4" w:space="0"/>
            </w:tcBorders>
            <w:vAlign w:val="center"/>
          </w:tcPr>
          <w:p w14:paraId="23F27087">
            <w:pPr>
              <w:spacing w:before="57" w:line="360" w:lineRule="auto"/>
              <w:ind w:firstLine="180"/>
              <w:jc w:val="center"/>
              <w:rPr>
                <w:rFonts w:ascii="宋体" w:hAnsi="宋体" w:eastAsia="宋体" w:cs="宋体"/>
                <w:sz w:val="18"/>
                <w:szCs w:val="18"/>
              </w:rPr>
            </w:pPr>
            <w:r>
              <w:rPr>
                <w:rFonts w:ascii="宋体" w:hAnsi="宋体" w:eastAsia="宋体" w:cs="宋体"/>
                <w:spacing w:val="5"/>
                <w:sz w:val="18"/>
                <w:szCs w:val="18"/>
              </w:rPr>
              <w:t>一级</w:t>
            </w:r>
          </w:p>
          <w:p w14:paraId="7A60B964">
            <w:pPr>
              <w:spacing w:line="360" w:lineRule="auto"/>
              <w:ind w:firstLine="180"/>
              <w:jc w:val="center"/>
              <w:rPr>
                <w:rFonts w:ascii="宋体" w:hAnsi="宋体" w:eastAsia="宋体" w:cs="宋体"/>
                <w:sz w:val="18"/>
                <w:szCs w:val="18"/>
              </w:rPr>
            </w:pPr>
            <w:r>
              <w:rPr>
                <w:rFonts w:ascii="宋体" w:hAnsi="宋体" w:eastAsia="宋体" w:cs="宋体"/>
                <w:spacing w:val="-3"/>
                <w:sz w:val="18"/>
                <w:szCs w:val="18"/>
              </w:rPr>
              <w:t>指标</w:t>
            </w:r>
          </w:p>
        </w:tc>
        <w:tc>
          <w:tcPr>
            <w:tcW w:w="1226" w:type="dxa"/>
            <w:tcBorders>
              <w:top w:val="single" w:color="auto" w:sz="4" w:space="0"/>
              <w:left w:val="single" w:color="auto" w:sz="4" w:space="0"/>
              <w:bottom w:val="single" w:color="auto" w:sz="4" w:space="0"/>
              <w:right w:val="single" w:color="auto" w:sz="4" w:space="0"/>
            </w:tcBorders>
            <w:vAlign w:val="center"/>
          </w:tcPr>
          <w:p w14:paraId="36C57C96">
            <w:pPr>
              <w:spacing w:before="145" w:line="360" w:lineRule="auto"/>
              <w:ind w:firstLine="102"/>
              <w:jc w:val="center"/>
              <w:rPr>
                <w:rFonts w:ascii="宋体" w:hAnsi="宋体" w:eastAsia="宋体" w:cs="宋体"/>
                <w:sz w:val="18"/>
                <w:szCs w:val="18"/>
              </w:rPr>
            </w:pPr>
            <w:r>
              <w:rPr>
                <w:rFonts w:ascii="宋体" w:hAnsi="宋体" w:eastAsia="宋体" w:cs="宋体"/>
                <w:spacing w:val="-2"/>
                <w:sz w:val="18"/>
                <w:szCs w:val="18"/>
              </w:rPr>
              <w:t>二级指标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6785AB24">
            <w:pPr>
              <w:spacing w:before="145" w:line="360" w:lineRule="auto"/>
              <w:ind w:firstLine="493"/>
              <w:jc w:val="both"/>
              <w:rPr>
                <w:rFonts w:ascii="宋体" w:hAnsi="宋体" w:eastAsia="宋体" w:cs="宋体"/>
                <w:sz w:val="18"/>
                <w:szCs w:val="18"/>
              </w:rPr>
            </w:pPr>
            <w:r>
              <w:rPr>
                <w:rFonts w:ascii="宋体" w:hAnsi="宋体" w:eastAsia="宋体" w:cs="宋体"/>
                <w:spacing w:val="-2"/>
                <w:sz w:val="18"/>
                <w:szCs w:val="18"/>
              </w:rPr>
              <w:t>三级指标</w:t>
            </w:r>
          </w:p>
        </w:tc>
        <w:tc>
          <w:tcPr>
            <w:tcW w:w="1363" w:type="dxa"/>
            <w:tcBorders>
              <w:top w:val="single" w:color="auto" w:sz="4" w:space="0"/>
              <w:left w:val="single" w:color="auto" w:sz="4" w:space="0"/>
              <w:bottom w:val="single" w:color="auto" w:sz="4" w:space="0"/>
              <w:right w:val="single" w:color="auto" w:sz="4" w:space="0"/>
            </w:tcBorders>
            <w:vAlign w:val="center"/>
          </w:tcPr>
          <w:p w14:paraId="7C16715B">
            <w:pPr>
              <w:spacing w:before="145" w:line="360" w:lineRule="auto"/>
              <w:jc w:val="center"/>
              <w:rPr>
                <w:rFonts w:ascii="宋体" w:hAnsi="宋体" w:eastAsia="宋体" w:cs="宋体"/>
                <w:sz w:val="18"/>
                <w:szCs w:val="18"/>
              </w:rPr>
            </w:pPr>
            <w:r>
              <w:rPr>
                <w:rFonts w:ascii="宋体" w:hAnsi="宋体" w:eastAsia="宋体" w:cs="宋体"/>
                <w:spacing w:val="-2"/>
                <w:sz w:val="18"/>
                <w:szCs w:val="18"/>
              </w:rPr>
              <w:t>年度指标值</w:t>
            </w:r>
          </w:p>
        </w:tc>
        <w:tc>
          <w:tcPr>
            <w:tcW w:w="1864" w:type="dxa"/>
            <w:tcBorders>
              <w:top w:val="single" w:color="auto" w:sz="4" w:space="0"/>
              <w:left w:val="single" w:color="auto" w:sz="4" w:space="0"/>
              <w:bottom w:val="single" w:color="auto" w:sz="4" w:space="0"/>
              <w:right w:val="single" w:color="auto" w:sz="4" w:space="0"/>
            </w:tcBorders>
            <w:vAlign w:val="center"/>
          </w:tcPr>
          <w:p w14:paraId="76DC8950">
            <w:pPr>
              <w:spacing w:before="145" w:line="360" w:lineRule="auto"/>
              <w:ind w:firstLine="386"/>
              <w:jc w:val="both"/>
              <w:rPr>
                <w:rFonts w:ascii="宋体" w:hAnsi="宋体" w:eastAsia="宋体" w:cs="宋体"/>
                <w:sz w:val="18"/>
                <w:szCs w:val="18"/>
              </w:rPr>
            </w:pPr>
            <w:r>
              <w:rPr>
                <w:rFonts w:ascii="宋体" w:hAnsi="宋体" w:eastAsia="宋体" w:cs="宋体"/>
                <w:spacing w:val="-2"/>
                <w:sz w:val="18"/>
                <w:szCs w:val="18"/>
              </w:rPr>
              <w:t>实际完成值</w:t>
            </w:r>
          </w:p>
        </w:tc>
        <w:tc>
          <w:tcPr>
            <w:tcW w:w="2107" w:type="dxa"/>
            <w:tcBorders>
              <w:top w:val="single" w:color="auto" w:sz="4" w:space="0"/>
              <w:left w:val="single" w:color="auto" w:sz="4" w:space="0"/>
              <w:bottom w:val="single" w:color="auto" w:sz="4" w:space="0"/>
              <w:right w:val="single" w:color="auto" w:sz="4" w:space="0"/>
            </w:tcBorders>
            <w:vAlign w:val="center"/>
          </w:tcPr>
          <w:p w14:paraId="1A9AA458">
            <w:pPr>
              <w:spacing w:before="145" w:line="360" w:lineRule="auto"/>
              <w:ind w:firstLine="48"/>
              <w:jc w:val="center"/>
              <w:rPr>
                <w:rFonts w:ascii="宋体" w:hAnsi="宋体" w:eastAsia="宋体" w:cs="宋体"/>
                <w:sz w:val="17"/>
                <w:szCs w:val="17"/>
              </w:rPr>
            </w:pPr>
            <w:r>
              <w:rPr>
                <w:rFonts w:ascii="宋体" w:hAnsi="宋体" w:eastAsia="宋体" w:cs="宋体"/>
                <w:spacing w:val="4"/>
                <w:sz w:val="17"/>
                <w:szCs w:val="17"/>
              </w:rPr>
              <w:t>偏差原因分析及改进措施</w:t>
            </w:r>
          </w:p>
        </w:tc>
      </w:tr>
      <w:tr w14:paraId="4FB89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3184D0C0">
            <w:pPr>
              <w:spacing w:line="360" w:lineRule="auto"/>
              <w:jc w:val="center"/>
              <w:rPr>
                <w:rFonts w:ascii="Arial"/>
                <w:sz w:val="21"/>
              </w:rPr>
            </w:pPr>
          </w:p>
        </w:tc>
        <w:tc>
          <w:tcPr>
            <w:tcW w:w="916" w:type="dxa"/>
            <w:vMerge w:val="restart"/>
            <w:tcBorders>
              <w:top w:val="single" w:color="auto" w:sz="4" w:space="0"/>
              <w:left w:val="single" w:color="auto" w:sz="4" w:space="0"/>
              <w:right w:val="single" w:color="auto" w:sz="4" w:space="0"/>
            </w:tcBorders>
            <w:vAlign w:val="center"/>
          </w:tcPr>
          <w:p w14:paraId="7CE632A5">
            <w:pPr>
              <w:spacing w:line="360" w:lineRule="auto"/>
              <w:jc w:val="center"/>
              <w:rPr>
                <w:rFonts w:ascii="Arial"/>
                <w:sz w:val="21"/>
              </w:rPr>
            </w:pPr>
          </w:p>
          <w:p w14:paraId="25390380">
            <w:pPr>
              <w:spacing w:before="58" w:line="360" w:lineRule="auto"/>
              <w:ind w:firstLine="180"/>
              <w:jc w:val="center"/>
              <w:rPr>
                <w:rFonts w:ascii="宋体" w:hAnsi="宋体" w:eastAsia="宋体" w:cs="宋体"/>
                <w:sz w:val="18"/>
                <w:szCs w:val="18"/>
              </w:rPr>
            </w:pPr>
            <w:r>
              <w:rPr>
                <w:rFonts w:ascii="宋体" w:hAnsi="宋体" w:eastAsia="宋体" w:cs="宋体"/>
                <w:spacing w:val="10"/>
                <w:sz w:val="18"/>
                <w:szCs w:val="18"/>
              </w:rPr>
              <w:t>产出</w:t>
            </w:r>
          </w:p>
          <w:p w14:paraId="51FE88F2">
            <w:pPr>
              <w:spacing w:line="360" w:lineRule="auto"/>
              <w:ind w:firstLine="200"/>
              <w:jc w:val="center"/>
              <w:rPr>
                <w:rFonts w:ascii="宋体" w:hAnsi="宋体" w:eastAsia="宋体" w:cs="宋体"/>
                <w:sz w:val="18"/>
                <w:szCs w:val="18"/>
              </w:rPr>
            </w:pPr>
            <w:r>
              <w:rPr>
                <w:rFonts w:ascii="宋体" w:hAnsi="宋体" w:eastAsia="宋体" w:cs="宋体"/>
                <w:spacing w:val="-3"/>
                <w:sz w:val="18"/>
                <w:szCs w:val="18"/>
              </w:rPr>
              <w:t>指标</w:t>
            </w:r>
          </w:p>
        </w:tc>
        <w:tc>
          <w:tcPr>
            <w:tcW w:w="1226" w:type="dxa"/>
            <w:tcBorders>
              <w:top w:val="single" w:color="auto" w:sz="4" w:space="0"/>
              <w:left w:val="single" w:color="auto" w:sz="4" w:space="0"/>
              <w:bottom w:val="single" w:color="auto" w:sz="4" w:space="0"/>
              <w:right w:val="single" w:color="auto" w:sz="4" w:space="0"/>
            </w:tcBorders>
            <w:vAlign w:val="center"/>
          </w:tcPr>
          <w:p w14:paraId="6E01282D">
            <w:pPr>
              <w:spacing w:before="59" w:line="360" w:lineRule="auto"/>
              <w:jc w:val="center"/>
              <w:rPr>
                <w:rFonts w:ascii="宋体" w:hAnsi="宋体" w:eastAsia="宋体" w:cs="宋体"/>
                <w:sz w:val="18"/>
                <w:szCs w:val="18"/>
              </w:rPr>
            </w:pPr>
            <w:r>
              <w:rPr>
                <w:rFonts w:ascii="宋体" w:hAnsi="宋体" w:eastAsia="宋体" w:cs="宋体"/>
                <w:spacing w:val="-2"/>
                <w:sz w:val="18"/>
                <w:szCs w:val="18"/>
              </w:rPr>
              <w:t>数量指标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2DE53592">
            <w:pPr>
              <w:spacing w:before="75"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聘用人员数量</w:t>
            </w:r>
          </w:p>
        </w:tc>
        <w:tc>
          <w:tcPr>
            <w:tcW w:w="1363" w:type="dxa"/>
            <w:tcBorders>
              <w:top w:val="single" w:color="auto" w:sz="4" w:space="0"/>
              <w:left w:val="single" w:color="auto" w:sz="4" w:space="0"/>
              <w:bottom w:val="single" w:color="auto" w:sz="4" w:space="0"/>
              <w:right w:val="single" w:color="auto" w:sz="4" w:space="0"/>
            </w:tcBorders>
            <w:vAlign w:val="center"/>
          </w:tcPr>
          <w:p w14:paraId="68ACD812">
            <w:pPr>
              <w:spacing w:line="360" w:lineRule="auto"/>
              <w:jc w:val="center"/>
              <w:rPr>
                <w:rFonts w:hint="default" w:ascii="Arial"/>
                <w:sz w:val="21"/>
                <w:lang w:val="en-US"/>
              </w:rPr>
            </w:pP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i w:val="0"/>
                <w:iCs w:val="0"/>
                <w:color w:val="000000"/>
                <w:kern w:val="0"/>
                <w:sz w:val="20"/>
                <w:szCs w:val="20"/>
                <w:u w:val="none"/>
                <w:lang w:val="en-US" w:eastAsia="zh-CN" w:bidi="ar"/>
              </w:rPr>
              <w:t>13人</w:t>
            </w:r>
          </w:p>
        </w:tc>
        <w:tc>
          <w:tcPr>
            <w:tcW w:w="1864" w:type="dxa"/>
            <w:tcBorders>
              <w:top w:val="single" w:color="auto" w:sz="4" w:space="0"/>
              <w:left w:val="single" w:color="auto" w:sz="4" w:space="0"/>
              <w:bottom w:val="single" w:color="auto" w:sz="4" w:space="0"/>
              <w:right w:val="single" w:color="auto" w:sz="4" w:space="0"/>
            </w:tcBorders>
            <w:vAlign w:val="center"/>
          </w:tcPr>
          <w:p w14:paraId="37476856">
            <w:pPr>
              <w:keepNext w:val="0"/>
              <w:keepLines w:val="0"/>
              <w:widowControl/>
              <w:suppressLineNumbers w:val="0"/>
              <w:spacing w:line="360" w:lineRule="auto"/>
              <w:jc w:val="center"/>
              <w:textAlignment w:val="center"/>
              <w:rPr>
                <w:rFonts w:hint="default" w:ascii="Arial"/>
                <w:sz w:val="21"/>
                <w:lang w:val="en-US"/>
              </w:rPr>
            </w:pPr>
            <w:r>
              <w:rPr>
                <w:rFonts w:hint="eastAsia" w:ascii="宋体" w:hAnsi="宋体" w:eastAsia="宋体" w:cs="宋体"/>
                <w:i w:val="0"/>
                <w:iCs w:val="0"/>
                <w:color w:val="000000"/>
                <w:kern w:val="0"/>
                <w:sz w:val="20"/>
                <w:szCs w:val="20"/>
                <w:u w:val="none"/>
                <w:lang w:val="en-US" w:eastAsia="zh-CN" w:bidi="ar"/>
              </w:rPr>
              <w:t>13人</w:t>
            </w:r>
          </w:p>
        </w:tc>
        <w:tc>
          <w:tcPr>
            <w:tcW w:w="2107" w:type="dxa"/>
            <w:tcBorders>
              <w:top w:val="single" w:color="auto" w:sz="4" w:space="0"/>
              <w:left w:val="single" w:color="auto" w:sz="4" w:space="0"/>
              <w:bottom w:val="single" w:color="auto" w:sz="4" w:space="0"/>
              <w:right w:val="single" w:color="auto" w:sz="4" w:space="0"/>
            </w:tcBorders>
            <w:vAlign w:val="center"/>
          </w:tcPr>
          <w:p w14:paraId="57D67F8B">
            <w:pPr>
              <w:spacing w:line="360" w:lineRule="auto"/>
              <w:jc w:val="center"/>
              <w:rPr>
                <w:rFonts w:hint="eastAsia" w:ascii="Arial" w:eastAsia="宋体"/>
                <w:sz w:val="21"/>
                <w:lang w:val="en-US" w:eastAsia="zh-CN"/>
              </w:rPr>
            </w:pPr>
            <w:r>
              <w:rPr>
                <w:rFonts w:hint="eastAsia" w:eastAsia="宋体"/>
                <w:sz w:val="21"/>
                <w:lang w:val="en-US" w:eastAsia="zh-CN"/>
              </w:rPr>
              <w:t>无</w:t>
            </w:r>
          </w:p>
        </w:tc>
      </w:tr>
      <w:tr w14:paraId="3B56F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50CE3034">
            <w:pPr>
              <w:spacing w:line="360" w:lineRule="auto"/>
              <w:jc w:val="center"/>
              <w:rPr>
                <w:rFonts w:ascii="Arial"/>
                <w:sz w:val="21"/>
              </w:rPr>
            </w:pPr>
          </w:p>
        </w:tc>
        <w:tc>
          <w:tcPr>
            <w:tcW w:w="916" w:type="dxa"/>
            <w:vMerge w:val="continue"/>
            <w:tcBorders>
              <w:left w:val="single" w:color="auto" w:sz="4" w:space="0"/>
              <w:right w:val="single" w:color="auto" w:sz="4" w:space="0"/>
            </w:tcBorders>
            <w:vAlign w:val="center"/>
          </w:tcPr>
          <w:p w14:paraId="2A87D403">
            <w:pPr>
              <w:spacing w:line="360" w:lineRule="auto"/>
              <w:jc w:val="center"/>
              <w:rPr>
                <w:rFonts w:ascii="Arial"/>
                <w:sz w:val="21"/>
              </w:rPr>
            </w:pPr>
          </w:p>
        </w:tc>
        <w:tc>
          <w:tcPr>
            <w:tcW w:w="1226" w:type="dxa"/>
            <w:tcBorders>
              <w:top w:val="single" w:color="auto" w:sz="4" w:space="0"/>
              <w:left w:val="single" w:color="auto" w:sz="4" w:space="0"/>
              <w:bottom w:val="single" w:color="auto" w:sz="4" w:space="0"/>
              <w:right w:val="single" w:color="auto" w:sz="4" w:space="0"/>
            </w:tcBorders>
            <w:vAlign w:val="center"/>
          </w:tcPr>
          <w:p w14:paraId="704BA7DB">
            <w:pPr>
              <w:spacing w:before="58" w:line="360" w:lineRule="auto"/>
              <w:jc w:val="center"/>
              <w:rPr>
                <w:rFonts w:ascii="宋体" w:hAnsi="宋体" w:eastAsia="宋体" w:cs="宋体"/>
                <w:sz w:val="18"/>
                <w:szCs w:val="18"/>
              </w:rPr>
            </w:pPr>
            <w:r>
              <w:rPr>
                <w:rFonts w:ascii="宋体" w:hAnsi="宋体" w:eastAsia="宋体" w:cs="宋体"/>
                <w:spacing w:val="-2"/>
                <w:sz w:val="18"/>
                <w:szCs w:val="18"/>
              </w:rPr>
              <w:t>质量指标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160E81D7">
            <w:pPr>
              <w:spacing w:before="66" w:line="360" w:lineRule="auto"/>
              <w:ind w:firstLine="23"/>
              <w:jc w:val="center"/>
              <w:rPr>
                <w:rFonts w:hint="default" w:ascii="宋体" w:hAnsi="宋体" w:eastAsia="宋体" w:cs="宋体"/>
                <w:sz w:val="18"/>
                <w:szCs w:val="18"/>
                <w:lang w:val="en-US"/>
              </w:rPr>
            </w:pPr>
            <w:r>
              <w:rPr>
                <w:rFonts w:hint="eastAsia" w:ascii="宋体" w:hAnsi="宋体" w:eastAsia="宋体" w:cs="宋体"/>
                <w:sz w:val="18"/>
                <w:szCs w:val="18"/>
                <w:lang w:val="en-US" w:eastAsia="zh-CN"/>
              </w:rPr>
              <w:t>聘用人员任务完成合格率</w:t>
            </w:r>
          </w:p>
        </w:tc>
        <w:tc>
          <w:tcPr>
            <w:tcW w:w="1363" w:type="dxa"/>
            <w:tcBorders>
              <w:top w:val="single" w:color="auto" w:sz="4" w:space="0"/>
              <w:left w:val="single" w:color="auto" w:sz="4" w:space="0"/>
              <w:bottom w:val="single" w:color="auto" w:sz="4" w:space="0"/>
              <w:right w:val="single" w:color="auto" w:sz="4" w:space="0"/>
            </w:tcBorders>
            <w:vAlign w:val="center"/>
          </w:tcPr>
          <w:p w14:paraId="3F475667">
            <w:pPr>
              <w:spacing w:line="360" w:lineRule="auto"/>
              <w:jc w:val="center"/>
              <w:rPr>
                <w:rFonts w:hint="default" w:ascii="宋体" w:hAnsi="宋体" w:eastAsia="宋体" w:cs="宋体"/>
                <w:sz w:val="21"/>
                <w:lang w:val="en-US" w:eastAsia="zh-CN"/>
              </w:rPr>
            </w:pPr>
            <w:r>
              <w:rPr>
                <w:rFonts w:hint="eastAsia" w:ascii="宋体" w:hAnsi="宋体" w:eastAsia="宋体" w:cs="宋体"/>
                <w:sz w:val="21"/>
                <w:lang w:val="en-US" w:eastAsia="zh-CN"/>
              </w:rPr>
              <w:t>=100%</w:t>
            </w:r>
          </w:p>
        </w:tc>
        <w:tc>
          <w:tcPr>
            <w:tcW w:w="1864" w:type="dxa"/>
            <w:tcBorders>
              <w:top w:val="single" w:color="auto" w:sz="4" w:space="0"/>
              <w:left w:val="single" w:color="auto" w:sz="4" w:space="0"/>
              <w:bottom w:val="single" w:color="auto" w:sz="4" w:space="0"/>
              <w:right w:val="single" w:color="auto" w:sz="4" w:space="0"/>
            </w:tcBorders>
            <w:vAlign w:val="center"/>
          </w:tcPr>
          <w:p w14:paraId="59765056">
            <w:pPr>
              <w:spacing w:line="360" w:lineRule="auto"/>
              <w:jc w:val="center"/>
              <w:rPr>
                <w:rFonts w:hint="eastAsia" w:ascii="宋体" w:hAnsi="宋体" w:eastAsia="宋体" w:cs="宋体"/>
                <w:sz w:val="21"/>
                <w:lang w:val="en-US" w:eastAsia="zh-CN"/>
              </w:rPr>
            </w:pPr>
            <w:r>
              <w:rPr>
                <w:rFonts w:hint="eastAsia" w:ascii="宋体" w:hAnsi="宋体" w:eastAsia="宋体" w:cs="宋体"/>
                <w:sz w:val="21"/>
                <w:lang w:val="en-US" w:eastAsia="zh-CN"/>
              </w:rPr>
              <w:t>100%</w:t>
            </w:r>
          </w:p>
        </w:tc>
        <w:tc>
          <w:tcPr>
            <w:tcW w:w="2107" w:type="dxa"/>
            <w:tcBorders>
              <w:top w:val="single" w:color="auto" w:sz="4" w:space="0"/>
              <w:left w:val="single" w:color="auto" w:sz="4" w:space="0"/>
              <w:bottom w:val="single" w:color="auto" w:sz="4" w:space="0"/>
              <w:right w:val="single" w:color="auto" w:sz="4" w:space="0"/>
            </w:tcBorders>
            <w:vAlign w:val="center"/>
          </w:tcPr>
          <w:p w14:paraId="0998F582">
            <w:pPr>
              <w:spacing w:line="360" w:lineRule="auto"/>
              <w:jc w:val="center"/>
              <w:rPr>
                <w:rFonts w:ascii="Arial"/>
                <w:sz w:val="21"/>
              </w:rPr>
            </w:pPr>
            <w:r>
              <w:rPr>
                <w:rFonts w:hint="eastAsia" w:eastAsia="宋体"/>
                <w:sz w:val="21"/>
                <w:lang w:val="en-US" w:eastAsia="zh-CN"/>
              </w:rPr>
              <w:t>无</w:t>
            </w:r>
          </w:p>
        </w:tc>
      </w:tr>
      <w:tr w14:paraId="77A10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7CAC4B41">
            <w:pPr>
              <w:spacing w:line="360" w:lineRule="auto"/>
              <w:jc w:val="center"/>
              <w:rPr>
                <w:rFonts w:ascii="Arial"/>
                <w:sz w:val="21"/>
              </w:rPr>
            </w:pPr>
          </w:p>
        </w:tc>
        <w:tc>
          <w:tcPr>
            <w:tcW w:w="916" w:type="dxa"/>
            <w:vMerge w:val="continue"/>
            <w:tcBorders>
              <w:left w:val="single" w:color="auto" w:sz="4" w:space="0"/>
              <w:right w:val="single" w:color="auto" w:sz="4" w:space="0"/>
            </w:tcBorders>
            <w:vAlign w:val="center"/>
          </w:tcPr>
          <w:p w14:paraId="0DD824F8">
            <w:pPr>
              <w:spacing w:line="360" w:lineRule="auto"/>
              <w:jc w:val="center"/>
              <w:rPr>
                <w:rFonts w:ascii="Arial"/>
                <w:sz w:val="21"/>
              </w:rPr>
            </w:pPr>
          </w:p>
        </w:tc>
        <w:tc>
          <w:tcPr>
            <w:tcW w:w="1226" w:type="dxa"/>
            <w:tcBorders>
              <w:top w:val="single" w:color="auto" w:sz="4" w:space="0"/>
              <w:left w:val="single" w:color="auto" w:sz="4" w:space="0"/>
              <w:bottom w:val="single" w:color="auto" w:sz="4" w:space="0"/>
              <w:right w:val="single" w:color="auto" w:sz="4" w:space="0"/>
            </w:tcBorders>
            <w:vAlign w:val="center"/>
          </w:tcPr>
          <w:p w14:paraId="36110888">
            <w:pPr>
              <w:spacing w:before="58" w:line="360" w:lineRule="auto"/>
              <w:jc w:val="center"/>
              <w:rPr>
                <w:rFonts w:ascii="宋体" w:hAnsi="宋体" w:eastAsia="宋体" w:cs="宋体"/>
                <w:sz w:val="18"/>
                <w:szCs w:val="18"/>
              </w:rPr>
            </w:pPr>
            <w:r>
              <w:rPr>
                <w:rFonts w:ascii="宋体" w:hAnsi="宋体" w:eastAsia="宋体" w:cs="宋体"/>
                <w:spacing w:val="1"/>
                <w:sz w:val="18"/>
                <w:szCs w:val="18"/>
              </w:rPr>
              <w:t>时效指标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144A49DC">
            <w:pPr>
              <w:spacing w:before="68"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聘用人员任务完成及时率</w:t>
            </w:r>
          </w:p>
        </w:tc>
        <w:tc>
          <w:tcPr>
            <w:tcW w:w="1363" w:type="dxa"/>
            <w:tcBorders>
              <w:top w:val="single" w:color="auto" w:sz="4" w:space="0"/>
              <w:left w:val="single" w:color="auto" w:sz="4" w:space="0"/>
              <w:bottom w:val="single" w:color="auto" w:sz="4" w:space="0"/>
              <w:right w:val="single" w:color="auto" w:sz="4" w:space="0"/>
            </w:tcBorders>
            <w:vAlign w:val="center"/>
          </w:tcPr>
          <w:p w14:paraId="0F4E564C">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864" w:type="dxa"/>
            <w:tcBorders>
              <w:top w:val="single" w:color="auto" w:sz="4" w:space="0"/>
              <w:left w:val="single" w:color="auto" w:sz="4" w:space="0"/>
              <w:bottom w:val="single" w:color="auto" w:sz="4" w:space="0"/>
              <w:right w:val="single" w:color="auto" w:sz="4" w:space="0"/>
            </w:tcBorders>
            <w:vAlign w:val="center"/>
          </w:tcPr>
          <w:p w14:paraId="78C05D1F">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107" w:type="dxa"/>
            <w:tcBorders>
              <w:top w:val="single" w:color="auto" w:sz="4" w:space="0"/>
              <w:left w:val="single" w:color="auto" w:sz="4" w:space="0"/>
              <w:bottom w:val="single" w:color="auto" w:sz="4" w:space="0"/>
              <w:right w:val="single" w:color="auto" w:sz="4" w:space="0"/>
            </w:tcBorders>
            <w:vAlign w:val="center"/>
          </w:tcPr>
          <w:p w14:paraId="3E38A2D5">
            <w:pPr>
              <w:spacing w:line="360" w:lineRule="auto"/>
              <w:jc w:val="center"/>
              <w:rPr>
                <w:rFonts w:ascii="Arial"/>
                <w:sz w:val="21"/>
              </w:rPr>
            </w:pPr>
            <w:r>
              <w:rPr>
                <w:rFonts w:hint="eastAsia" w:eastAsia="宋体"/>
                <w:sz w:val="21"/>
                <w:lang w:val="en-US" w:eastAsia="zh-CN"/>
              </w:rPr>
              <w:t>无</w:t>
            </w:r>
          </w:p>
        </w:tc>
      </w:tr>
      <w:tr w14:paraId="026B7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37E3D9F6">
            <w:pPr>
              <w:spacing w:line="360" w:lineRule="auto"/>
              <w:jc w:val="center"/>
              <w:rPr>
                <w:rFonts w:ascii="Arial"/>
                <w:sz w:val="21"/>
              </w:rPr>
            </w:pPr>
          </w:p>
        </w:tc>
        <w:tc>
          <w:tcPr>
            <w:tcW w:w="916" w:type="dxa"/>
            <w:vMerge w:val="continue"/>
            <w:tcBorders>
              <w:left w:val="single" w:color="auto" w:sz="4" w:space="0"/>
              <w:right w:val="single" w:color="auto" w:sz="4" w:space="0"/>
            </w:tcBorders>
            <w:vAlign w:val="center"/>
          </w:tcPr>
          <w:p w14:paraId="2A701B43">
            <w:pPr>
              <w:spacing w:line="360" w:lineRule="auto"/>
              <w:jc w:val="center"/>
              <w:rPr>
                <w:rFonts w:ascii="Arial"/>
                <w:sz w:val="21"/>
              </w:rPr>
            </w:pPr>
          </w:p>
        </w:tc>
        <w:tc>
          <w:tcPr>
            <w:tcW w:w="1226" w:type="dxa"/>
            <w:tcBorders>
              <w:top w:val="single" w:color="auto" w:sz="4" w:space="0"/>
              <w:left w:val="single" w:color="auto" w:sz="4" w:space="0"/>
              <w:bottom w:val="single" w:color="auto" w:sz="4" w:space="0"/>
              <w:right w:val="single" w:color="auto" w:sz="4" w:space="0"/>
            </w:tcBorders>
            <w:vAlign w:val="center"/>
          </w:tcPr>
          <w:p w14:paraId="71830C7D">
            <w:pPr>
              <w:spacing w:before="59" w:line="360" w:lineRule="auto"/>
              <w:jc w:val="center"/>
              <w:rPr>
                <w:rFonts w:ascii="宋体" w:hAnsi="宋体" w:eastAsia="宋体" w:cs="宋体"/>
                <w:sz w:val="18"/>
                <w:szCs w:val="18"/>
              </w:rPr>
            </w:pPr>
            <w:r>
              <w:rPr>
                <w:rFonts w:ascii="宋体" w:hAnsi="宋体" w:eastAsia="宋体" w:cs="宋体"/>
                <w:spacing w:val="-2"/>
                <w:sz w:val="18"/>
                <w:szCs w:val="18"/>
              </w:rPr>
              <w:t>成本指标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3D36246C">
            <w:pPr>
              <w:spacing w:before="77" w:line="360" w:lineRule="auto"/>
              <w:ind w:firstLine="23"/>
              <w:jc w:val="center"/>
              <w:rPr>
                <w:rFonts w:ascii="宋体" w:hAnsi="宋体" w:eastAsia="宋体" w:cs="宋体"/>
                <w:sz w:val="18"/>
                <w:szCs w:val="18"/>
              </w:rPr>
            </w:pPr>
            <w:r>
              <w:rPr>
                <w:rFonts w:hint="eastAsia" w:ascii="宋体" w:hAnsi="宋体" w:eastAsia="宋体" w:cs="宋体"/>
                <w:sz w:val="18"/>
                <w:szCs w:val="18"/>
              </w:rPr>
              <w:t>记者站聘用人员总成本控制数</w:t>
            </w:r>
          </w:p>
        </w:tc>
        <w:tc>
          <w:tcPr>
            <w:tcW w:w="1363" w:type="dxa"/>
            <w:tcBorders>
              <w:top w:val="single" w:color="auto" w:sz="4" w:space="0"/>
              <w:left w:val="single" w:color="auto" w:sz="4" w:space="0"/>
              <w:bottom w:val="single" w:color="auto" w:sz="4" w:space="0"/>
              <w:right w:val="single" w:color="auto" w:sz="4" w:space="0"/>
            </w:tcBorders>
            <w:vAlign w:val="center"/>
          </w:tcPr>
          <w:p w14:paraId="5A9EB0B2">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≤45.</w:t>
            </w:r>
            <w:r>
              <w:rPr>
                <w:rFonts w:hint="eastAsia" w:ascii="宋体" w:hAnsi="宋体" w:eastAsia="宋体" w:cs="宋体"/>
                <w:i w:val="0"/>
                <w:iCs w:val="0"/>
                <w:color w:val="000000"/>
                <w:kern w:val="0"/>
                <w:sz w:val="20"/>
                <w:szCs w:val="20"/>
                <w:u w:val="none"/>
                <w:lang w:val="en-US" w:eastAsia="zh-CN" w:bidi="ar"/>
              </w:rPr>
              <w:t>5万元</w:t>
            </w:r>
          </w:p>
        </w:tc>
        <w:tc>
          <w:tcPr>
            <w:tcW w:w="1864" w:type="dxa"/>
            <w:tcBorders>
              <w:top w:val="single" w:color="auto" w:sz="4" w:space="0"/>
              <w:left w:val="single" w:color="auto" w:sz="4" w:space="0"/>
              <w:bottom w:val="single" w:color="auto" w:sz="4" w:space="0"/>
              <w:right w:val="single" w:color="auto" w:sz="4" w:space="0"/>
            </w:tcBorders>
            <w:vAlign w:val="center"/>
          </w:tcPr>
          <w:p w14:paraId="39942AE7">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45.</w:t>
            </w:r>
            <w:r>
              <w:rPr>
                <w:rFonts w:hint="eastAsia" w:ascii="宋体" w:hAnsi="宋体" w:eastAsia="宋体" w:cs="宋体"/>
                <w:i w:val="0"/>
                <w:iCs w:val="0"/>
                <w:color w:val="000000"/>
                <w:kern w:val="0"/>
                <w:sz w:val="20"/>
                <w:szCs w:val="20"/>
                <w:u w:val="none"/>
                <w:lang w:val="en-US" w:eastAsia="zh-CN" w:bidi="ar"/>
              </w:rPr>
              <w:t>5万元</w:t>
            </w:r>
          </w:p>
        </w:tc>
        <w:tc>
          <w:tcPr>
            <w:tcW w:w="2107" w:type="dxa"/>
            <w:tcBorders>
              <w:top w:val="single" w:color="auto" w:sz="4" w:space="0"/>
              <w:left w:val="single" w:color="auto" w:sz="4" w:space="0"/>
              <w:bottom w:val="single" w:color="auto" w:sz="4" w:space="0"/>
              <w:right w:val="single" w:color="auto" w:sz="4" w:space="0"/>
            </w:tcBorders>
            <w:vAlign w:val="center"/>
          </w:tcPr>
          <w:p w14:paraId="051D3028">
            <w:pPr>
              <w:spacing w:line="360" w:lineRule="auto"/>
              <w:jc w:val="center"/>
              <w:rPr>
                <w:rFonts w:ascii="Arial"/>
                <w:sz w:val="21"/>
              </w:rPr>
            </w:pPr>
            <w:r>
              <w:rPr>
                <w:rFonts w:hint="eastAsia" w:eastAsia="宋体"/>
                <w:sz w:val="21"/>
                <w:lang w:val="en-US" w:eastAsia="zh-CN"/>
              </w:rPr>
              <w:t>无</w:t>
            </w:r>
          </w:p>
        </w:tc>
      </w:tr>
      <w:tr w14:paraId="117F0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7F8B6943">
            <w:pPr>
              <w:spacing w:line="360" w:lineRule="auto"/>
              <w:jc w:val="center"/>
              <w:rPr>
                <w:rFonts w:ascii="Arial"/>
                <w:sz w:val="21"/>
              </w:rPr>
            </w:pPr>
          </w:p>
        </w:tc>
        <w:tc>
          <w:tcPr>
            <w:tcW w:w="916" w:type="dxa"/>
            <w:vMerge w:val="continue"/>
            <w:tcBorders>
              <w:left w:val="single" w:color="auto" w:sz="4" w:space="0"/>
              <w:bottom w:val="single" w:color="auto" w:sz="4" w:space="0"/>
              <w:right w:val="single" w:color="auto" w:sz="4" w:space="0"/>
            </w:tcBorders>
            <w:vAlign w:val="center"/>
          </w:tcPr>
          <w:p w14:paraId="33BCB387">
            <w:pPr>
              <w:spacing w:line="360" w:lineRule="auto"/>
              <w:ind w:firstLine="180"/>
              <w:jc w:val="center"/>
              <w:rPr>
                <w:rFonts w:ascii="宋体" w:hAnsi="宋体" w:eastAsia="宋体" w:cs="宋体"/>
                <w:sz w:val="18"/>
                <w:szCs w:val="18"/>
              </w:rPr>
            </w:pPr>
          </w:p>
        </w:tc>
        <w:tc>
          <w:tcPr>
            <w:tcW w:w="1226" w:type="dxa"/>
            <w:tcBorders>
              <w:top w:val="single" w:color="auto" w:sz="4" w:space="0"/>
              <w:left w:val="single" w:color="auto" w:sz="4" w:space="0"/>
              <w:bottom w:val="single" w:color="auto" w:sz="4" w:space="0"/>
              <w:right w:val="single" w:color="auto" w:sz="4" w:space="0"/>
            </w:tcBorders>
            <w:vAlign w:val="center"/>
          </w:tcPr>
          <w:p w14:paraId="3A1EF3B7">
            <w:pPr>
              <w:spacing w:line="240" w:lineRule="auto"/>
              <w:ind w:right="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安全指标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52BFAB96">
            <w:pPr>
              <w:spacing w:before="67" w:line="360" w:lineRule="auto"/>
              <w:ind w:firstLine="23"/>
              <w:jc w:val="center"/>
              <w:rPr>
                <w:rFonts w:ascii="宋体" w:hAnsi="宋体" w:eastAsia="宋体" w:cs="宋体"/>
                <w:sz w:val="18"/>
                <w:szCs w:val="18"/>
              </w:rPr>
            </w:pPr>
            <w:r>
              <w:rPr>
                <w:rFonts w:hint="eastAsia" w:ascii="宋体" w:hAnsi="宋体" w:eastAsia="宋体" w:cs="宋体"/>
                <w:sz w:val="18"/>
                <w:szCs w:val="18"/>
                <w:lang w:val="en-US" w:eastAsia="zh-CN"/>
              </w:rPr>
              <w:t>聘用人员安全工作率</w:t>
            </w:r>
          </w:p>
        </w:tc>
        <w:tc>
          <w:tcPr>
            <w:tcW w:w="1363" w:type="dxa"/>
            <w:tcBorders>
              <w:top w:val="single" w:color="auto" w:sz="4" w:space="0"/>
              <w:left w:val="single" w:color="auto" w:sz="4" w:space="0"/>
              <w:bottom w:val="single" w:color="auto" w:sz="4" w:space="0"/>
              <w:right w:val="single" w:color="auto" w:sz="4" w:space="0"/>
            </w:tcBorders>
            <w:vAlign w:val="center"/>
          </w:tcPr>
          <w:p w14:paraId="62713D27">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1864" w:type="dxa"/>
            <w:tcBorders>
              <w:top w:val="single" w:color="auto" w:sz="4" w:space="0"/>
              <w:left w:val="single" w:color="auto" w:sz="4" w:space="0"/>
              <w:bottom w:val="single" w:color="auto" w:sz="4" w:space="0"/>
              <w:right w:val="single" w:color="auto" w:sz="4" w:space="0"/>
            </w:tcBorders>
            <w:vAlign w:val="center"/>
          </w:tcPr>
          <w:p w14:paraId="59795A99">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2107" w:type="dxa"/>
            <w:tcBorders>
              <w:top w:val="single" w:color="auto" w:sz="4" w:space="0"/>
              <w:left w:val="single" w:color="auto" w:sz="4" w:space="0"/>
              <w:bottom w:val="single" w:color="auto" w:sz="4" w:space="0"/>
              <w:right w:val="single" w:color="auto" w:sz="4" w:space="0"/>
            </w:tcBorders>
            <w:vAlign w:val="center"/>
          </w:tcPr>
          <w:p w14:paraId="3AC73182">
            <w:pPr>
              <w:spacing w:line="360" w:lineRule="auto"/>
              <w:jc w:val="center"/>
              <w:rPr>
                <w:rFonts w:ascii="Arial"/>
                <w:sz w:val="21"/>
              </w:rPr>
            </w:pPr>
            <w:r>
              <w:rPr>
                <w:rFonts w:hint="eastAsia" w:eastAsia="宋体"/>
                <w:sz w:val="21"/>
                <w:lang w:val="en-US" w:eastAsia="zh-CN"/>
              </w:rPr>
              <w:t>无</w:t>
            </w:r>
          </w:p>
        </w:tc>
      </w:tr>
      <w:tr w14:paraId="65C39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53AB6392">
            <w:pPr>
              <w:spacing w:line="360" w:lineRule="auto"/>
              <w:jc w:val="center"/>
              <w:rPr>
                <w:rFonts w:ascii="Arial"/>
                <w:sz w:val="21"/>
              </w:rPr>
            </w:pPr>
          </w:p>
        </w:tc>
        <w:tc>
          <w:tcPr>
            <w:tcW w:w="916" w:type="dxa"/>
            <w:vMerge w:val="restart"/>
            <w:tcBorders>
              <w:top w:val="single" w:color="auto" w:sz="4" w:space="0"/>
              <w:left w:val="single" w:color="auto" w:sz="4" w:space="0"/>
              <w:right w:val="single" w:color="auto" w:sz="4" w:space="0"/>
            </w:tcBorders>
            <w:vAlign w:val="center"/>
          </w:tcPr>
          <w:p w14:paraId="1D3CF564">
            <w:pPr>
              <w:spacing w:before="59" w:line="360" w:lineRule="auto"/>
              <w:ind w:firstLine="180"/>
              <w:jc w:val="center"/>
              <w:rPr>
                <w:rFonts w:ascii="宋体" w:hAnsi="宋体" w:eastAsia="宋体" w:cs="宋体"/>
                <w:sz w:val="18"/>
                <w:szCs w:val="18"/>
              </w:rPr>
            </w:pPr>
            <w:r>
              <w:rPr>
                <w:rFonts w:ascii="宋体" w:hAnsi="宋体" w:eastAsia="宋体" w:cs="宋体"/>
                <w:spacing w:val="-3"/>
                <w:sz w:val="18"/>
                <w:szCs w:val="18"/>
              </w:rPr>
              <w:t>效益</w:t>
            </w:r>
          </w:p>
          <w:p w14:paraId="4E5962A9">
            <w:pPr>
              <w:spacing w:line="360" w:lineRule="auto"/>
              <w:jc w:val="center"/>
              <w:rPr>
                <w:rFonts w:ascii="Arial"/>
                <w:sz w:val="21"/>
              </w:rPr>
            </w:pPr>
            <w:r>
              <w:rPr>
                <w:rFonts w:ascii="宋体" w:hAnsi="宋体" w:eastAsia="宋体" w:cs="宋体"/>
                <w:spacing w:val="-3"/>
                <w:sz w:val="18"/>
                <w:szCs w:val="18"/>
              </w:rPr>
              <w:t>指标</w:t>
            </w:r>
          </w:p>
        </w:tc>
        <w:tc>
          <w:tcPr>
            <w:tcW w:w="1226" w:type="dxa"/>
            <w:tcBorders>
              <w:top w:val="single" w:color="auto" w:sz="4" w:space="0"/>
              <w:left w:val="single" w:color="auto" w:sz="4" w:space="0"/>
              <w:bottom w:val="single" w:color="auto" w:sz="4" w:space="0"/>
              <w:right w:val="single" w:color="auto" w:sz="4" w:space="0"/>
            </w:tcBorders>
            <w:vAlign w:val="center"/>
          </w:tcPr>
          <w:p w14:paraId="5131B3D6">
            <w:pPr>
              <w:spacing w:before="105" w:line="360" w:lineRule="auto"/>
              <w:ind w:right="125"/>
              <w:jc w:val="center"/>
              <w:rPr>
                <w:rFonts w:ascii="宋体" w:hAnsi="宋体" w:eastAsia="宋体" w:cs="宋体"/>
                <w:sz w:val="18"/>
                <w:szCs w:val="18"/>
              </w:rPr>
            </w:pPr>
            <w:r>
              <w:rPr>
                <w:rFonts w:ascii="宋体" w:hAnsi="宋体" w:eastAsia="宋体" w:cs="宋体"/>
                <w:spacing w:val="-3"/>
                <w:sz w:val="18"/>
                <w:szCs w:val="18"/>
              </w:rPr>
              <w:t>社会效益指标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571443A2">
            <w:pPr>
              <w:spacing w:before="68"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年度优秀作品获奖数</w:t>
            </w:r>
          </w:p>
        </w:tc>
        <w:tc>
          <w:tcPr>
            <w:tcW w:w="1363" w:type="dxa"/>
            <w:tcBorders>
              <w:top w:val="single" w:color="auto" w:sz="4" w:space="0"/>
              <w:left w:val="single" w:color="auto" w:sz="4" w:space="0"/>
              <w:bottom w:val="single" w:color="auto" w:sz="4" w:space="0"/>
              <w:right w:val="single" w:color="auto" w:sz="4" w:space="0"/>
            </w:tcBorders>
            <w:vAlign w:val="center"/>
          </w:tcPr>
          <w:p w14:paraId="02D6DBF2">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≥1件</w:t>
            </w:r>
          </w:p>
        </w:tc>
        <w:tc>
          <w:tcPr>
            <w:tcW w:w="1864" w:type="dxa"/>
            <w:tcBorders>
              <w:top w:val="single" w:color="auto" w:sz="4" w:space="0"/>
              <w:left w:val="single" w:color="auto" w:sz="4" w:space="0"/>
              <w:bottom w:val="single" w:color="auto" w:sz="4" w:space="0"/>
              <w:right w:val="single" w:color="auto" w:sz="4" w:space="0"/>
            </w:tcBorders>
            <w:vAlign w:val="center"/>
          </w:tcPr>
          <w:p w14:paraId="0FD964CB">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8件</w:t>
            </w:r>
          </w:p>
        </w:tc>
        <w:tc>
          <w:tcPr>
            <w:tcW w:w="2107" w:type="dxa"/>
            <w:tcBorders>
              <w:top w:val="single" w:color="auto" w:sz="4" w:space="0"/>
              <w:left w:val="single" w:color="auto" w:sz="4" w:space="0"/>
              <w:bottom w:val="single" w:color="auto" w:sz="4" w:space="0"/>
              <w:right w:val="single" w:color="auto" w:sz="4" w:space="0"/>
            </w:tcBorders>
            <w:vAlign w:val="center"/>
          </w:tcPr>
          <w:p w14:paraId="216BBED6">
            <w:pPr>
              <w:spacing w:line="360" w:lineRule="auto"/>
              <w:jc w:val="center"/>
              <w:rPr>
                <w:rFonts w:ascii="Arial"/>
                <w:sz w:val="21"/>
              </w:rPr>
            </w:pPr>
            <w:r>
              <w:rPr>
                <w:rFonts w:hint="eastAsia" w:eastAsia="宋体"/>
                <w:sz w:val="21"/>
                <w:lang w:val="en-US" w:eastAsia="zh-CN"/>
              </w:rPr>
              <w:t>无</w:t>
            </w:r>
          </w:p>
        </w:tc>
      </w:tr>
      <w:tr w14:paraId="664A8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6EBB2DF1">
            <w:pPr>
              <w:spacing w:line="360" w:lineRule="auto"/>
              <w:jc w:val="center"/>
              <w:rPr>
                <w:rFonts w:ascii="Arial"/>
                <w:sz w:val="21"/>
              </w:rPr>
            </w:pPr>
          </w:p>
        </w:tc>
        <w:tc>
          <w:tcPr>
            <w:tcW w:w="916" w:type="dxa"/>
            <w:vMerge w:val="continue"/>
            <w:tcBorders>
              <w:top w:val="single" w:color="auto" w:sz="4" w:space="0"/>
              <w:left w:val="single" w:color="auto" w:sz="4" w:space="0"/>
              <w:bottom w:val="single" w:color="auto" w:sz="4" w:space="0"/>
              <w:right w:val="single" w:color="auto" w:sz="4" w:space="0"/>
            </w:tcBorders>
            <w:vAlign w:val="center"/>
          </w:tcPr>
          <w:p w14:paraId="21C59826">
            <w:pPr>
              <w:spacing w:line="360" w:lineRule="auto"/>
              <w:jc w:val="center"/>
              <w:rPr>
                <w:rFonts w:ascii="Arial"/>
                <w:sz w:val="21"/>
              </w:rPr>
            </w:pPr>
          </w:p>
        </w:tc>
        <w:tc>
          <w:tcPr>
            <w:tcW w:w="1226" w:type="dxa"/>
            <w:tcBorders>
              <w:top w:val="single" w:color="auto" w:sz="4" w:space="0"/>
              <w:left w:val="single" w:color="auto" w:sz="4" w:space="0"/>
              <w:bottom w:val="single" w:color="auto" w:sz="4" w:space="0"/>
              <w:right w:val="single" w:color="auto" w:sz="4" w:space="0"/>
            </w:tcBorders>
            <w:vAlign w:val="center"/>
          </w:tcPr>
          <w:p w14:paraId="7731A03A">
            <w:pPr>
              <w:spacing w:line="240" w:lineRule="auto"/>
              <w:ind w:left="0" w:right="0" w:firstLine="0"/>
              <w:jc w:val="center"/>
              <w:rPr>
                <w:rFonts w:ascii="宋体" w:hAnsi="宋体" w:eastAsia="宋体" w:cs="宋体"/>
                <w:sz w:val="18"/>
                <w:szCs w:val="18"/>
              </w:rPr>
            </w:pPr>
            <w:r>
              <w:rPr>
                <w:rFonts w:ascii="宋体" w:hAnsi="宋体" w:eastAsia="宋体" w:cs="宋体"/>
                <w:spacing w:val="-2"/>
                <w:sz w:val="18"/>
                <w:szCs w:val="18"/>
              </w:rPr>
              <w:t>可持续影响</w:t>
            </w:r>
            <w:r>
              <w:rPr>
                <w:rFonts w:ascii="宋体" w:hAnsi="宋体" w:eastAsia="宋体" w:cs="宋体"/>
                <w:spacing w:val="-3"/>
                <w:sz w:val="18"/>
                <w:szCs w:val="18"/>
              </w:rPr>
              <w:t>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663B3623">
            <w:pPr>
              <w:spacing w:before="68" w:line="360" w:lineRule="auto"/>
              <w:ind w:firstLine="23" w:firstLineChars="0"/>
              <w:jc w:val="center"/>
              <w:rPr>
                <w:rFonts w:ascii="宋体" w:hAnsi="宋体" w:eastAsia="宋体" w:cs="宋体"/>
                <w:snapToGrid w:val="0"/>
                <w:color w:val="000000"/>
                <w:kern w:val="0"/>
                <w:sz w:val="18"/>
                <w:szCs w:val="18"/>
              </w:rPr>
            </w:pPr>
            <w:r>
              <w:rPr>
                <w:rFonts w:hint="eastAsia" w:ascii="宋体" w:hAnsi="宋体" w:eastAsia="宋体" w:cs="宋体"/>
                <w:sz w:val="18"/>
                <w:szCs w:val="18"/>
              </w:rPr>
              <w:t>作品报道转发率</w:t>
            </w:r>
          </w:p>
        </w:tc>
        <w:tc>
          <w:tcPr>
            <w:tcW w:w="1363" w:type="dxa"/>
            <w:tcBorders>
              <w:top w:val="single" w:color="auto" w:sz="4" w:space="0"/>
              <w:left w:val="single" w:color="auto" w:sz="4" w:space="0"/>
              <w:bottom w:val="single" w:color="auto" w:sz="4" w:space="0"/>
              <w:right w:val="single" w:color="auto" w:sz="4" w:space="0"/>
            </w:tcBorders>
            <w:vAlign w:val="center"/>
          </w:tcPr>
          <w:p w14:paraId="10BFBC77">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864" w:type="dxa"/>
            <w:tcBorders>
              <w:top w:val="single" w:color="auto" w:sz="4" w:space="0"/>
              <w:left w:val="single" w:color="auto" w:sz="4" w:space="0"/>
              <w:bottom w:val="single" w:color="auto" w:sz="4" w:space="0"/>
              <w:right w:val="single" w:color="auto" w:sz="4" w:space="0"/>
            </w:tcBorders>
            <w:vAlign w:val="center"/>
          </w:tcPr>
          <w:p w14:paraId="6F331119">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107" w:type="dxa"/>
            <w:tcBorders>
              <w:top w:val="single" w:color="auto" w:sz="4" w:space="0"/>
              <w:left w:val="single" w:color="auto" w:sz="4" w:space="0"/>
              <w:bottom w:val="single" w:color="auto" w:sz="4" w:space="0"/>
              <w:right w:val="single" w:color="auto" w:sz="4" w:space="0"/>
            </w:tcBorders>
            <w:vAlign w:val="center"/>
          </w:tcPr>
          <w:p w14:paraId="7D699146">
            <w:pPr>
              <w:spacing w:line="360" w:lineRule="auto"/>
              <w:jc w:val="center"/>
              <w:rPr>
                <w:rFonts w:ascii="Arial"/>
                <w:sz w:val="21"/>
              </w:rPr>
            </w:pPr>
            <w:r>
              <w:rPr>
                <w:rFonts w:hint="eastAsia" w:eastAsia="宋体"/>
                <w:sz w:val="21"/>
                <w:lang w:val="en-US" w:eastAsia="zh-CN"/>
              </w:rPr>
              <w:t>无</w:t>
            </w:r>
          </w:p>
        </w:tc>
      </w:tr>
      <w:tr w14:paraId="0F58F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14:paraId="7756852A">
            <w:pPr>
              <w:spacing w:line="360" w:lineRule="auto"/>
              <w:jc w:val="center"/>
              <w:rPr>
                <w:rFonts w:ascii="Arial"/>
                <w:sz w:val="21"/>
              </w:rPr>
            </w:pPr>
          </w:p>
        </w:tc>
        <w:tc>
          <w:tcPr>
            <w:tcW w:w="916" w:type="dxa"/>
            <w:tcBorders>
              <w:top w:val="single" w:color="auto" w:sz="4" w:space="0"/>
              <w:left w:val="single" w:color="auto" w:sz="4" w:space="0"/>
              <w:bottom w:val="single" w:color="auto" w:sz="4" w:space="0"/>
              <w:right w:val="single" w:color="auto" w:sz="4" w:space="0"/>
            </w:tcBorders>
            <w:vAlign w:val="center"/>
          </w:tcPr>
          <w:p w14:paraId="05170547">
            <w:pPr>
              <w:spacing w:before="96" w:line="360" w:lineRule="auto"/>
              <w:ind w:left="180" w:right="114" w:hanging="89"/>
              <w:jc w:val="center"/>
              <w:rPr>
                <w:rFonts w:ascii="宋体" w:hAnsi="宋体" w:eastAsia="宋体" w:cs="宋体"/>
                <w:sz w:val="18"/>
                <w:szCs w:val="18"/>
              </w:rPr>
            </w:pPr>
            <w:r>
              <w:rPr>
                <w:rFonts w:ascii="宋体" w:hAnsi="宋体" w:eastAsia="宋体" w:cs="宋体"/>
                <w:spacing w:val="-3"/>
                <w:sz w:val="18"/>
                <w:szCs w:val="18"/>
              </w:rPr>
              <w:t>满意度</w:t>
            </w:r>
            <w:r>
              <w:rPr>
                <w:rFonts w:ascii="宋体" w:hAnsi="宋体" w:eastAsia="宋体" w:cs="宋体"/>
                <w:spacing w:val="1"/>
                <w:w w:val="101"/>
                <w:sz w:val="18"/>
                <w:szCs w:val="18"/>
              </w:rPr>
              <w:t xml:space="preserve"> </w:t>
            </w:r>
            <w:r>
              <w:rPr>
                <w:rFonts w:ascii="宋体" w:hAnsi="宋体" w:eastAsia="宋体" w:cs="宋体"/>
                <w:spacing w:val="-3"/>
                <w:sz w:val="18"/>
                <w:szCs w:val="18"/>
              </w:rPr>
              <w:t>指标</w:t>
            </w:r>
          </w:p>
        </w:tc>
        <w:tc>
          <w:tcPr>
            <w:tcW w:w="1226" w:type="dxa"/>
            <w:tcBorders>
              <w:top w:val="single" w:color="auto" w:sz="4" w:space="0"/>
              <w:left w:val="single" w:color="auto" w:sz="4" w:space="0"/>
              <w:bottom w:val="single" w:color="auto" w:sz="4" w:space="0"/>
              <w:right w:val="single" w:color="auto" w:sz="4" w:space="0"/>
            </w:tcBorders>
            <w:vAlign w:val="center"/>
          </w:tcPr>
          <w:p w14:paraId="32A347A3">
            <w:pPr>
              <w:spacing w:before="136" w:line="360" w:lineRule="auto"/>
              <w:ind w:left="101" w:right="34" w:hanging="90"/>
              <w:jc w:val="center"/>
              <w:rPr>
                <w:rFonts w:ascii="宋体" w:hAnsi="宋体" w:eastAsia="宋体" w:cs="宋体"/>
                <w:sz w:val="18"/>
                <w:szCs w:val="18"/>
              </w:rPr>
            </w:pPr>
            <w:r>
              <w:rPr>
                <w:rFonts w:ascii="宋体" w:hAnsi="宋体" w:eastAsia="宋体" w:cs="宋体"/>
                <w:spacing w:val="-2"/>
                <w:sz w:val="18"/>
                <w:szCs w:val="18"/>
              </w:rPr>
              <w:t>服务对象满</w:t>
            </w:r>
            <w:r>
              <w:rPr>
                <w:rFonts w:ascii="宋体" w:hAnsi="宋体" w:eastAsia="宋体" w:cs="宋体"/>
                <w:spacing w:val="-3"/>
                <w:sz w:val="18"/>
                <w:szCs w:val="18"/>
              </w:rPr>
              <w:t>意度指标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1FC7DF28">
            <w:pPr>
              <w:spacing w:before="67" w:line="360" w:lineRule="auto"/>
              <w:ind w:firstLine="23"/>
              <w:jc w:val="center"/>
              <w:rPr>
                <w:rFonts w:ascii="宋体" w:hAnsi="宋体" w:eastAsia="宋体" w:cs="宋体"/>
                <w:sz w:val="18"/>
                <w:szCs w:val="18"/>
              </w:rPr>
            </w:pPr>
            <w:r>
              <w:rPr>
                <w:rFonts w:hint="eastAsia" w:ascii="宋体" w:hAnsi="宋体" w:eastAsia="宋体" w:cs="宋体"/>
                <w:sz w:val="18"/>
                <w:szCs w:val="18"/>
              </w:rPr>
              <w:t>聘用人员满意度</w:t>
            </w:r>
          </w:p>
        </w:tc>
        <w:tc>
          <w:tcPr>
            <w:tcW w:w="1363" w:type="dxa"/>
            <w:tcBorders>
              <w:top w:val="single" w:color="auto" w:sz="4" w:space="0"/>
              <w:left w:val="single" w:color="auto" w:sz="4" w:space="0"/>
              <w:bottom w:val="single" w:color="auto" w:sz="4" w:space="0"/>
              <w:right w:val="single" w:color="auto" w:sz="4" w:space="0"/>
            </w:tcBorders>
            <w:vAlign w:val="center"/>
          </w:tcPr>
          <w:p w14:paraId="00E2FE7E">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864" w:type="dxa"/>
            <w:tcBorders>
              <w:top w:val="single" w:color="auto" w:sz="4" w:space="0"/>
              <w:left w:val="single" w:color="auto" w:sz="4" w:space="0"/>
              <w:bottom w:val="single" w:color="auto" w:sz="4" w:space="0"/>
              <w:right w:val="single" w:color="auto" w:sz="4" w:space="0"/>
            </w:tcBorders>
            <w:vAlign w:val="center"/>
          </w:tcPr>
          <w:p w14:paraId="50703D0C">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2107" w:type="dxa"/>
            <w:tcBorders>
              <w:top w:val="single" w:color="auto" w:sz="4" w:space="0"/>
              <w:left w:val="single" w:color="auto" w:sz="4" w:space="0"/>
              <w:bottom w:val="single" w:color="auto" w:sz="4" w:space="0"/>
              <w:right w:val="single" w:color="auto" w:sz="4" w:space="0"/>
            </w:tcBorders>
            <w:vAlign w:val="center"/>
          </w:tcPr>
          <w:p w14:paraId="5246B7C1">
            <w:pPr>
              <w:spacing w:line="360" w:lineRule="auto"/>
              <w:jc w:val="center"/>
              <w:rPr>
                <w:rFonts w:ascii="Arial"/>
                <w:sz w:val="21"/>
              </w:rPr>
            </w:pPr>
            <w:r>
              <w:rPr>
                <w:rFonts w:hint="eastAsia" w:eastAsia="宋体"/>
                <w:sz w:val="21"/>
                <w:lang w:val="en-US" w:eastAsia="zh-CN"/>
              </w:rPr>
              <w:t>无</w:t>
            </w:r>
          </w:p>
        </w:tc>
      </w:tr>
    </w:tbl>
    <w:p w14:paraId="20009441">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p w14:paraId="7B62BF19">
      <w:pPr>
        <w:pStyle w:val="5"/>
        <w:keepNext w:val="0"/>
        <w:keepLines w:val="0"/>
        <w:pageBreakBefore w:val="0"/>
        <w:wordWrap/>
        <w:overflowPunct/>
        <w:topLinePunct w:val="0"/>
        <w:bidi w:val="0"/>
        <w:spacing w:line="560" w:lineRule="exact"/>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5</w:t>
      </w:r>
    </w:p>
    <w:p w14:paraId="3EEEB455">
      <w:pPr>
        <w:pStyle w:val="36"/>
        <w:keepNext w:val="0"/>
        <w:keepLines w:val="0"/>
        <w:pageBreakBefore w:val="0"/>
        <w:widowControl w:val="0"/>
        <w:kinsoku/>
        <w:wordWrap/>
        <w:overflowPunct/>
        <w:topLinePunct w:val="0"/>
        <w:autoSpaceDE/>
        <w:autoSpaceDN/>
        <w:bidi w:val="0"/>
        <w:spacing w:line="560" w:lineRule="exact"/>
        <w:jc w:val="center"/>
        <w:textAlignment w:val="auto"/>
        <w:rPr>
          <w:rFonts w:hint="default"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广元市昭化区融媒体中心</w:t>
      </w:r>
    </w:p>
    <w:p w14:paraId="1643167D">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highlight w:val="none"/>
        </w:rPr>
      </w:pPr>
      <w:r>
        <w:rPr>
          <w:rFonts w:hint="eastAsia" w:ascii="方正小标宋简体" w:hAnsi="方正小标宋简体" w:eastAsia="方正小标宋简体" w:cs="方正小标宋简体"/>
          <w:color w:val="auto"/>
          <w:kern w:val="2"/>
          <w:sz w:val="32"/>
          <w:szCs w:val="32"/>
          <w:highlight w:val="none"/>
          <w:lang w:val="en-US" w:eastAsia="zh-CN"/>
        </w:rPr>
        <w:t>2023年区内主题宣传费经费项目绩效自评报告</w:t>
      </w:r>
    </w:p>
    <w:p w14:paraId="7968C1A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lang w:val="zh-CN"/>
        </w:rPr>
      </w:pPr>
      <w:r>
        <w:rPr>
          <w:rFonts w:hint="eastAsia" w:ascii="黑体" w:hAnsi="宋体" w:eastAsia="黑体"/>
          <w:color w:val="auto"/>
          <w:sz w:val="32"/>
          <w:szCs w:val="32"/>
          <w:highlight w:val="none"/>
        </w:rPr>
        <w:t>一、</w:t>
      </w:r>
      <w:r>
        <w:rPr>
          <w:rFonts w:hint="eastAsia" w:ascii="黑体" w:hAnsi="宋体" w:eastAsia="黑体"/>
          <w:color w:val="auto"/>
          <w:sz w:val="32"/>
          <w:szCs w:val="32"/>
          <w:highlight w:val="none"/>
          <w:lang w:val="zh-CN"/>
        </w:rPr>
        <w:t>项目概况</w:t>
      </w:r>
    </w:p>
    <w:p w14:paraId="55FA89EA">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（一）项目基本情况</w:t>
      </w:r>
    </w:p>
    <w:p w14:paraId="3A372D45">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1．项目主管部门（单位）在该项目管理中的职能。</w:t>
      </w:r>
    </w:p>
    <w:p w14:paraId="07926F3C">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14:paraId="3697D24C">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承担全区广播</w:t>
      </w:r>
      <w:r>
        <w:rPr>
          <w:rFonts w:hint="eastAsia" w:ascii="Times New Roman" w:hAnsi="Times New Roman" w:eastAsia="仿宋_GB2312"/>
          <w:sz w:val="32"/>
          <w:szCs w:val="32"/>
          <w:lang w:eastAsia="zh-CN"/>
        </w:rPr>
        <w:t>、</w:t>
      </w:r>
      <w:r>
        <w:rPr>
          <w:rFonts w:ascii="Times New Roman" w:hAnsi="Times New Roman" w:eastAsia="仿宋_GB2312"/>
          <w:sz w:val="32"/>
          <w:szCs w:val="32"/>
        </w:rPr>
        <w:t>电视</w:t>
      </w:r>
      <w:r>
        <w:rPr>
          <w:rFonts w:hint="eastAsia" w:ascii="Times New Roman" w:hAnsi="Times New Roman" w:eastAsia="仿宋_GB2312"/>
          <w:sz w:val="32"/>
          <w:szCs w:val="32"/>
          <w:lang w:eastAsia="zh-CN"/>
        </w:rPr>
        <w:t>、</w:t>
      </w:r>
      <w:r>
        <w:rPr>
          <w:rFonts w:ascii="Times New Roman" w:hAnsi="Times New Roman" w:eastAsia="仿宋_GB2312"/>
          <w:sz w:val="32"/>
          <w:szCs w:val="32"/>
        </w:rPr>
        <w:t>新媒体宣传工作，坚持正确的舆论导向，拟定宣传要点，收集、采编发射和传输节目，提高节目质量；做好“昭化融媒”手机APP、“微信公众号”、微博，开展采集、制作、播发、刊载新闻信息及产品等工作。办好昭化地方特色的新闻节目和其他综合性节目，加大对外宣传力度，协助指导镇广播宣传工作。</w:t>
      </w:r>
    </w:p>
    <w:p w14:paraId="197FD551">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14:paraId="6D21F088">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14:paraId="0B4EE3AA">
      <w:pPr>
        <w:keepNext w:val="0"/>
        <w:keepLines w:val="0"/>
        <w:pageBreakBefore w:val="0"/>
        <w:widowControl/>
        <w:numPr>
          <w:ilvl w:val="0"/>
          <w:numId w:val="1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项目立项、资金申报的依据。</w:t>
      </w:r>
    </w:p>
    <w:p w14:paraId="6E965915">
      <w:pPr>
        <w:ind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2018年</w:t>
      </w:r>
      <w:r>
        <w:rPr>
          <w:rFonts w:hint="eastAsia" w:ascii="仿宋_GB2312" w:hAnsi="宋体" w:eastAsia="仿宋_GB2312"/>
          <w:sz w:val="32"/>
          <w:szCs w:val="32"/>
        </w:rPr>
        <w:t>8月21日</w:t>
      </w:r>
      <w:r>
        <w:rPr>
          <w:rFonts w:hint="eastAsia" w:ascii="仿宋_GB2312" w:hAnsi="宋体" w:eastAsia="仿宋_GB2312"/>
          <w:sz w:val="32"/>
          <w:szCs w:val="32"/>
          <w:lang w:eastAsia="zh-CN"/>
        </w:rPr>
        <w:t>，</w:t>
      </w:r>
      <w:r>
        <w:rPr>
          <w:rFonts w:hint="eastAsia" w:ascii="仿宋_GB2312" w:hAnsi="宋体" w:eastAsia="仿宋_GB2312"/>
          <w:sz w:val="32"/>
          <w:szCs w:val="32"/>
        </w:rPr>
        <w:t>习近平</w:t>
      </w:r>
      <w:r>
        <w:rPr>
          <w:rFonts w:hint="eastAsia" w:ascii="仿宋_GB2312" w:hAnsi="宋体" w:eastAsia="仿宋_GB2312"/>
          <w:sz w:val="32"/>
          <w:szCs w:val="32"/>
          <w:lang w:eastAsia="zh-CN"/>
        </w:rPr>
        <w:t>总书记</w:t>
      </w:r>
      <w:r>
        <w:rPr>
          <w:rFonts w:hint="eastAsia" w:ascii="仿宋_GB2312" w:hAnsi="宋体" w:eastAsia="仿宋_GB2312"/>
          <w:sz w:val="32"/>
          <w:szCs w:val="32"/>
        </w:rPr>
        <w:t>在召开的全国宣传思想工作会议上指出，</w:t>
      </w:r>
      <w:r>
        <w:rPr>
          <w:rFonts w:hint="eastAsia" w:ascii="仿宋_GB2312" w:hAnsi="宋体" w:eastAsia="仿宋_GB2312"/>
          <w:sz w:val="32"/>
          <w:szCs w:val="32"/>
          <w:lang w:eastAsia="zh-CN"/>
        </w:rPr>
        <w:t>“</w:t>
      </w:r>
      <w:r>
        <w:rPr>
          <w:rFonts w:hint="eastAsia" w:ascii="仿宋_GB2312" w:hAnsi="宋体" w:eastAsia="仿宋_GB2312"/>
          <w:sz w:val="32"/>
          <w:szCs w:val="32"/>
        </w:rPr>
        <w:t>要扎实抓好县级融媒体中心建设，更好引导群众、服务群众</w:t>
      </w:r>
      <w:r>
        <w:rPr>
          <w:rFonts w:hint="eastAsia" w:ascii="仿宋_GB2312" w:hAnsi="宋体" w:eastAsia="仿宋_GB2312"/>
          <w:sz w:val="32"/>
          <w:szCs w:val="32"/>
          <w:lang w:eastAsia="zh-CN"/>
        </w:rPr>
        <w:t>”</w:t>
      </w:r>
      <w:r>
        <w:rPr>
          <w:rFonts w:hint="eastAsia" w:ascii="仿宋_GB2312" w:hAnsi="宋体" w:eastAsia="仿宋_GB2312"/>
          <w:sz w:val="32"/>
          <w:szCs w:val="32"/>
        </w:rPr>
        <w:t>。</w:t>
      </w:r>
    </w:p>
    <w:p w14:paraId="12907F3B">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宋体" w:eastAsia="仿宋_GB2312"/>
          <w:sz w:val="32"/>
          <w:szCs w:val="32"/>
          <w:lang w:val="en-US" w:eastAsia="zh-CN"/>
        </w:rPr>
        <w:t>昭化区</w:t>
      </w:r>
      <w:r>
        <w:rPr>
          <w:rFonts w:hint="eastAsia" w:ascii="仿宋_GB2312" w:hAnsi="宋体" w:eastAsia="仿宋_GB2312"/>
          <w:sz w:val="32"/>
          <w:szCs w:val="32"/>
        </w:rPr>
        <w:t>根据中央、省</w:t>
      </w:r>
      <w:r>
        <w:rPr>
          <w:rFonts w:hint="eastAsia" w:ascii="仿宋_GB2312" w:hAnsi="宋体" w:eastAsia="仿宋_GB2312"/>
          <w:sz w:val="32"/>
          <w:szCs w:val="32"/>
          <w:lang w:eastAsia="zh-CN"/>
        </w:rPr>
        <w:t>、</w:t>
      </w:r>
      <w:r>
        <w:rPr>
          <w:rFonts w:hint="eastAsia" w:ascii="仿宋_GB2312" w:hAnsi="宋体" w:eastAsia="仿宋_GB2312"/>
          <w:sz w:val="32"/>
          <w:szCs w:val="32"/>
        </w:rPr>
        <w:t>市</w:t>
      </w:r>
      <w:r>
        <w:rPr>
          <w:rFonts w:hint="eastAsia" w:ascii="仿宋_GB2312" w:hAnsi="宋体" w:eastAsia="仿宋_GB2312"/>
          <w:sz w:val="32"/>
          <w:szCs w:val="32"/>
          <w:lang w:val="en-US" w:eastAsia="zh-CN"/>
        </w:rPr>
        <w:t>关于县级融媒体中心建设</w:t>
      </w:r>
      <w:r>
        <w:rPr>
          <w:rFonts w:hint="eastAsia" w:ascii="仿宋_GB2312" w:hAnsi="宋体" w:eastAsia="仿宋_GB2312"/>
          <w:sz w:val="32"/>
          <w:szCs w:val="32"/>
        </w:rPr>
        <w:t>相关</w:t>
      </w:r>
      <w:r>
        <w:rPr>
          <w:rFonts w:hint="eastAsia" w:ascii="仿宋_GB2312" w:hAnsi="宋体" w:eastAsia="仿宋_GB2312"/>
          <w:sz w:val="32"/>
          <w:szCs w:val="32"/>
          <w:lang w:val="en-US" w:eastAsia="zh-CN"/>
        </w:rPr>
        <w:t>文件精神，</w:t>
      </w:r>
      <w:r>
        <w:rPr>
          <w:rFonts w:hint="eastAsia" w:ascii="仿宋_GB2312" w:hAnsi="宋体" w:eastAsia="仿宋_GB2312"/>
          <w:sz w:val="32"/>
          <w:szCs w:val="32"/>
          <w:lang w:eastAsia="zh-CN"/>
        </w:rPr>
        <w:t>按照</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精心谋划，全力推进县级</w:t>
      </w:r>
      <w:r>
        <w:rPr>
          <w:rFonts w:hint="eastAsia" w:ascii="仿宋_GB2312" w:hAnsi="宋体" w:eastAsia="仿宋_GB2312"/>
          <w:sz w:val="32"/>
          <w:szCs w:val="32"/>
        </w:rPr>
        <w:t>融媒体中心建设</w:t>
      </w:r>
      <w:r>
        <w:rPr>
          <w:rFonts w:hint="eastAsia" w:ascii="仿宋_GB2312" w:hAnsi="宋体" w:eastAsia="仿宋_GB2312"/>
          <w:sz w:val="32"/>
          <w:szCs w:val="32"/>
          <w:lang w:val="en-US" w:eastAsia="zh-CN"/>
        </w:rPr>
        <w:t>。</w:t>
      </w:r>
    </w:p>
    <w:p w14:paraId="6CA68B76">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或项目</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w:t>
      </w:r>
    </w:p>
    <w:p w14:paraId="01C3E3F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 xml:space="preserve">    昭化区融媒体中心制定了《昭融媒项目管理办法》，在项目实施过程中，严格按照管理办法支付相关费用，无违法违规行为。</w:t>
      </w:r>
    </w:p>
    <w:p w14:paraId="4436DB0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w:t>
      </w:r>
      <w:r>
        <w:rPr>
          <w:rFonts w:hint="eastAsia" w:ascii="仿宋_GB2312" w:hAnsi="仿宋_GB2312" w:eastAsia="仿宋_GB2312" w:cs="仿宋_GB2312"/>
          <w:color w:val="auto"/>
          <w:kern w:val="0"/>
          <w:sz w:val="32"/>
          <w:szCs w:val="32"/>
          <w:highlight w:val="none"/>
          <w:u w:val="none"/>
          <w:shd w:val="clear" w:color="auto" w:fill="FFFFFF"/>
          <w:lang w:val="zh-CN"/>
        </w:rPr>
        <w:t>资金分配的原则及考虑因素。</w:t>
      </w:r>
    </w:p>
    <w:p w14:paraId="26650F96">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在项目实施过程中，严格按照财经纪律和《中华人民共和国会计法》规定，严格按照《昭融媒项目管理办法》，合理有序支付项目资金，确保年终按照项目进度全额拨款，</w:t>
      </w:r>
      <w:r>
        <w:rPr>
          <w:rFonts w:hint="eastAsia" w:eastAsia="仿宋"/>
          <w:sz w:val="32"/>
        </w:rPr>
        <w:t>真正做到财务公开透明守法守规</w:t>
      </w:r>
      <w:r>
        <w:rPr>
          <w:rFonts w:hint="eastAsia" w:eastAsia="仿宋"/>
          <w:sz w:val="32"/>
          <w:lang w:eastAsia="zh-CN"/>
        </w:rPr>
        <w:t>。</w:t>
      </w:r>
    </w:p>
    <w:p w14:paraId="38AF1BB9">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（二）项目绩效目标</w:t>
      </w:r>
    </w:p>
    <w:p w14:paraId="1EB7EC7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1．项目主要内容。</w:t>
      </w:r>
    </w:p>
    <w:p w14:paraId="3E24503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2022年，昭化区融媒体中心整合昭化区媒体资源、再造工作流程，加强传播手段和宣传方式创新，建设“一次策划、一次采集、多元生成、多平台发布”的融媒体中心，突出官媒的“喉舌”作用、自媒体的“生活” 作用、融媒体的“服务”作用，讲好昭化故事、传递昭化声音，实现更广泛传递党和政府声音，更好引导群众、服务群众。</w:t>
      </w:r>
    </w:p>
    <w:p w14:paraId="592BE88F">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项目应实现的具体绩效目标。</w:t>
      </w:r>
    </w:p>
    <w:p w14:paraId="398BE19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w:t>
      </w:r>
      <w:r>
        <w:rPr>
          <w:rFonts w:hint="eastAsia" w:eastAsia="仿宋"/>
          <w:sz w:val="32"/>
          <w:lang w:val="en-US" w:eastAsia="zh-CN"/>
        </w:rPr>
        <w:t>区内主题宣传费经费</w:t>
      </w:r>
      <w:r>
        <w:rPr>
          <w:rFonts w:hint="eastAsia" w:eastAsia="仿宋"/>
          <w:sz w:val="32"/>
        </w:rPr>
        <w:t>项目年初设定绩效目标为：区内新闻宣传总成本控制数</w:t>
      </w:r>
      <w:r>
        <w:rPr>
          <w:rFonts w:hint="eastAsia" w:eastAsia="仿宋"/>
          <w:sz w:val="32"/>
          <w:lang w:val="en-US" w:eastAsia="zh-CN"/>
        </w:rPr>
        <w:t>少于15万元每年，记者安全工作率达100%，内宣稿件合格率、稿件宣推及时率、稿件报道转发率均达90%以上，</w:t>
      </w:r>
      <w:r>
        <w:rPr>
          <w:rFonts w:hint="eastAsia" w:eastAsia="仿宋"/>
          <w:sz w:val="32"/>
        </w:rPr>
        <w:t>记者站聘用人员满意度</w:t>
      </w:r>
      <w:r>
        <w:rPr>
          <w:rFonts w:hint="eastAsia" w:eastAsia="仿宋"/>
          <w:sz w:val="32"/>
          <w:lang w:val="en-US" w:eastAsia="zh-CN"/>
        </w:rPr>
        <w:t>达9</w:t>
      </w:r>
      <w:r>
        <w:rPr>
          <w:rFonts w:hint="eastAsia" w:eastAsia="仿宋"/>
          <w:sz w:val="32"/>
        </w:rPr>
        <w:t>0%</w:t>
      </w:r>
      <w:r>
        <w:rPr>
          <w:rFonts w:hint="eastAsia" w:eastAsia="仿宋"/>
          <w:sz w:val="32"/>
          <w:lang w:val="en-US" w:eastAsia="zh-CN"/>
        </w:rPr>
        <w:t>以上，年撰写稿件数不少于600件，年度优秀新闻获奖数不少于5件</w:t>
      </w:r>
      <w:r>
        <w:rPr>
          <w:rFonts w:hint="eastAsia" w:eastAsia="仿宋"/>
          <w:sz w:val="32"/>
        </w:rPr>
        <w:t>。</w:t>
      </w:r>
    </w:p>
    <w:p w14:paraId="2B5699C2">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（三）项目自评步骤及方法</w:t>
      </w:r>
    </w:p>
    <w:p w14:paraId="13C8CFC9">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区融媒体中心建设项目</w:t>
      </w:r>
      <w:r>
        <w:rPr>
          <w:rFonts w:hint="eastAsia" w:ascii="仿宋_GB2312" w:hAnsi="仿宋_GB2312" w:eastAsia="仿宋_GB2312" w:cs="仿宋_GB2312"/>
          <w:color w:val="auto"/>
          <w:kern w:val="0"/>
          <w:sz w:val="32"/>
          <w:szCs w:val="32"/>
          <w:highlight w:val="none"/>
          <w:u w:val="none"/>
          <w:shd w:val="clear" w:color="auto" w:fill="FFFFFF"/>
          <w:lang w:val="zh-CN" w:eastAsia="zh-CN"/>
        </w:rPr>
        <w:t>依据</w:t>
      </w:r>
      <w:r>
        <w:rPr>
          <w:rFonts w:hint="eastAsia" w:ascii="仿宋_GB2312" w:hAnsi="仿宋_GB2312" w:eastAsia="仿宋_GB2312" w:cs="仿宋_GB2312"/>
          <w:color w:val="auto"/>
          <w:kern w:val="0"/>
          <w:sz w:val="32"/>
          <w:szCs w:val="32"/>
          <w:highlight w:val="none"/>
          <w:u w:val="none"/>
          <w:shd w:val="clear" w:color="auto" w:fill="FFFFFF"/>
          <w:lang w:val="zh-CN"/>
        </w:rPr>
        <w:t>《广元市昭化区人民政府办公室关于印发&lt;广元市 昭化区财政支出事后绩效评价管理办法&gt;的通知》(昭府办函〔2022〕37号)</w:t>
      </w:r>
      <w:r>
        <w:rPr>
          <w:rFonts w:hint="eastAsia" w:ascii="仿宋_GB2312" w:hAnsi="仿宋_GB2312" w:eastAsia="仿宋_GB2312" w:cs="仿宋_GB2312"/>
          <w:color w:val="auto"/>
          <w:kern w:val="0"/>
          <w:sz w:val="32"/>
          <w:szCs w:val="32"/>
          <w:highlight w:val="none"/>
          <w:u w:val="none"/>
          <w:shd w:val="clear" w:color="auto" w:fill="FFFFFF"/>
          <w:lang w:val="zh-CN" w:eastAsia="zh-CN"/>
        </w:rPr>
        <w:t>文件自评且逐项量分。</w:t>
      </w:r>
    </w:p>
    <w:p w14:paraId="57271752">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二、项目资金申报及使用情况</w:t>
      </w:r>
    </w:p>
    <w:p w14:paraId="76C79011">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（一）项目资金申报及批复情况</w:t>
      </w:r>
    </w:p>
    <w:p w14:paraId="76DDF8E2">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广元市昭化区融媒体中心202</w:t>
      </w:r>
      <w:r>
        <w:rPr>
          <w:rFonts w:hint="eastAsia" w:eastAsia="仿宋"/>
          <w:sz w:val="32"/>
          <w:lang w:val="en-US" w:eastAsia="zh-CN"/>
        </w:rPr>
        <w:t>2</w:t>
      </w:r>
      <w:r>
        <w:rPr>
          <w:rFonts w:hint="eastAsia" w:eastAsia="仿宋"/>
          <w:sz w:val="32"/>
        </w:rPr>
        <w:t>年度项目支出名称：</w:t>
      </w:r>
      <w:r>
        <w:rPr>
          <w:rFonts w:hint="eastAsia" w:eastAsia="仿宋"/>
          <w:sz w:val="32"/>
          <w:lang w:val="en-US" w:eastAsia="zh-CN"/>
        </w:rPr>
        <w:t>区内主题宣传费经费</w:t>
      </w:r>
      <w:r>
        <w:rPr>
          <w:rFonts w:hint="eastAsia" w:eastAsia="仿宋"/>
          <w:sz w:val="32"/>
        </w:rPr>
        <w:t>，该项目</w:t>
      </w:r>
      <w:r>
        <w:rPr>
          <w:rFonts w:hint="eastAsia" w:eastAsia="仿宋"/>
          <w:sz w:val="32"/>
          <w:lang w:val="en-US" w:eastAsia="zh-CN"/>
        </w:rPr>
        <w:t>为常年预算项目，每年预算</w:t>
      </w:r>
      <w:r>
        <w:rPr>
          <w:rFonts w:hint="eastAsia" w:eastAsia="仿宋"/>
          <w:sz w:val="32"/>
        </w:rPr>
        <w:t>总金额为</w:t>
      </w:r>
      <w:r>
        <w:rPr>
          <w:rFonts w:hint="eastAsia" w:eastAsia="仿宋"/>
          <w:sz w:val="32"/>
          <w:lang w:val="en-US" w:eastAsia="zh-CN"/>
        </w:rPr>
        <w:t>1</w:t>
      </w:r>
      <w:r>
        <w:rPr>
          <w:rFonts w:hint="eastAsia" w:eastAsia="仿宋"/>
          <w:sz w:val="32"/>
        </w:rPr>
        <w:t>5万元，支出资金总额为</w:t>
      </w:r>
      <w:r>
        <w:rPr>
          <w:rFonts w:hint="eastAsia" w:eastAsia="仿宋"/>
          <w:sz w:val="32"/>
          <w:lang w:val="en-US" w:eastAsia="zh-CN"/>
        </w:rPr>
        <w:t>1</w:t>
      </w:r>
      <w:r>
        <w:rPr>
          <w:rFonts w:hint="eastAsia" w:eastAsia="仿宋"/>
          <w:sz w:val="32"/>
        </w:rPr>
        <w:t>5万元，其中财政拨款金额为</w:t>
      </w:r>
      <w:r>
        <w:rPr>
          <w:rFonts w:hint="eastAsia" w:eastAsia="仿宋"/>
          <w:sz w:val="32"/>
          <w:lang w:val="en-US" w:eastAsia="zh-CN"/>
        </w:rPr>
        <w:t>1</w:t>
      </w:r>
      <w:r>
        <w:rPr>
          <w:rFonts w:hint="eastAsia" w:eastAsia="仿宋"/>
          <w:sz w:val="32"/>
        </w:rPr>
        <w:t>5万元，202</w:t>
      </w:r>
      <w:r>
        <w:rPr>
          <w:rFonts w:hint="eastAsia" w:eastAsia="仿宋"/>
          <w:sz w:val="32"/>
          <w:lang w:val="en-US" w:eastAsia="zh-CN"/>
        </w:rPr>
        <w:t>2</w:t>
      </w:r>
      <w:r>
        <w:rPr>
          <w:rFonts w:hint="eastAsia" w:eastAsia="仿宋"/>
          <w:sz w:val="32"/>
        </w:rPr>
        <w:t>年财政拨款金额为</w:t>
      </w:r>
      <w:r>
        <w:rPr>
          <w:rFonts w:hint="eastAsia" w:eastAsia="仿宋"/>
          <w:sz w:val="32"/>
          <w:lang w:val="en-US" w:eastAsia="zh-CN"/>
        </w:rPr>
        <w:t>15</w:t>
      </w:r>
      <w:r>
        <w:rPr>
          <w:rFonts w:hint="eastAsia" w:eastAsia="仿宋"/>
          <w:sz w:val="32"/>
        </w:rPr>
        <w:t>万元。项目支出主管部门为</w:t>
      </w:r>
      <w:r>
        <w:rPr>
          <w:rFonts w:hint="eastAsia" w:eastAsia="仿宋"/>
          <w:sz w:val="32"/>
          <w:lang w:val="en-US" w:eastAsia="zh-CN"/>
        </w:rPr>
        <w:t>中共</w:t>
      </w:r>
      <w:r>
        <w:rPr>
          <w:rFonts w:hint="eastAsia" w:eastAsia="仿宋"/>
          <w:sz w:val="32"/>
        </w:rPr>
        <w:t>广元市昭化区</w:t>
      </w:r>
      <w:r>
        <w:rPr>
          <w:rFonts w:hint="eastAsia" w:eastAsia="仿宋"/>
          <w:sz w:val="32"/>
          <w:lang w:val="en-US" w:eastAsia="zh-CN"/>
        </w:rPr>
        <w:t>委宣传部</w:t>
      </w:r>
      <w:r>
        <w:rPr>
          <w:rFonts w:hint="eastAsia" w:eastAsia="仿宋"/>
          <w:sz w:val="32"/>
        </w:rPr>
        <w:t>，项目支出实施单位为区融媒体中心。</w:t>
      </w:r>
    </w:p>
    <w:p w14:paraId="5A11C97B">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（二）资金计划、到位及使用情况</w:t>
      </w:r>
    </w:p>
    <w:p w14:paraId="374AC9FB">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1．资金计划。</w:t>
      </w:r>
    </w:p>
    <w:p w14:paraId="7B85C14E">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为昭化区财政本级资金，无其他资金来源。</w:t>
      </w:r>
      <w:r>
        <w:rPr>
          <w:rFonts w:hint="eastAsia" w:eastAsia="仿宋"/>
          <w:sz w:val="32"/>
        </w:rPr>
        <w:t>年初预算财政拨款资金为</w:t>
      </w:r>
      <w:r>
        <w:rPr>
          <w:rFonts w:hint="eastAsia" w:eastAsia="仿宋"/>
          <w:sz w:val="32"/>
          <w:lang w:val="en-US" w:eastAsia="zh-CN"/>
        </w:rPr>
        <w:t>15</w:t>
      </w:r>
      <w:r>
        <w:rPr>
          <w:rFonts w:hint="eastAsia" w:eastAsia="仿宋"/>
          <w:sz w:val="32"/>
        </w:rPr>
        <w:t>万元。</w:t>
      </w:r>
    </w:p>
    <w:p w14:paraId="044B07F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资金到位。</w:t>
      </w:r>
    </w:p>
    <w:p w14:paraId="5AC2C5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为昭化区财政本级资金，无其他资金来源。</w:t>
      </w:r>
      <w:r>
        <w:rPr>
          <w:rFonts w:hint="eastAsia" w:eastAsia="仿宋"/>
          <w:sz w:val="32"/>
        </w:rPr>
        <w:t>年初预算财政拨款资金为1</w:t>
      </w:r>
      <w:r>
        <w:rPr>
          <w:rFonts w:hint="eastAsia" w:eastAsia="仿宋"/>
          <w:sz w:val="32"/>
          <w:lang w:val="en-US" w:eastAsia="zh-CN"/>
        </w:rPr>
        <w:t>5</w:t>
      </w:r>
      <w:r>
        <w:rPr>
          <w:rFonts w:hint="eastAsia" w:eastAsia="仿宋"/>
          <w:sz w:val="32"/>
        </w:rPr>
        <w:t>万元，年终实际拨款为1</w:t>
      </w:r>
      <w:r>
        <w:rPr>
          <w:rFonts w:hint="eastAsia" w:eastAsia="仿宋"/>
          <w:sz w:val="32"/>
          <w:lang w:val="en-US" w:eastAsia="zh-CN"/>
        </w:rPr>
        <w:t>5</w:t>
      </w:r>
      <w:r>
        <w:rPr>
          <w:rFonts w:hint="eastAsia" w:eastAsia="仿宋"/>
          <w:sz w:val="32"/>
        </w:rPr>
        <w:t>万元。</w:t>
      </w:r>
    </w:p>
    <w:p w14:paraId="7F75EB2F">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资金使用。</w:t>
      </w:r>
    </w:p>
    <w:p w14:paraId="17351396">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截止评价时，该项目</w:t>
      </w:r>
      <w:r>
        <w:rPr>
          <w:rFonts w:hint="eastAsia" w:eastAsia="仿宋"/>
          <w:sz w:val="32"/>
          <w:lang w:val="en-US" w:eastAsia="zh-CN"/>
        </w:rPr>
        <w:t>昭化区财政本级资金15万元，</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全部支付到位。</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支付</w:t>
      </w:r>
      <w:r>
        <w:rPr>
          <w:rFonts w:hint="eastAsia" w:eastAsia="仿宋"/>
          <w:sz w:val="32"/>
        </w:rPr>
        <w:t>依规合法</w:t>
      </w:r>
      <w:r>
        <w:rPr>
          <w:rFonts w:hint="eastAsia" w:eastAsia="仿宋"/>
          <w:sz w:val="32"/>
          <w:lang w:eastAsia="zh-CN"/>
        </w:rPr>
        <w:t>、</w:t>
      </w:r>
      <w:r>
        <w:rPr>
          <w:rFonts w:hint="eastAsia" w:ascii="仿宋_GB2312" w:hAnsi="仿宋_GB2312" w:eastAsia="仿宋_GB2312" w:cs="仿宋_GB2312"/>
          <w:color w:val="auto"/>
          <w:kern w:val="0"/>
          <w:sz w:val="32"/>
          <w:szCs w:val="32"/>
          <w:highlight w:val="none"/>
          <w:u w:val="none"/>
          <w:shd w:val="clear" w:color="auto" w:fill="FFFFFF"/>
          <w:lang w:val="zh-CN"/>
        </w:rPr>
        <w:t>安全规范有效，</w:t>
      </w:r>
      <w:r>
        <w:rPr>
          <w:rFonts w:hint="eastAsia" w:eastAsia="仿宋"/>
          <w:sz w:val="32"/>
        </w:rPr>
        <w:t>资金支付</w:t>
      </w:r>
      <w:r>
        <w:rPr>
          <w:rFonts w:hint="eastAsia" w:ascii="仿宋_GB2312" w:hAnsi="仿宋_GB2312" w:eastAsia="仿宋_GB2312" w:cs="仿宋_GB2312"/>
          <w:color w:val="auto"/>
          <w:kern w:val="0"/>
          <w:sz w:val="32"/>
          <w:szCs w:val="32"/>
          <w:highlight w:val="none"/>
          <w:u w:val="none"/>
          <w:shd w:val="clear" w:color="auto" w:fill="FFFFFF"/>
          <w:lang w:val="zh-CN"/>
        </w:rPr>
        <w:t>与预算相符，</w:t>
      </w:r>
      <w:r>
        <w:rPr>
          <w:rFonts w:hint="eastAsia" w:ascii="仿宋_GB2312" w:hAnsi="仿宋_GB2312" w:eastAsia="仿宋_GB2312" w:cs="仿宋_GB2312"/>
          <w:color w:val="auto"/>
          <w:kern w:val="0"/>
          <w:sz w:val="32"/>
          <w:szCs w:val="32"/>
          <w:highlight w:val="none"/>
          <w:u w:val="none"/>
          <w:shd w:val="clear" w:color="auto" w:fill="FFFFFF"/>
          <w:lang w:val="en-US" w:eastAsia="zh-CN"/>
        </w:rPr>
        <w:t>无违规违纪行为</w:t>
      </w:r>
      <w:r>
        <w:rPr>
          <w:rFonts w:hint="eastAsia" w:ascii="仿宋_GB2312" w:hAnsi="仿宋_GB2312" w:eastAsia="仿宋_GB2312" w:cs="仿宋_GB2312"/>
          <w:color w:val="auto"/>
          <w:kern w:val="0"/>
          <w:sz w:val="32"/>
          <w:szCs w:val="32"/>
          <w:highlight w:val="none"/>
          <w:u w:val="none"/>
          <w:shd w:val="clear" w:color="auto" w:fill="FFFFFF"/>
          <w:lang w:val="zh-CN"/>
        </w:rPr>
        <w:t>。</w:t>
      </w:r>
    </w:p>
    <w:p w14:paraId="02E41718">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（三）项目财务管理情况</w:t>
      </w:r>
    </w:p>
    <w:p w14:paraId="56752531">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在财务管理中，严格按照财务管理制度</w:t>
      </w:r>
      <w:r>
        <w:rPr>
          <w:rFonts w:hint="eastAsia" w:eastAsia="仿宋"/>
          <w:sz w:val="32"/>
          <w:lang w:val="en-US" w:eastAsia="zh-CN"/>
        </w:rPr>
        <w:t>支</w:t>
      </w:r>
      <w:r>
        <w:rPr>
          <w:rFonts w:hint="eastAsia" w:eastAsia="仿宋"/>
          <w:sz w:val="32"/>
        </w:rPr>
        <w:t>付项目资金，真正做到了财务公开透明守法守规。</w:t>
      </w:r>
    </w:p>
    <w:p w14:paraId="779FD366">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三、项目实施及管理情况</w:t>
      </w:r>
    </w:p>
    <w:p w14:paraId="31E9B068">
      <w:pPr>
        <w:keepNext w:val="0"/>
        <w:keepLines w:val="0"/>
        <w:pageBreakBefore w:val="0"/>
        <w:numPr>
          <w:ilvl w:val="0"/>
          <w:numId w:val="15"/>
        </w:numPr>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项目组织架构及实施流程。</w:t>
      </w:r>
    </w:p>
    <w:p w14:paraId="2DC4F218">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宋体" w:eastAsia="仿宋_GB2312"/>
          <w:sz w:val="32"/>
          <w:szCs w:val="32"/>
          <w:lang w:val="en-US" w:eastAsia="zh-CN"/>
        </w:rPr>
      </w:pPr>
      <w:r>
        <w:rPr>
          <w:rFonts w:hint="eastAsia" w:eastAsia="仿宋"/>
          <w:sz w:val="32"/>
        </w:rPr>
        <w:t>我中心高度重视该项目工作，成立了以中心主任为组长，分管领导为副组长，</w:t>
      </w:r>
      <w:r>
        <w:rPr>
          <w:rFonts w:hint="eastAsia" w:eastAsia="仿宋"/>
          <w:sz w:val="32"/>
          <w:lang w:val="en-US" w:eastAsia="zh-CN"/>
        </w:rPr>
        <w:t>项目管理员及</w:t>
      </w:r>
      <w:r>
        <w:rPr>
          <w:rFonts w:hint="eastAsia" w:eastAsia="仿宋"/>
          <w:sz w:val="32"/>
        </w:rPr>
        <w:t>两名财务人员为组员的项目实施小组</w:t>
      </w:r>
      <w:r>
        <w:rPr>
          <w:rFonts w:hint="eastAsia" w:eastAsia="仿宋"/>
          <w:sz w:val="32"/>
          <w:lang w:eastAsia="zh-CN"/>
        </w:rPr>
        <w:t>。</w:t>
      </w:r>
      <w:r>
        <w:rPr>
          <w:rFonts w:hint="eastAsia" w:eastAsia="仿宋"/>
          <w:sz w:val="32"/>
          <w:lang w:val="en-US" w:eastAsia="zh-CN"/>
        </w:rPr>
        <w:t>项目流程根据中央、省、</w:t>
      </w:r>
      <w:r>
        <w:rPr>
          <w:rFonts w:hint="eastAsia" w:ascii="仿宋" w:hAnsi="仿宋" w:eastAsia="仿宋" w:cs="仿宋"/>
          <w:b w:val="0"/>
          <w:bCs w:val="0"/>
          <w:sz w:val="32"/>
          <w:szCs w:val="32"/>
          <w:lang w:val="en-US" w:eastAsia="zh-CN"/>
        </w:rPr>
        <w:t>市、区</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按照建设目标步骤实施。</w:t>
      </w:r>
    </w:p>
    <w:p w14:paraId="044C2B52">
      <w:pPr>
        <w:keepNext w:val="0"/>
        <w:keepLines w:val="0"/>
        <w:pageBreakBefore w:val="0"/>
        <w:numPr>
          <w:ilvl w:val="0"/>
          <w:numId w:val="15"/>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项目管理情况。</w:t>
      </w:r>
    </w:p>
    <w:p w14:paraId="44492983">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项目管理员及</w:t>
      </w:r>
      <w:r>
        <w:rPr>
          <w:rFonts w:hint="eastAsia" w:eastAsia="仿宋"/>
          <w:sz w:val="32"/>
        </w:rPr>
        <w:t>两名财务人员</w:t>
      </w:r>
      <w:r>
        <w:rPr>
          <w:rFonts w:hint="eastAsia" w:eastAsia="仿宋"/>
          <w:sz w:val="32"/>
          <w:lang w:val="en-US" w:eastAsia="zh-CN"/>
        </w:rPr>
        <w:t>严格</w:t>
      </w:r>
      <w:r>
        <w:rPr>
          <w:rFonts w:hint="eastAsia" w:ascii="仿宋_GB2312" w:hAnsi="仿宋_GB2312" w:eastAsia="仿宋_GB2312" w:cs="仿宋_GB2312"/>
          <w:color w:val="auto"/>
          <w:kern w:val="0"/>
          <w:sz w:val="32"/>
          <w:szCs w:val="32"/>
          <w:highlight w:val="none"/>
          <w:u w:val="none"/>
          <w:shd w:val="clear" w:color="auto" w:fill="FFFFFF"/>
          <w:lang w:val="zh-CN"/>
        </w:rPr>
        <w:t>执行相关法律法规</w:t>
      </w:r>
      <w:r>
        <w:rPr>
          <w:rFonts w:hint="eastAsia" w:ascii="仿宋_GB2312" w:hAnsi="仿宋_GB2312" w:cs="仿宋_GB2312"/>
          <w:color w:val="auto"/>
          <w:kern w:val="0"/>
          <w:sz w:val="32"/>
          <w:szCs w:val="32"/>
          <w:highlight w:val="none"/>
          <w:u w:val="none"/>
          <w:shd w:val="clear" w:color="auto" w:fill="FFFFFF"/>
          <w:lang w:val="zh-CN"/>
        </w:rPr>
        <w:t>、</w:t>
      </w:r>
      <w:r>
        <w:rPr>
          <w:rFonts w:hint="eastAsia" w:ascii="仿宋_GB2312" w:hAnsi="仿宋_GB2312" w:eastAsia="仿宋_GB2312" w:cs="仿宋_GB2312"/>
          <w:color w:val="auto"/>
          <w:kern w:val="0"/>
          <w:sz w:val="32"/>
          <w:szCs w:val="32"/>
          <w:highlight w:val="none"/>
          <w:u w:val="none"/>
          <w:shd w:val="clear" w:color="auto" w:fill="FFFFFF"/>
          <w:lang w:val="zh-CN"/>
        </w:rPr>
        <w:t>项目管理制度</w:t>
      </w:r>
      <w:r>
        <w:rPr>
          <w:rFonts w:hint="eastAsia" w:eastAsia="仿宋"/>
          <w:sz w:val="32"/>
        </w:rPr>
        <w:t>，依法守规，合理管控开支，按照年初预算计划，做到申请、审核、支付依规合法，全力促进新闻宣传工作每月</w:t>
      </w:r>
      <w:r>
        <w:rPr>
          <w:rFonts w:hint="eastAsia" w:eastAsia="仿宋"/>
          <w:sz w:val="32"/>
          <w:lang w:val="en-US" w:eastAsia="zh-CN"/>
        </w:rPr>
        <w:t>出</w:t>
      </w:r>
      <w:r>
        <w:rPr>
          <w:rFonts w:hint="eastAsia" w:eastAsia="仿宋"/>
          <w:sz w:val="32"/>
        </w:rPr>
        <w:t>亮点。</w:t>
      </w:r>
    </w:p>
    <w:p w14:paraId="0D6FFC36">
      <w:pPr>
        <w:keepNext w:val="0"/>
        <w:keepLines w:val="0"/>
        <w:pageBreakBefore w:val="0"/>
        <w:numPr>
          <w:ilvl w:val="0"/>
          <w:numId w:val="15"/>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项目监管情况。</w:t>
      </w:r>
    </w:p>
    <w:p w14:paraId="30B2F7ED">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我中心项目管理员日常跟踪督促项目实施，做到了严格管理施工，作业可控有度，目标完成有效。</w:t>
      </w:r>
    </w:p>
    <w:p w14:paraId="0DCD7742">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四、项目绩效情况</w:t>
      </w:r>
      <w:r>
        <w:rPr>
          <w:rFonts w:hint="eastAsia" w:ascii="仿宋_GB2312" w:hAnsi="宋体"/>
          <w:color w:val="auto"/>
          <w:sz w:val="32"/>
          <w:szCs w:val="32"/>
          <w:highlight w:val="none"/>
          <w:u w:val="none"/>
          <w:lang w:val="zh-CN"/>
        </w:rPr>
        <w:tab/>
      </w:r>
    </w:p>
    <w:p w14:paraId="1D7D4043">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（一）项目完成情况</w:t>
      </w:r>
    </w:p>
    <w:p w14:paraId="64BFB1B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2022年</w:t>
      </w:r>
      <w:r>
        <w:rPr>
          <w:rFonts w:hint="eastAsia" w:eastAsia="仿宋"/>
          <w:sz w:val="32"/>
        </w:rPr>
        <w:t>区内新闻宣传总成本控制数</w:t>
      </w:r>
      <w:r>
        <w:rPr>
          <w:rFonts w:hint="eastAsia" w:eastAsia="仿宋"/>
          <w:sz w:val="32"/>
          <w:lang w:val="en-US" w:eastAsia="zh-CN"/>
        </w:rPr>
        <w:t>15万元，记者安全工作率达100%，内宣稿件合格率、稿件宣推及时率、稿件报道转发率均达95%，</w:t>
      </w:r>
      <w:r>
        <w:rPr>
          <w:rFonts w:hint="eastAsia" w:eastAsia="仿宋"/>
          <w:sz w:val="32"/>
        </w:rPr>
        <w:t>记者站聘用人员满意度</w:t>
      </w:r>
      <w:r>
        <w:rPr>
          <w:rFonts w:hint="eastAsia" w:eastAsia="仿宋"/>
          <w:sz w:val="32"/>
          <w:lang w:val="en-US" w:eastAsia="zh-CN"/>
        </w:rPr>
        <w:t>达95</w:t>
      </w:r>
      <w:r>
        <w:rPr>
          <w:rFonts w:hint="eastAsia" w:eastAsia="仿宋"/>
          <w:sz w:val="32"/>
        </w:rPr>
        <w:t>%</w:t>
      </w:r>
      <w:r>
        <w:rPr>
          <w:rFonts w:hint="eastAsia" w:eastAsia="仿宋"/>
          <w:sz w:val="32"/>
          <w:lang w:val="en-US" w:eastAsia="zh-CN"/>
        </w:rPr>
        <w:t>，年撰写稿件数达1800件，年度优秀新闻获奖数15件</w:t>
      </w:r>
      <w:r>
        <w:rPr>
          <w:rFonts w:hint="eastAsia" w:eastAsia="仿宋"/>
          <w:sz w:val="32"/>
        </w:rPr>
        <w:t>。</w:t>
      </w:r>
    </w:p>
    <w:p w14:paraId="2726FBB4">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（二）项目效益情况</w:t>
      </w:r>
    </w:p>
    <w:p w14:paraId="1BCFF4C2">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该项目实施后，全区宣传</w:t>
      </w:r>
      <w:r>
        <w:rPr>
          <w:rFonts w:hint="eastAsia" w:eastAsia="仿宋"/>
          <w:sz w:val="32"/>
          <w:lang w:val="en-US" w:eastAsia="zh-CN"/>
        </w:rPr>
        <w:t>工作在项目良好运行</w:t>
      </w:r>
      <w:r>
        <w:rPr>
          <w:rFonts w:hint="eastAsia" w:eastAsia="仿宋"/>
          <w:sz w:val="32"/>
        </w:rPr>
        <w:t>下，进一步树立全区良好形象，助推全区经济社会发展大好形势；在</w:t>
      </w:r>
      <w:r>
        <w:rPr>
          <w:rFonts w:hint="eastAsia" w:eastAsia="仿宋"/>
          <w:sz w:val="32"/>
          <w:lang w:val="en-US" w:eastAsia="zh-CN"/>
        </w:rPr>
        <w:t>项目</w:t>
      </w:r>
      <w:r>
        <w:rPr>
          <w:rFonts w:hint="eastAsia" w:eastAsia="仿宋"/>
          <w:sz w:val="32"/>
        </w:rPr>
        <w:t>可持续影响下，</w:t>
      </w:r>
      <w:r>
        <w:rPr>
          <w:rFonts w:hint="eastAsia" w:eastAsia="仿宋"/>
          <w:sz w:val="32"/>
          <w:lang w:val="en-US" w:eastAsia="zh-CN"/>
        </w:rPr>
        <w:t>宣传报道受众</w:t>
      </w:r>
      <w:r>
        <w:rPr>
          <w:rFonts w:hint="eastAsia" w:eastAsia="仿宋"/>
          <w:sz w:val="32"/>
        </w:rPr>
        <w:t>满意度</w:t>
      </w:r>
      <w:r>
        <w:rPr>
          <w:rFonts w:hint="eastAsia" w:eastAsia="仿宋"/>
          <w:sz w:val="32"/>
          <w:lang w:val="en-US" w:eastAsia="zh-CN"/>
        </w:rPr>
        <w:t>达95</w:t>
      </w:r>
      <w:r>
        <w:rPr>
          <w:rFonts w:hint="eastAsia" w:eastAsia="仿宋"/>
          <w:sz w:val="32"/>
        </w:rPr>
        <w:t>%。</w:t>
      </w:r>
    </w:p>
    <w:p w14:paraId="6C5D4603">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五、评价结论及建议</w:t>
      </w:r>
    </w:p>
    <w:p w14:paraId="45740936">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（一）评价结论</w:t>
      </w:r>
    </w:p>
    <w:p w14:paraId="2C9312D5">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w:t>
      </w:r>
      <w:r>
        <w:rPr>
          <w:rFonts w:hint="eastAsia" w:eastAsia="仿宋"/>
          <w:sz w:val="32"/>
          <w:lang w:val="en-US" w:eastAsia="zh-CN"/>
        </w:rPr>
        <w:t>区内主题宣传费经费</w:t>
      </w:r>
      <w:r>
        <w:rPr>
          <w:rFonts w:hint="eastAsia" w:eastAsia="仿宋"/>
          <w:sz w:val="32"/>
        </w:rPr>
        <w:t>项目资金支出合规合法，较好</w:t>
      </w:r>
      <w:r>
        <w:rPr>
          <w:rFonts w:hint="eastAsia" w:eastAsia="仿宋"/>
          <w:sz w:val="32"/>
          <w:lang w:val="en-US" w:eastAsia="zh-CN"/>
        </w:rPr>
        <w:t>地</w:t>
      </w:r>
      <w:r>
        <w:rPr>
          <w:rFonts w:hint="eastAsia" w:eastAsia="仿宋"/>
          <w:sz w:val="32"/>
        </w:rPr>
        <w:t>完成了年度目标绩效任务，对标项目支出绩效评价指标体系，我单位对本项目进行总体自评，评价结果为：优，得分9</w:t>
      </w:r>
      <w:r>
        <w:rPr>
          <w:rFonts w:hint="eastAsia" w:eastAsia="仿宋"/>
          <w:sz w:val="32"/>
          <w:lang w:val="en-US" w:eastAsia="zh-CN"/>
        </w:rPr>
        <w:t>1</w:t>
      </w:r>
      <w:r>
        <w:rPr>
          <w:rFonts w:hint="eastAsia" w:eastAsia="仿宋"/>
          <w:sz w:val="32"/>
        </w:rPr>
        <w:t>分。</w:t>
      </w:r>
    </w:p>
    <w:p w14:paraId="5419FFAC">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（二）存在的问题</w:t>
      </w:r>
    </w:p>
    <w:p w14:paraId="38ABA17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追求稿件精品创作</w:t>
      </w:r>
      <w:r>
        <w:rPr>
          <w:rFonts w:hint="eastAsia" w:eastAsia="仿宋"/>
          <w:sz w:val="32"/>
          <w:lang w:eastAsia="zh-CN"/>
        </w:rPr>
        <w:t>，</w:t>
      </w:r>
      <w:r>
        <w:rPr>
          <w:rFonts w:hint="eastAsia" w:eastAsia="仿宋"/>
          <w:sz w:val="32"/>
        </w:rPr>
        <w:t>做出更好更有深度的好新闻、好广告片、</w:t>
      </w:r>
      <w:r>
        <w:rPr>
          <w:rFonts w:hint="eastAsia" w:eastAsia="仿宋"/>
          <w:sz w:val="32"/>
          <w:lang w:val="en-US" w:eastAsia="zh-CN"/>
        </w:rPr>
        <w:t>好</w:t>
      </w:r>
      <w:r>
        <w:rPr>
          <w:rFonts w:hint="eastAsia" w:eastAsia="仿宋"/>
          <w:sz w:val="32"/>
        </w:rPr>
        <w:t>专题片。</w:t>
      </w:r>
    </w:p>
    <w:p w14:paraId="4E0238D9">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（三）相关建议</w:t>
      </w:r>
    </w:p>
    <w:p w14:paraId="5DB8E290">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1、做好“三审三校”，保证节目播控安全。</w:t>
      </w:r>
    </w:p>
    <w:p w14:paraId="76611C6F">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2、做好宣传工作，加强舆论引导，用心用情服务人民群众。</w:t>
      </w:r>
    </w:p>
    <w:p w14:paraId="595C49F2">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p w14:paraId="57E7FC0B">
      <w:pPr>
        <w:pStyle w:val="15"/>
        <w:rPr>
          <w:rFonts w:hint="eastAsia" w:ascii="黑体" w:hAnsi="黑体" w:eastAsia="黑体"/>
          <w:color w:val="auto"/>
          <w:sz w:val="44"/>
          <w:szCs w:val="44"/>
          <w:highlight w:val="none"/>
        </w:rPr>
      </w:pPr>
    </w:p>
    <w:p w14:paraId="0509E561">
      <w:pPr>
        <w:pStyle w:val="15"/>
        <w:rPr>
          <w:rFonts w:hint="eastAsia" w:ascii="黑体" w:hAnsi="黑体" w:eastAsia="黑体"/>
          <w:color w:val="auto"/>
          <w:sz w:val="44"/>
          <w:szCs w:val="44"/>
          <w:highlight w:val="none"/>
        </w:rPr>
      </w:pPr>
    </w:p>
    <w:p w14:paraId="47E675D9">
      <w:pPr>
        <w:pStyle w:val="15"/>
        <w:rPr>
          <w:rFonts w:hint="eastAsia" w:ascii="黑体" w:hAnsi="黑体" w:eastAsia="黑体"/>
          <w:color w:val="auto"/>
          <w:sz w:val="44"/>
          <w:szCs w:val="44"/>
          <w:highlight w:val="none"/>
        </w:rPr>
      </w:pPr>
    </w:p>
    <w:p w14:paraId="237B3B29">
      <w:pPr>
        <w:spacing w:before="103" w:line="219" w:lineRule="auto"/>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0D719AFA">
      <w:pPr>
        <w:spacing w:before="86" w:line="219" w:lineRule="auto"/>
        <w:ind w:left="3894"/>
        <w:rPr>
          <w:rFonts w:ascii="宋体" w:hAnsi="宋体" w:eastAsia="宋体" w:cs="宋体"/>
          <w:sz w:val="22"/>
          <w:szCs w:val="22"/>
        </w:rPr>
      </w:pPr>
      <w:r>
        <w:rPr>
          <w:rFonts w:ascii="宋体" w:hAnsi="宋体" w:eastAsia="宋体" w:cs="宋体"/>
          <w:spacing w:val="-14"/>
          <w:sz w:val="22"/>
          <w:szCs w:val="22"/>
        </w:rPr>
        <w:t>(</w:t>
      </w:r>
      <w:r>
        <w:rPr>
          <w:rFonts w:hint="eastAsia" w:ascii="宋体" w:hAnsi="宋体" w:eastAsia="宋体" w:cs="宋体"/>
          <w:spacing w:val="32"/>
          <w:sz w:val="22"/>
          <w:szCs w:val="22"/>
          <w:lang w:val="en-US" w:eastAsia="zh-CN"/>
        </w:rPr>
        <w:t>2022</w:t>
      </w:r>
      <w:r>
        <w:rPr>
          <w:rFonts w:ascii="宋体" w:hAnsi="宋体" w:eastAsia="宋体" w:cs="宋体"/>
          <w:spacing w:val="-14"/>
          <w:sz w:val="22"/>
          <w:szCs w:val="22"/>
        </w:rPr>
        <w:t>年度)</w:t>
      </w:r>
    </w:p>
    <w:p w14:paraId="30959254">
      <w:pPr>
        <w:spacing w:line="134" w:lineRule="exact"/>
      </w:pPr>
    </w:p>
    <w:tbl>
      <w:tblPr>
        <w:tblStyle w:val="35"/>
        <w:tblpPr w:leftFromText="180" w:rightFromText="180" w:vertAnchor="text" w:horzAnchor="page" w:tblpX="1532" w:tblpY="273"/>
        <w:tblOverlap w:val="never"/>
        <w:tblW w:w="97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772"/>
        <w:gridCol w:w="1257"/>
        <w:gridCol w:w="802"/>
        <w:gridCol w:w="1198"/>
        <w:gridCol w:w="1097"/>
        <w:gridCol w:w="1736"/>
        <w:gridCol w:w="2050"/>
      </w:tblGrid>
      <w:tr w14:paraId="14884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619" w:type="dxa"/>
            <w:gridSpan w:val="2"/>
            <w:tcBorders>
              <w:top w:val="single" w:color="000000" w:sz="2" w:space="0"/>
              <w:bottom w:val="single" w:color="000000" w:sz="2" w:space="0"/>
            </w:tcBorders>
            <w:vAlign w:val="center"/>
          </w:tcPr>
          <w:p w14:paraId="74880739">
            <w:pPr>
              <w:spacing w:before="67" w:line="360" w:lineRule="auto"/>
              <w:ind w:firstLine="144"/>
              <w:jc w:val="center"/>
              <w:rPr>
                <w:rFonts w:ascii="宋体" w:hAnsi="宋体" w:eastAsia="宋体" w:cs="宋体"/>
                <w:sz w:val="18"/>
                <w:szCs w:val="18"/>
              </w:rPr>
            </w:pPr>
            <w:r>
              <w:rPr>
                <w:rFonts w:ascii="宋体" w:hAnsi="宋体" w:eastAsia="宋体" w:cs="宋体"/>
                <w:spacing w:val="-2"/>
                <w:sz w:val="18"/>
                <w:szCs w:val="18"/>
              </w:rPr>
              <w:t>项目(政策)名称</w:t>
            </w:r>
          </w:p>
        </w:tc>
        <w:tc>
          <w:tcPr>
            <w:tcW w:w="8140" w:type="dxa"/>
            <w:gridSpan w:val="6"/>
            <w:tcBorders>
              <w:top w:val="single" w:color="000000" w:sz="2" w:space="0"/>
              <w:bottom w:val="single" w:color="000000" w:sz="2" w:space="0"/>
            </w:tcBorders>
            <w:vAlign w:val="center"/>
          </w:tcPr>
          <w:p w14:paraId="1ED0E9DE">
            <w:pPr>
              <w:spacing w:line="360" w:lineRule="auto"/>
              <w:jc w:val="center"/>
              <w:rPr>
                <w:rFonts w:ascii="Arial"/>
                <w:sz w:val="21"/>
              </w:rPr>
            </w:pPr>
            <w:r>
              <w:rPr>
                <w:rFonts w:hint="eastAsia" w:ascii="Arial"/>
                <w:sz w:val="21"/>
                <w:lang w:val="en-US" w:eastAsia="zh-CN"/>
              </w:rPr>
              <w:t>区内主题宣传费经费</w:t>
            </w:r>
          </w:p>
        </w:tc>
      </w:tr>
      <w:tr w14:paraId="7B0B1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619" w:type="dxa"/>
            <w:gridSpan w:val="2"/>
            <w:tcBorders>
              <w:top w:val="single" w:color="000000" w:sz="2" w:space="0"/>
              <w:bottom w:val="single" w:color="000000" w:sz="2" w:space="0"/>
            </w:tcBorders>
            <w:vAlign w:val="center"/>
          </w:tcPr>
          <w:p w14:paraId="1D8BCB6F">
            <w:pPr>
              <w:spacing w:before="62" w:line="360" w:lineRule="auto"/>
              <w:ind w:firstLine="415"/>
              <w:jc w:val="center"/>
              <w:rPr>
                <w:rFonts w:ascii="宋体" w:hAnsi="宋体" w:eastAsia="宋体" w:cs="宋体"/>
                <w:sz w:val="18"/>
                <w:szCs w:val="18"/>
              </w:rPr>
            </w:pPr>
            <w:r>
              <w:rPr>
                <w:rFonts w:ascii="宋体" w:hAnsi="宋体" w:eastAsia="宋体" w:cs="宋体"/>
                <w:spacing w:val="5"/>
                <w:sz w:val="18"/>
                <w:szCs w:val="18"/>
              </w:rPr>
              <w:t>主管部门</w:t>
            </w:r>
          </w:p>
        </w:tc>
        <w:tc>
          <w:tcPr>
            <w:tcW w:w="3257" w:type="dxa"/>
            <w:gridSpan w:val="3"/>
            <w:tcBorders>
              <w:top w:val="single" w:color="000000" w:sz="2" w:space="0"/>
              <w:bottom w:val="single" w:color="000000" w:sz="2" w:space="0"/>
            </w:tcBorders>
            <w:vAlign w:val="center"/>
          </w:tcPr>
          <w:p w14:paraId="6DAC7D9A">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中共昭化区委宣传部</w:t>
            </w:r>
          </w:p>
        </w:tc>
        <w:tc>
          <w:tcPr>
            <w:tcW w:w="1097" w:type="dxa"/>
            <w:tcBorders>
              <w:top w:val="single" w:color="000000" w:sz="2" w:space="0"/>
              <w:bottom w:val="single" w:color="000000" w:sz="2" w:space="0"/>
            </w:tcBorders>
            <w:vAlign w:val="center"/>
          </w:tcPr>
          <w:p w14:paraId="276F8764">
            <w:pPr>
              <w:spacing w:before="62" w:line="360" w:lineRule="auto"/>
              <w:jc w:val="center"/>
              <w:rPr>
                <w:rFonts w:ascii="宋体" w:hAnsi="宋体" w:eastAsia="宋体" w:cs="宋体"/>
                <w:sz w:val="18"/>
                <w:szCs w:val="18"/>
              </w:rPr>
            </w:pPr>
            <w:r>
              <w:rPr>
                <w:rFonts w:ascii="宋体" w:hAnsi="宋体" w:eastAsia="宋体" w:cs="宋体"/>
                <w:spacing w:val="-3"/>
                <w:sz w:val="18"/>
                <w:szCs w:val="18"/>
              </w:rPr>
              <w:t>实施单位</w:t>
            </w:r>
          </w:p>
        </w:tc>
        <w:tc>
          <w:tcPr>
            <w:tcW w:w="3786" w:type="dxa"/>
            <w:gridSpan w:val="2"/>
            <w:tcBorders>
              <w:top w:val="single" w:color="000000" w:sz="2" w:space="0"/>
              <w:bottom w:val="single" w:color="000000" w:sz="2" w:space="0"/>
            </w:tcBorders>
            <w:vAlign w:val="center"/>
          </w:tcPr>
          <w:p w14:paraId="343605AB">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广元市昭化区融媒体中心</w:t>
            </w:r>
          </w:p>
        </w:tc>
      </w:tr>
      <w:tr w14:paraId="0478B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619" w:type="dxa"/>
            <w:gridSpan w:val="2"/>
            <w:vMerge w:val="restart"/>
            <w:tcBorders>
              <w:top w:val="single" w:color="000000" w:sz="2" w:space="0"/>
              <w:bottom w:val="nil"/>
            </w:tcBorders>
            <w:vAlign w:val="center"/>
          </w:tcPr>
          <w:p w14:paraId="4A3179A9">
            <w:pPr>
              <w:spacing w:line="360" w:lineRule="auto"/>
              <w:jc w:val="both"/>
              <w:rPr>
                <w:rFonts w:ascii="Arial"/>
                <w:sz w:val="21"/>
              </w:rPr>
            </w:pPr>
          </w:p>
          <w:p w14:paraId="1B942266">
            <w:pPr>
              <w:spacing w:line="360" w:lineRule="auto"/>
              <w:jc w:val="center"/>
              <w:rPr>
                <w:rFonts w:ascii="Arial"/>
                <w:sz w:val="21"/>
              </w:rPr>
            </w:pPr>
          </w:p>
          <w:p w14:paraId="52B4D62E">
            <w:pPr>
              <w:spacing w:before="59" w:line="360" w:lineRule="auto"/>
              <w:ind w:left="504" w:right="167" w:hanging="360"/>
              <w:jc w:val="center"/>
              <w:rPr>
                <w:rFonts w:ascii="宋体" w:hAnsi="宋体" w:eastAsia="宋体" w:cs="宋体"/>
                <w:sz w:val="18"/>
                <w:szCs w:val="18"/>
              </w:rPr>
            </w:pPr>
            <w:r>
              <w:rPr>
                <w:rFonts w:ascii="宋体" w:hAnsi="宋体" w:eastAsia="宋体" w:cs="宋体"/>
                <w:spacing w:val="-2"/>
                <w:sz w:val="18"/>
                <w:szCs w:val="18"/>
              </w:rPr>
              <w:t>项目(政策)资金</w:t>
            </w:r>
            <w:r>
              <w:rPr>
                <w:rFonts w:ascii="宋体" w:hAnsi="宋体" w:eastAsia="宋体" w:cs="宋体"/>
                <w:spacing w:val="6"/>
                <w:sz w:val="18"/>
                <w:szCs w:val="18"/>
              </w:rPr>
              <w:t xml:space="preserve"> </w:t>
            </w:r>
            <w:r>
              <w:rPr>
                <w:rFonts w:ascii="宋体" w:hAnsi="宋体" w:eastAsia="宋体" w:cs="宋体"/>
                <w:spacing w:val="9"/>
                <w:sz w:val="18"/>
                <w:szCs w:val="18"/>
              </w:rPr>
              <w:t>(万元)</w:t>
            </w:r>
          </w:p>
        </w:tc>
        <w:tc>
          <w:tcPr>
            <w:tcW w:w="2059" w:type="dxa"/>
            <w:gridSpan w:val="2"/>
            <w:tcBorders>
              <w:top w:val="single" w:color="000000" w:sz="2" w:space="0"/>
              <w:bottom w:val="single" w:color="000000" w:sz="2" w:space="0"/>
            </w:tcBorders>
            <w:vAlign w:val="center"/>
          </w:tcPr>
          <w:p w14:paraId="063899D8">
            <w:pPr>
              <w:spacing w:line="360" w:lineRule="auto"/>
              <w:jc w:val="center"/>
              <w:rPr>
                <w:rFonts w:ascii="Arial"/>
                <w:sz w:val="21"/>
              </w:rPr>
            </w:pPr>
          </w:p>
        </w:tc>
        <w:tc>
          <w:tcPr>
            <w:tcW w:w="2295" w:type="dxa"/>
            <w:gridSpan w:val="2"/>
            <w:tcBorders>
              <w:top w:val="single" w:color="000000" w:sz="2" w:space="0"/>
              <w:bottom w:val="single" w:color="000000" w:sz="2" w:space="0"/>
            </w:tcBorders>
            <w:vAlign w:val="center"/>
          </w:tcPr>
          <w:p w14:paraId="243BA3EA">
            <w:pPr>
              <w:spacing w:before="72" w:line="360" w:lineRule="auto"/>
              <w:ind w:firstLine="653"/>
              <w:jc w:val="center"/>
              <w:rPr>
                <w:rFonts w:ascii="宋体" w:hAnsi="宋体" w:eastAsia="宋体" w:cs="宋体"/>
                <w:sz w:val="18"/>
                <w:szCs w:val="18"/>
              </w:rPr>
            </w:pPr>
            <w:r>
              <w:rPr>
                <w:rFonts w:ascii="宋体" w:hAnsi="宋体" w:eastAsia="宋体" w:cs="宋体"/>
                <w:spacing w:val="-2"/>
                <w:sz w:val="18"/>
                <w:szCs w:val="18"/>
              </w:rPr>
              <w:t>全年预算数</w:t>
            </w:r>
          </w:p>
        </w:tc>
        <w:tc>
          <w:tcPr>
            <w:tcW w:w="1736" w:type="dxa"/>
            <w:tcBorders>
              <w:top w:val="single" w:color="000000" w:sz="2" w:space="0"/>
              <w:bottom w:val="single" w:color="000000" w:sz="2" w:space="0"/>
            </w:tcBorders>
            <w:vAlign w:val="center"/>
          </w:tcPr>
          <w:p w14:paraId="7F389057">
            <w:pPr>
              <w:spacing w:before="72" w:line="360" w:lineRule="auto"/>
              <w:ind w:firstLine="386"/>
              <w:jc w:val="center"/>
              <w:rPr>
                <w:rFonts w:ascii="宋体" w:hAnsi="宋体" w:eastAsia="宋体" w:cs="宋体"/>
                <w:sz w:val="18"/>
                <w:szCs w:val="18"/>
              </w:rPr>
            </w:pPr>
            <w:r>
              <w:rPr>
                <w:rFonts w:ascii="宋体" w:hAnsi="宋体" w:eastAsia="宋体" w:cs="宋体"/>
                <w:spacing w:val="-2"/>
                <w:sz w:val="18"/>
                <w:szCs w:val="18"/>
              </w:rPr>
              <w:t>全年执行数</w:t>
            </w:r>
          </w:p>
        </w:tc>
        <w:tc>
          <w:tcPr>
            <w:tcW w:w="2050" w:type="dxa"/>
            <w:tcBorders>
              <w:top w:val="single" w:color="000000" w:sz="2" w:space="0"/>
              <w:bottom w:val="single" w:color="000000" w:sz="2" w:space="0"/>
            </w:tcBorders>
            <w:vAlign w:val="center"/>
          </w:tcPr>
          <w:p w14:paraId="6331DD35">
            <w:pPr>
              <w:spacing w:before="72" w:line="360" w:lineRule="auto"/>
              <w:ind w:firstLine="709"/>
              <w:jc w:val="center"/>
              <w:rPr>
                <w:rFonts w:ascii="宋体" w:hAnsi="宋体" w:eastAsia="宋体" w:cs="宋体"/>
                <w:sz w:val="18"/>
                <w:szCs w:val="18"/>
              </w:rPr>
            </w:pPr>
            <w:r>
              <w:rPr>
                <w:rFonts w:ascii="宋体" w:hAnsi="宋体" w:eastAsia="宋体" w:cs="宋体"/>
                <w:spacing w:val="-2"/>
                <w:sz w:val="18"/>
                <w:szCs w:val="18"/>
              </w:rPr>
              <w:t>执行率</w:t>
            </w:r>
          </w:p>
        </w:tc>
      </w:tr>
      <w:tr w14:paraId="1197C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619" w:type="dxa"/>
            <w:gridSpan w:val="2"/>
            <w:vMerge w:val="continue"/>
            <w:tcBorders>
              <w:top w:val="nil"/>
              <w:bottom w:val="nil"/>
            </w:tcBorders>
            <w:vAlign w:val="center"/>
          </w:tcPr>
          <w:p w14:paraId="6ED8CF84">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14:paraId="3FFBB20E">
            <w:pPr>
              <w:spacing w:before="62" w:line="360" w:lineRule="auto"/>
              <w:ind w:firstLine="162"/>
              <w:jc w:val="center"/>
              <w:rPr>
                <w:rFonts w:ascii="宋体" w:hAnsi="宋体" w:eastAsia="宋体" w:cs="宋体"/>
                <w:sz w:val="18"/>
                <w:szCs w:val="18"/>
              </w:rPr>
            </w:pPr>
            <w:r>
              <w:rPr>
                <w:rFonts w:ascii="宋体" w:hAnsi="宋体" w:eastAsia="宋体" w:cs="宋体"/>
                <w:spacing w:val="-2"/>
                <w:sz w:val="18"/>
                <w:szCs w:val="18"/>
              </w:rPr>
              <w:t>年度资金总额</w:t>
            </w:r>
          </w:p>
        </w:tc>
        <w:tc>
          <w:tcPr>
            <w:tcW w:w="2295" w:type="dxa"/>
            <w:gridSpan w:val="2"/>
            <w:tcBorders>
              <w:top w:val="single" w:color="000000" w:sz="2" w:space="0"/>
              <w:bottom w:val="single" w:color="000000" w:sz="2" w:space="0"/>
            </w:tcBorders>
            <w:vAlign w:val="center"/>
          </w:tcPr>
          <w:p w14:paraId="4DC0A81E">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1736" w:type="dxa"/>
            <w:tcBorders>
              <w:top w:val="single" w:color="000000" w:sz="2" w:space="0"/>
              <w:bottom w:val="single" w:color="000000" w:sz="2" w:space="0"/>
            </w:tcBorders>
            <w:vAlign w:val="center"/>
          </w:tcPr>
          <w:p w14:paraId="662651CE">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2050" w:type="dxa"/>
            <w:tcBorders>
              <w:top w:val="single" w:color="000000" w:sz="2" w:space="0"/>
              <w:bottom w:val="single" w:color="000000" w:sz="2" w:space="0"/>
            </w:tcBorders>
            <w:vAlign w:val="center"/>
          </w:tcPr>
          <w:p w14:paraId="5889E25C">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1B59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619" w:type="dxa"/>
            <w:gridSpan w:val="2"/>
            <w:vMerge w:val="continue"/>
            <w:tcBorders>
              <w:top w:val="nil"/>
              <w:bottom w:val="nil"/>
            </w:tcBorders>
            <w:vAlign w:val="center"/>
          </w:tcPr>
          <w:p w14:paraId="200D65FD">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14:paraId="6E347635">
            <w:pPr>
              <w:spacing w:before="72" w:line="360" w:lineRule="auto"/>
              <w:ind w:firstLine="162"/>
              <w:jc w:val="center"/>
              <w:rPr>
                <w:rFonts w:ascii="宋体" w:hAnsi="宋体" w:eastAsia="宋体" w:cs="宋体"/>
                <w:sz w:val="18"/>
                <w:szCs w:val="18"/>
              </w:rPr>
            </w:pPr>
            <w:r>
              <w:rPr>
                <w:rFonts w:ascii="宋体" w:hAnsi="宋体" w:eastAsia="宋体" w:cs="宋体"/>
                <w:sz w:val="18"/>
                <w:szCs w:val="18"/>
              </w:rPr>
              <w:t>(一)财政拨款小计</w:t>
            </w:r>
          </w:p>
        </w:tc>
        <w:tc>
          <w:tcPr>
            <w:tcW w:w="2295" w:type="dxa"/>
            <w:gridSpan w:val="2"/>
            <w:tcBorders>
              <w:top w:val="single" w:color="000000" w:sz="2" w:space="0"/>
              <w:bottom w:val="single" w:color="000000" w:sz="2" w:space="0"/>
            </w:tcBorders>
            <w:vAlign w:val="center"/>
          </w:tcPr>
          <w:p w14:paraId="67C0DB3B">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1736" w:type="dxa"/>
            <w:tcBorders>
              <w:top w:val="single" w:color="000000" w:sz="2" w:space="0"/>
              <w:bottom w:val="single" w:color="000000" w:sz="2" w:space="0"/>
            </w:tcBorders>
            <w:vAlign w:val="center"/>
          </w:tcPr>
          <w:p w14:paraId="6C94AE26">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2050" w:type="dxa"/>
            <w:tcBorders>
              <w:top w:val="single" w:color="000000" w:sz="2" w:space="0"/>
              <w:bottom w:val="single" w:color="000000" w:sz="2" w:space="0"/>
            </w:tcBorders>
            <w:vAlign w:val="center"/>
          </w:tcPr>
          <w:p w14:paraId="361269B8">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2CB3C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619" w:type="dxa"/>
            <w:gridSpan w:val="2"/>
            <w:vMerge w:val="continue"/>
            <w:tcBorders>
              <w:top w:val="nil"/>
              <w:bottom w:val="nil"/>
            </w:tcBorders>
            <w:vAlign w:val="center"/>
          </w:tcPr>
          <w:p w14:paraId="38394ECC">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14:paraId="761FFC45">
            <w:pPr>
              <w:spacing w:before="72" w:line="360" w:lineRule="auto"/>
              <w:ind w:firstLine="162"/>
              <w:jc w:val="center"/>
              <w:rPr>
                <w:rFonts w:ascii="宋体" w:hAnsi="宋体" w:eastAsia="宋体" w:cs="宋体"/>
                <w:sz w:val="18"/>
                <w:szCs w:val="18"/>
              </w:rPr>
            </w:pPr>
            <w:r>
              <w:rPr>
                <w:rFonts w:ascii="宋体" w:hAnsi="宋体" w:eastAsia="宋体" w:cs="宋体"/>
                <w:spacing w:val="1"/>
                <w:sz w:val="18"/>
                <w:szCs w:val="18"/>
              </w:rPr>
              <w:t>1.一般公共预算</w:t>
            </w:r>
          </w:p>
        </w:tc>
        <w:tc>
          <w:tcPr>
            <w:tcW w:w="2295" w:type="dxa"/>
            <w:gridSpan w:val="2"/>
            <w:tcBorders>
              <w:top w:val="single" w:color="000000" w:sz="2" w:space="0"/>
              <w:bottom w:val="single" w:color="000000" w:sz="2" w:space="0"/>
            </w:tcBorders>
            <w:vAlign w:val="center"/>
          </w:tcPr>
          <w:p w14:paraId="272D4009">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1736" w:type="dxa"/>
            <w:tcBorders>
              <w:top w:val="single" w:color="000000" w:sz="2" w:space="0"/>
              <w:bottom w:val="single" w:color="000000" w:sz="2" w:space="0"/>
            </w:tcBorders>
            <w:vAlign w:val="center"/>
          </w:tcPr>
          <w:p w14:paraId="5A63FC73">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2050" w:type="dxa"/>
            <w:tcBorders>
              <w:top w:val="single" w:color="000000" w:sz="2" w:space="0"/>
              <w:bottom w:val="single" w:color="000000" w:sz="2" w:space="0"/>
            </w:tcBorders>
            <w:vAlign w:val="center"/>
          </w:tcPr>
          <w:p w14:paraId="40C399C9">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1D330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619" w:type="dxa"/>
            <w:gridSpan w:val="2"/>
            <w:vMerge w:val="continue"/>
            <w:tcBorders>
              <w:top w:val="nil"/>
              <w:bottom w:val="nil"/>
            </w:tcBorders>
            <w:vAlign w:val="center"/>
          </w:tcPr>
          <w:p w14:paraId="74F210BD">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14:paraId="18D8A36D">
            <w:pPr>
              <w:spacing w:before="61" w:line="360" w:lineRule="auto"/>
              <w:ind w:firstLine="162"/>
              <w:jc w:val="center"/>
              <w:rPr>
                <w:rFonts w:ascii="宋体" w:hAnsi="宋体" w:eastAsia="宋体" w:cs="宋体"/>
                <w:sz w:val="18"/>
                <w:szCs w:val="18"/>
              </w:rPr>
            </w:pPr>
            <w:r>
              <w:rPr>
                <w:rFonts w:ascii="宋体" w:hAnsi="宋体" w:eastAsia="宋体" w:cs="宋体"/>
                <w:spacing w:val="-2"/>
                <w:sz w:val="18"/>
                <w:szCs w:val="18"/>
              </w:rPr>
              <w:t>2.政府性基金</w:t>
            </w:r>
          </w:p>
        </w:tc>
        <w:tc>
          <w:tcPr>
            <w:tcW w:w="2295" w:type="dxa"/>
            <w:gridSpan w:val="2"/>
            <w:tcBorders>
              <w:top w:val="single" w:color="000000" w:sz="2" w:space="0"/>
              <w:bottom w:val="single" w:color="000000" w:sz="2" w:space="0"/>
            </w:tcBorders>
            <w:vAlign w:val="center"/>
          </w:tcPr>
          <w:p w14:paraId="5FDB8B4F">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736" w:type="dxa"/>
            <w:tcBorders>
              <w:top w:val="single" w:color="000000" w:sz="2" w:space="0"/>
              <w:bottom w:val="single" w:color="000000" w:sz="2" w:space="0"/>
            </w:tcBorders>
            <w:vAlign w:val="center"/>
          </w:tcPr>
          <w:p w14:paraId="05FA7811">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050" w:type="dxa"/>
            <w:tcBorders>
              <w:top w:val="single" w:color="000000" w:sz="2" w:space="0"/>
              <w:bottom w:val="single" w:color="000000" w:sz="2" w:space="0"/>
            </w:tcBorders>
            <w:vAlign w:val="center"/>
          </w:tcPr>
          <w:p w14:paraId="0E13E147">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3B86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619" w:type="dxa"/>
            <w:gridSpan w:val="2"/>
            <w:vMerge w:val="continue"/>
            <w:tcBorders>
              <w:top w:val="nil"/>
              <w:bottom w:val="nil"/>
            </w:tcBorders>
            <w:vAlign w:val="center"/>
          </w:tcPr>
          <w:p w14:paraId="274A5F80">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14:paraId="61F684E7">
            <w:pPr>
              <w:spacing w:before="102" w:line="360" w:lineRule="auto"/>
              <w:ind w:firstLine="162"/>
              <w:jc w:val="center"/>
              <w:rPr>
                <w:rFonts w:ascii="宋体" w:hAnsi="宋体" w:eastAsia="宋体" w:cs="宋体"/>
                <w:sz w:val="18"/>
                <w:szCs w:val="18"/>
              </w:rPr>
            </w:pPr>
            <w:r>
              <w:rPr>
                <w:rFonts w:ascii="宋体" w:hAnsi="宋体" w:eastAsia="宋体" w:cs="宋体"/>
                <w:spacing w:val="-1"/>
                <w:sz w:val="18"/>
                <w:szCs w:val="18"/>
              </w:rPr>
              <w:t>3.国有资本经营预算</w:t>
            </w:r>
          </w:p>
        </w:tc>
        <w:tc>
          <w:tcPr>
            <w:tcW w:w="2295" w:type="dxa"/>
            <w:gridSpan w:val="2"/>
            <w:tcBorders>
              <w:top w:val="single" w:color="000000" w:sz="2" w:space="0"/>
              <w:bottom w:val="single" w:color="000000" w:sz="2" w:space="0"/>
            </w:tcBorders>
            <w:vAlign w:val="center"/>
          </w:tcPr>
          <w:p w14:paraId="6E941D69">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736" w:type="dxa"/>
            <w:tcBorders>
              <w:top w:val="single" w:color="000000" w:sz="2" w:space="0"/>
              <w:bottom w:val="single" w:color="000000" w:sz="2" w:space="0"/>
            </w:tcBorders>
            <w:vAlign w:val="center"/>
          </w:tcPr>
          <w:p w14:paraId="1161104F">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050" w:type="dxa"/>
            <w:tcBorders>
              <w:top w:val="single" w:color="000000" w:sz="2" w:space="0"/>
              <w:bottom w:val="single" w:color="000000" w:sz="2" w:space="0"/>
            </w:tcBorders>
            <w:vAlign w:val="center"/>
          </w:tcPr>
          <w:p w14:paraId="41AA270D">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48675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619" w:type="dxa"/>
            <w:gridSpan w:val="2"/>
            <w:vMerge w:val="continue"/>
            <w:tcBorders>
              <w:top w:val="nil"/>
              <w:bottom w:val="nil"/>
            </w:tcBorders>
            <w:vAlign w:val="center"/>
          </w:tcPr>
          <w:p w14:paraId="47EA1673">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14:paraId="4FA750EF">
            <w:pPr>
              <w:spacing w:before="73" w:line="360" w:lineRule="auto"/>
              <w:ind w:firstLine="162"/>
              <w:jc w:val="center"/>
              <w:rPr>
                <w:rFonts w:ascii="宋体" w:hAnsi="宋体" w:eastAsia="宋体" w:cs="宋体"/>
                <w:sz w:val="18"/>
                <w:szCs w:val="18"/>
              </w:rPr>
            </w:pPr>
            <w:r>
              <w:rPr>
                <w:rFonts w:ascii="宋体" w:hAnsi="宋体" w:eastAsia="宋体" w:cs="宋体"/>
                <w:spacing w:val="-1"/>
                <w:sz w:val="18"/>
                <w:szCs w:val="18"/>
              </w:rPr>
              <w:t>4.社保基金</w:t>
            </w:r>
          </w:p>
        </w:tc>
        <w:tc>
          <w:tcPr>
            <w:tcW w:w="2295" w:type="dxa"/>
            <w:gridSpan w:val="2"/>
            <w:tcBorders>
              <w:top w:val="single" w:color="000000" w:sz="2" w:space="0"/>
              <w:bottom w:val="single" w:color="000000" w:sz="2" w:space="0"/>
            </w:tcBorders>
            <w:vAlign w:val="center"/>
          </w:tcPr>
          <w:p w14:paraId="0CDDA425">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736" w:type="dxa"/>
            <w:tcBorders>
              <w:top w:val="single" w:color="000000" w:sz="2" w:space="0"/>
              <w:bottom w:val="single" w:color="000000" w:sz="2" w:space="0"/>
            </w:tcBorders>
            <w:vAlign w:val="center"/>
          </w:tcPr>
          <w:p w14:paraId="5F8832D9">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050" w:type="dxa"/>
            <w:tcBorders>
              <w:top w:val="single" w:color="000000" w:sz="2" w:space="0"/>
              <w:bottom w:val="single" w:color="000000" w:sz="2" w:space="0"/>
            </w:tcBorders>
            <w:vAlign w:val="center"/>
          </w:tcPr>
          <w:p w14:paraId="7FE8FA99">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70EE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619" w:type="dxa"/>
            <w:gridSpan w:val="2"/>
            <w:vMerge w:val="continue"/>
            <w:tcBorders>
              <w:top w:val="nil"/>
              <w:bottom w:val="single" w:color="000000" w:sz="2" w:space="0"/>
            </w:tcBorders>
            <w:vAlign w:val="center"/>
          </w:tcPr>
          <w:p w14:paraId="7937BD39">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14:paraId="5DA89D64">
            <w:pPr>
              <w:spacing w:before="63" w:line="360" w:lineRule="auto"/>
              <w:ind w:firstLine="162"/>
              <w:jc w:val="center"/>
              <w:rPr>
                <w:rFonts w:ascii="宋体" w:hAnsi="宋体" w:eastAsia="宋体" w:cs="宋体"/>
                <w:sz w:val="18"/>
                <w:szCs w:val="18"/>
              </w:rPr>
            </w:pPr>
            <w:r>
              <w:rPr>
                <w:rFonts w:ascii="宋体" w:hAnsi="宋体" w:eastAsia="宋体" w:cs="宋体"/>
                <w:spacing w:val="1"/>
                <w:sz w:val="18"/>
                <w:szCs w:val="18"/>
              </w:rPr>
              <w:t>(二)其他资金</w:t>
            </w:r>
          </w:p>
        </w:tc>
        <w:tc>
          <w:tcPr>
            <w:tcW w:w="2295" w:type="dxa"/>
            <w:gridSpan w:val="2"/>
            <w:tcBorders>
              <w:top w:val="single" w:color="000000" w:sz="2" w:space="0"/>
              <w:bottom w:val="single" w:color="000000" w:sz="2" w:space="0"/>
            </w:tcBorders>
            <w:vAlign w:val="center"/>
          </w:tcPr>
          <w:p w14:paraId="60CA6554">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736" w:type="dxa"/>
            <w:tcBorders>
              <w:top w:val="single" w:color="000000" w:sz="2" w:space="0"/>
              <w:bottom w:val="single" w:color="000000" w:sz="2" w:space="0"/>
            </w:tcBorders>
            <w:vAlign w:val="center"/>
          </w:tcPr>
          <w:p w14:paraId="24578467">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050" w:type="dxa"/>
            <w:tcBorders>
              <w:top w:val="single" w:color="000000" w:sz="2" w:space="0"/>
              <w:bottom w:val="single" w:color="000000" w:sz="2" w:space="0"/>
            </w:tcBorders>
            <w:vAlign w:val="center"/>
          </w:tcPr>
          <w:p w14:paraId="08C70ABD">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70EA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847" w:type="dxa"/>
            <w:vMerge w:val="restart"/>
            <w:tcBorders>
              <w:top w:val="single" w:color="000000" w:sz="2" w:space="0"/>
              <w:bottom w:val="nil"/>
            </w:tcBorders>
            <w:vAlign w:val="center"/>
          </w:tcPr>
          <w:p w14:paraId="285CF7A7">
            <w:pPr>
              <w:spacing w:line="360" w:lineRule="auto"/>
              <w:jc w:val="center"/>
              <w:rPr>
                <w:rFonts w:ascii="Arial"/>
                <w:sz w:val="21"/>
              </w:rPr>
            </w:pPr>
          </w:p>
          <w:p w14:paraId="5764E0A2">
            <w:pPr>
              <w:spacing w:before="58" w:line="360" w:lineRule="auto"/>
              <w:ind w:left="274" w:right="46" w:hanging="219"/>
              <w:jc w:val="center"/>
              <w:rPr>
                <w:rFonts w:ascii="宋体" w:hAnsi="宋体" w:eastAsia="宋体" w:cs="宋体"/>
                <w:spacing w:val="-2"/>
                <w:sz w:val="18"/>
                <w:szCs w:val="18"/>
              </w:rPr>
            </w:pPr>
            <w:r>
              <w:rPr>
                <w:rFonts w:ascii="宋体" w:hAnsi="宋体" w:eastAsia="宋体" w:cs="宋体"/>
                <w:spacing w:val="-2"/>
                <w:sz w:val="18"/>
                <w:szCs w:val="18"/>
              </w:rPr>
              <w:t>年度总体</w:t>
            </w:r>
          </w:p>
          <w:p w14:paraId="1D236058">
            <w:pPr>
              <w:spacing w:before="58" w:line="360" w:lineRule="auto"/>
              <w:ind w:left="274" w:right="46" w:hanging="219"/>
              <w:jc w:val="center"/>
              <w:rPr>
                <w:rFonts w:ascii="宋体" w:hAnsi="宋体" w:eastAsia="宋体" w:cs="宋体"/>
                <w:sz w:val="18"/>
                <w:szCs w:val="18"/>
              </w:rPr>
            </w:pPr>
            <w:r>
              <w:rPr>
                <w:rFonts w:hint="eastAsia" w:ascii="宋体" w:hAnsi="宋体" w:eastAsia="宋体" w:cs="宋体"/>
                <w:spacing w:val="-2"/>
                <w:sz w:val="18"/>
                <w:szCs w:val="18"/>
                <w:lang w:val="en-US" w:eastAsia="zh-CN"/>
              </w:rPr>
              <w:t>目标</w:t>
            </w:r>
          </w:p>
        </w:tc>
        <w:tc>
          <w:tcPr>
            <w:tcW w:w="5126" w:type="dxa"/>
            <w:gridSpan w:val="5"/>
            <w:tcBorders>
              <w:top w:val="single" w:color="000000" w:sz="2" w:space="0"/>
              <w:bottom w:val="single" w:color="000000" w:sz="2" w:space="0"/>
            </w:tcBorders>
            <w:vAlign w:val="center"/>
          </w:tcPr>
          <w:p w14:paraId="071DF333">
            <w:pPr>
              <w:spacing w:before="173" w:line="360" w:lineRule="auto"/>
              <w:ind w:firstLine="2120"/>
              <w:jc w:val="both"/>
              <w:rPr>
                <w:rFonts w:ascii="宋体" w:hAnsi="宋体" w:eastAsia="宋体" w:cs="宋体"/>
                <w:sz w:val="18"/>
                <w:szCs w:val="18"/>
              </w:rPr>
            </w:pPr>
            <w:r>
              <w:rPr>
                <w:rFonts w:ascii="宋体" w:hAnsi="宋体" w:eastAsia="宋体" w:cs="宋体"/>
                <w:spacing w:val="-2"/>
                <w:sz w:val="18"/>
                <w:szCs w:val="18"/>
              </w:rPr>
              <w:t>预期目标</w:t>
            </w:r>
          </w:p>
        </w:tc>
        <w:tc>
          <w:tcPr>
            <w:tcW w:w="3786" w:type="dxa"/>
            <w:gridSpan w:val="2"/>
            <w:tcBorders>
              <w:top w:val="single" w:color="000000" w:sz="2" w:space="0"/>
              <w:bottom w:val="single" w:color="000000" w:sz="2" w:space="0"/>
            </w:tcBorders>
            <w:vAlign w:val="center"/>
          </w:tcPr>
          <w:p w14:paraId="511414BD">
            <w:pPr>
              <w:spacing w:before="173" w:line="360" w:lineRule="auto"/>
              <w:ind w:firstLine="1287"/>
              <w:jc w:val="both"/>
              <w:rPr>
                <w:rFonts w:ascii="宋体" w:hAnsi="宋体" w:eastAsia="宋体" w:cs="宋体"/>
                <w:sz w:val="18"/>
                <w:szCs w:val="18"/>
              </w:rPr>
            </w:pPr>
            <w:r>
              <w:rPr>
                <w:rFonts w:ascii="宋体" w:hAnsi="宋体" w:eastAsia="宋体" w:cs="宋体"/>
                <w:spacing w:val="-2"/>
                <w:sz w:val="18"/>
                <w:szCs w:val="18"/>
              </w:rPr>
              <w:t>实际完成情况</w:t>
            </w:r>
          </w:p>
        </w:tc>
      </w:tr>
      <w:tr w14:paraId="4F985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7" w:hRule="atLeast"/>
        </w:trPr>
        <w:tc>
          <w:tcPr>
            <w:tcW w:w="847" w:type="dxa"/>
            <w:vMerge w:val="continue"/>
            <w:tcBorders>
              <w:top w:val="nil"/>
              <w:bottom w:val="single" w:color="auto" w:sz="4" w:space="0"/>
            </w:tcBorders>
            <w:vAlign w:val="center"/>
          </w:tcPr>
          <w:p w14:paraId="6F2167C1">
            <w:pPr>
              <w:spacing w:line="360" w:lineRule="auto"/>
              <w:jc w:val="center"/>
              <w:rPr>
                <w:rFonts w:ascii="Arial"/>
                <w:sz w:val="21"/>
              </w:rPr>
            </w:pPr>
          </w:p>
        </w:tc>
        <w:tc>
          <w:tcPr>
            <w:tcW w:w="5126" w:type="dxa"/>
            <w:gridSpan w:val="5"/>
            <w:tcBorders>
              <w:top w:val="single" w:color="000000" w:sz="2" w:space="0"/>
              <w:bottom w:val="single" w:color="auto" w:sz="4" w:space="0"/>
            </w:tcBorders>
            <w:vAlign w:val="center"/>
          </w:tcPr>
          <w:p w14:paraId="5EA3726E">
            <w:pPr>
              <w:spacing w:line="360" w:lineRule="auto"/>
              <w:ind w:firstLine="420" w:firstLineChars="200"/>
              <w:jc w:val="both"/>
              <w:rPr>
                <w:rFonts w:hint="default" w:ascii="Arial"/>
                <w:sz w:val="21"/>
                <w:lang w:val="en-US"/>
              </w:rPr>
            </w:pPr>
            <w:r>
              <w:rPr>
                <w:rFonts w:hint="default" w:ascii="Arial"/>
                <w:sz w:val="21"/>
                <w:lang w:val="en-US"/>
              </w:rPr>
              <w:t>区内新闻宣传总成本控制数</w:t>
            </w:r>
            <w:r>
              <w:rPr>
                <w:rFonts w:hint="default" w:ascii="Arial"/>
                <w:sz w:val="21"/>
                <w:lang w:val="en-US" w:eastAsia="zh-CN"/>
              </w:rPr>
              <w:t>少于15万元每年，记者安全工作率达100%，内宣稿件合格率、稿件宣推及时率、稿件报道转发率均达90%以上，</w:t>
            </w:r>
            <w:r>
              <w:rPr>
                <w:rFonts w:hint="default" w:ascii="Arial"/>
                <w:sz w:val="21"/>
                <w:lang w:val="en-US"/>
              </w:rPr>
              <w:t>记者站聘用人员满意度</w:t>
            </w:r>
            <w:r>
              <w:rPr>
                <w:rFonts w:hint="default" w:ascii="Arial"/>
                <w:sz w:val="21"/>
                <w:lang w:val="en-US" w:eastAsia="zh-CN"/>
              </w:rPr>
              <w:t>达9</w:t>
            </w:r>
            <w:r>
              <w:rPr>
                <w:rFonts w:hint="default" w:ascii="Arial"/>
                <w:sz w:val="21"/>
                <w:lang w:val="en-US"/>
              </w:rPr>
              <w:t>0%</w:t>
            </w:r>
            <w:r>
              <w:rPr>
                <w:rFonts w:hint="default" w:ascii="Arial"/>
                <w:sz w:val="21"/>
                <w:lang w:val="en-US" w:eastAsia="zh-CN"/>
              </w:rPr>
              <w:t>以上，年撰写稿件数不少于600件，年度优秀新闻获奖数不少于5件</w:t>
            </w:r>
            <w:r>
              <w:rPr>
                <w:rFonts w:hint="default" w:ascii="Arial"/>
                <w:sz w:val="21"/>
                <w:lang w:val="en-US"/>
              </w:rPr>
              <w:t>。</w:t>
            </w:r>
          </w:p>
        </w:tc>
        <w:tc>
          <w:tcPr>
            <w:tcW w:w="3786" w:type="dxa"/>
            <w:gridSpan w:val="2"/>
            <w:tcBorders>
              <w:top w:val="single" w:color="000000" w:sz="2" w:space="0"/>
              <w:bottom w:val="single" w:color="auto" w:sz="4" w:space="0"/>
            </w:tcBorders>
            <w:vAlign w:val="center"/>
          </w:tcPr>
          <w:p w14:paraId="3DEF0837">
            <w:pPr>
              <w:spacing w:line="360" w:lineRule="auto"/>
              <w:ind w:firstLine="420" w:firstLineChars="200"/>
              <w:jc w:val="both"/>
              <w:rPr>
                <w:rFonts w:hint="default" w:ascii="Arial" w:eastAsia="宋体"/>
                <w:sz w:val="21"/>
                <w:lang w:val="en-US" w:eastAsia="zh-CN"/>
              </w:rPr>
            </w:pPr>
            <w:r>
              <w:rPr>
                <w:rFonts w:hint="default" w:ascii="Arial" w:eastAsia="宋体"/>
                <w:sz w:val="21"/>
                <w:lang w:val="en-US" w:eastAsia="zh-CN"/>
              </w:rPr>
              <w:t>2022年区内新闻宣传总成本控制数15万元，记者安全工作率达100%，内宣稿件合格率、稿件宣推及时率、稿件报道转发率均达95%，记者站聘用人员满意度达95%，年撰写稿件数达1800件，年度优秀新闻获奖数15件。</w:t>
            </w:r>
          </w:p>
        </w:tc>
      </w:tr>
      <w:tr w14:paraId="39852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14:paraId="1CD358AE">
            <w:pPr>
              <w:spacing w:line="360" w:lineRule="auto"/>
              <w:jc w:val="center"/>
              <w:rPr>
                <w:rFonts w:ascii="Arial"/>
                <w:sz w:val="21"/>
              </w:rPr>
            </w:pPr>
          </w:p>
          <w:p w14:paraId="0D139D2B">
            <w:pPr>
              <w:spacing w:line="360" w:lineRule="auto"/>
              <w:jc w:val="center"/>
              <w:rPr>
                <w:rFonts w:ascii="Arial"/>
                <w:sz w:val="21"/>
              </w:rPr>
            </w:pPr>
          </w:p>
          <w:p w14:paraId="5C4C28D2">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绩</w:t>
            </w:r>
          </w:p>
          <w:p w14:paraId="619559F3">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效</w:t>
            </w:r>
          </w:p>
          <w:p w14:paraId="1DAE080D">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指</w:t>
            </w:r>
          </w:p>
          <w:p w14:paraId="23D16A78">
            <w:pPr>
              <w:spacing w:before="59" w:line="360" w:lineRule="auto"/>
              <w:ind w:firstLine="55"/>
              <w:jc w:val="center"/>
              <w:rPr>
                <w:rFonts w:ascii="宋体" w:hAnsi="宋体" w:eastAsia="宋体" w:cs="宋体"/>
                <w:sz w:val="18"/>
                <w:szCs w:val="18"/>
              </w:rPr>
            </w:pPr>
            <w:r>
              <w:rPr>
                <w:rFonts w:ascii="宋体" w:hAnsi="宋体" w:eastAsia="宋体" w:cs="宋体"/>
                <w:spacing w:val="-2"/>
                <w:sz w:val="18"/>
                <w:szCs w:val="18"/>
              </w:rPr>
              <w:t>标</w:t>
            </w:r>
          </w:p>
        </w:tc>
        <w:tc>
          <w:tcPr>
            <w:tcW w:w="772" w:type="dxa"/>
            <w:tcBorders>
              <w:top w:val="single" w:color="auto" w:sz="4" w:space="0"/>
              <w:left w:val="single" w:color="auto" w:sz="4" w:space="0"/>
              <w:bottom w:val="single" w:color="auto" w:sz="4" w:space="0"/>
              <w:right w:val="single" w:color="auto" w:sz="4" w:space="0"/>
            </w:tcBorders>
            <w:vAlign w:val="center"/>
          </w:tcPr>
          <w:p w14:paraId="16D52CB2">
            <w:pPr>
              <w:spacing w:before="57" w:line="360" w:lineRule="auto"/>
              <w:ind w:firstLine="180"/>
              <w:jc w:val="center"/>
              <w:rPr>
                <w:rFonts w:ascii="宋体" w:hAnsi="宋体" w:eastAsia="宋体" w:cs="宋体"/>
                <w:sz w:val="18"/>
                <w:szCs w:val="18"/>
              </w:rPr>
            </w:pPr>
            <w:r>
              <w:rPr>
                <w:rFonts w:ascii="宋体" w:hAnsi="宋体" w:eastAsia="宋体" w:cs="宋体"/>
                <w:spacing w:val="5"/>
                <w:sz w:val="18"/>
                <w:szCs w:val="18"/>
              </w:rPr>
              <w:t>一级</w:t>
            </w:r>
          </w:p>
          <w:p w14:paraId="0868FD38">
            <w:pPr>
              <w:spacing w:line="360" w:lineRule="auto"/>
              <w:ind w:firstLine="180"/>
              <w:jc w:val="center"/>
              <w:rPr>
                <w:rFonts w:ascii="宋体" w:hAnsi="宋体" w:eastAsia="宋体" w:cs="宋体"/>
                <w:sz w:val="18"/>
                <w:szCs w:val="18"/>
              </w:rPr>
            </w:pPr>
            <w:r>
              <w:rPr>
                <w:rFonts w:ascii="宋体" w:hAnsi="宋体" w:eastAsia="宋体" w:cs="宋体"/>
                <w:spacing w:val="-3"/>
                <w:sz w:val="18"/>
                <w:szCs w:val="18"/>
              </w:rPr>
              <w:t>指标</w:t>
            </w:r>
          </w:p>
        </w:tc>
        <w:tc>
          <w:tcPr>
            <w:tcW w:w="1257" w:type="dxa"/>
            <w:tcBorders>
              <w:top w:val="single" w:color="auto" w:sz="4" w:space="0"/>
              <w:left w:val="single" w:color="auto" w:sz="4" w:space="0"/>
              <w:bottom w:val="single" w:color="auto" w:sz="4" w:space="0"/>
              <w:right w:val="single" w:color="auto" w:sz="4" w:space="0"/>
            </w:tcBorders>
            <w:vAlign w:val="center"/>
          </w:tcPr>
          <w:p w14:paraId="22B95ED3">
            <w:pPr>
              <w:spacing w:before="145" w:line="360" w:lineRule="auto"/>
              <w:ind w:firstLine="102"/>
              <w:jc w:val="center"/>
              <w:rPr>
                <w:rFonts w:ascii="宋体" w:hAnsi="宋体" w:eastAsia="宋体" w:cs="宋体"/>
                <w:sz w:val="18"/>
                <w:szCs w:val="18"/>
              </w:rPr>
            </w:pPr>
            <w:r>
              <w:rPr>
                <w:rFonts w:ascii="宋体" w:hAnsi="宋体" w:eastAsia="宋体" w:cs="宋体"/>
                <w:spacing w:val="-2"/>
                <w:sz w:val="18"/>
                <w:szCs w:val="18"/>
              </w:rPr>
              <w:t>二级指标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59BA30EE">
            <w:pPr>
              <w:spacing w:before="145" w:line="360" w:lineRule="auto"/>
              <w:ind w:firstLine="493"/>
              <w:jc w:val="both"/>
              <w:rPr>
                <w:rFonts w:ascii="宋体" w:hAnsi="宋体" w:eastAsia="宋体" w:cs="宋体"/>
                <w:sz w:val="18"/>
                <w:szCs w:val="18"/>
              </w:rPr>
            </w:pPr>
            <w:r>
              <w:rPr>
                <w:rFonts w:ascii="宋体" w:hAnsi="宋体" w:eastAsia="宋体" w:cs="宋体"/>
                <w:spacing w:val="-2"/>
                <w:sz w:val="18"/>
                <w:szCs w:val="18"/>
              </w:rPr>
              <w:t>三级指标</w:t>
            </w:r>
          </w:p>
        </w:tc>
        <w:tc>
          <w:tcPr>
            <w:tcW w:w="1097" w:type="dxa"/>
            <w:tcBorders>
              <w:top w:val="single" w:color="auto" w:sz="4" w:space="0"/>
              <w:left w:val="single" w:color="auto" w:sz="4" w:space="0"/>
              <w:bottom w:val="single" w:color="auto" w:sz="4" w:space="0"/>
              <w:right w:val="single" w:color="auto" w:sz="4" w:space="0"/>
            </w:tcBorders>
            <w:vAlign w:val="center"/>
          </w:tcPr>
          <w:p w14:paraId="15E57EBB">
            <w:pPr>
              <w:spacing w:before="145" w:line="360" w:lineRule="auto"/>
              <w:jc w:val="center"/>
              <w:rPr>
                <w:rFonts w:ascii="宋体" w:hAnsi="宋体" w:eastAsia="宋体" w:cs="宋体"/>
                <w:sz w:val="18"/>
                <w:szCs w:val="18"/>
              </w:rPr>
            </w:pPr>
            <w:r>
              <w:rPr>
                <w:rFonts w:ascii="宋体" w:hAnsi="宋体" w:eastAsia="宋体" w:cs="宋体"/>
                <w:spacing w:val="-2"/>
                <w:sz w:val="18"/>
                <w:szCs w:val="18"/>
              </w:rPr>
              <w:t>年度指标值</w:t>
            </w:r>
          </w:p>
        </w:tc>
        <w:tc>
          <w:tcPr>
            <w:tcW w:w="1736" w:type="dxa"/>
            <w:tcBorders>
              <w:top w:val="single" w:color="auto" w:sz="4" w:space="0"/>
              <w:left w:val="single" w:color="auto" w:sz="4" w:space="0"/>
              <w:bottom w:val="single" w:color="auto" w:sz="4" w:space="0"/>
              <w:right w:val="single" w:color="auto" w:sz="4" w:space="0"/>
            </w:tcBorders>
            <w:vAlign w:val="center"/>
          </w:tcPr>
          <w:p w14:paraId="075453F8">
            <w:pPr>
              <w:spacing w:before="145" w:line="360" w:lineRule="auto"/>
              <w:ind w:firstLine="386"/>
              <w:jc w:val="both"/>
              <w:rPr>
                <w:rFonts w:ascii="宋体" w:hAnsi="宋体" w:eastAsia="宋体" w:cs="宋体"/>
                <w:sz w:val="18"/>
                <w:szCs w:val="18"/>
              </w:rPr>
            </w:pPr>
            <w:r>
              <w:rPr>
                <w:rFonts w:ascii="宋体" w:hAnsi="宋体" w:eastAsia="宋体" w:cs="宋体"/>
                <w:spacing w:val="-2"/>
                <w:sz w:val="18"/>
                <w:szCs w:val="18"/>
              </w:rPr>
              <w:t>实际完成值</w:t>
            </w:r>
          </w:p>
        </w:tc>
        <w:tc>
          <w:tcPr>
            <w:tcW w:w="2050" w:type="dxa"/>
            <w:tcBorders>
              <w:top w:val="single" w:color="auto" w:sz="4" w:space="0"/>
              <w:left w:val="single" w:color="auto" w:sz="4" w:space="0"/>
              <w:bottom w:val="single" w:color="auto" w:sz="4" w:space="0"/>
              <w:right w:val="single" w:color="auto" w:sz="4" w:space="0"/>
            </w:tcBorders>
            <w:vAlign w:val="center"/>
          </w:tcPr>
          <w:p w14:paraId="113C4A9F">
            <w:pPr>
              <w:spacing w:before="145" w:line="360" w:lineRule="auto"/>
              <w:ind w:firstLine="48"/>
              <w:jc w:val="center"/>
              <w:rPr>
                <w:rFonts w:ascii="宋体" w:hAnsi="宋体" w:eastAsia="宋体" w:cs="宋体"/>
                <w:sz w:val="17"/>
                <w:szCs w:val="17"/>
              </w:rPr>
            </w:pPr>
            <w:r>
              <w:rPr>
                <w:rFonts w:ascii="宋体" w:hAnsi="宋体" w:eastAsia="宋体" w:cs="宋体"/>
                <w:spacing w:val="4"/>
                <w:sz w:val="17"/>
                <w:szCs w:val="17"/>
              </w:rPr>
              <w:t>偏差原因分析及改进措施</w:t>
            </w:r>
          </w:p>
        </w:tc>
      </w:tr>
      <w:tr w14:paraId="2EEBF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6BDE670D">
            <w:pPr>
              <w:spacing w:line="360" w:lineRule="auto"/>
              <w:jc w:val="center"/>
              <w:rPr>
                <w:rFonts w:ascii="Arial"/>
                <w:sz w:val="21"/>
              </w:rPr>
            </w:pPr>
          </w:p>
        </w:tc>
        <w:tc>
          <w:tcPr>
            <w:tcW w:w="772" w:type="dxa"/>
            <w:vMerge w:val="restart"/>
            <w:tcBorders>
              <w:top w:val="single" w:color="auto" w:sz="4" w:space="0"/>
              <w:left w:val="single" w:color="auto" w:sz="4" w:space="0"/>
              <w:right w:val="single" w:color="auto" w:sz="4" w:space="0"/>
            </w:tcBorders>
            <w:vAlign w:val="center"/>
          </w:tcPr>
          <w:p w14:paraId="12E359BF">
            <w:pPr>
              <w:spacing w:line="360" w:lineRule="auto"/>
              <w:jc w:val="center"/>
              <w:rPr>
                <w:rFonts w:ascii="Arial"/>
                <w:sz w:val="21"/>
              </w:rPr>
            </w:pPr>
          </w:p>
          <w:p w14:paraId="261BEC87">
            <w:pPr>
              <w:spacing w:before="58" w:line="360" w:lineRule="auto"/>
              <w:ind w:firstLine="180"/>
              <w:jc w:val="center"/>
              <w:rPr>
                <w:rFonts w:ascii="宋体" w:hAnsi="宋体" w:eastAsia="宋体" w:cs="宋体"/>
                <w:sz w:val="18"/>
                <w:szCs w:val="18"/>
              </w:rPr>
            </w:pPr>
            <w:r>
              <w:rPr>
                <w:rFonts w:ascii="宋体" w:hAnsi="宋体" w:eastAsia="宋体" w:cs="宋体"/>
                <w:spacing w:val="10"/>
                <w:sz w:val="18"/>
                <w:szCs w:val="18"/>
              </w:rPr>
              <w:t>产出</w:t>
            </w:r>
          </w:p>
          <w:p w14:paraId="4BCEB6CD">
            <w:pPr>
              <w:spacing w:line="360" w:lineRule="auto"/>
              <w:ind w:firstLine="200"/>
              <w:jc w:val="center"/>
              <w:rPr>
                <w:rFonts w:ascii="宋体" w:hAnsi="宋体" w:eastAsia="宋体" w:cs="宋体"/>
                <w:sz w:val="18"/>
                <w:szCs w:val="18"/>
              </w:rPr>
            </w:pPr>
            <w:r>
              <w:rPr>
                <w:rFonts w:ascii="宋体" w:hAnsi="宋体" w:eastAsia="宋体" w:cs="宋体"/>
                <w:spacing w:val="-3"/>
                <w:sz w:val="18"/>
                <w:szCs w:val="18"/>
              </w:rPr>
              <w:t>指标</w:t>
            </w:r>
          </w:p>
        </w:tc>
        <w:tc>
          <w:tcPr>
            <w:tcW w:w="1257" w:type="dxa"/>
            <w:tcBorders>
              <w:top w:val="single" w:color="auto" w:sz="4" w:space="0"/>
              <w:left w:val="single" w:color="auto" w:sz="4" w:space="0"/>
              <w:bottom w:val="single" w:color="auto" w:sz="4" w:space="0"/>
              <w:right w:val="single" w:color="auto" w:sz="4" w:space="0"/>
            </w:tcBorders>
            <w:vAlign w:val="center"/>
          </w:tcPr>
          <w:p w14:paraId="60D2D3BB">
            <w:pPr>
              <w:spacing w:before="59" w:line="360" w:lineRule="auto"/>
              <w:jc w:val="center"/>
              <w:rPr>
                <w:rFonts w:ascii="宋体" w:hAnsi="宋体" w:eastAsia="宋体" w:cs="宋体"/>
                <w:sz w:val="18"/>
                <w:szCs w:val="18"/>
              </w:rPr>
            </w:pPr>
            <w:r>
              <w:rPr>
                <w:rFonts w:ascii="宋体" w:hAnsi="宋体" w:eastAsia="宋体" w:cs="宋体"/>
                <w:spacing w:val="-2"/>
                <w:sz w:val="18"/>
                <w:szCs w:val="18"/>
              </w:rPr>
              <w:t>数量指标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42A30B87">
            <w:pPr>
              <w:spacing w:before="75"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年撰写稿件数</w:t>
            </w:r>
          </w:p>
        </w:tc>
        <w:tc>
          <w:tcPr>
            <w:tcW w:w="1097" w:type="dxa"/>
            <w:tcBorders>
              <w:top w:val="single" w:color="auto" w:sz="4" w:space="0"/>
              <w:left w:val="single" w:color="auto" w:sz="4" w:space="0"/>
              <w:bottom w:val="single" w:color="auto" w:sz="4" w:space="0"/>
              <w:right w:val="single" w:color="auto" w:sz="4" w:space="0"/>
            </w:tcBorders>
            <w:vAlign w:val="center"/>
          </w:tcPr>
          <w:p w14:paraId="4AA4A5E7">
            <w:pPr>
              <w:spacing w:line="360" w:lineRule="auto"/>
              <w:jc w:val="center"/>
              <w:rPr>
                <w:rFonts w:hint="default" w:ascii="Arial"/>
                <w:sz w:val="21"/>
                <w:lang w:val="en-US"/>
              </w:rPr>
            </w:pP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i w:val="0"/>
                <w:iCs w:val="0"/>
                <w:color w:val="000000"/>
                <w:kern w:val="0"/>
                <w:sz w:val="20"/>
                <w:szCs w:val="20"/>
                <w:u w:val="none"/>
                <w:lang w:val="en-US" w:eastAsia="zh-CN" w:bidi="ar"/>
              </w:rPr>
              <w:t>600件</w:t>
            </w:r>
          </w:p>
        </w:tc>
        <w:tc>
          <w:tcPr>
            <w:tcW w:w="1736" w:type="dxa"/>
            <w:tcBorders>
              <w:top w:val="single" w:color="auto" w:sz="4" w:space="0"/>
              <w:left w:val="single" w:color="auto" w:sz="4" w:space="0"/>
              <w:bottom w:val="single" w:color="auto" w:sz="4" w:space="0"/>
              <w:right w:val="single" w:color="auto" w:sz="4" w:space="0"/>
            </w:tcBorders>
            <w:vAlign w:val="center"/>
          </w:tcPr>
          <w:p w14:paraId="6C87BBC0">
            <w:pPr>
              <w:keepNext w:val="0"/>
              <w:keepLines w:val="0"/>
              <w:widowControl/>
              <w:suppressLineNumbers w:val="0"/>
              <w:spacing w:line="360" w:lineRule="auto"/>
              <w:jc w:val="center"/>
              <w:textAlignment w:val="center"/>
              <w:rPr>
                <w:rFonts w:hint="default" w:ascii="Arial"/>
                <w:sz w:val="21"/>
                <w:lang w:val="en-US"/>
              </w:rPr>
            </w:pPr>
            <w:r>
              <w:rPr>
                <w:rFonts w:hint="eastAsia" w:ascii="宋体" w:hAnsi="宋体" w:eastAsia="宋体" w:cs="宋体"/>
                <w:i w:val="0"/>
                <w:iCs w:val="0"/>
                <w:color w:val="000000"/>
                <w:kern w:val="0"/>
                <w:sz w:val="20"/>
                <w:szCs w:val="20"/>
                <w:u w:val="none"/>
                <w:lang w:val="en-US" w:eastAsia="zh-CN" w:bidi="ar"/>
              </w:rPr>
              <w:t>1800件</w:t>
            </w:r>
          </w:p>
        </w:tc>
        <w:tc>
          <w:tcPr>
            <w:tcW w:w="2050" w:type="dxa"/>
            <w:tcBorders>
              <w:top w:val="single" w:color="auto" w:sz="4" w:space="0"/>
              <w:left w:val="single" w:color="auto" w:sz="4" w:space="0"/>
              <w:bottom w:val="single" w:color="auto" w:sz="4" w:space="0"/>
              <w:right w:val="single" w:color="auto" w:sz="4" w:space="0"/>
            </w:tcBorders>
            <w:vAlign w:val="center"/>
          </w:tcPr>
          <w:p w14:paraId="29CA7E0D">
            <w:pPr>
              <w:spacing w:line="360" w:lineRule="auto"/>
              <w:jc w:val="center"/>
              <w:rPr>
                <w:rFonts w:hint="eastAsia" w:ascii="Arial" w:eastAsia="宋体"/>
                <w:sz w:val="21"/>
                <w:lang w:val="en-US" w:eastAsia="zh-CN"/>
              </w:rPr>
            </w:pPr>
            <w:r>
              <w:rPr>
                <w:rFonts w:hint="eastAsia" w:eastAsia="宋体"/>
                <w:sz w:val="21"/>
                <w:lang w:val="en-US" w:eastAsia="zh-CN"/>
              </w:rPr>
              <w:t>无</w:t>
            </w:r>
          </w:p>
        </w:tc>
      </w:tr>
      <w:tr w14:paraId="5C09F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73E52CE2">
            <w:pPr>
              <w:spacing w:line="360" w:lineRule="auto"/>
              <w:jc w:val="center"/>
              <w:rPr>
                <w:rFonts w:ascii="Arial"/>
                <w:sz w:val="21"/>
              </w:rPr>
            </w:pPr>
          </w:p>
        </w:tc>
        <w:tc>
          <w:tcPr>
            <w:tcW w:w="772" w:type="dxa"/>
            <w:vMerge w:val="continue"/>
            <w:tcBorders>
              <w:left w:val="single" w:color="auto" w:sz="4" w:space="0"/>
              <w:right w:val="single" w:color="auto" w:sz="4" w:space="0"/>
            </w:tcBorders>
            <w:vAlign w:val="center"/>
          </w:tcPr>
          <w:p w14:paraId="2B3826B2">
            <w:pPr>
              <w:spacing w:line="360" w:lineRule="auto"/>
              <w:jc w:val="center"/>
              <w:rPr>
                <w:rFonts w:ascii="Arial"/>
                <w:sz w:val="21"/>
              </w:rPr>
            </w:pPr>
          </w:p>
        </w:tc>
        <w:tc>
          <w:tcPr>
            <w:tcW w:w="1257" w:type="dxa"/>
            <w:tcBorders>
              <w:top w:val="single" w:color="auto" w:sz="4" w:space="0"/>
              <w:left w:val="single" w:color="auto" w:sz="4" w:space="0"/>
              <w:bottom w:val="single" w:color="auto" w:sz="4" w:space="0"/>
              <w:right w:val="single" w:color="auto" w:sz="4" w:space="0"/>
            </w:tcBorders>
            <w:vAlign w:val="center"/>
          </w:tcPr>
          <w:p w14:paraId="52446EE5">
            <w:pPr>
              <w:spacing w:before="58" w:line="360" w:lineRule="auto"/>
              <w:jc w:val="center"/>
              <w:rPr>
                <w:rFonts w:ascii="宋体" w:hAnsi="宋体" w:eastAsia="宋体" w:cs="宋体"/>
                <w:sz w:val="18"/>
                <w:szCs w:val="18"/>
              </w:rPr>
            </w:pPr>
            <w:r>
              <w:rPr>
                <w:rFonts w:ascii="宋体" w:hAnsi="宋体" w:eastAsia="宋体" w:cs="宋体"/>
                <w:spacing w:val="-2"/>
                <w:sz w:val="18"/>
                <w:szCs w:val="18"/>
              </w:rPr>
              <w:t>质量指标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289B8015">
            <w:pPr>
              <w:spacing w:before="66" w:line="360" w:lineRule="auto"/>
              <w:ind w:firstLine="23"/>
              <w:jc w:val="center"/>
              <w:rPr>
                <w:rFonts w:hint="default" w:ascii="宋体" w:hAnsi="宋体" w:eastAsia="宋体" w:cs="宋体"/>
                <w:sz w:val="18"/>
                <w:szCs w:val="18"/>
                <w:lang w:val="en-US"/>
              </w:rPr>
            </w:pPr>
            <w:r>
              <w:rPr>
                <w:rFonts w:hint="eastAsia" w:ascii="宋体" w:hAnsi="宋体" w:eastAsia="宋体" w:cs="宋体"/>
                <w:sz w:val="18"/>
                <w:szCs w:val="18"/>
                <w:lang w:val="en-US" w:eastAsia="zh-CN"/>
              </w:rPr>
              <w:t>内宣稿件合格率</w:t>
            </w:r>
          </w:p>
        </w:tc>
        <w:tc>
          <w:tcPr>
            <w:tcW w:w="1097" w:type="dxa"/>
            <w:tcBorders>
              <w:top w:val="single" w:color="auto" w:sz="4" w:space="0"/>
              <w:left w:val="single" w:color="auto" w:sz="4" w:space="0"/>
              <w:bottom w:val="single" w:color="auto" w:sz="4" w:space="0"/>
              <w:right w:val="single" w:color="auto" w:sz="4" w:space="0"/>
            </w:tcBorders>
            <w:vAlign w:val="center"/>
          </w:tcPr>
          <w:p w14:paraId="73A95515">
            <w:pPr>
              <w:spacing w:line="360" w:lineRule="auto"/>
              <w:jc w:val="center"/>
              <w:rPr>
                <w:rFonts w:hint="default" w:ascii="宋体" w:hAnsi="宋体" w:eastAsia="宋体" w:cs="宋体"/>
                <w:sz w:val="21"/>
                <w:lang w:val="en-US" w:eastAsia="zh-CN"/>
              </w:rPr>
            </w:pPr>
            <w:r>
              <w:rPr>
                <w:rFonts w:hint="eastAsia" w:ascii="宋体" w:hAnsi="宋体" w:eastAsia="宋体" w:cs="宋体"/>
                <w:sz w:val="21"/>
                <w:lang w:val="en-US" w:eastAsia="zh-CN"/>
              </w:rPr>
              <w:t>≥90%</w:t>
            </w:r>
          </w:p>
        </w:tc>
        <w:tc>
          <w:tcPr>
            <w:tcW w:w="1736" w:type="dxa"/>
            <w:tcBorders>
              <w:top w:val="single" w:color="auto" w:sz="4" w:space="0"/>
              <w:left w:val="single" w:color="auto" w:sz="4" w:space="0"/>
              <w:bottom w:val="single" w:color="auto" w:sz="4" w:space="0"/>
              <w:right w:val="single" w:color="auto" w:sz="4" w:space="0"/>
            </w:tcBorders>
            <w:vAlign w:val="center"/>
          </w:tcPr>
          <w:p w14:paraId="15BA0102">
            <w:pPr>
              <w:spacing w:line="360" w:lineRule="auto"/>
              <w:jc w:val="center"/>
              <w:rPr>
                <w:rFonts w:hint="eastAsia" w:ascii="宋体" w:hAnsi="宋体" w:eastAsia="宋体" w:cs="宋体"/>
                <w:sz w:val="21"/>
                <w:lang w:val="en-US" w:eastAsia="zh-CN"/>
              </w:rPr>
            </w:pPr>
            <w:r>
              <w:rPr>
                <w:rFonts w:hint="eastAsia" w:ascii="宋体" w:hAnsi="宋体" w:eastAsia="宋体" w:cs="宋体"/>
                <w:sz w:val="21"/>
                <w:lang w:val="en-US" w:eastAsia="zh-CN"/>
              </w:rPr>
              <w:t>95%</w:t>
            </w:r>
          </w:p>
        </w:tc>
        <w:tc>
          <w:tcPr>
            <w:tcW w:w="2050" w:type="dxa"/>
            <w:tcBorders>
              <w:top w:val="single" w:color="auto" w:sz="4" w:space="0"/>
              <w:left w:val="single" w:color="auto" w:sz="4" w:space="0"/>
              <w:bottom w:val="single" w:color="auto" w:sz="4" w:space="0"/>
              <w:right w:val="single" w:color="auto" w:sz="4" w:space="0"/>
            </w:tcBorders>
            <w:vAlign w:val="center"/>
          </w:tcPr>
          <w:p w14:paraId="1695F249">
            <w:pPr>
              <w:spacing w:line="360" w:lineRule="auto"/>
              <w:jc w:val="center"/>
              <w:rPr>
                <w:rFonts w:ascii="Arial"/>
                <w:sz w:val="21"/>
              </w:rPr>
            </w:pPr>
            <w:r>
              <w:rPr>
                <w:rFonts w:hint="eastAsia" w:eastAsia="宋体"/>
                <w:sz w:val="21"/>
                <w:lang w:val="en-US" w:eastAsia="zh-CN"/>
              </w:rPr>
              <w:t>无</w:t>
            </w:r>
          </w:p>
        </w:tc>
      </w:tr>
      <w:tr w14:paraId="0B1BA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1A0C06A3">
            <w:pPr>
              <w:spacing w:line="360" w:lineRule="auto"/>
              <w:jc w:val="center"/>
              <w:rPr>
                <w:rFonts w:ascii="Arial"/>
                <w:sz w:val="21"/>
              </w:rPr>
            </w:pPr>
          </w:p>
        </w:tc>
        <w:tc>
          <w:tcPr>
            <w:tcW w:w="772" w:type="dxa"/>
            <w:vMerge w:val="continue"/>
            <w:tcBorders>
              <w:left w:val="single" w:color="auto" w:sz="4" w:space="0"/>
              <w:right w:val="single" w:color="auto" w:sz="4" w:space="0"/>
            </w:tcBorders>
            <w:vAlign w:val="center"/>
          </w:tcPr>
          <w:p w14:paraId="6C83E55D">
            <w:pPr>
              <w:spacing w:line="360" w:lineRule="auto"/>
              <w:jc w:val="center"/>
              <w:rPr>
                <w:rFonts w:ascii="Arial"/>
                <w:sz w:val="21"/>
              </w:rPr>
            </w:pPr>
          </w:p>
        </w:tc>
        <w:tc>
          <w:tcPr>
            <w:tcW w:w="1257" w:type="dxa"/>
            <w:tcBorders>
              <w:top w:val="single" w:color="auto" w:sz="4" w:space="0"/>
              <w:left w:val="single" w:color="auto" w:sz="4" w:space="0"/>
              <w:bottom w:val="single" w:color="auto" w:sz="4" w:space="0"/>
              <w:right w:val="single" w:color="auto" w:sz="4" w:space="0"/>
            </w:tcBorders>
            <w:vAlign w:val="center"/>
          </w:tcPr>
          <w:p w14:paraId="73560AFA">
            <w:pPr>
              <w:spacing w:before="58" w:line="360" w:lineRule="auto"/>
              <w:jc w:val="center"/>
              <w:rPr>
                <w:rFonts w:ascii="宋体" w:hAnsi="宋体" w:eastAsia="宋体" w:cs="宋体"/>
                <w:sz w:val="18"/>
                <w:szCs w:val="18"/>
              </w:rPr>
            </w:pPr>
            <w:r>
              <w:rPr>
                <w:rFonts w:ascii="宋体" w:hAnsi="宋体" w:eastAsia="宋体" w:cs="宋体"/>
                <w:spacing w:val="1"/>
                <w:sz w:val="18"/>
                <w:szCs w:val="18"/>
              </w:rPr>
              <w:t>时效指标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0E0AE540">
            <w:pPr>
              <w:spacing w:before="68"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稿件宣推及时率</w:t>
            </w:r>
          </w:p>
        </w:tc>
        <w:tc>
          <w:tcPr>
            <w:tcW w:w="1097" w:type="dxa"/>
            <w:tcBorders>
              <w:top w:val="single" w:color="auto" w:sz="4" w:space="0"/>
              <w:left w:val="single" w:color="auto" w:sz="4" w:space="0"/>
              <w:bottom w:val="single" w:color="auto" w:sz="4" w:space="0"/>
              <w:right w:val="single" w:color="auto" w:sz="4" w:space="0"/>
            </w:tcBorders>
            <w:vAlign w:val="center"/>
          </w:tcPr>
          <w:p w14:paraId="39BC81F7">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736" w:type="dxa"/>
            <w:tcBorders>
              <w:top w:val="single" w:color="auto" w:sz="4" w:space="0"/>
              <w:left w:val="single" w:color="auto" w:sz="4" w:space="0"/>
              <w:bottom w:val="single" w:color="auto" w:sz="4" w:space="0"/>
              <w:right w:val="single" w:color="auto" w:sz="4" w:space="0"/>
            </w:tcBorders>
            <w:vAlign w:val="center"/>
          </w:tcPr>
          <w:p w14:paraId="24B6BA43">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050" w:type="dxa"/>
            <w:tcBorders>
              <w:top w:val="single" w:color="auto" w:sz="4" w:space="0"/>
              <w:left w:val="single" w:color="auto" w:sz="4" w:space="0"/>
              <w:bottom w:val="single" w:color="auto" w:sz="4" w:space="0"/>
              <w:right w:val="single" w:color="auto" w:sz="4" w:space="0"/>
            </w:tcBorders>
            <w:vAlign w:val="center"/>
          </w:tcPr>
          <w:p w14:paraId="4B23D72B">
            <w:pPr>
              <w:spacing w:line="360" w:lineRule="auto"/>
              <w:jc w:val="center"/>
              <w:rPr>
                <w:rFonts w:ascii="Arial"/>
                <w:sz w:val="21"/>
              </w:rPr>
            </w:pPr>
            <w:r>
              <w:rPr>
                <w:rFonts w:hint="eastAsia" w:eastAsia="宋体"/>
                <w:sz w:val="21"/>
                <w:lang w:val="en-US" w:eastAsia="zh-CN"/>
              </w:rPr>
              <w:t>无</w:t>
            </w:r>
          </w:p>
        </w:tc>
      </w:tr>
      <w:tr w14:paraId="07760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6310EA80">
            <w:pPr>
              <w:spacing w:line="360" w:lineRule="auto"/>
              <w:jc w:val="center"/>
              <w:rPr>
                <w:rFonts w:ascii="Arial"/>
                <w:sz w:val="21"/>
              </w:rPr>
            </w:pPr>
          </w:p>
        </w:tc>
        <w:tc>
          <w:tcPr>
            <w:tcW w:w="772" w:type="dxa"/>
            <w:vMerge w:val="continue"/>
            <w:tcBorders>
              <w:left w:val="single" w:color="auto" w:sz="4" w:space="0"/>
              <w:right w:val="single" w:color="auto" w:sz="4" w:space="0"/>
            </w:tcBorders>
            <w:vAlign w:val="center"/>
          </w:tcPr>
          <w:p w14:paraId="229EB5AA">
            <w:pPr>
              <w:spacing w:line="360" w:lineRule="auto"/>
              <w:jc w:val="center"/>
              <w:rPr>
                <w:rFonts w:ascii="Arial"/>
                <w:sz w:val="21"/>
              </w:rPr>
            </w:pPr>
          </w:p>
        </w:tc>
        <w:tc>
          <w:tcPr>
            <w:tcW w:w="1257" w:type="dxa"/>
            <w:tcBorders>
              <w:top w:val="single" w:color="auto" w:sz="4" w:space="0"/>
              <w:left w:val="single" w:color="auto" w:sz="4" w:space="0"/>
              <w:bottom w:val="single" w:color="auto" w:sz="4" w:space="0"/>
              <w:right w:val="single" w:color="auto" w:sz="4" w:space="0"/>
            </w:tcBorders>
            <w:vAlign w:val="center"/>
          </w:tcPr>
          <w:p w14:paraId="23176971">
            <w:pPr>
              <w:spacing w:before="59" w:line="360" w:lineRule="auto"/>
              <w:jc w:val="center"/>
              <w:rPr>
                <w:rFonts w:ascii="宋体" w:hAnsi="宋体" w:eastAsia="宋体" w:cs="宋体"/>
                <w:sz w:val="18"/>
                <w:szCs w:val="18"/>
              </w:rPr>
            </w:pPr>
            <w:r>
              <w:rPr>
                <w:rFonts w:ascii="宋体" w:hAnsi="宋体" w:eastAsia="宋体" w:cs="宋体"/>
                <w:spacing w:val="-2"/>
                <w:sz w:val="18"/>
                <w:szCs w:val="18"/>
              </w:rPr>
              <w:t>成本指标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30896CC5">
            <w:pPr>
              <w:spacing w:before="77" w:line="360" w:lineRule="auto"/>
              <w:ind w:firstLine="23"/>
              <w:jc w:val="center"/>
              <w:rPr>
                <w:rFonts w:ascii="宋体" w:hAnsi="宋体" w:eastAsia="宋体" w:cs="宋体"/>
                <w:sz w:val="18"/>
                <w:szCs w:val="18"/>
              </w:rPr>
            </w:pPr>
            <w:r>
              <w:rPr>
                <w:rFonts w:hint="eastAsia" w:ascii="宋体" w:hAnsi="宋体" w:eastAsia="宋体" w:cs="宋体"/>
                <w:sz w:val="18"/>
                <w:szCs w:val="18"/>
              </w:rPr>
              <w:t>记者站聘用人员总成本控制数</w:t>
            </w:r>
          </w:p>
        </w:tc>
        <w:tc>
          <w:tcPr>
            <w:tcW w:w="1097" w:type="dxa"/>
            <w:tcBorders>
              <w:top w:val="single" w:color="auto" w:sz="4" w:space="0"/>
              <w:left w:val="single" w:color="auto" w:sz="4" w:space="0"/>
              <w:bottom w:val="single" w:color="auto" w:sz="4" w:space="0"/>
              <w:right w:val="single" w:color="auto" w:sz="4" w:space="0"/>
            </w:tcBorders>
            <w:vAlign w:val="center"/>
          </w:tcPr>
          <w:p w14:paraId="7A4AC5D4">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w:t>
            </w:r>
            <w:r>
              <w:rPr>
                <w:rFonts w:hint="eastAsia" w:ascii="宋体" w:hAnsi="宋体" w:eastAsia="宋体" w:cs="宋体"/>
                <w:i w:val="0"/>
                <w:iCs w:val="0"/>
                <w:color w:val="000000"/>
                <w:kern w:val="0"/>
                <w:sz w:val="20"/>
                <w:szCs w:val="20"/>
                <w:u w:val="none"/>
                <w:lang w:val="en-US" w:eastAsia="zh-CN" w:bidi="ar"/>
              </w:rPr>
              <w:t>5万元</w:t>
            </w:r>
          </w:p>
        </w:tc>
        <w:tc>
          <w:tcPr>
            <w:tcW w:w="1736" w:type="dxa"/>
            <w:tcBorders>
              <w:top w:val="single" w:color="auto" w:sz="4" w:space="0"/>
              <w:left w:val="single" w:color="auto" w:sz="4" w:space="0"/>
              <w:bottom w:val="single" w:color="auto" w:sz="4" w:space="0"/>
              <w:right w:val="single" w:color="auto" w:sz="4" w:space="0"/>
            </w:tcBorders>
            <w:vAlign w:val="center"/>
          </w:tcPr>
          <w:p w14:paraId="5A39CF72">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15</w:t>
            </w:r>
            <w:r>
              <w:rPr>
                <w:rFonts w:hint="eastAsia" w:ascii="宋体" w:hAnsi="宋体" w:eastAsia="宋体" w:cs="宋体"/>
                <w:i w:val="0"/>
                <w:iCs w:val="0"/>
                <w:color w:val="000000"/>
                <w:kern w:val="0"/>
                <w:sz w:val="20"/>
                <w:szCs w:val="20"/>
                <w:u w:val="none"/>
                <w:lang w:val="en-US" w:eastAsia="zh-CN" w:bidi="ar"/>
              </w:rPr>
              <w:t>万元</w:t>
            </w:r>
          </w:p>
        </w:tc>
        <w:tc>
          <w:tcPr>
            <w:tcW w:w="2050" w:type="dxa"/>
            <w:tcBorders>
              <w:top w:val="single" w:color="auto" w:sz="4" w:space="0"/>
              <w:left w:val="single" w:color="auto" w:sz="4" w:space="0"/>
              <w:bottom w:val="single" w:color="auto" w:sz="4" w:space="0"/>
              <w:right w:val="single" w:color="auto" w:sz="4" w:space="0"/>
            </w:tcBorders>
            <w:vAlign w:val="center"/>
          </w:tcPr>
          <w:p w14:paraId="68CE2FF4">
            <w:pPr>
              <w:spacing w:line="360" w:lineRule="auto"/>
              <w:jc w:val="center"/>
              <w:rPr>
                <w:rFonts w:ascii="Arial"/>
                <w:sz w:val="21"/>
              </w:rPr>
            </w:pPr>
            <w:r>
              <w:rPr>
                <w:rFonts w:hint="eastAsia" w:eastAsia="宋体"/>
                <w:sz w:val="21"/>
                <w:lang w:val="en-US" w:eastAsia="zh-CN"/>
              </w:rPr>
              <w:t>无</w:t>
            </w:r>
          </w:p>
        </w:tc>
      </w:tr>
      <w:tr w14:paraId="5882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53BEC2EE">
            <w:pPr>
              <w:spacing w:line="360" w:lineRule="auto"/>
              <w:jc w:val="center"/>
              <w:rPr>
                <w:rFonts w:ascii="Arial"/>
                <w:sz w:val="21"/>
              </w:rPr>
            </w:pPr>
          </w:p>
        </w:tc>
        <w:tc>
          <w:tcPr>
            <w:tcW w:w="772" w:type="dxa"/>
            <w:vMerge w:val="continue"/>
            <w:tcBorders>
              <w:left w:val="single" w:color="auto" w:sz="4" w:space="0"/>
              <w:bottom w:val="single" w:color="auto" w:sz="4" w:space="0"/>
              <w:right w:val="single" w:color="auto" w:sz="4" w:space="0"/>
            </w:tcBorders>
            <w:vAlign w:val="center"/>
          </w:tcPr>
          <w:p w14:paraId="3388E21C">
            <w:pPr>
              <w:spacing w:line="360" w:lineRule="auto"/>
              <w:ind w:firstLine="180"/>
              <w:jc w:val="center"/>
              <w:rPr>
                <w:rFonts w:ascii="宋体" w:hAnsi="宋体" w:eastAsia="宋体" w:cs="宋体"/>
                <w:sz w:val="18"/>
                <w:szCs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5DB893E9">
            <w:pPr>
              <w:spacing w:line="240" w:lineRule="auto"/>
              <w:ind w:right="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安全指标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293EBA82">
            <w:pPr>
              <w:spacing w:before="67" w:line="360" w:lineRule="auto"/>
              <w:ind w:firstLine="23"/>
              <w:jc w:val="center"/>
              <w:rPr>
                <w:rFonts w:ascii="宋体" w:hAnsi="宋体" w:eastAsia="宋体" w:cs="宋体"/>
                <w:sz w:val="18"/>
                <w:szCs w:val="18"/>
              </w:rPr>
            </w:pPr>
            <w:r>
              <w:rPr>
                <w:rFonts w:hint="eastAsia" w:ascii="宋体" w:hAnsi="宋体" w:eastAsia="宋体" w:cs="宋体"/>
                <w:sz w:val="18"/>
                <w:szCs w:val="18"/>
                <w:lang w:val="en-US" w:eastAsia="zh-CN"/>
              </w:rPr>
              <w:t>记者安全工作率</w:t>
            </w:r>
          </w:p>
        </w:tc>
        <w:tc>
          <w:tcPr>
            <w:tcW w:w="1097" w:type="dxa"/>
            <w:tcBorders>
              <w:top w:val="single" w:color="auto" w:sz="4" w:space="0"/>
              <w:left w:val="single" w:color="auto" w:sz="4" w:space="0"/>
              <w:bottom w:val="single" w:color="auto" w:sz="4" w:space="0"/>
              <w:right w:val="single" w:color="auto" w:sz="4" w:space="0"/>
            </w:tcBorders>
            <w:vAlign w:val="center"/>
          </w:tcPr>
          <w:p w14:paraId="47D3CF59">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1736" w:type="dxa"/>
            <w:tcBorders>
              <w:top w:val="single" w:color="auto" w:sz="4" w:space="0"/>
              <w:left w:val="single" w:color="auto" w:sz="4" w:space="0"/>
              <w:bottom w:val="single" w:color="auto" w:sz="4" w:space="0"/>
              <w:right w:val="single" w:color="auto" w:sz="4" w:space="0"/>
            </w:tcBorders>
            <w:vAlign w:val="center"/>
          </w:tcPr>
          <w:p w14:paraId="218FCE82">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2050" w:type="dxa"/>
            <w:tcBorders>
              <w:top w:val="single" w:color="auto" w:sz="4" w:space="0"/>
              <w:left w:val="single" w:color="auto" w:sz="4" w:space="0"/>
              <w:bottom w:val="single" w:color="auto" w:sz="4" w:space="0"/>
              <w:right w:val="single" w:color="auto" w:sz="4" w:space="0"/>
            </w:tcBorders>
            <w:vAlign w:val="center"/>
          </w:tcPr>
          <w:p w14:paraId="153D692F">
            <w:pPr>
              <w:spacing w:line="360" w:lineRule="auto"/>
              <w:jc w:val="center"/>
              <w:rPr>
                <w:rFonts w:ascii="Arial"/>
                <w:sz w:val="21"/>
              </w:rPr>
            </w:pPr>
            <w:r>
              <w:rPr>
                <w:rFonts w:hint="eastAsia" w:eastAsia="宋体"/>
                <w:sz w:val="21"/>
                <w:lang w:val="en-US" w:eastAsia="zh-CN"/>
              </w:rPr>
              <w:t>无</w:t>
            </w:r>
          </w:p>
        </w:tc>
      </w:tr>
      <w:tr w14:paraId="7B227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35FE91F6">
            <w:pPr>
              <w:spacing w:line="360" w:lineRule="auto"/>
              <w:jc w:val="center"/>
              <w:rPr>
                <w:rFonts w:ascii="Arial"/>
                <w:sz w:val="21"/>
              </w:rPr>
            </w:pPr>
          </w:p>
        </w:tc>
        <w:tc>
          <w:tcPr>
            <w:tcW w:w="772" w:type="dxa"/>
            <w:vMerge w:val="restart"/>
            <w:tcBorders>
              <w:top w:val="single" w:color="auto" w:sz="4" w:space="0"/>
              <w:left w:val="single" w:color="auto" w:sz="4" w:space="0"/>
              <w:right w:val="single" w:color="auto" w:sz="4" w:space="0"/>
            </w:tcBorders>
            <w:vAlign w:val="center"/>
          </w:tcPr>
          <w:p w14:paraId="31B3E7D0">
            <w:pPr>
              <w:spacing w:before="59" w:line="360" w:lineRule="auto"/>
              <w:ind w:firstLine="180"/>
              <w:jc w:val="center"/>
              <w:rPr>
                <w:rFonts w:ascii="宋体" w:hAnsi="宋体" w:eastAsia="宋体" w:cs="宋体"/>
                <w:sz w:val="18"/>
                <w:szCs w:val="18"/>
              </w:rPr>
            </w:pPr>
            <w:r>
              <w:rPr>
                <w:rFonts w:ascii="宋体" w:hAnsi="宋体" w:eastAsia="宋体" w:cs="宋体"/>
                <w:spacing w:val="-3"/>
                <w:sz w:val="18"/>
                <w:szCs w:val="18"/>
              </w:rPr>
              <w:t>效益</w:t>
            </w:r>
          </w:p>
          <w:p w14:paraId="540F44E7">
            <w:pPr>
              <w:spacing w:line="360" w:lineRule="auto"/>
              <w:jc w:val="center"/>
              <w:rPr>
                <w:rFonts w:ascii="Arial"/>
                <w:sz w:val="21"/>
              </w:rPr>
            </w:pPr>
            <w:r>
              <w:rPr>
                <w:rFonts w:ascii="宋体" w:hAnsi="宋体" w:eastAsia="宋体" w:cs="宋体"/>
                <w:spacing w:val="-3"/>
                <w:sz w:val="18"/>
                <w:szCs w:val="18"/>
              </w:rPr>
              <w:t>指标</w:t>
            </w:r>
          </w:p>
        </w:tc>
        <w:tc>
          <w:tcPr>
            <w:tcW w:w="1257" w:type="dxa"/>
            <w:tcBorders>
              <w:top w:val="single" w:color="auto" w:sz="4" w:space="0"/>
              <w:left w:val="single" w:color="auto" w:sz="4" w:space="0"/>
              <w:bottom w:val="single" w:color="auto" w:sz="4" w:space="0"/>
              <w:right w:val="single" w:color="auto" w:sz="4" w:space="0"/>
            </w:tcBorders>
            <w:vAlign w:val="center"/>
          </w:tcPr>
          <w:p w14:paraId="1A68754A">
            <w:pPr>
              <w:spacing w:before="105" w:line="360" w:lineRule="auto"/>
              <w:ind w:right="125"/>
              <w:jc w:val="center"/>
              <w:rPr>
                <w:rFonts w:ascii="宋体" w:hAnsi="宋体" w:eastAsia="宋体" w:cs="宋体"/>
                <w:sz w:val="18"/>
                <w:szCs w:val="18"/>
              </w:rPr>
            </w:pPr>
            <w:r>
              <w:rPr>
                <w:rFonts w:ascii="宋体" w:hAnsi="宋体" w:eastAsia="宋体" w:cs="宋体"/>
                <w:spacing w:val="-3"/>
                <w:sz w:val="18"/>
                <w:szCs w:val="18"/>
              </w:rPr>
              <w:t>社会效益指标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57734FD3">
            <w:pPr>
              <w:spacing w:before="68"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年度优秀作品获奖次数</w:t>
            </w:r>
          </w:p>
        </w:tc>
        <w:tc>
          <w:tcPr>
            <w:tcW w:w="1097" w:type="dxa"/>
            <w:tcBorders>
              <w:top w:val="single" w:color="auto" w:sz="4" w:space="0"/>
              <w:left w:val="single" w:color="auto" w:sz="4" w:space="0"/>
              <w:bottom w:val="single" w:color="auto" w:sz="4" w:space="0"/>
              <w:right w:val="single" w:color="auto" w:sz="4" w:space="0"/>
            </w:tcBorders>
            <w:vAlign w:val="center"/>
          </w:tcPr>
          <w:p w14:paraId="53E9C12A">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≥5件</w:t>
            </w:r>
          </w:p>
        </w:tc>
        <w:tc>
          <w:tcPr>
            <w:tcW w:w="1736" w:type="dxa"/>
            <w:tcBorders>
              <w:top w:val="single" w:color="auto" w:sz="4" w:space="0"/>
              <w:left w:val="single" w:color="auto" w:sz="4" w:space="0"/>
              <w:bottom w:val="single" w:color="auto" w:sz="4" w:space="0"/>
              <w:right w:val="single" w:color="auto" w:sz="4" w:space="0"/>
            </w:tcBorders>
            <w:vAlign w:val="center"/>
          </w:tcPr>
          <w:p w14:paraId="10ED8564">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15件</w:t>
            </w:r>
          </w:p>
        </w:tc>
        <w:tc>
          <w:tcPr>
            <w:tcW w:w="2050" w:type="dxa"/>
            <w:tcBorders>
              <w:top w:val="single" w:color="auto" w:sz="4" w:space="0"/>
              <w:left w:val="single" w:color="auto" w:sz="4" w:space="0"/>
              <w:bottom w:val="single" w:color="auto" w:sz="4" w:space="0"/>
              <w:right w:val="single" w:color="auto" w:sz="4" w:space="0"/>
            </w:tcBorders>
            <w:vAlign w:val="center"/>
          </w:tcPr>
          <w:p w14:paraId="0B345F4D">
            <w:pPr>
              <w:spacing w:line="360" w:lineRule="auto"/>
              <w:jc w:val="center"/>
              <w:rPr>
                <w:rFonts w:ascii="Arial"/>
                <w:sz w:val="21"/>
              </w:rPr>
            </w:pPr>
            <w:r>
              <w:rPr>
                <w:rFonts w:hint="eastAsia" w:eastAsia="宋体"/>
                <w:sz w:val="21"/>
                <w:lang w:val="en-US" w:eastAsia="zh-CN"/>
              </w:rPr>
              <w:t>无</w:t>
            </w:r>
          </w:p>
        </w:tc>
      </w:tr>
      <w:tr w14:paraId="040AD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777D421F">
            <w:pPr>
              <w:spacing w:line="360" w:lineRule="auto"/>
              <w:jc w:val="center"/>
              <w:rPr>
                <w:rFonts w:ascii="Arial"/>
                <w:sz w:val="21"/>
              </w:rPr>
            </w:pPr>
          </w:p>
        </w:tc>
        <w:tc>
          <w:tcPr>
            <w:tcW w:w="772" w:type="dxa"/>
            <w:vMerge w:val="continue"/>
            <w:tcBorders>
              <w:top w:val="single" w:color="auto" w:sz="4" w:space="0"/>
              <w:left w:val="single" w:color="auto" w:sz="4" w:space="0"/>
              <w:bottom w:val="single" w:color="auto" w:sz="4" w:space="0"/>
              <w:right w:val="single" w:color="auto" w:sz="4" w:space="0"/>
            </w:tcBorders>
            <w:vAlign w:val="center"/>
          </w:tcPr>
          <w:p w14:paraId="35D13FB4">
            <w:pPr>
              <w:spacing w:line="360" w:lineRule="auto"/>
              <w:jc w:val="center"/>
              <w:rPr>
                <w:rFonts w:ascii="Arial"/>
                <w:sz w:val="21"/>
              </w:rPr>
            </w:pPr>
          </w:p>
        </w:tc>
        <w:tc>
          <w:tcPr>
            <w:tcW w:w="1257" w:type="dxa"/>
            <w:tcBorders>
              <w:top w:val="single" w:color="auto" w:sz="4" w:space="0"/>
              <w:left w:val="single" w:color="auto" w:sz="4" w:space="0"/>
              <w:bottom w:val="single" w:color="auto" w:sz="4" w:space="0"/>
              <w:right w:val="single" w:color="auto" w:sz="4" w:space="0"/>
            </w:tcBorders>
            <w:vAlign w:val="center"/>
          </w:tcPr>
          <w:p w14:paraId="71C3D0D3">
            <w:pPr>
              <w:spacing w:line="240" w:lineRule="auto"/>
              <w:ind w:left="0" w:right="0" w:firstLine="0"/>
              <w:jc w:val="center"/>
              <w:rPr>
                <w:rFonts w:ascii="宋体" w:hAnsi="宋体" w:eastAsia="宋体" w:cs="宋体"/>
                <w:sz w:val="18"/>
                <w:szCs w:val="18"/>
              </w:rPr>
            </w:pPr>
            <w:r>
              <w:rPr>
                <w:rFonts w:ascii="宋体" w:hAnsi="宋体" w:eastAsia="宋体" w:cs="宋体"/>
                <w:spacing w:val="-2"/>
                <w:sz w:val="18"/>
                <w:szCs w:val="18"/>
              </w:rPr>
              <w:t>可持续影响</w:t>
            </w:r>
            <w:r>
              <w:rPr>
                <w:rFonts w:ascii="宋体" w:hAnsi="宋体" w:eastAsia="宋体" w:cs="宋体"/>
                <w:spacing w:val="-3"/>
                <w:sz w:val="18"/>
                <w:szCs w:val="18"/>
              </w:rPr>
              <w:t>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6A2A3CB6">
            <w:pPr>
              <w:spacing w:before="68" w:line="360" w:lineRule="auto"/>
              <w:ind w:firstLine="23" w:firstLineChars="0"/>
              <w:jc w:val="center"/>
              <w:rPr>
                <w:rFonts w:ascii="宋体" w:hAnsi="宋体" w:eastAsia="宋体" w:cs="宋体"/>
                <w:snapToGrid w:val="0"/>
                <w:color w:val="000000"/>
                <w:kern w:val="0"/>
                <w:sz w:val="18"/>
                <w:szCs w:val="18"/>
              </w:rPr>
            </w:pPr>
            <w:r>
              <w:rPr>
                <w:rFonts w:hint="eastAsia" w:ascii="宋体" w:hAnsi="宋体" w:eastAsia="宋体" w:cs="宋体"/>
                <w:sz w:val="18"/>
                <w:szCs w:val="18"/>
              </w:rPr>
              <w:t>稿件报道转发率</w:t>
            </w:r>
          </w:p>
        </w:tc>
        <w:tc>
          <w:tcPr>
            <w:tcW w:w="1097" w:type="dxa"/>
            <w:tcBorders>
              <w:top w:val="single" w:color="auto" w:sz="4" w:space="0"/>
              <w:left w:val="single" w:color="auto" w:sz="4" w:space="0"/>
              <w:bottom w:val="single" w:color="auto" w:sz="4" w:space="0"/>
              <w:right w:val="single" w:color="auto" w:sz="4" w:space="0"/>
            </w:tcBorders>
            <w:vAlign w:val="center"/>
          </w:tcPr>
          <w:p w14:paraId="0FA17CB0">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736" w:type="dxa"/>
            <w:tcBorders>
              <w:top w:val="single" w:color="auto" w:sz="4" w:space="0"/>
              <w:left w:val="single" w:color="auto" w:sz="4" w:space="0"/>
              <w:bottom w:val="single" w:color="auto" w:sz="4" w:space="0"/>
              <w:right w:val="single" w:color="auto" w:sz="4" w:space="0"/>
            </w:tcBorders>
            <w:vAlign w:val="center"/>
          </w:tcPr>
          <w:p w14:paraId="1EA27E5D">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050" w:type="dxa"/>
            <w:tcBorders>
              <w:top w:val="single" w:color="auto" w:sz="4" w:space="0"/>
              <w:left w:val="single" w:color="auto" w:sz="4" w:space="0"/>
              <w:bottom w:val="single" w:color="auto" w:sz="4" w:space="0"/>
              <w:right w:val="single" w:color="auto" w:sz="4" w:space="0"/>
            </w:tcBorders>
            <w:vAlign w:val="center"/>
          </w:tcPr>
          <w:p w14:paraId="2E90589F">
            <w:pPr>
              <w:spacing w:line="360" w:lineRule="auto"/>
              <w:jc w:val="center"/>
              <w:rPr>
                <w:rFonts w:ascii="Arial"/>
                <w:sz w:val="21"/>
              </w:rPr>
            </w:pPr>
            <w:r>
              <w:rPr>
                <w:rFonts w:hint="eastAsia" w:eastAsia="宋体"/>
                <w:sz w:val="21"/>
                <w:lang w:val="en-US" w:eastAsia="zh-CN"/>
              </w:rPr>
              <w:t>无</w:t>
            </w:r>
          </w:p>
        </w:tc>
      </w:tr>
      <w:tr w14:paraId="2171E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3B11135D">
            <w:pPr>
              <w:spacing w:line="360" w:lineRule="auto"/>
              <w:jc w:val="center"/>
              <w:rPr>
                <w:rFonts w:ascii="Arial"/>
                <w:sz w:val="21"/>
              </w:rPr>
            </w:pPr>
          </w:p>
        </w:tc>
        <w:tc>
          <w:tcPr>
            <w:tcW w:w="772" w:type="dxa"/>
            <w:tcBorders>
              <w:top w:val="single" w:color="auto" w:sz="4" w:space="0"/>
              <w:left w:val="single" w:color="auto" w:sz="4" w:space="0"/>
              <w:bottom w:val="single" w:color="auto" w:sz="4" w:space="0"/>
              <w:right w:val="single" w:color="auto" w:sz="4" w:space="0"/>
            </w:tcBorders>
            <w:vAlign w:val="center"/>
          </w:tcPr>
          <w:p w14:paraId="1BDA6094">
            <w:pPr>
              <w:spacing w:before="96" w:line="360" w:lineRule="auto"/>
              <w:ind w:left="180" w:right="114" w:hanging="89"/>
              <w:jc w:val="center"/>
              <w:rPr>
                <w:rFonts w:ascii="宋体" w:hAnsi="宋体" w:eastAsia="宋体" w:cs="宋体"/>
                <w:sz w:val="18"/>
                <w:szCs w:val="18"/>
              </w:rPr>
            </w:pPr>
            <w:r>
              <w:rPr>
                <w:rFonts w:ascii="宋体" w:hAnsi="宋体" w:eastAsia="宋体" w:cs="宋体"/>
                <w:spacing w:val="-3"/>
                <w:sz w:val="18"/>
                <w:szCs w:val="18"/>
              </w:rPr>
              <w:t>满意度</w:t>
            </w:r>
            <w:r>
              <w:rPr>
                <w:rFonts w:ascii="宋体" w:hAnsi="宋体" w:eastAsia="宋体" w:cs="宋体"/>
                <w:spacing w:val="1"/>
                <w:w w:val="101"/>
                <w:sz w:val="18"/>
                <w:szCs w:val="18"/>
              </w:rPr>
              <w:t xml:space="preserve"> </w:t>
            </w:r>
            <w:r>
              <w:rPr>
                <w:rFonts w:ascii="宋体" w:hAnsi="宋体" w:eastAsia="宋体" w:cs="宋体"/>
                <w:spacing w:val="-3"/>
                <w:sz w:val="18"/>
                <w:szCs w:val="18"/>
              </w:rPr>
              <w:t>指标</w:t>
            </w:r>
          </w:p>
        </w:tc>
        <w:tc>
          <w:tcPr>
            <w:tcW w:w="1257" w:type="dxa"/>
            <w:tcBorders>
              <w:top w:val="single" w:color="auto" w:sz="4" w:space="0"/>
              <w:left w:val="single" w:color="auto" w:sz="4" w:space="0"/>
              <w:bottom w:val="single" w:color="auto" w:sz="4" w:space="0"/>
              <w:right w:val="single" w:color="auto" w:sz="4" w:space="0"/>
            </w:tcBorders>
            <w:vAlign w:val="center"/>
          </w:tcPr>
          <w:p w14:paraId="70D8074E">
            <w:pPr>
              <w:spacing w:before="136" w:line="360" w:lineRule="auto"/>
              <w:ind w:left="101" w:right="34" w:hanging="90"/>
              <w:jc w:val="center"/>
              <w:rPr>
                <w:rFonts w:ascii="宋体" w:hAnsi="宋体" w:eastAsia="宋体" w:cs="宋体"/>
                <w:sz w:val="18"/>
                <w:szCs w:val="18"/>
              </w:rPr>
            </w:pPr>
            <w:r>
              <w:rPr>
                <w:rFonts w:ascii="宋体" w:hAnsi="宋体" w:eastAsia="宋体" w:cs="宋体"/>
                <w:spacing w:val="-2"/>
                <w:sz w:val="18"/>
                <w:szCs w:val="18"/>
              </w:rPr>
              <w:t>服务对象满</w:t>
            </w:r>
            <w:r>
              <w:rPr>
                <w:rFonts w:ascii="宋体" w:hAnsi="宋体" w:eastAsia="宋体" w:cs="宋体"/>
                <w:spacing w:val="-3"/>
                <w:sz w:val="18"/>
                <w:szCs w:val="18"/>
              </w:rPr>
              <w:t>意度指标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14:paraId="07F60686">
            <w:pPr>
              <w:spacing w:before="67" w:line="360" w:lineRule="auto"/>
              <w:ind w:firstLine="23"/>
              <w:jc w:val="center"/>
              <w:rPr>
                <w:rFonts w:ascii="宋体" w:hAnsi="宋体" w:eastAsia="宋体" w:cs="宋体"/>
                <w:sz w:val="18"/>
                <w:szCs w:val="18"/>
              </w:rPr>
            </w:pPr>
            <w:r>
              <w:rPr>
                <w:rFonts w:hint="eastAsia" w:ascii="宋体" w:hAnsi="宋体" w:eastAsia="宋体" w:cs="宋体"/>
                <w:sz w:val="18"/>
                <w:szCs w:val="18"/>
              </w:rPr>
              <w:t>宣传报道受众满意度</w:t>
            </w:r>
          </w:p>
        </w:tc>
        <w:tc>
          <w:tcPr>
            <w:tcW w:w="1097" w:type="dxa"/>
            <w:tcBorders>
              <w:top w:val="single" w:color="auto" w:sz="4" w:space="0"/>
              <w:left w:val="single" w:color="auto" w:sz="4" w:space="0"/>
              <w:bottom w:val="single" w:color="auto" w:sz="4" w:space="0"/>
              <w:right w:val="single" w:color="auto" w:sz="4" w:space="0"/>
            </w:tcBorders>
            <w:vAlign w:val="center"/>
          </w:tcPr>
          <w:p w14:paraId="7F0AB5D0">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736" w:type="dxa"/>
            <w:tcBorders>
              <w:top w:val="single" w:color="auto" w:sz="4" w:space="0"/>
              <w:left w:val="single" w:color="auto" w:sz="4" w:space="0"/>
              <w:bottom w:val="single" w:color="auto" w:sz="4" w:space="0"/>
              <w:right w:val="single" w:color="auto" w:sz="4" w:space="0"/>
            </w:tcBorders>
            <w:vAlign w:val="center"/>
          </w:tcPr>
          <w:p w14:paraId="2A2E0498">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050" w:type="dxa"/>
            <w:tcBorders>
              <w:top w:val="single" w:color="auto" w:sz="4" w:space="0"/>
              <w:left w:val="single" w:color="auto" w:sz="4" w:space="0"/>
              <w:bottom w:val="single" w:color="auto" w:sz="4" w:space="0"/>
              <w:right w:val="single" w:color="auto" w:sz="4" w:space="0"/>
            </w:tcBorders>
            <w:vAlign w:val="center"/>
          </w:tcPr>
          <w:p w14:paraId="7A0CFBE1">
            <w:pPr>
              <w:spacing w:line="360" w:lineRule="auto"/>
              <w:jc w:val="center"/>
              <w:rPr>
                <w:rFonts w:ascii="Arial"/>
                <w:sz w:val="21"/>
              </w:rPr>
            </w:pPr>
            <w:r>
              <w:rPr>
                <w:rFonts w:hint="eastAsia" w:eastAsia="宋体"/>
                <w:sz w:val="21"/>
                <w:lang w:val="en-US" w:eastAsia="zh-CN"/>
              </w:rPr>
              <w:t>无</w:t>
            </w:r>
          </w:p>
        </w:tc>
      </w:tr>
    </w:tbl>
    <w:p w14:paraId="14544578">
      <w:pPr>
        <w:spacing w:before="137" w:line="20" w:lineRule="exact"/>
        <w:textAlignment w:val="center"/>
      </w:pPr>
    </w:p>
    <w:p w14:paraId="2AC12E16"/>
    <w:p w14:paraId="5BC7BBAF">
      <w:pPr>
        <w:pStyle w:val="15"/>
        <w:rPr>
          <w:rFonts w:hint="eastAsia" w:ascii="黑体" w:hAnsi="黑体" w:eastAsia="黑体"/>
          <w:color w:val="auto"/>
          <w:sz w:val="44"/>
          <w:szCs w:val="44"/>
          <w:highlight w:val="none"/>
        </w:rPr>
      </w:pPr>
    </w:p>
    <w:p w14:paraId="47D93B53">
      <w:pPr>
        <w:pStyle w:val="15"/>
        <w:rPr>
          <w:rFonts w:hint="eastAsia" w:ascii="黑体" w:hAnsi="黑体" w:eastAsia="黑体"/>
          <w:color w:val="auto"/>
          <w:sz w:val="44"/>
          <w:szCs w:val="44"/>
          <w:highlight w:val="none"/>
        </w:rPr>
      </w:pPr>
    </w:p>
    <w:p w14:paraId="211BAFB7">
      <w:pPr>
        <w:pStyle w:val="15"/>
        <w:rPr>
          <w:rFonts w:hint="eastAsia" w:ascii="黑体" w:hAnsi="黑体" w:eastAsia="黑体"/>
          <w:color w:val="auto"/>
          <w:sz w:val="44"/>
          <w:szCs w:val="44"/>
          <w:highlight w:val="none"/>
        </w:rPr>
      </w:pPr>
    </w:p>
    <w:p w14:paraId="7E0C170C">
      <w:pPr>
        <w:pStyle w:val="15"/>
        <w:rPr>
          <w:rFonts w:hint="eastAsia" w:ascii="黑体" w:hAnsi="黑体" w:eastAsia="黑体"/>
          <w:color w:val="auto"/>
          <w:sz w:val="44"/>
          <w:szCs w:val="44"/>
          <w:highlight w:val="none"/>
        </w:rPr>
      </w:pPr>
    </w:p>
    <w:p w14:paraId="10D87E28">
      <w:pPr>
        <w:pStyle w:val="15"/>
        <w:rPr>
          <w:rFonts w:hint="eastAsia" w:ascii="黑体" w:hAnsi="黑体" w:eastAsia="黑体"/>
          <w:color w:val="auto"/>
          <w:sz w:val="44"/>
          <w:szCs w:val="44"/>
          <w:highlight w:val="none"/>
        </w:rPr>
      </w:pPr>
    </w:p>
    <w:p w14:paraId="38F3D415">
      <w:pPr>
        <w:pStyle w:val="15"/>
        <w:rPr>
          <w:rFonts w:hint="eastAsia" w:ascii="黑体" w:hAnsi="黑体" w:eastAsia="黑体"/>
          <w:color w:val="auto"/>
          <w:sz w:val="44"/>
          <w:szCs w:val="44"/>
          <w:highlight w:val="none"/>
        </w:rPr>
      </w:pPr>
    </w:p>
    <w:p w14:paraId="2384B475">
      <w:pPr>
        <w:pStyle w:val="15"/>
        <w:rPr>
          <w:rFonts w:hint="eastAsia" w:ascii="黑体" w:hAnsi="黑体" w:eastAsia="黑体"/>
          <w:color w:val="auto"/>
          <w:sz w:val="44"/>
          <w:szCs w:val="44"/>
          <w:highlight w:val="none"/>
        </w:rPr>
      </w:pPr>
    </w:p>
    <w:p w14:paraId="65449471">
      <w:pPr>
        <w:pStyle w:val="15"/>
        <w:rPr>
          <w:rFonts w:hint="eastAsia" w:ascii="黑体" w:hAnsi="黑体" w:eastAsia="黑体"/>
          <w:color w:val="auto"/>
          <w:sz w:val="44"/>
          <w:szCs w:val="44"/>
          <w:highlight w:val="none"/>
        </w:rPr>
      </w:pPr>
    </w:p>
    <w:p w14:paraId="5CEC5D89">
      <w:pPr>
        <w:pStyle w:val="15"/>
        <w:rPr>
          <w:rFonts w:hint="eastAsia" w:ascii="黑体" w:hAnsi="黑体" w:eastAsia="黑体"/>
          <w:color w:val="auto"/>
          <w:sz w:val="44"/>
          <w:szCs w:val="44"/>
          <w:highlight w:val="none"/>
        </w:rPr>
      </w:pPr>
    </w:p>
    <w:p w14:paraId="79DE340E">
      <w:pPr>
        <w:pStyle w:val="15"/>
        <w:rPr>
          <w:rFonts w:hint="eastAsia" w:ascii="黑体" w:hAnsi="黑体" w:eastAsia="黑体"/>
          <w:color w:val="auto"/>
          <w:sz w:val="44"/>
          <w:szCs w:val="44"/>
          <w:highlight w:val="none"/>
        </w:rPr>
      </w:pPr>
    </w:p>
    <w:p w14:paraId="2134051B">
      <w:pPr>
        <w:pStyle w:val="15"/>
        <w:rPr>
          <w:rFonts w:hint="eastAsia" w:ascii="黑体" w:hAnsi="黑体" w:eastAsia="黑体"/>
          <w:color w:val="auto"/>
          <w:sz w:val="44"/>
          <w:szCs w:val="44"/>
          <w:highlight w:val="none"/>
        </w:rPr>
      </w:pPr>
    </w:p>
    <w:p w14:paraId="7610FA18">
      <w:pPr>
        <w:pStyle w:val="15"/>
        <w:rPr>
          <w:rFonts w:hint="eastAsia" w:ascii="黑体" w:hAnsi="黑体" w:eastAsia="黑体"/>
          <w:color w:val="auto"/>
          <w:sz w:val="44"/>
          <w:szCs w:val="44"/>
          <w:highlight w:val="none"/>
        </w:rPr>
      </w:pPr>
    </w:p>
    <w:p w14:paraId="526DAEBE">
      <w:pPr>
        <w:pStyle w:val="15"/>
        <w:rPr>
          <w:rFonts w:hint="eastAsia" w:ascii="黑体" w:hAnsi="黑体" w:eastAsia="黑体"/>
          <w:color w:val="auto"/>
          <w:sz w:val="44"/>
          <w:szCs w:val="44"/>
          <w:highlight w:val="none"/>
        </w:rPr>
      </w:pPr>
    </w:p>
    <w:p w14:paraId="193699A1">
      <w:pPr>
        <w:rPr>
          <w:rFonts w:hint="eastAsia"/>
        </w:rPr>
      </w:pPr>
    </w:p>
    <w:bookmarkEnd w:id="51"/>
    <w:bookmarkEnd w:id="52"/>
    <w:p w14:paraId="41A75CEB">
      <w:pPr>
        <w:spacing w:line="600" w:lineRule="exact"/>
        <w:jc w:val="center"/>
        <w:outlineLvl w:val="0"/>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28"/>
          <w:rFonts w:hint="eastAsia" w:ascii="黑体" w:hAnsi="黑体" w:eastAsia="黑体"/>
          <w:b w:val="0"/>
          <w:color w:val="auto"/>
          <w:highlight w:val="none"/>
        </w:rPr>
        <w:t>五部分 附表</w:t>
      </w:r>
      <w:bookmarkStart w:id="53" w:name="_Toc15396619"/>
    </w:p>
    <w:p w14:paraId="3D7CF437">
      <w:pPr>
        <w:pStyle w:val="3"/>
        <w:rPr>
          <w:rFonts w:ascii="仿宋" w:hAnsi="仿宋" w:eastAsia="仿宋"/>
          <w:color w:val="auto"/>
          <w:highlight w:val="none"/>
        </w:rPr>
      </w:pPr>
      <w:r>
        <w:rPr>
          <w:rFonts w:hint="eastAsia" w:ascii="仿宋" w:hAnsi="仿宋" w:eastAsia="仿宋"/>
          <w:b w:val="0"/>
          <w:color w:val="auto"/>
          <w:highlight w:val="none"/>
        </w:rPr>
        <w:t>一、收</w:t>
      </w:r>
      <w:r>
        <w:rPr>
          <w:rStyle w:val="29"/>
          <w:rFonts w:hint="eastAsia" w:ascii="仿宋" w:hAnsi="仿宋" w:eastAsia="仿宋"/>
          <w:b w:val="0"/>
          <w:bCs w:val="0"/>
          <w:color w:val="auto"/>
          <w:highlight w:val="none"/>
        </w:rPr>
        <w:t>入支出决算总表</w:t>
      </w:r>
      <w:bookmarkEnd w:id="53"/>
    </w:p>
    <w:p w14:paraId="10B28EE4">
      <w:pPr>
        <w:pStyle w:val="3"/>
        <w:rPr>
          <w:rFonts w:ascii="仿宋" w:hAnsi="仿宋" w:eastAsia="仿宋"/>
          <w:color w:val="auto"/>
          <w:highlight w:val="none"/>
        </w:rPr>
      </w:pPr>
      <w:bookmarkStart w:id="54" w:name="_Toc15396620"/>
      <w:r>
        <w:rPr>
          <w:rFonts w:hint="eastAsia" w:ascii="仿宋" w:hAnsi="仿宋" w:eastAsia="仿宋"/>
          <w:b w:val="0"/>
          <w:color w:val="auto"/>
          <w:highlight w:val="none"/>
        </w:rPr>
        <w:t>二、收</w:t>
      </w:r>
      <w:r>
        <w:rPr>
          <w:rStyle w:val="29"/>
          <w:rFonts w:hint="eastAsia" w:ascii="仿宋" w:hAnsi="仿宋" w:eastAsia="仿宋"/>
          <w:b w:val="0"/>
          <w:bCs w:val="0"/>
          <w:color w:val="auto"/>
          <w:highlight w:val="none"/>
        </w:rPr>
        <w:t>入决算表</w:t>
      </w:r>
      <w:bookmarkEnd w:id="54"/>
    </w:p>
    <w:p w14:paraId="19BD4672">
      <w:pPr>
        <w:pStyle w:val="3"/>
        <w:rPr>
          <w:rFonts w:ascii="仿宋" w:hAnsi="仿宋" w:eastAsia="仿宋"/>
          <w:color w:val="auto"/>
          <w:highlight w:val="none"/>
        </w:rPr>
      </w:pPr>
      <w:bookmarkStart w:id="55" w:name="_Toc15396621"/>
      <w:r>
        <w:rPr>
          <w:rStyle w:val="29"/>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9"/>
          <w:rFonts w:hint="eastAsia" w:ascii="仿宋" w:hAnsi="仿宋" w:eastAsia="仿宋"/>
          <w:b w:val="0"/>
          <w:bCs w:val="0"/>
          <w:color w:val="auto"/>
          <w:highlight w:val="none"/>
        </w:rPr>
        <w:t>出决算表</w:t>
      </w:r>
      <w:bookmarkEnd w:id="55"/>
    </w:p>
    <w:p w14:paraId="67DAC63C">
      <w:pPr>
        <w:pStyle w:val="3"/>
        <w:rPr>
          <w:rFonts w:ascii="仿宋" w:hAnsi="仿宋" w:eastAsia="仿宋"/>
          <w:b w:val="0"/>
          <w:color w:val="auto"/>
          <w:highlight w:val="none"/>
        </w:rPr>
      </w:pPr>
      <w:bookmarkStart w:id="56" w:name="_Toc15396622"/>
      <w:r>
        <w:rPr>
          <w:rStyle w:val="29"/>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9"/>
          <w:rFonts w:hint="eastAsia" w:ascii="仿宋" w:hAnsi="仿宋" w:eastAsia="仿宋"/>
          <w:b w:val="0"/>
          <w:bCs w:val="0"/>
          <w:color w:val="auto"/>
          <w:highlight w:val="none"/>
        </w:rPr>
        <w:t>政拨款收入支出决算总表</w:t>
      </w:r>
      <w:bookmarkEnd w:id="56"/>
    </w:p>
    <w:p w14:paraId="4953138D">
      <w:pPr>
        <w:pStyle w:val="3"/>
        <w:rPr>
          <w:rStyle w:val="29"/>
          <w:rFonts w:ascii="仿宋" w:hAnsi="仿宋" w:eastAsia="仿宋"/>
          <w:b w:val="0"/>
          <w:bCs w:val="0"/>
          <w:color w:val="auto"/>
          <w:highlight w:val="none"/>
        </w:rPr>
      </w:pPr>
      <w:bookmarkStart w:id="57" w:name="_Toc15396623"/>
      <w:r>
        <w:rPr>
          <w:rStyle w:val="29"/>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9"/>
          <w:rFonts w:hint="eastAsia" w:ascii="仿宋" w:hAnsi="仿宋" w:eastAsia="仿宋"/>
          <w:b w:val="0"/>
          <w:bCs w:val="0"/>
          <w:color w:val="auto"/>
          <w:highlight w:val="none"/>
        </w:rPr>
        <w:t>政拨款支出决算明细表</w:t>
      </w:r>
      <w:bookmarkEnd w:id="57"/>
      <w:bookmarkStart w:id="58" w:name="_Toc15396624"/>
    </w:p>
    <w:p w14:paraId="68902F79">
      <w:pPr>
        <w:pStyle w:val="3"/>
        <w:rPr>
          <w:rFonts w:ascii="仿宋" w:hAnsi="仿宋" w:eastAsia="仿宋"/>
          <w:color w:val="auto"/>
          <w:highlight w:val="none"/>
        </w:rPr>
      </w:pPr>
      <w:r>
        <w:rPr>
          <w:rStyle w:val="29"/>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般公共预算财政拨款支出决算表</w:t>
      </w:r>
      <w:bookmarkEnd w:id="58"/>
    </w:p>
    <w:p w14:paraId="69AFEF41">
      <w:pPr>
        <w:pStyle w:val="3"/>
        <w:rPr>
          <w:rFonts w:ascii="仿宋" w:hAnsi="仿宋" w:eastAsia="仿宋"/>
          <w:color w:val="auto"/>
          <w:highlight w:val="none"/>
        </w:rPr>
      </w:pPr>
      <w:bookmarkStart w:id="59" w:name="_Toc15396625"/>
      <w:r>
        <w:rPr>
          <w:rStyle w:val="29"/>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般公共预算财政拨款支出决算明细表</w:t>
      </w:r>
      <w:bookmarkEnd w:id="59"/>
    </w:p>
    <w:p w14:paraId="39155119">
      <w:pPr>
        <w:pStyle w:val="3"/>
        <w:rPr>
          <w:rFonts w:ascii="仿宋" w:hAnsi="仿宋" w:eastAsia="仿宋"/>
          <w:color w:val="auto"/>
          <w:highlight w:val="none"/>
        </w:rPr>
      </w:pPr>
      <w:bookmarkStart w:id="60" w:name="_Toc15396626"/>
      <w:r>
        <w:rPr>
          <w:rStyle w:val="29"/>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般公共预算财政拨款基本支出决算表</w:t>
      </w:r>
      <w:bookmarkEnd w:id="60"/>
    </w:p>
    <w:p w14:paraId="1616E81C">
      <w:pPr>
        <w:pStyle w:val="3"/>
        <w:rPr>
          <w:rFonts w:ascii="仿宋" w:hAnsi="仿宋" w:eastAsia="仿宋"/>
          <w:color w:val="auto"/>
          <w:highlight w:val="none"/>
        </w:rPr>
      </w:pPr>
      <w:bookmarkStart w:id="61" w:name="_Toc15396627"/>
      <w:r>
        <w:rPr>
          <w:rStyle w:val="29"/>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般公共预算财政拨款项目支出决算表</w:t>
      </w:r>
      <w:bookmarkEnd w:id="61"/>
    </w:p>
    <w:p w14:paraId="2AF35C66">
      <w:pPr>
        <w:pStyle w:val="3"/>
        <w:rPr>
          <w:rFonts w:ascii="仿宋" w:hAnsi="仿宋" w:eastAsia="仿宋"/>
          <w:color w:val="auto"/>
          <w:highlight w:val="none"/>
        </w:rPr>
      </w:pPr>
      <w:bookmarkStart w:id="62" w:name="_Toc15396628"/>
      <w:r>
        <w:rPr>
          <w:rStyle w:val="29"/>
          <w:rFonts w:hint="eastAsia" w:ascii="仿宋" w:hAnsi="仿宋" w:eastAsia="仿宋"/>
          <w:b w:val="0"/>
          <w:bCs w:val="0"/>
          <w:color w:val="auto"/>
          <w:highlight w:val="none"/>
        </w:rPr>
        <w:t>十、</w:t>
      </w:r>
      <w:bookmarkEnd w:id="62"/>
      <w:r>
        <w:rPr>
          <w:rFonts w:hint="eastAsia" w:ascii="仿宋" w:hAnsi="仿宋" w:eastAsia="仿宋"/>
          <w:b w:val="0"/>
          <w:color w:val="auto"/>
          <w:highlight w:val="none"/>
        </w:rPr>
        <w:t>政</w:t>
      </w:r>
      <w:r>
        <w:rPr>
          <w:rStyle w:val="29"/>
          <w:rFonts w:hint="eastAsia" w:ascii="仿宋" w:hAnsi="仿宋" w:eastAsia="仿宋"/>
          <w:b w:val="0"/>
          <w:bCs w:val="0"/>
          <w:color w:val="auto"/>
          <w:highlight w:val="none"/>
        </w:rPr>
        <w:t>府性基金预算财政拨款收入支出决算表</w:t>
      </w:r>
    </w:p>
    <w:p w14:paraId="436DD1BD">
      <w:pPr>
        <w:pStyle w:val="3"/>
        <w:rPr>
          <w:rFonts w:ascii="仿宋" w:hAnsi="仿宋" w:eastAsia="仿宋"/>
          <w:color w:val="auto"/>
          <w:highlight w:val="none"/>
        </w:rPr>
      </w:pPr>
      <w:bookmarkStart w:id="63" w:name="_Toc15396629"/>
      <w:r>
        <w:rPr>
          <w:rStyle w:val="29"/>
          <w:rFonts w:hint="eastAsia" w:ascii="仿宋" w:hAnsi="仿宋" w:eastAsia="仿宋"/>
          <w:b w:val="0"/>
          <w:bCs w:val="0"/>
          <w:color w:val="auto"/>
          <w:highlight w:val="none"/>
        </w:rPr>
        <w:t>十一、</w:t>
      </w:r>
      <w:bookmarkEnd w:id="63"/>
      <w:r>
        <w:rPr>
          <w:rFonts w:hint="eastAsia" w:ascii="仿宋" w:hAnsi="仿宋" w:eastAsia="仿宋"/>
          <w:b w:val="0"/>
          <w:color w:val="auto"/>
          <w:highlight w:val="none"/>
        </w:rPr>
        <w:t>国</w:t>
      </w:r>
      <w:r>
        <w:rPr>
          <w:rStyle w:val="29"/>
          <w:rFonts w:hint="eastAsia" w:ascii="仿宋" w:hAnsi="仿宋" w:eastAsia="仿宋"/>
          <w:b w:val="0"/>
          <w:bCs w:val="0"/>
          <w:color w:val="auto"/>
          <w:highlight w:val="none"/>
        </w:rPr>
        <w:t>有资本经营预算</w:t>
      </w:r>
      <w:r>
        <w:rPr>
          <w:rStyle w:val="29"/>
          <w:rFonts w:hint="eastAsia" w:ascii="仿宋" w:hAnsi="仿宋" w:eastAsia="仿宋"/>
          <w:b w:val="0"/>
          <w:bCs w:val="0"/>
          <w:color w:val="auto"/>
          <w:highlight w:val="none"/>
          <w:lang w:eastAsia="zh-CN"/>
        </w:rPr>
        <w:t>财政拨款收入</w:t>
      </w:r>
      <w:r>
        <w:rPr>
          <w:rStyle w:val="29"/>
          <w:rFonts w:hint="eastAsia" w:ascii="仿宋" w:hAnsi="仿宋" w:eastAsia="仿宋"/>
          <w:b w:val="0"/>
          <w:bCs w:val="0"/>
          <w:color w:val="auto"/>
          <w:highlight w:val="none"/>
        </w:rPr>
        <w:t>支出决算表</w:t>
      </w:r>
    </w:p>
    <w:p w14:paraId="0EECEC1F">
      <w:pPr>
        <w:pStyle w:val="3"/>
        <w:rPr>
          <w:rFonts w:ascii="仿宋" w:hAnsi="仿宋" w:eastAsia="仿宋"/>
          <w:color w:val="auto"/>
          <w:highlight w:val="none"/>
        </w:rPr>
      </w:pPr>
      <w:bookmarkStart w:id="64" w:name="_Toc15396630"/>
      <w:r>
        <w:rPr>
          <w:rStyle w:val="29"/>
          <w:rFonts w:hint="eastAsia" w:ascii="仿宋" w:hAnsi="仿宋" w:eastAsia="仿宋"/>
          <w:b w:val="0"/>
          <w:bCs w:val="0"/>
          <w:color w:val="auto"/>
          <w:highlight w:val="none"/>
        </w:rPr>
        <w:t>十二、</w:t>
      </w:r>
      <w:bookmarkEnd w:id="64"/>
      <w:r>
        <w:rPr>
          <w:rStyle w:val="29"/>
          <w:rFonts w:hint="eastAsia" w:ascii="仿宋" w:hAnsi="仿宋" w:eastAsia="仿宋"/>
          <w:b w:val="0"/>
          <w:bCs w:val="0"/>
          <w:color w:val="auto"/>
          <w:highlight w:val="none"/>
          <w:lang w:eastAsia="zh-CN"/>
        </w:rPr>
        <w:t>国有资本经营预算财政拨款支出决算表</w:t>
      </w:r>
    </w:p>
    <w:p w14:paraId="7AB55F94">
      <w:pPr>
        <w:pStyle w:val="3"/>
        <w:rPr>
          <w:rFonts w:hint="eastAsia" w:eastAsia="仿宋"/>
          <w:color w:val="auto"/>
          <w:highlight w:val="none"/>
          <w:lang w:eastAsia="zh-CN"/>
        </w:rPr>
      </w:pPr>
      <w:bookmarkStart w:id="65" w:name="_Toc15396631"/>
      <w:r>
        <w:rPr>
          <w:rStyle w:val="29"/>
          <w:rFonts w:hint="eastAsia" w:ascii="仿宋" w:hAnsi="仿宋" w:eastAsia="仿宋"/>
          <w:b w:val="0"/>
          <w:bCs w:val="0"/>
          <w:color w:val="auto"/>
          <w:highlight w:val="none"/>
        </w:rPr>
        <w:t>十三、</w:t>
      </w:r>
      <w:bookmarkEnd w:id="65"/>
      <w:r>
        <w:rPr>
          <w:rStyle w:val="29"/>
          <w:rFonts w:hint="eastAsia" w:ascii="仿宋" w:hAnsi="仿宋" w:eastAsia="仿宋"/>
          <w:b w:val="0"/>
          <w:bCs w:val="0"/>
          <w:color w:val="auto"/>
          <w:highlight w:val="none"/>
          <w:lang w:eastAsia="zh-CN"/>
        </w:rPr>
        <w:t>财政拨款“三公”经费支出决算表</w:t>
      </w:r>
    </w:p>
    <w:p w14:paraId="286DCF13">
      <w:pPr>
        <w:rPr>
          <w:rFonts w:hint="eastAsia" w:eastAsia="仿宋"/>
          <w:color w:val="auto"/>
          <w:highlight w:val="none"/>
          <w:lang w:eastAsia="zh-CN"/>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B4B2D12-4759-4566-9F5B-8D20ECBCB783}"/>
  </w:font>
  <w:font w:name="黑体">
    <w:panose1 w:val="02010609060101010101"/>
    <w:charset w:val="86"/>
    <w:family w:val="auto"/>
    <w:pitch w:val="default"/>
    <w:sig w:usb0="800002BF" w:usb1="38CF7CFA" w:usb2="00000016" w:usb3="00000000" w:csb0="00040001" w:csb1="00000000"/>
    <w:embedRegular r:id="rId2" w:fontKey="{139ABF53-C135-4639-94FB-6451C56350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F52CB40-EBD4-4B3E-9C9B-3E02FCAC0E7D}"/>
  </w:font>
  <w:font w:name="Cambria">
    <w:panose1 w:val="02040503050406030204"/>
    <w:charset w:val="00"/>
    <w:family w:val="roman"/>
    <w:pitch w:val="default"/>
    <w:sig w:usb0="E00006FF" w:usb1="420024FF" w:usb2="02000000" w:usb3="00000000" w:csb0="2000019F" w:csb1="00000000"/>
    <w:embedRegular r:id="rId4" w:fontKey="{00A86F6A-6BE3-443B-9891-5CC0809AAF92}"/>
  </w:font>
  <w:font w:name="仿宋_GB2312">
    <w:altName w:val="仿宋"/>
    <w:panose1 w:val="02010609030101010101"/>
    <w:charset w:val="86"/>
    <w:family w:val="modern"/>
    <w:pitch w:val="default"/>
    <w:sig w:usb0="00000000" w:usb1="00000000" w:usb2="00000000" w:usb3="00000000" w:csb0="00040000" w:csb1="00000000"/>
    <w:embedRegular r:id="rId5" w:fontKey="{28AECED1-E413-4AE2-845A-7CC4145B311F}"/>
  </w:font>
  <w:font w:name="仿宋">
    <w:panose1 w:val="02010609060101010101"/>
    <w:charset w:val="86"/>
    <w:family w:val="auto"/>
    <w:pitch w:val="default"/>
    <w:sig w:usb0="800002BF" w:usb1="38CF7CFA" w:usb2="00000016" w:usb3="00000000" w:csb0="00040001" w:csb1="00000000"/>
    <w:embedRegular r:id="rId6" w:fontKey="{6FFE836E-6160-4498-B835-461E299CA120}"/>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7" w:fontKey="{5BC3375C-652D-40A5-88B7-8C5BF2881285}"/>
  </w:font>
  <w:font w:name="华文仿宋">
    <w:panose1 w:val="02010600040101010101"/>
    <w:charset w:val="86"/>
    <w:family w:val="auto"/>
    <w:pitch w:val="default"/>
    <w:sig w:usb0="00000287" w:usb1="080F0000" w:usb2="00000000" w:usb3="00000000" w:csb0="0004009F" w:csb1="DFD70000"/>
    <w:embedRegular r:id="rId8" w:fontKey="{05E20951-0548-4890-BCA2-809E1B9262F9}"/>
  </w:font>
  <w:font w:name="楷体_GB2312">
    <w:panose1 w:val="02010609030101010101"/>
    <w:charset w:val="86"/>
    <w:family w:val="auto"/>
    <w:pitch w:val="default"/>
    <w:sig w:usb0="00000001" w:usb1="080E0000" w:usb2="00000000" w:usb3="00000000" w:csb0="00040000" w:csb1="00000000"/>
    <w:embedRegular r:id="rId9" w:fontKey="{DC94A178-3B4D-42E6-B1A0-E1F596D45AB6}"/>
  </w:font>
  <w:font w:name="楷体">
    <w:panose1 w:val="02010609060101010101"/>
    <w:charset w:val="86"/>
    <w:family w:val="auto"/>
    <w:pitch w:val="default"/>
    <w:sig w:usb0="800002BF" w:usb1="38CF7CFA" w:usb2="00000016" w:usb3="00000000" w:csb0="00040001" w:csb1="00000000"/>
    <w:embedRegular r:id="rId10" w:fontKey="{9DB1E598-F6CD-4F7A-B151-9695B0FB8118}"/>
  </w:font>
  <w:font w:name="微软雅黑">
    <w:panose1 w:val="020B0503020204020204"/>
    <w:charset w:val="86"/>
    <w:family w:val="auto"/>
    <w:pitch w:val="default"/>
    <w:sig w:usb0="80000287" w:usb1="2ACF3C50" w:usb2="00000016" w:usb3="00000000" w:csb0="0004001F" w:csb1="00000000"/>
    <w:embedRegular r:id="rId11" w:fontKey="{8AD6712E-3E19-4A33-A460-6BE4AB78CA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1C69B1C4">
        <w:pPr>
          <w:pStyle w:val="10"/>
          <w:jc w:val="center"/>
        </w:pPr>
        <w:r>
          <w:fldChar w:fldCharType="begin"/>
        </w:r>
        <w:r>
          <w:instrText xml:space="preserve">PAGE   \* MERGEFORMAT</w:instrText>
        </w:r>
        <w:r>
          <w:fldChar w:fldCharType="separate"/>
        </w:r>
        <w:r>
          <w:rPr>
            <w:lang w:val="zh-CN"/>
          </w:rPr>
          <w:t>8</w:t>
        </w:r>
        <w:r>
          <w:fldChar w:fldCharType="end"/>
        </w:r>
      </w:p>
    </w:sdtContent>
  </w:sdt>
  <w:p w14:paraId="64398AEF">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91D28">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8112C5"/>
    <w:multiLevelType w:val="singleLevel"/>
    <w:tmpl w:val="8A8112C5"/>
    <w:lvl w:ilvl="0" w:tentative="0">
      <w:start w:val="1"/>
      <w:numFmt w:val="chineseCounting"/>
      <w:suff w:val="nothing"/>
      <w:lvlText w:val="（%1）"/>
      <w:lvlJc w:val="left"/>
      <w:rPr>
        <w:rFonts w:hint="eastAsia"/>
      </w:rPr>
    </w:lvl>
  </w:abstractNum>
  <w:abstractNum w:abstractNumId="1">
    <w:nsid w:val="AF613ECF"/>
    <w:multiLevelType w:val="singleLevel"/>
    <w:tmpl w:val="AF613ECF"/>
    <w:lvl w:ilvl="0" w:tentative="0">
      <w:start w:val="1"/>
      <w:numFmt w:val="chineseCounting"/>
      <w:suff w:val="nothing"/>
      <w:lvlText w:val="%1、"/>
      <w:lvlJc w:val="left"/>
      <w:rPr>
        <w:rFonts w:hint="eastAsia"/>
      </w:rPr>
    </w:lvl>
  </w:abstractNum>
  <w:abstractNum w:abstractNumId="2">
    <w:nsid w:val="B731FB29"/>
    <w:multiLevelType w:val="singleLevel"/>
    <w:tmpl w:val="B731FB29"/>
    <w:lvl w:ilvl="0" w:tentative="0">
      <w:start w:val="1"/>
      <w:numFmt w:val="chineseCounting"/>
      <w:suff w:val="nothing"/>
      <w:lvlText w:val="（%1）"/>
      <w:lvlJc w:val="left"/>
      <w:rPr>
        <w:rFonts w:hint="eastAsia"/>
      </w:rPr>
    </w:lvl>
  </w:abstractNum>
  <w:abstractNum w:abstractNumId="3">
    <w:nsid w:val="CF652CEC"/>
    <w:multiLevelType w:val="singleLevel"/>
    <w:tmpl w:val="CF652CEC"/>
    <w:lvl w:ilvl="0" w:tentative="0">
      <w:start w:val="9"/>
      <w:numFmt w:val="chineseCounting"/>
      <w:suff w:val="nothing"/>
      <w:lvlText w:val="%1、"/>
      <w:lvlJc w:val="left"/>
      <w:rPr>
        <w:rFonts w:hint="eastAsia"/>
      </w:rPr>
    </w:lvl>
  </w:abstractNum>
  <w:abstractNum w:abstractNumId="4">
    <w:nsid w:val="D81BAAF7"/>
    <w:multiLevelType w:val="singleLevel"/>
    <w:tmpl w:val="D81BAAF7"/>
    <w:lvl w:ilvl="0" w:tentative="0">
      <w:start w:val="2"/>
      <w:numFmt w:val="decimal"/>
      <w:suff w:val="nothing"/>
      <w:lvlText w:val="%1．"/>
      <w:lvlJc w:val="left"/>
    </w:lvl>
  </w:abstractNum>
  <w:abstractNum w:abstractNumId="5">
    <w:nsid w:val="DEBEF323"/>
    <w:multiLevelType w:val="singleLevel"/>
    <w:tmpl w:val="DEBEF323"/>
    <w:lvl w:ilvl="0" w:tentative="0">
      <w:start w:val="4"/>
      <w:numFmt w:val="chineseCounting"/>
      <w:suff w:val="nothing"/>
      <w:lvlText w:val="（%1）"/>
      <w:lvlJc w:val="left"/>
      <w:rPr>
        <w:rFonts w:hint="eastAsia"/>
      </w:rPr>
    </w:lvl>
  </w:abstractNum>
  <w:abstractNum w:abstractNumId="6">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7">
    <w:nsid w:val="E669D4F1"/>
    <w:multiLevelType w:val="singleLevel"/>
    <w:tmpl w:val="E669D4F1"/>
    <w:lvl w:ilvl="0" w:tentative="0">
      <w:start w:val="4"/>
      <w:numFmt w:val="chineseCounting"/>
      <w:suff w:val="nothing"/>
      <w:lvlText w:val="（%1）"/>
      <w:lvlJc w:val="left"/>
      <w:rPr>
        <w:rFonts w:hint="eastAsia"/>
      </w:rPr>
    </w:lvl>
  </w:abstractNum>
  <w:abstractNum w:abstractNumId="8">
    <w:nsid w:val="F54E8055"/>
    <w:multiLevelType w:val="singleLevel"/>
    <w:tmpl w:val="F54E8055"/>
    <w:lvl w:ilvl="0" w:tentative="0">
      <w:start w:val="2"/>
      <w:numFmt w:val="chineseCounting"/>
      <w:suff w:val="nothing"/>
      <w:lvlText w:val="（%1）"/>
      <w:lvlJc w:val="left"/>
      <w:rPr>
        <w:rFonts w:hint="eastAsia"/>
      </w:rPr>
    </w:lvl>
  </w:abstractNum>
  <w:abstractNum w:abstractNumId="9">
    <w:nsid w:val="FFF674BC"/>
    <w:multiLevelType w:val="singleLevel"/>
    <w:tmpl w:val="FFF674BC"/>
    <w:lvl w:ilvl="0" w:tentative="0">
      <w:start w:val="1"/>
      <w:numFmt w:val="chineseCounting"/>
      <w:suff w:val="nothing"/>
      <w:lvlText w:val="%1、"/>
      <w:lvlJc w:val="left"/>
      <w:rPr>
        <w:rFonts w:hint="eastAsia"/>
      </w:rPr>
    </w:lvl>
  </w:abstractNum>
  <w:abstractNum w:abstractNumId="10">
    <w:nsid w:val="02358EBB"/>
    <w:multiLevelType w:val="singleLevel"/>
    <w:tmpl w:val="02358EBB"/>
    <w:lvl w:ilvl="0" w:tentative="0">
      <w:start w:val="1"/>
      <w:numFmt w:val="chineseCounting"/>
      <w:suff w:val="nothing"/>
      <w:lvlText w:val="（%1）"/>
      <w:lvlJc w:val="left"/>
      <w:rPr>
        <w:rFonts w:hint="eastAsia"/>
      </w:rPr>
    </w:lvl>
  </w:abstractNum>
  <w:abstractNum w:abstractNumId="11">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153AAA4D"/>
    <w:multiLevelType w:val="singleLevel"/>
    <w:tmpl w:val="153AAA4D"/>
    <w:lvl w:ilvl="0" w:tentative="0">
      <w:start w:val="2"/>
      <w:numFmt w:val="decimal"/>
      <w:suff w:val="nothing"/>
      <w:lvlText w:val="%1．"/>
      <w:lvlJc w:val="left"/>
    </w:lvl>
  </w:abstractNum>
  <w:abstractNum w:abstractNumId="13">
    <w:nsid w:val="4DD25D81"/>
    <w:multiLevelType w:val="singleLevel"/>
    <w:tmpl w:val="4DD25D81"/>
    <w:lvl w:ilvl="0" w:tentative="0">
      <w:start w:val="1"/>
      <w:numFmt w:val="chineseCounting"/>
      <w:suff w:val="nothing"/>
      <w:lvlText w:val="（%1）"/>
      <w:lvlJc w:val="left"/>
      <w:rPr>
        <w:rFonts w:hint="eastAsia"/>
      </w:rPr>
    </w:lvl>
  </w:abstractNum>
  <w:abstractNum w:abstractNumId="14">
    <w:nsid w:val="52B21A35"/>
    <w:multiLevelType w:val="singleLevel"/>
    <w:tmpl w:val="52B21A35"/>
    <w:lvl w:ilvl="0" w:tentative="0">
      <w:start w:val="2"/>
      <w:numFmt w:val="decimal"/>
      <w:suff w:val="nothing"/>
      <w:lvlText w:val="%1．"/>
      <w:lvlJc w:val="left"/>
    </w:lvl>
  </w:abstractNum>
  <w:num w:numId="1">
    <w:abstractNumId w:val="1"/>
  </w:num>
  <w:num w:numId="2">
    <w:abstractNumId w:val="11"/>
  </w:num>
  <w:num w:numId="3">
    <w:abstractNumId w:val="3"/>
  </w:num>
  <w:num w:numId="4">
    <w:abstractNumId w:val="7"/>
  </w:num>
  <w:num w:numId="5">
    <w:abstractNumId w:val="6"/>
  </w:num>
  <w:num w:numId="6">
    <w:abstractNumId w:val="9"/>
  </w:num>
  <w:num w:numId="7">
    <w:abstractNumId w:val="0"/>
  </w:num>
  <w:num w:numId="8">
    <w:abstractNumId w:val="5"/>
  </w:num>
  <w:num w:numId="9">
    <w:abstractNumId w:val="8"/>
  </w:num>
  <w:num w:numId="10">
    <w:abstractNumId w:val="12"/>
  </w:num>
  <w:num w:numId="11">
    <w:abstractNumId w:val="4"/>
  </w:num>
  <w:num w:numId="12">
    <w:abstractNumId w:val="14"/>
  </w:num>
  <w:num w:numId="13">
    <w:abstractNumId w:val="13"/>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C0F2D"/>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DF6E04"/>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670EA"/>
    <w:rsid w:val="01B110AA"/>
    <w:rsid w:val="02AE39C6"/>
    <w:rsid w:val="03137DAC"/>
    <w:rsid w:val="035277E6"/>
    <w:rsid w:val="03E33071"/>
    <w:rsid w:val="043C0FEB"/>
    <w:rsid w:val="04712C9F"/>
    <w:rsid w:val="049820AD"/>
    <w:rsid w:val="04EA23F1"/>
    <w:rsid w:val="06D51397"/>
    <w:rsid w:val="0721282E"/>
    <w:rsid w:val="07474B93"/>
    <w:rsid w:val="088210AA"/>
    <w:rsid w:val="089120B1"/>
    <w:rsid w:val="08D94642"/>
    <w:rsid w:val="09002112"/>
    <w:rsid w:val="0A2032A3"/>
    <w:rsid w:val="0B802303"/>
    <w:rsid w:val="0B8A37D8"/>
    <w:rsid w:val="0DC161D1"/>
    <w:rsid w:val="0E6D71D1"/>
    <w:rsid w:val="0F4075C9"/>
    <w:rsid w:val="0F6C03BE"/>
    <w:rsid w:val="10C055FF"/>
    <w:rsid w:val="11345723"/>
    <w:rsid w:val="118107EC"/>
    <w:rsid w:val="11D85350"/>
    <w:rsid w:val="11DD6519"/>
    <w:rsid w:val="120C7C36"/>
    <w:rsid w:val="120E5AD7"/>
    <w:rsid w:val="123326C4"/>
    <w:rsid w:val="12A56119"/>
    <w:rsid w:val="13CF716E"/>
    <w:rsid w:val="13FB08AE"/>
    <w:rsid w:val="149363ED"/>
    <w:rsid w:val="14EA2306"/>
    <w:rsid w:val="155913E5"/>
    <w:rsid w:val="166B5280"/>
    <w:rsid w:val="16B17A0D"/>
    <w:rsid w:val="16BB723D"/>
    <w:rsid w:val="171C0140"/>
    <w:rsid w:val="18015F3F"/>
    <w:rsid w:val="18262B86"/>
    <w:rsid w:val="18387277"/>
    <w:rsid w:val="185E456C"/>
    <w:rsid w:val="19087493"/>
    <w:rsid w:val="19CA6D19"/>
    <w:rsid w:val="1B903686"/>
    <w:rsid w:val="1BC17CE4"/>
    <w:rsid w:val="1BD143CB"/>
    <w:rsid w:val="1BE8440E"/>
    <w:rsid w:val="1C9E055B"/>
    <w:rsid w:val="1CB33AD0"/>
    <w:rsid w:val="1D155CEE"/>
    <w:rsid w:val="1D7F13CF"/>
    <w:rsid w:val="1E8C2760"/>
    <w:rsid w:val="1ED57D2E"/>
    <w:rsid w:val="1F0B2A59"/>
    <w:rsid w:val="1FB3471A"/>
    <w:rsid w:val="1FC47AF5"/>
    <w:rsid w:val="20AE6A88"/>
    <w:rsid w:val="20F57F95"/>
    <w:rsid w:val="21A25EC1"/>
    <w:rsid w:val="21E8421C"/>
    <w:rsid w:val="22520116"/>
    <w:rsid w:val="227A159E"/>
    <w:rsid w:val="22DF27E2"/>
    <w:rsid w:val="23000377"/>
    <w:rsid w:val="23224D40"/>
    <w:rsid w:val="234C07DB"/>
    <w:rsid w:val="23CE5CAC"/>
    <w:rsid w:val="23F53C41"/>
    <w:rsid w:val="240371BF"/>
    <w:rsid w:val="24912949"/>
    <w:rsid w:val="24A577B5"/>
    <w:rsid w:val="25C741E6"/>
    <w:rsid w:val="262D66A1"/>
    <w:rsid w:val="26431A21"/>
    <w:rsid w:val="26A050C5"/>
    <w:rsid w:val="272A230C"/>
    <w:rsid w:val="27842671"/>
    <w:rsid w:val="28E9147E"/>
    <w:rsid w:val="292D0766"/>
    <w:rsid w:val="29426E0B"/>
    <w:rsid w:val="29D10832"/>
    <w:rsid w:val="29FD04D3"/>
    <w:rsid w:val="2A5832D1"/>
    <w:rsid w:val="2A6C52BE"/>
    <w:rsid w:val="2ABE7A3E"/>
    <w:rsid w:val="2B6F150A"/>
    <w:rsid w:val="2C6B42FD"/>
    <w:rsid w:val="2CA70830"/>
    <w:rsid w:val="2DB63EC1"/>
    <w:rsid w:val="2DC25921"/>
    <w:rsid w:val="2E49398E"/>
    <w:rsid w:val="2E5A3DAC"/>
    <w:rsid w:val="2E8B2CC4"/>
    <w:rsid w:val="2E953036"/>
    <w:rsid w:val="2EFA178C"/>
    <w:rsid w:val="30202DD3"/>
    <w:rsid w:val="302137DC"/>
    <w:rsid w:val="30B46D73"/>
    <w:rsid w:val="312F7772"/>
    <w:rsid w:val="313E3132"/>
    <w:rsid w:val="319F7F4E"/>
    <w:rsid w:val="3268644D"/>
    <w:rsid w:val="32E60304"/>
    <w:rsid w:val="333F5C66"/>
    <w:rsid w:val="34CE1F94"/>
    <w:rsid w:val="3544618F"/>
    <w:rsid w:val="364C7972"/>
    <w:rsid w:val="365E4655"/>
    <w:rsid w:val="37092813"/>
    <w:rsid w:val="37B13A6E"/>
    <w:rsid w:val="390F7E89"/>
    <w:rsid w:val="39440A0C"/>
    <w:rsid w:val="39AE70AB"/>
    <w:rsid w:val="39B8407C"/>
    <w:rsid w:val="3A882310"/>
    <w:rsid w:val="3C0C0783"/>
    <w:rsid w:val="3DBC05DF"/>
    <w:rsid w:val="3DC02E1B"/>
    <w:rsid w:val="3DCB7A98"/>
    <w:rsid w:val="3DD57074"/>
    <w:rsid w:val="3E007463"/>
    <w:rsid w:val="3EED6D14"/>
    <w:rsid w:val="3F0D6C18"/>
    <w:rsid w:val="3F795B0E"/>
    <w:rsid w:val="3F9F3A96"/>
    <w:rsid w:val="41EA1493"/>
    <w:rsid w:val="42E42E16"/>
    <w:rsid w:val="4355293C"/>
    <w:rsid w:val="442A7E48"/>
    <w:rsid w:val="44533ED7"/>
    <w:rsid w:val="45CF5744"/>
    <w:rsid w:val="4614088C"/>
    <w:rsid w:val="46D75610"/>
    <w:rsid w:val="47DD7AD0"/>
    <w:rsid w:val="47E726FC"/>
    <w:rsid w:val="48F7696F"/>
    <w:rsid w:val="49372DE2"/>
    <w:rsid w:val="493C27E9"/>
    <w:rsid w:val="496F39ED"/>
    <w:rsid w:val="49FF41D3"/>
    <w:rsid w:val="4A185DC8"/>
    <w:rsid w:val="4AD1533A"/>
    <w:rsid w:val="4BDF0A08"/>
    <w:rsid w:val="4BE068DB"/>
    <w:rsid w:val="4BF6002B"/>
    <w:rsid w:val="4C286B90"/>
    <w:rsid w:val="4C420EAD"/>
    <w:rsid w:val="4CD94F25"/>
    <w:rsid w:val="4CFD207A"/>
    <w:rsid w:val="4D44414D"/>
    <w:rsid w:val="4DC42B98"/>
    <w:rsid w:val="4DCC4263"/>
    <w:rsid w:val="4ECE2238"/>
    <w:rsid w:val="4F4747DE"/>
    <w:rsid w:val="4FDA66A3"/>
    <w:rsid w:val="506D34E7"/>
    <w:rsid w:val="50923421"/>
    <w:rsid w:val="51530621"/>
    <w:rsid w:val="517B5C63"/>
    <w:rsid w:val="51DB4B86"/>
    <w:rsid w:val="5344030E"/>
    <w:rsid w:val="53EF29C0"/>
    <w:rsid w:val="54630617"/>
    <w:rsid w:val="548B3148"/>
    <w:rsid w:val="54D9517B"/>
    <w:rsid w:val="55333C3E"/>
    <w:rsid w:val="56447C20"/>
    <w:rsid w:val="566871BC"/>
    <w:rsid w:val="5780774A"/>
    <w:rsid w:val="5906675A"/>
    <w:rsid w:val="5960230F"/>
    <w:rsid w:val="5A4526F3"/>
    <w:rsid w:val="5B013F65"/>
    <w:rsid w:val="5B6339F0"/>
    <w:rsid w:val="5BEA4A79"/>
    <w:rsid w:val="5DED1994"/>
    <w:rsid w:val="5F4D50E3"/>
    <w:rsid w:val="5F5521EA"/>
    <w:rsid w:val="605C4EB2"/>
    <w:rsid w:val="60EC7A06"/>
    <w:rsid w:val="615D4FB3"/>
    <w:rsid w:val="61BF394A"/>
    <w:rsid w:val="62285994"/>
    <w:rsid w:val="622D4D58"/>
    <w:rsid w:val="62AE1CFD"/>
    <w:rsid w:val="62BA56BF"/>
    <w:rsid w:val="63F41FD1"/>
    <w:rsid w:val="641E2BAA"/>
    <w:rsid w:val="64414217"/>
    <w:rsid w:val="649738D0"/>
    <w:rsid w:val="64CA39A1"/>
    <w:rsid w:val="65273CE0"/>
    <w:rsid w:val="656129DE"/>
    <w:rsid w:val="660404C6"/>
    <w:rsid w:val="665260D1"/>
    <w:rsid w:val="68030A35"/>
    <w:rsid w:val="69041771"/>
    <w:rsid w:val="698660C8"/>
    <w:rsid w:val="6A0E1913"/>
    <w:rsid w:val="6A465F4D"/>
    <w:rsid w:val="6A571217"/>
    <w:rsid w:val="6B80541B"/>
    <w:rsid w:val="6BE0108D"/>
    <w:rsid w:val="6C4A05C8"/>
    <w:rsid w:val="6C712B69"/>
    <w:rsid w:val="6C9A7F51"/>
    <w:rsid w:val="6D4A0EB4"/>
    <w:rsid w:val="6DA51185"/>
    <w:rsid w:val="6DD5377B"/>
    <w:rsid w:val="6DD62748"/>
    <w:rsid w:val="6E9B274D"/>
    <w:rsid w:val="6FDF1AF5"/>
    <w:rsid w:val="70311EB7"/>
    <w:rsid w:val="70343E87"/>
    <w:rsid w:val="706B1F69"/>
    <w:rsid w:val="70E72A6E"/>
    <w:rsid w:val="719064CC"/>
    <w:rsid w:val="71FE0110"/>
    <w:rsid w:val="72395053"/>
    <w:rsid w:val="72734D90"/>
    <w:rsid w:val="73BB0416"/>
    <w:rsid w:val="73F531FC"/>
    <w:rsid w:val="74E366CA"/>
    <w:rsid w:val="757840E4"/>
    <w:rsid w:val="75D532E5"/>
    <w:rsid w:val="797D2564"/>
    <w:rsid w:val="79C913B2"/>
    <w:rsid w:val="79D6193D"/>
    <w:rsid w:val="79E7B28D"/>
    <w:rsid w:val="7AAD7831"/>
    <w:rsid w:val="7BFA5853"/>
    <w:rsid w:val="7C192497"/>
    <w:rsid w:val="7C4116D4"/>
    <w:rsid w:val="7D252DA4"/>
    <w:rsid w:val="7D941903"/>
    <w:rsid w:val="7E0D11C0"/>
    <w:rsid w:val="7E370FE0"/>
    <w:rsid w:val="7E5576B9"/>
    <w:rsid w:val="7E7F4735"/>
    <w:rsid w:val="7E8A1F33"/>
    <w:rsid w:val="7EBF4B32"/>
    <w:rsid w:val="7F233313"/>
    <w:rsid w:val="7F9F20EE"/>
    <w:rsid w:val="7FCC7507"/>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qFormat/>
    <w:uiPriority w:val="99"/>
    <w:pPr>
      <w:spacing w:beforeLines="30"/>
    </w:pPr>
    <w:rPr>
      <w:rFonts w:ascii="仿宋_GB2312" w:eastAsia="仿宋_GB2312"/>
      <w:kern w:val="0"/>
      <w:sz w:val="30"/>
    </w:rPr>
  </w:style>
  <w:style w:type="paragraph" w:styleId="6">
    <w:name w:val="Body Text Indent"/>
    <w:basedOn w:val="1"/>
    <w:qFormat/>
    <w:uiPriority w:val="99"/>
    <w:pPr>
      <w:spacing w:after="120"/>
      <w:ind w:left="420" w:leftChars="200"/>
    </w:pPr>
  </w:style>
  <w:style w:type="paragraph" w:styleId="7">
    <w:name w:val="toc 3"/>
    <w:basedOn w:val="1"/>
    <w:next w:val="1"/>
    <w:unhideWhenUsed/>
    <w:qFormat/>
    <w:uiPriority w:val="39"/>
    <w:pPr>
      <w:tabs>
        <w:tab w:val="right" w:leader="dot" w:pos="8296"/>
      </w:tabs>
      <w:ind w:left="840" w:leftChars="400"/>
    </w:pPr>
  </w:style>
  <w:style w:type="paragraph" w:styleId="8">
    <w:name w:val="Plain Text"/>
    <w:basedOn w:val="1"/>
    <w:semiHidden/>
    <w:qFormat/>
    <w:uiPriority w:val="0"/>
    <w:pPr>
      <w:spacing w:line="620" w:lineRule="exact"/>
      <w:ind w:firstLine="1140" w:firstLineChars="200"/>
    </w:pPr>
    <w:rPr>
      <w:rFonts w:ascii="宋体" w:hAnsi="Courier New" w:eastAsia="仿宋" w:cs="宋体"/>
      <w:sz w:val="32"/>
      <w:szCs w:val="32"/>
    </w:rPr>
  </w:style>
  <w:style w:type="paragraph" w:styleId="9">
    <w:name w:val="Balloon Text"/>
    <w:basedOn w:val="1"/>
    <w:link w:val="31"/>
    <w:semiHidden/>
    <w:unhideWhenUsed/>
    <w:qFormat/>
    <w:uiPriority w:val="99"/>
    <w:rPr>
      <w:sz w:val="18"/>
      <w:szCs w:val="18"/>
    </w:rPr>
  </w:style>
  <w:style w:type="paragraph" w:styleId="10">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w:qFormat/>
    <w:uiPriority w:val="0"/>
    <w:pPr>
      <w:widowControl w:val="0"/>
      <w:spacing w:after="120"/>
      <w:ind w:firstLine="420" w:firstLineChars="100"/>
      <w:jc w:val="both"/>
    </w:pPr>
    <w:rPr>
      <w:rFonts w:ascii="Times New Roman" w:hAnsi="Times New Roman" w:eastAsia="宋体" w:cs="Times New Roman"/>
      <w:kern w:val="2"/>
      <w:sz w:val="21"/>
      <w:lang w:val="en-US" w:eastAsia="zh-CN" w:bidi="ar-SA"/>
    </w:rPr>
  </w:style>
  <w:style w:type="paragraph" w:styleId="15">
    <w:name w:val="Body Text First Indent 2"/>
    <w:basedOn w:val="6"/>
    <w:qFormat/>
    <w:uiPriority w:val="99"/>
    <w:pPr>
      <w:ind w:firstLine="420" w:firstLineChars="200"/>
    </w:pPr>
    <w:rPr>
      <w:rFonts w:cs="Calibri"/>
      <w:szCs w:val="21"/>
    </w:r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customStyle="1" w:styleId="20">
    <w:name w:val="Header Char"/>
    <w:basedOn w:val="17"/>
    <w:semiHidden/>
    <w:qFormat/>
    <w:uiPriority w:val="99"/>
    <w:rPr>
      <w:rFonts w:ascii="Times New Roman" w:hAnsi="Times New Roman"/>
      <w:sz w:val="18"/>
      <w:szCs w:val="18"/>
    </w:rPr>
  </w:style>
  <w:style w:type="character" w:customStyle="1" w:styleId="21">
    <w:name w:val="页眉 Char"/>
    <w:link w:val="11"/>
    <w:semiHidden/>
    <w:qFormat/>
    <w:locked/>
    <w:uiPriority w:val="99"/>
    <w:rPr>
      <w:sz w:val="18"/>
    </w:rPr>
  </w:style>
  <w:style w:type="character" w:customStyle="1" w:styleId="22">
    <w:name w:val="Footer Char"/>
    <w:basedOn w:val="17"/>
    <w:semiHidden/>
    <w:qFormat/>
    <w:uiPriority w:val="99"/>
    <w:rPr>
      <w:rFonts w:ascii="Times New Roman" w:hAnsi="Times New Roman"/>
      <w:sz w:val="18"/>
      <w:szCs w:val="18"/>
    </w:rPr>
  </w:style>
  <w:style w:type="character" w:customStyle="1" w:styleId="23">
    <w:name w:val="页脚 Char"/>
    <w:link w:val="10"/>
    <w:qFormat/>
    <w:locked/>
    <w:uiPriority w:val="99"/>
    <w:rPr>
      <w:sz w:val="18"/>
    </w:rPr>
  </w:style>
  <w:style w:type="character" w:customStyle="1" w:styleId="24">
    <w:name w:val="Body Text Char"/>
    <w:basedOn w:val="17"/>
    <w:semiHidden/>
    <w:qFormat/>
    <w:uiPriority w:val="99"/>
    <w:rPr>
      <w:rFonts w:ascii="Times New Roman" w:hAnsi="Times New Roman"/>
      <w:szCs w:val="24"/>
    </w:rPr>
  </w:style>
  <w:style w:type="character" w:customStyle="1" w:styleId="25">
    <w:name w:val="正文文本 Char"/>
    <w:link w:val="5"/>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7"/>
    <w:link w:val="2"/>
    <w:qFormat/>
    <w:uiPriority w:val="9"/>
    <w:rPr>
      <w:rFonts w:ascii="Times New Roman" w:hAnsi="Times New Roman"/>
      <w:b/>
      <w:bCs/>
      <w:kern w:val="44"/>
      <w:sz w:val="44"/>
      <w:szCs w:val="44"/>
    </w:rPr>
  </w:style>
  <w:style w:type="character" w:customStyle="1" w:styleId="29">
    <w:name w:val="标题 2 Char"/>
    <w:basedOn w:val="17"/>
    <w:link w:val="3"/>
    <w:qFormat/>
    <w:uiPriority w:val="9"/>
    <w:rPr>
      <w:rFonts w:asciiTheme="majorHAnsi" w:hAnsiTheme="majorHAnsi" w:eastAsiaTheme="majorEastAsia" w:cstheme="majorBidi"/>
      <w:b/>
      <w:bCs/>
      <w:kern w:val="2"/>
      <w:sz w:val="32"/>
      <w:szCs w:val="32"/>
    </w:rPr>
  </w:style>
  <w:style w:type="paragraph" w:customStyle="1" w:styleId="3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7"/>
    <w:link w:val="9"/>
    <w:semiHidden/>
    <w:qFormat/>
    <w:uiPriority w:val="99"/>
    <w:rPr>
      <w:rFonts w:ascii="Times New Roman" w:hAnsi="Times New Roman"/>
      <w:kern w:val="2"/>
      <w:sz w:val="18"/>
      <w:szCs w:val="18"/>
    </w:rPr>
  </w:style>
  <w:style w:type="character" w:customStyle="1" w:styleId="32">
    <w:name w:val="标题 3 Char"/>
    <w:basedOn w:val="17"/>
    <w:link w:val="4"/>
    <w:qFormat/>
    <w:uiPriority w:val="9"/>
    <w:rPr>
      <w:rFonts w:ascii="Times New Roman" w:hAnsi="Times New Roman"/>
      <w:b/>
      <w:bCs/>
      <w:kern w:val="2"/>
      <w:sz w:val="32"/>
      <w:szCs w:val="32"/>
    </w:rPr>
  </w:style>
  <w:style w:type="paragraph" w:customStyle="1" w:styleId="33">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 Char Char6"/>
    <w:basedOn w:val="17"/>
    <w:link w:val="2"/>
    <w:qFormat/>
    <w:locked/>
    <w:uiPriority w:val="9"/>
    <w:rPr>
      <w:rFonts w:ascii="Times New Roman" w:hAnsi="Times New Roman" w:cs="Times New Roman"/>
      <w:b/>
      <w:bCs/>
      <w:kern w:val="44"/>
      <w:sz w:val="44"/>
      <w:szCs w:val="44"/>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customStyle="1" w:styleId="36">
    <w:name w:val="四号正文"/>
    <w:basedOn w:val="1"/>
    <w:qFormat/>
    <w:uiPriority w:val="0"/>
    <w:pPr>
      <w:spacing w:line="360" w:lineRule="auto"/>
    </w:pPr>
    <w:rPr>
      <w:rFonts w:ascii="??" w:hAnsi="??" w:eastAsia="宋体"/>
      <w:color w:val="000000"/>
      <w:kern w:val="0"/>
      <w:sz w:val="28"/>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I:\&#20250;&#35745;\&#20915;&#31639;\2022&#20915;&#31639;\2022&#24180;&#20915;&#31639;&#34917;&#20805;&#34920;&#65288;1.15&#65289;.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6700;&#38754;\&#19968;&#20307;&#21270;&#20250;&#35745;&#26680;&#31639;\&#24050;&#26377;&#29992;&#27454;&#35745;&#21010;&#38656;&#25919;&#24220;&#32479;&#31609;&#25910;&#22238;.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26700;&#38754;\&#19968;&#20307;&#21270;&#20250;&#35745;&#26680;&#31639;\&#24050;&#26377;&#29992;&#27454;&#35745;&#21010;&#38656;&#25919;&#24220;&#32479;&#31609;&#25910;&#22238;.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I:\&#20250;&#35745;\&#20915;&#31639;\2022&#20915;&#31639;\2022&#24180;&#20915;&#31639;&#34917;&#20805;&#34920;&#65288;1.15&#65289;.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I:\&#20250;&#35745;\&#20915;&#31639;\2022&#20915;&#31639;\2022&#24180;&#20915;&#31639;&#34917;&#20805;&#34920;&#65288;1.15&#65289;.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26700;&#38754;\&#19968;&#20307;&#21270;&#20250;&#35745;&#26680;&#31639;\&#24050;&#26377;&#29992;&#27454;&#35745;&#21010;&#38656;&#25919;&#24220;&#32479;&#31609;&#25910;&#22238;.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26700;&#38754;\&#19968;&#20307;&#21270;&#20250;&#35745;&#26680;&#31639;\&#24050;&#26377;&#29992;&#27454;&#35745;&#21010;&#38656;&#25919;&#24220;&#32479;&#31609;&#25910;&#2223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图1：收、支决算总计变动情况图</a:t>
            </a:r>
          </a:p>
        </c:rich>
      </c:tx>
      <c:layout/>
      <c:overlay val="0"/>
      <c:spPr>
        <a:noFill/>
        <a:ln>
          <a:noFill/>
        </a:ln>
        <a:effectLst/>
      </c:spPr>
    </c:title>
    <c:autoTitleDeleted val="0"/>
    <c:plotArea>
      <c:layout/>
      <c:barChart>
        <c:barDir val="col"/>
        <c:grouping val="clustered"/>
        <c:varyColors val="0"/>
        <c:ser>
          <c:idx val="0"/>
          <c:order val="0"/>
          <c:tx>
            <c:strRef>
              <c:f>'[2022年决算补充表（1.15）.xls]Sheet3'!$D$12</c:f>
              <c:strCache>
                <c:ptCount val="1"/>
                <c:pt idx="0">
                  <c:v>收入</c:v>
                </c:pt>
              </c:strCache>
            </c:strRef>
          </c:tx>
          <c:spPr>
            <a:solidFill>
              <a:schemeClr val="accent1"/>
            </a:solidFill>
            <a:ln>
              <a:noFill/>
            </a:ln>
            <a:effectLst/>
          </c:spPr>
          <c:invertIfNegative val="0"/>
          <c:dLbls>
            <c:delete val="1"/>
          </c:dLbls>
          <c:cat>
            <c:numRef>
              <c:f>'[2022年决算补充表（1.15）.xls]Sheet3'!$E$11:$F$11</c:f>
              <c:numCache>
                <c:formatCode>General</c:formatCode>
                <c:ptCount val="2"/>
                <c:pt idx="0">
                  <c:v>2021</c:v>
                </c:pt>
                <c:pt idx="1">
                  <c:v>2022</c:v>
                </c:pt>
              </c:numCache>
            </c:numRef>
          </c:cat>
          <c:val>
            <c:numRef>
              <c:f>'[2022年决算补充表（1.15）.xls]Sheet3'!$E$12:$F$12</c:f>
              <c:numCache>
                <c:formatCode>General</c:formatCode>
                <c:ptCount val="2"/>
                <c:pt idx="0">
                  <c:v>442.67</c:v>
                </c:pt>
                <c:pt idx="1">
                  <c:v>519.98</c:v>
                </c:pt>
              </c:numCache>
            </c:numRef>
          </c:val>
        </c:ser>
        <c:ser>
          <c:idx val="1"/>
          <c:order val="1"/>
          <c:tx>
            <c:strRef>
              <c:f>'[2022年决算补充表（1.15）.xls]Sheet3'!$D$13</c:f>
              <c:strCache>
                <c:ptCount val="1"/>
                <c:pt idx="0">
                  <c:v>支出</c:v>
                </c:pt>
              </c:strCache>
            </c:strRef>
          </c:tx>
          <c:spPr>
            <a:solidFill>
              <a:schemeClr val="accent2"/>
            </a:solidFill>
            <a:ln>
              <a:noFill/>
            </a:ln>
            <a:effectLst/>
          </c:spPr>
          <c:invertIfNegative val="0"/>
          <c:dLbls>
            <c:delete val="1"/>
          </c:dLbls>
          <c:cat>
            <c:numRef>
              <c:f>'[2022年决算补充表（1.15）.xls]Sheet3'!$E$11:$F$11</c:f>
              <c:numCache>
                <c:formatCode>General</c:formatCode>
                <c:ptCount val="2"/>
                <c:pt idx="0">
                  <c:v>2021</c:v>
                </c:pt>
                <c:pt idx="1">
                  <c:v>2022</c:v>
                </c:pt>
              </c:numCache>
            </c:numRef>
          </c:cat>
          <c:val>
            <c:numRef>
              <c:f>'[2022年决算补充表（1.15）.xls]Sheet3'!$E$13:$F$13</c:f>
              <c:numCache>
                <c:formatCode>General</c:formatCode>
                <c:ptCount val="2"/>
                <c:pt idx="0">
                  <c:v>442.67</c:v>
                </c:pt>
                <c:pt idx="1">
                  <c:v>512.98</c:v>
                </c:pt>
              </c:numCache>
            </c:numRef>
          </c:val>
        </c:ser>
        <c:dLbls>
          <c:showLegendKey val="0"/>
          <c:showVal val="0"/>
          <c:showCatName val="0"/>
          <c:showSerName val="0"/>
          <c:showPercent val="0"/>
          <c:showBubbleSize val="0"/>
        </c:dLbls>
        <c:gapWidth val="219"/>
        <c:overlap val="-27"/>
        <c:axId val="687821137"/>
        <c:axId val="430664539"/>
      </c:barChart>
      <c:catAx>
        <c:axId val="6878211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0664539"/>
        <c:crosses val="autoZero"/>
        <c:auto val="1"/>
        <c:lblAlgn val="ctr"/>
        <c:lblOffset val="100"/>
        <c:noMultiLvlLbl val="0"/>
      </c:catAx>
      <c:valAx>
        <c:axId val="4306645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8211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图2：收入决算结构图</a:t>
            </a:r>
          </a:p>
        </c:rich>
      </c:tx>
      <c:layout/>
      <c:overlay val="0"/>
      <c:spPr>
        <a:noFill/>
        <a:ln>
          <a:noFill/>
        </a:ln>
        <a:effectLst/>
      </c:spPr>
    </c:title>
    <c:autoTitleDeleted val="0"/>
    <c:plotArea>
      <c:layout/>
      <c:pieChart>
        <c:varyColors val="1"/>
        <c:ser>
          <c:idx val="0"/>
          <c:order val="0"/>
          <c:tx>
            <c:strRef>
              <c:f>[已有用款计划需政府统筹收回.xlsx]Sheet2!$L$15</c:f>
              <c:strCache>
                <c:ptCount val="1"/>
                <c:pt idx="0">
                  <c:v>一般公共预算财政拨款收入</c:v>
                </c:pt>
              </c:strCache>
            </c:strRef>
          </c:tx>
          <c:spPr/>
          <c:explosion val="0"/>
          <c:dPt>
            <c:idx val="0"/>
            <c:bubble3D val="0"/>
            <c:spPr>
              <a:solidFill>
                <a:schemeClr val="accent1"/>
              </a:solidFill>
              <a:ln w="19050">
                <a:solidFill>
                  <a:schemeClr val="lt1"/>
                </a:solidFill>
              </a:ln>
              <a:effectLst/>
            </c:spPr>
          </c:dPt>
          <c:dLbls>
            <c:delete val="1"/>
          </c:dLbls>
          <c:cat>
            <c:strRef>
              <c:f>[已有用款计划需政府统筹收回.xlsx]Sheet2!$M$14</c:f>
              <c:strCache>
                <c:ptCount val="1"/>
                <c:pt idx="0">
                  <c:v>一般公共预算财政拨款收入</c:v>
                </c:pt>
              </c:strCache>
            </c:strRef>
          </c:cat>
          <c:val>
            <c:numRef>
              <c:f>[已有用款计划需政府统筹收回.xlsx]Sheet2!$M$15</c:f>
              <c:numCache>
                <c:formatCode>General</c:formatCode>
                <c:ptCount val="1"/>
                <c:pt idx="0">
                  <c:v>442.67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图3：支出决算结构图</a:t>
            </a:r>
          </a:p>
        </c:rich>
      </c:tx>
      <c:layout/>
      <c:overlay val="0"/>
      <c:spPr>
        <a:noFill/>
        <a:ln>
          <a:noFill/>
        </a:ln>
        <a:effectLst/>
      </c:spPr>
    </c:title>
    <c:autoTitleDeleted val="0"/>
    <c:plotArea>
      <c:layout/>
      <c:pieChart>
        <c:varyColors val="1"/>
        <c:ser>
          <c:idx val="0"/>
          <c:order val="0"/>
          <c:tx>
            <c:strRef>
              <c:f>[已有用款计划需政府统筹收回.xlsx]Sheet2!$L$15</c:f>
              <c:strCache>
                <c:ptCount val="1"/>
                <c:pt idx="0">
                  <c:v>基本支出</c:v>
                </c:pt>
              </c:strCache>
            </c:strRef>
          </c:tx>
          <c:spPr/>
          <c:explosion val="0"/>
          <c:dPt>
            <c:idx val="0"/>
            <c:bubble3D val="0"/>
            <c:spPr>
              <a:solidFill>
                <a:schemeClr val="accent1"/>
              </a:solidFill>
              <a:ln w="19050">
                <a:solidFill>
                  <a:schemeClr val="lt1"/>
                </a:solidFill>
              </a:ln>
              <a:effectLst/>
            </c:spPr>
          </c:dPt>
          <c:dLbls>
            <c:delete val="1"/>
          </c:dLbls>
          <c:cat>
            <c:strRef>
              <c:f>[已有用款计划需政府统筹收回.xlsx]Sheet2!$M$14</c:f>
              <c:strCache>
                <c:ptCount val="1"/>
                <c:pt idx="0">
                  <c:v>基本支出</c:v>
                </c:pt>
              </c:strCache>
            </c:strRef>
          </c:cat>
          <c:val>
            <c:numRef>
              <c:f>[已有用款计划需政府统筹收回.xlsx]Sheet2!$M$15</c:f>
              <c:numCache>
                <c:formatCode>General</c:formatCode>
                <c:ptCount val="1"/>
                <c:pt idx="0">
                  <c:v>442.67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4</a:t>
            </a:r>
            <a:r>
              <a:t>：财政拨款收、支决算总计变动情况</a:t>
            </a:r>
          </a:p>
        </c:rich>
      </c:tx>
      <c:layout/>
      <c:overlay val="0"/>
      <c:spPr>
        <a:noFill/>
        <a:ln>
          <a:noFill/>
        </a:ln>
        <a:effectLst/>
      </c:spPr>
    </c:title>
    <c:autoTitleDeleted val="0"/>
    <c:plotArea>
      <c:layout/>
      <c:barChart>
        <c:barDir val="col"/>
        <c:grouping val="clustered"/>
        <c:varyColors val="0"/>
        <c:ser>
          <c:idx val="0"/>
          <c:order val="0"/>
          <c:tx>
            <c:strRef>
              <c:f>'[2022年决算补充表（1.15）.xls]Sheet3'!$D$12</c:f>
              <c:strCache>
                <c:ptCount val="1"/>
                <c:pt idx="0">
                  <c:v>收入</c:v>
                </c:pt>
              </c:strCache>
            </c:strRef>
          </c:tx>
          <c:spPr>
            <a:solidFill>
              <a:schemeClr val="accent1"/>
            </a:solidFill>
            <a:ln>
              <a:noFill/>
            </a:ln>
            <a:effectLst/>
          </c:spPr>
          <c:invertIfNegative val="0"/>
          <c:dLbls>
            <c:delete val="1"/>
          </c:dLbls>
          <c:cat>
            <c:numRef>
              <c:f>'[2022年决算补充表（1.15）.xls]Sheet3'!$E$11:$F$11</c:f>
              <c:numCache>
                <c:formatCode>General</c:formatCode>
                <c:ptCount val="2"/>
                <c:pt idx="0">
                  <c:v>2021</c:v>
                </c:pt>
                <c:pt idx="1">
                  <c:v>2022</c:v>
                </c:pt>
              </c:numCache>
            </c:numRef>
          </c:cat>
          <c:val>
            <c:numRef>
              <c:f>'[2022年决算补充表（1.15）.xls]Sheet3'!$E$12:$F$12</c:f>
              <c:numCache>
                <c:formatCode>General</c:formatCode>
                <c:ptCount val="2"/>
                <c:pt idx="0">
                  <c:v>442.67</c:v>
                </c:pt>
                <c:pt idx="1">
                  <c:v>519.98</c:v>
                </c:pt>
              </c:numCache>
            </c:numRef>
          </c:val>
        </c:ser>
        <c:ser>
          <c:idx val="1"/>
          <c:order val="1"/>
          <c:tx>
            <c:strRef>
              <c:f>'[2022年决算补充表（1.15）.xls]Sheet3'!$D$13</c:f>
              <c:strCache>
                <c:ptCount val="1"/>
                <c:pt idx="0">
                  <c:v>支出</c:v>
                </c:pt>
              </c:strCache>
            </c:strRef>
          </c:tx>
          <c:spPr>
            <a:solidFill>
              <a:schemeClr val="accent2"/>
            </a:solidFill>
            <a:ln>
              <a:noFill/>
            </a:ln>
            <a:effectLst/>
          </c:spPr>
          <c:invertIfNegative val="0"/>
          <c:dLbls>
            <c:delete val="1"/>
          </c:dLbls>
          <c:cat>
            <c:numRef>
              <c:f>'[2022年决算补充表（1.15）.xls]Sheet3'!$E$11:$F$11</c:f>
              <c:numCache>
                <c:formatCode>General</c:formatCode>
                <c:ptCount val="2"/>
                <c:pt idx="0">
                  <c:v>2021</c:v>
                </c:pt>
                <c:pt idx="1">
                  <c:v>2022</c:v>
                </c:pt>
              </c:numCache>
            </c:numRef>
          </c:cat>
          <c:val>
            <c:numRef>
              <c:f>'[2022年决算补充表（1.15）.xls]Sheet3'!$E$13:$F$13</c:f>
              <c:numCache>
                <c:formatCode>General</c:formatCode>
                <c:ptCount val="2"/>
                <c:pt idx="0">
                  <c:v>442.67</c:v>
                </c:pt>
                <c:pt idx="1">
                  <c:v>512.98</c:v>
                </c:pt>
              </c:numCache>
            </c:numRef>
          </c:val>
        </c:ser>
        <c:dLbls>
          <c:showLegendKey val="0"/>
          <c:showVal val="0"/>
          <c:showCatName val="0"/>
          <c:showSerName val="0"/>
          <c:showPercent val="0"/>
          <c:showBubbleSize val="0"/>
        </c:dLbls>
        <c:gapWidth val="219"/>
        <c:overlap val="-27"/>
        <c:axId val="687821137"/>
        <c:axId val="430664539"/>
      </c:barChart>
      <c:catAx>
        <c:axId val="6878211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0664539"/>
        <c:crosses val="autoZero"/>
        <c:auto val="1"/>
        <c:lblAlgn val="ctr"/>
        <c:lblOffset val="100"/>
        <c:noMultiLvlLbl val="0"/>
      </c:catAx>
      <c:valAx>
        <c:axId val="4306645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8211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图5：一般公共预算财政拨款支出决算变动情况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tx>
            <c:strRef>
              <c:f>'[2022年决算补充表（1.15）.xls]Sheet3'!$D$20</c:f>
              <c:strCache>
                <c:ptCount val="1"/>
                <c:pt idx="0">
                  <c:v>支出</c:v>
                </c:pt>
              </c:strCache>
            </c:strRef>
          </c:tx>
          <c:spPr>
            <a:solidFill>
              <a:schemeClr val="accent1"/>
            </a:solidFill>
            <a:ln>
              <a:noFill/>
            </a:ln>
            <a:effectLst/>
          </c:spPr>
          <c:invertIfNegative val="0"/>
          <c:dLbls>
            <c:delete val="1"/>
          </c:dLbls>
          <c:cat>
            <c:numRef>
              <c:f>'[2022年决算补充表（1.15）.xls]Sheet3'!$E$19:$F$19</c:f>
              <c:numCache>
                <c:formatCode>General</c:formatCode>
                <c:ptCount val="2"/>
                <c:pt idx="0">
                  <c:v>2021</c:v>
                </c:pt>
                <c:pt idx="1">
                  <c:v>2022</c:v>
                </c:pt>
              </c:numCache>
            </c:numRef>
          </c:cat>
          <c:val>
            <c:numRef>
              <c:f>'[2022年决算补充表（1.15）.xls]Sheet3'!$E$20:$F$20</c:f>
              <c:numCache>
                <c:formatCode>General</c:formatCode>
                <c:ptCount val="2"/>
                <c:pt idx="0">
                  <c:v>442.67</c:v>
                </c:pt>
                <c:pt idx="1">
                  <c:v>512.98</c:v>
                </c:pt>
              </c:numCache>
            </c:numRef>
          </c:val>
        </c:ser>
        <c:dLbls>
          <c:showLegendKey val="0"/>
          <c:showVal val="0"/>
          <c:showCatName val="0"/>
          <c:showSerName val="0"/>
          <c:showPercent val="0"/>
          <c:showBubbleSize val="0"/>
        </c:dLbls>
        <c:gapWidth val="219"/>
        <c:overlap val="-27"/>
        <c:axId val="884920399"/>
        <c:axId val="623526199"/>
      </c:barChart>
      <c:catAx>
        <c:axId val="8849203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3526199"/>
        <c:crosses val="autoZero"/>
        <c:auto val="1"/>
        <c:lblAlgn val="ctr"/>
        <c:lblOffset val="100"/>
        <c:noMultiLvlLbl val="0"/>
      </c:catAx>
      <c:valAx>
        <c:axId val="623526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4920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图6：一般公共预算财政拨款支出决算结构</a:t>
            </a:r>
          </a:p>
        </c:rich>
      </c:tx>
      <c:layout/>
      <c:overlay val="0"/>
      <c:spPr>
        <a:noFill/>
        <a:ln>
          <a:noFill/>
        </a:ln>
        <a:effectLst/>
      </c:spPr>
    </c:title>
    <c:autoTitleDeleted val="0"/>
    <c:plotArea>
      <c:layout/>
      <c:pieChart>
        <c:varyColors val="1"/>
        <c:ser>
          <c:idx val="0"/>
          <c:order val="0"/>
          <c:tx>
            <c:strRef>
              <c:f>[已有用款计划需政府统筹收回.xlsx]Sheet2!$G$27</c:f>
              <c:strCache>
                <c:ptCount val="1"/>
                <c:pt idx="0">
                  <c:v>2021年</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[已有用款计划需政府统筹收回.xlsx]Sheet2!$F$28:$F$31</c:f>
              <c:strCache>
                <c:ptCount val="4"/>
                <c:pt idx="0">
                  <c:v>文化旅游体育与传媒</c:v>
                </c:pt>
                <c:pt idx="1">
                  <c:v>社会保障和就业</c:v>
                </c:pt>
                <c:pt idx="2">
                  <c:v>卫生健康支出</c:v>
                </c:pt>
                <c:pt idx="3">
                  <c:v>住房保障支出</c:v>
                </c:pt>
              </c:strCache>
            </c:strRef>
          </c:cat>
          <c:val>
            <c:numRef>
              <c:f>[已有用款计划需政府统筹收回.xlsx]Sheet2!$G$28:$G$31</c:f>
              <c:numCache>
                <c:formatCode>General</c:formatCode>
                <c:ptCount val="4"/>
                <c:pt idx="0">
                  <c:v>392.71</c:v>
                </c:pt>
                <c:pt idx="1">
                  <c:v>18.95</c:v>
                </c:pt>
                <c:pt idx="2">
                  <c:v>10.27</c:v>
                </c:pt>
                <c:pt idx="3">
                  <c:v>20.74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图7：“三公”经费财政拨款支出结构</a:t>
            </a:r>
          </a:p>
        </c:rich>
      </c:tx>
      <c:layout/>
      <c:overlay val="0"/>
      <c:spPr>
        <a:noFill/>
        <a:ln>
          <a:noFill/>
        </a:ln>
        <a:effectLst/>
      </c:spPr>
    </c:title>
    <c:autoTitleDeleted val="0"/>
    <c:plotArea>
      <c:layout/>
      <c:pieChart>
        <c:varyColors val="1"/>
        <c:ser>
          <c:idx val="0"/>
          <c:order val="0"/>
          <c:tx>
            <c:strRef>
              <c:f>[已有用款计划需政府统筹收回.xlsx]Sheet2!$L$28</c:f>
              <c:strCache>
                <c:ptCount val="1"/>
                <c:pt idx="0">
                  <c:v>2021年</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[已有用款计划需政府统筹收回.xlsx]Sheet2!$M$27:$O$27</c:f>
              <c:strCache>
                <c:ptCount val="3"/>
                <c:pt idx="0">
                  <c:v>公务接待费</c:v>
                </c:pt>
                <c:pt idx="1">
                  <c:v>因公出国（境）费</c:v>
                </c:pt>
                <c:pt idx="2">
                  <c:v>公务用车购置及运行维护费</c:v>
                </c:pt>
              </c:strCache>
            </c:strRef>
          </c:cat>
          <c:val>
            <c:numRef>
              <c:f>[已有用款计划需政府统筹收回.xlsx]Sheet2!$M$28:$O$28</c:f>
              <c:numCache>
                <c:formatCode>General</c:formatCode>
                <c:ptCount val="3"/>
                <c:pt idx="0">
                  <c:v>0.5</c:v>
                </c:pt>
                <c:pt idx="1">
                  <c:v>0</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55</Pages>
  <Words>22346</Words>
  <Characters>26390</Characters>
  <Lines>61</Lines>
  <Paragraphs>17</Paragraphs>
  <TotalTime>0</TotalTime>
  <ScaleCrop>false</ScaleCrop>
  <LinksUpToDate>false</LinksUpToDate>
  <CharactersWithSpaces>26482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2022-08-06T02:23:00Z</cp:lastPrinted>
  <dcterms:modified xsi:type="dcterms:W3CDTF">2024-08-01T07:35:51Z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18C4299B72334D3095585539B3212D20</vt:lpwstr>
  </property>
</Properties>
</file>