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auto"/>
          <w:sz w:val="72"/>
          <w:szCs w:val="72"/>
          <w:highlight w:val="none"/>
        </w:rPr>
      </w:pPr>
      <w:bookmarkStart w:id="0" w:name="_Toc15377193"/>
      <w:bookmarkStart w:id="1" w:name="_Toc15378441"/>
      <w:bookmarkStart w:id="2" w:name="_Toc15306267"/>
      <w:bookmarkStart w:id="3" w:name="_Toc15396475"/>
      <w:bookmarkStart w:id="4" w:name="_Toc15377425"/>
      <w:bookmarkStart w:id="5" w:name="_Toc15396597"/>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22</w:t>
      </w:r>
      <w:r>
        <w:rPr>
          <w:rFonts w:hint="eastAsia" w:ascii="方正小标宋简体" w:hAnsi="方正小标宋简体" w:eastAsia="方正小标宋简体" w:cs="方正小标宋简体"/>
          <w:color w:val="auto"/>
          <w:sz w:val="72"/>
          <w:szCs w:val="72"/>
          <w:highlight w:val="none"/>
        </w:rPr>
        <w:t>年度</w:t>
      </w:r>
      <w:bookmarkEnd w:id="0"/>
      <w:bookmarkEnd w:id="1"/>
      <w:bookmarkEnd w:id="2"/>
      <w:bookmarkEnd w:id="3"/>
      <w:bookmarkEnd w:id="4"/>
      <w:bookmarkEnd w:id="5"/>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eastAsia" w:ascii="方正小标宋简体" w:hAnsi="方正小标宋简体" w:eastAsia="方正小标宋简体" w:cs="方正小标宋简体"/>
          <w:color w:val="auto"/>
          <w:sz w:val="66"/>
          <w:szCs w:val="66"/>
          <w:highlight w:val="none"/>
        </w:rPr>
      </w:pPr>
      <w:bookmarkStart w:id="6" w:name="_Toc15396598"/>
      <w:bookmarkStart w:id="7" w:name="_Toc15306268"/>
      <w:bookmarkStart w:id="8" w:name="_Toc15377194"/>
      <w:bookmarkStart w:id="9" w:name="_Toc15396476"/>
      <w:bookmarkStart w:id="10" w:name="_Toc15377426"/>
      <w:bookmarkStart w:id="11" w:name="_Toc15378442"/>
      <w:r>
        <w:rPr>
          <w:rFonts w:hint="eastAsia" w:ascii="方正小标宋简体" w:hAnsi="方正小标宋简体" w:eastAsia="方正小标宋简体" w:cs="方正小标宋简体"/>
          <w:color w:val="auto"/>
          <w:sz w:val="66"/>
          <w:szCs w:val="66"/>
          <w:highlight w:val="none"/>
        </w:rPr>
        <w:t>中共四川省广元市昭化区委</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eastAsia" w:ascii="方正小标宋简体" w:hAnsi="方正小标宋简体" w:eastAsia="方正小标宋简体" w:cs="方正小标宋简体"/>
          <w:color w:val="auto"/>
          <w:sz w:val="66"/>
          <w:szCs w:val="66"/>
          <w:highlight w:val="none"/>
        </w:rPr>
      </w:pPr>
      <w:r>
        <w:rPr>
          <w:rFonts w:hint="eastAsia" w:ascii="方正小标宋简体" w:hAnsi="方正小标宋简体" w:eastAsia="方正小标宋简体" w:cs="方正小标宋简体"/>
          <w:color w:val="auto"/>
          <w:sz w:val="66"/>
          <w:szCs w:val="66"/>
          <w:highlight w:val="none"/>
        </w:rPr>
        <w:t>机构编制委员会办公室</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eastAsia" w:ascii="方正小标宋简体" w:hAnsi="方正小标宋简体" w:eastAsia="方正小标宋简体" w:cs="方正小标宋简体"/>
          <w:color w:val="auto"/>
          <w:sz w:val="66"/>
          <w:szCs w:val="66"/>
          <w:highlight w:val="none"/>
        </w:rPr>
        <w:sectPr>
          <w:footerReference r:id="rId4" w:type="first"/>
          <w:headerReference r:id="rId3" w:type="default"/>
          <w:pgSz w:w="11905" w:h="16838"/>
          <w:pgMar w:top="2098" w:right="1474" w:bottom="1984" w:left="1587" w:header="850" w:footer="1531" w:gutter="0"/>
          <w:pgNumType w:fmt="decimal" w:start="1"/>
          <w:cols w:space="0" w:num="1"/>
          <w:rtlGutter w:val="0"/>
          <w:docGrid w:linePitch="312" w:charSpace="0"/>
        </w:sectPr>
      </w:pPr>
      <w:r>
        <w:rPr>
          <w:rFonts w:hint="eastAsia" w:ascii="方正小标宋简体" w:hAnsi="方正小标宋简体" w:eastAsia="方正小标宋简体" w:cs="方正小标宋简体"/>
          <w:color w:val="auto"/>
          <w:sz w:val="66"/>
          <w:szCs w:val="66"/>
          <w:highlight w:val="none"/>
        </w:rPr>
        <w:t>部门决算</w:t>
      </w:r>
      <w:bookmarkEnd w:id="6"/>
      <w:bookmarkEnd w:id="7"/>
      <w:bookmarkEnd w:id="8"/>
      <w:bookmarkEnd w:id="9"/>
      <w:bookmarkEnd w:id="10"/>
      <w:bookmarkEnd w:id="11"/>
    </w:p>
    <w:p>
      <w:pPr>
        <w:keepNext w:val="0"/>
        <w:keepLines w:val="0"/>
        <w:pageBreakBefore w:val="0"/>
        <w:widowControl w:val="0"/>
        <w:kinsoku/>
        <w:wordWrap/>
        <w:overflowPunct/>
        <w:topLinePunct w:val="0"/>
        <w:autoSpaceDE/>
        <w:autoSpaceDN/>
        <w:bidi w:val="0"/>
        <w:adjustRightInd w:val="0"/>
        <w:snapToGrid w:val="0"/>
        <w:spacing w:line="576" w:lineRule="exact"/>
        <w:jc w:val="center"/>
        <w:textAlignment w:val="auto"/>
        <w:outlineLvl w:val="0"/>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目</w:t>
      </w:r>
      <w:r>
        <w:rPr>
          <w:rFonts w:hint="eastAsia" w:ascii="方正小标宋_GBK" w:hAnsi="方正小标宋_GBK" w:eastAsia="方正小标宋_GBK" w:cs="方正小标宋_GBK"/>
          <w:color w:val="auto"/>
          <w:sz w:val="44"/>
          <w:szCs w:val="44"/>
          <w:highlight w:val="none"/>
          <w:lang w:val="en-US" w:eastAsia="zh-CN"/>
        </w:rPr>
        <w:t xml:space="preserve">        </w:t>
      </w:r>
      <w:r>
        <w:rPr>
          <w:rFonts w:hint="eastAsia" w:ascii="方正小标宋_GBK" w:hAnsi="方正小标宋_GBK" w:eastAsia="方正小标宋_GBK" w:cs="方正小标宋_GBK"/>
          <w:color w:val="auto"/>
          <w:sz w:val="44"/>
          <w:szCs w:val="44"/>
          <w:highlight w:val="none"/>
        </w:rPr>
        <w:t>录</w:t>
      </w:r>
    </w:p>
    <w:p>
      <w:pPr>
        <w:keepNext w:val="0"/>
        <w:keepLines w:val="0"/>
        <w:pageBreakBefore w:val="0"/>
        <w:widowControl/>
        <w:kinsoku/>
        <w:wordWrap/>
        <w:overflowPunct/>
        <w:topLinePunct w:val="0"/>
        <w:autoSpaceDE/>
        <w:autoSpaceDN/>
        <w:bidi w:val="0"/>
        <w:spacing w:line="576" w:lineRule="exact"/>
        <w:jc w:val="center"/>
        <w:textAlignment w:val="auto"/>
        <w:rPr>
          <w:rFonts w:ascii="黑体" w:hAnsi="黑体" w:eastAsia="黑体" w:cstheme="minorBidi"/>
          <w:color w:val="auto"/>
          <w:sz w:val="28"/>
          <w:szCs w:val="28"/>
          <w:highlight w:val="none"/>
        </w:rPr>
      </w:pPr>
    </w:p>
    <w:p>
      <w:pPr>
        <w:pStyle w:val="13"/>
        <w:keepNext w:val="0"/>
        <w:keepLines w:val="0"/>
        <w:pageBreakBefore w:val="0"/>
        <w:kinsoku/>
        <w:wordWrap/>
        <w:overflowPunct/>
        <w:topLinePunct w:val="0"/>
        <w:autoSpaceDE/>
        <w:autoSpaceDN/>
        <w:bidi w:val="0"/>
        <w:spacing w:before="0" w:line="576" w:lineRule="exac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公开时间：20</w:t>
      </w:r>
      <w:r>
        <w:rPr>
          <w:rFonts w:hint="default" w:ascii="Times New Roman" w:hAnsi="Times New Roman" w:eastAsia="仿宋_GB2312" w:cs="Times New Roman"/>
          <w:color w:val="auto"/>
          <w:sz w:val="32"/>
          <w:szCs w:val="32"/>
          <w:highlight w:val="none"/>
          <w:lang w:val="en-US" w:eastAsia="zh-CN"/>
        </w:rPr>
        <w:t>23</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lang w:val="en-US" w:eastAsia="zh-CN"/>
        </w:rPr>
        <w:t>25</w:t>
      </w:r>
      <w:r>
        <w:rPr>
          <w:rFonts w:hint="default" w:ascii="Times New Roman" w:hAnsi="Times New Roman" w:eastAsia="仿宋_GB2312" w:cs="Times New Roman"/>
          <w:color w:val="auto"/>
          <w:sz w:val="32"/>
          <w:szCs w:val="32"/>
          <w:highlight w:val="none"/>
        </w:rPr>
        <w:t>日</w:t>
      </w:r>
    </w:p>
    <w:p>
      <w:pPr>
        <w:keepNext w:val="0"/>
        <w:keepLines w:val="0"/>
        <w:pageBreakBefore w:val="0"/>
        <w:kinsoku/>
        <w:wordWrap/>
        <w:overflowPunct/>
        <w:topLinePunct w:val="0"/>
        <w:autoSpaceDE/>
        <w:autoSpaceDN/>
        <w:bidi w:val="0"/>
        <w:spacing w:line="576" w:lineRule="exact"/>
        <w:textAlignment w:val="auto"/>
        <w:rPr>
          <w:rFonts w:hint="default" w:ascii="Times New Roman" w:hAnsi="Times New Roman" w:eastAsia="仿宋_GB2312" w:cs="Times New Roman"/>
          <w:color w:val="auto"/>
          <w:sz w:val="32"/>
          <w:szCs w:val="32"/>
          <w:highlight w:val="none"/>
        </w:rPr>
      </w:pPr>
    </w:p>
    <w:p>
      <w:pPr>
        <w:pStyle w:val="13"/>
        <w:keepNext w:val="0"/>
        <w:keepLines w:val="0"/>
        <w:pageBreakBefore w:val="0"/>
        <w:kinsoku/>
        <w:wordWrap/>
        <w:overflowPunct/>
        <w:topLinePunct w:val="0"/>
        <w:autoSpaceDE/>
        <w:autoSpaceDN/>
        <w:bidi w:val="0"/>
        <w:adjustRightInd w:val="0"/>
        <w:snapToGrid w:val="0"/>
        <w:spacing w:before="0" w:line="576" w:lineRule="exact"/>
        <w:jc w:val="distribute"/>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第一部分 部门概况</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1</w:t>
      </w:r>
    </w:p>
    <w:p>
      <w:pPr>
        <w:pStyle w:val="15"/>
        <w:keepNext w:val="0"/>
        <w:keepLines w:val="0"/>
        <w:pageBreakBefore w:val="0"/>
        <w:kinsoku/>
        <w:wordWrap/>
        <w:overflowPunct/>
        <w:topLinePunct w:val="0"/>
        <w:autoSpaceDE/>
        <w:autoSpaceDN/>
        <w:bidi w:val="0"/>
        <w:adjustRightInd w:val="0"/>
        <w:snapToGrid w:val="0"/>
        <w:spacing w:line="576" w:lineRule="exact"/>
        <w:jc w:val="distribute"/>
        <w:textAlignment w:val="auto"/>
        <w:rPr>
          <w:rFonts w:hint="default" w:ascii="Times New Roman" w:hAnsi="Times New Roman" w:eastAsia="仿宋_GB2312" w:cs="Times New Roman"/>
          <w:color w:val="auto"/>
          <w:sz w:val="32"/>
          <w:szCs w:val="32"/>
          <w:highlight w:val="none"/>
          <w:lang w:val="en-US"/>
        </w:rPr>
      </w:pPr>
      <w:r>
        <w:rPr>
          <w:rFonts w:hint="default" w:ascii="Times New Roman" w:hAnsi="Times New Roman" w:eastAsia="仿宋_GB2312" w:cs="Times New Roman"/>
          <w:color w:val="auto"/>
          <w:sz w:val="32"/>
          <w:szCs w:val="32"/>
          <w:highlight w:val="none"/>
        </w:rPr>
        <w:t>一、</w:t>
      </w:r>
      <w:r>
        <w:rPr>
          <w:rFonts w:hint="default" w:ascii="Times New Roman" w:hAnsi="Times New Roman" w:eastAsia="仿宋_GB2312" w:cs="Times New Roman"/>
          <w:color w:val="auto"/>
          <w:sz w:val="32"/>
          <w:szCs w:val="32"/>
          <w:highlight w:val="none"/>
          <w:lang w:eastAsia="zh-CN"/>
        </w:rPr>
        <w:t>部门职责</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1</w:t>
      </w:r>
    </w:p>
    <w:p>
      <w:pPr>
        <w:pStyle w:val="15"/>
        <w:keepNext w:val="0"/>
        <w:keepLines w:val="0"/>
        <w:pageBreakBefore w:val="0"/>
        <w:kinsoku/>
        <w:wordWrap/>
        <w:overflowPunct/>
        <w:topLinePunct w:val="0"/>
        <w:autoSpaceDE/>
        <w:autoSpaceDN/>
        <w:bidi w:val="0"/>
        <w:adjustRightInd w:val="0"/>
        <w:snapToGrid w:val="0"/>
        <w:spacing w:line="576" w:lineRule="exact"/>
        <w:jc w:val="distribute"/>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二、机构设置</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2</w:t>
      </w:r>
    </w:p>
    <w:p>
      <w:pPr>
        <w:pStyle w:val="13"/>
        <w:keepNext w:val="0"/>
        <w:keepLines w:val="0"/>
        <w:pageBreakBefore w:val="0"/>
        <w:kinsoku/>
        <w:wordWrap/>
        <w:overflowPunct/>
        <w:topLinePunct w:val="0"/>
        <w:autoSpaceDE/>
        <w:autoSpaceDN/>
        <w:bidi w:val="0"/>
        <w:adjustRightInd w:val="0"/>
        <w:snapToGrid w:val="0"/>
        <w:spacing w:before="0" w:line="576" w:lineRule="exact"/>
        <w:jc w:val="distribute"/>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第二部分</w:t>
      </w:r>
      <w:r>
        <w:rPr>
          <w:rFonts w:hint="default" w:ascii="Times New Roman" w:hAnsi="Times New Roman" w:eastAsia="仿宋_GB2312" w:cs="Times New Roman"/>
          <w:color w:val="auto"/>
          <w:sz w:val="32"/>
          <w:szCs w:val="32"/>
          <w:highlight w:val="none"/>
          <w:lang w:val="en-US" w:eastAsia="zh-CN"/>
        </w:rPr>
        <w:t xml:space="preserve"> 2022年度</w:t>
      </w:r>
      <w:r>
        <w:rPr>
          <w:rFonts w:hint="default" w:ascii="Times New Roman" w:hAnsi="Times New Roman" w:eastAsia="仿宋_GB2312" w:cs="Times New Roman"/>
          <w:color w:val="auto"/>
          <w:sz w:val="32"/>
          <w:szCs w:val="32"/>
          <w:highlight w:val="none"/>
        </w:rPr>
        <w:t>部门决算情况说明</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3</w:t>
      </w:r>
    </w:p>
    <w:p>
      <w:pPr>
        <w:pStyle w:val="15"/>
        <w:keepNext w:val="0"/>
        <w:keepLines w:val="0"/>
        <w:pageBreakBefore w:val="0"/>
        <w:kinsoku/>
        <w:wordWrap/>
        <w:overflowPunct/>
        <w:topLinePunct w:val="0"/>
        <w:autoSpaceDE/>
        <w:autoSpaceDN/>
        <w:bidi w:val="0"/>
        <w:adjustRightInd w:val="0"/>
        <w:snapToGrid w:val="0"/>
        <w:spacing w:line="576" w:lineRule="exact"/>
        <w:jc w:val="distribute"/>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一、收入支出决算总体情况说明</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3</w:t>
      </w:r>
    </w:p>
    <w:p>
      <w:pPr>
        <w:pStyle w:val="15"/>
        <w:keepNext w:val="0"/>
        <w:keepLines w:val="0"/>
        <w:pageBreakBefore w:val="0"/>
        <w:kinsoku/>
        <w:wordWrap/>
        <w:overflowPunct/>
        <w:topLinePunct w:val="0"/>
        <w:autoSpaceDE/>
        <w:autoSpaceDN/>
        <w:bidi w:val="0"/>
        <w:adjustRightInd w:val="0"/>
        <w:snapToGrid w:val="0"/>
        <w:spacing w:line="576" w:lineRule="exact"/>
        <w:jc w:val="distribute"/>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二、收入决算情况说明</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3</w:t>
      </w:r>
    </w:p>
    <w:p>
      <w:pPr>
        <w:pStyle w:val="15"/>
        <w:keepNext w:val="0"/>
        <w:keepLines w:val="0"/>
        <w:pageBreakBefore w:val="0"/>
        <w:kinsoku/>
        <w:wordWrap/>
        <w:overflowPunct/>
        <w:topLinePunct w:val="0"/>
        <w:autoSpaceDE/>
        <w:autoSpaceDN/>
        <w:bidi w:val="0"/>
        <w:adjustRightInd w:val="0"/>
        <w:snapToGrid w:val="0"/>
        <w:spacing w:line="576" w:lineRule="exact"/>
        <w:jc w:val="distribute"/>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三、支出决算情况说明</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4</w:t>
      </w:r>
    </w:p>
    <w:p>
      <w:pPr>
        <w:pStyle w:val="15"/>
        <w:keepNext w:val="0"/>
        <w:keepLines w:val="0"/>
        <w:pageBreakBefore w:val="0"/>
        <w:kinsoku/>
        <w:wordWrap/>
        <w:overflowPunct/>
        <w:topLinePunct w:val="0"/>
        <w:autoSpaceDE/>
        <w:autoSpaceDN/>
        <w:bidi w:val="0"/>
        <w:adjustRightInd w:val="0"/>
        <w:snapToGrid w:val="0"/>
        <w:spacing w:line="576" w:lineRule="exact"/>
        <w:jc w:val="distribute"/>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四、财政拨款收入支出决算总体情况说明</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4</w:t>
      </w:r>
    </w:p>
    <w:p>
      <w:pPr>
        <w:pStyle w:val="15"/>
        <w:keepNext w:val="0"/>
        <w:keepLines w:val="0"/>
        <w:pageBreakBefore w:val="0"/>
        <w:kinsoku/>
        <w:wordWrap/>
        <w:overflowPunct/>
        <w:topLinePunct w:val="0"/>
        <w:autoSpaceDE/>
        <w:autoSpaceDN/>
        <w:bidi w:val="0"/>
        <w:adjustRightInd w:val="0"/>
        <w:snapToGrid w:val="0"/>
        <w:spacing w:line="576" w:lineRule="exact"/>
        <w:jc w:val="distribute"/>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五、一般公共预算财政拨款支出决算情况说明</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5</w:t>
      </w:r>
    </w:p>
    <w:p>
      <w:pPr>
        <w:pStyle w:val="15"/>
        <w:keepNext w:val="0"/>
        <w:keepLines w:val="0"/>
        <w:pageBreakBefore w:val="0"/>
        <w:kinsoku/>
        <w:wordWrap/>
        <w:overflowPunct/>
        <w:topLinePunct w:val="0"/>
        <w:autoSpaceDE/>
        <w:autoSpaceDN/>
        <w:bidi w:val="0"/>
        <w:adjustRightInd w:val="0"/>
        <w:snapToGrid w:val="0"/>
        <w:spacing w:line="576" w:lineRule="exact"/>
        <w:jc w:val="distribute"/>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六、一般公共预算财政拨款基本支出决算情况说明</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7</w:t>
      </w:r>
    </w:p>
    <w:p>
      <w:pPr>
        <w:pStyle w:val="15"/>
        <w:keepNext w:val="0"/>
        <w:keepLines w:val="0"/>
        <w:pageBreakBefore w:val="0"/>
        <w:kinsoku/>
        <w:wordWrap/>
        <w:overflowPunct/>
        <w:topLinePunct w:val="0"/>
        <w:autoSpaceDE/>
        <w:autoSpaceDN/>
        <w:bidi w:val="0"/>
        <w:adjustRightInd w:val="0"/>
        <w:snapToGrid w:val="0"/>
        <w:spacing w:line="576" w:lineRule="exact"/>
        <w:jc w:val="distribute"/>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七、财政拨款</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三公”经费支出决算情况说明</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7</w:t>
      </w:r>
    </w:p>
    <w:p>
      <w:pPr>
        <w:pStyle w:val="15"/>
        <w:keepNext w:val="0"/>
        <w:keepLines w:val="0"/>
        <w:pageBreakBefore w:val="0"/>
        <w:kinsoku/>
        <w:wordWrap/>
        <w:overflowPunct/>
        <w:topLinePunct w:val="0"/>
        <w:autoSpaceDE/>
        <w:autoSpaceDN/>
        <w:bidi w:val="0"/>
        <w:adjustRightInd w:val="0"/>
        <w:snapToGrid w:val="0"/>
        <w:spacing w:line="576" w:lineRule="exact"/>
        <w:jc w:val="distribute"/>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八、政府性基金预算支出决算情况说明</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9</w:t>
      </w:r>
    </w:p>
    <w:p>
      <w:pPr>
        <w:pStyle w:val="15"/>
        <w:keepNext w:val="0"/>
        <w:keepLines w:val="0"/>
        <w:pageBreakBefore w:val="0"/>
        <w:kinsoku/>
        <w:wordWrap/>
        <w:overflowPunct/>
        <w:topLinePunct w:val="0"/>
        <w:autoSpaceDE/>
        <w:autoSpaceDN/>
        <w:bidi w:val="0"/>
        <w:adjustRightInd w:val="0"/>
        <w:snapToGrid w:val="0"/>
        <w:spacing w:line="576" w:lineRule="exact"/>
        <w:ind w:leftChars="0"/>
        <w:jc w:val="distribute"/>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九、</w:t>
      </w:r>
      <w:r>
        <w:rPr>
          <w:rFonts w:hint="default" w:ascii="Times New Roman" w:hAnsi="Times New Roman" w:eastAsia="仿宋_GB2312" w:cs="Times New Roman"/>
          <w:color w:val="auto"/>
          <w:sz w:val="32"/>
          <w:szCs w:val="32"/>
          <w:highlight w:val="none"/>
          <w:lang w:eastAsia="zh-CN"/>
        </w:rPr>
        <w:t>国</w:t>
      </w:r>
      <w:r>
        <w:rPr>
          <w:rFonts w:hint="default" w:ascii="Times New Roman" w:hAnsi="Times New Roman" w:eastAsia="仿宋_GB2312" w:cs="Times New Roman"/>
          <w:color w:val="auto"/>
          <w:sz w:val="32"/>
          <w:szCs w:val="32"/>
          <w:highlight w:val="none"/>
        </w:rPr>
        <w:t>有资本经营预算支出决算情况说明</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9</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560" w:firstLineChars="175"/>
        <w:jc w:val="distribute"/>
        <w:textAlignment w:val="auto"/>
        <w:rPr>
          <w:rFonts w:hint="default" w:ascii="Times New Roman" w:hAnsi="Times New Roman" w:eastAsia="仿宋_GB2312" w:cs="Times New Roman"/>
          <w:color w:val="auto"/>
          <w:sz w:val="32"/>
          <w:szCs w:val="32"/>
          <w:highlight w:val="none"/>
          <w:lang w:val="en-US" w:eastAsia="zh-CN"/>
        </w:rPr>
      </w:pPr>
      <w:r>
        <w:rPr>
          <w:rStyle w:val="22"/>
          <w:rFonts w:hint="default" w:ascii="Times New Roman" w:hAnsi="Times New Roman" w:eastAsia="仿宋_GB2312" w:cs="Times New Roman"/>
          <w:color w:val="auto"/>
          <w:sz w:val="32"/>
          <w:szCs w:val="32"/>
          <w:highlight w:val="none"/>
          <w:u w:val="none"/>
          <w:lang w:eastAsia="zh-CN"/>
        </w:rPr>
        <w:t>十</w:t>
      </w:r>
      <w:r>
        <w:rPr>
          <w:rStyle w:val="22"/>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rPr>
        <w:t>其他重要事项的情况说明</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9</w:t>
      </w:r>
    </w:p>
    <w:p>
      <w:pPr>
        <w:pStyle w:val="13"/>
        <w:keepNext w:val="0"/>
        <w:keepLines w:val="0"/>
        <w:pageBreakBefore w:val="0"/>
        <w:kinsoku/>
        <w:wordWrap/>
        <w:overflowPunct/>
        <w:topLinePunct w:val="0"/>
        <w:autoSpaceDE/>
        <w:autoSpaceDN/>
        <w:bidi w:val="0"/>
        <w:adjustRightInd w:val="0"/>
        <w:snapToGrid w:val="0"/>
        <w:spacing w:before="0" w:line="576" w:lineRule="exact"/>
        <w:jc w:val="distribute"/>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第三部分 名词解释</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11</w:t>
      </w:r>
    </w:p>
    <w:p>
      <w:pPr>
        <w:pStyle w:val="13"/>
        <w:keepNext w:val="0"/>
        <w:keepLines w:val="0"/>
        <w:pageBreakBefore w:val="0"/>
        <w:kinsoku/>
        <w:wordWrap/>
        <w:overflowPunct/>
        <w:topLinePunct w:val="0"/>
        <w:autoSpaceDE/>
        <w:autoSpaceDN/>
        <w:bidi w:val="0"/>
        <w:adjustRightInd w:val="0"/>
        <w:snapToGrid w:val="0"/>
        <w:spacing w:before="0" w:line="576" w:lineRule="exact"/>
        <w:jc w:val="distribute"/>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第四部分 附件</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14</w:t>
      </w:r>
    </w:p>
    <w:p>
      <w:pPr>
        <w:pStyle w:val="13"/>
        <w:keepNext w:val="0"/>
        <w:keepLines w:val="0"/>
        <w:pageBreakBefore w:val="0"/>
        <w:kinsoku/>
        <w:wordWrap/>
        <w:overflowPunct/>
        <w:topLinePunct w:val="0"/>
        <w:autoSpaceDE/>
        <w:autoSpaceDN/>
        <w:bidi w:val="0"/>
        <w:adjustRightInd w:val="0"/>
        <w:snapToGrid w:val="0"/>
        <w:spacing w:before="0" w:line="576" w:lineRule="exact"/>
        <w:jc w:val="distribute"/>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第五部分 附表</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41</w:t>
      </w:r>
    </w:p>
    <w:p>
      <w:pPr>
        <w:pStyle w:val="15"/>
        <w:keepNext w:val="0"/>
        <w:keepLines w:val="0"/>
        <w:pageBreakBefore w:val="0"/>
        <w:kinsoku/>
        <w:wordWrap/>
        <w:overflowPunct/>
        <w:topLinePunct w:val="0"/>
        <w:autoSpaceDE/>
        <w:autoSpaceDN/>
        <w:bidi w:val="0"/>
        <w:adjustRightInd w:val="0"/>
        <w:snapToGrid w:val="0"/>
        <w:spacing w:line="576" w:lineRule="exact"/>
        <w:jc w:val="distribute"/>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一、收入支出决算总表</w:t>
      </w:r>
      <w:r>
        <w:rPr>
          <w:rFonts w:hint="eastAsia" w:ascii="Times New Roman" w:hAnsi="Times New Roman" w:eastAsia="仿宋_GB2312" w:cs="Times New Roman"/>
          <w:color w:val="auto"/>
          <w:sz w:val="32"/>
          <w:szCs w:val="32"/>
          <w:highlight w:val="none"/>
          <w:lang w:eastAsia="zh-CN"/>
        </w:rPr>
        <w:t>……………………………………</w:t>
      </w:r>
      <w:r>
        <w:rPr>
          <w:rFonts w:hint="eastAsia" w:eastAsia="仿宋_GB2312" w:cs="Times New Roman"/>
          <w:color w:val="auto"/>
          <w:sz w:val="32"/>
          <w:szCs w:val="32"/>
          <w:highlight w:val="none"/>
          <w:lang w:eastAsia="zh-CN"/>
        </w:rPr>
        <w:t>…41</w:t>
      </w:r>
      <w:r>
        <w:rPr>
          <w:rFonts w:hint="default" w:ascii="Times New Roman" w:hAnsi="Times New Roman" w:eastAsia="仿宋_GB2312" w:cs="Times New Roman"/>
          <w:color w:val="auto"/>
          <w:sz w:val="32"/>
          <w:szCs w:val="32"/>
          <w:highlight w:val="none"/>
        </w:rPr>
        <w:t>二、收入决算表</w:t>
      </w:r>
      <w:r>
        <w:rPr>
          <w:rFonts w:hint="eastAsia" w:ascii="Times New Roman" w:hAnsi="Times New Roman" w:eastAsia="仿宋_GB2312" w:cs="Times New Roman"/>
          <w:color w:val="auto"/>
          <w:sz w:val="32"/>
          <w:szCs w:val="32"/>
          <w:highlight w:val="none"/>
          <w:lang w:eastAsia="zh-CN"/>
        </w:rPr>
        <w:t>……………………………………………</w:t>
      </w:r>
      <w:r>
        <w:rPr>
          <w:rFonts w:hint="eastAsia" w:eastAsia="仿宋_GB2312" w:cs="Times New Roman"/>
          <w:color w:val="auto"/>
          <w:sz w:val="32"/>
          <w:szCs w:val="32"/>
          <w:highlight w:val="none"/>
          <w:lang w:eastAsia="zh-CN"/>
        </w:rPr>
        <w:t>…41</w:t>
      </w:r>
      <w:r>
        <w:rPr>
          <w:rFonts w:hint="default" w:ascii="Times New Roman" w:hAnsi="Times New Roman" w:eastAsia="仿宋_GB2312" w:cs="Times New Roman"/>
          <w:color w:val="auto"/>
          <w:sz w:val="32"/>
          <w:szCs w:val="32"/>
          <w:highlight w:val="none"/>
        </w:rPr>
        <w:t>三、支出决算表</w:t>
      </w:r>
      <w:r>
        <w:rPr>
          <w:rFonts w:hint="eastAsia" w:ascii="Times New Roman" w:hAnsi="Times New Roman" w:eastAsia="仿宋_GB2312" w:cs="Times New Roman"/>
          <w:color w:val="auto"/>
          <w:sz w:val="32"/>
          <w:szCs w:val="32"/>
          <w:highlight w:val="none"/>
          <w:lang w:eastAsia="zh-CN"/>
        </w:rPr>
        <w:t>……………………………………………</w:t>
      </w:r>
      <w:r>
        <w:rPr>
          <w:rFonts w:hint="eastAsia" w:eastAsia="仿宋_GB2312" w:cs="Times New Roman"/>
          <w:color w:val="auto"/>
          <w:sz w:val="32"/>
          <w:szCs w:val="32"/>
          <w:highlight w:val="none"/>
          <w:lang w:eastAsia="zh-CN"/>
        </w:rPr>
        <w:t>…41</w:t>
      </w:r>
      <w:r>
        <w:rPr>
          <w:rFonts w:hint="default" w:ascii="Times New Roman" w:hAnsi="Times New Roman" w:eastAsia="仿宋_GB2312" w:cs="Times New Roman"/>
          <w:color w:val="auto"/>
          <w:sz w:val="32"/>
          <w:szCs w:val="32"/>
          <w:highlight w:val="none"/>
        </w:rPr>
        <w:t>四、财政拨款收入支出决算总表</w:t>
      </w:r>
      <w:r>
        <w:rPr>
          <w:rFonts w:hint="eastAsia" w:ascii="Times New Roman" w:hAnsi="Times New Roman" w:eastAsia="仿宋_GB2312" w:cs="Times New Roman"/>
          <w:color w:val="auto"/>
          <w:sz w:val="32"/>
          <w:szCs w:val="32"/>
          <w:highlight w:val="none"/>
          <w:lang w:eastAsia="zh-CN"/>
        </w:rPr>
        <w:t>…………………………</w:t>
      </w:r>
      <w:r>
        <w:rPr>
          <w:rFonts w:hint="eastAsia" w:eastAsia="仿宋_GB2312" w:cs="Times New Roman"/>
          <w:color w:val="auto"/>
          <w:sz w:val="32"/>
          <w:szCs w:val="32"/>
          <w:highlight w:val="none"/>
          <w:lang w:eastAsia="zh-CN"/>
        </w:rPr>
        <w:t>…41</w:t>
      </w:r>
      <w:r>
        <w:rPr>
          <w:rFonts w:hint="default" w:ascii="Times New Roman" w:hAnsi="Times New Roman" w:eastAsia="仿宋_GB2312" w:cs="Times New Roman"/>
          <w:color w:val="auto"/>
          <w:sz w:val="32"/>
          <w:szCs w:val="32"/>
          <w:highlight w:val="none"/>
        </w:rPr>
        <w:t>五、财政拨款支出决算明细表</w:t>
      </w:r>
      <w:r>
        <w:rPr>
          <w:rFonts w:hint="eastAsia" w:ascii="Times New Roman" w:hAnsi="Times New Roman" w:eastAsia="仿宋_GB2312" w:cs="Times New Roman"/>
          <w:color w:val="auto"/>
          <w:sz w:val="32"/>
          <w:szCs w:val="32"/>
          <w:highlight w:val="none"/>
          <w:lang w:eastAsia="zh-CN"/>
        </w:rPr>
        <w:t>……………………………</w:t>
      </w:r>
      <w:r>
        <w:rPr>
          <w:rFonts w:hint="eastAsia" w:eastAsia="仿宋_GB2312" w:cs="Times New Roman"/>
          <w:color w:val="auto"/>
          <w:sz w:val="32"/>
          <w:szCs w:val="32"/>
          <w:highlight w:val="none"/>
          <w:lang w:eastAsia="zh-CN"/>
        </w:rPr>
        <w:t>…41</w:t>
      </w:r>
    </w:p>
    <w:p>
      <w:pPr>
        <w:pStyle w:val="15"/>
        <w:keepNext w:val="0"/>
        <w:keepLines w:val="0"/>
        <w:pageBreakBefore w:val="0"/>
        <w:kinsoku/>
        <w:wordWrap/>
        <w:overflowPunct/>
        <w:topLinePunct w:val="0"/>
        <w:autoSpaceDE/>
        <w:autoSpaceDN/>
        <w:bidi w:val="0"/>
        <w:adjustRightInd w:val="0"/>
        <w:snapToGrid w:val="0"/>
        <w:spacing w:line="576" w:lineRule="exact"/>
        <w:jc w:val="distribute"/>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六、一般公共预算财政拨款支出决算表</w:t>
      </w:r>
      <w:r>
        <w:rPr>
          <w:rFonts w:hint="eastAsia" w:ascii="Times New Roman" w:hAnsi="Times New Roman" w:eastAsia="仿宋_GB2312" w:cs="Times New Roman"/>
          <w:color w:val="auto"/>
          <w:sz w:val="32"/>
          <w:szCs w:val="32"/>
          <w:highlight w:val="none"/>
          <w:lang w:eastAsia="zh-CN"/>
        </w:rPr>
        <w:t>…………………</w:t>
      </w:r>
      <w:r>
        <w:rPr>
          <w:rFonts w:hint="eastAsia" w:eastAsia="仿宋_GB2312" w:cs="Times New Roman"/>
          <w:color w:val="auto"/>
          <w:sz w:val="32"/>
          <w:szCs w:val="32"/>
          <w:highlight w:val="none"/>
          <w:lang w:eastAsia="zh-CN"/>
        </w:rPr>
        <w:t>…41</w:t>
      </w:r>
      <w:r>
        <w:rPr>
          <w:rFonts w:hint="default" w:ascii="Times New Roman" w:hAnsi="Times New Roman" w:eastAsia="仿宋_GB2312" w:cs="Times New Roman"/>
          <w:color w:val="auto"/>
          <w:sz w:val="32"/>
          <w:szCs w:val="32"/>
          <w:highlight w:val="none"/>
        </w:rPr>
        <w:t>七、一般公共预算财政拨款支出决算明细表</w:t>
      </w:r>
      <w:r>
        <w:rPr>
          <w:rFonts w:hint="eastAsia" w:ascii="Times New Roman" w:hAnsi="Times New Roman" w:eastAsia="仿宋_GB2312" w:cs="Times New Roman"/>
          <w:color w:val="auto"/>
          <w:sz w:val="32"/>
          <w:szCs w:val="32"/>
          <w:highlight w:val="none"/>
          <w:lang w:eastAsia="zh-CN"/>
        </w:rPr>
        <w:t>……………</w:t>
      </w:r>
      <w:r>
        <w:rPr>
          <w:rFonts w:hint="eastAsia" w:eastAsia="仿宋_GB2312" w:cs="Times New Roman"/>
          <w:color w:val="auto"/>
          <w:sz w:val="32"/>
          <w:szCs w:val="32"/>
          <w:highlight w:val="none"/>
          <w:lang w:eastAsia="zh-CN"/>
        </w:rPr>
        <w:t>…41</w:t>
      </w:r>
      <w:r>
        <w:rPr>
          <w:rFonts w:hint="default" w:ascii="Times New Roman" w:hAnsi="Times New Roman" w:eastAsia="仿宋_GB2312" w:cs="Times New Roman"/>
          <w:color w:val="auto"/>
          <w:sz w:val="32"/>
          <w:szCs w:val="32"/>
          <w:highlight w:val="none"/>
        </w:rPr>
        <w:t>八、一般公共预算财政拨款基本支出决算</w:t>
      </w:r>
      <w:r>
        <w:rPr>
          <w:rFonts w:hint="default" w:ascii="Times New Roman" w:hAnsi="Times New Roman" w:eastAsia="仿宋_GB2312" w:cs="Times New Roman"/>
          <w:color w:val="auto"/>
          <w:sz w:val="32"/>
          <w:szCs w:val="32"/>
          <w:highlight w:val="none"/>
          <w:lang w:eastAsia="zh-CN"/>
        </w:rPr>
        <w:t>明细</w:t>
      </w:r>
      <w:r>
        <w:rPr>
          <w:rFonts w:hint="default" w:ascii="Times New Roman" w:hAnsi="Times New Roman" w:eastAsia="仿宋_GB2312" w:cs="Times New Roman"/>
          <w:color w:val="auto"/>
          <w:sz w:val="32"/>
          <w:szCs w:val="32"/>
          <w:highlight w:val="none"/>
        </w:rPr>
        <w:t>表</w:t>
      </w:r>
      <w:r>
        <w:rPr>
          <w:rFonts w:hint="eastAsia" w:ascii="Times New Roman" w:hAnsi="Times New Roman" w:eastAsia="仿宋_GB2312" w:cs="Times New Roman"/>
          <w:color w:val="auto"/>
          <w:sz w:val="32"/>
          <w:szCs w:val="32"/>
          <w:highlight w:val="none"/>
          <w:lang w:eastAsia="zh-CN"/>
        </w:rPr>
        <w:t>………</w:t>
      </w:r>
      <w:r>
        <w:rPr>
          <w:rFonts w:hint="eastAsia" w:eastAsia="仿宋_GB2312" w:cs="Times New Roman"/>
          <w:color w:val="auto"/>
          <w:sz w:val="32"/>
          <w:szCs w:val="32"/>
          <w:highlight w:val="none"/>
          <w:lang w:eastAsia="zh-CN"/>
        </w:rPr>
        <w:t>…41</w:t>
      </w:r>
    </w:p>
    <w:p>
      <w:pPr>
        <w:pStyle w:val="15"/>
        <w:keepNext w:val="0"/>
        <w:keepLines w:val="0"/>
        <w:pageBreakBefore w:val="0"/>
        <w:kinsoku/>
        <w:wordWrap/>
        <w:overflowPunct/>
        <w:topLinePunct w:val="0"/>
        <w:autoSpaceDE/>
        <w:autoSpaceDN/>
        <w:bidi w:val="0"/>
        <w:adjustRightInd w:val="0"/>
        <w:snapToGrid w:val="0"/>
        <w:spacing w:line="576" w:lineRule="exact"/>
        <w:jc w:val="distribute"/>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九、一般公共预算财政拨款项目支出决算表</w:t>
      </w:r>
      <w:r>
        <w:rPr>
          <w:rFonts w:hint="eastAsia" w:ascii="Times New Roman" w:hAnsi="Times New Roman" w:eastAsia="仿宋_GB2312" w:cs="Times New Roman"/>
          <w:color w:val="auto"/>
          <w:sz w:val="32"/>
          <w:szCs w:val="32"/>
          <w:highlight w:val="none"/>
          <w:lang w:eastAsia="zh-CN"/>
        </w:rPr>
        <w:t>……………</w:t>
      </w:r>
      <w:r>
        <w:rPr>
          <w:rFonts w:hint="eastAsia" w:eastAsia="仿宋_GB2312" w:cs="Times New Roman"/>
          <w:color w:val="auto"/>
          <w:sz w:val="32"/>
          <w:szCs w:val="32"/>
          <w:highlight w:val="none"/>
          <w:lang w:eastAsia="zh-CN"/>
        </w:rPr>
        <w:t>…41</w:t>
      </w:r>
      <w:r>
        <w:rPr>
          <w:rFonts w:hint="default" w:ascii="Times New Roman" w:hAnsi="Times New Roman" w:eastAsia="仿宋_GB2312" w:cs="Times New Roman"/>
          <w:color w:val="auto"/>
          <w:sz w:val="32"/>
          <w:szCs w:val="32"/>
          <w:highlight w:val="none"/>
        </w:rPr>
        <w:t>十、政府性基金预算财政拨款收入支出决算表</w:t>
      </w:r>
      <w:r>
        <w:rPr>
          <w:rFonts w:hint="eastAsia" w:ascii="Times New Roman" w:hAnsi="Times New Roman" w:eastAsia="仿宋_GB2312" w:cs="Times New Roman"/>
          <w:color w:val="auto"/>
          <w:sz w:val="32"/>
          <w:szCs w:val="32"/>
          <w:highlight w:val="none"/>
          <w:lang w:eastAsia="zh-CN"/>
        </w:rPr>
        <w:t>…………</w:t>
      </w:r>
      <w:r>
        <w:rPr>
          <w:rFonts w:hint="eastAsia" w:eastAsia="仿宋_GB2312" w:cs="Times New Roman"/>
          <w:color w:val="auto"/>
          <w:sz w:val="32"/>
          <w:szCs w:val="32"/>
          <w:highlight w:val="none"/>
          <w:lang w:eastAsia="zh-CN"/>
        </w:rPr>
        <w:t>…41</w:t>
      </w:r>
      <w:r>
        <w:rPr>
          <w:rFonts w:hint="default" w:ascii="Times New Roman" w:hAnsi="Times New Roman" w:eastAsia="仿宋_GB2312" w:cs="Times New Roman"/>
          <w:color w:val="auto"/>
          <w:sz w:val="32"/>
          <w:szCs w:val="32"/>
          <w:highlight w:val="none"/>
        </w:rPr>
        <w:t>十一、国有资本经营预算财政拨款收入支出决算表</w:t>
      </w:r>
      <w:r>
        <w:rPr>
          <w:rFonts w:hint="eastAsia" w:ascii="Times New Roman" w:hAnsi="Times New Roman" w:eastAsia="仿宋_GB2312" w:cs="Times New Roman"/>
          <w:color w:val="auto"/>
          <w:sz w:val="32"/>
          <w:szCs w:val="32"/>
          <w:highlight w:val="none"/>
          <w:lang w:eastAsia="zh-CN"/>
        </w:rPr>
        <w:t>……</w:t>
      </w:r>
      <w:r>
        <w:rPr>
          <w:rFonts w:hint="eastAsia" w:eastAsia="仿宋_GB2312" w:cs="Times New Roman"/>
          <w:color w:val="auto"/>
          <w:sz w:val="32"/>
          <w:szCs w:val="32"/>
          <w:highlight w:val="none"/>
          <w:lang w:eastAsia="zh-CN"/>
        </w:rPr>
        <w:t>…41</w:t>
      </w:r>
      <w:r>
        <w:rPr>
          <w:rFonts w:hint="default" w:ascii="Times New Roman" w:hAnsi="Times New Roman" w:eastAsia="仿宋_GB2312" w:cs="Times New Roman"/>
          <w:color w:val="auto"/>
          <w:sz w:val="32"/>
          <w:szCs w:val="32"/>
          <w:highlight w:val="none"/>
        </w:rPr>
        <w:t>十二、</w:t>
      </w:r>
      <w:r>
        <w:rPr>
          <w:rFonts w:hint="default" w:ascii="Times New Roman" w:hAnsi="Times New Roman" w:eastAsia="仿宋_GB2312" w:cs="Times New Roman"/>
          <w:color w:val="auto"/>
          <w:sz w:val="32"/>
          <w:szCs w:val="32"/>
          <w:highlight w:val="none"/>
          <w:lang w:val="en-US" w:eastAsia="zh-CN"/>
        </w:rPr>
        <w:t>国有资本经营预算财政拨款支出决算表</w:t>
      </w:r>
      <w:r>
        <w:rPr>
          <w:rFonts w:hint="eastAsia" w:ascii="Times New Roman" w:hAnsi="Times New Roman"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val="en-US" w:eastAsia="zh-CN"/>
        </w:rPr>
        <w:t>…41</w:t>
      </w:r>
    </w:p>
    <w:p>
      <w:pPr>
        <w:pStyle w:val="15"/>
        <w:keepNext w:val="0"/>
        <w:keepLines w:val="0"/>
        <w:pageBreakBefore w:val="0"/>
        <w:kinsoku/>
        <w:wordWrap/>
        <w:overflowPunct/>
        <w:topLinePunct w:val="0"/>
        <w:autoSpaceDE/>
        <w:autoSpaceDN/>
        <w:bidi w:val="0"/>
        <w:adjustRightInd w:val="0"/>
        <w:snapToGrid w:val="0"/>
        <w:spacing w:line="576" w:lineRule="exact"/>
        <w:jc w:val="distribute"/>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十三、财政拨款“三公”经费支出决算表</w:t>
      </w:r>
      <w:r>
        <w:rPr>
          <w:rFonts w:hint="eastAsia" w:ascii="Times New Roman" w:hAnsi="Times New Roman" w:eastAsia="仿宋_GB2312" w:cs="Times New Roman"/>
          <w:color w:val="auto"/>
          <w:sz w:val="32"/>
          <w:szCs w:val="32"/>
          <w:highlight w:val="none"/>
          <w:lang w:eastAsia="zh-CN"/>
        </w:rPr>
        <w:t>…………………</w:t>
      </w:r>
      <w:r>
        <w:rPr>
          <w:rFonts w:hint="eastAsia" w:eastAsia="仿宋_GB2312" w:cs="Times New Roman"/>
          <w:color w:val="auto"/>
          <w:sz w:val="32"/>
          <w:szCs w:val="32"/>
          <w:highlight w:val="none"/>
          <w:lang w:eastAsia="zh-CN"/>
        </w:rPr>
        <w:t>…41</w:t>
      </w:r>
    </w:p>
    <w:p>
      <w:pPr>
        <w:widowControl/>
        <w:adjustRightInd w:val="0"/>
        <w:snapToGrid w:val="0"/>
        <w:spacing w:line="440" w:lineRule="exact"/>
        <w:ind w:firstLine="1320" w:firstLineChars="550"/>
        <w:jc w:val="left"/>
        <w:rPr>
          <w:rFonts w:ascii="仿宋" w:hAnsi="仿宋" w:eastAsia="仿宋"/>
          <w:color w:val="auto"/>
          <w:sz w:val="24"/>
          <w:highlight w:val="none"/>
        </w:rPr>
      </w:pPr>
    </w:p>
    <w:p>
      <w:pPr>
        <w:pStyle w:val="3"/>
        <w:keepNext w:val="0"/>
        <w:keepLines w:val="0"/>
        <w:pageBreakBefore w:val="0"/>
        <w:widowControl w:val="0"/>
        <w:kinsoku/>
        <w:wordWrap/>
        <w:overflowPunct/>
        <w:topLinePunct w:val="0"/>
        <w:autoSpaceDE/>
        <w:autoSpaceDN/>
        <w:bidi w:val="0"/>
        <w:spacing w:before="0" w:after="0" w:line="576" w:lineRule="exact"/>
        <w:ind w:left="0" w:leftChars="0" w:firstLine="0" w:firstLineChars="0"/>
        <w:jc w:val="center"/>
        <w:textAlignment w:val="auto"/>
        <w:rPr>
          <w:rFonts w:hint="eastAsia" w:ascii="黑体" w:hAnsi="黑体" w:eastAsia="黑体"/>
          <w:b w:val="0"/>
          <w:color w:val="auto"/>
          <w:highlight w:val="none"/>
        </w:rPr>
        <w:sectPr>
          <w:footerReference r:id="rId5" w:type="default"/>
          <w:pgSz w:w="11905" w:h="16838"/>
          <w:pgMar w:top="2098" w:right="1474" w:bottom="1984" w:left="1587" w:header="850" w:footer="1531" w:gutter="0"/>
          <w:pgNumType w:fmt="decimal" w:start="1"/>
          <w:cols w:space="0" w:num="1"/>
          <w:rtlGutter w:val="0"/>
          <w:docGrid w:linePitch="312" w:charSpace="0"/>
        </w:sectPr>
      </w:pPr>
      <w:bookmarkStart w:id="12" w:name="_Toc15396599"/>
      <w:bookmarkStart w:id="13" w:name="_Toc15377196"/>
    </w:p>
    <w:p>
      <w:pPr>
        <w:pStyle w:val="3"/>
        <w:keepNext w:val="0"/>
        <w:keepLines w:val="0"/>
        <w:pageBreakBefore w:val="0"/>
        <w:widowControl w:val="0"/>
        <w:kinsoku/>
        <w:wordWrap/>
        <w:overflowPunct/>
        <w:topLinePunct w:val="0"/>
        <w:autoSpaceDE/>
        <w:autoSpaceDN/>
        <w:bidi w:val="0"/>
        <w:spacing w:before="0" w:after="0" w:line="576" w:lineRule="exact"/>
        <w:ind w:left="0" w:leftChars="0" w:firstLine="0" w:firstLineChars="0"/>
        <w:jc w:val="center"/>
        <w:textAlignment w:val="auto"/>
        <w:rPr>
          <w:rStyle w:val="31"/>
          <w:rFonts w:ascii="黑体" w:hAnsi="黑体" w:eastAsia="黑体"/>
          <w:b/>
          <w:bCs w:val="0"/>
          <w:color w:val="auto"/>
          <w:highlight w:val="none"/>
        </w:rPr>
      </w:pPr>
      <w:r>
        <w:rPr>
          <w:rFonts w:hint="eastAsia" w:ascii="黑体" w:hAnsi="黑体" w:eastAsia="黑体"/>
          <w:b w:val="0"/>
          <w:color w:val="auto"/>
          <w:highlight w:val="none"/>
        </w:rPr>
        <w:t xml:space="preserve">第一部分 </w:t>
      </w:r>
      <w:r>
        <w:rPr>
          <w:rStyle w:val="31"/>
          <w:rFonts w:hint="eastAsia" w:ascii="黑体" w:hAnsi="黑体" w:eastAsia="黑体"/>
          <w:b w:val="0"/>
          <w:bCs w:val="0"/>
          <w:color w:val="auto"/>
          <w:highlight w:val="none"/>
        </w:rPr>
        <w:t>部门概况</w:t>
      </w:r>
      <w:bookmarkEnd w:id="12"/>
      <w:bookmarkEnd w:id="13"/>
    </w:p>
    <w:p>
      <w:pPr>
        <w:keepNext w:val="0"/>
        <w:keepLines w:val="0"/>
        <w:pageBreakBefore w:val="0"/>
        <w:widowControl w:val="0"/>
        <w:kinsoku/>
        <w:wordWrap/>
        <w:overflowPunct/>
        <w:topLinePunct w:val="0"/>
        <w:autoSpaceDE/>
        <w:autoSpaceDN/>
        <w:bidi w:val="0"/>
        <w:spacing w:line="576" w:lineRule="exact"/>
        <w:ind w:firstLine="640" w:firstLineChars="200"/>
        <w:jc w:val="both"/>
        <w:textAlignment w:val="auto"/>
        <w:rPr>
          <w:rFonts w:ascii="黑体" w:eastAsia="黑体"/>
          <w:color w:val="auto"/>
          <w:sz w:val="32"/>
          <w:szCs w:val="32"/>
          <w:highlight w:val="none"/>
        </w:rPr>
      </w:pPr>
    </w:p>
    <w:p>
      <w:pPr>
        <w:pStyle w:val="4"/>
        <w:keepNext w:val="0"/>
        <w:keepLines w:val="0"/>
        <w:pageBreakBefore w:val="0"/>
        <w:widowControl w:val="0"/>
        <w:numPr>
          <w:ilvl w:val="0"/>
          <w:numId w:val="1"/>
        </w:numPr>
        <w:kinsoku/>
        <w:wordWrap/>
        <w:overflowPunct/>
        <w:topLinePunct w:val="0"/>
        <w:autoSpaceDE/>
        <w:autoSpaceDN/>
        <w:bidi w:val="0"/>
        <w:spacing w:before="0" w:after="0" w:line="576" w:lineRule="exact"/>
        <w:ind w:firstLine="640" w:firstLineChars="200"/>
        <w:jc w:val="both"/>
        <w:textAlignment w:val="auto"/>
        <w:rPr>
          <w:rFonts w:hint="eastAsia" w:ascii="黑体" w:hAnsi="黑体" w:eastAsia="黑体"/>
          <w:b w:val="0"/>
          <w:color w:val="auto"/>
          <w:highlight w:val="none"/>
          <w:lang w:eastAsia="zh-CN"/>
        </w:rPr>
      </w:pPr>
      <w:r>
        <w:rPr>
          <w:rFonts w:hint="eastAsia" w:ascii="黑体" w:hAnsi="黑体" w:eastAsia="黑体"/>
          <w:b w:val="0"/>
          <w:color w:val="auto"/>
          <w:highlight w:val="none"/>
          <w:lang w:eastAsia="zh-CN"/>
        </w:rPr>
        <w:t>部门职责</w:t>
      </w:r>
    </w:p>
    <w:p>
      <w:pPr>
        <w:pStyle w:val="1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textAlignment w:val="auto"/>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1、贯彻执行中央关于行政管理体制改革和机构改革、事业单位改革及机构编制管理的方针政策、法律法规规章，研究起草规章草案、规范性文件，制定相关政策并监督实施。</w:t>
      </w:r>
    </w:p>
    <w:p>
      <w:pPr>
        <w:pStyle w:val="1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textAlignment w:val="auto"/>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2、研究拟订全区行政管理体制改革和机构改革方案，审核区级部门“三定”规定和乡镇（街道）机构改革方案，指导各乡镇（街道）、各部门行政管理体制改革和机构改革，评估改革效果，参与行政审批制度改革和行政区划调整的有关工作。</w:t>
      </w:r>
    </w:p>
    <w:p>
      <w:pPr>
        <w:pStyle w:val="1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textAlignment w:val="auto"/>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3、拟订全区各级行政编制总额分配方案，分配政法专项编制。负责全区行政事业编制总量控制和机关事业单位机构编制实名制管理工作，对区直机关和区属事业单位使用空缺编制补充人员进行核批。</w:t>
      </w:r>
    </w:p>
    <w:p>
      <w:pPr>
        <w:pStyle w:val="1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textAlignment w:val="auto"/>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4、负责区委、区政府各部门，区人大、区政协机关，区法院、区检察院机关，各民主党派区委机关、区人民团体机关的机构编制管理工作。协调区级部门之间的职责分工。</w:t>
      </w:r>
    </w:p>
    <w:p>
      <w:pPr>
        <w:pStyle w:val="1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textAlignment w:val="auto"/>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5、给市委编委呈报副科级或按照副科级及以上规格管理机构的设置、调整。</w:t>
      </w:r>
    </w:p>
    <w:p>
      <w:pPr>
        <w:pStyle w:val="1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textAlignment w:val="auto"/>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6、研究拟订全区事业单位改革方案和事业单位编制标准及实施意见，负责区属事业单位机构编制管理，审核区属事业单位的机构编制方案，负责参照《</w:t>
      </w:r>
      <w:r>
        <w:rPr>
          <w:rFonts w:hint="default" w:ascii="Times New Roman" w:hAnsi="Times New Roman" w:eastAsia="仿宋_GB2312" w:cs="Times New Roman"/>
          <w:color w:val="auto"/>
          <w:sz w:val="32"/>
          <w:szCs w:val="32"/>
        </w:rPr>
        <w:t>中华人民共和国公务员法</w:t>
      </w:r>
      <w:r>
        <w:rPr>
          <w:rFonts w:hint="default" w:ascii="Times New Roman" w:hAnsi="Times New Roman" w:eastAsia="仿宋" w:cs="Times New Roman"/>
          <w:color w:val="auto"/>
          <w:kern w:val="2"/>
          <w:sz w:val="32"/>
          <w:szCs w:val="32"/>
          <w:highlight w:val="none"/>
          <w:lang w:val="en-US" w:eastAsia="zh-CN" w:bidi="ar-SA"/>
        </w:rPr>
        <w:t>》管理事业单位职责的审核工作。</w:t>
      </w:r>
    </w:p>
    <w:p>
      <w:pPr>
        <w:pStyle w:val="1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textAlignment w:val="auto"/>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7、监督检查全区行政管理体制改革和机构改革方案及机构编制规定执行情况，按照市委编委的要求，建立机构编制工作考核评估制度，会同有关部门查处机构编制违法违纪行为。</w:t>
      </w:r>
    </w:p>
    <w:p>
      <w:pPr>
        <w:pStyle w:val="1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textAlignment w:val="auto"/>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8、负责全区事业单位登记管理工作。</w:t>
      </w:r>
    </w:p>
    <w:p>
      <w:pPr>
        <w:pStyle w:val="1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textAlignment w:val="auto"/>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9、承办区委、区政府和区委编委交办的其他事项。</w:t>
      </w:r>
    </w:p>
    <w:p>
      <w:pPr>
        <w:pStyle w:val="4"/>
        <w:keepNext w:val="0"/>
        <w:keepLines w:val="0"/>
        <w:pageBreakBefore w:val="0"/>
        <w:widowControl w:val="0"/>
        <w:kinsoku/>
        <w:wordWrap/>
        <w:overflowPunct/>
        <w:topLinePunct w:val="0"/>
        <w:autoSpaceDE/>
        <w:autoSpaceDN/>
        <w:bidi w:val="0"/>
        <w:spacing w:before="0" w:after="0" w:line="576" w:lineRule="exact"/>
        <w:ind w:firstLine="640" w:firstLineChars="200"/>
        <w:jc w:val="both"/>
        <w:textAlignment w:val="auto"/>
        <w:rPr>
          <w:rStyle w:val="32"/>
          <w:b w:val="0"/>
          <w:bCs w:val="0"/>
          <w:color w:val="auto"/>
          <w:highlight w:val="none"/>
        </w:rPr>
      </w:pPr>
      <w:bookmarkStart w:id="14" w:name="_Toc15396601"/>
      <w:bookmarkStart w:id="15" w:name="_Toc15377200"/>
      <w:r>
        <w:rPr>
          <w:rFonts w:hint="eastAsia" w:ascii="黑体" w:eastAsia="黑体"/>
          <w:b w:val="0"/>
          <w:color w:val="auto"/>
          <w:highlight w:val="none"/>
        </w:rPr>
        <w:t>二、</w:t>
      </w:r>
      <w:r>
        <w:rPr>
          <w:rFonts w:hint="eastAsia" w:ascii="黑体" w:hAnsi="黑体" w:eastAsia="黑体"/>
          <w:b w:val="0"/>
          <w:color w:val="auto"/>
          <w:highlight w:val="none"/>
        </w:rPr>
        <w:t>机</w:t>
      </w:r>
      <w:r>
        <w:rPr>
          <w:rStyle w:val="32"/>
          <w:rFonts w:hint="eastAsia" w:ascii="黑体" w:hAnsi="黑体" w:eastAsia="黑体"/>
          <w:b w:val="0"/>
          <w:bCs w:val="0"/>
          <w:color w:val="auto"/>
          <w:highlight w:val="none"/>
        </w:rPr>
        <w:t>构设置</w:t>
      </w:r>
      <w:bookmarkEnd w:id="14"/>
      <w:bookmarkEnd w:id="15"/>
    </w:p>
    <w:p>
      <w:pPr>
        <w:pStyle w:val="1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textAlignment w:val="auto"/>
        <w:rPr>
          <w:rFonts w:hint="eastAsia" w:ascii="Times New Roman" w:hAnsi="Times New Roman" w:eastAsia="仿宋" w:cs="Times New Roman"/>
          <w:color w:val="auto"/>
          <w:kern w:val="2"/>
          <w:sz w:val="32"/>
          <w:szCs w:val="32"/>
          <w:highlight w:val="none"/>
          <w:lang w:val="en-US" w:eastAsia="zh-CN" w:bidi="ar-SA"/>
        </w:rPr>
      </w:pPr>
      <w:r>
        <w:rPr>
          <w:rFonts w:hint="eastAsia" w:ascii="Times New Roman" w:hAnsi="Times New Roman" w:eastAsia="仿宋" w:cs="Times New Roman"/>
          <w:color w:val="auto"/>
          <w:kern w:val="2"/>
          <w:sz w:val="32"/>
          <w:szCs w:val="32"/>
          <w:highlight w:val="none"/>
          <w:lang w:val="en-US" w:eastAsia="zh-CN" w:bidi="ar-SA"/>
        </w:rPr>
        <w:t>区委编办属于一级预算单位，参照公务员法管理的事业单位1个，其他事业单位1个，分别是：昭化区事业单位登记服务中心、昭化区机构编制信息中心。</w:t>
      </w:r>
    </w:p>
    <w:p>
      <w:pPr>
        <w:pStyle w:val="1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textAlignment w:val="auto"/>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纳入</w:t>
      </w:r>
      <w:r>
        <w:rPr>
          <w:rFonts w:hint="eastAsia" w:ascii="Times New Roman" w:hAnsi="Times New Roman" w:eastAsia="仿宋" w:cs="Times New Roman"/>
          <w:color w:val="auto"/>
          <w:kern w:val="2"/>
          <w:sz w:val="32"/>
          <w:szCs w:val="32"/>
          <w:highlight w:val="none"/>
          <w:lang w:val="en-US" w:eastAsia="zh-CN" w:bidi="ar-SA"/>
        </w:rPr>
        <w:t>区委编办</w:t>
      </w:r>
      <w:r>
        <w:rPr>
          <w:rFonts w:hint="default" w:ascii="Times New Roman" w:hAnsi="Times New Roman" w:eastAsia="仿宋" w:cs="Times New Roman"/>
          <w:color w:val="auto"/>
          <w:kern w:val="2"/>
          <w:sz w:val="32"/>
          <w:szCs w:val="32"/>
          <w:highlight w:val="none"/>
          <w:lang w:val="en-US" w:eastAsia="zh-CN" w:bidi="ar-SA"/>
        </w:rPr>
        <w:t>2022年度部门决算编制范围的二级预算单位0个。</w:t>
      </w:r>
    </w:p>
    <w:p>
      <w:pPr>
        <w:pStyle w:val="1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textAlignment w:val="auto"/>
        <w:rPr>
          <w:rFonts w:hint="eastAsia" w:ascii="仿宋" w:hAnsi="仿宋" w:eastAsia="仿宋" w:cs="Times New Roman"/>
          <w:color w:val="auto"/>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spacing w:line="576" w:lineRule="exact"/>
        <w:ind w:firstLine="420" w:firstLineChars="200"/>
        <w:jc w:val="both"/>
        <w:textAlignment w:val="auto"/>
        <w:rPr>
          <w:rFonts w:ascii="仿宋" w:hAnsi="仿宋" w:eastAsia="仿宋"/>
          <w:color w:val="auto"/>
          <w:kern w:val="0"/>
          <w:sz w:val="32"/>
          <w:szCs w:val="32"/>
          <w:highlight w:val="none"/>
        </w:rPr>
      </w:pPr>
      <w:r>
        <w:br w:type="page"/>
      </w:r>
    </w:p>
    <w:p>
      <w:pPr>
        <w:pStyle w:val="3"/>
        <w:keepNext w:val="0"/>
        <w:keepLines w:val="0"/>
        <w:pageBreakBefore w:val="0"/>
        <w:widowControl w:val="0"/>
        <w:kinsoku/>
        <w:wordWrap/>
        <w:overflowPunct/>
        <w:topLinePunct w:val="0"/>
        <w:autoSpaceDE/>
        <w:autoSpaceDN/>
        <w:bidi w:val="0"/>
        <w:adjustRightInd/>
        <w:snapToGrid/>
        <w:spacing w:before="0" w:after="0" w:line="540" w:lineRule="exact"/>
        <w:ind w:left="0" w:right="0" w:firstLine="880" w:firstLineChars="200"/>
        <w:jc w:val="both"/>
        <w:textAlignment w:val="auto"/>
        <w:rPr>
          <w:rStyle w:val="31"/>
          <w:rFonts w:ascii="黑体" w:hAnsi="黑体" w:eastAsia="黑体"/>
          <w:b w:val="0"/>
          <w:bCs/>
          <w:color w:val="auto"/>
          <w:highlight w:val="none"/>
        </w:rPr>
      </w:pPr>
      <w:bookmarkStart w:id="16" w:name="_Toc15377204"/>
      <w:bookmarkStart w:id="17" w:name="_Toc15396602"/>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2022年度</w:t>
      </w:r>
      <w:r>
        <w:rPr>
          <w:rStyle w:val="31"/>
          <w:rFonts w:hint="eastAsia" w:ascii="黑体" w:hAnsi="黑体" w:eastAsia="黑体"/>
          <w:b w:val="0"/>
          <w:bCs/>
          <w:color w:val="auto"/>
          <w:highlight w:val="none"/>
        </w:rPr>
        <w:t>部门决算情况说明</w:t>
      </w:r>
      <w:bookmarkEnd w:id="16"/>
      <w:bookmarkEnd w:id="17"/>
    </w:p>
    <w:p>
      <w:pPr>
        <w:keepNext w:val="0"/>
        <w:keepLines w:val="0"/>
        <w:pageBreakBefore w:val="0"/>
        <w:widowControl w:val="0"/>
        <w:kinsoku/>
        <w:wordWrap/>
        <w:overflowPunct/>
        <w:topLinePunct w:val="0"/>
        <w:autoSpaceDE/>
        <w:autoSpaceDN/>
        <w:bidi w:val="0"/>
        <w:adjustRightInd/>
        <w:snapToGrid/>
        <w:spacing w:line="540" w:lineRule="exact"/>
        <w:ind w:left="0" w:right="0" w:firstLine="420" w:firstLineChars="200"/>
        <w:jc w:val="both"/>
        <w:textAlignment w:val="auto"/>
        <w:rPr>
          <w:color w:val="auto"/>
          <w:highlight w:val="none"/>
        </w:rPr>
      </w:pPr>
    </w:p>
    <w:p>
      <w:pPr>
        <w:pStyle w:val="30"/>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right="0" w:rightChars="0" w:firstLine="640" w:firstLineChars="200"/>
        <w:jc w:val="both"/>
        <w:textAlignment w:val="auto"/>
        <w:outlineLvl w:val="1"/>
        <w:rPr>
          <w:rStyle w:val="32"/>
          <w:rFonts w:ascii="黑体" w:hAnsi="黑体" w:eastAsia="黑体"/>
          <w:b w:val="0"/>
          <w:color w:val="auto"/>
          <w:highlight w:val="none"/>
        </w:rPr>
      </w:pPr>
      <w:bookmarkStart w:id="18" w:name="_Toc15396603"/>
      <w:bookmarkStart w:id="19" w:name="_Toc15377205"/>
      <w:r>
        <w:rPr>
          <w:rFonts w:hint="eastAsia" w:ascii="黑体" w:hAnsi="黑体" w:eastAsia="黑体"/>
          <w:color w:val="auto"/>
          <w:sz w:val="32"/>
          <w:szCs w:val="32"/>
          <w:highlight w:val="none"/>
          <w:lang w:val="en-US" w:eastAsia="zh-CN"/>
        </w:rPr>
        <w:t>一、</w:t>
      </w:r>
      <w:r>
        <w:rPr>
          <w:rFonts w:hint="eastAsia" w:ascii="黑体" w:hAnsi="黑体" w:eastAsia="黑体"/>
          <w:color w:val="auto"/>
          <w:sz w:val="32"/>
          <w:szCs w:val="32"/>
          <w:highlight w:val="none"/>
        </w:rPr>
        <w:t>收</w:t>
      </w:r>
      <w:r>
        <w:rPr>
          <w:rStyle w:val="32"/>
          <w:rFonts w:hint="eastAsia" w:ascii="黑体" w:hAnsi="黑体" w:eastAsia="黑体"/>
          <w:b w:val="0"/>
          <w:color w:val="auto"/>
          <w:highlight w:val="none"/>
        </w:rPr>
        <w:t>入支出决算总体情况说明</w:t>
      </w:r>
      <w:bookmarkEnd w:id="18"/>
      <w:bookmarkEnd w:id="19"/>
    </w:p>
    <w:p>
      <w:pPr>
        <w:keepNext w:val="0"/>
        <w:keepLines w:val="0"/>
        <w:pageBreakBefore w:val="0"/>
        <w:widowControl w:val="0"/>
        <w:kinsoku/>
        <w:wordWrap/>
        <w:overflowPunct/>
        <w:topLinePunct w:val="0"/>
        <w:autoSpaceDE/>
        <w:autoSpaceDN/>
        <w:bidi w:val="0"/>
        <w:adjustRightInd/>
        <w:snapToGrid/>
        <w:spacing w:line="540" w:lineRule="exact"/>
        <w:ind w:left="0" w:leftChars="0" w:right="0"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202</w:t>
      </w:r>
      <w:r>
        <w:rPr>
          <w:rFonts w:hint="eastAsia" w:eastAsia="仿宋_GB2312" w:cs="Times New Roman"/>
          <w:b w:val="0"/>
          <w:bCs w:val="0"/>
          <w:kern w:val="2"/>
          <w:sz w:val="32"/>
          <w:szCs w:val="32"/>
          <w:lang w:val="en-US" w:eastAsia="zh-CN" w:bidi="ar-SA"/>
        </w:rPr>
        <w:t>2</w:t>
      </w:r>
      <w:r>
        <w:rPr>
          <w:rFonts w:hint="default" w:ascii="Times New Roman" w:hAnsi="Times New Roman" w:eastAsia="仿宋_GB2312" w:cs="Times New Roman"/>
          <w:b w:val="0"/>
          <w:bCs w:val="0"/>
          <w:kern w:val="2"/>
          <w:sz w:val="32"/>
          <w:szCs w:val="32"/>
          <w:lang w:val="en-US" w:eastAsia="zh-CN" w:bidi="ar-SA"/>
        </w:rPr>
        <w:t>年全年收入合计</w:t>
      </w:r>
      <w:r>
        <w:rPr>
          <w:rFonts w:hint="eastAsia" w:eastAsia="仿宋_GB2312" w:cs="Times New Roman"/>
          <w:b w:val="0"/>
          <w:bCs w:val="0"/>
          <w:kern w:val="2"/>
          <w:sz w:val="32"/>
          <w:szCs w:val="32"/>
          <w:lang w:val="en-US" w:eastAsia="zh-CN" w:bidi="ar-SA"/>
        </w:rPr>
        <w:t>240.97</w:t>
      </w:r>
      <w:r>
        <w:rPr>
          <w:rFonts w:hint="default" w:ascii="Times New Roman" w:hAnsi="Times New Roman" w:eastAsia="仿宋_GB2312" w:cs="Times New Roman"/>
          <w:b w:val="0"/>
          <w:bCs w:val="0"/>
          <w:kern w:val="2"/>
          <w:sz w:val="32"/>
          <w:szCs w:val="32"/>
          <w:lang w:val="en-US" w:eastAsia="zh-CN" w:bidi="ar-SA"/>
        </w:rPr>
        <w:t>万元，全年支出总计</w:t>
      </w:r>
      <w:r>
        <w:rPr>
          <w:rFonts w:hint="eastAsia" w:eastAsia="仿宋_GB2312" w:cs="Times New Roman"/>
          <w:b w:val="0"/>
          <w:bCs w:val="0"/>
          <w:kern w:val="2"/>
          <w:sz w:val="32"/>
          <w:szCs w:val="32"/>
          <w:lang w:val="en-US" w:eastAsia="zh-CN" w:bidi="ar-SA"/>
        </w:rPr>
        <w:t>240.97</w:t>
      </w:r>
      <w:r>
        <w:rPr>
          <w:rFonts w:hint="default" w:ascii="Times New Roman" w:hAnsi="Times New Roman" w:eastAsia="仿宋_GB2312" w:cs="Times New Roman"/>
          <w:b w:val="0"/>
          <w:bCs w:val="0"/>
          <w:kern w:val="2"/>
          <w:sz w:val="32"/>
          <w:szCs w:val="32"/>
          <w:lang w:val="en-US" w:eastAsia="zh-CN" w:bidi="ar-SA"/>
        </w:rPr>
        <w:t>万元。与202</w:t>
      </w:r>
      <w:r>
        <w:rPr>
          <w:rFonts w:hint="eastAsia" w:eastAsia="仿宋_GB2312" w:cs="Times New Roman"/>
          <w:b w:val="0"/>
          <w:bCs w:val="0"/>
          <w:kern w:val="2"/>
          <w:sz w:val="32"/>
          <w:szCs w:val="32"/>
          <w:lang w:val="en-US" w:eastAsia="zh-CN" w:bidi="ar-SA"/>
        </w:rPr>
        <w:t>1</w:t>
      </w:r>
      <w:r>
        <w:rPr>
          <w:rFonts w:hint="default" w:ascii="Times New Roman" w:hAnsi="Times New Roman" w:eastAsia="仿宋_GB2312" w:cs="Times New Roman"/>
          <w:b w:val="0"/>
          <w:bCs w:val="0"/>
          <w:kern w:val="2"/>
          <w:sz w:val="32"/>
          <w:szCs w:val="32"/>
          <w:lang w:val="en-US" w:eastAsia="zh-CN" w:bidi="ar-SA"/>
        </w:rPr>
        <w:t>年相比，收入增加</w:t>
      </w:r>
      <w:r>
        <w:rPr>
          <w:rFonts w:hint="eastAsia" w:eastAsia="仿宋_GB2312" w:cs="Times New Roman"/>
          <w:b w:val="0"/>
          <w:bCs w:val="0"/>
          <w:kern w:val="2"/>
          <w:sz w:val="32"/>
          <w:szCs w:val="32"/>
          <w:lang w:val="en-US" w:eastAsia="zh-CN" w:bidi="ar-SA"/>
        </w:rPr>
        <w:t>33.01</w:t>
      </w:r>
      <w:r>
        <w:rPr>
          <w:rFonts w:hint="default" w:ascii="Times New Roman" w:hAnsi="Times New Roman" w:eastAsia="仿宋_GB2312" w:cs="Times New Roman"/>
          <w:b w:val="0"/>
          <w:bCs w:val="0"/>
          <w:kern w:val="2"/>
          <w:sz w:val="32"/>
          <w:szCs w:val="32"/>
          <w:lang w:val="en-US" w:eastAsia="zh-CN" w:bidi="ar-SA"/>
        </w:rPr>
        <w:t>万元，增长</w:t>
      </w:r>
      <w:r>
        <w:rPr>
          <w:rFonts w:hint="eastAsia" w:eastAsia="仿宋_GB2312" w:cs="Times New Roman"/>
          <w:b w:val="0"/>
          <w:bCs w:val="0"/>
          <w:kern w:val="2"/>
          <w:sz w:val="32"/>
          <w:szCs w:val="32"/>
          <w:lang w:val="en-US" w:eastAsia="zh-CN" w:bidi="ar-SA"/>
        </w:rPr>
        <w:t>15.9</w:t>
      </w:r>
      <w:r>
        <w:rPr>
          <w:rFonts w:hint="default" w:ascii="Times New Roman" w:hAnsi="Times New Roman" w:eastAsia="仿宋_GB2312" w:cs="Times New Roman"/>
          <w:b w:val="0"/>
          <w:bCs w:val="0"/>
          <w:kern w:val="2"/>
          <w:sz w:val="32"/>
          <w:szCs w:val="32"/>
          <w:lang w:val="en-US" w:eastAsia="zh-CN" w:bidi="ar-SA"/>
        </w:rPr>
        <w:t>%，支出增加</w:t>
      </w:r>
      <w:r>
        <w:rPr>
          <w:rFonts w:hint="eastAsia" w:eastAsia="仿宋_GB2312" w:cs="Times New Roman"/>
          <w:b w:val="0"/>
          <w:bCs w:val="0"/>
          <w:kern w:val="2"/>
          <w:sz w:val="32"/>
          <w:szCs w:val="32"/>
          <w:lang w:val="en-US" w:eastAsia="zh-CN" w:bidi="ar-SA"/>
        </w:rPr>
        <w:t>33.01</w:t>
      </w:r>
      <w:r>
        <w:rPr>
          <w:rFonts w:hint="default" w:ascii="Times New Roman" w:hAnsi="Times New Roman" w:eastAsia="仿宋_GB2312" w:cs="Times New Roman"/>
          <w:b w:val="0"/>
          <w:bCs w:val="0"/>
          <w:kern w:val="2"/>
          <w:sz w:val="32"/>
          <w:szCs w:val="32"/>
          <w:lang w:val="en-US" w:eastAsia="zh-CN" w:bidi="ar-SA"/>
        </w:rPr>
        <w:t>万元，增长</w:t>
      </w:r>
      <w:r>
        <w:rPr>
          <w:rFonts w:hint="eastAsia" w:eastAsia="仿宋_GB2312" w:cs="Times New Roman"/>
          <w:b w:val="0"/>
          <w:bCs w:val="0"/>
          <w:kern w:val="2"/>
          <w:sz w:val="32"/>
          <w:szCs w:val="32"/>
          <w:lang w:val="en-US" w:eastAsia="zh-CN" w:bidi="ar-SA"/>
        </w:rPr>
        <w:t>15.9</w:t>
      </w:r>
      <w:r>
        <w:rPr>
          <w:rFonts w:hint="default" w:ascii="Times New Roman" w:hAnsi="Times New Roman" w:eastAsia="仿宋_GB2312" w:cs="Times New Roman"/>
          <w:b w:val="0"/>
          <w:bCs w:val="0"/>
          <w:kern w:val="2"/>
          <w:sz w:val="32"/>
          <w:szCs w:val="32"/>
          <w:lang w:val="en-US" w:eastAsia="zh-CN" w:bidi="ar-SA"/>
        </w:rPr>
        <w:t>%；主要变动原因是人员调入及人员正常工资晋薪级、职务晋升调资。</w:t>
      </w:r>
    </w:p>
    <w:p>
      <w:pPr>
        <w:pStyle w:val="17"/>
        <w:rPr>
          <w:rFonts w:hint="eastAsia" w:ascii="仿宋_GB2312" w:eastAsia="仿宋_GB2312"/>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4804410" cy="2245360"/>
            <wp:effectExtent l="4445" t="4445" r="10795" b="17145"/>
            <wp:docPr id="14" name="图表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30"/>
        <w:keepNext w:val="0"/>
        <w:keepLines w:val="0"/>
        <w:pageBreakBefore w:val="0"/>
        <w:widowControl w:val="0"/>
        <w:numPr>
          <w:ilvl w:val="0"/>
          <w:numId w:val="0"/>
        </w:numPr>
        <w:kinsoku/>
        <w:wordWrap/>
        <w:overflowPunct/>
        <w:topLinePunct w:val="0"/>
        <w:autoSpaceDE/>
        <w:autoSpaceDN/>
        <w:bidi w:val="0"/>
        <w:adjustRightInd/>
        <w:snapToGrid/>
        <w:spacing w:line="540" w:lineRule="exact"/>
        <w:ind w:left="640" w:leftChars="0"/>
        <w:textAlignment w:val="auto"/>
        <w:outlineLvl w:val="1"/>
        <w:rPr>
          <w:rStyle w:val="32"/>
          <w:rFonts w:ascii="黑体" w:hAnsi="黑体" w:eastAsia="黑体"/>
          <w:b w:val="0"/>
          <w:color w:val="auto"/>
          <w:highlight w:val="none"/>
        </w:rPr>
      </w:pPr>
      <w:bookmarkStart w:id="20" w:name="_Toc15396604"/>
      <w:bookmarkStart w:id="21" w:name="_Toc15377206"/>
      <w:r>
        <w:rPr>
          <w:rFonts w:hint="eastAsia" w:ascii="黑体" w:hAnsi="黑体" w:eastAsia="黑体"/>
          <w:color w:val="auto"/>
          <w:sz w:val="32"/>
          <w:szCs w:val="32"/>
          <w:highlight w:val="none"/>
          <w:lang w:val="en-US" w:eastAsia="zh-CN"/>
        </w:rPr>
        <w:t>二、</w:t>
      </w:r>
      <w:r>
        <w:rPr>
          <w:rFonts w:hint="eastAsia" w:ascii="黑体" w:hAnsi="黑体" w:eastAsia="黑体"/>
          <w:color w:val="auto"/>
          <w:sz w:val="32"/>
          <w:szCs w:val="32"/>
          <w:highlight w:val="none"/>
        </w:rPr>
        <w:t>收</w:t>
      </w:r>
      <w:r>
        <w:rPr>
          <w:rStyle w:val="32"/>
          <w:rFonts w:hint="eastAsia" w:ascii="黑体" w:hAnsi="黑体" w:eastAsia="黑体"/>
          <w:b w:val="0"/>
          <w:color w:val="auto"/>
          <w:highlight w:val="none"/>
        </w:rPr>
        <w:t>入决算情况说明</w:t>
      </w:r>
      <w:bookmarkEnd w:id="20"/>
      <w:bookmarkEnd w:id="21"/>
    </w:p>
    <w:p>
      <w:pPr>
        <w:keepNext w:val="0"/>
        <w:keepLines w:val="0"/>
        <w:pageBreakBefore w:val="0"/>
        <w:widowControl w:val="0"/>
        <w:kinsoku/>
        <w:wordWrap/>
        <w:overflowPunct/>
        <w:topLinePunct w:val="0"/>
        <w:autoSpaceDE/>
        <w:autoSpaceDN/>
        <w:bidi w:val="0"/>
        <w:adjustRightInd/>
        <w:snapToGrid/>
        <w:spacing w:line="540" w:lineRule="exact"/>
        <w:ind w:left="0" w:leftChars="0" w:right="0" w:firstLine="640" w:firstLineChars="200"/>
        <w:jc w:val="both"/>
        <w:textAlignment w:val="auto"/>
        <w:rPr>
          <w:rFonts w:hint="eastAsia" w:eastAsia="仿宋"/>
          <w:lang w:eastAsia="zh-CN"/>
        </w:rPr>
      </w:pPr>
      <w:r>
        <w:rPr>
          <w:rFonts w:hint="default" w:ascii="Times New Roman" w:hAnsi="Times New Roman" w:eastAsia="仿宋_GB2312" w:cs="Times New Roman"/>
          <w:b w:val="0"/>
          <w:bCs w:val="0"/>
          <w:kern w:val="2"/>
          <w:sz w:val="32"/>
          <w:szCs w:val="32"/>
          <w:lang w:val="en-US" w:eastAsia="zh-CN" w:bidi="ar-SA"/>
        </w:rPr>
        <w:t>20</w:t>
      </w:r>
      <w:r>
        <w:rPr>
          <w:rFonts w:hint="eastAsia" w:ascii="Times New Roman" w:hAnsi="Times New Roman" w:eastAsia="仿宋_GB2312" w:cs="Times New Roman"/>
          <w:b w:val="0"/>
          <w:bCs w:val="0"/>
          <w:kern w:val="2"/>
          <w:sz w:val="32"/>
          <w:szCs w:val="32"/>
          <w:lang w:val="en-US" w:eastAsia="zh-CN" w:bidi="ar-SA"/>
        </w:rPr>
        <w:t>22年本年收入合计2</w:t>
      </w:r>
      <w:r>
        <w:rPr>
          <w:rFonts w:hint="eastAsia" w:eastAsia="仿宋_GB2312" w:cs="Times New Roman"/>
          <w:b w:val="0"/>
          <w:bCs w:val="0"/>
          <w:kern w:val="2"/>
          <w:sz w:val="32"/>
          <w:szCs w:val="32"/>
          <w:lang w:val="en-US" w:eastAsia="zh-CN" w:bidi="ar-SA"/>
        </w:rPr>
        <w:t>40</w:t>
      </w:r>
      <w:r>
        <w:rPr>
          <w:rFonts w:hint="eastAsia" w:ascii="Times New Roman" w:hAnsi="Times New Roman" w:eastAsia="仿宋_GB2312" w:cs="Times New Roman"/>
          <w:b w:val="0"/>
          <w:bCs w:val="0"/>
          <w:kern w:val="2"/>
          <w:sz w:val="32"/>
          <w:szCs w:val="32"/>
          <w:lang w:val="en-US" w:eastAsia="zh-CN" w:bidi="ar-SA"/>
        </w:rPr>
        <w:t>.97万元，其中：一般公共预算财政拨款收入2</w:t>
      </w:r>
      <w:r>
        <w:rPr>
          <w:rFonts w:hint="eastAsia" w:eastAsia="仿宋_GB2312" w:cs="Times New Roman"/>
          <w:b w:val="0"/>
          <w:bCs w:val="0"/>
          <w:kern w:val="2"/>
          <w:sz w:val="32"/>
          <w:szCs w:val="32"/>
          <w:lang w:val="en-US" w:eastAsia="zh-CN" w:bidi="ar-SA"/>
        </w:rPr>
        <w:t>40</w:t>
      </w:r>
      <w:r>
        <w:rPr>
          <w:rFonts w:hint="eastAsia" w:ascii="Times New Roman" w:hAnsi="Times New Roman" w:eastAsia="仿宋_GB2312" w:cs="Times New Roman"/>
          <w:b w:val="0"/>
          <w:bCs w:val="0"/>
          <w:kern w:val="2"/>
          <w:sz w:val="32"/>
          <w:szCs w:val="32"/>
          <w:lang w:val="en-US" w:eastAsia="zh-CN" w:bidi="ar-SA"/>
        </w:rPr>
        <w:t>.97万元，占100</w:t>
      </w:r>
      <w:r>
        <w:rPr>
          <w:rFonts w:hint="default" w:ascii="Times New Roman" w:hAnsi="Times New Roman" w:eastAsia="仿宋_GB2312" w:cs="Times New Roman"/>
          <w:b w:val="0"/>
          <w:bCs w:val="0"/>
          <w:kern w:val="2"/>
          <w:sz w:val="32"/>
          <w:szCs w:val="32"/>
          <w:lang w:val="en-US" w:eastAsia="zh-CN" w:bidi="ar-SA"/>
        </w:rPr>
        <w:t>%</w:t>
      </w:r>
      <w:r>
        <w:rPr>
          <w:rFonts w:hint="eastAsia" w:ascii="Times New Roman" w:hAnsi="Times New Roman" w:eastAsia="仿宋_GB2312" w:cs="Times New Roman"/>
          <w:b w:val="0"/>
          <w:bCs w:val="0"/>
          <w:kern w:val="2"/>
          <w:sz w:val="32"/>
          <w:szCs w:val="32"/>
          <w:lang w:val="en-US" w:eastAsia="zh-CN" w:bidi="ar-SA"/>
        </w:rPr>
        <w:t>。</w:t>
      </w:r>
    </w:p>
    <w:p>
      <w:pPr>
        <w:spacing w:line="600" w:lineRule="exact"/>
        <w:rPr>
          <w:rFonts w:ascii="仿宋_GB2312" w:eastAsia="仿宋_GB2312"/>
          <w:color w:val="auto"/>
          <w:sz w:val="32"/>
          <w:szCs w:val="32"/>
          <w:highlight w:val="none"/>
        </w:rPr>
      </w:pPr>
      <w:r>
        <w:rPr>
          <w:rFonts w:hint="eastAsia" w:eastAsia="仿宋"/>
          <w:lang w:eastAsia="zh-CN"/>
        </w:rPr>
        <w:drawing>
          <wp:anchor distT="0" distB="0" distL="114300" distR="114300" simplePos="0" relativeHeight="251659264" behindDoc="1" locked="0" layoutInCell="1" allowOverlap="1">
            <wp:simplePos x="0" y="0"/>
            <wp:positionH relativeFrom="column">
              <wp:posOffset>594995</wp:posOffset>
            </wp:positionH>
            <wp:positionV relativeFrom="paragraph">
              <wp:posOffset>130175</wp:posOffset>
            </wp:positionV>
            <wp:extent cx="4687570" cy="2223135"/>
            <wp:effectExtent l="4445" t="4445" r="13335" b="20320"/>
            <wp:wrapTight wrapText="bothSides">
              <wp:wrapPolygon>
                <wp:start x="-20" y="-43"/>
                <wp:lineTo x="-20" y="21427"/>
                <wp:lineTo x="21574" y="21427"/>
                <wp:lineTo x="21574" y="-43"/>
                <wp:lineTo x="-20" y="-43"/>
              </wp:wrapPolygon>
            </wp:wrapTight>
            <wp:docPr id="15" name="图表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rPr>
          <w:rFonts w:hint="eastAsia" w:ascii="黑体" w:hAnsi="黑体" w:eastAsia="黑体"/>
          <w:color w:val="auto"/>
          <w:sz w:val="32"/>
          <w:szCs w:val="32"/>
          <w:highlight w:val="none"/>
          <w:lang w:val="en-US" w:eastAsia="zh-CN"/>
        </w:rPr>
      </w:pPr>
      <w:bookmarkStart w:id="22" w:name="_Toc15396605"/>
      <w:bookmarkStart w:id="23" w:name="_Toc15377207"/>
      <w:r>
        <w:br w:type="page"/>
      </w:r>
    </w:p>
    <w:p>
      <w:pPr>
        <w:pStyle w:val="30"/>
        <w:keepNext w:val="0"/>
        <w:keepLines w:val="0"/>
        <w:pageBreakBefore w:val="0"/>
        <w:widowControl w:val="0"/>
        <w:numPr>
          <w:ilvl w:val="0"/>
          <w:numId w:val="0"/>
        </w:numPr>
        <w:kinsoku/>
        <w:wordWrap/>
        <w:overflowPunct/>
        <w:topLinePunct w:val="0"/>
        <w:autoSpaceDE/>
        <w:autoSpaceDN/>
        <w:bidi w:val="0"/>
        <w:adjustRightInd/>
        <w:snapToGrid/>
        <w:spacing w:line="550" w:lineRule="exact"/>
        <w:ind w:left="640" w:leftChars="0"/>
        <w:textAlignment w:val="auto"/>
        <w:outlineLvl w:val="1"/>
        <w:rPr>
          <w:rStyle w:val="32"/>
          <w:rFonts w:ascii="黑体" w:hAnsi="黑体" w:eastAsia="黑体"/>
          <w:b w:val="0"/>
          <w:color w:val="auto"/>
          <w:highlight w:val="none"/>
        </w:rPr>
      </w:pPr>
      <w:r>
        <w:rPr>
          <w:rFonts w:hint="eastAsia" w:ascii="黑体" w:hAnsi="黑体" w:eastAsia="黑体"/>
          <w:color w:val="auto"/>
          <w:sz w:val="32"/>
          <w:szCs w:val="32"/>
          <w:highlight w:val="none"/>
          <w:lang w:val="en-US" w:eastAsia="zh-CN"/>
        </w:rPr>
        <w:t>三、</w:t>
      </w:r>
      <w:r>
        <w:rPr>
          <w:rFonts w:hint="eastAsia" w:ascii="黑体" w:hAnsi="黑体" w:eastAsia="黑体"/>
          <w:color w:val="auto"/>
          <w:sz w:val="32"/>
          <w:szCs w:val="32"/>
          <w:highlight w:val="none"/>
        </w:rPr>
        <w:t>支</w:t>
      </w:r>
      <w:r>
        <w:rPr>
          <w:rStyle w:val="32"/>
          <w:rFonts w:hint="eastAsia" w:ascii="黑体" w:hAnsi="黑体" w:eastAsia="黑体"/>
          <w:b w:val="0"/>
          <w:color w:val="auto"/>
          <w:highlight w:val="none"/>
        </w:rPr>
        <w:t>出决算情况说明</w:t>
      </w:r>
      <w:bookmarkEnd w:id="22"/>
      <w:bookmarkEnd w:id="23"/>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1"/>
        <w:rPr>
          <w:rFonts w:hint="eastAsia" w:ascii="仿宋" w:hAnsi="仿宋" w:eastAsia="仿宋"/>
          <w:color w:val="auto"/>
          <w:sz w:val="32"/>
          <w:szCs w:val="32"/>
          <w:highlight w:val="none"/>
          <w:shd w:val="pct10" w:color="auto" w:fill="FFFFFF"/>
          <w:lang w:eastAsia="zh-CN"/>
        </w:rPr>
      </w:pPr>
      <w:r>
        <w:rPr>
          <w:rFonts w:hint="default" w:ascii="Times New Roman" w:hAnsi="Times New Roman" w:eastAsia="仿宋_GB2312" w:cs="Times New Roman"/>
          <w:b w:val="0"/>
          <w:bCs w:val="0"/>
          <w:kern w:val="2"/>
          <w:sz w:val="32"/>
          <w:szCs w:val="32"/>
          <w:lang w:val="en-US" w:eastAsia="zh-CN" w:bidi="ar-SA"/>
        </w:rPr>
        <w:t>20</w:t>
      </w:r>
      <w:r>
        <w:rPr>
          <w:rFonts w:hint="eastAsia" w:ascii="Times New Roman" w:hAnsi="Times New Roman" w:eastAsia="仿宋_GB2312" w:cs="Times New Roman"/>
          <w:b w:val="0"/>
          <w:bCs w:val="0"/>
          <w:kern w:val="2"/>
          <w:sz w:val="32"/>
          <w:szCs w:val="32"/>
          <w:lang w:val="en-US" w:eastAsia="zh-CN" w:bidi="ar-SA"/>
        </w:rPr>
        <w:t>22年本年支出合计2</w:t>
      </w:r>
      <w:r>
        <w:rPr>
          <w:rFonts w:hint="eastAsia" w:eastAsia="仿宋_GB2312" w:cs="Times New Roman"/>
          <w:b w:val="0"/>
          <w:bCs w:val="0"/>
          <w:kern w:val="2"/>
          <w:sz w:val="32"/>
          <w:szCs w:val="32"/>
          <w:lang w:val="en-US" w:eastAsia="zh-CN" w:bidi="ar-SA"/>
        </w:rPr>
        <w:t>40</w:t>
      </w:r>
      <w:r>
        <w:rPr>
          <w:rFonts w:hint="eastAsia" w:ascii="Times New Roman" w:hAnsi="Times New Roman" w:eastAsia="仿宋_GB2312" w:cs="Times New Roman"/>
          <w:b w:val="0"/>
          <w:bCs w:val="0"/>
          <w:kern w:val="2"/>
          <w:sz w:val="32"/>
          <w:szCs w:val="32"/>
          <w:lang w:val="en-US" w:eastAsia="zh-CN" w:bidi="ar-SA"/>
        </w:rPr>
        <w:t>.97万元，其中：基本支出2</w:t>
      </w:r>
      <w:r>
        <w:rPr>
          <w:rFonts w:hint="eastAsia" w:eastAsia="仿宋_GB2312" w:cs="Times New Roman"/>
          <w:b w:val="0"/>
          <w:bCs w:val="0"/>
          <w:kern w:val="2"/>
          <w:sz w:val="32"/>
          <w:szCs w:val="32"/>
          <w:lang w:val="en-US" w:eastAsia="zh-CN" w:bidi="ar-SA"/>
        </w:rPr>
        <w:t>40</w:t>
      </w:r>
      <w:r>
        <w:rPr>
          <w:rFonts w:hint="eastAsia" w:ascii="Times New Roman" w:hAnsi="Times New Roman" w:eastAsia="仿宋_GB2312" w:cs="Times New Roman"/>
          <w:b w:val="0"/>
          <w:bCs w:val="0"/>
          <w:kern w:val="2"/>
          <w:sz w:val="32"/>
          <w:szCs w:val="32"/>
          <w:lang w:val="en-US" w:eastAsia="zh-CN" w:bidi="ar-SA"/>
        </w:rPr>
        <w:t>.97万元，占100</w:t>
      </w:r>
      <w:r>
        <w:rPr>
          <w:rFonts w:hint="default" w:ascii="Times New Roman" w:hAnsi="Times New Roman" w:eastAsia="仿宋_GB2312" w:cs="Times New Roman"/>
          <w:b w:val="0"/>
          <w:bCs w:val="0"/>
          <w:kern w:val="2"/>
          <w:sz w:val="32"/>
          <w:szCs w:val="32"/>
          <w:lang w:val="en-US" w:eastAsia="zh-CN" w:bidi="ar-SA"/>
        </w:rPr>
        <w:t>%</w:t>
      </w:r>
      <w:r>
        <w:rPr>
          <w:rFonts w:hint="eastAsia" w:ascii="Times New Roman" w:hAnsi="Times New Roman" w:eastAsia="仿宋_GB2312" w:cs="Times New Roman"/>
          <w:b w:val="0"/>
          <w:bCs w:val="0"/>
          <w:kern w:val="2"/>
          <w:sz w:val="32"/>
          <w:szCs w:val="32"/>
          <w:lang w:val="en-US" w:eastAsia="zh-CN" w:bidi="ar-SA"/>
        </w:rPr>
        <w:t>；项目支出0万元，年初未安排预算。</w:t>
      </w:r>
    </w:p>
    <w:p>
      <w:pPr>
        <w:pStyle w:val="17"/>
        <w:rPr>
          <w:rFonts w:ascii="仿宋_GB2312" w:eastAsia="仿宋_GB2312"/>
          <w:color w:val="auto"/>
          <w:sz w:val="32"/>
          <w:szCs w:val="32"/>
          <w:highlight w:val="none"/>
        </w:rPr>
      </w:pPr>
      <w:r>
        <w:rPr>
          <w:rFonts w:hint="eastAsia" w:eastAsia="宋体"/>
          <w:lang w:eastAsia="zh-CN"/>
        </w:rPr>
        <w:drawing>
          <wp:inline distT="0" distB="0" distL="114300" distR="114300">
            <wp:extent cx="4947920" cy="2551430"/>
            <wp:effectExtent l="4445" t="4445" r="19685" b="15875"/>
            <wp:docPr id="16" name="图表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1"/>
        <w:rPr>
          <w:rStyle w:val="32"/>
          <w:rFonts w:ascii="黑体" w:hAnsi="黑体" w:eastAsia="黑体"/>
          <w:b w:val="0"/>
          <w:color w:val="auto"/>
          <w:highlight w:val="none"/>
        </w:rPr>
      </w:pPr>
      <w:bookmarkStart w:id="24" w:name="_Toc15396606"/>
      <w:bookmarkStart w:id="25" w:name="_Toc15377208"/>
      <w:r>
        <w:rPr>
          <w:rFonts w:hint="eastAsia" w:ascii="黑体" w:hAnsi="黑体" w:eastAsia="黑体"/>
          <w:color w:val="auto"/>
          <w:sz w:val="32"/>
          <w:szCs w:val="32"/>
          <w:highlight w:val="none"/>
        </w:rPr>
        <w:t>四、财</w:t>
      </w:r>
      <w:r>
        <w:rPr>
          <w:rStyle w:val="32"/>
          <w:rFonts w:hint="eastAsia" w:ascii="黑体" w:hAnsi="黑体" w:eastAsia="黑体"/>
          <w:b w:val="0"/>
          <w:color w:val="auto"/>
          <w:highlight w:val="none"/>
        </w:rPr>
        <w:t>政拨款收入支出决算总体情况说明</w:t>
      </w:r>
      <w:bookmarkEnd w:id="24"/>
      <w:bookmarkEnd w:id="25"/>
    </w:p>
    <w:p>
      <w:pPr>
        <w:keepNext w:val="0"/>
        <w:keepLines w:val="0"/>
        <w:pageBreakBefore w:val="0"/>
        <w:widowControl w:val="0"/>
        <w:kinsoku/>
        <w:wordWrap/>
        <w:overflowPunct/>
        <w:topLinePunct w:val="0"/>
        <w:autoSpaceDE/>
        <w:autoSpaceDN/>
        <w:bidi w:val="0"/>
        <w:adjustRightInd/>
        <w:snapToGrid/>
        <w:spacing w:line="550" w:lineRule="exact"/>
        <w:ind w:left="0" w:leftChars="0" w:right="0"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eastAsia" w:ascii="仿宋" w:hAnsi="仿宋" w:eastAsia="仿宋"/>
          <w:color w:val="auto"/>
          <w:sz w:val="32"/>
          <w:szCs w:val="32"/>
          <w:highlight w:val="none"/>
          <w:lang w:eastAsia="zh-CN"/>
        </w:rPr>
        <w:drawing>
          <wp:anchor distT="0" distB="0" distL="114300" distR="114300" simplePos="0" relativeHeight="251660288" behindDoc="1" locked="0" layoutInCell="1" allowOverlap="1">
            <wp:simplePos x="0" y="0"/>
            <wp:positionH relativeFrom="column">
              <wp:posOffset>480695</wp:posOffset>
            </wp:positionH>
            <wp:positionV relativeFrom="paragraph">
              <wp:posOffset>1447800</wp:posOffset>
            </wp:positionV>
            <wp:extent cx="4804410" cy="2559050"/>
            <wp:effectExtent l="4445" t="4445" r="10795" b="8255"/>
            <wp:wrapTight wrapText="bothSides">
              <wp:wrapPolygon>
                <wp:start x="-20" y="-38"/>
                <wp:lineTo x="-20" y="21509"/>
                <wp:lineTo x="21563" y="21509"/>
                <wp:lineTo x="21563" y="-38"/>
                <wp:lineTo x="-20" y="-38"/>
              </wp:wrapPolygon>
            </wp:wrapTight>
            <wp:docPr id="17" name="图表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default" w:ascii="Times New Roman" w:hAnsi="Times New Roman" w:eastAsia="仿宋_GB2312" w:cs="Times New Roman"/>
          <w:b w:val="0"/>
          <w:bCs w:val="0"/>
          <w:kern w:val="2"/>
          <w:sz w:val="32"/>
          <w:szCs w:val="32"/>
          <w:lang w:val="en-US" w:eastAsia="zh-CN" w:bidi="ar-SA"/>
        </w:rPr>
        <w:t>202</w:t>
      </w:r>
      <w:r>
        <w:rPr>
          <w:rFonts w:hint="eastAsia" w:eastAsia="仿宋_GB2312" w:cs="Times New Roman"/>
          <w:b w:val="0"/>
          <w:bCs w:val="0"/>
          <w:kern w:val="2"/>
          <w:sz w:val="32"/>
          <w:szCs w:val="32"/>
          <w:lang w:val="en-US" w:eastAsia="zh-CN" w:bidi="ar-SA"/>
        </w:rPr>
        <w:t>2</w:t>
      </w:r>
      <w:r>
        <w:rPr>
          <w:rFonts w:hint="default" w:ascii="Times New Roman" w:hAnsi="Times New Roman" w:eastAsia="仿宋_GB2312" w:cs="Times New Roman"/>
          <w:b w:val="0"/>
          <w:bCs w:val="0"/>
          <w:kern w:val="2"/>
          <w:sz w:val="32"/>
          <w:szCs w:val="32"/>
          <w:lang w:val="en-US" w:eastAsia="zh-CN" w:bidi="ar-SA"/>
        </w:rPr>
        <w:t>年全年收入合计</w:t>
      </w:r>
      <w:r>
        <w:rPr>
          <w:rFonts w:hint="eastAsia" w:eastAsia="仿宋_GB2312" w:cs="Times New Roman"/>
          <w:b w:val="0"/>
          <w:bCs w:val="0"/>
          <w:kern w:val="2"/>
          <w:sz w:val="32"/>
          <w:szCs w:val="32"/>
          <w:lang w:val="en-US" w:eastAsia="zh-CN" w:bidi="ar-SA"/>
        </w:rPr>
        <w:t>240.97</w:t>
      </w:r>
      <w:r>
        <w:rPr>
          <w:rFonts w:hint="default" w:ascii="Times New Roman" w:hAnsi="Times New Roman" w:eastAsia="仿宋_GB2312" w:cs="Times New Roman"/>
          <w:b w:val="0"/>
          <w:bCs w:val="0"/>
          <w:kern w:val="2"/>
          <w:sz w:val="32"/>
          <w:szCs w:val="32"/>
          <w:lang w:val="en-US" w:eastAsia="zh-CN" w:bidi="ar-SA"/>
        </w:rPr>
        <w:t>万元，全年支出总计207.96万元。与202</w:t>
      </w:r>
      <w:r>
        <w:rPr>
          <w:rFonts w:hint="eastAsia" w:eastAsia="仿宋_GB2312" w:cs="Times New Roman"/>
          <w:b w:val="0"/>
          <w:bCs w:val="0"/>
          <w:kern w:val="2"/>
          <w:sz w:val="32"/>
          <w:szCs w:val="32"/>
          <w:lang w:val="en-US" w:eastAsia="zh-CN" w:bidi="ar-SA"/>
        </w:rPr>
        <w:t>1</w:t>
      </w:r>
      <w:r>
        <w:rPr>
          <w:rFonts w:hint="default" w:ascii="Times New Roman" w:hAnsi="Times New Roman" w:eastAsia="仿宋_GB2312" w:cs="Times New Roman"/>
          <w:b w:val="0"/>
          <w:bCs w:val="0"/>
          <w:kern w:val="2"/>
          <w:sz w:val="32"/>
          <w:szCs w:val="32"/>
          <w:lang w:val="en-US" w:eastAsia="zh-CN" w:bidi="ar-SA"/>
        </w:rPr>
        <w:t>年相比，收入增加</w:t>
      </w:r>
      <w:r>
        <w:rPr>
          <w:rFonts w:hint="eastAsia" w:eastAsia="仿宋_GB2312" w:cs="Times New Roman"/>
          <w:b w:val="0"/>
          <w:bCs w:val="0"/>
          <w:kern w:val="2"/>
          <w:sz w:val="32"/>
          <w:szCs w:val="32"/>
          <w:lang w:val="en-US" w:eastAsia="zh-CN" w:bidi="ar-SA"/>
        </w:rPr>
        <w:t>33.01</w:t>
      </w:r>
      <w:r>
        <w:rPr>
          <w:rFonts w:hint="default" w:ascii="Times New Roman" w:hAnsi="Times New Roman" w:eastAsia="仿宋_GB2312" w:cs="Times New Roman"/>
          <w:b w:val="0"/>
          <w:bCs w:val="0"/>
          <w:kern w:val="2"/>
          <w:sz w:val="32"/>
          <w:szCs w:val="32"/>
          <w:lang w:val="en-US" w:eastAsia="zh-CN" w:bidi="ar-SA"/>
        </w:rPr>
        <w:t>万元，增长</w:t>
      </w:r>
      <w:r>
        <w:rPr>
          <w:rFonts w:hint="eastAsia" w:eastAsia="仿宋_GB2312" w:cs="Times New Roman"/>
          <w:b w:val="0"/>
          <w:bCs w:val="0"/>
          <w:kern w:val="2"/>
          <w:sz w:val="32"/>
          <w:szCs w:val="32"/>
          <w:lang w:val="en-US" w:eastAsia="zh-CN" w:bidi="ar-SA"/>
        </w:rPr>
        <w:t>15.9</w:t>
      </w:r>
      <w:r>
        <w:rPr>
          <w:rFonts w:hint="default" w:ascii="Times New Roman" w:hAnsi="Times New Roman" w:eastAsia="仿宋_GB2312" w:cs="Times New Roman"/>
          <w:b w:val="0"/>
          <w:bCs w:val="0"/>
          <w:kern w:val="2"/>
          <w:sz w:val="32"/>
          <w:szCs w:val="32"/>
          <w:lang w:val="en-US" w:eastAsia="zh-CN" w:bidi="ar-SA"/>
        </w:rPr>
        <w:t>%，支出增加</w:t>
      </w:r>
      <w:r>
        <w:rPr>
          <w:rFonts w:hint="eastAsia" w:eastAsia="仿宋_GB2312" w:cs="Times New Roman"/>
          <w:b w:val="0"/>
          <w:bCs w:val="0"/>
          <w:kern w:val="2"/>
          <w:sz w:val="32"/>
          <w:szCs w:val="32"/>
          <w:lang w:val="en-US" w:eastAsia="zh-CN" w:bidi="ar-SA"/>
        </w:rPr>
        <w:t>33.01</w:t>
      </w:r>
      <w:r>
        <w:rPr>
          <w:rFonts w:hint="default" w:ascii="Times New Roman" w:hAnsi="Times New Roman" w:eastAsia="仿宋_GB2312" w:cs="Times New Roman"/>
          <w:b w:val="0"/>
          <w:bCs w:val="0"/>
          <w:kern w:val="2"/>
          <w:sz w:val="32"/>
          <w:szCs w:val="32"/>
          <w:lang w:val="en-US" w:eastAsia="zh-CN" w:bidi="ar-SA"/>
        </w:rPr>
        <w:t>万元，增长</w:t>
      </w:r>
      <w:r>
        <w:rPr>
          <w:rFonts w:hint="eastAsia" w:eastAsia="仿宋_GB2312" w:cs="Times New Roman"/>
          <w:b w:val="0"/>
          <w:bCs w:val="0"/>
          <w:kern w:val="2"/>
          <w:sz w:val="32"/>
          <w:szCs w:val="32"/>
          <w:lang w:val="en-US" w:eastAsia="zh-CN" w:bidi="ar-SA"/>
        </w:rPr>
        <w:t>15.9</w:t>
      </w:r>
      <w:r>
        <w:rPr>
          <w:rFonts w:hint="default" w:ascii="Times New Roman" w:hAnsi="Times New Roman" w:eastAsia="仿宋_GB2312" w:cs="Times New Roman"/>
          <w:b w:val="0"/>
          <w:bCs w:val="0"/>
          <w:kern w:val="2"/>
          <w:sz w:val="32"/>
          <w:szCs w:val="32"/>
          <w:lang w:val="en-US" w:eastAsia="zh-CN" w:bidi="ar-SA"/>
        </w:rPr>
        <w:t>%；主要变动原因是人员调入及人员正常工资晋薪级、职务晋升调资。</w:t>
      </w:r>
    </w:p>
    <w:p>
      <w:pPr>
        <w:keepNext w:val="0"/>
        <w:keepLines w:val="0"/>
        <w:pageBreakBefore w:val="0"/>
        <w:widowControl w:val="0"/>
        <w:kinsoku/>
        <w:wordWrap/>
        <w:overflowPunct/>
        <w:topLinePunct w:val="0"/>
        <w:autoSpaceDE/>
        <w:autoSpaceDN/>
        <w:bidi w:val="0"/>
        <w:adjustRightInd/>
        <w:snapToGrid/>
        <w:spacing w:line="604" w:lineRule="exact"/>
        <w:ind w:firstLine="640" w:firstLineChars="200"/>
        <w:textAlignment w:val="auto"/>
        <w:outlineLvl w:val="1"/>
        <w:rPr>
          <w:rStyle w:val="32"/>
          <w:rFonts w:ascii="黑体" w:hAnsi="黑体" w:eastAsia="黑体"/>
          <w:b w:val="0"/>
          <w:color w:val="auto"/>
          <w:highlight w:val="none"/>
        </w:rPr>
      </w:pPr>
      <w:bookmarkStart w:id="26" w:name="_Toc15396607"/>
      <w:bookmarkStart w:id="27" w:name="_Toc15377209"/>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32"/>
          <w:rFonts w:hint="eastAsia" w:ascii="黑体" w:hAnsi="黑体" w:eastAsia="黑体"/>
          <w:b w:val="0"/>
          <w:color w:val="auto"/>
          <w:highlight w:val="none"/>
        </w:rPr>
        <w:t>般公共预算财政拨款支出决算情况说明</w:t>
      </w:r>
      <w:bookmarkEnd w:id="26"/>
      <w:bookmarkEnd w:id="27"/>
    </w:p>
    <w:p>
      <w:pPr>
        <w:keepNext w:val="0"/>
        <w:keepLines w:val="0"/>
        <w:pageBreakBefore w:val="0"/>
        <w:widowControl w:val="0"/>
        <w:kinsoku/>
        <w:wordWrap/>
        <w:overflowPunct/>
        <w:topLinePunct w:val="0"/>
        <w:autoSpaceDE/>
        <w:autoSpaceDN/>
        <w:bidi w:val="0"/>
        <w:adjustRightInd/>
        <w:snapToGrid/>
        <w:spacing w:line="604" w:lineRule="exact"/>
        <w:ind w:firstLine="640" w:firstLineChars="200"/>
        <w:textAlignment w:val="auto"/>
        <w:outlineLvl w:val="2"/>
        <w:rPr>
          <w:rFonts w:hint="eastAsia" w:ascii="楷体_GB2312" w:hAnsi="楷体_GB2312" w:eastAsia="楷体_GB2312" w:cs="楷体_GB2312"/>
          <w:b w:val="0"/>
          <w:bCs/>
          <w:color w:val="auto"/>
          <w:sz w:val="32"/>
          <w:szCs w:val="32"/>
          <w:highlight w:val="none"/>
        </w:rPr>
      </w:pPr>
      <w:bookmarkStart w:id="28" w:name="_Toc15377210"/>
      <w:r>
        <w:rPr>
          <w:rFonts w:hint="eastAsia" w:ascii="楷体_GB2312" w:hAnsi="楷体_GB2312" w:eastAsia="楷体_GB2312" w:cs="楷体_GB2312"/>
          <w:b w:val="0"/>
          <w:bCs/>
          <w:color w:val="auto"/>
          <w:sz w:val="32"/>
          <w:szCs w:val="32"/>
          <w:highlight w:val="none"/>
        </w:rPr>
        <w:t>（一）一般公共预算财政拨款支出决算总体情况</w:t>
      </w:r>
      <w:bookmarkEnd w:id="28"/>
    </w:p>
    <w:p>
      <w:pPr>
        <w:keepNext w:val="0"/>
        <w:keepLines w:val="0"/>
        <w:pageBreakBefore w:val="0"/>
        <w:widowControl w:val="0"/>
        <w:kinsoku/>
        <w:wordWrap/>
        <w:overflowPunct/>
        <w:topLinePunct w:val="0"/>
        <w:autoSpaceDE/>
        <w:autoSpaceDN/>
        <w:bidi w:val="0"/>
        <w:adjustRightInd/>
        <w:snapToGrid/>
        <w:spacing w:line="604" w:lineRule="exact"/>
        <w:ind w:firstLine="640" w:firstLineChars="200"/>
        <w:textAlignment w:val="auto"/>
        <w:rPr>
          <w:rFonts w:hint="default" w:ascii="Times New Roman" w:hAnsi="Times New Roman" w:cs="Times New Roman"/>
        </w:rPr>
      </w:pPr>
      <w:r>
        <w:rPr>
          <w:rFonts w:hint="default" w:ascii="Times New Roman" w:hAnsi="Times New Roman" w:eastAsia="仿宋" w:cs="Times New Roman"/>
          <w:color w:val="auto"/>
          <w:sz w:val="32"/>
          <w:szCs w:val="32"/>
          <w:highlight w:val="none"/>
        </w:rPr>
        <w:t>20</w:t>
      </w:r>
      <w:r>
        <w:rPr>
          <w:rFonts w:hint="default" w:ascii="Times New Roman" w:hAnsi="Times New Roman" w:eastAsia="仿宋" w:cs="Times New Roman"/>
          <w:color w:val="auto"/>
          <w:sz w:val="32"/>
          <w:szCs w:val="32"/>
          <w:highlight w:val="none"/>
          <w:lang w:val="en-US" w:eastAsia="zh-CN"/>
        </w:rPr>
        <w:t>22</w:t>
      </w:r>
      <w:r>
        <w:rPr>
          <w:rFonts w:hint="default" w:ascii="Times New Roman" w:hAnsi="Times New Roman" w:eastAsia="仿宋" w:cs="Times New Roman"/>
          <w:color w:val="auto"/>
          <w:sz w:val="32"/>
          <w:szCs w:val="32"/>
          <w:highlight w:val="none"/>
        </w:rPr>
        <w:t>年一般公共预算财政拨款支出</w:t>
      </w:r>
      <w:r>
        <w:rPr>
          <w:rFonts w:hint="default" w:ascii="Times New Roman" w:hAnsi="Times New Roman" w:eastAsia="仿宋" w:cs="Times New Roman"/>
          <w:color w:val="auto"/>
          <w:sz w:val="32"/>
          <w:szCs w:val="32"/>
          <w:highlight w:val="none"/>
          <w:lang w:val="en-US" w:eastAsia="zh-CN"/>
        </w:rPr>
        <w:t>2</w:t>
      </w:r>
      <w:r>
        <w:rPr>
          <w:rFonts w:hint="eastAsia" w:eastAsia="仿宋" w:cs="Times New Roman"/>
          <w:color w:val="auto"/>
          <w:sz w:val="32"/>
          <w:szCs w:val="32"/>
          <w:highlight w:val="none"/>
          <w:lang w:val="en-US" w:eastAsia="zh-CN"/>
        </w:rPr>
        <w:t>40</w:t>
      </w:r>
      <w:r>
        <w:rPr>
          <w:rFonts w:hint="default" w:ascii="Times New Roman" w:hAnsi="Times New Roman" w:eastAsia="仿宋" w:cs="Times New Roman"/>
          <w:color w:val="auto"/>
          <w:sz w:val="32"/>
          <w:szCs w:val="32"/>
          <w:highlight w:val="none"/>
          <w:lang w:val="en-US" w:eastAsia="zh-CN"/>
        </w:rPr>
        <w:t>.97</w:t>
      </w:r>
      <w:r>
        <w:rPr>
          <w:rFonts w:hint="default" w:ascii="Times New Roman" w:hAnsi="Times New Roman" w:eastAsia="仿宋" w:cs="Times New Roman"/>
          <w:color w:val="auto"/>
          <w:sz w:val="32"/>
          <w:szCs w:val="32"/>
          <w:highlight w:val="none"/>
        </w:rPr>
        <w:t>万元，占本年支出合计的</w:t>
      </w:r>
      <w:r>
        <w:rPr>
          <w:rFonts w:hint="default" w:ascii="Times New Roman" w:hAnsi="Times New Roman" w:eastAsia="仿宋" w:cs="Times New Roman"/>
          <w:color w:val="auto"/>
          <w:sz w:val="32"/>
          <w:szCs w:val="32"/>
          <w:highlight w:val="none"/>
          <w:lang w:val="en-US" w:eastAsia="zh-CN"/>
        </w:rPr>
        <w:t>100</w:t>
      </w:r>
      <w:r>
        <w:rPr>
          <w:rFonts w:hint="default" w:ascii="Times New Roman" w:hAnsi="Times New Roman" w:eastAsia="仿宋" w:cs="Times New Roman"/>
          <w:color w:val="auto"/>
          <w:sz w:val="32"/>
          <w:szCs w:val="32"/>
          <w:highlight w:val="none"/>
        </w:rPr>
        <w:t>%。与20</w:t>
      </w:r>
      <w:r>
        <w:rPr>
          <w:rFonts w:hint="default" w:ascii="Times New Roman" w:hAnsi="Times New Roman" w:eastAsia="仿宋" w:cs="Times New Roman"/>
          <w:color w:val="auto"/>
          <w:sz w:val="32"/>
          <w:szCs w:val="32"/>
          <w:highlight w:val="none"/>
          <w:lang w:val="en-US" w:eastAsia="zh-CN"/>
        </w:rPr>
        <w:t>21</w:t>
      </w:r>
      <w:r>
        <w:rPr>
          <w:rFonts w:hint="default" w:ascii="Times New Roman" w:hAnsi="Times New Roman" w:eastAsia="仿宋" w:cs="Times New Roman"/>
          <w:color w:val="auto"/>
          <w:sz w:val="32"/>
          <w:szCs w:val="32"/>
          <w:highlight w:val="none"/>
        </w:rPr>
        <w:t>年相比，一般公共预算财政拨款</w:t>
      </w:r>
      <w:r>
        <w:rPr>
          <w:rFonts w:hint="default" w:ascii="Times New Roman" w:hAnsi="Times New Roman" w:eastAsia="仿宋" w:cs="Times New Roman"/>
          <w:color w:val="auto"/>
          <w:sz w:val="32"/>
          <w:szCs w:val="32"/>
          <w:highlight w:val="none"/>
          <w:lang w:eastAsia="zh-CN"/>
        </w:rPr>
        <w:t>支出</w:t>
      </w:r>
      <w:r>
        <w:rPr>
          <w:rFonts w:hint="default" w:ascii="Times New Roman" w:hAnsi="Times New Roman" w:eastAsia="仿宋" w:cs="Times New Roman"/>
          <w:color w:val="auto"/>
          <w:sz w:val="32"/>
          <w:szCs w:val="32"/>
          <w:highlight w:val="none"/>
        </w:rPr>
        <w:t>增加</w:t>
      </w:r>
      <w:r>
        <w:rPr>
          <w:rFonts w:hint="default" w:ascii="Times New Roman" w:hAnsi="Times New Roman" w:eastAsia="仿宋" w:cs="Times New Roman"/>
          <w:color w:val="auto"/>
          <w:sz w:val="32"/>
          <w:szCs w:val="32"/>
          <w:highlight w:val="none"/>
          <w:lang w:val="en-US" w:eastAsia="zh-CN"/>
        </w:rPr>
        <w:t>33.01</w:t>
      </w:r>
      <w:r>
        <w:rPr>
          <w:rFonts w:hint="default" w:ascii="Times New Roman" w:hAnsi="Times New Roman" w:eastAsia="仿宋" w:cs="Times New Roman"/>
          <w:color w:val="auto"/>
          <w:sz w:val="32"/>
          <w:szCs w:val="32"/>
          <w:highlight w:val="none"/>
        </w:rPr>
        <w:t>万元，增长</w:t>
      </w:r>
      <w:r>
        <w:rPr>
          <w:rFonts w:hint="default" w:ascii="Times New Roman" w:hAnsi="Times New Roman" w:eastAsia="仿宋" w:cs="Times New Roman"/>
          <w:color w:val="auto"/>
          <w:sz w:val="32"/>
          <w:szCs w:val="32"/>
          <w:highlight w:val="none"/>
          <w:lang w:val="en-US" w:eastAsia="zh-CN"/>
        </w:rPr>
        <w:t>15.9</w:t>
      </w:r>
      <w:r>
        <w:rPr>
          <w:rFonts w:hint="default" w:ascii="Times New Roman" w:hAnsi="Times New Roman" w:eastAsia="仿宋" w:cs="Times New Roman"/>
          <w:color w:val="auto"/>
          <w:sz w:val="32"/>
          <w:szCs w:val="32"/>
          <w:highlight w:val="none"/>
        </w:rPr>
        <w:t>%。</w:t>
      </w:r>
      <w:r>
        <w:rPr>
          <w:rFonts w:hint="default" w:ascii="Times New Roman" w:hAnsi="Times New Roman" w:eastAsia="仿宋_GB2312" w:cs="Times New Roman"/>
          <w:b w:val="0"/>
          <w:bCs w:val="0"/>
          <w:kern w:val="2"/>
          <w:sz w:val="32"/>
          <w:szCs w:val="32"/>
          <w:lang w:val="en-US" w:eastAsia="zh-CN" w:bidi="ar-SA"/>
        </w:rPr>
        <w:t>主要变动原因是人员调入及人员正常工资晋薪级、职务晋升调资。</w:t>
      </w:r>
    </w:p>
    <w:p>
      <w:pPr>
        <w:pStyle w:val="17"/>
        <w:keepNext w:val="0"/>
        <w:keepLines w:val="0"/>
        <w:pageBreakBefore w:val="0"/>
        <w:widowControl w:val="0"/>
        <w:kinsoku/>
        <w:wordWrap/>
        <w:overflowPunct/>
        <w:topLinePunct w:val="0"/>
        <w:autoSpaceDE/>
        <w:autoSpaceDN/>
        <w:bidi w:val="0"/>
        <w:adjustRightInd/>
        <w:snapToGrid/>
        <w:spacing w:after="0" w:line="604" w:lineRule="exact"/>
        <w:ind w:left="0" w:leftChars="0" w:firstLine="640" w:firstLineChars="200"/>
        <w:textAlignment w:val="auto"/>
        <w:rPr>
          <w:rFonts w:hint="eastAsia" w:ascii="楷体_GB2312" w:hAnsi="楷体_GB2312" w:eastAsia="楷体_GB2312" w:cs="楷体_GB2312"/>
          <w:b w:val="0"/>
          <w:bCs/>
          <w:color w:val="auto"/>
          <w:kern w:val="2"/>
          <w:sz w:val="32"/>
          <w:szCs w:val="32"/>
          <w:highlight w:val="none"/>
          <w:lang w:val="en-US" w:eastAsia="zh-CN" w:bidi="ar-SA"/>
        </w:rPr>
      </w:pPr>
      <w:r>
        <w:rPr>
          <w:rFonts w:hint="default" w:ascii="楷体_GB2312" w:hAnsi="楷体_GB2312" w:eastAsia="楷体_GB2312" w:cs="楷体_GB2312"/>
          <w:b w:val="0"/>
          <w:bCs/>
          <w:color w:val="auto"/>
          <w:kern w:val="2"/>
          <w:sz w:val="32"/>
          <w:szCs w:val="32"/>
          <w:highlight w:val="none"/>
          <w:lang w:val="en-US" w:eastAsia="zh-CN" w:bidi="ar-SA"/>
        </w:rPr>
        <w:drawing>
          <wp:anchor distT="0" distB="0" distL="114300" distR="114300" simplePos="0" relativeHeight="251661312" behindDoc="0" locked="0" layoutInCell="1" allowOverlap="1">
            <wp:simplePos x="0" y="0"/>
            <wp:positionH relativeFrom="column">
              <wp:posOffset>185420</wp:posOffset>
            </wp:positionH>
            <wp:positionV relativeFrom="paragraph">
              <wp:posOffset>52070</wp:posOffset>
            </wp:positionV>
            <wp:extent cx="5080000" cy="3810000"/>
            <wp:effectExtent l="4445" t="4445" r="20955" b="14605"/>
            <wp:wrapSquare wrapText="bothSides"/>
            <wp:docPr id="18" name="图表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bookmarkStart w:id="29" w:name="_Toc15377211"/>
      <w:r>
        <w:rPr>
          <w:rFonts w:hint="eastAsia" w:ascii="楷体_GB2312" w:hAnsi="楷体_GB2312" w:eastAsia="楷体_GB2312" w:cs="楷体_GB2312"/>
          <w:b w:val="0"/>
          <w:bCs/>
          <w:color w:val="auto"/>
          <w:kern w:val="2"/>
          <w:sz w:val="32"/>
          <w:szCs w:val="32"/>
          <w:highlight w:val="none"/>
          <w:lang w:val="en-US" w:eastAsia="zh-CN" w:bidi="ar-SA"/>
        </w:rPr>
        <w:t>（二）一般公共预算财政拨款支出决算结构情况</w:t>
      </w:r>
      <w:bookmarkEnd w:id="29"/>
    </w:p>
    <w:p>
      <w:pPr>
        <w:keepNext w:val="0"/>
        <w:keepLines w:val="0"/>
        <w:pageBreakBefore w:val="0"/>
        <w:widowControl w:val="0"/>
        <w:kinsoku/>
        <w:wordWrap/>
        <w:overflowPunct/>
        <w:topLinePunct w:val="0"/>
        <w:autoSpaceDE/>
        <w:autoSpaceDN/>
        <w:bidi w:val="0"/>
        <w:adjustRightInd/>
        <w:snapToGrid/>
        <w:spacing w:line="604" w:lineRule="exact"/>
        <w:ind w:firstLine="64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20</w:t>
      </w:r>
      <w:r>
        <w:rPr>
          <w:rFonts w:hint="default" w:ascii="Times New Roman" w:hAnsi="Times New Roman" w:eastAsia="仿宋" w:cs="Times New Roman"/>
          <w:color w:val="auto"/>
          <w:sz w:val="32"/>
          <w:szCs w:val="32"/>
          <w:highlight w:val="none"/>
          <w:lang w:val="en-US" w:eastAsia="zh-CN"/>
        </w:rPr>
        <w:t>22</w:t>
      </w:r>
      <w:r>
        <w:rPr>
          <w:rFonts w:hint="default" w:ascii="Times New Roman" w:hAnsi="Times New Roman" w:eastAsia="仿宋" w:cs="Times New Roman"/>
          <w:color w:val="auto"/>
          <w:sz w:val="32"/>
          <w:szCs w:val="32"/>
          <w:highlight w:val="none"/>
        </w:rPr>
        <w:t>年一般公共预算财政拨款支出</w:t>
      </w:r>
      <w:r>
        <w:rPr>
          <w:rFonts w:hint="default" w:ascii="Times New Roman" w:hAnsi="Times New Roman" w:eastAsia="仿宋" w:cs="Times New Roman"/>
          <w:color w:val="auto"/>
          <w:sz w:val="32"/>
          <w:szCs w:val="32"/>
          <w:highlight w:val="none"/>
          <w:lang w:val="en-US" w:eastAsia="zh-CN"/>
        </w:rPr>
        <w:t>2</w:t>
      </w:r>
      <w:r>
        <w:rPr>
          <w:rFonts w:hint="eastAsia" w:eastAsia="仿宋" w:cs="Times New Roman"/>
          <w:color w:val="auto"/>
          <w:sz w:val="32"/>
          <w:szCs w:val="32"/>
          <w:highlight w:val="none"/>
          <w:lang w:val="en-US" w:eastAsia="zh-CN"/>
        </w:rPr>
        <w:t>40</w:t>
      </w:r>
      <w:r>
        <w:rPr>
          <w:rFonts w:hint="default" w:ascii="Times New Roman" w:hAnsi="Times New Roman" w:eastAsia="仿宋" w:cs="Times New Roman"/>
          <w:color w:val="auto"/>
          <w:sz w:val="32"/>
          <w:szCs w:val="32"/>
          <w:highlight w:val="none"/>
          <w:lang w:val="en-US" w:eastAsia="zh-CN"/>
        </w:rPr>
        <w:t>.97</w:t>
      </w:r>
      <w:r>
        <w:rPr>
          <w:rFonts w:hint="default" w:ascii="Times New Roman" w:hAnsi="Times New Roman" w:eastAsia="仿宋" w:cs="Times New Roman"/>
          <w:color w:val="auto"/>
          <w:sz w:val="32"/>
          <w:szCs w:val="32"/>
          <w:highlight w:val="none"/>
        </w:rPr>
        <w:t>万元，主要用于以下方面:</w:t>
      </w:r>
      <w:r>
        <w:rPr>
          <w:rFonts w:hint="default" w:ascii="Times New Roman" w:hAnsi="Times New Roman" w:eastAsia="仿宋" w:cs="Times New Roman"/>
          <w:b/>
          <w:color w:val="auto"/>
          <w:sz w:val="32"/>
          <w:szCs w:val="32"/>
          <w:highlight w:val="none"/>
        </w:rPr>
        <w:t>一般公共服务</w:t>
      </w:r>
      <w:r>
        <w:rPr>
          <w:rFonts w:hint="default" w:ascii="Times New Roman" w:hAnsi="Times New Roman" w:eastAsia="仿宋" w:cs="Times New Roman"/>
          <w:b/>
          <w:bCs/>
          <w:color w:val="auto"/>
          <w:sz w:val="32"/>
          <w:szCs w:val="32"/>
          <w:highlight w:val="none"/>
        </w:rPr>
        <w:t>支出</w:t>
      </w:r>
      <w:r>
        <w:rPr>
          <w:rFonts w:hint="default" w:ascii="Times New Roman" w:hAnsi="Times New Roman" w:eastAsia="仿宋" w:cs="Times New Roman"/>
          <w:color w:val="auto"/>
          <w:sz w:val="32"/>
          <w:szCs w:val="32"/>
          <w:highlight w:val="none"/>
          <w:lang w:val="en-US" w:eastAsia="zh-CN"/>
        </w:rPr>
        <w:t>197.1</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81.79</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b/>
          <w:color w:val="auto"/>
          <w:sz w:val="32"/>
          <w:szCs w:val="32"/>
          <w:highlight w:val="none"/>
        </w:rPr>
        <w:t>社会保障和就业</w:t>
      </w:r>
      <w:r>
        <w:rPr>
          <w:rFonts w:hint="default" w:ascii="Times New Roman" w:hAnsi="Times New Roman" w:eastAsia="仿宋" w:cs="Times New Roman"/>
          <w:b/>
          <w:bCs/>
          <w:color w:val="auto"/>
          <w:sz w:val="32"/>
          <w:szCs w:val="32"/>
          <w:highlight w:val="none"/>
        </w:rPr>
        <w:t>支出</w:t>
      </w:r>
      <w:r>
        <w:rPr>
          <w:rFonts w:hint="default" w:ascii="Times New Roman" w:hAnsi="Times New Roman" w:eastAsia="仿宋" w:cs="Times New Roman"/>
          <w:color w:val="auto"/>
          <w:sz w:val="32"/>
          <w:szCs w:val="32"/>
          <w:highlight w:val="none"/>
          <w:lang w:val="en-US" w:eastAsia="zh-CN"/>
        </w:rPr>
        <w:t>22.49</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9.33</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b/>
          <w:bCs/>
          <w:color w:val="auto"/>
          <w:sz w:val="32"/>
          <w:szCs w:val="32"/>
          <w:highlight w:val="none"/>
        </w:rPr>
        <w:t>卫生健康支出</w:t>
      </w:r>
      <w:r>
        <w:rPr>
          <w:rFonts w:hint="default" w:ascii="Times New Roman" w:hAnsi="Times New Roman" w:eastAsia="仿宋" w:cs="Times New Roman"/>
          <w:color w:val="auto"/>
          <w:sz w:val="32"/>
          <w:szCs w:val="32"/>
          <w:highlight w:val="none"/>
          <w:lang w:val="en-US" w:eastAsia="zh-CN"/>
        </w:rPr>
        <w:t>7.05</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2.93</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b/>
          <w:bCs/>
          <w:color w:val="auto"/>
          <w:sz w:val="32"/>
          <w:szCs w:val="32"/>
          <w:highlight w:val="none"/>
        </w:rPr>
        <w:t>住房保障支出</w:t>
      </w:r>
      <w:r>
        <w:rPr>
          <w:rFonts w:hint="default" w:ascii="Times New Roman" w:hAnsi="Times New Roman" w:eastAsia="仿宋" w:cs="Times New Roman"/>
          <w:color w:val="auto"/>
          <w:sz w:val="32"/>
          <w:szCs w:val="32"/>
          <w:highlight w:val="none"/>
          <w:lang w:val="en-US" w:eastAsia="zh-CN"/>
        </w:rPr>
        <w:t>14.33</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5.95</w:t>
      </w:r>
      <w:r>
        <w:rPr>
          <w:rFonts w:hint="default" w:ascii="Times New Roman" w:hAnsi="Times New Roman" w:eastAsia="仿宋" w:cs="Times New Roman"/>
          <w:color w:val="auto"/>
          <w:sz w:val="32"/>
          <w:szCs w:val="32"/>
          <w:highlight w:val="none"/>
        </w:rPr>
        <w:t>%。</w:t>
      </w:r>
    </w:p>
    <w:p>
      <w:pPr>
        <w:pStyle w:val="17"/>
        <w:rPr>
          <w:rFonts w:ascii="仿宋" w:hAnsi="仿宋" w:eastAsia="仿宋"/>
          <w:color w:val="auto"/>
          <w:sz w:val="32"/>
          <w:szCs w:val="32"/>
          <w:highlight w:val="none"/>
        </w:rPr>
      </w:pPr>
      <w:r>
        <w:rPr>
          <w:rFonts w:hint="default"/>
          <w:lang w:eastAsia="zh-CN"/>
        </w:rPr>
        <w:drawing>
          <wp:inline distT="0" distB="0" distL="114300" distR="114300">
            <wp:extent cx="4350385" cy="3191510"/>
            <wp:effectExtent l="4445" t="4445" r="7620" b="23495"/>
            <wp:docPr id="19" name="图表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pageBreakBefore w:val="0"/>
        <w:widowControl w:val="0"/>
        <w:kinsoku/>
        <w:wordWrap/>
        <w:overflowPunct/>
        <w:topLinePunct w:val="0"/>
        <w:autoSpaceDE/>
        <w:autoSpaceDN/>
        <w:bidi w:val="0"/>
        <w:adjustRightInd/>
        <w:snapToGrid/>
        <w:spacing w:line="604" w:lineRule="exact"/>
        <w:ind w:firstLine="640" w:firstLineChars="200"/>
        <w:textAlignment w:val="auto"/>
        <w:outlineLvl w:val="2"/>
        <w:rPr>
          <w:rFonts w:hint="eastAsia" w:ascii="楷体_GB2312" w:hAnsi="楷体_GB2312" w:eastAsia="楷体_GB2312" w:cs="楷体_GB2312"/>
          <w:b w:val="0"/>
          <w:bCs/>
          <w:color w:val="auto"/>
          <w:sz w:val="32"/>
          <w:szCs w:val="32"/>
          <w:highlight w:val="none"/>
        </w:rPr>
      </w:pPr>
      <w:bookmarkStart w:id="30" w:name="_Toc15377212"/>
      <w:r>
        <w:rPr>
          <w:rFonts w:hint="eastAsia" w:ascii="楷体_GB2312" w:hAnsi="楷体_GB2312" w:eastAsia="楷体_GB2312" w:cs="楷体_GB2312"/>
          <w:b w:val="0"/>
          <w:bCs/>
          <w:color w:val="auto"/>
          <w:sz w:val="32"/>
          <w:szCs w:val="32"/>
          <w:highlight w:val="none"/>
        </w:rPr>
        <w:t>（三）一般公共预算财政拨款支出决算具体情况</w:t>
      </w:r>
      <w:bookmarkEnd w:id="30"/>
    </w:p>
    <w:p>
      <w:pPr>
        <w:spacing w:line="600" w:lineRule="exact"/>
        <w:ind w:firstLine="643" w:firstLineChars="200"/>
        <w:outlineLvl w:val="2"/>
        <w:rPr>
          <w:rFonts w:hint="default" w:ascii="Times New Roman" w:hAnsi="Times New Roman" w:eastAsia="仿宋" w:cs="Times New Roman"/>
          <w:color w:val="auto"/>
          <w:sz w:val="32"/>
          <w:szCs w:val="32"/>
          <w:highlight w:val="none"/>
        </w:rPr>
      </w:pPr>
      <w:bookmarkStart w:id="31" w:name="_Toc15378460"/>
      <w:bookmarkStart w:id="32" w:name="_Toc15377444"/>
      <w:bookmarkStart w:id="33" w:name="_Toc15377213"/>
      <w:r>
        <w:rPr>
          <w:rFonts w:hint="default" w:ascii="Times New Roman" w:hAnsi="Times New Roman" w:eastAsia="仿宋" w:cs="Times New Roman"/>
          <w:b/>
          <w:color w:val="auto"/>
          <w:sz w:val="32"/>
          <w:szCs w:val="32"/>
          <w:highlight w:val="none"/>
        </w:rPr>
        <w:t>20</w:t>
      </w:r>
      <w:r>
        <w:rPr>
          <w:rFonts w:hint="default" w:ascii="Times New Roman" w:hAnsi="Times New Roman" w:eastAsia="仿宋" w:cs="Times New Roman"/>
          <w:b/>
          <w:color w:val="auto"/>
          <w:sz w:val="32"/>
          <w:szCs w:val="32"/>
          <w:highlight w:val="none"/>
          <w:lang w:val="en-US" w:eastAsia="zh-CN"/>
        </w:rPr>
        <w:t>22</w:t>
      </w:r>
      <w:r>
        <w:rPr>
          <w:rFonts w:hint="default" w:ascii="Times New Roman" w:hAnsi="Times New Roman" w:eastAsia="仿宋" w:cs="Times New Roman"/>
          <w:b/>
          <w:color w:val="auto"/>
          <w:sz w:val="32"/>
          <w:szCs w:val="32"/>
          <w:highlight w:val="none"/>
        </w:rPr>
        <w:t>年</w:t>
      </w:r>
      <w:r>
        <w:rPr>
          <w:rFonts w:hint="default" w:ascii="Times New Roman" w:hAnsi="Times New Roman" w:eastAsia="仿宋" w:cs="Times New Roman"/>
          <w:b/>
          <w:color w:val="auto"/>
          <w:sz w:val="32"/>
          <w:szCs w:val="32"/>
          <w:highlight w:val="none"/>
          <w:lang w:eastAsia="zh-CN"/>
        </w:rPr>
        <w:t>一</w:t>
      </w:r>
      <w:r>
        <w:rPr>
          <w:rFonts w:hint="default" w:ascii="Times New Roman" w:hAnsi="Times New Roman" w:eastAsia="仿宋" w:cs="Times New Roman"/>
          <w:b/>
          <w:color w:val="auto"/>
          <w:sz w:val="32"/>
          <w:szCs w:val="32"/>
          <w:highlight w:val="none"/>
        </w:rPr>
        <w:t>般公共预算支出决算数为</w:t>
      </w:r>
      <w:r>
        <w:rPr>
          <w:rFonts w:hint="default" w:ascii="Times New Roman" w:hAnsi="Times New Roman" w:eastAsia="仿宋" w:cs="Times New Roman"/>
          <w:b/>
          <w:color w:val="auto"/>
          <w:sz w:val="32"/>
          <w:szCs w:val="32"/>
          <w:highlight w:val="none"/>
          <w:lang w:val="en-US" w:eastAsia="zh-CN"/>
        </w:rPr>
        <w:t>2</w:t>
      </w:r>
      <w:r>
        <w:rPr>
          <w:rFonts w:hint="eastAsia" w:eastAsia="仿宋" w:cs="Times New Roman"/>
          <w:b/>
          <w:color w:val="auto"/>
          <w:sz w:val="32"/>
          <w:szCs w:val="32"/>
          <w:highlight w:val="none"/>
          <w:lang w:val="en-US" w:eastAsia="zh-CN"/>
        </w:rPr>
        <w:t>40</w:t>
      </w:r>
      <w:r>
        <w:rPr>
          <w:rFonts w:hint="default" w:ascii="Times New Roman" w:hAnsi="Times New Roman" w:eastAsia="仿宋" w:cs="Times New Roman"/>
          <w:b/>
          <w:color w:val="auto"/>
          <w:sz w:val="32"/>
          <w:szCs w:val="32"/>
          <w:highlight w:val="none"/>
          <w:lang w:val="en-US" w:eastAsia="zh-CN"/>
        </w:rPr>
        <w:t>.97</w:t>
      </w:r>
      <w:r>
        <w:rPr>
          <w:rFonts w:hint="default" w:ascii="Times New Roman" w:hAnsi="Times New Roman" w:eastAsia="仿宋" w:cs="Times New Roman"/>
          <w:color w:val="auto"/>
          <w:sz w:val="32"/>
          <w:szCs w:val="32"/>
          <w:highlight w:val="none"/>
        </w:rPr>
        <w:t>，</w:t>
      </w:r>
      <w:r>
        <w:rPr>
          <w:rStyle w:val="21"/>
          <w:rFonts w:hint="default" w:ascii="Times New Roman" w:hAnsi="Times New Roman" w:eastAsia="仿宋" w:cs="Times New Roman"/>
          <w:bCs/>
          <w:color w:val="auto"/>
          <w:sz w:val="32"/>
          <w:szCs w:val="32"/>
          <w:highlight w:val="none"/>
        </w:rPr>
        <w:t>完成预算</w:t>
      </w:r>
      <w:r>
        <w:rPr>
          <w:rStyle w:val="21"/>
          <w:rFonts w:hint="default" w:ascii="Times New Roman" w:hAnsi="Times New Roman" w:eastAsia="仿宋" w:cs="Times New Roman"/>
          <w:bCs/>
          <w:color w:val="auto"/>
          <w:sz w:val="32"/>
          <w:szCs w:val="32"/>
          <w:highlight w:val="none"/>
          <w:lang w:val="en-US" w:eastAsia="zh-CN"/>
        </w:rPr>
        <w:t>100</w:t>
      </w:r>
      <w:r>
        <w:rPr>
          <w:rStyle w:val="21"/>
          <w:rFonts w:hint="default" w:ascii="Times New Roman" w:hAnsi="Times New Roman" w:eastAsia="仿宋" w:cs="Times New Roman"/>
          <w:bCs/>
          <w:color w:val="auto"/>
          <w:sz w:val="32"/>
          <w:szCs w:val="32"/>
          <w:highlight w:val="none"/>
        </w:rPr>
        <w:t>%。其中：</w:t>
      </w:r>
      <w:bookmarkEnd w:id="31"/>
      <w:bookmarkEnd w:id="32"/>
      <w:bookmarkEnd w:id="33"/>
    </w:p>
    <w:p>
      <w:pPr>
        <w:keepNext w:val="0"/>
        <w:keepLines w:val="0"/>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1.一般公共服务（类）党委办公厅（室）及相关机构事务（款）行政事业运行（项）: 支出决算为</w:t>
      </w:r>
      <w:r>
        <w:rPr>
          <w:rFonts w:hint="eastAsia" w:eastAsia="仿宋_GB2312" w:cs="Times New Roman"/>
          <w:b w:val="0"/>
          <w:bCs w:val="0"/>
          <w:kern w:val="2"/>
          <w:sz w:val="32"/>
          <w:szCs w:val="32"/>
          <w:lang w:val="en-US" w:eastAsia="zh-CN" w:bidi="ar-SA"/>
        </w:rPr>
        <w:t>197.1</w:t>
      </w:r>
      <w:r>
        <w:rPr>
          <w:rFonts w:hint="default" w:ascii="Times New Roman" w:hAnsi="Times New Roman" w:eastAsia="仿宋_GB2312" w:cs="Times New Roman"/>
          <w:b w:val="0"/>
          <w:bCs w:val="0"/>
          <w:kern w:val="2"/>
          <w:sz w:val="32"/>
          <w:szCs w:val="32"/>
          <w:lang w:val="en-US" w:eastAsia="zh-CN" w:bidi="ar-SA"/>
        </w:rPr>
        <w:t>万元，完成预算100%</w:t>
      </w:r>
      <w:r>
        <w:rPr>
          <w:rFonts w:hint="eastAsia" w:eastAsia="仿宋_GB2312" w:cs="Times New Roman"/>
          <w:b w:val="0"/>
          <w:bCs w:val="0"/>
          <w:kern w:val="2"/>
          <w:sz w:val="32"/>
          <w:szCs w:val="32"/>
          <w:lang w:val="en-US" w:eastAsia="zh-CN" w:bidi="ar-SA"/>
        </w:rPr>
        <w:t>,与预算数持平</w:t>
      </w:r>
      <w:r>
        <w:rPr>
          <w:rFonts w:hint="default" w:ascii="Times New Roman" w:hAnsi="Times New Roman" w:eastAsia="仿宋_GB2312" w:cs="Times New Roman"/>
          <w:b w:val="0"/>
          <w:bCs w:val="0"/>
          <w:kern w:val="2"/>
          <w:sz w:val="32"/>
          <w:szCs w:val="32"/>
          <w:lang w:val="en-US" w:eastAsia="zh-CN" w:bidi="ar-SA"/>
        </w:rPr>
        <w:t>。</w:t>
      </w:r>
    </w:p>
    <w:p>
      <w:pPr>
        <w:keepNext w:val="0"/>
        <w:keepLines w:val="0"/>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2.社会保障和就业（类）行政事业单位养老支出（款）机关事业单位基本养老保险缴费支出（项）: 支出决算为</w:t>
      </w:r>
      <w:r>
        <w:rPr>
          <w:rFonts w:hint="eastAsia" w:eastAsia="仿宋_GB2312" w:cs="Times New Roman"/>
          <w:b w:val="0"/>
          <w:bCs w:val="0"/>
          <w:kern w:val="2"/>
          <w:sz w:val="32"/>
          <w:szCs w:val="32"/>
          <w:lang w:val="en-US" w:eastAsia="zh-CN" w:bidi="ar-SA"/>
        </w:rPr>
        <w:t>22.49</w:t>
      </w:r>
      <w:r>
        <w:rPr>
          <w:rFonts w:hint="default" w:ascii="Times New Roman" w:hAnsi="Times New Roman" w:eastAsia="仿宋_GB2312" w:cs="Times New Roman"/>
          <w:b w:val="0"/>
          <w:bCs w:val="0"/>
          <w:kern w:val="2"/>
          <w:sz w:val="32"/>
          <w:szCs w:val="32"/>
          <w:lang w:val="en-US" w:eastAsia="zh-CN" w:bidi="ar-SA"/>
        </w:rPr>
        <w:t>万元，完成预算100%</w:t>
      </w:r>
      <w:r>
        <w:rPr>
          <w:rFonts w:hint="eastAsia" w:eastAsia="仿宋_GB2312" w:cs="Times New Roman"/>
          <w:b w:val="0"/>
          <w:bCs w:val="0"/>
          <w:kern w:val="2"/>
          <w:sz w:val="32"/>
          <w:szCs w:val="32"/>
          <w:lang w:val="en-US" w:eastAsia="zh-CN" w:bidi="ar-SA"/>
        </w:rPr>
        <w:t>，与预算数持平</w:t>
      </w:r>
      <w:r>
        <w:rPr>
          <w:rFonts w:hint="default" w:ascii="Times New Roman" w:hAnsi="Times New Roman" w:eastAsia="仿宋_GB2312" w:cs="Times New Roman"/>
          <w:b w:val="0"/>
          <w:bCs w:val="0"/>
          <w:kern w:val="2"/>
          <w:sz w:val="32"/>
          <w:szCs w:val="32"/>
          <w:lang w:val="en-US" w:eastAsia="zh-CN" w:bidi="ar-SA"/>
        </w:rPr>
        <w:t>。</w:t>
      </w:r>
    </w:p>
    <w:p>
      <w:pPr>
        <w:keepNext w:val="0"/>
        <w:keepLines w:val="0"/>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3.社会保障和就业（类）其他社会保障和就业支出（款）其他社会保障和就业支出（项）: 支出决算为</w:t>
      </w:r>
      <w:r>
        <w:rPr>
          <w:rFonts w:hint="eastAsia" w:eastAsia="仿宋_GB2312" w:cs="Times New Roman"/>
          <w:b w:val="0"/>
          <w:bCs w:val="0"/>
          <w:kern w:val="2"/>
          <w:sz w:val="32"/>
          <w:szCs w:val="32"/>
          <w:lang w:val="en-US" w:eastAsia="zh-CN" w:bidi="ar-SA"/>
        </w:rPr>
        <w:t>1.61</w:t>
      </w:r>
      <w:r>
        <w:rPr>
          <w:rFonts w:hint="default" w:ascii="Times New Roman" w:hAnsi="Times New Roman" w:eastAsia="仿宋_GB2312" w:cs="Times New Roman"/>
          <w:b w:val="0"/>
          <w:bCs w:val="0"/>
          <w:kern w:val="2"/>
          <w:sz w:val="32"/>
          <w:szCs w:val="32"/>
          <w:lang w:val="en-US" w:eastAsia="zh-CN" w:bidi="ar-SA"/>
        </w:rPr>
        <w:t>万元，完成预算100%</w:t>
      </w:r>
      <w:r>
        <w:rPr>
          <w:rFonts w:hint="eastAsia" w:eastAsia="仿宋_GB2312" w:cs="Times New Roman"/>
          <w:b w:val="0"/>
          <w:bCs w:val="0"/>
          <w:kern w:val="2"/>
          <w:sz w:val="32"/>
          <w:szCs w:val="32"/>
          <w:lang w:val="en-US" w:eastAsia="zh-CN" w:bidi="ar-SA"/>
        </w:rPr>
        <w:t>，与预算数持平</w:t>
      </w:r>
      <w:r>
        <w:rPr>
          <w:rFonts w:hint="default" w:ascii="Times New Roman" w:hAnsi="Times New Roman" w:eastAsia="仿宋_GB2312" w:cs="Times New Roman"/>
          <w:b w:val="0"/>
          <w:bCs w:val="0"/>
          <w:kern w:val="2"/>
          <w:sz w:val="32"/>
          <w:szCs w:val="32"/>
          <w:lang w:val="en-US" w:eastAsia="zh-CN" w:bidi="ar-SA"/>
        </w:rPr>
        <w:t>。</w:t>
      </w:r>
    </w:p>
    <w:p>
      <w:pPr>
        <w:keepNext w:val="0"/>
        <w:keepLines w:val="0"/>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4.卫生健康（类）行政事业单位医疗（款）行政事业单位医疗（项）:支出决算为</w:t>
      </w:r>
      <w:r>
        <w:rPr>
          <w:rFonts w:hint="eastAsia" w:eastAsia="仿宋_GB2312" w:cs="Times New Roman"/>
          <w:b w:val="0"/>
          <w:bCs w:val="0"/>
          <w:kern w:val="2"/>
          <w:sz w:val="32"/>
          <w:szCs w:val="32"/>
          <w:lang w:val="en-US" w:eastAsia="zh-CN" w:bidi="ar-SA"/>
        </w:rPr>
        <w:t>5.44</w:t>
      </w:r>
      <w:r>
        <w:rPr>
          <w:rFonts w:hint="default" w:ascii="Times New Roman" w:hAnsi="Times New Roman" w:eastAsia="仿宋_GB2312" w:cs="Times New Roman"/>
          <w:b w:val="0"/>
          <w:bCs w:val="0"/>
          <w:kern w:val="2"/>
          <w:sz w:val="32"/>
          <w:szCs w:val="32"/>
          <w:lang w:val="en-US" w:eastAsia="zh-CN" w:bidi="ar-SA"/>
        </w:rPr>
        <w:t>万元，完成预算100%</w:t>
      </w:r>
      <w:r>
        <w:rPr>
          <w:rFonts w:hint="eastAsia" w:eastAsia="仿宋_GB2312" w:cs="Times New Roman"/>
          <w:b w:val="0"/>
          <w:bCs w:val="0"/>
          <w:kern w:val="2"/>
          <w:sz w:val="32"/>
          <w:szCs w:val="32"/>
          <w:lang w:val="en-US" w:eastAsia="zh-CN" w:bidi="ar-SA"/>
        </w:rPr>
        <w:t>，与预算数持平</w:t>
      </w:r>
      <w:r>
        <w:rPr>
          <w:rFonts w:hint="default" w:ascii="Times New Roman" w:hAnsi="Times New Roman" w:eastAsia="仿宋_GB2312" w:cs="Times New Roman"/>
          <w:b w:val="0"/>
          <w:bCs w:val="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firstLine="640" w:firstLineChars="200"/>
        <w:jc w:val="both"/>
        <w:textAlignment w:val="auto"/>
        <w:rPr>
          <w:rFonts w:ascii="仿宋" w:hAnsi="仿宋" w:eastAsia="仿宋"/>
          <w:b/>
          <w:color w:val="auto"/>
          <w:sz w:val="32"/>
          <w:szCs w:val="32"/>
          <w:highlight w:val="none"/>
        </w:rPr>
      </w:pPr>
      <w:r>
        <w:rPr>
          <w:rFonts w:hint="default" w:ascii="Times New Roman" w:hAnsi="Times New Roman" w:eastAsia="仿宋_GB2312" w:cs="Times New Roman"/>
          <w:b w:val="0"/>
          <w:bCs w:val="0"/>
          <w:kern w:val="2"/>
          <w:sz w:val="32"/>
          <w:szCs w:val="32"/>
          <w:lang w:val="en-US" w:eastAsia="zh-CN" w:bidi="ar-SA"/>
        </w:rPr>
        <w:t>5.住房保障支出（类）住房改革支出（款）住房公积金（项）:支出决算数为</w:t>
      </w:r>
      <w:r>
        <w:rPr>
          <w:rFonts w:hint="eastAsia" w:eastAsia="仿宋_GB2312" w:cs="Times New Roman"/>
          <w:b w:val="0"/>
          <w:bCs w:val="0"/>
          <w:kern w:val="2"/>
          <w:sz w:val="32"/>
          <w:szCs w:val="32"/>
          <w:lang w:val="en-US" w:eastAsia="zh-CN" w:bidi="ar-SA"/>
        </w:rPr>
        <w:t>14.33</w:t>
      </w:r>
      <w:r>
        <w:rPr>
          <w:rFonts w:hint="default" w:ascii="Times New Roman" w:hAnsi="Times New Roman" w:eastAsia="仿宋_GB2312" w:cs="Times New Roman"/>
          <w:b w:val="0"/>
          <w:bCs w:val="0"/>
          <w:kern w:val="2"/>
          <w:sz w:val="32"/>
          <w:szCs w:val="32"/>
          <w:lang w:val="en-US" w:eastAsia="zh-CN" w:bidi="ar-SA"/>
        </w:rPr>
        <w:t>万元，完成预算100%</w:t>
      </w:r>
      <w:r>
        <w:rPr>
          <w:rFonts w:hint="eastAsia" w:eastAsia="仿宋_GB2312" w:cs="Times New Roman"/>
          <w:b w:val="0"/>
          <w:bCs w:val="0"/>
          <w:kern w:val="2"/>
          <w:sz w:val="32"/>
          <w:szCs w:val="32"/>
          <w:lang w:val="en-US" w:eastAsia="zh-CN" w:bidi="ar-SA"/>
        </w:rPr>
        <w:t>，与预算数持平</w:t>
      </w:r>
      <w:r>
        <w:rPr>
          <w:rFonts w:hint="default" w:ascii="Times New Roman" w:hAnsi="Times New Roman" w:eastAsia="仿宋_GB2312" w:cs="Times New Roman"/>
          <w:b w:val="0"/>
          <w:bCs w:val="0"/>
          <w:kern w:val="2"/>
          <w:sz w:val="32"/>
          <w:szCs w:val="32"/>
          <w:lang w:val="en-US" w:eastAsia="zh-CN" w:bidi="ar-SA"/>
        </w:rPr>
        <w:t>。</w:t>
      </w:r>
    </w:p>
    <w:p>
      <w:pPr>
        <w:keepNext w:val="0"/>
        <w:keepLines w:val="0"/>
        <w:pageBreakBefore w:val="0"/>
        <w:widowControl w:val="0"/>
        <w:tabs>
          <w:tab w:val="right" w:pos="8306"/>
        </w:tabs>
        <w:kinsoku/>
        <w:wordWrap/>
        <w:overflowPunct/>
        <w:topLinePunct w:val="0"/>
        <w:autoSpaceDE/>
        <w:autoSpaceDN/>
        <w:bidi w:val="0"/>
        <w:adjustRightInd/>
        <w:snapToGrid/>
        <w:spacing w:line="576" w:lineRule="exact"/>
        <w:ind w:firstLine="640"/>
        <w:textAlignment w:val="auto"/>
        <w:outlineLvl w:val="1"/>
        <w:rPr>
          <w:rStyle w:val="32"/>
          <w:color w:val="auto"/>
          <w:highlight w:val="none"/>
        </w:rPr>
      </w:pPr>
      <w:bookmarkStart w:id="34" w:name="_Toc15377214"/>
      <w:bookmarkStart w:id="35" w:name="_Toc15396608"/>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32"/>
          <w:rFonts w:hint="eastAsia" w:ascii="黑体" w:hAnsi="黑体" w:eastAsia="黑体"/>
          <w:b w:val="0"/>
          <w:color w:val="auto"/>
          <w:highlight w:val="none"/>
        </w:rPr>
        <w:t>般公共预算财政拨款基本支出决算情况说明</w:t>
      </w:r>
      <w:bookmarkEnd w:id="34"/>
      <w:bookmarkEnd w:id="35"/>
      <w:r>
        <w:rPr>
          <w:rStyle w:val="32"/>
          <w:rFonts w:ascii="黑体" w:hAnsi="黑体" w:eastAsia="黑体"/>
          <w:b w:val="0"/>
          <w:color w:val="auto"/>
          <w:highlight w:val="none"/>
        </w:rPr>
        <w:tab/>
      </w:r>
    </w:p>
    <w:p>
      <w:pPr>
        <w:keepNext w:val="0"/>
        <w:keepLines w:val="0"/>
        <w:pageBreakBefore w:val="0"/>
        <w:widowControl w:val="0"/>
        <w:kinsoku/>
        <w:wordWrap/>
        <w:overflowPunct/>
        <w:topLinePunct w:val="0"/>
        <w:autoSpaceDE/>
        <w:autoSpaceDN/>
        <w:bidi w:val="0"/>
        <w:adjustRightInd/>
        <w:snapToGrid/>
        <w:spacing w:line="576" w:lineRule="exact"/>
        <w:ind w:left="0" w:leftChars="0" w:right="0"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2022年一般公共预算财政拨款基本支出2</w:t>
      </w:r>
      <w:r>
        <w:rPr>
          <w:rFonts w:hint="eastAsia" w:eastAsia="仿宋_GB2312" w:cs="Times New Roman"/>
          <w:b w:val="0"/>
          <w:bCs w:val="0"/>
          <w:kern w:val="2"/>
          <w:sz w:val="32"/>
          <w:szCs w:val="32"/>
          <w:lang w:val="en-US" w:eastAsia="zh-CN" w:bidi="ar-SA"/>
        </w:rPr>
        <w:t>40</w:t>
      </w:r>
      <w:r>
        <w:rPr>
          <w:rFonts w:hint="default" w:ascii="Times New Roman" w:hAnsi="Times New Roman" w:eastAsia="仿宋_GB2312" w:cs="Times New Roman"/>
          <w:b w:val="0"/>
          <w:bCs w:val="0"/>
          <w:kern w:val="2"/>
          <w:sz w:val="32"/>
          <w:szCs w:val="32"/>
          <w:lang w:val="en-US" w:eastAsia="zh-CN" w:bidi="ar-SA"/>
        </w:rPr>
        <w:t>.97万元，其中：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人员经费176.1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default" w:ascii="Times New Roman" w:hAnsi="Times New Roman" w:eastAsia="仿宋_GB2312" w:cs="Times New Roman"/>
          <w:b w:val="0"/>
          <w:bCs w:val="0"/>
          <w:kern w:val="2"/>
          <w:sz w:val="32"/>
          <w:szCs w:val="32"/>
          <w:lang w:val="en-US" w:eastAsia="zh-CN" w:bidi="ar-SA"/>
        </w:rPr>
        <w:br w:type="textWrapping"/>
      </w:r>
      <w:r>
        <w:rPr>
          <w:rFonts w:hint="default" w:ascii="Times New Roman" w:hAnsi="Times New Roman" w:eastAsia="仿宋_GB2312" w:cs="Times New Roman"/>
          <w:b w:val="0"/>
          <w:bCs w:val="0"/>
          <w:kern w:val="2"/>
          <w:sz w:val="32"/>
          <w:szCs w:val="32"/>
          <w:lang w:val="en-US" w:eastAsia="zh-CN" w:bidi="ar-SA"/>
        </w:rPr>
        <w:t>　　公用经费64.87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outlineLvl w:val="1"/>
        <w:rPr>
          <w:rStyle w:val="32"/>
          <w:rFonts w:ascii="黑体" w:hAnsi="黑体" w:eastAsia="黑体"/>
          <w:b w:val="0"/>
          <w:color w:val="auto"/>
          <w:highlight w:val="none"/>
        </w:rPr>
      </w:pPr>
      <w:bookmarkStart w:id="36" w:name="_Toc15396609"/>
      <w:bookmarkStart w:id="37" w:name="_Toc15377215"/>
      <w:r>
        <w:rPr>
          <w:rFonts w:hint="eastAsia" w:ascii="黑体" w:eastAsia="黑体"/>
          <w:color w:val="auto"/>
          <w:sz w:val="32"/>
          <w:szCs w:val="32"/>
          <w:highlight w:val="none"/>
        </w:rPr>
        <w:t>七、</w:t>
      </w:r>
      <w:r>
        <w:rPr>
          <w:rStyle w:val="32"/>
          <w:rFonts w:hint="eastAsia" w:ascii="黑体" w:hAnsi="黑体" w:eastAsia="黑体"/>
          <w:b w:val="0"/>
          <w:color w:val="auto"/>
          <w:highlight w:val="none"/>
        </w:rPr>
        <w:t>财政拨款</w:t>
      </w:r>
      <w:r>
        <w:rPr>
          <w:rStyle w:val="32"/>
          <w:rFonts w:hint="eastAsia" w:ascii="黑体" w:hAnsi="黑体" w:eastAsia="黑体"/>
          <w:color w:val="auto"/>
          <w:highlight w:val="none"/>
        </w:rPr>
        <w:t>“</w:t>
      </w:r>
      <w:r>
        <w:rPr>
          <w:rStyle w:val="32"/>
          <w:rFonts w:hint="eastAsia" w:ascii="黑体" w:hAnsi="黑体" w:eastAsia="黑体"/>
          <w:b w:val="0"/>
          <w:color w:val="auto"/>
          <w:highlight w:val="none"/>
        </w:rPr>
        <w:t>三公”经费支出决算情况说明</w:t>
      </w:r>
      <w:bookmarkEnd w:id="36"/>
      <w:bookmarkEnd w:id="37"/>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outlineLvl w:val="2"/>
        <w:rPr>
          <w:rFonts w:ascii="仿宋" w:hAnsi="仿宋" w:eastAsia="仿宋"/>
          <w:b/>
          <w:color w:val="auto"/>
          <w:sz w:val="32"/>
          <w:szCs w:val="32"/>
          <w:highlight w:val="none"/>
        </w:rPr>
      </w:pPr>
      <w:bookmarkStart w:id="38" w:name="_Toc15377216"/>
      <w:r>
        <w:rPr>
          <w:rFonts w:hint="eastAsia" w:ascii="楷体_GB2312" w:hAnsi="楷体_GB2312" w:eastAsia="楷体_GB2312" w:cs="楷体_GB2312"/>
          <w:b w:val="0"/>
          <w:bCs/>
          <w:color w:val="auto"/>
          <w:sz w:val="32"/>
          <w:szCs w:val="32"/>
          <w:highlight w:val="none"/>
        </w:rPr>
        <w:t>（一）“三公”经费财政拨款支出决算总体情况说明</w:t>
      </w:r>
      <w:bookmarkEnd w:id="38"/>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rPr>
        <w:t>20</w:t>
      </w:r>
      <w:r>
        <w:rPr>
          <w:rFonts w:hint="default" w:ascii="Times New Roman" w:hAnsi="Times New Roman" w:eastAsia="仿宋" w:cs="Times New Roman"/>
          <w:color w:val="auto"/>
          <w:sz w:val="32"/>
          <w:szCs w:val="32"/>
          <w:highlight w:val="none"/>
          <w:lang w:val="en-US" w:eastAsia="zh-CN"/>
        </w:rPr>
        <w:t>22</w:t>
      </w:r>
      <w:r>
        <w:rPr>
          <w:rFonts w:hint="default" w:ascii="Times New Roman" w:hAnsi="Times New Roman" w:eastAsia="仿宋" w:cs="Times New Roman"/>
          <w:color w:val="auto"/>
          <w:sz w:val="32"/>
          <w:szCs w:val="32"/>
          <w:highlight w:val="none"/>
        </w:rPr>
        <w:t>年“三公”经费财政拨款支出决算为</w:t>
      </w:r>
      <w:r>
        <w:rPr>
          <w:rFonts w:hint="default" w:ascii="Times New Roman" w:hAnsi="Times New Roman" w:eastAsia="仿宋" w:cs="Times New Roman"/>
          <w:color w:val="auto"/>
          <w:sz w:val="32"/>
          <w:szCs w:val="32"/>
          <w:highlight w:val="none"/>
          <w:lang w:val="en-US" w:eastAsia="zh-CN"/>
        </w:rPr>
        <w:t>0.8</w:t>
      </w:r>
      <w:r>
        <w:rPr>
          <w:rFonts w:hint="default" w:ascii="Times New Roman" w:hAnsi="Times New Roman" w:eastAsia="仿宋" w:cs="Times New Roman"/>
          <w:color w:val="auto"/>
          <w:sz w:val="32"/>
          <w:szCs w:val="32"/>
          <w:highlight w:val="none"/>
        </w:rPr>
        <w:t>万元，完成预算</w:t>
      </w:r>
      <w:r>
        <w:rPr>
          <w:rFonts w:hint="default" w:ascii="Times New Roman" w:hAnsi="Times New Roman" w:eastAsia="仿宋" w:cs="Times New Roman"/>
          <w:color w:val="auto"/>
          <w:sz w:val="32"/>
          <w:szCs w:val="32"/>
          <w:highlight w:val="none"/>
          <w:lang w:val="en-US" w:eastAsia="zh-CN"/>
        </w:rPr>
        <w:t>100</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eastAsia="zh-CN"/>
        </w:rPr>
        <w:t>与上年持平</w:t>
      </w:r>
      <w:r>
        <w:rPr>
          <w:rFonts w:hint="default"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rPr>
        <w:t>决算数与预算数持平</w:t>
      </w:r>
      <w:r>
        <w:rPr>
          <w:rFonts w:hint="default" w:ascii="Times New Roman" w:hAnsi="Times New Roman" w:eastAsia="仿宋" w:cs="Times New Roman"/>
          <w:color w:val="auto"/>
          <w:sz w:val="32"/>
          <w:szCs w:val="32"/>
          <w:highlight w:val="none"/>
          <w:lang w:eastAsia="zh-CN"/>
        </w:rPr>
        <w:t>。</w:t>
      </w:r>
    </w:p>
    <w:p>
      <w:pPr>
        <w:spacing w:line="600" w:lineRule="exact"/>
        <w:ind w:firstLine="640"/>
        <w:outlineLvl w:val="2"/>
        <w:rPr>
          <w:rFonts w:hint="eastAsia" w:ascii="楷体_GB2312" w:hAnsi="楷体_GB2312" w:eastAsia="楷体_GB2312" w:cs="楷体_GB2312"/>
          <w:b w:val="0"/>
          <w:bCs/>
          <w:color w:val="auto"/>
          <w:sz w:val="32"/>
          <w:szCs w:val="32"/>
          <w:highlight w:val="none"/>
        </w:rPr>
      </w:pPr>
      <w:bookmarkStart w:id="39" w:name="_Toc15377217"/>
      <w:r>
        <w:rPr>
          <w:rFonts w:hint="eastAsia" w:ascii="楷体_GB2312" w:hAnsi="楷体_GB2312" w:eastAsia="楷体_GB2312" w:cs="楷体_GB2312"/>
          <w:b w:val="0"/>
          <w:bCs/>
          <w:color w:val="auto"/>
          <w:sz w:val="32"/>
          <w:szCs w:val="32"/>
          <w:highlight w:val="none"/>
        </w:rPr>
        <w:t>（二）“三公”经费财政拨款支出决算具体情况说明</w:t>
      </w:r>
      <w:bookmarkEnd w:id="39"/>
    </w:p>
    <w:p>
      <w:pPr>
        <w:spacing w:line="600" w:lineRule="exact"/>
        <w:ind w:firstLine="64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20</w:t>
      </w:r>
      <w:r>
        <w:rPr>
          <w:rFonts w:hint="default" w:ascii="Times New Roman" w:hAnsi="Times New Roman" w:eastAsia="仿宋" w:cs="Times New Roman"/>
          <w:color w:val="auto"/>
          <w:sz w:val="32"/>
          <w:szCs w:val="32"/>
          <w:highlight w:val="none"/>
          <w:lang w:val="en-US" w:eastAsia="zh-CN"/>
        </w:rPr>
        <w:t>22</w:t>
      </w:r>
      <w:r>
        <w:rPr>
          <w:rFonts w:hint="default" w:ascii="Times New Roman" w:hAnsi="Times New Roman" w:eastAsia="仿宋" w:cs="Times New Roman"/>
          <w:color w:val="auto"/>
          <w:sz w:val="32"/>
          <w:szCs w:val="32"/>
          <w:highlight w:val="none"/>
        </w:rPr>
        <w:t>年“三公”经费财政拨款支出决算中，因公出国（境）费支出决算</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w:t>
      </w:r>
      <w:r>
        <w:rPr>
          <w:rFonts w:hint="default" w:ascii="Times New Roman" w:hAnsi="Times New Roman" w:eastAsia="仿宋_GB2312" w:cs="Times New Roman"/>
          <w:sz w:val="32"/>
          <w:szCs w:val="32"/>
          <w:highlight w:val="none"/>
          <w:lang w:val="en-US" w:eastAsia="zh-CN"/>
        </w:rPr>
        <w:t>年初未安排预算，与上年数持平</w:t>
      </w:r>
      <w:r>
        <w:rPr>
          <w:rFonts w:hint="default" w:ascii="Times New Roman" w:hAnsi="Times New Roman" w:eastAsia="仿宋" w:cs="Times New Roman"/>
          <w:color w:val="auto"/>
          <w:sz w:val="32"/>
          <w:szCs w:val="32"/>
          <w:highlight w:val="none"/>
        </w:rPr>
        <w:t>；公务用车购置及运行维护费支出决算</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w:t>
      </w:r>
      <w:r>
        <w:rPr>
          <w:rFonts w:hint="default" w:ascii="Times New Roman" w:hAnsi="Times New Roman" w:eastAsia="仿宋_GB2312" w:cs="Times New Roman"/>
          <w:sz w:val="32"/>
          <w:szCs w:val="32"/>
          <w:highlight w:val="none"/>
          <w:lang w:val="en-US" w:eastAsia="zh-CN"/>
        </w:rPr>
        <w:t>年初未安排预算，与上年数持平</w:t>
      </w:r>
      <w:r>
        <w:rPr>
          <w:rFonts w:hint="default" w:ascii="Times New Roman" w:hAnsi="Times New Roman" w:eastAsia="仿宋" w:cs="Times New Roman"/>
          <w:color w:val="auto"/>
          <w:sz w:val="32"/>
          <w:szCs w:val="32"/>
          <w:highlight w:val="none"/>
        </w:rPr>
        <w:t>；公务接待费支出决算</w:t>
      </w:r>
      <w:r>
        <w:rPr>
          <w:rFonts w:hint="default" w:ascii="Times New Roman" w:hAnsi="Times New Roman" w:eastAsia="仿宋" w:cs="Times New Roman"/>
          <w:color w:val="auto"/>
          <w:sz w:val="32"/>
          <w:szCs w:val="32"/>
          <w:highlight w:val="none"/>
          <w:lang w:val="en-US" w:eastAsia="zh-CN"/>
        </w:rPr>
        <w:t>0.8</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100</w:t>
      </w:r>
      <w:r>
        <w:rPr>
          <w:rFonts w:hint="default" w:ascii="Times New Roman" w:hAnsi="Times New Roman" w:eastAsia="仿宋" w:cs="Times New Roman"/>
          <w:color w:val="auto"/>
          <w:sz w:val="32"/>
          <w:szCs w:val="32"/>
          <w:highlight w:val="none"/>
        </w:rPr>
        <w:t>%。具体情况如下：</w:t>
      </w:r>
    </w:p>
    <w:p>
      <w:pPr>
        <w:pStyle w:val="17"/>
        <w:rPr>
          <w:rFonts w:hint="eastAsia" w:ascii="仿宋" w:hAnsi="仿宋" w:eastAsia="仿宋"/>
          <w:color w:val="auto"/>
          <w:sz w:val="32"/>
          <w:szCs w:val="32"/>
          <w:highlight w:val="none"/>
        </w:rPr>
      </w:pPr>
      <w:r>
        <w:rPr>
          <w:rFonts w:hint="default"/>
          <w:lang w:eastAsia="zh-CN"/>
        </w:rPr>
        <w:drawing>
          <wp:inline distT="0" distB="0" distL="114300" distR="114300">
            <wp:extent cx="5080000" cy="3810000"/>
            <wp:effectExtent l="4445" t="4445" r="20955" b="14605"/>
            <wp:docPr id="20" name="图表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spacing w:line="600" w:lineRule="exact"/>
        <w:ind w:firstLine="640"/>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1.因公出国（境）经费支出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sz w:val="32"/>
          <w:szCs w:val="32"/>
          <w:highlight w:val="none"/>
          <w:lang w:val="en-US" w:eastAsia="zh-CN"/>
        </w:rPr>
        <w:t>年初未安排预算，与上年数持平</w:t>
      </w:r>
      <w:r>
        <w:rPr>
          <w:rFonts w:hint="default" w:ascii="Times New Roman" w:hAnsi="Times New Roman" w:eastAsia="仿宋_GB2312" w:cs="Times New Roman"/>
          <w:color w:val="auto"/>
          <w:sz w:val="32"/>
          <w:szCs w:val="32"/>
          <w:highlight w:val="none"/>
        </w:rPr>
        <w:t>。</w:t>
      </w:r>
    </w:p>
    <w:p>
      <w:pPr>
        <w:spacing w:line="600" w:lineRule="exact"/>
        <w:ind w:firstLine="640"/>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2.公务用车购置及运行维护费支出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sz w:val="32"/>
          <w:szCs w:val="32"/>
          <w:highlight w:val="none"/>
          <w:lang w:val="en-US" w:eastAsia="zh-CN"/>
        </w:rPr>
        <w:t>年初未安排预算，与上年数持平。</w:t>
      </w:r>
    </w:p>
    <w:p>
      <w:pPr>
        <w:spacing w:line="600" w:lineRule="exact"/>
        <w:ind w:firstLine="640"/>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rPr>
        <w:t>其中：</w:t>
      </w:r>
      <w:r>
        <w:rPr>
          <w:rFonts w:hint="default" w:ascii="Times New Roman" w:hAnsi="Times New Roman" w:eastAsia="仿宋_GB2312" w:cs="Times New Roman"/>
          <w:b/>
          <w:color w:val="auto"/>
          <w:sz w:val="32"/>
          <w:szCs w:val="32"/>
          <w:highlight w:val="none"/>
        </w:rPr>
        <w:t>公务用车购置支出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sz w:val="32"/>
          <w:szCs w:val="32"/>
          <w:highlight w:val="none"/>
          <w:lang w:val="en-US" w:eastAsia="zh-CN"/>
        </w:rPr>
        <w:t>年初未安排预算，与上年数持平。</w:t>
      </w:r>
    </w:p>
    <w:p>
      <w:pPr>
        <w:spacing w:line="600" w:lineRule="exact"/>
        <w:ind w:firstLine="640"/>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公务用车运行维护费支出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sz w:val="32"/>
          <w:szCs w:val="32"/>
          <w:highlight w:val="none"/>
          <w:lang w:val="en-US" w:eastAsia="zh-CN"/>
        </w:rPr>
        <w:t>年初未安排预算，与上年数持平。</w:t>
      </w:r>
    </w:p>
    <w:p>
      <w:pPr>
        <w:numPr>
          <w:ilvl w:val="0"/>
          <w:numId w:val="0"/>
        </w:numPr>
        <w:spacing w:line="600" w:lineRule="exact"/>
        <w:ind w:firstLine="643"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color w:val="auto"/>
          <w:sz w:val="32"/>
          <w:szCs w:val="32"/>
          <w:highlight w:val="none"/>
          <w:lang w:val="en-US" w:eastAsia="zh-CN"/>
        </w:rPr>
        <w:t>3.</w:t>
      </w:r>
      <w:r>
        <w:rPr>
          <w:rFonts w:hint="default" w:ascii="Times New Roman" w:hAnsi="Times New Roman" w:eastAsia="仿宋_GB2312" w:cs="Times New Roman"/>
          <w:b/>
          <w:color w:val="auto"/>
          <w:sz w:val="32"/>
          <w:szCs w:val="32"/>
          <w:highlight w:val="none"/>
        </w:rPr>
        <w:t>公务接待费支出</w:t>
      </w:r>
      <w:r>
        <w:rPr>
          <w:rFonts w:hint="default" w:ascii="Times New Roman" w:hAnsi="Times New Roman" w:eastAsia="仿宋_GB2312" w:cs="Times New Roman"/>
          <w:b/>
          <w:color w:val="auto"/>
          <w:sz w:val="32"/>
          <w:szCs w:val="32"/>
          <w:highlight w:val="none"/>
          <w:lang w:val="en-US" w:eastAsia="zh-CN"/>
        </w:rPr>
        <w:t>0.8</w:t>
      </w:r>
      <w:r>
        <w:rPr>
          <w:rFonts w:hint="default" w:ascii="Times New Roman" w:hAnsi="Times New Roman" w:eastAsia="仿宋_GB2312" w:cs="Times New Roman"/>
          <w:color w:val="auto"/>
          <w:sz w:val="32"/>
          <w:szCs w:val="32"/>
          <w:highlight w:val="none"/>
        </w:rPr>
        <w:t>万元，</w:t>
      </w:r>
      <w:r>
        <w:rPr>
          <w:rStyle w:val="21"/>
          <w:rFonts w:hint="default" w:ascii="Times New Roman" w:hAnsi="Times New Roman" w:eastAsia="仿宋" w:cs="Times New Roman"/>
          <w:b w:val="0"/>
          <w:bCs/>
          <w:color w:val="auto"/>
          <w:sz w:val="32"/>
          <w:szCs w:val="32"/>
          <w:highlight w:val="none"/>
        </w:rPr>
        <w:t>完成预算</w:t>
      </w:r>
      <w:r>
        <w:rPr>
          <w:rStyle w:val="21"/>
          <w:rFonts w:hint="default" w:ascii="Times New Roman" w:hAnsi="Times New Roman" w:eastAsia="仿宋" w:cs="Times New Roman"/>
          <w:b w:val="0"/>
          <w:bCs/>
          <w:color w:val="auto"/>
          <w:sz w:val="32"/>
          <w:szCs w:val="32"/>
          <w:highlight w:val="none"/>
          <w:lang w:val="en-US" w:eastAsia="zh-CN"/>
        </w:rPr>
        <w:t>100</w:t>
      </w:r>
      <w:r>
        <w:rPr>
          <w:rStyle w:val="21"/>
          <w:rFonts w:hint="default" w:ascii="Times New Roman" w:hAnsi="Times New Roman" w:eastAsia="仿宋" w:cs="Times New Roman"/>
          <w:b w:val="0"/>
          <w:bCs/>
          <w:color w:val="auto"/>
          <w:sz w:val="32"/>
          <w:szCs w:val="32"/>
          <w:highlight w:val="none"/>
        </w:rPr>
        <w:t>%。</w:t>
      </w:r>
      <w:r>
        <w:rPr>
          <w:rFonts w:hint="default" w:ascii="Times New Roman" w:hAnsi="Times New Roman" w:eastAsia="仿宋_GB2312" w:cs="Times New Roman"/>
          <w:color w:val="auto"/>
          <w:sz w:val="32"/>
          <w:szCs w:val="32"/>
          <w:highlight w:val="none"/>
        </w:rPr>
        <w:t>公务接待费支出决算</w:t>
      </w:r>
      <w:r>
        <w:rPr>
          <w:rFonts w:hint="default" w:ascii="Times New Roman" w:hAnsi="Times New Roman" w:eastAsia="仿宋_GB2312" w:cs="Times New Roman"/>
          <w:color w:val="auto"/>
          <w:sz w:val="32"/>
          <w:szCs w:val="32"/>
          <w:highlight w:val="none"/>
          <w:lang w:eastAsia="zh-CN"/>
        </w:rPr>
        <w:t>比</w:t>
      </w: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21</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减少</w:t>
      </w:r>
      <w:r>
        <w:rPr>
          <w:rFonts w:hint="default" w:ascii="Times New Roman" w:hAnsi="Times New Roman" w:eastAsia="仿宋_GB2312" w:cs="Times New Roman"/>
          <w:color w:val="auto"/>
          <w:sz w:val="32"/>
          <w:szCs w:val="32"/>
          <w:highlight w:val="none"/>
          <w:lang w:val="en-US" w:eastAsia="zh-CN"/>
        </w:rPr>
        <w:t>0.2万元，减少的主要原因是厉行节约，减少运行成本。</w:t>
      </w:r>
    </w:p>
    <w:p>
      <w:pPr>
        <w:numPr>
          <w:ilvl w:val="0"/>
          <w:numId w:val="0"/>
        </w:numPr>
        <w:spacing w:line="600" w:lineRule="exact"/>
        <w:ind w:firstLine="643" w:firstLineChars="200"/>
        <w:rPr>
          <w:rFonts w:hint="default" w:ascii="Times New Roman" w:hAnsi="Times New Roman" w:eastAsia="仿宋_GB2312" w:cs="Times New Roman"/>
          <w:color w:val="0000FF"/>
          <w:sz w:val="32"/>
          <w:szCs w:val="32"/>
          <w:highlight w:val="none"/>
        </w:rPr>
      </w:pPr>
      <w:r>
        <w:rPr>
          <w:rFonts w:hint="default" w:ascii="Times New Roman" w:hAnsi="Times New Roman" w:eastAsia="仿宋" w:cs="Times New Roman"/>
          <w:b/>
          <w:color w:val="auto"/>
          <w:sz w:val="32"/>
          <w:szCs w:val="32"/>
          <w:highlight w:val="none"/>
        </w:rPr>
        <w:t>国内公务接待支出</w:t>
      </w:r>
      <w:r>
        <w:rPr>
          <w:rFonts w:hint="default" w:ascii="Times New Roman" w:hAnsi="Times New Roman" w:eastAsia="仿宋" w:cs="Times New Roman"/>
          <w:color w:val="auto"/>
          <w:sz w:val="32"/>
          <w:szCs w:val="32"/>
          <w:highlight w:val="none"/>
          <w:lang w:val="en-US" w:eastAsia="zh-CN"/>
        </w:rPr>
        <w:t>0.8</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b w:val="0"/>
          <w:bCs w:val="0"/>
          <w:kern w:val="2"/>
          <w:sz w:val="32"/>
          <w:szCs w:val="32"/>
          <w:lang w:val="en-US" w:eastAsia="zh-CN" w:bidi="ar-SA"/>
        </w:rPr>
        <w:t>主要用于开展机构改革、事业单位登记公示抽查等业务活动的交通费、住宿费、用餐费等。国内公务接待18批次，69人次（不包括陪同人员），共计支出0.8万元，具体内容包括：接待市委编办调研、检查4320元、县区编办检查2160元等</w:t>
      </w:r>
      <w:r>
        <w:rPr>
          <w:rFonts w:hint="default" w:ascii="Times New Roman" w:hAnsi="Times New Roman" w:eastAsia="仿宋_GB2312" w:cs="Times New Roman"/>
          <w:color w:val="0000FF"/>
          <w:sz w:val="32"/>
          <w:szCs w:val="32"/>
          <w:highlight w:val="none"/>
        </w:rPr>
        <w:t>。</w:t>
      </w:r>
    </w:p>
    <w:p>
      <w:pPr>
        <w:spacing w:line="600" w:lineRule="exact"/>
        <w:ind w:firstLine="640"/>
        <w:rPr>
          <w:rFonts w:ascii="黑体" w:eastAsia="黑体"/>
          <w:color w:val="auto"/>
          <w:sz w:val="32"/>
          <w:szCs w:val="32"/>
          <w:highlight w:val="none"/>
        </w:rPr>
      </w:pPr>
      <w:r>
        <w:rPr>
          <w:rFonts w:hint="default" w:ascii="Times New Roman" w:hAnsi="Times New Roman" w:eastAsia="仿宋" w:cs="Times New Roman"/>
          <w:b/>
          <w:color w:val="auto"/>
          <w:sz w:val="32"/>
          <w:szCs w:val="32"/>
          <w:highlight w:val="none"/>
        </w:rPr>
        <w:t>外事接待支出</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年初未安排预算，与上年数持平。</w:t>
      </w:r>
      <w:bookmarkStart w:id="40" w:name="_Toc15396610"/>
      <w:bookmarkStart w:id="41" w:name="_Toc15377218"/>
    </w:p>
    <w:p>
      <w:pPr>
        <w:spacing w:line="600" w:lineRule="exact"/>
        <w:ind w:firstLine="640"/>
        <w:outlineLvl w:val="1"/>
        <w:rPr>
          <w:rStyle w:val="32"/>
          <w:rFonts w:ascii="黑体" w:hAnsi="黑体" w:eastAsia="黑体"/>
          <w:color w:val="auto"/>
          <w:highlight w:val="none"/>
        </w:rPr>
      </w:pPr>
      <w:r>
        <w:rPr>
          <w:rFonts w:hint="eastAsia" w:ascii="黑体" w:eastAsia="黑体"/>
          <w:color w:val="auto"/>
          <w:sz w:val="32"/>
          <w:szCs w:val="32"/>
          <w:highlight w:val="none"/>
        </w:rPr>
        <w:t>八、</w:t>
      </w:r>
      <w:r>
        <w:rPr>
          <w:rStyle w:val="32"/>
          <w:rFonts w:hint="eastAsia" w:ascii="黑体" w:hAnsi="黑体" w:eastAsia="黑体"/>
          <w:b w:val="0"/>
          <w:color w:val="auto"/>
          <w:highlight w:val="none"/>
        </w:rPr>
        <w:t>政府性基金预算支出决算情况说明</w:t>
      </w:r>
      <w:bookmarkEnd w:id="40"/>
      <w:bookmarkEnd w:id="41"/>
    </w:p>
    <w:p>
      <w:pPr>
        <w:spacing w:line="600" w:lineRule="exact"/>
        <w:ind w:firstLine="640"/>
        <w:rPr>
          <w:rFonts w:ascii="仿宋_GB2312" w:eastAsia="仿宋_GB2312"/>
          <w:color w:val="auto"/>
          <w:sz w:val="32"/>
          <w:szCs w:val="32"/>
          <w:highlight w:val="none"/>
        </w:rPr>
      </w:pP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22</w:t>
      </w:r>
      <w:r>
        <w:rPr>
          <w:rFonts w:hint="default" w:ascii="Times New Roman" w:hAnsi="Times New Roman" w:eastAsia="仿宋_GB2312" w:cs="Times New Roman"/>
          <w:color w:val="auto"/>
          <w:sz w:val="32"/>
          <w:szCs w:val="32"/>
          <w:highlight w:val="none"/>
        </w:rPr>
        <w:t>年政府性基金预算</w:t>
      </w:r>
      <w:r>
        <w:rPr>
          <w:rFonts w:hint="default" w:ascii="Times New Roman" w:hAnsi="Times New Roman" w:eastAsia="仿宋_GB2312" w:cs="Times New Roman"/>
          <w:color w:val="auto"/>
          <w:sz w:val="32"/>
          <w:szCs w:val="32"/>
          <w:highlight w:val="none"/>
          <w:lang w:eastAsia="zh-CN"/>
        </w:rPr>
        <w:t>财政</w:t>
      </w:r>
      <w:r>
        <w:rPr>
          <w:rFonts w:hint="default" w:ascii="Times New Roman" w:hAnsi="Times New Roman" w:eastAsia="仿宋_GB2312" w:cs="Times New Roman"/>
          <w:color w:val="auto"/>
          <w:sz w:val="32"/>
          <w:szCs w:val="32"/>
          <w:highlight w:val="none"/>
        </w:rPr>
        <w:t>拨款支出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p>
    <w:p>
      <w:pPr>
        <w:numPr>
          <w:ilvl w:val="0"/>
          <w:numId w:val="2"/>
        </w:numPr>
        <w:spacing w:line="600" w:lineRule="exact"/>
        <w:ind w:firstLine="640"/>
        <w:outlineLvl w:val="1"/>
        <w:rPr>
          <w:rStyle w:val="32"/>
          <w:rFonts w:ascii="黑体" w:hAnsi="黑体" w:eastAsia="黑体"/>
          <w:b w:val="0"/>
          <w:color w:val="auto"/>
          <w:highlight w:val="none"/>
        </w:rPr>
      </w:pPr>
      <w:bookmarkStart w:id="42" w:name="_Toc15396611"/>
      <w:bookmarkStart w:id="43" w:name="_Toc15377219"/>
      <w:r>
        <w:rPr>
          <w:rStyle w:val="32"/>
          <w:rFonts w:hint="eastAsia" w:ascii="黑体" w:hAnsi="黑体" w:eastAsia="黑体"/>
          <w:b w:val="0"/>
          <w:color w:val="auto"/>
          <w:highlight w:val="none"/>
        </w:rPr>
        <w:t>国有资本经营预算支出决算情况说明</w:t>
      </w:r>
      <w:bookmarkEnd w:id="42"/>
      <w:bookmarkEnd w:id="43"/>
    </w:p>
    <w:p>
      <w:pPr>
        <w:spacing w:line="600" w:lineRule="exact"/>
        <w:ind w:firstLine="640"/>
        <w:rPr>
          <w:rFonts w:ascii="方正小标宋简体" w:hAnsi="方正小标宋简体" w:eastAsia="方正小标宋简体" w:cs="方正小标宋简体"/>
          <w:color w:val="auto"/>
          <w:sz w:val="44"/>
          <w:szCs w:val="44"/>
          <w:highlight w:val="none"/>
        </w:rPr>
      </w:pPr>
      <w:r>
        <w:rPr>
          <w:rFonts w:hint="default" w:ascii="Times New Roman" w:hAnsi="Times New Roman" w:eastAsia="仿宋_GB2312" w:cs="Times New Roman"/>
          <w:color w:val="auto"/>
          <w:sz w:val="32"/>
          <w:szCs w:val="32"/>
          <w:highlight w:val="none"/>
        </w:rPr>
        <w:t>20</w:t>
      </w:r>
      <w:r>
        <w:rPr>
          <w:rFonts w:hint="eastAsia" w:ascii="Times New Roman" w:hAnsi="Times New Roman" w:eastAsia="仿宋_GB2312" w:cs="Times New Roman"/>
          <w:color w:val="auto"/>
          <w:sz w:val="32"/>
          <w:szCs w:val="32"/>
          <w:highlight w:val="none"/>
          <w:lang w:val="en-US" w:eastAsia="zh-CN"/>
        </w:rPr>
        <w:t>22</w:t>
      </w:r>
      <w:r>
        <w:rPr>
          <w:rFonts w:hint="eastAsia" w:ascii="Times New Roman" w:hAnsi="Times New Roman" w:eastAsia="仿宋_GB2312" w:cs="Times New Roman"/>
          <w:color w:val="auto"/>
          <w:sz w:val="32"/>
          <w:szCs w:val="32"/>
          <w:highlight w:val="none"/>
        </w:rPr>
        <w:t>年国有资本经营预算</w:t>
      </w:r>
      <w:r>
        <w:rPr>
          <w:rFonts w:hint="eastAsia" w:ascii="Times New Roman" w:hAnsi="Times New Roman" w:eastAsia="仿宋_GB2312" w:cs="Times New Roman"/>
          <w:color w:val="auto"/>
          <w:sz w:val="32"/>
          <w:szCs w:val="32"/>
          <w:highlight w:val="none"/>
          <w:lang w:eastAsia="zh-CN"/>
        </w:rPr>
        <w:t>财政</w:t>
      </w:r>
      <w:r>
        <w:rPr>
          <w:rFonts w:hint="eastAsia" w:ascii="Times New Roman" w:hAnsi="Times New Roman" w:eastAsia="仿宋_GB2312" w:cs="Times New Roman"/>
          <w:color w:val="auto"/>
          <w:sz w:val="32"/>
          <w:szCs w:val="32"/>
          <w:highlight w:val="none"/>
        </w:rPr>
        <w:t>拨款支出</w:t>
      </w:r>
      <w:r>
        <w:rPr>
          <w:rFonts w:hint="eastAsia" w:ascii="Times New Roman" w:hAnsi="Times New Roman" w:eastAsia="仿宋_GB2312" w:cs="Times New Roman"/>
          <w:color w:val="auto"/>
          <w:sz w:val="32"/>
          <w:szCs w:val="32"/>
          <w:highlight w:val="none"/>
          <w:lang w:val="en-US" w:eastAsia="zh-CN"/>
        </w:rPr>
        <w:t>0</w:t>
      </w:r>
      <w:r>
        <w:rPr>
          <w:rFonts w:hint="eastAsia" w:ascii="Times New Roman" w:hAnsi="Times New Roman" w:eastAsia="仿宋_GB2312" w:cs="Times New Roman"/>
          <w:color w:val="auto"/>
          <w:sz w:val="32"/>
          <w:szCs w:val="32"/>
          <w:highlight w:val="none"/>
        </w:rPr>
        <w:t>万元。</w:t>
      </w:r>
    </w:p>
    <w:p>
      <w:pPr>
        <w:numPr>
          <w:ilvl w:val="0"/>
          <w:numId w:val="2"/>
        </w:numPr>
        <w:spacing w:line="600" w:lineRule="exact"/>
        <w:ind w:firstLine="640"/>
        <w:outlineLvl w:val="1"/>
        <w:rPr>
          <w:rStyle w:val="32"/>
          <w:rFonts w:hint="eastAsia" w:ascii="黑体" w:hAnsi="黑体" w:eastAsia="黑体"/>
          <w:b w:val="0"/>
          <w:color w:val="auto"/>
          <w:highlight w:val="none"/>
        </w:rPr>
      </w:pPr>
      <w:bookmarkStart w:id="44" w:name="_Toc15396612"/>
      <w:bookmarkStart w:id="45" w:name="_Toc15377221"/>
      <w:r>
        <w:rPr>
          <w:rStyle w:val="32"/>
          <w:rFonts w:hint="eastAsia" w:ascii="黑体" w:hAnsi="黑体" w:eastAsia="黑体"/>
          <w:b w:val="0"/>
          <w:color w:val="auto"/>
          <w:highlight w:val="none"/>
        </w:rPr>
        <w:t>其他重要事项的情况说明</w:t>
      </w:r>
      <w:bookmarkEnd w:id="44"/>
      <w:bookmarkEnd w:id="45"/>
    </w:p>
    <w:p>
      <w:pPr>
        <w:spacing w:line="600" w:lineRule="exact"/>
        <w:ind w:firstLine="640"/>
        <w:outlineLvl w:val="2"/>
        <w:rPr>
          <w:rFonts w:hint="eastAsia" w:ascii="楷体_GB2312" w:hAnsi="楷体_GB2312" w:eastAsia="楷体_GB2312" w:cs="楷体_GB2312"/>
          <w:b w:val="0"/>
          <w:bCs/>
          <w:color w:val="auto"/>
          <w:sz w:val="32"/>
          <w:szCs w:val="32"/>
          <w:highlight w:val="none"/>
        </w:rPr>
      </w:pPr>
      <w:bookmarkStart w:id="46" w:name="_Toc15377222"/>
      <w:r>
        <w:rPr>
          <w:rFonts w:hint="eastAsia" w:ascii="楷体_GB2312" w:hAnsi="楷体_GB2312" w:eastAsia="楷体_GB2312" w:cs="楷体_GB2312"/>
          <w:b w:val="0"/>
          <w:bCs/>
          <w:color w:val="auto"/>
          <w:sz w:val="32"/>
          <w:szCs w:val="32"/>
          <w:highlight w:val="none"/>
        </w:rPr>
        <w:t>（一）机关运行经费支出情况</w:t>
      </w:r>
      <w:bookmarkEnd w:id="46"/>
    </w:p>
    <w:p>
      <w:pPr>
        <w:spacing w:line="600" w:lineRule="exact"/>
        <w:ind w:firstLine="640"/>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20</w:t>
      </w:r>
      <w:r>
        <w:rPr>
          <w:rFonts w:hint="eastAsia" w:ascii="Times New Roman" w:hAnsi="Times New Roman" w:eastAsia="仿宋_GB2312" w:cs="Times New Roman"/>
          <w:color w:val="auto"/>
          <w:sz w:val="32"/>
          <w:szCs w:val="32"/>
          <w:highlight w:val="none"/>
          <w:lang w:val="en-US" w:eastAsia="zh-CN"/>
        </w:rPr>
        <w:t>22</w:t>
      </w:r>
      <w:r>
        <w:rPr>
          <w:rFonts w:hint="eastAsia"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eastAsia="zh-CN"/>
        </w:rPr>
        <w:t>区委编办</w:t>
      </w:r>
      <w:r>
        <w:rPr>
          <w:rFonts w:hint="eastAsia" w:ascii="Times New Roman" w:hAnsi="Times New Roman" w:eastAsia="仿宋_GB2312" w:cs="Times New Roman"/>
          <w:color w:val="auto"/>
          <w:sz w:val="32"/>
          <w:szCs w:val="32"/>
          <w:highlight w:val="none"/>
        </w:rPr>
        <w:t>机关运行经费支出</w:t>
      </w:r>
      <w:r>
        <w:rPr>
          <w:rFonts w:hint="eastAsia" w:ascii="Times New Roman" w:hAnsi="Times New Roman" w:eastAsia="仿宋_GB2312" w:cs="Times New Roman"/>
          <w:color w:val="auto"/>
          <w:sz w:val="32"/>
          <w:szCs w:val="32"/>
          <w:highlight w:val="none"/>
          <w:lang w:val="en-US" w:eastAsia="zh-CN"/>
        </w:rPr>
        <w:t>64.87</w:t>
      </w:r>
      <w:r>
        <w:rPr>
          <w:rFonts w:hint="eastAsia" w:ascii="Times New Roman" w:hAnsi="Times New Roman" w:eastAsia="仿宋_GB2312" w:cs="Times New Roman"/>
          <w:color w:val="auto"/>
          <w:sz w:val="32"/>
          <w:szCs w:val="32"/>
          <w:highlight w:val="none"/>
        </w:rPr>
        <w:t>万元，比</w:t>
      </w:r>
      <w:r>
        <w:rPr>
          <w:rFonts w:hint="default" w:ascii="Times New Roman" w:hAnsi="Times New Roman" w:eastAsia="仿宋_GB2312" w:cs="Times New Roman"/>
          <w:color w:val="auto"/>
          <w:sz w:val="32"/>
          <w:szCs w:val="32"/>
          <w:highlight w:val="none"/>
        </w:rPr>
        <w:t>20</w:t>
      </w:r>
      <w:r>
        <w:rPr>
          <w:rFonts w:hint="eastAsia" w:ascii="Times New Roman" w:hAnsi="Times New Roman" w:eastAsia="仿宋_GB2312" w:cs="Times New Roman"/>
          <w:color w:val="auto"/>
          <w:sz w:val="32"/>
          <w:szCs w:val="32"/>
          <w:highlight w:val="none"/>
          <w:lang w:val="en-US" w:eastAsia="zh-CN"/>
        </w:rPr>
        <w:t>21</w:t>
      </w:r>
      <w:r>
        <w:rPr>
          <w:rFonts w:hint="eastAsia" w:ascii="Times New Roman" w:hAnsi="Times New Roman" w:eastAsia="仿宋_GB2312" w:cs="Times New Roman"/>
          <w:color w:val="auto"/>
          <w:sz w:val="32"/>
          <w:szCs w:val="32"/>
          <w:highlight w:val="none"/>
        </w:rPr>
        <w:t>年增加</w:t>
      </w:r>
      <w:r>
        <w:rPr>
          <w:rFonts w:hint="eastAsia" w:ascii="Times New Roman" w:hAnsi="Times New Roman" w:eastAsia="仿宋_GB2312" w:cs="Times New Roman"/>
          <w:color w:val="auto"/>
          <w:sz w:val="32"/>
          <w:szCs w:val="32"/>
          <w:highlight w:val="none"/>
          <w:lang w:val="en-US" w:eastAsia="zh-CN"/>
        </w:rPr>
        <w:t>7.87</w:t>
      </w:r>
      <w:r>
        <w:rPr>
          <w:rFonts w:hint="eastAsia" w:ascii="Times New Roman" w:hAnsi="Times New Roman" w:eastAsia="仿宋_GB2312" w:cs="Times New Roman"/>
          <w:color w:val="auto"/>
          <w:sz w:val="32"/>
          <w:szCs w:val="32"/>
          <w:highlight w:val="none"/>
        </w:rPr>
        <w:t>万元，增长</w:t>
      </w:r>
      <w:r>
        <w:rPr>
          <w:rFonts w:hint="eastAsia" w:ascii="Times New Roman" w:hAnsi="Times New Roman" w:eastAsia="仿宋_GB2312" w:cs="Times New Roman"/>
          <w:color w:val="auto"/>
          <w:sz w:val="32"/>
          <w:szCs w:val="32"/>
          <w:highlight w:val="none"/>
          <w:lang w:val="en-US" w:eastAsia="zh-CN"/>
        </w:rPr>
        <w:t>13.8</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rPr>
        <w:t>主要原因是</w:t>
      </w:r>
      <w:r>
        <w:rPr>
          <w:rFonts w:hint="eastAsia" w:ascii="Times New Roman" w:hAnsi="Times New Roman" w:eastAsia="仿宋_GB2312" w:cs="Times New Roman"/>
          <w:color w:val="auto"/>
          <w:sz w:val="32"/>
          <w:szCs w:val="32"/>
          <w:highlight w:val="none"/>
          <w:lang w:eastAsia="zh-CN"/>
        </w:rPr>
        <w:t>人员新增及改革任务增加。</w:t>
      </w:r>
    </w:p>
    <w:p>
      <w:pPr>
        <w:spacing w:line="600" w:lineRule="exact"/>
        <w:ind w:firstLine="640"/>
        <w:outlineLvl w:val="2"/>
        <w:rPr>
          <w:rFonts w:hint="eastAsia" w:ascii="楷体_GB2312" w:hAnsi="楷体_GB2312" w:eastAsia="楷体_GB2312" w:cs="楷体_GB2312"/>
          <w:b w:val="0"/>
          <w:bCs/>
          <w:color w:val="auto"/>
          <w:sz w:val="32"/>
          <w:szCs w:val="32"/>
          <w:highlight w:val="none"/>
        </w:rPr>
      </w:pPr>
      <w:bookmarkStart w:id="47" w:name="_Toc15377223"/>
      <w:r>
        <w:rPr>
          <w:rFonts w:hint="eastAsia" w:ascii="楷体_GB2312" w:hAnsi="楷体_GB2312" w:eastAsia="楷体_GB2312" w:cs="楷体_GB2312"/>
          <w:b w:val="0"/>
          <w:bCs/>
          <w:color w:val="auto"/>
          <w:sz w:val="32"/>
          <w:szCs w:val="32"/>
          <w:highlight w:val="none"/>
        </w:rPr>
        <w:t>（二）政府采购支出情况</w:t>
      </w:r>
      <w:bookmarkEnd w:id="47"/>
    </w:p>
    <w:p>
      <w:pPr>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22</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区委编办</w:t>
      </w:r>
      <w:r>
        <w:rPr>
          <w:rFonts w:hint="default" w:ascii="Times New Roman" w:hAnsi="Times New Roman" w:eastAsia="仿宋_GB2312" w:cs="Times New Roman"/>
          <w:sz w:val="32"/>
          <w:szCs w:val="32"/>
          <w:highlight w:val="none"/>
          <w:lang w:val="en-US" w:eastAsia="zh-CN"/>
        </w:rPr>
        <w:t>未发生政府采购。</w:t>
      </w:r>
    </w:p>
    <w:p>
      <w:pPr>
        <w:spacing w:line="600" w:lineRule="exact"/>
        <w:ind w:firstLine="640"/>
        <w:outlineLvl w:val="2"/>
        <w:rPr>
          <w:rFonts w:hint="eastAsia" w:ascii="楷体_GB2312" w:hAnsi="楷体_GB2312" w:eastAsia="楷体_GB2312" w:cs="楷体_GB2312"/>
          <w:b w:val="0"/>
          <w:bCs/>
          <w:color w:val="auto"/>
          <w:sz w:val="32"/>
          <w:szCs w:val="32"/>
          <w:highlight w:val="none"/>
        </w:rPr>
      </w:pPr>
      <w:bookmarkStart w:id="48" w:name="_Toc15377224"/>
      <w:r>
        <w:rPr>
          <w:rFonts w:hint="eastAsia" w:ascii="楷体_GB2312" w:hAnsi="楷体_GB2312" w:eastAsia="楷体_GB2312" w:cs="楷体_GB2312"/>
          <w:b w:val="0"/>
          <w:bCs/>
          <w:color w:val="auto"/>
          <w:sz w:val="32"/>
          <w:szCs w:val="32"/>
          <w:highlight w:val="none"/>
        </w:rPr>
        <w:t>（三）国有资产占有使用情况</w:t>
      </w:r>
      <w:bookmarkEnd w:id="48"/>
    </w:p>
    <w:p>
      <w:pPr>
        <w:spacing w:line="60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截至</w:t>
      </w:r>
      <w:r>
        <w:rPr>
          <w:rFonts w:hint="default" w:ascii="Times New Roman" w:hAnsi="Times New Roman" w:eastAsia="仿宋_GB2312" w:cs="Times New Roman"/>
          <w:color w:val="auto"/>
          <w:sz w:val="32"/>
          <w:szCs w:val="32"/>
          <w:highlight w:val="none"/>
        </w:rPr>
        <w:t>20</w:t>
      </w:r>
      <w:r>
        <w:rPr>
          <w:rFonts w:hint="eastAsia" w:ascii="Times New Roman" w:hAnsi="Times New Roman" w:eastAsia="仿宋_GB2312" w:cs="Times New Roman"/>
          <w:color w:val="auto"/>
          <w:sz w:val="32"/>
          <w:szCs w:val="32"/>
          <w:highlight w:val="none"/>
          <w:lang w:val="en-US" w:eastAsia="zh-CN"/>
        </w:rPr>
        <w:t>22</w:t>
      </w:r>
      <w:r>
        <w:rPr>
          <w:rFonts w:hint="eastAsia"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rPr>
        <w:t>12</w:t>
      </w:r>
      <w:r>
        <w:rPr>
          <w:rFonts w:hint="eastAsia"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rPr>
        <w:t>31</w:t>
      </w:r>
      <w:r>
        <w:rPr>
          <w:rFonts w:hint="eastAsia" w:ascii="Times New Roman" w:hAnsi="Times New Roman" w:eastAsia="仿宋_GB2312" w:cs="Times New Roman"/>
          <w:color w:val="auto"/>
          <w:sz w:val="32"/>
          <w:szCs w:val="32"/>
          <w:highlight w:val="none"/>
        </w:rPr>
        <w:t>日，</w:t>
      </w:r>
      <w:r>
        <w:rPr>
          <w:rFonts w:hint="eastAsia" w:ascii="Times New Roman" w:hAnsi="Times New Roman" w:eastAsia="仿宋_GB2312" w:cs="Times New Roman"/>
          <w:color w:val="auto"/>
          <w:sz w:val="32"/>
          <w:szCs w:val="32"/>
          <w:highlight w:val="none"/>
          <w:lang w:eastAsia="zh-CN"/>
        </w:rPr>
        <w:t>区委编办</w:t>
      </w:r>
      <w:r>
        <w:rPr>
          <w:rFonts w:hint="eastAsia" w:ascii="Times New Roman" w:hAnsi="Times New Roman" w:eastAsia="仿宋_GB2312" w:cs="Times New Roman"/>
          <w:color w:val="auto"/>
          <w:sz w:val="32"/>
          <w:szCs w:val="32"/>
          <w:highlight w:val="none"/>
        </w:rPr>
        <w:t>共有车辆</w:t>
      </w:r>
      <w:r>
        <w:rPr>
          <w:rFonts w:hint="eastAsia" w:ascii="Times New Roman" w:hAnsi="Times New Roman" w:eastAsia="仿宋_GB2312" w:cs="Times New Roman"/>
          <w:color w:val="auto"/>
          <w:sz w:val="32"/>
          <w:szCs w:val="32"/>
          <w:highlight w:val="none"/>
          <w:lang w:val="en-US" w:eastAsia="zh-CN"/>
        </w:rPr>
        <w:t>0</w:t>
      </w:r>
      <w:r>
        <w:rPr>
          <w:rFonts w:hint="eastAsia" w:ascii="Times New Roman" w:hAnsi="Times New Roman" w:eastAsia="仿宋_GB2312" w:cs="Times New Roman"/>
          <w:color w:val="auto"/>
          <w:sz w:val="32"/>
          <w:szCs w:val="32"/>
          <w:highlight w:val="none"/>
        </w:rPr>
        <w:t>辆，其中：主要领导干部用车</w:t>
      </w:r>
      <w:r>
        <w:rPr>
          <w:rFonts w:hint="eastAsia" w:ascii="Times New Roman" w:hAnsi="Times New Roman" w:eastAsia="仿宋_GB2312" w:cs="Times New Roman"/>
          <w:color w:val="auto"/>
          <w:sz w:val="32"/>
          <w:szCs w:val="32"/>
          <w:highlight w:val="none"/>
          <w:lang w:val="en-US" w:eastAsia="zh-CN"/>
        </w:rPr>
        <w:t>0</w:t>
      </w:r>
      <w:r>
        <w:rPr>
          <w:rFonts w:hint="eastAsia" w:ascii="Times New Roman" w:hAnsi="Times New Roman" w:eastAsia="仿宋_GB2312" w:cs="Times New Roman"/>
          <w:color w:val="auto"/>
          <w:sz w:val="32"/>
          <w:szCs w:val="32"/>
          <w:highlight w:val="none"/>
        </w:rPr>
        <w:t>辆、机要通信用车</w:t>
      </w:r>
      <w:r>
        <w:rPr>
          <w:rFonts w:hint="eastAsia" w:ascii="Times New Roman" w:hAnsi="Times New Roman" w:eastAsia="仿宋_GB2312" w:cs="Times New Roman"/>
          <w:color w:val="auto"/>
          <w:sz w:val="32"/>
          <w:szCs w:val="32"/>
          <w:highlight w:val="none"/>
          <w:lang w:val="en-US" w:eastAsia="zh-CN"/>
        </w:rPr>
        <w:t>0</w:t>
      </w:r>
      <w:r>
        <w:rPr>
          <w:rFonts w:hint="eastAsia" w:ascii="Times New Roman" w:hAnsi="Times New Roman" w:eastAsia="仿宋_GB2312" w:cs="Times New Roman"/>
          <w:color w:val="auto"/>
          <w:sz w:val="32"/>
          <w:szCs w:val="32"/>
          <w:highlight w:val="none"/>
        </w:rPr>
        <w:t>辆、应急保障用车</w:t>
      </w:r>
      <w:r>
        <w:rPr>
          <w:rFonts w:hint="eastAsia" w:ascii="Times New Roman" w:hAnsi="Times New Roman" w:eastAsia="仿宋_GB2312" w:cs="Times New Roman"/>
          <w:color w:val="auto"/>
          <w:sz w:val="32"/>
          <w:szCs w:val="32"/>
          <w:highlight w:val="none"/>
          <w:lang w:val="en-US" w:eastAsia="zh-CN"/>
        </w:rPr>
        <w:t>0</w:t>
      </w:r>
      <w:r>
        <w:rPr>
          <w:rFonts w:hint="eastAsia" w:ascii="Times New Roman" w:hAnsi="Times New Roman" w:eastAsia="仿宋_GB2312" w:cs="Times New Roman"/>
          <w:color w:val="auto"/>
          <w:sz w:val="32"/>
          <w:szCs w:val="32"/>
          <w:highlight w:val="none"/>
        </w:rPr>
        <w:t>辆、其他用车</w:t>
      </w:r>
      <w:r>
        <w:rPr>
          <w:rFonts w:hint="eastAsia" w:ascii="Times New Roman" w:hAnsi="Times New Roman" w:eastAsia="仿宋_GB2312" w:cs="Times New Roman"/>
          <w:color w:val="auto"/>
          <w:sz w:val="32"/>
          <w:szCs w:val="32"/>
          <w:highlight w:val="none"/>
          <w:lang w:val="en-US" w:eastAsia="zh-CN"/>
        </w:rPr>
        <w:t>0</w:t>
      </w:r>
      <w:r>
        <w:rPr>
          <w:rFonts w:hint="eastAsia" w:ascii="Times New Roman" w:hAnsi="Times New Roman" w:eastAsia="仿宋_GB2312" w:cs="Times New Roman"/>
          <w:color w:val="auto"/>
          <w:sz w:val="32"/>
          <w:szCs w:val="32"/>
          <w:highlight w:val="none"/>
        </w:rPr>
        <w:t>辆</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单价</w:t>
      </w:r>
      <w:r>
        <w:rPr>
          <w:rFonts w:hint="default" w:ascii="Times New Roman" w:hAnsi="Times New Roman" w:eastAsia="仿宋_GB2312" w:cs="Times New Roman"/>
          <w:color w:val="auto"/>
          <w:sz w:val="32"/>
          <w:szCs w:val="32"/>
          <w:highlight w:val="none"/>
        </w:rPr>
        <w:t>100</w:t>
      </w:r>
      <w:r>
        <w:rPr>
          <w:rFonts w:hint="eastAsia" w:ascii="Times New Roman" w:hAnsi="Times New Roman" w:eastAsia="仿宋_GB2312" w:cs="Times New Roman"/>
          <w:color w:val="auto"/>
          <w:sz w:val="32"/>
          <w:szCs w:val="32"/>
          <w:highlight w:val="none"/>
        </w:rPr>
        <w:t>万元以上专用设备</w:t>
      </w:r>
      <w:r>
        <w:rPr>
          <w:rFonts w:hint="eastAsia" w:ascii="Times New Roman" w:hAnsi="Times New Roman" w:eastAsia="仿宋_GB2312" w:cs="Times New Roman"/>
          <w:color w:val="auto"/>
          <w:sz w:val="32"/>
          <w:szCs w:val="32"/>
          <w:highlight w:val="none"/>
          <w:lang w:val="en-US" w:eastAsia="zh-CN"/>
        </w:rPr>
        <w:t>0</w:t>
      </w:r>
      <w:r>
        <w:rPr>
          <w:rFonts w:hint="eastAsia" w:ascii="Times New Roman" w:hAnsi="Times New Roman" w:eastAsia="仿宋_GB2312" w:cs="Times New Roman"/>
          <w:color w:val="auto"/>
          <w:sz w:val="32"/>
          <w:szCs w:val="32"/>
          <w:highlight w:val="none"/>
        </w:rPr>
        <w:t>台（套）。</w:t>
      </w:r>
    </w:p>
    <w:p>
      <w:pPr>
        <w:spacing w:line="600" w:lineRule="exact"/>
        <w:ind w:firstLine="640"/>
        <w:outlineLvl w:val="2"/>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rPr>
        <w:t>（四）预算绩效管理情况</w:t>
      </w:r>
    </w:p>
    <w:p>
      <w:pPr>
        <w:spacing w:line="60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根据预算绩效管理要求，本部门在2022年度预算编制阶段，组织对“</w:t>
      </w:r>
      <w:r>
        <w:rPr>
          <w:rFonts w:hint="eastAsia" w:ascii="Times New Roman" w:hAnsi="Times New Roman" w:eastAsia="仿宋_GB2312" w:cs="Times New Roman"/>
          <w:color w:val="auto"/>
          <w:sz w:val="32"/>
          <w:szCs w:val="32"/>
          <w:highlight w:val="none"/>
          <w:lang w:eastAsia="zh-CN"/>
        </w:rPr>
        <w:t>中文域名注册经费</w:t>
      </w:r>
      <w:r>
        <w:rPr>
          <w:rFonts w:hint="eastAsia" w:ascii="Times New Roman" w:hAnsi="Times New Roman" w:eastAsia="仿宋_GB2312" w:cs="Times New Roman"/>
          <w:color w:val="auto"/>
          <w:sz w:val="32"/>
          <w:szCs w:val="32"/>
          <w:highlight w:val="none"/>
        </w:rPr>
        <w:t>”开展了预算事前绩效评估；对部门整体和所有项目（政策）支出编制了绩效目标，预算执行中，按照财政要求全面开展了绩效运行监控；</w:t>
      </w:r>
    </w:p>
    <w:p>
      <w:pPr>
        <w:spacing w:line="60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组织对2022年度一般公共预算支出开展了绩效自评 ，形成了</w:t>
      </w:r>
      <w:r>
        <w:rPr>
          <w:rFonts w:hint="eastAsia" w:ascii="Times New Roman" w:hAnsi="Times New Roman" w:eastAsia="仿宋_GB2312" w:cs="Times New Roman"/>
          <w:color w:val="auto"/>
          <w:sz w:val="32"/>
          <w:szCs w:val="32"/>
          <w:highlight w:val="none"/>
          <w:lang w:eastAsia="zh-CN"/>
        </w:rPr>
        <w:t>区委编办</w:t>
      </w:r>
      <w:r>
        <w:rPr>
          <w:rFonts w:hint="eastAsia" w:ascii="Times New Roman" w:hAnsi="Times New Roman" w:eastAsia="仿宋_GB2312" w:cs="Times New Roman"/>
          <w:color w:val="auto"/>
          <w:sz w:val="32"/>
          <w:szCs w:val="32"/>
          <w:highlight w:val="none"/>
        </w:rPr>
        <w:t>部门整体绩效自评报告（表)、</w:t>
      </w:r>
      <w:r>
        <w:rPr>
          <w:rFonts w:hint="eastAsia" w:ascii="Times New Roman" w:hAnsi="Times New Roman" w:eastAsia="仿宋_GB2312" w:cs="Times New Roman"/>
          <w:color w:val="auto"/>
          <w:sz w:val="32"/>
          <w:szCs w:val="32"/>
          <w:highlight w:val="none"/>
          <w:lang w:val="en-US" w:eastAsia="zh-CN"/>
        </w:rPr>
        <w:t>审改办、事业单位年检</w:t>
      </w:r>
      <w:r>
        <w:rPr>
          <w:rFonts w:hint="eastAsia" w:ascii="Times New Roman" w:hAnsi="Times New Roman" w:eastAsia="仿宋_GB2312" w:cs="Times New Roman"/>
          <w:color w:val="auto"/>
          <w:sz w:val="32"/>
          <w:szCs w:val="32"/>
          <w:highlight w:val="none"/>
          <w:lang w:eastAsia="zh-CN"/>
        </w:rPr>
        <w:t>等项目</w:t>
      </w:r>
      <w:r>
        <w:rPr>
          <w:rFonts w:hint="eastAsia" w:ascii="Times New Roman" w:hAnsi="Times New Roman" w:eastAsia="仿宋_GB2312" w:cs="Times New Roman"/>
          <w:color w:val="auto"/>
          <w:sz w:val="32"/>
          <w:szCs w:val="32"/>
          <w:highlight w:val="none"/>
        </w:rPr>
        <w:t>绩效自评报告，其中，部门整体绩效自评得分为</w:t>
      </w:r>
      <w:r>
        <w:rPr>
          <w:rFonts w:hint="eastAsia" w:ascii="Times New Roman" w:hAnsi="Times New Roman" w:eastAsia="仿宋_GB2312" w:cs="Times New Roman"/>
          <w:color w:val="auto"/>
          <w:sz w:val="32"/>
          <w:szCs w:val="32"/>
          <w:highlight w:val="none"/>
          <w:lang w:val="en-US" w:eastAsia="zh-CN"/>
        </w:rPr>
        <w:t>95</w:t>
      </w:r>
      <w:r>
        <w:rPr>
          <w:rFonts w:hint="eastAsia" w:ascii="Times New Roman" w:hAnsi="Times New Roman" w:eastAsia="仿宋_GB2312" w:cs="Times New Roman"/>
          <w:color w:val="auto"/>
          <w:sz w:val="32"/>
          <w:szCs w:val="32"/>
          <w:highlight w:val="none"/>
        </w:rPr>
        <w:t>分；</w:t>
      </w:r>
      <w:r>
        <w:rPr>
          <w:rFonts w:hint="eastAsia" w:ascii="Times New Roman" w:hAnsi="Times New Roman" w:eastAsia="仿宋_GB2312" w:cs="Times New Roman"/>
          <w:color w:val="auto"/>
          <w:sz w:val="32"/>
          <w:szCs w:val="32"/>
          <w:highlight w:val="none"/>
          <w:lang w:val="en-US" w:eastAsia="zh-CN"/>
        </w:rPr>
        <w:t>审改办、事业单位年检</w:t>
      </w:r>
      <w:r>
        <w:rPr>
          <w:rFonts w:hint="eastAsia" w:ascii="Times New Roman" w:hAnsi="Times New Roman" w:eastAsia="仿宋_GB2312" w:cs="Times New Roman"/>
          <w:color w:val="auto"/>
          <w:sz w:val="32"/>
          <w:szCs w:val="32"/>
          <w:highlight w:val="none"/>
          <w:lang w:eastAsia="zh-CN"/>
        </w:rPr>
        <w:t>等项目</w:t>
      </w:r>
      <w:r>
        <w:rPr>
          <w:rFonts w:hint="eastAsia" w:ascii="Times New Roman" w:hAnsi="Times New Roman" w:eastAsia="仿宋_GB2312" w:cs="Times New Roman"/>
          <w:color w:val="auto"/>
          <w:sz w:val="32"/>
          <w:szCs w:val="32"/>
          <w:highlight w:val="none"/>
        </w:rPr>
        <w:t>绩效自评得分为 </w:t>
      </w:r>
      <w:r>
        <w:rPr>
          <w:rFonts w:hint="eastAsia" w:ascii="Times New Roman" w:hAnsi="Times New Roman" w:eastAsia="仿宋_GB2312" w:cs="Times New Roman"/>
          <w:color w:val="auto"/>
          <w:sz w:val="32"/>
          <w:szCs w:val="32"/>
          <w:highlight w:val="none"/>
          <w:lang w:val="en-US" w:eastAsia="zh-CN"/>
        </w:rPr>
        <w:t>97</w:t>
      </w:r>
      <w:r>
        <w:rPr>
          <w:rFonts w:hint="eastAsia" w:ascii="Times New Roman" w:hAnsi="Times New Roman" w:eastAsia="仿宋_GB2312" w:cs="Times New Roman"/>
          <w:color w:val="auto"/>
          <w:sz w:val="32"/>
          <w:szCs w:val="32"/>
          <w:highlight w:val="none"/>
        </w:rPr>
        <w:t>分。《2022年</w:t>
      </w:r>
      <w:r>
        <w:rPr>
          <w:rFonts w:hint="eastAsia" w:ascii="Times New Roman" w:hAnsi="Times New Roman" w:eastAsia="仿宋_GB2312" w:cs="Times New Roman"/>
          <w:color w:val="auto"/>
          <w:sz w:val="32"/>
          <w:szCs w:val="32"/>
          <w:highlight w:val="none"/>
          <w:lang w:eastAsia="zh-CN"/>
        </w:rPr>
        <w:t>区委编办</w:t>
      </w:r>
      <w:r>
        <w:rPr>
          <w:rFonts w:hint="eastAsia" w:ascii="Times New Roman" w:hAnsi="Times New Roman" w:eastAsia="仿宋_GB2312" w:cs="Times New Roman"/>
          <w:color w:val="auto"/>
          <w:sz w:val="32"/>
          <w:szCs w:val="32"/>
          <w:highlight w:val="none"/>
        </w:rPr>
        <w:t>部门整体绩效自评报告（表）》和《项目支出绩效自评报告（表）》详见附件</w:t>
      </w:r>
    </w:p>
    <w:p>
      <w:pPr>
        <w:spacing w:line="600" w:lineRule="exact"/>
        <w:ind w:firstLine="640" w:firstLineChars="200"/>
        <w:rPr>
          <w:rFonts w:hint="eastAsia" w:ascii="Times New Roman" w:hAnsi="Times New Roman" w:eastAsia="仿宋_GB2312" w:cs="Times New Roman"/>
          <w:color w:val="auto"/>
          <w:sz w:val="32"/>
          <w:szCs w:val="32"/>
          <w:highlight w:val="none"/>
        </w:rPr>
      </w:pPr>
    </w:p>
    <w:p>
      <w:pPr>
        <w:spacing w:line="600" w:lineRule="exact"/>
        <w:ind w:firstLine="420" w:firstLineChars="200"/>
        <w:rPr>
          <w:rFonts w:hint="eastAsia" w:ascii="Times New Roman" w:hAnsi="Times New Roman" w:eastAsia="仿宋_GB2312" w:cs="Times New Roman"/>
          <w:color w:val="auto"/>
          <w:sz w:val="32"/>
          <w:szCs w:val="32"/>
          <w:highlight w:val="none"/>
        </w:rPr>
      </w:pPr>
      <w:bookmarkStart w:id="49" w:name="_Toc15377225"/>
      <w:bookmarkStart w:id="50" w:name="_Toc15396613"/>
      <w:r>
        <w:br w:type="page"/>
      </w:r>
    </w:p>
    <w:p>
      <w:pPr>
        <w:keepNext w:val="0"/>
        <w:keepLines w:val="0"/>
        <w:pageBreakBefore w:val="0"/>
        <w:widowControl w:val="0"/>
        <w:numPr>
          <w:ilvl w:val="0"/>
          <w:numId w:val="3"/>
        </w:numPr>
        <w:kinsoku/>
        <w:wordWrap/>
        <w:overflowPunct/>
        <w:topLinePunct w:val="0"/>
        <w:bidi w:val="0"/>
        <w:snapToGrid/>
        <w:spacing w:line="604" w:lineRule="exact"/>
        <w:ind w:left="0" w:leftChars="0" w:firstLine="0" w:firstLineChars="0"/>
        <w:jc w:val="center"/>
        <w:textAlignment w:val="auto"/>
        <w:outlineLvl w:val="0"/>
        <w:rPr>
          <w:rStyle w:val="31"/>
          <w:rFonts w:ascii="黑体" w:hAnsi="黑体" w:eastAsia="黑体"/>
          <w:b w:val="0"/>
          <w:color w:val="auto"/>
          <w:highlight w:val="none"/>
        </w:rPr>
      </w:pPr>
      <w:r>
        <w:rPr>
          <w:rFonts w:hint="eastAsia" w:ascii="黑体" w:hAnsi="黑体" w:eastAsia="黑体"/>
          <w:color w:val="auto"/>
          <w:sz w:val="44"/>
          <w:szCs w:val="44"/>
          <w:highlight w:val="none"/>
        </w:rPr>
        <w:t>名</w:t>
      </w:r>
      <w:r>
        <w:rPr>
          <w:rStyle w:val="31"/>
          <w:rFonts w:hint="eastAsia" w:ascii="黑体" w:hAnsi="黑体" w:eastAsia="黑体"/>
          <w:b w:val="0"/>
          <w:color w:val="auto"/>
          <w:highlight w:val="none"/>
        </w:rPr>
        <w:t>词解释</w:t>
      </w:r>
      <w:bookmarkEnd w:id="49"/>
      <w:bookmarkEnd w:id="50"/>
    </w:p>
    <w:p>
      <w:pPr>
        <w:keepNext w:val="0"/>
        <w:keepLines w:val="0"/>
        <w:pageBreakBefore w:val="0"/>
        <w:widowControl w:val="0"/>
        <w:kinsoku/>
        <w:wordWrap/>
        <w:overflowPunct/>
        <w:topLinePunct w:val="0"/>
        <w:bidi w:val="0"/>
        <w:snapToGrid/>
        <w:spacing w:line="604" w:lineRule="exact"/>
        <w:jc w:val="left"/>
        <w:textAlignment w:val="auto"/>
        <w:rPr>
          <w:rFonts w:ascii="宋体"/>
          <w:b/>
          <w:color w:val="auto"/>
          <w:sz w:val="44"/>
          <w:szCs w:val="44"/>
          <w:highlight w:val="none"/>
        </w:rPr>
      </w:pPr>
    </w:p>
    <w:p>
      <w:pPr>
        <w:keepNext w:val="0"/>
        <w:keepLines w:val="0"/>
        <w:pageBreakBefore w:val="0"/>
        <w:widowControl w:val="0"/>
        <w:kinsoku/>
        <w:wordWrap/>
        <w:overflowPunct/>
        <w:topLinePunct w:val="0"/>
        <w:autoSpaceDE w:val="0"/>
        <w:autoSpaceDN w:val="0"/>
        <w:bidi w:val="0"/>
        <w:adjustRightInd w:val="0"/>
        <w:snapToGrid/>
        <w:spacing w:line="604"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1.财政拨款收入：指单位从同级财政部门取得的财政预算资金。</w:t>
      </w:r>
    </w:p>
    <w:p>
      <w:pPr>
        <w:keepNext w:val="0"/>
        <w:keepLines w:val="0"/>
        <w:pageBreakBefore w:val="0"/>
        <w:widowControl w:val="0"/>
        <w:kinsoku/>
        <w:wordWrap/>
        <w:overflowPunct/>
        <w:topLinePunct w:val="0"/>
        <w:autoSpaceDE w:val="0"/>
        <w:autoSpaceDN w:val="0"/>
        <w:bidi w:val="0"/>
        <w:adjustRightInd w:val="0"/>
        <w:snapToGrid/>
        <w:spacing w:line="604"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2.一般公共预算拨款收入：指区级财政当年拨付的资金。</w:t>
      </w:r>
    </w:p>
    <w:p>
      <w:pPr>
        <w:keepNext w:val="0"/>
        <w:keepLines w:val="0"/>
        <w:pageBreakBefore w:val="0"/>
        <w:widowControl w:val="0"/>
        <w:kinsoku/>
        <w:wordWrap/>
        <w:overflowPunct/>
        <w:topLinePunct w:val="0"/>
        <w:autoSpaceDE w:val="0"/>
        <w:autoSpaceDN w:val="0"/>
        <w:bidi w:val="0"/>
        <w:adjustRightInd w:val="0"/>
        <w:snapToGrid/>
        <w:spacing w:line="604"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3.一般公共服务（类）党委办公厅（室）及相关机构事务（款）行政运行（项）：指区委编办及下属事业单位用于保障机构正常运行、开展日常工作的基本支出。</w:t>
      </w:r>
    </w:p>
    <w:p>
      <w:pPr>
        <w:keepNext w:val="0"/>
        <w:keepLines w:val="0"/>
        <w:pageBreakBefore w:val="0"/>
        <w:widowControl w:val="0"/>
        <w:kinsoku/>
        <w:wordWrap/>
        <w:overflowPunct/>
        <w:topLinePunct w:val="0"/>
        <w:autoSpaceDE w:val="0"/>
        <w:autoSpaceDN w:val="0"/>
        <w:bidi w:val="0"/>
        <w:adjustRightInd w:val="0"/>
        <w:snapToGrid/>
        <w:spacing w:line="604"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4.社会保障和就业（类）行政事业单位养老支出（款）机关事业单位基本养老保险缴费支出（项）：指保障编办及参公管理事业单位和其他事业单位人员养老保险单位部分经费支出。  </w:t>
      </w:r>
    </w:p>
    <w:p>
      <w:pPr>
        <w:keepNext w:val="0"/>
        <w:keepLines w:val="0"/>
        <w:pageBreakBefore w:val="0"/>
        <w:widowControl w:val="0"/>
        <w:kinsoku/>
        <w:wordWrap/>
        <w:overflowPunct/>
        <w:topLinePunct w:val="0"/>
        <w:autoSpaceDE w:val="0"/>
        <w:autoSpaceDN w:val="0"/>
        <w:bidi w:val="0"/>
        <w:adjustRightInd w:val="0"/>
        <w:snapToGrid/>
        <w:spacing w:line="604"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5.卫生健康支出（类）行政事业单位医疗（款）行政单位医疗（项）：指保障编办及参公管理事业单位和其他事业单位人员按规定由单位缴纳的基本医疗保险、工伤保险、生育保险、失业保险单位部分支出。</w:t>
      </w:r>
    </w:p>
    <w:p>
      <w:pPr>
        <w:keepNext w:val="0"/>
        <w:keepLines w:val="0"/>
        <w:pageBreakBefore w:val="0"/>
        <w:widowControl w:val="0"/>
        <w:kinsoku/>
        <w:wordWrap/>
        <w:overflowPunct/>
        <w:topLinePunct w:val="0"/>
        <w:autoSpaceDE w:val="0"/>
        <w:autoSpaceDN w:val="0"/>
        <w:bidi w:val="0"/>
        <w:adjustRightInd w:val="0"/>
        <w:snapToGrid/>
        <w:spacing w:line="604"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6.住房保障（类）住房改革支出（款）住房公积金（项）：指部门按人力资源和社会保障部、财政部规定的基本工资和津贴补贴以及规定比例为职工缴纳的住房公积金单位部分支出。</w:t>
      </w:r>
    </w:p>
    <w:p>
      <w:pPr>
        <w:keepNext w:val="0"/>
        <w:keepLines w:val="0"/>
        <w:pageBreakBefore w:val="0"/>
        <w:widowControl w:val="0"/>
        <w:kinsoku/>
        <w:wordWrap/>
        <w:overflowPunct/>
        <w:topLinePunct w:val="0"/>
        <w:autoSpaceDE w:val="0"/>
        <w:autoSpaceDN w:val="0"/>
        <w:bidi w:val="0"/>
        <w:adjustRightInd w:val="0"/>
        <w:snapToGrid/>
        <w:spacing w:line="604"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.“三公”经费：指</w:t>
      </w:r>
      <w:r>
        <w:rPr>
          <w:rFonts w:hint="default" w:ascii="Times New Roman" w:hAnsi="Times New Roman" w:eastAsia="仿宋_GB2312" w:cs="Times New Roman"/>
          <w:color w:val="auto"/>
          <w:sz w:val="32"/>
          <w:szCs w:val="32"/>
          <w:highlight w:val="none"/>
          <w:lang w:eastAsia="zh-CN"/>
        </w:rPr>
        <w:t>单位</w:t>
      </w:r>
      <w:r>
        <w:rPr>
          <w:rFonts w:hint="default" w:ascii="Times New Roman" w:hAnsi="Times New Roman" w:eastAsia="仿宋_GB2312" w:cs="Times New Roman"/>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val="0"/>
        <w:kinsoku/>
        <w:wordWrap/>
        <w:overflowPunct/>
        <w:topLinePunct w:val="0"/>
        <w:autoSpaceDE w:val="0"/>
        <w:autoSpaceDN w:val="0"/>
        <w:bidi w:val="0"/>
        <w:adjustRightInd w:val="0"/>
        <w:snapToGrid/>
        <w:spacing w:line="604"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val="0"/>
        <w:autoSpaceDN w:val="0"/>
        <w:bidi w:val="0"/>
        <w:adjustRightInd w:val="0"/>
        <w:snapToGrid/>
        <w:spacing w:line="604"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.基本支出：指为保障机构正常运转、完成日常工作任务而发生的人员支出和公用支出。</w:t>
      </w:r>
    </w:p>
    <w:p>
      <w:pPr>
        <w:keepNext w:val="0"/>
        <w:keepLines w:val="0"/>
        <w:pageBreakBefore w:val="0"/>
        <w:widowControl w:val="0"/>
        <w:kinsoku/>
        <w:wordWrap/>
        <w:overflowPunct/>
        <w:topLinePunct w:val="0"/>
        <w:autoSpaceDE w:val="0"/>
        <w:autoSpaceDN w:val="0"/>
        <w:bidi w:val="0"/>
        <w:adjustRightInd w:val="0"/>
        <w:snapToGrid/>
        <w:spacing w:line="604"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rPr>
        <w:t xml:space="preserve">.项目支出：指在基本支出之外为完成特定行政任务和事业发展目标所发生的支出。 </w:t>
      </w:r>
    </w:p>
    <w:p>
      <w:pPr>
        <w:keepNext w:val="0"/>
        <w:keepLines w:val="0"/>
        <w:pageBreakBefore w:val="0"/>
        <w:widowControl w:val="0"/>
        <w:kinsoku/>
        <w:wordWrap/>
        <w:overflowPunct/>
        <w:topLinePunct w:val="0"/>
        <w:autoSpaceDE w:val="0"/>
        <w:autoSpaceDN w:val="0"/>
        <w:bidi w:val="0"/>
        <w:adjustRightInd w:val="0"/>
        <w:snapToGrid/>
        <w:spacing w:line="604"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11</w:t>
      </w:r>
      <w:r>
        <w:rPr>
          <w:rFonts w:hint="default" w:ascii="Times New Roman" w:hAnsi="Times New Roman" w:eastAsia="仿宋_GB2312" w:cs="Times New Roman"/>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val="0"/>
        <w:kinsoku/>
        <w:wordWrap/>
        <w:overflowPunct/>
        <w:topLinePunct w:val="0"/>
        <w:autoSpaceDE w:val="0"/>
        <w:autoSpaceDN w:val="0"/>
        <w:bidi w:val="0"/>
        <w:adjustRightInd w:val="0"/>
        <w:snapToGrid/>
        <w:spacing w:line="604"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12</w:t>
      </w:r>
      <w:r>
        <w:rPr>
          <w:rFonts w:hint="default" w:ascii="Times New Roman" w:hAnsi="Times New Roman" w:eastAsia="仿宋_GB2312" w:cs="Times New Roman"/>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p>
    <w:p>
      <w:pPr>
        <w:keepNext w:val="0"/>
        <w:keepLines w:val="0"/>
        <w:pageBreakBefore w:val="0"/>
        <w:widowControl w:val="0"/>
        <w:kinsoku/>
        <w:wordWrap/>
        <w:overflowPunct/>
        <w:topLinePunct w:val="0"/>
        <w:autoSpaceDE w:val="0"/>
        <w:autoSpaceDN w:val="0"/>
        <w:bidi w:val="0"/>
        <w:adjustRightInd w:val="0"/>
        <w:spacing w:line="576" w:lineRule="exact"/>
        <w:ind w:left="0" w:leftChars="0" w:right="0" w:firstLine="0" w:firstLineChars="0"/>
        <w:jc w:val="center"/>
        <w:textAlignment w:val="auto"/>
        <w:rPr>
          <w:rStyle w:val="31"/>
          <w:rFonts w:hint="default" w:ascii="Times New Roman" w:hAnsi="Times New Roman" w:eastAsia="黑体" w:cs="Times New Roman"/>
          <w:b w:val="0"/>
          <w:color w:val="auto"/>
          <w:highlight w:val="none"/>
        </w:rPr>
      </w:pPr>
      <w:bookmarkStart w:id="51" w:name="_Toc15377226"/>
      <w:r>
        <w:br w:type="page"/>
      </w:r>
      <w:bookmarkStart w:id="52" w:name="_Toc15396614"/>
      <w:r>
        <w:rPr>
          <w:rFonts w:hint="default" w:ascii="Times New Roman" w:hAnsi="Times New Roman" w:eastAsia="黑体" w:cs="Times New Roman"/>
          <w:color w:val="auto"/>
          <w:sz w:val="44"/>
          <w:szCs w:val="44"/>
          <w:highlight w:val="none"/>
        </w:rPr>
        <w:t>第</w:t>
      </w:r>
      <w:r>
        <w:rPr>
          <w:rStyle w:val="31"/>
          <w:rFonts w:hint="default" w:ascii="Times New Roman" w:hAnsi="Times New Roman" w:eastAsia="黑体" w:cs="Times New Roman"/>
          <w:b w:val="0"/>
          <w:color w:val="auto"/>
          <w:highlight w:val="none"/>
        </w:rPr>
        <w:t>四部分 附件</w:t>
      </w:r>
      <w:bookmarkEnd w:id="52"/>
    </w:p>
    <w:p>
      <w:pPr>
        <w:pStyle w:val="7"/>
        <w:keepNext w:val="0"/>
        <w:keepLines w:val="0"/>
        <w:pageBreakBefore w:val="0"/>
        <w:widowControl w:val="0"/>
        <w:kinsoku/>
        <w:wordWrap/>
        <w:overflowPunct/>
        <w:topLinePunct w:val="0"/>
        <w:bidi w:val="0"/>
        <w:spacing w:beforeLines="0" w:line="576" w:lineRule="exact"/>
        <w:ind w:left="0" w:right="0" w:firstLine="600" w:firstLineChars="200"/>
        <w:jc w:val="both"/>
        <w:textAlignment w:val="auto"/>
        <w:rPr>
          <w:rFonts w:hint="default" w:ascii="Times New Roman" w:hAnsi="Times New Roman" w:cs="Times New Roman"/>
          <w:lang w:eastAsia="zh-CN"/>
        </w:rPr>
      </w:pPr>
    </w:p>
    <w:p>
      <w:pPr>
        <w:keepNext w:val="0"/>
        <w:keepLines w:val="0"/>
        <w:pageBreakBefore w:val="0"/>
        <w:widowControl w:val="0"/>
        <w:kinsoku/>
        <w:wordWrap/>
        <w:overflowPunct/>
        <w:topLinePunct w:val="0"/>
        <w:autoSpaceDE/>
        <w:autoSpaceDN/>
        <w:bidi w:val="0"/>
        <w:spacing w:line="576" w:lineRule="exact"/>
        <w:ind w:left="0" w:right="0" w:firstLine="640" w:firstLineChars="200"/>
        <w:jc w:val="both"/>
        <w:textAlignment w:val="auto"/>
        <w:outlineLvl w:val="0"/>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附件</w:t>
      </w:r>
      <w:r>
        <w:rPr>
          <w:rFonts w:hint="default" w:ascii="Times New Roman" w:hAnsi="Times New Roman" w:eastAsia="黑体" w:cs="Times New Roman"/>
          <w:color w:val="auto"/>
          <w:sz w:val="32"/>
          <w:szCs w:val="32"/>
          <w:highlight w:val="none"/>
          <w:lang w:val="en-US" w:eastAsia="zh-CN"/>
        </w:rPr>
        <w:t>1</w:t>
      </w:r>
    </w:p>
    <w:p>
      <w:pPr>
        <w:pStyle w:val="7"/>
        <w:keepNext w:val="0"/>
        <w:keepLines w:val="0"/>
        <w:pageBreakBefore w:val="0"/>
        <w:widowControl w:val="0"/>
        <w:kinsoku/>
        <w:wordWrap/>
        <w:overflowPunct/>
        <w:topLinePunct w:val="0"/>
        <w:bidi w:val="0"/>
        <w:spacing w:beforeLines="0" w:line="576" w:lineRule="exact"/>
        <w:ind w:left="0" w:right="0" w:firstLine="600" w:firstLineChars="200"/>
        <w:jc w:val="both"/>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spacing w:line="576" w:lineRule="exact"/>
        <w:ind w:left="0" w:leftChars="0" w:right="0" w:firstLine="0" w:firstLineChars="0"/>
        <w:contextualSpacing/>
        <w:jc w:val="center"/>
        <w:textAlignment w:val="auto"/>
        <w:rPr>
          <w:rFonts w:hint="eastAsia" w:ascii="方正小标宋_GBK" w:hAnsi="方正小标宋_GBK" w:eastAsia="方正小标宋_GBK" w:cs="方正小标宋_GBK"/>
          <w:b w:val="0"/>
          <w:bCs/>
          <w:color w:val="auto"/>
          <w:sz w:val="44"/>
          <w:szCs w:val="44"/>
          <w:highlight w:val="none"/>
          <w:shd w:val="clear" w:color="auto" w:fill="FFFFFF"/>
          <w:lang w:val="en-US" w:eastAsia="zh-CN"/>
        </w:rPr>
      </w:pPr>
      <w:r>
        <w:rPr>
          <w:rFonts w:hint="eastAsia" w:ascii="方正小标宋_GBK" w:hAnsi="方正小标宋_GBK" w:eastAsia="方正小标宋_GBK" w:cs="方正小标宋_GBK"/>
          <w:b w:val="0"/>
          <w:bCs/>
          <w:color w:val="auto"/>
          <w:sz w:val="44"/>
          <w:szCs w:val="44"/>
          <w:highlight w:val="none"/>
          <w:shd w:val="clear" w:color="auto" w:fill="FFFFFF"/>
          <w:lang w:val="en-US" w:eastAsia="zh-CN"/>
        </w:rPr>
        <w:t>中共广元市昭化区委机构编制委员会办公室</w:t>
      </w:r>
    </w:p>
    <w:p>
      <w:pPr>
        <w:keepNext w:val="0"/>
        <w:keepLines w:val="0"/>
        <w:pageBreakBefore w:val="0"/>
        <w:widowControl w:val="0"/>
        <w:kinsoku/>
        <w:wordWrap/>
        <w:overflowPunct/>
        <w:topLinePunct w:val="0"/>
        <w:autoSpaceDE/>
        <w:autoSpaceDN/>
        <w:bidi w:val="0"/>
        <w:spacing w:line="576" w:lineRule="exact"/>
        <w:ind w:left="0" w:leftChars="0" w:right="0" w:firstLine="0" w:firstLineChars="0"/>
        <w:contextualSpacing/>
        <w:jc w:val="center"/>
        <w:textAlignment w:val="auto"/>
        <w:rPr>
          <w:rFonts w:hint="eastAsia" w:ascii="方正小标宋_GBK" w:hAnsi="方正小标宋_GBK" w:eastAsia="方正小标宋_GBK" w:cs="方正小标宋_GBK"/>
          <w:b w:val="0"/>
          <w:bCs/>
          <w:color w:val="auto"/>
          <w:sz w:val="44"/>
          <w:szCs w:val="44"/>
          <w:highlight w:val="none"/>
          <w:shd w:val="clear" w:color="auto" w:fill="FFFFFF"/>
        </w:rPr>
      </w:pPr>
      <w:r>
        <w:rPr>
          <w:rFonts w:hint="eastAsia" w:ascii="方正小标宋_GBK" w:hAnsi="方正小标宋_GBK" w:eastAsia="方正小标宋_GBK" w:cs="方正小标宋_GBK"/>
          <w:b w:val="0"/>
          <w:bCs/>
          <w:color w:val="auto"/>
          <w:sz w:val="44"/>
          <w:szCs w:val="44"/>
          <w:highlight w:val="none"/>
          <w:shd w:val="clear" w:color="auto" w:fill="FFFFFF"/>
        </w:rPr>
        <w:t>20</w:t>
      </w:r>
      <w:r>
        <w:rPr>
          <w:rFonts w:hint="eastAsia" w:ascii="方正小标宋_GBK" w:hAnsi="方正小标宋_GBK" w:eastAsia="方正小标宋_GBK" w:cs="方正小标宋_GBK"/>
          <w:b w:val="0"/>
          <w:bCs/>
          <w:color w:val="auto"/>
          <w:sz w:val="44"/>
          <w:szCs w:val="44"/>
          <w:highlight w:val="none"/>
          <w:shd w:val="clear" w:color="auto" w:fill="FFFFFF"/>
          <w:lang w:val="en-US" w:eastAsia="zh-CN"/>
        </w:rPr>
        <w:t>23</w:t>
      </w:r>
      <w:r>
        <w:rPr>
          <w:rFonts w:hint="eastAsia" w:ascii="方正小标宋_GBK" w:hAnsi="方正小标宋_GBK" w:eastAsia="方正小标宋_GBK" w:cs="方正小标宋_GBK"/>
          <w:b w:val="0"/>
          <w:bCs/>
          <w:color w:val="auto"/>
          <w:sz w:val="44"/>
          <w:szCs w:val="44"/>
          <w:highlight w:val="none"/>
          <w:shd w:val="clear" w:color="auto" w:fill="FFFFFF"/>
        </w:rPr>
        <w:t>年整体绩效评价报告</w:t>
      </w:r>
    </w:p>
    <w:p>
      <w:pPr>
        <w:keepNext w:val="0"/>
        <w:keepLines w:val="0"/>
        <w:pageBreakBefore w:val="0"/>
        <w:widowControl w:val="0"/>
        <w:kinsoku/>
        <w:wordWrap/>
        <w:overflowPunct/>
        <w:topLinePunct w:val="0"/>
        <w:autoSpaceDE/>
        <w:autoSpaceDN/>
        <w:bidi w:val="0"/>
        <w:adjustRightInd w:val="0"/>
        <w:snapToGrid w:val="0"/>
        <w:spacing w:line="576" w:lineRule="exact"/>
        <w:ind w:left="0" w:right="0" w:firstLine="640" w:firstLineChars="200"/>
        <w:contextualSpacing/>
        <w:jc w:val="both"/>
        <w:textAlignment w:val="auto"/>
        <w:rPr>
          <w:rFonts w:hint="default" w:ascii="Times New Roman" w:hAnsi="Times New Roman" w:eastAsia="黑体" w:cs="Times New Roman"/>
          <w:color w:val="auto"/>
          <w:kern w:val="0"/>
          <w:sz w:val="32"/>
          <w:szCs w:val="32"/>
          <w:highlight w:val="none"/>
          <w:shd w:val="clear" w:color="auto" w:fill="FFFFFF"/>
        </w:rPr>
      </w:pPr>
    </w:p>
    <w:p>
      <w:pPr>
        <w:keepNext w:val="0"/>
        <w:keepLines w:val="0"/>
        <w:pageBreakBefore w:val="0"/>
        <w:widowControl w:val="0"/>
        <w:numPr>
          <w:ilvl w:val="0"/>
          <w:numId w:val="4"/>
        </w:numPr>
        <w:kinsoku/>
        <w:wordWrap/>
        <w:overflowPunct/>
        <w:topLinePunct w:val="0"/>
        <w:autoSpaceDE/>
        <w:autoSpaceDN/>
        <w:bidi w:val="0"/>
        <w:adjustRightInd w:val="0"/>
        <w:snapToGrid w:val="0"/>
        <w:spacing w:line="576" w:lineRule="exact"/>
        <w:ind w:left="0" w:right="0" w:firstLine="640" w:firstLineChars="200"/>
        <w:contextualSpacing/>
        <w:jc w:val="both"/>
        <w:textAlignment w:val="auto"/>
        <w:rPr>
          <w:rFonts w:hint="default" w:ascii="Times New Roman" w:hAnsi="Times New Roman" w:eastAsia="黑体" w:cs="Times New Roman"/>
          <w:color w:val="auto"/>
          <w:kern w:val="0"/>
          <w:sz w:val="32"/>
          <w:szCs w:val="32"/>
          <w:highlight w:val="none"/>
          <w:shd w:val="clear" w:color="auto" w:fill="FFFFFF"/>
          <w:lang w:val="zh-CN"/>
        </w:rPr>
      </w:pPr>
      <w:r>
        <w:rPr>
          <w:rFonts w:hint="default" w:ascii="Times New Roman" w:hAnsi="Times New Roman" w:eastAsia="黑体" w:cs="Times New Roman"/>
          <w:color w:val="auto"/>
          <w:kern w:val="0"/>
          <w:sz w:val="32"/>
          <w:szCs w:val="32"/>
          <w:highlight w:val="none"/>
          <w:shd w:val="clear" w:color="auto" w:fill="FFFFFF"/>
          <w:lang w:val="zh-CN"/>
        </w:rPr>
        <w:t>部门（单位）基本情况</w:t>
      </w:r>
    </w:p>
    <w:p>
      <w:pPr>
        <w:keepNext w:val="0"/>
        <w:keepLines w:val="0"/>
        <w:pageBreakBefore w:val="0"/>
        <w:widowControl w:val="0"/>
        <w:numPr>
          <w:ilvl w:val="0"/>
          <w:numId w:val="5"/>
        </w:numPr>
        <w:kinsoku/>
        <w:wordWrap/>
        <w:overflowPunct/>
        <w:topLinePunct w:val="0"/>
        <w:autoSpaceDE/>
        <w:autoSpaceDN/>
        <w:bidi w:val="0"/>
        <w:adjustRightInd w:val="0"/>
        <w:snapToGrid w:val="0"/>
        <w:spacing w:line="576" w:lineRule="exact"/>
        <w:ind w:left="0" w:right="0" w:firstLine="640" w:firstLineChars="200"/>
        <w:contextualSpacing/>
        <w:jc w:val="both"/>
        <w:textAlignment w:val="auto"/>
        <w:rPr>
          <w:rFonts w:hint="default" w:ascii="Times New Roman" w:hAnsi="Times New Roman" w:eastAsia="楷体_GB2312" w:cs="Times New Roman"/>
          <w:b w:val="0"/>
          <w:bCs w:val="0"/>
          <w:color w:val="auto"/>
          <w:kern w:val="0"/>
          <w:sz w:val="32"/>
          <w:szCs w:val="32"/>
          <w:highlight w:val="none"/>
          <w:shd w:val="clear" w:color="auto" w:fill="FFFFFF"/>
          <w:lang w:val="zh-CN"/>
        </w:rPr>
      </w:pPr>
      <w:r>
        <w:rPr>
          <w:rFonts w:hint="default" w:ascii="Times New Roman" w:hAnsi="Times New Roman" w:eastAsia="楷体_GB2312" w:cs="Times New Roman"/>
          <w:b w:val="0"/>
          <w:bCs w:val="0"/>
          <w:color w:val="auto"/>
          <w:kern w:val="0"/>
          <w:sz w:val="32"/>
          <w:szCs w:val="32"/>
          <w:highlight w:val="none"/>
          <w:shd w:val="clear" w:color="auto" w:fill="FFFFFF"/>
          <w:lang w:val="zh-CN"/>
        </w:rPr>
        <w:t>机构组成。</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firstLine="640" w:firstLineChars="200"/>
        <w:jc w:val="both"/>
        <w:textAlignment w:val="auto"/>
        <w:rPr>
          <w:rFonts w:hint="default" w:ascii="Times New Roman" w:hAnsi="Times New Roman" w:cs="Times New Roman"/>
          <w:lang w:val="zh-CN"/>
        </w:rPr>
      </w:pPr>
      <w:r>
        <w:rPr>
          <w:rFonts w:hint="default" w:ascii="Times New Roman" w:hAnsi="Times New Roman" w:eastAsia="仿宋_GB2312" w:cs="Times New Roman"/>
          <w:kern w:val="2"/>
          <w:sz w:val="32"/>
          <w:szCs w:val="32"/>
          <w:lang w:val="en-US" w:eastAsia="zh-CN" w:bidi="ar-SA"/>
        </w:rPr>
        <w:t>区委编办属于一级预算单位，参照公务员法管理的事业单位1个，其他事业单位1个。主要包括：昭化区事业单位登记服务中心、昭化区机构编制信息中心。</w:t>
      </w:r>
    </w:p>
    <w:p>
      <w:pPr>
        <w:keepNext w:val="0"/>
        <w:keepLines w:val="0"/>
        <w:pageBreakBefore w:val="0"/>
        <w:widowControl w:val="0"/>
        <w:numPr>
          <w:ilvl w:val="0"/>
          <w:numId w:val="5"/>
        </w:numPr>
        <w:kinsoku/>
        <w:wordWrap/>
        <w:overflowPunct/>
        <w:topLinePunct w:val="0"/>
        <w:autoSpaceDE/>
        <w:autoSpaceDN/>
        <w:bidi w:val="0"/>
        <w:adjustRightInd w:val="0"/>
        <w:snapToGrid w:val="0"/>
        <w:spacing w:line="576" w:lineRule="exact"/>
        <w:ind w:left="0" w:leftChars="0" w:right="0" w:firstLine="640" w:firstLineChars="200"/>
        <w:contextualSpacing/>
        <w:jc w:val="both"/>
        <w:textAlignment w:val="auto"/>
        <w:rPr>
          <w:rFonts w:hint="default" w:ascii="Times New Roman" w:hAnsi="Times New Roman" w:eastAsia="楷体_GB2312" w:cs="Times New Roman"/>
          <w:b w:val="0"/>
          <w:bCs w:val="0"/>
          <w:color w:val="auto"/>
          <w:kern w:val="0"/>
          <w:sz w:val="32"/>
          <w:szCs w:val="32"/>
          <w:highlight w:val="none"/>
          <w:shd w:val="clear" w:color="auto" w:fill="FFFFFF"/>
          <w:lang w:val="zh-CN"/>
        </w:rPr>
      </w:pPr>
      <w:r>
        <w:rPr>
          <w:rFonts w:hint="default" w:ascii="Times New Roman" w:hAnsi="Times New Roman" w:eastAsia="楷体_GB2312" w:cs="Times New Roman"/>
          <w:b w:val="0"/>
          <w:bCs w:val="0"/>
          <w:color w:val="auto"/>
          <w:kern w:val="0"/>
          <w:sz w:val="32"/>
          <w:szCs w:val="32"/>
          <w:highlight w:val="none"/>
          <w:shd w:val="clear" w:color="auto" w:fill="FFFFFF"/>
          <w:lang w:val="zh-CN"/>
        </w:rPr>
        <w:t>机构职能和人员概况。</w:t>
      </w:r>
    </w:p>
    <w:p>
      <w:pPr>
        <w:keepNext w:val="0"/>
        <w:keepLines w:val="0"/>
        <w:pageBreakBefore w:val="0"/>
        <w:widowControl w:val="0"/>
        <w:kinsoku/>
        <w:wordWrap/>
        <w:overflowPunct/>
        <w:topLinePunct w:val="0"/>
        <w:autoSpaceDE/>
        <w:autoSpaceDN/>
        <w:bidi w:val="0"/>
        <w:spacing w:line="576" w:lineRule="exact"/>
        <w:ind w:left="0" w:leftChars="0" w:right="0" w:firstLine="640" w:firstLineChars="20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32"/>
          <w:szCs w:val="32"/>
          <w:lang w:eastAsia="zh-CN"/>
        </w:rPr>
        <w:t>一是</w:t>
      </w:r>
      <w:r>
        <w:rPr>
          <w:rFonts w:hint="default" w:ascii="Times New Roman" w:hAnsi="Times New Roman" w:eastAsia="仿宋_GB2312" w:cs="Times New Roman"/>
          <w:color w:val="auto"/>
          <w:sz w:val="32"/>
          <w:szCs w:val="32"/>
        </w:rPr>
        <w:t>贯彻执行中央关于行政管理体制改革和机构改革、事业单位改革及机构编制管理的方针政策、法律法规规章，研究起草规章草案、规范性文件，制定相关政策并监督实施</w:t>
      </w:r>
      <w:r>
        <w:rPr>
          <w:rFonts w:hint="default" w:ascii="Times New Roman" w:hAnsi="Times New Roman" w:eastAsia="仿宋_GB2312" w:cs="Times New Roman"/>
          <w:color w:val="auto"/>
          <w:sz w:val="32"/>
          <w:szCs w:val="32"/>
          <w:lang w:eastAsia="zh-CN"/>
        </w:rPr>
        <w:t>；二是</w:t>
      </w:r>
      <w:r>
        <w:rPr>
          <w:rFonts w:hint="default" w:ascii="Times New Roman" w:hAnsi="Times New Roman" w:eastAsia="仿宋_GB2312" w:cs="Times New Roman"/>
          <w:color w:val="auto"/>
          <w:sz w:val="32"/>
          <w:szCs w:val="32"/>
        </w:rPr>
        <w:t>研究拟订全区行政管理体制改革和机构改革方案，审核区级部门“三定”规定和乡镇（街道）机构改革方案，指导各乡镇（街道）、各部门行政管理体制改革和机构改革，评估改革效果，参与行政审批制度改革和行政区划调整的有关工作</w:t>
      </w:r>
      <w:r>
        <w:rPr>
          <w:rFonts w:hint="default" w:ascii="Times New Roman" w:hAnsi="Times New Roman" w:eastAsia="仿宋_GB2312" w:cs="Times New Roman"/>
          <w:color w:val="auto"/>
          <w:sz w:val="32"/>
          <w:szCs w:val="32"/>
          <w:lang w:eastAsia="zh-CN"/>
        </w:rPr>
        <w:t>；三是</w:t>
      </w:r>
      <w:r>
        <w:rPr>
          <w:rFonts w:hint="default" w:ascii="Times New Roman" w:hAnsi="Times New Roman" w:eastAsia="仿宋_GB2312" w:cs="Times New Roman"/>
          <w:color w:val="auto"/>
          <w:sz w:val="32"/>
          <w:szCs w:val="32"/>
        </w:rPr>
        <w:t>拟订全区各级行政编制总额分配方案，分配政法专项编制。负责全区行政事业编制总量控制和机关事业单位机构编制实名制管理工作，对区直机关和区属事业单位使用空缺编制补充人员进行核批</w:t>
      </w:r>
      <w:r>
        <w:rPr>
          <w:rFonts w:hint="default" w:ascii="Times New Roman" w:hAnsi="Times New Roman" w:eastAsia="仿宋_GB2312" w:cs="Times New Roman"/>
          <w:color w:val="auto"/>
          <w:sz w:val="32"/>
          <w:szCs w:val="32"/>
          <w:lang w:eastAsia="zh-CN"/>
        </w:rPr>
        <w:t>；四是</w:t>
      </w:r>
      <w:r>
        <w:rPr>
          <w:rFonts w:hint="default" w:ascii="Times New Roman" w:hAnsi="Times New Roman" w:eastAsia="仿宋_GB2312" w:cs="Times New Roman"/>
          <w:color w:val="auto"/>
          <w:sz w:val="32"/>
          <w:szCs w:val="32"/>
        </w:rPr>
        <w:t>负责区委、区政府各部门，区人大、区政协机关，区法院、区检察院机关，各民主党派区委机关、区人民团体机关的机构编制管理工作。协调区级部门之间的职责分工</w:t>
      </w:r>
      <w:r>
        <w:rPr>
          <w:rFonts w:hint="default" w:ascii="Times New Roman" w:hAnsi="Times New Roman" w:eastAsia="仿宋_GB2312" w:cs="Times New Roman"/>
          <w:color w:val="auto"/>
          <w:sz w:val="32"/>
          <w:szCs w:val="32"/>
          <w:lang w:eastAsia="zh-CN"/>
        </w:rPr>
        <w:t>；五是</w:t>
      </w:r>
      <w:r>
        <w:rPr>
          <w:rFonts w:hint="default" w:ascii="Times New Roman" w:hAnsi="Times New Roman" w:eastAsia="仿宋_GB2312" w:cs="Times New Roman"/>
          <w:color w:val="auto"/>
          <w:sz w:val="32"/>
          <w:szCs w:val="32"/>
        </w:rPr>
        <w:t>给市委编委呈报副科级或按照副科级及以上规格管理机构的设置、调整</w:t>
      </w:r>
      <w:r>
        <w:rPr>
          <w:rFonts w:hint="default" w:ascii="Times New Roman" w:hAnsi="Times New Roman" w:eastAsia="仿宋_GB2312" w:cs="Times New Roman"/>
          <w:color w:val="auto"/>
          <w:sz w:val="32"/>
          <w:szCs w:val="32"/>
          <w:lang w:eastAsia="zh-CN"/>
        </w:rPr>
        <w:t>；六是</w:t>
      </w:r>
      <w:r>
        <w:rPr>
          <w:rFonts w:hint="default" w:ascii="Times New Roman" w:hAnsi="Times New Roman" w:eastAsia="仿宋_GB2312" w:cs="Times New Roman"/>
          <w:color w:val="auto"/>
          <w:sz w:val="32"/>
          <w:szCs w:val="32"/>
        </w:rPr>
        <w:t>研究拟订全区事业单位改革方案和事业单位编制标准及实施意见，负责区属事业单位机构编制管理，审核区属事业单位的机构编制方案，负责参照《中华人民共和国公务员法》管理事业单位职责的审核工作</w:t>
      </w:r>
      <w:r>
        <w:rPr>
          <w:rFonts w:hint="default" w:ascii="Times New Roman" w:hAnsi="Times New Roman" w:eastAsia="仿宋_GB2312" w:cs="Times New Roman"/>
          <w:color w:val="auto"/>
          <w:sz w:val="32"/>
          <w:szCs w:val="32"/>
          <w:lang w:eastAsia="zh-CN"/>
        </w:rPr>
        <w:t>；七是</w:t>
      </w:r>
      <w:r>
        <w:rPr>
          <w:rFonts w:hint="default" w:ascii="Times New Roman" w:hAnsi="Times New Roman" w:eastAsia="仿宋_GB2312" w:cs="Times New Roman"/>
          <w:color w:val="auto"/>
          <w:sz w:val="32"/>
          <w:szCs w:val="32"/>
        </w:rPr>
        <w:t>监督检查全区行政管理体制改革和机构改革方案及机构编制规定执行情况，按照市委编委的要求，建立机构编制工作考核评估制度，会同有关部门查处机构编制违法违纪行为</w:t>
      </w:r>
      <w:r>
        <w:rPr>
          <w:rFonts w:hint="default" w:ascii="Times New Roman" w:hAnsi="Times New Roman" w:eastAsia="仿宋_GB2312" w:cs="Times New Roman"/>
          <w:color w:val="auto"/>
          <w:sz w:val="32"/>
          <w:szCs w:val="32"/>
          <w:lang w:eastAsia="zh-CN"/>
        </w:rPr>
        <w:t>；八是</w:t>
      </w:r>
      <w:r>
        <w:rPr>
          <w:rFonts w:hint="default" w:ascii="Times New Roman" w:hAnsi="Times New Roman" w:eastAsia="仿宋_GB2312" w:cs="Times New Roman"/>
          <w:color w:val="auto"/>
          <w:sz w:val="32"/>
          <w:szCs w:val="32"/>
        </w:rPr>
        <w:t>负责全区事业单位登记管理工作</w:t>
      </w:r>
      <w:r>
        <w:rPr>
          <w:rFonts w:hint="default" w:ascii="Times New Roman" w:hAnsi="Times New Roman" w:eastAsia="仿宋_GB2312" w:cs="Times New Roman"/>
          <w:color w:val="auto"/>
          <w:sz w:val="32"/>
          <w:szCs w:val="32"/>
          <w:lang w:eastAsia="zh-CN"/>
        </w:rPr>
        <w:t>；九是</w:t>
      </w:r>
      <w:r>
        <w:rPr>
          <w:rFonts w:hint="default" w:ascii="Times New Roman" w:hAnsi="Times New Roman" w:eastAsia="仿宋_GB2312" w:cs="Times New Roman"/>
          <w:color w:val="auto"/>
          <w:sz w:val="32"/>
          <w:szCs w:val="32"/>
        </w:rPr>
        <w:t>承办区委、区政府和区委编委交办的其他事项。</w:t>
      </w:r>
    </w:p>
    <w:p>
      <w:pPr>
        <w:keepNext w:val="0"/>
        <w:keepLines w:val="0"/>
        <w:pageBreakBefore w:val="0"/>
        <w:widowControl w:val="0"/>
        <w:kinsoku/>
        <w:wordWrap/>
        <w:overflowPunct/>
        <w:topLinePunct w:val="0"/>
        <w:autoSpaceDE/>
        <w:autoSpaceDN/>
        <w:bidi w:val="0"/>
        <w:spacing w:line="576" w:lineRule="exact"/>
        <w:ind w:left="0" w:leftChars="0" w:right="0" w:firstLine="640" w:firstLineChars="200"/>
        <w:jc w:val="both"/>
        <w:textAlignment w:val="auto"/>
        <w:rPr>
          <w:rFonts w:hint="default" w:ascii="Times New Roman" w:hAnsi="Times New Roman" w:cs="Times New Roman"/>
          <w:lang w:val="zh-CN"/>
        </w:rPr>
      </w:pPr>
      <w:r>
        <w:rPr>
          <w:rFonts w:hint="default" w:ascii="Times New Roman" w:hAnsi="Times New Roman" w:eastAsia="仿宋_GB2312" w:cs="Times New Roman"/>
          <w:color w:val="auto"/>
          <w:sz w:val="32"/>
          <w:szCs w:val="32"/>
        </w:rPr>
        <w:t>人员概况</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区</w:t>
      </w:r>
      <w:r>
        <w:rPr>
          <w:rFonts w:hint="default" w:ascii="Times New Roman" w:hAnsi="Times New Roman" w:cs="Times New Roman"/>
          <w:color w:val="auto"/>
          <w:sz w:val="32"/>
          <w:szCs w:val="32"/>
          <w:lang w:eastAsia="zh-CN"/>
        </w:rPr>
        <w:t>委编</w:t>
      </w:r>
      <w:r>
        <w:rPr>
          <w:rFonts w:hint="default" w:ascii="Times New Roman" w:hAnsi="Times New Roman" w:eastAsia="仿宋_GB2312" w:cs="Times New Roman"/>
          <w:color w:val="auto"/>
          <w:sz w:val="32"/>
          <w:szCs w:val="32"/>
        </w:rPr>
        <w:t>办共有编制</w:t>
      </w:r>
      <w:r>
        <w:rPr>
          <w:rFonts w:hint="default" w:ascii="Times New Roman" w:hAnsi="Times New Roman" w:cs="Times New Roman"/>
          <w:color w:val="auto"/>
          <w:sz w:val="32"/>
          <w:szCs w:val="32"/>
          <w:lang w:val="en-US" w:eastAsia="zh-CN"/>
        </w:rPr>
        <w:t>13</w:t>
      </w:r>
      <w:r>
        <w:rPr>
          <w:rFonts w:hint="default" w:ascii="Times New Roman" w:hAnsi="Times New Roman" w:eastAsia="仿宋_GB2312" w:cs="Times New Roman"/>
          <w:color w:val="auto"/>
          <w:sz w:val="32"/>
          <w:szCs w:val="32"/>
        </w:rPr>
        <w:t>人，其中：行政编制</w:t>
      </w:r>
      <w:r>
        <w:rPr>
          <w:rFonts w:hint="default" w:ascii="Times New Roman" w:hAnsi="Times New Roman" w:cs="Times New Roman"/>
          <w:color w:val="auto"/>
          <w:sz w:val="32"/>
          <w:szCs w:val="32"/>
          <w:lang w:val="en-US" w:eastAsia="zh-CN"/>
        </w:rPr>
        <w:t>5</w:t>
      </w:r>
      <w:r>
        <w:rPr>
          <w:rFonts w:hint="default" w:ascii="Times New Roman" w:hAnsi="Times New Roman" w:eastAsia="仿宋_GB2312" w:cs="Times New Roman"/>
          <w:color w:val="auto"/>
          <w:sz w:val="32"/>
          <w:szCs w:val="32"/>
        </w:rPr>
        <w:t>人，其他事业编制</w:t>
      </w:r>
      <w:r>
        <w:rPr>
          <w:rFonts w:hint="default" w:ascii="Times New Roman" w:hAnsi="Times New Roman" w:cs="Times New Roman"/>
          <w:color w:val="auto"/>
          <w:sz w:val="32"/>
          <w:szCs w:val="32"/>
          <w:lang w:val="en-US" w:eastAsia="zh-CN"/>
        </w:rPr>
        <w:t>8</w:t>
      </w:r>
      <w:r>
        <w:rPr>
          <w:rFonts w:hint="default" w:ascii="Times New Roman" w:hAnsi="Times New Roman" w:eastAsia="仿宋_GB2312" w:cs="Times New Roman"/>
          <w:color w:val="auto"/>
          <w:sz w:val="32"/>
          <w:szCs w:val="32"/>
        </w:rPr>
        <w:t>人。20</w:t>
      </w:r>
      <w:r>
        <w:rPr>
          <w:rFonts w:hint="default" w:ascii="Times New Roman" w:hAnsi="Times New Roman" w:eastAsia="仿宋_GB2312" w:cs="Times New Roman"/>
          <w:color w:val="auto"/>
          <w:sz w:val="32"/>
          <w:szCs w:val="32"/>
          <w:lang w:val="en-US" w:eastAsia="zh-CN"/>
        </w:rPr>
        <w:t>2</w:t>
      </w:r>
      <w:r>
        <w:rPr>
          <w:rFonts w:hint="default" w:ascii="Times New Roman" w:hAnsi="Times New Roman" w:cs="Times New Roman"/>
          <w:color w:val="auto"/>
          <w:sz w:val="32"/>
          <w:szCs w:val="32"/>
          <w:lang w:val="en-US" w:eastAsia="zh-CN"/>
        </w:rPr>
        <w:t>2</w:t>
      </w:r>
      <w:r>
        <w:rPr>
          <w:rFonts w:hint="default" w:ascii="Times New Roman" w:hAnsi="Times New Roman" w:eastAsia="仿宋_GB2312" w:cs="Times New Roman"/>
          <w:color w:val="auto"/>
          <w:sz w:val="32"/>
          <w:szCs w:val="32"/>
        </w:rPr>
        <w:t>年实有在职编制内人员</w:t>
      </w:r>
      <w:r>
        <w:rPr>
          <w:rFonts w:hint="default" w:ascii="Times New Roman" w:hAnsi="Times New Roman" w:cs="Times New Roman"/>
          <w:color w:val="auto"/>
          <w:sz w:val="32"/>
          <w:szCs w:val="32"/>
          <w:lang w:val="en-US" w:eastAsia="zh-CN"/>
        </w:rPr>
        <w:t>13</w:t>
      </w:r>
      <w:r>
        <w:rPr>
          <w:rFonts w:hint="default" w:ascii="Times New Roman" w:hAnsi="Times New Roman" w:eastAsia="仿宋_GB2312" w:cs="Times New Roman"/>
          <w:color w:val="auto"/>
          <w:sz w:val="32"/>
          <w:szCs w:val="32"/>
        </w:rPr>
        <w:t>人，其中：行政人员</w:t>
      </w:r>
      <w:r>
        <w:rPr>
          <w:rFonts w:hint="default" w:ascii="Times New Roman" w:hAnsi="Times New Roman" w:cs="Times New Roman"/>
          <w:color w:val="auto"/>
          <w:sz w:val="32"/>
          <w:szCs w:val="32"/>
          <w:lang w:val="en-US" w:eastAsia="zh-CN"/>
        </w:rPr>
        <w:t>5</w:t>
      </w:r>
      <w:r>
        <w:rPr>
          <w:rFonts w:hint="default" w:ascii="Times New Roman" w:hAnsi="Times New Roman" w:eastAsia="仿宋_GB2312" w:cs="Times New Roman"/>
          <w:color w:val="auto"/>
          <w:sz w:val="32"/>
          <w:szCs w:val="32"/>
        </w:rPr>
        <w:t>人，其他事业人员</w:t>
      </w:r>
      <w:r>
        <w:rPr>
          <w:rFonts w:hint="default" w:ascii="Times New Roman" w:hAnsi="Times New Roman" w:cs="Times New Roman"/>
          <w:color w:val="auto"/>
          <w:sz w:val="32"/>
          <w:szCs w:val="32"/>
          <w:lang w:val="en-US" w:eastAsia="zh-CN"/>
        </w:rPr>
        <w:t>8</w:t>
      </w:r>
      <w:r>
        <w:rPr>
          <w:rFonts w:hint="default" w:ascii="Times New Roman" w:hAnsi="Times New Roman" w:eastAsia="仿宋_GB2312" w:cs="Times New Roman"/>
          <w:color w:val="auto"/>
          <w:sz w:val="32"/>
          <w:szCs w:val="32"/>
        </w:rPr>
        <w:t>人</w:t>
      </w:r>
      <w:r>
        <w:rPr>
          <w:rFonts w:hint="default" w:ascii="Times New Roman" w:hAnsi="Times New Roman" w:cs="Times New Roman"/>
          <w:color w:val="auto"/>
          <w:sz w:val="32"/>
          <w:szCs w:val="32"/>
          <w:lang w:val="en-US" w:eastAsia="zh-CN"/>
        </w:rPr>
        <w:t>，</w:t>
      </w:r>
      <w:r>
        <w:rPr>
          <w:rFonts w:hint="default" w:ascii="Times New Roman" w:hAnsi="Times New Roman" w:eastAsia="仿宋_GB2312" w:cs="Times New Roman"/>
          <w:color w:val="auto"/>
          <w:sz w:val="32"/>
          <w:szCs w:val="32"/>
        </w:rPr>
        <w:t>均为财政全额供养人员。</w:t>
      </w:r>
    </w:p>
    <w:p>
      <w:pPr>
        <w:keepNext w:val="0"/>
        <w:keepLines w:val="0"/>
        <w:pageBreakBefore w:val="0"/>
        <w:widowControl w:val="0"/>
        <w:numPr>
          <w:ilvl w:val="0"/>
          <w:numId w:val="5"/>
        </w:numPr>
        <w:kinsoku/>
        <w:wordWrap/>
        <w:overflowPunct/>
        <w:topLinePunct w:val="0"/>
        <w:autoSpaceDE/>
        <w:autoSpaceDN/>
        <w:bidi w:val="0"/>
        <w:adjustRightInd w:val="0"/>
        <w:snapToGrid w:val="0"/>
        <w:spacing w:line="576" w:lineRule="exact"/>
        <w:ind w:left="0" w:leftChars="0" w:right="0" w:firstLine="640" w:firstLineChars="200"/>
        <w:contextualSpacing/>
        <w:jc w:val="both"/>
        <w:textAlignment w:val="auto"/>
        <w:rPr>
          <w:rFonts w:hint="default" w:ascii="Times New Roman" w:hAnsi="Times New Roman" w:eastAsia="楷体_GB2312" w:cs="Times New Roman"/>
          <w:b w:val="0"/>
          <w:bCs w:val="0"/>
          <w:color w:val="auto"/>
          <w:kern w:val="0"/>
          <w:sz w:val="32"/>
          <w:szCs w:val="32"/>
          <w:highlight w:val="none"/>
          <w:shd w:val="clear" w:color="auto" w:fill="FFFFFF"/>
          <w:lang w:val="zh-CN"/>
        </w:rPr>
      </w:pPr>
      <w:r>
        <w:rPr>
          <w:rFonts w:hint="default" w:ascii="Times New Roman" w:hAnsi="Times New Roman" w:eastAsia="楷体_GB2312" w:cs="Times New Roman"/>
          <w:b w:val="0"/>
          <w:bCs w:val="0"/>
          <w:color w:val="auto"/>
          <w:kern w:val="0"/>
          <w:sz w:val="32"/>
          <w:szCs w:val="32"/>
          <w:highlight w:val="none"/>
          <w:shd w:val="clear" w:color="auto" w:fill="FFFFFF"/>
          <w:lang w:val="zh-CN"/>
        </w:rPr>
        <w:t>年度主要工作任务。</w:t>
      </w:r>
    </w:p>
    <w:p>
      <w:pPr>
        <w:pStyle w:val="17"/>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1.学懂弄通做实习近平新时代中国特色社会主义思想。把贯彻落实习近平新时代中国特色社会主义思想作为首要政治任务，从机构职能体系上保障党的全面统一领导更加坚强有力，让党的集中统一领导贯彻到机构编制工作的全方位全过程各方面。</w:t>
      </w:r>
    </w:p>
    <w:p>
      <w:pPr>
        <w:pStyle w:val="17"/>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2.持续学习习近平总书记关于机构编制工作系列重要论述精神。准确把握新时代机构编制工作的战略定位、目标使命、原则导向和任务要求，不断提高政治站位和工作站位，更好发挥参谋助手作用。持续深化机构编制政策法规的学习研究和宣传贯彻，争做机构编制工作“行家里手”。</w:t>
      </w:r>
    </w:p>
    <w:p>
      <w:pPr>
        <w:pStyle w:val="17"/>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3.认真学习贯彻党的二十大和省第十二次党代会精神。党的二十大和省第十二次党代会召开后，要迅速掀起学习贯彻热潮，持续深化机构编制部门的政治属性。</w:t>
      </w:r>
    </w:p>
    <w:p>
      <w:pPr>
        <w:pStyle w:val="17"/>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4.不断完善加强党的全面领导的制度安排。围绕坚持和加强党的全面领导，进一步理顺设在有关部门的区级议事协调机构、办事机构与所在部门的关系，研究完善、充分发挥体制机制优势。</w:t>
      </w:r>
    </w:p>
    <w:p>
      <w:pPr>
        <w:pStyle w:val="17"/>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5.服务保障区第八次党代会决策部署。围绕区委“生态立区、工业强区、文旅兴区、创新活区”总战略，“两翼两带一片”总布局，聚力“四城新区”建设，科学配置职能职责、统筹推进机构设置、用好用活编制资源。</w:t>
      </w:r>
    </w:p>
    <w:p>
      <w:pPr>
        <w:pStyle w:val="17"/>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6.持续抓好“三定”规定制定修订和组织实施工作。跟踪了解部门（单位）“三定”规定执行情况，对应省、市部门“三定” 修订情况，对区级部门沿用多年、部门职责任务发生重大调整的“三定”规定予以修订。</w:t>
      </w:r>
    </w:p>
    <w:p>
      <w:pPr>
        <w:pStyle w:val="17"/>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7.做深做实调查研究。</w:t>
      </w:r>
      <w:r>
        <w:rPr>
          <w:rFonts w:hint="eastAsia" w:ascii="Times New Roman" w:eastAsia="仿宋_GB2312" w:cs="Times New Roman"/>
          <w:color w:val="auto"/>
          <w:kern w:val="2"/>
          <w:sz w:val="32"/>
          <w:szCs w:val="32"/>
          <w:lang w:val="en-US" w:eastAsia="zh-CN" w:bidi="ar-SA"/>
        </w:rPr>
        <w:t>以</w:t>
      </w:r>
      <w:r>
        <w:rPr>
          <w:rFonts w:hint="default" w:ascii="Times New Roman" w:hAnsi="Times New Roman" w:eastAsia="仿宋_GB2312" w:cs="Times New Roman"/>
          <w:color w:val="auto"/>
          <w:kern w:val="2"/>
          <w:sz w:val="32"/>
          <w:szCs w:val="32"/>
          <w:lang w:val="en-US" w:eastAsia="zh-CN" w:bidi="ar-SA"/>
        </w:rPr>
        <w:t>坚持</w:t>
      </w:r>
      <w:r>
        <w:rPr>
          <w:rFonts w:hint="eastAsia" w:ascii="Times New Roman" w:eastAsia="仿宋_GB2312" w:cs="Times New Roman"/>
          <w:color w:val="auto"/>
          <w:kern w:val="2"/>
          <w:sz w:val="32"/>
          <w:szCs w:val="32"/>
          <w:lang w:val="en-US" w:eastAsia="zh-CN" w:bidi="ar-SA"/>
        </w:rPr>
        <w:t>和</w:t>
      </w:r>
      <w:r>
        <w:rPr>
          <w:rFonts w:hint="default" w:ascii="Times New Roman" w:hAnsi="Times New Roman" w:eastAsia="仿宋_GB2312" w:cs="Times New Roman"/>
          <w:color w:val="auto"/>
          <w:kern w:val="2"/>
          <w:sz w:val="32"/>
          <w:szCs w:val="32"/>
          <w:lang w:val="en-US" w:eastAsia="zh-CN" w:bidi="ar-SA"/>
        </w:rPr>
        <w:t>加强党的全面领导为重点、以推进基层治理体系和治理能力现代化为导向，以落实机构职能体系优化协同高效为着力点，聚焦全区中心大局和制约、影响高质量发展突出问题开展调查研究，形成一批适应改革发展要求、有理论深度和指导作用的调查研究成果。</w:t>
      </w:r>
    </w:p>
    <w:p>
      <w:pPr>
        <w:pStyle w:val="17"/>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8.持续做好两项改革“后半篇”文章机构编制保障工作。围绕国土空间规划调整，加快建立与片区经济发展相匹配的编制资源动态调整体系，全面推动编制资源向中心镇聚集。</w:t>
      </w:r>
    </w:p>
    <w:p>
      <w:pPr>
        <w:pStyle w:val="17"/>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9.持续深化综合行政执法改革。继续对行政执法队伍锁定的编制严格管理，持续深化区镇两级综合执法改革。扎实开展综合执法改革后续跟踪调研，进一步推动区级综合执法部门相对集中行使执法权，健全完善综合执法机构和相关行业管理部门协作配合机制。</w:t>
      </w:r>
    </w:p>
    <w:p>
      <w:pPr>
        <w:pStyle w:val="17"/>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10.持续深化权责清单制度建设。有序推动《四川省赋予乡镇（街道）县级行政权力事项指导目录（第二批）》落实落地，按照省市部署推进向区行政审批局和区综合行政执法局赋权，理顺审批监管执法关系。</w:t>
      </w:r>
    </w:p>
    <w:p>
      <w:pPr>
        <w:pStyle w:val="17"/>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11.稳步推进事业单位改革。按照中央、省、市统一部署，积极做好深化事业单位改革相关工作。聚焦相关行业领域事业单位 管理突出问题，推动“行业大块” “用编大户”改革，整合重复设置、职责交叉、职能相近事业单位，厘清职责边界，强化事业单位公益属性。持续推进事业单位分类改革，积极推进公益二类事业单位政府购买服务改革。</w:t>
      </w:r>
    </w:p>
    <w:p>
      <w:pPr>
        <w:pStyle w:val="17"/>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12.深化开发区管理体制改革创新。围绕“工业强区”发展思路和“一区三园”总体布局，积极配合做好昭化经开区扩区调位工作，进一步调整规范开发区（园区）管理机构设置，优化完善管理考核指标，持续跟踪了解开发区（园区）管理运行情况。</w:t>
      </w:r>
    </w:p>
    <w:p>
      <w:pPr>
        <w:pStyle w:val="17"/>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13.深化重点行业领域体制机制改革。持续深化纪检监察派 驻机构、公安机关、国家安全、国防动员、疾病预防控制、消防安全基层治理试点体系体制改革，不断完善应急管理、安全生产等领域职责分工，厘清与重点领域、新行业、新业态有关的部门安全监管职责边界。</w:t>
      </w:r>
    </w:p>
    <w:p>
      <w:pPr>
        <w:pStyle w:val="17"/>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14.争取上级更多的政策红利。围绕全区机构编制现状，瞄准市内同类机构各县区不同规格和重点单位无科级事业机构的实际，加强对接汇报，进一步做大我区编制资源总量，保障重点部门岗位编制需求。</w:t>
      </w:r>
    </w:p>
    <w:p>
      <w:pPr>
        <w:pStyle w:val="17"/>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15.强化编制总量管理。继续落实“过紧日子”的要求，加大机构编制内部挖潜创新力度，推动机构编制资源集约利用。按照事业发展需要科学配置编制资源。</w:t>
      </w:r>
    </w:p>
    <w:p>
      <w:pPr>
        <w:pStyle w:val="17"/>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16.健全编制动态调整长效机制。加强对部门履职情况的监 测分析，持续探索统筹使用各类编制资源的有效途径，推动编制 资源跨部门、按要求跨层级动态调整。</w:t>
      </w:r>
    </w:p>
    <w:p>
      <w:pPr>
        <w:pStyle w:val="17"/>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17.深化机构编制管理评估工作。按照省市统一部署，适时探索开展机构编制执行情况和使用效益评估试点，合理设置、调整优化符合本地实际的评估指标体系，完善评估流程和方法步骤，推进机构编制申请事项、执行情况、使用效益评估。持续强化评估结果应用，作为改进机构编制管理统筹使用和优化配置、动态调整编制资源的重要依据，进一步提升机构编制使用效益。</w:t>
      </w:r>
    </w:p>
    <w:p>
      <w:pPr>
        <w:pStyle w:val="17"/>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18.加强机构编制实名制管理。加强机构编制数字化建设， 拓展机构编制大数据应用。抓好机构编制实名制管理台账完善及应用，增强实名制数据运用实效。探索</w:t>
      </w:r>
      <w:r>
        <w:rPr>
          <w:rFonts w:hint="eastAsia" w:ascii="Times New Roman" w:eastAsia="仿宋_GB2312" w:cs="Times New Roman"/>
          <w:color w:val="auto"/>
          <w:kern w:val="2"/>
          <w:sz w:val="32"/>
          <w:szCs w:val="32"/>
          <w:lang w:val="en-US" w:eastAsia="zh-CN" w:bidi="ar-SA"/>
        </w:rPr>
        <w:t>线</w:t>
      </w:r>
      <w:r>
        <w:rPr>
          <w:rFonts w:hint="default" w:ascii="Times New Roman" w:hAnsi="Times New Roman" w:eastAsia="仿宋_GB2312" w:cs="Times New Roman"/>
          <w:color w:val="auto"/>
          <w:kern w:val="2"/>
          <w:sz w:val="32"/>
          <w:szCs w:val="32"/>
          <w:lang w:val="en-US" w:eastAsia="zh-CN" w:bidi="ar-SA"/>
        </w:rPr>
        <w:t>上下编“不见面”办理试点。不断完善实名制管理制度，进一步强化编制使用计划、核编登记等措施，严控财政供养人员增长。</w:t>
      </w:r>
    </w:p>
    <w:p>
      <w:pPr>
        <w:pStyle w:val="17"/>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19.持续优化事业单位登记管理服务。健全完善事业单位事中事后联动监管工作机制，严格实施事业单位法人年度报告公示制度，开展“双随机、一公开”信息抽查工作。持续做好全区党政群机关及事业单位统一社会信用代码赋码颁证、事业单位中文域名管理和网站挂</w:t>
      </w:r>
      <w:r>
        <w:rPr>
          <w:rFonts w:hint="eastAsia" w:ascii="Times New Roman" w:eastAsia="仿宋_GB2312" w:cs="Times New Roman"/>
          <w:color w:val="auto"/>
          <w:kern w:val="2"/>
          <w:sz w:val="32"/>
          <w:szCs w:val="32"/>
          <w:lang w:val="en-US" w:eastAsia="zh-CN" w:bidi="ar-SA"/>
        </w:rPr>
        <w:t>牌</w:t>
      </w:r>
      <w:r>
        <w:rPr>
          <w:rFonts w:hint="default" w:ascii="Times New Roman" w:hAnsi="Times New Roman" w:eastAsia="仿宋_GB2312" w:cs="Times New Roman"/>
          <w:color w:val="auto"/>
          <w:kern w:val="2"/>
          <w:sz w:val="32"/>
          <w:szCs w:val="32"/>
          <w:lang w:val="en-US" w:eastAsia="zh-CN" w:bidi="ar-SA"/>
        </w:rPr>
        <w:t>清理规范工作。</w:t>
      </w:r>
    </w:p>
    <w:p>
      <w:pPr>
        <w:pStyle w:val="17"/>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20.抓好机构编制法规制度落实。认真贯彻《中国共产党机构编制工作条例》及《四川省贯彻〈中国共产党机构编制工作条例〉实施办法》，严格执行机构编制重要事项请示报告制度，强化请示报告主体责任。</w:t>
      </w:r>
    </w:p>
    <w:p>
      <w:pPr>
        <w:pStyle w:val="17"/>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21.健全完善机构编制配套流程制度。抓好机构编制配套流程制度体系建设，统筹推进“立改废释”工作。推行机构编制重大决策论证咨询制度，进一步规范重大改革政策出台前社会稳定风险评估流程。</w:t>
      </w:r>
    </w:p>
    <w:p>
      <w:pPr>
        <w:pStyle w:val="17"/>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22.加强机构编制监督检查。开展“条条干预”专项整治工作。持续加强议事协调机构监督管理。强化机构编制监督检查力度和反馈问题整改与目标考核挂钩制度。常态化做好12310的举报受理工作。</w:t>
      </w:r>
    </w:p>
    <w:p>
      <w:pPr>
        <w:pStyle w:val="17"/>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23.坚持把政治建设摆在首位，加快推动服务效能全面提升。</w:t>
      </w:r>
    </w:p>
    <w:p>
      <w:pPr>
        <w:keepNext w:val="0"/>
        <w:keepLines w:val="0"/>
        <w:pageBreakBefore w:val="0"/>
        <w:widowControl w:val="0"/>
        <w:kinsoku/>
        <w:wordWrap/>
        <w:overflowPunct/>
        <w:topLinePunct w:val="0"/>
        <w:autoSpaceDE/>
        <w:autoSpaceDN/>
        <w:bidi w:val="0"/>
        <w:adjustRightInd w:val="0"/>
        <w:snapToGrid w:val="0"/>
        <w:spacing w:line="576" w:lineRule="exact"/>
        <w:ind w:left="0" w:right="0" w:firstLine="640" w:firstLineChars="200"/>
        <w:contextualSpacing/>
        <w:jc w:val="both"/>
        <w:textAlignment w:val="auto"/>
        <w:rPr>
          <w:rFonts w:hint="default" w:ascii="Times New Roman" w:hAnsi="Times New Roman" w:eastAsia="楷体_GB2312" w:cs="Times New Roman"/>
          <w:b w:val="0"/>
          <w:bCs w:val="0"/>
          <w:color w:val="auto"/>
          <w:kern w:val="0"/>
          <w:sz w:val="32"/>
          <w:szCs w:val="32"/>
          <w:highlight w:val="none"/>
          <w:shd w:val="clear" w:color="auto" w:fill="FFFFFF"/>
          <w:lang w:val="zh-CN"/>
        </w:rPr>
      </w:pPr>
      <w:r>
        <w:rPr>
          <w:rFonts w:hint="default" w:ascii="Times New Roman" w:hAnsi="Times New Roman" w:eastAsia="楷体_GB2312" w:cs="Times New Roman"/>
          <w:b w:val="0"/>
          <w:bCs w:val="0"/>
          <w:color w:val="auto"/>
          <w:kern w:val="0"/>
          <w:sz w:val="32"/>
          <w:szCs w:val="32"/>
          <w:highlight w:val="none"/>
          <w:shd w:val="clear" w:color="auto" w:fill="FFFFFF"/>
          <w:lang w:val="zh-CN"/>
        </w:rPr>
        <w:t>（四）部门整体支出绩效目标。</w:t>
      </w:r>
    </w:p>
    <w:p>
      <w:pPr>
        <w:keepNext w:val="0"/>
        <w:keepLines w:val="0"/>
        <w:pageBreakBefore w:val="0"/>
        <w:widowControl w:val="0"/>
        <w:kinsoku/>
        <w:wordWrap/>
        <w:overflowPunct w:val="0"/>
        <w:topLinePunct w:val="0"/>
        <w:bidi w:val="0"/>
        <w:adjustRightInd w:val="0"/>
        <w:snapToGrid w:val="0"/>
        <w:spacing w:line="576" w:lineRule="exact"/>
        <w:ind w:left="0" w:leftChars="0" w:firstLine="640" w:firstLineChars="200"/>
        <w:contextualSpacing/>
        <w:jc w:val="both"/>
        <w:textAlignment w:val="auto"/>
        <w:outlineLvl w:val="9"/>
        <w:rPr>
          <w:rFonts w:hint="eastAsia"/>
          <w:b w:val="0"/>
          <w:bCs w:val="0"/>
          <w:color w:val="0000FF"/>
          <w:spacing w:val="0"/>
          <w:lang w:val="zh-CN"/>
        </w:rPr>
      </w:pPr>
      <w:r>
        <w:rPr>
          <w:rFonts w:hint="eastAsia" w:ascii="仿宋" w:hAnsi="仿宋" w:eastAsia="仿宋_GB2312" w:cs="仿宋"/>
          <w:b w:val="0"/>
          <w:bCs w:val="0"/>
          <w:color w:val="000000" w:themeColor="text1"/>
          <w:spacing w:val="0"/>
          <w:kern w:val="0"/>
          <w:sz w:val="32"/>
          <w:szCs w:val="32"/>
          <w:highlight w:val="none"/>
          <w:shd w:val="clear" w:color="auto" w:fill="FFFFFF"/>
          <w:lang w:val="zh-CN" w:eastAsia="zh-CN"/>
          <w14:textFill>
            <w14:solidFill>
              <w14:schemeClr w14:val="tx1"/>
            </w14:solidFill>
          </w14:textFill>
        </w:rPr>
        <w:t>完成全区机关事业单位中文域名新注册、更新、核销；分类推进扩权赋能，健全完善乡镇机构管理体制，优化调整各镇编制资源，建立动态调整机制。完成其他领域综合行政执法改革，务实推进乡镇综合行政执法改革工作，研制各部门所属事业单位改革方案，规范事业单位工作职责，盘活编制资源。落实事业单位法人公示信息抽查工作；对更新后的事业单位重新登记，每年3月份之前完成上年度年检，并予以公示公告；完善部门清单动态管理机制，做好行政权力事项下放乡镇（街道），整合基层审批服务和执法力量，明确各机构的职能职责，优化各类资源要素配置，提升乡镇公共服务效能，保障机关干部出差、培训、会议等日常工作所需，及时</w:t>
      </w:r>
      <w:r>
        <w:rPr>
          <w:rFonts w:hint="eastAsia" w:ascii="仿宋" w:hAnsi="仿宋" w:eastAsia="仿宋_GB2312" w:cs="仿宋"/>
          <w:b w:val="0"/>
          <w:bCs w:val="0"/>
          <w:color w:val="000000" w:themeColor="text1"/>
          <w:spacing w:val="0"/>
          <w:kern w:val="0"/>
          <w:sz w:val="32"/>
          <w:szCs w:val="32"/>
          <w:highlight w:val="none"/>
          <w:shd w:val="clear" w:color="auto" w:fill="FFFFFF"/>
          <w:lang w:val="zh-CN"/>
          <w14:textFill>
            <w14:solidFill>
              <w14:schemeClr w14:val="tx1"/>
            </w14:solidFill>
          </w14:textFill>
        </w:rPr>
        <w:t>完成区委区政府下达的各类年度目标任务，做好机构编制昭化品牌。</w:t>
      </w:r>
    </w:p>
    <w:p>
      <w:pPr>
        <w:keepNext w:val="0"/>
        <w:keepLines w:val="0"/>
        <w:pageBreakBefore w:val="0"/>
        <w:widowControl w:val="0"/>
        <w:kinsoku/>
        <w:wordWrap/>
        <w:overflowPunct/>
        <w:topLinePunct w:val="0"/>
        <w:autoSpaceDE/>
        <w:autoSpaceDN/>
        <w:bidi w:val="0"/>
        <w:adjustRightInd w:val="0"/>
        <w:snapToGrid w:val="0"/>
        <w:spacing w:line="576" w:lineRule="exact"/>
        <w:ind w:left="0" w:right="0" w:firstLine="640" w:firstLineChars="200"/>
        <w:contextualSpacing/>
        <w:jc w:val="both"/>
        <w:textAlignment w:val="auto"/>
        <w:rPr>
          <w:rFonts w:hint="default" w:ascii="Times New Roman" w:hAnsi="Times New Roman" w:eastAsia="黑体" w:cs="Times New Roman"/>
          <w:color w:val="auto"/>
          <w:kern w:val="0"/>
          <w:sz w:val="32"/>
          <w:szCs w:val="32"/>
          <w:highlight w:val="none"/>
          <w:shd w:val="clear" w:color="auto" w:fill="FFFFFF"/>
        </w:rPr>
      </w:pPr>
      <w:r>
        <w:rPr>
          <w:rFonts w:hint="default" w:ascii="Times New Roman" w:hAnsi="Times New Roman" w:eastAsia="黑体" w:cs="Times New Roman"/>
          <w:color w:val="auto"/>
          <w:kern w:val="0"/>
          <w:sz w:val="32"/>
          <w:szCs w:val="32"/>
          <w:highlight w:val="none"/>
          <w:shd w:val="clear" w:color="auto" w:fill="FFFFFF"/>
        </w:rPr>
        <w:t>二、</w:t>
      </w:r>
      <w:r>
        <w:rPr>
          <w:rFonts w:hint="default" w:ascii="Times New Roman" w:hAnsi="Times New Roman" w:eastAsia="黑体" w:cs="Times New Roman"/>
          <w:color w:val="auto"/>
          <w:kern w:val="0"/>
          <w:sz w:val="32"/>
          <w:szCs w:val="32"/>
          <w:highlight w:val="none"/>
          <w:shd w:val="clear" w:color="auto" w:fill="FFFFFF"/>
          <w:lang w:eastAsia="zh-CN"/>
        </w:rPr>
        <w:t>部门</w:t>
      </w:r>
      <w:r>
        <w:rPr>
          <w:rFonts w:hint="default" w:ascii="Times New Roman" w:hAnsi="Times New Roman" w:eastAsia="黑体" w:cs="Times New Roman"/>
          <w:color w:val="auto"/>
          <w:kern w:val="0"/>
          <w:sz w:val="32"/>
          <w:szCs w:val="32"/>
          <w:highlight w:val="none"/>
          <w:shd w:val="clear" w:color="auto" w:fill="FFFFFF"/>
        </w:rPr>
        <w:t>资金收支情况</w:t>
      </w:r>
    </w:p>
    <w:p>
      <w:pPr>
        <w:keepNext w:val="0"/>
        <w:keepLines w:val="0"/>
        <w:pageBreakBefore w:val="0"/>
        <w:widowControl w:val="0"/>
        <w:kinsoku/>
        <w:wordWrap/>
        <w:overflowPunct/>
        <w:topLinePunct w:val="0"/>
        <w:autoSpaceDE/>
        <w:autoSpaceDN/>
        <w:bidi w:val="0"/>
        <w:adjustRightInd w:val="0"/>
        <w:snapToGrid w:val="0"/>
        <w:spacing w:line="576" w:lineRule="exact"/>
        <w:ind w:left="0" w:right="0" w:firstLine="640" w:firstLineChars="200"/>
        <w:contextualSpacing/>
        <w:jc w:val="both"/>
        <w:textAlignment w:val="auto"/>
        <w:rPr>
          <w:rFonts w:hint="default" w:ascii="Times New Roman" w:hAnsi="Times New Roman" w:eastAsia="楷体_GB2312" w:cs="Times New Roman"/>
          <w:b w:val="0"/>
          <w:bCs w:val="0"/>
          <w:color w:val="auto"/>
          <w:kern w:val="0"/>
          <w:sz w:val="32"/>
          <w:szCs w:val="32"/>
          <w:highlight w:val="none"/>
          <w:shd w:val="clear" w:color="auto" w:fill="FFFFFF"/>
          <w:lang w:val="zh-CN"/>
        </w:rPr>
      </w:pPr>
      <w:r>
        <w:rPr>
          <w:rFonts w:hint="default" w:ascii="Times New Roman" w:hAnsi="Times New Roman" w:eastAsia="楷体_GB2312" w:cs="Times New Roman"/>
          <w:b w:val="0"/>
          <w:bCs w:val="0"/>
          <w:color w:val="auto"/>
          <w:kern w:val="0"/>
          <w:sz w:val="32"/>
          <w:szCs w:val="32"/>
          <w:highlight w:val="none"/>
          <w:shd w:val="clear" w:color="auto" w:fill="FFFFFF"/>
          <w:lang w:val="zh-CN"/>
        </w:rPr>
        <w:t>（一）部门总体收支情况。</w:t>
      </w: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rPr>
          <w:rFonts w:hint="default" w:ascii="Times New Roman" w:hAnsi="Times New Roman" w:eastAsia="仿宋_GB2312" w:cs="Times New Roman"/>
          <w:b w:val="0"/>
          <w:bCs w:val="0"/>
          <w:color w:val="auto"/>
          <w:kern w:val="0"/>
          <w:sz w:val="32"/>
          <w:szCs w:val="32"/>
          <w:highlight w:val="none"/>
          <w:shd w:val="clear" w:color="auto" w:fill="FFFFFF"/>
          <w:lang w:val="en-US" w:eastAsia="zh-CN"/>
        </w:rPr>
      </w:pPr>
      <w:r>
        <w:rPr>
          <w:rFonts w:hint="default" w:ascii="Times New Roman" w:hAnsi="Times New Roman" w:eastAsia="仿宋_GB2312" w:cs="Times New Roman"/>
          <w:b w:val="0"/>
          <w:bCs w:val="0"/>
          <w:color w:val="auto"/>
          <w:kern w:val="0"/>
          <w:sz w:val="32"/>
          <w:szCs w:val="32"/>
          <w:highlight w:val="none"/>
          <w:shd w:val="clear" w:color="auto" w:fill="FFFFFF"/>
          <w:lang w:val="en-US" w:eastAsia="zh-CN"/>
        </w:rPr>
        <w:t>1.部门总体收入情况。</w:t>
      </w:r>
      <w:r>
        <w:rPr>
          <w:rFonts w:hint="default" w:ascii="Times New Roman" w:hAnsi="Times New Roman" w:eastAsia="仿宋_GB2312" w:cs="Times New Roman"/>
          <w:color w:val="auto"/>
          <w:kern w:val="2"/>
          <w:sz w:val="32"/>
          <w:szCs w:val="32"/>
          <w:lang w:val="en-US" w:eastAsia="zh-CN" w:bidi="ar-SA"/>
        </w:rPr>
        <w:t>2022年初财政批复预算收入225.2万元（其中：基本支出225.2万元、项目支出0万元）；年度执行中追加人员经费15.77万元，全年收入合计2</w:t>
      </w:r>
      <w:r>
        <w:rPr>
          <w:rFonts w:hint="eastAsia" w:eastAsia="仿宋_GB2312" w:cs="Times New Roman"/>
          <w:color w:val="auto"/>
          <w:kern w:val="2"/>
          <w:sz w:val="32"/>
          <w:szCs w:val="32"/>
          <w:lang w:val="en-US" w:eastAsia="zh-CN" w:bidi="ar-SA"/>
        </w:rPr>
        <w:t>40</w:t>
      </w:r>
      <w:r>
        <w:rPr>
          <w:rFonts w:hint="default" w:ascii="Times New Roman" w:hAnsi="Times New Roman" w:eastAsia="仿宋_GB2312" w:cs="Times New Roman"/>
          <w:color w:val="auto"/>
          <w:kern w:val="2"/>
          <w:sz w:val="32"/>
          <w:szCs w:val="32"/>
          <w:lang w:val="en-US" w:eastAsia="zh-CN" w:bidi="ar-SA"/>
        </w:rPr>
        <w:t>.97万元，其中：一般公共预算财政拨款收入2</w:t>
      </w:r>
      <w:r>
        <w:rPr>
          <w:rFonts w:hint="eastAsia" w:eastAsia="仿宋_GB2312" w:cs="Times New Roman"/>
          <w:color w:val="auto"/>
          <w:kern w:val="2"/>
          <w:sz w:val="32"/>
          <w:szCs w:val="32"/>
          <w:lang w:val="en-US" w:eastAsia="zh-CN" w:bidi="ar-SA"/>
        </w:rPr>
        <w:t>40</w:t>
      </w:r>
      <w:r>
        <w:rPr>
          <w:rFonts w:hint="default" w:ascii="Times New Roman" w:hAnsi="Times New Roman" w:eastAsia="仿宋_GB2312" w:cs="Times New Roman"/>
          <w:color w:val="auto"/>
          <w:kern w:val="2"/>
          <w:sz w:val="32"/>
          <w:szCs w:val="32"/>
          <w:lang w:val="en-US" w:eastAsia="zh-CN" w:bidi="ar-SA"/>
        </w:rPr>
        <w:t>.97万元，占100%。</w:t>
      </w:r>
    </w:p>
    <w:p>
      <w:pPr>
        <w:keepNext w:val="0"/>
        <w:keepLines w:val="0"/>
        <w:pageBreakBefore w:val="0"/>
        <w:widowControl w:val="0"/>
        <w:kinsoku/>
        <w:wordWrap/>
        <w:overflowPunct/>
        <w:topLinePunct w:val="0"/>
        <w:autoSpaceDE/>
        <w:autoSpaceDN/>
        <w:bidi w:val="0"/>
        <w:adjustRightInd w:val="0"/>
        <w:snapToGrid w:val="0"/>
        <w:spacing w:line="576" w:lineRule="exact"/>
        <w:ind w:left="0" w:right="0" w:firstLine="640" w:firstLineChars="200"/>
        <w:contextualSpacing/>
        <w:jc w:val="both"/>
        <w:textAlignment w:val="auto"/>
        <w:rPr>
          <w:rFonts w:hint="default" w:ascii="Times New Roman" w:hAnsi="Times New Roman" w:eastAsia="仿宋_GB2312" w:cs="Times New Roman"/>
          <w:b w:val="0"/>
          <w:bCs w:val="0"/>
          <w:color w:val="auto"/>
          <w:kern w:val="0"/>
          <w:sz w:val="32"/>
          <w:szCs w:val="32"/>
          <w:highlight w:val="none"/>
          <w:shd w:val="clear" w:color="auto" w:fill="FFFFFF"/>
          <w:lang w:val="en-US" w:eastAsia="zh-CN"/>
        </w:rPr>
      </w:pPr>
      <w:r>
        <w:rPr>
          <w:rFonts w:hint="default" w:ascii="Times New Roman" w:hAnsi="Times New Roman" w:eastAsia="仿宋_GB2312" w:cs="Times New Roman"/>
          <w:b w:val="0"/>
          <w:bCs w:val="0"/>
          <w:color w:val="auto"/>
          <w:kern w:val="0"/>
          <w:sz w:val="32"/>
          <w:szCs w:val="32"/>
          <w:highlight w:val="none"/>
          <w:shd w:val="clear" w:color="auto" w:fill="FFFFFF"/>
          <w:lang w:val="en-US" w:eastAsia="zh-CN"/>
        </w:rPr>
        <w:t>2.部门总体支出情况，</w:t>
      </w: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rPr>
          <w:rFonts w:hint="default" w:ascii="Times New Roman" w:hAnsi="Times New Roman" w:cs="Times New Roman"/>
          <w:lang w:val="en-US" w:eastAsia="zh-CN"/>
        </w:rPr>
      </w:pPr>
      <w:r>
        <w:rPr>
          <w:rFonts w:hint="default" w:ascii="Times New Roman" w:hAnsi="Times New Roman" w:eastAsia="仿宋_GB2312" w:cs="Times New Roman"/>
          <w:color w:val="auto"/>
          <w:kern w:val="2"/>
          <w:sz w:val="32"/>
          <w:szCs w:val="32"/>
          <w:lang w:val="en-US" w:eastAsia="zh-CN" w:bidi="ar-SA"/>
        </w:rPr>
        <w:t>2022年度本年支出合计2</w:t>
      </w:r>
      <w:r>
        <w:rPr>
          <w:rFonts w:hint="eastAsia" w:eastAsia="仿宋_GB2312" w:cs="Times New Roman"/>
          <w:color w:val="auto"/>
          <w:kern w:val="2"/>
          <w:sz w:val="32"/>
          <w:szCs w:val="32"/>
          <w:lang w:val="en-US" w:eastAsia="zh-CN" w:bidi="ar-SA"/>
        </w:rPr>
        <w:t>40</w:t>
      </w:r>
      <w:r>
        <w:rPr>
          <w:rFonts w:hint="default" w:ascii="Times New Roman" w:hAnsi="Times New Roman" w:eastAsia="仿宋_GB2312" w:cs="Times New Roman"/>
          <w:color w:val="auto"/>
          <w:kern w:val="2"/>
          <w:sz w:val="32"/>
          <w:szCs w:val="32"/>
          <w:lang w:val="en-US" w:eastAsia="zh-CN" w:bidi="ar-SA"/>
        </w:rPr>
        <w:t>.97万元，其中：基本支出2</w:t>
      </w:r>
      <w:r>
        <w:rPr>
          <w:rFonts w:hint="eastAsia" w:eastAsia="仿宋_GB2312" w:cs="Times New Roman"/>
          <w:color w:val="auto"/>
          <w:kern w:val="2"/>
          <w:sz w:val="32"/>
          <w:szCs w:val="32"/>
          <w:lang w:val="en-US" w:eastAsia="zh-CN" w:bidi="ar-SA"/>
        </w:rPr>
        <w:t>40</w:t>
      </w:r>
      <w:r>
        <w:rPr>
          <w:rFonts w:hint="default" w:ascii="Times New Roman" w:hAnsi="Times New Roman" w:eastAsia="仿宋_GB2312" w:cs="Times New Roman"/>
          <w:color w:val="auto"/>
          <w:kern w:val="2"/>
          <w:sz w:val="32"/>
          <w:szCs w:val="32"/>
          <w:lang w:val="en-US" w:eastAsia="zh-CN" w:bidi="ar-SA"/>
        </w:rPr>
        <w:t>.97万元，占100%，项目支出0万元。</w:t>
      </w:r>
    </w:p>
    <w:p>
      <w:pPr>
        <w:keepNext w:val="0"/>
        <w:keepLines w:val="0"/>
        <w:pageBreakBefore w:val="0"/>
        <w:widowControl w:val="0"/>
        <w:kinsoku/>
        <w:wordWrap/>
        <w:overflowPunct/>
        <w:topLinePunct w:val="0"/>
        <w:autoSpaceDE/>
        <w:autoSpaceDN/>
        <w:bidi w:val="0"/>
        <w:adjustRightInd w:val="0"/>
        <w:snapToGrid w:val="0"/>
        <w:spacing w:line="576" w:lineRule="exact"/>
        <w:ind w:left="0" w:right="0" w:firstLine="640" w:firstLineChars="200"/>
        <w:contextualSpacing/>
        <w:jc w:val="both"/>
        <w:textAlignment w:val="auto"/>
        <w:rPr>
          <w:rFonts w:hint="default" w:ascii="Times New Roman" w:hAnsi="Times New Roman" w:eastAsia="仿宋_GB2312" w:cs="Times New Roman"/>
          <w:b w:val="0"/>
          <w:bCs w:val="0"/>
          <w:color w:val="auto"/>
          <w:kern w:val="0"/>
          <w:sz w:val="32"/>
          <w:szCs w:val="32"/>
          <w:highlight w:val="none"/>
          <w:shd w:val="clear" w:color="auto" w:fill="FFFFFF"/>
          <w:lang w:val="en-US" w:eastAsia="zh-CN"/>
        </w:rPr>
      </w:pPr>
      <w:r>
        <w:rPr>
          <w:rFonts w:hint="default" w:ascii="Times New Roman" w:hAnsi="Times New Roman" w:eastAsia="仿宋_GB2312" w:cs="Times New Roman"/>
          <w:b w:val="0"/>
          <w:bCs w:val="0"/>
          <w:color w:val="auto"/>
          <w:kern w:val="0"/>
          <w:sz w:val="32"/>
          <w:szCs w:val="32"/>
          <w:highlight w:val="none"/>
          <w:shd w:val="clear" w:color="auto" w:fill="FFFFFF"/>
          <w:lang w:val="en-US" w:eastAsia="zh-CN"/>
        </w:rPr>
        <w:t>3.部门总体结转结余情况。本年度收支金额平衡，无结转结余。</w:t>
      </w:r>
    </w:p>
    <w:p>
      <w:pPr>
        <w:keepNext w:val="0"/>
        <w:keepLines w:val="0"/>
        <w:pageBreakBefore w:val="0"/>
        <w:widowControl w:val="0"/>
        <w:kinsoku/>
        <w:wordWrap/>
        <w:overflowPunct/>
        <w:topLinePunct w:val="0"/>
        <w:autoSpaceDE/>
        <w:autoSpaceDN/>
        <w:bidi w:val="0"/>
        <w:adjustRightInd w:val="0"/>
        <w:snapToGrid w:val="0"/>
        <w:spacing w:line="576" w:lineRule="exact"/>
        <w:ind w:left="0" w:right="0" w:firstLine="640" w:firstLineChars="200"/>
        <w:contextualSpacing/>
        <w:jc w:val="both"/>
        <w:textAlignment w:val="auto"/>
        <w:rPr>
          <w:rFonts w:hint="default" w:ascii="Times New Roman" w:hAnsi="Times New Roman" w:eastAsia="楷体_GB2312" w:cs="Times New Roman"/>
          <w:b w:val="0"/>
          <w:bCs w:val="0"/>
          <w:color w:val="auto"/>
          <w:kern w:val="0"/>
          <w:sz w:val="32"/>
          <w:szCs w:val="32"/>
          <w:highlight w:val="none"/>
          <w:shd w:val="clear" w:color="auto" w:fill="FFFFFF"/>
          <w:lang w:val="zh-CN"/>
        </w:rPr>
      </w:pPr>
      <w:r>
        <w:rPr>
          <w:rFonts w:hint="default" w:ascii="Times New Roman" w:hAnsi="Times New Roman" w:eastAsia="楷体_GB2312" w:cs="Times New Roman"/>
          <w:b w:val="0"/>
          <w:bCs w:val="0"/>
          <w:color w:val="auto"/>
          <w:kern w:val="0"/>
          <w:sz w:val="32"/>
          <w:szCs w:val="32"/>
          <w:highlight w:val="none"/>
          <w:shd w:val="clear" w:color="auto" w:fill="FFFFFF"/>
          <w:lang w:val="zh-CN"/>
        </w:rPr>
        <w:t>（二）部门财政拨款收支情况。</w:t>
      </w:r>
    </w:p>
    <w:p>
      <w:pPr>
        <w:keepNext w:val="0"/>
        <w:keepLines w:val="0"/>
        <w:pageBreakBefore w:val="0"/>
        <w:widowControl w:val="0"/>
        <w:kinsoku/>
        <w:wordWrap/>
        <w:overflowPunct/>
        <w:topLinePunct w:val="0"/>
        <w:autoSpaceDE/>
        <w:autoSpaceDN/>
        <w:bidi w:val="0"/>
        <w:adjustRightInd w:val="0"/>
        <w:snapToGrid w:val="0"/>
        <w:spacing w:line="576" w:lineRule="exact"/>
        <w:ind w:left="0" w:right="0" w:firstLine="640" w:firstLineChars="200"/>
        <w:contextualSpacing/>
        <w:jc w:val="both"/>
        <w:textAlignment w:val="auto"/>
        <w:rPr>
          <w:rFonts w:hint="default" w:ascii="Times New Roman" w:hAnsi="Times New Roman" w:eastAsia="仿宋_GB2312" w:cs="Times New Roman"/>
          <w:b w:val="0"/>
          <w:bCs w:val="0"/>
          <w:color w:val="auto"/>
          <w:kern w:val="0"/>
          <w:sz w:val="32"/>
          <w:szCs w:val="32"/>
          <w:highlight w:val="none"/>
          <w:shd w:val="clear" w:color="auto" w:fill="FFFFFF"/>
          <w:lang w:val="en-US" w:eastAsia="zh-CN"/>
        </w:rPr>
      </w:pPr>
      <w:r>
        <w:rPr>
          <w:rFonts w:hint="default" w:ascii="Times New Roman" w:hAnsi="Times New Roman" w:eastAsia="仿宋_GB2312" w:cs="Times New Roman"/>
          <w:b w:val="0"/>
          <w:bCs w:val="0"/>
          <w:color w:val="auto"/>
          <w:kern w:val="0"/>
          <w:sz w:val="32"/>
          <w:szCs w:val="32"/>
          <w:highlight w:val="none"/>
          <w:shd w:val="clear" w:color="auto" w:fill="FFFFFF"/>
          <w:lang w:val="en-US" w:eastAsia="zh-CN"/>
        </w:rPr>
        <w:t>1.部门财政拨款收入情况</w:t>
      </w: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rPr>
          <w:rFonts w:hint="default" w:ascii="Times New Roman" w:hAnsi="Times New Roman" w:cs="Times New Roman"/>
          <w:lang w:val="en-US" w:eastAsia="zh-CN"/>
        </w:rPr>
      </w:pPr>
      <w:r>
        <w:rPr>
          <w:rFonts w:hint="default" w:ascii="Times New Roman" w:hAnsi="Times New Roman" w:eastAsia="仿宋_GB2312" w:cs="Times New Roman"/>
          <w:b w:val="0"/>
          <w:bCs w:val="0"/>
          <w:color w:val="auto"/>
          <w:kern w:val="0"/>
          <w:sz w:val="32"/>
          <w:szCs w:val="32"/>
          <w:highlight w:val="none"/>
          <w:shd w:val="clear" w:color="auto" w:fill="FFFFFF"/>
          <w:lang w:val="en-US" w:eastAsia="zh-CN"/>
        </w:rPr>
        <w:t>1.部门总体收入情况。</w:t>
      </w:r>
      <w:r>
        <w:rPr>
          <w:rFonts w:hint="default" w:ascii="Times New Roman" w:hAnsi="Times New Roman" w:eastAsia="仿宋_GB2312" w:cs="Times New Roman"/>
          <w:color w:val="auto"/>
          <w:kern w:val="2"/>
          <w:sz w:val="32"/>
          <w:szCs w:val="32"/>
          <w:lang w:val="en-US" w:eastAsia="zh-CN" w:bidi="ar-SA"/>
        </w:rPr>
        <w:t>2022年初财政批复预算收入225.2万元（其中：基本支出225.2万元、项目支出0万元）；年度执行中追加人员经费15.77万元，全年收入合计2</w:t>
      </w:r>
      <w:r>
        <w:rPr>
          <w:rFonts w:hint="eastAsia" w:eastAsia="仿宋_GB2312" w:cs="Times New Roman"/>
          <w:color w:val="auto"/>
          <w:kern w:val="2"/>
          <w:sz w:val="32"/>
          <w:szCs w:val="32"/>
          <w:lang w:val="en-US" w:eastAsia="zh-CN" w:bidi="ar-SA"/>
        </w:rPr>
        <w:t>40</w:t>
      </w:r>
      <w:r>
        <w:rPr>
          <w:rFonts w:hint="default" w:ascii="Times New Roman" w:hAnsi="Times New Roman" w:eastAsia="仿宋_GB2312" w:cs="Times New Roman"/>
          <w:color w:val="auto"/>
          <w:kern w:val="2"/>
          <w:sz w:val="32"/>
          <w:szCs w:val="32"/>
          <w:lang w:val="en-US" w:eastAsia="zh-CN" w:bidi="ar-SA"/>
        </w:rPr>
        <w:t>.97万元，其中：一般公共预算财政拨款收入2</w:t>
      </w:r>
      <w:r>
        <w:rPr>
          <w:rFonts w:hint="eastAsia" w:eastAsia="仿宋_GB2312" w:cs="Times New Roman"/>
          <w:color w:val="auto"/>
          <w:kern w:val="2"/>
          <w:sz w:val="32"/>
          <w:szCs w:val="32"/>
          <w:lang w:val="en-US" w:eastAsia="zh-CN" w:bidi="ar-SA"/>
        </w:rPr>
        <w:t>40</w:t>
      </w:r>
      <w:r>
        <w:rPr>
          <w:rFonts w:hint="default" w:ascii="Times New Roman" w:hAnsi="Times New Roman" w:eastAsia="仿宋_GB2312" w:cs="Times New Roman"/>
          <w:color w:val="auto"/>
          <w:kern w:val="2"/>
          <w:sz w:val="32"/>
          <w:szCs w:val="32"/>
          <w:lang w:val="en-US" w:eastAsia="zh-CN" w:bidi="ar-SA"/>
        </w:rPr>
        <w:t>.97万元，占100%。</w:t>
      </w: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rPr>
          <w:rFonts w:hint="default" w:ascii="Times New Roman" w:hAnsi="Times New Roman" w:eastAsia="仿宋_GB2312" w:cs="Times New Roman"/>
          <w:b w:val="0"/>
          <w:bCs w:val="0"/>
          <w:color w:val="auto"/>
          <w:kern w:val="0"/>
          <w:sz w:val="32"/>
          <w:szCs w:val="32"/>
          <w:highlight w:val="none"/>
          <w:shd w:val="clear" w:color="auto" w:fill="FFFFFF"/>
          <w:lang w:val="en-US" w:eastAsia="zh-CN"/>
        </w:rPr>
      </w:pPr>
      <w:r>
        <w:rPr>
          <w:rFonts w:hint="default" w:ascii="Times New Roman" w:hAnsi="Times New Roman" w:eastAsia="仿宋_GB2312" w:cs="Times New Roman"/>
          <w:b w:val="0"/>
          <w:bCs w:val="0"/>
          <w:color w:val="auto"/>
          <w:kern w:val="0"/>
          <w:sz w:val="32"/>
          <w:szCs w:val="32"/>
          <w:highlight w:val="none"/>
          <w:shd w:val="clear" w:color="auto" w:fill="FFFFFF"/>
          <w:lang w:val="en-US" w:eastAsia="zh-CN"/>
        </w:rPr>
        <w:t>2.部门财政拨款支出情况。</w:t>
      </w:r>
      <w:r>
        <w:rPr>
          <w:rFonts w:hint="default" w:ascii="Times New Roman" w:hAnsi="Times New Roman" w:eastAsia="仿宋_GB2312" w:cs="Times New Roman"/>
          <w:color w:val="auto"/>
          <w:kern w:val="2"/>
          <w:sz w:val="32"/>
          <w:szCs w:val="32"/>
          <w:lang w:val="en-US" w:eastAsia="zh-CN" w:bidi="ar-SA"/>
        </w:rPr>
        <w:t>2022年度本年支出合计2</w:t>
      </w:r>
      <w:r>
        <w:rPr>
          <w:rFonts w:hint="eastAsia" w:eastAsia="仿宋_GB2312" w:cs="Times New Roman"/>
          <w:color w:val="auto"/>
          <w:kern w:val="2"/>
          <w:sz w:val="32"/>
          <w:szCs w:val="32"/>
          <w:lang w:val="en-US" w:eastAsia="zh-CN" w:bidi="ar-SA"/>
        </w:rPr>
        <w:t>40</w:t>
      </w:r>
      <w:r>
        <w:rPr>
          <w:rFonts w:hint="default" w:ascii="Times New Roman" w:hAnsi="Times New Roman" w:eastAsia="仿宋_GB2312" w:cs="Times New Roman"/>
          <w:color w:val="auto"/>
          <w:kern w:val="2"/>
          <w:sz w:val="32"/>
          <w:szCs w:val="32"/>
          <w:lang w:val="en-US" w:eastAsia="zh-CN" w:bidi="ar-SA"/>
        </w:rPr>
        <w:t>.97万元，其中：基本支出2</w:t>
      </w:r>
      <w:r>
        <w:rPr>
          <w:rFonts w:hint="eastAsia" w:eastAsia="仿宋_GB2312" w:cs="Times New Roman"/>
          <w:color w:val="auto"/>
          <w:kern w:val="2"/>
          <w:sz w:val="32"/>
          <w:szCs w:val="32"/>
          <w:lang w:val="en-US" w:eastAsia="zh-CN" w:bidi="ar-SA"/>
        </w:rPr>
        <w:t>40</w:t>
      </w:r>
      <w:r>
        <w:rPr>
          <w:rFonts w:hint="default" w:ascii="Times New Roman" w:hAnsi="Times New Roman" w:eastAsia="仿宋_GB2312" w:cs="Times New Roman"/>
          <w:color w:val="auto"/>
          <w:kern w:val="2"/>
          <w:sz w:val="32"/>
          <w:szCs w:val="32"/>
          <w:lang w:val="en-US" w:eastAsia="zh-CN" w:bidi="ar-SA"/>
        </w:rPr>
        <w:t>.97万元，占100%，项目支出0万元。</w:t>
      </w:r>
    </w:p>
    <w:p>
      <w:pPr>
        <w:keepNext w:val="0"/>
        <w:keepLines w:val="0"/>
        <w:pageBreakBefore w:val="0"/>
        <w:widowControl w:val="0"/>
        <w:kinsoku/>
        <w:wordWrap/>
        <w:overflowPunct/>
        <w:topLinePunct w:val="0"/>
        <w:autoSpaceDE/>
        <w:autoSpaceDN/>
        <w:bidi w:val="0"/>
        <w:adjustRightInd w:val="0"/>
        <w:snapToGrid w:val="0"/>
        <w:spacing w:line="576" w:lineRule="exact"/>
        <w:ind w:left="0" w:right="0" w:firstLine="640" w:firstLineChars="200"/>
        <w:contextualSpacing/>
        <w:jc w:val="both"/>
        <w:textAlignment w:val="auto"/>
        <w:rPr>
          <w:rFonts w:hint="default" w:ascii="Times New Roman" w:hAnsi="Times New Roman" w:eastAsia="仿宋_GB2312" w:cs="Times New Roman"/>
          <w:b w:val="0"/>
          <w:bCs w:val="0"/>
          <w:color w:val="auto"/>
          <w:kern w:val="0"/>
          <w:sz w:val="32"/>
          <w:szCs w:val="32"/>
          <w:highlight w:val="none"/>
          <w:shd w:val="clear" w:color="auto" w:fill="FFFFFF"/>
          <w:lang w:val="en-US" w:eastAsia="zh-CN"/>
        </w:rPr>
      </w:pPr>
      <w:r>
        <w:rPr>
          <w:rFonts w:hint="default" w:ascii="Times New Roman" w:hAnsi="Times New Roman" w:eastAsia="仿宋_GB2312" w:cs="Times New Roman"/>
          <w:b w:val="0"/>
          <w:bCs w:val="0"/>
          <w:color w:val="auto"/>
          <w:kern w:val="0"/>
          <w:sz w:val="32"/>
          <w:szCs w:val="32"/>
          <w:highlight w:val="none"/>
          <w:shd w:val="clear" w:color="auto" w:fill="FFFFFF"/>
          <w:lang w:val="en-US" w:eastAsia="zh-CN"/>
        </w:rPr>
        <w:t>3.部门财政拨款结转结余情况。本年度收支金额平衡，无结转结余。</w:t>
      </w:r>
    </w:p>
    <w:p>
      <w:pPr>
        <w:keepNext w:val="0"/>
        <w:keepLines w:val="0"/>
        <w:pageBreakBefore w:val="0"/>
        <w:widowControl w:val="0"/>
        <w:kinsoku/>
        <w:wordWrap/>
        <w:overflowPunct/>
        <w:topLinePunct w:val="0"/>
        <w:autoSpaceDE/>
        <w:autoSpaceDN/>
        <w:bidi w:val="0"/>
        <w:adjustRightInd w:val="0"/>
        <w:snapToGrid w:val="0"/>
        <w:spacing w:line="576" w:lineRule="exact"/>
        <w:ind w:left="0" w:right="0" w:firstLine="640" w:firstLineChars="200"/>
        <w:contextualSpacing/>
        <w:jc w:val="both"/>
        <w:textAlignment w:val="auto"/>
        <w:rPr>
          <w:rFonts w:hint="default" w:ascii="Times New Roman" w:hAnsi="Times New Roman" w:eastAsia="黑体" w:cs="Times New Roman"/>
          <w:color w:val="auto"/>
          <w:kern w:val="0"/>
          <w:sz w:val="32"/>
          <w:szCs w:val="32"/>
          <w:highlight w:val="none"/>
          <w:shd w:val="clear" w:color="auto" w:fill="FFFFFF"/>
        </w:rPr>
      </w:pPr>
      <w:r>
        <w:rPr>
          <w:rFonts w:hint="default" w:ascii="Times New Roman" w:hAnsi="Times New Roman" w:eastAsia="黑体" w:cs="Times New Roman"/>
          <w:color w:val="auto"/>
          <w:kern w:val="0"/>
          <w:sz w:val="32"/>
          <w:szCs w:val="32"/>
          <w:highlight w:val="none"/>
          <w:shd w:val="clear" w:color="auto" w:fill="FFFFFF"/>
        </w:rPr>
        <w:t>三、</w:t>
      </w:r>
      <w:r>
        <w:rPr>
          <w:rFonts w:hint="default" w:ascii="Times New Roman" w:hAnsi="Times New Roman" w:eastAsia="黑体" w:cs="Times New Roman"/>
          <w:color w:val="auto"/>
          <w:kern w:val="0"/>
          <w:sz w:val="32"/>
          <w:szCs w:val="32"/>
          <w:highlight w:val="none"/>
          <w:u w:val="none"/>
          <w:shd w:val="clear" w:color="auto" w:fill="FFFFFF"/>
        </w:rPr>
        <w:t>部门整体绩效</w:t>
      </w:r>
      <w:r>
        <w:rPr>
          <w:rFonts w:hint="default" w:ascii="Times New Roman" w:hAnsi="Times New Roman" w:eastAsia="黑体" w:cs="Times New Roman"/>
          <w:color w:val="auto"/>
          <w:kern w:val="0"/>
          <w:sz w:val="32"/>
          <w:szCs w:val="32"/>
          <w:highlight w:val="none"/>
          <w:u w:val="none"/>
          <w:shd w:val="clear" w:color="auto" w:fill="FFFFFF"/>
          <w:lang w:eastAsia="zh-CN"/>
        </w:rPr>
        <w:t>分析</w:t>
      </w:r>
      <w:r>
        <w:rPr>
          <w:rFonts w:hint="default" w:ascii="Times New Roman" w:hAnsi="Times New Roman" w:eastAsia="黑体" w:cs="Times New Roman"/>
          <w:color w:val="auto"/>
          <w:kern w:val="0"/>
          <w:sz w:val="32"/>
          <w:szCs w:val="32"/>
          <w:highlight w:val="none"/>
          <w:shd w:val="clear" w:color="auto" w:fill="FFFFFF"/>
        </w:rPr>
        <w:t>（根据适用指标体系进行调整</w:t>
      </w:r>
      <w:r>
        <w:rPr>
          <w:rFonts w:hint="default" w:ascii="Times New Roman" w:hAnsi="Times New Roman" w:eastAsia="黑体" w:cs="Times New Roman"/>
          <w:color w:val="auto"/>
          <w:kern w:val="0"/>
          <w:sz w:val="32"/>
          <w:szCs w:val="32"/>
          <w:highlight w:val="none"/>
          <w:shd w:val="clear" w:color="auto" w:fill="FFFFFF"/>
          <w:lang w:eastAsia="zh-CN"/>
        </w:rPr>
        <w:t>，涉及有专项资金预算项目的部门，专项资金预算项目自评报告作为本报告附件一并公开</w:t>
      </w:r>
      <w:r>
        <w:rPr>
          <w:rFonts w:hint="default" w:ascii="Times New Roman" w:hAnsi="Times New Roman" w:eastAsia="黑体" w:cs="Times New Roman"/>
          <w:color w:val="auto"/>
          <w:kern w:val="0"/>
          <w:sz w:val="32"/>
          <w:szCs w:val="32"/>
          <w:highlight w:val="none"/>
          <w:shd w:val="clear" w:color="auto" w:fill="FFFFFF"/>
        </w:rPr>
        <w:t>）</w:t>
      </w:r>
    </w:p>
    <w:p>
      <w:pPr>
        <w:keepNext w:val="0"/>
        <w:keepLines w:val="0"/>
        <w:pageBreakBefore w:val="0"/>
        <w:widowControl w:val="0"/>
        <w:kinsoku/>
        <w:wordWrap/>
        <w:overflowPunct/>
        <w:topLinePunct w:val="0"/>
        <w:autoSpaceDE/>
        <w:autoSpaceDN/>
        <w:bidi w:val="0"/>
        <w:adjustRightInd w:val="0"/>
        <w:snapToGrid w:val="0"/>
        <w:spacing w:line="576" w:lineRule="exact"/>
        <w:ind w:left="0" w:right="0" w:firstLine="640" w:firstLineChars="200"/>
        <w:contextualSpacing/>
        <w:jc w:val="both"/>
        <w:textAlignment w:val="auto"/>
        <w:rPr>
          <w:rFonts w:hint="default" w:ascii="Times New Roman" w:hAnsi="Times New Roman" w:eastAsia="仿宋_GB2312" w:cs="Times New Roman"/>
          <w:b w:val="0"/>
          <w:bCs w:val="0"/>
          <w:color w:val="auto"/>
          <w:kern w:val="0"/>
          <w:sz w:val="32"/>
          <w:szCs w:val="32"/>
          <w:highlight w:val="none"/>
          <w:shd w:val="clear" w:color="auto" w:fill="FFFFFF"/>
          <w:lang w:val="zh-CN" w:eastAsia="zh-CN"/>
        </w:rPr>
      </w:pPr>
      <w:r>
        <w:rPr>
          <w:rFonts w:hint="default" w:ascii="Times New Roman" w:hAnsi="Times New Roman" w:eastAsia="楷体_GB2312" w:cs="Times New Roman"/>
          <w:b w:val="0"/>
          <w:bCs w:val="0"/>
          <w:color w:val="auto"/>
          <w:kern w:val="0"/>
          <w:sz w:val="32"/>
          <w:szCs w:val="32"/>
          <w:highlight w:val="none"/>
          <w:shd w:val="clear" w:color="auto" w:fill="FFFFFF"/>
          <w:lang w:val="zh-CN"/>
        </w:rPr>
        <w:t>（一）部门预算项目绩效分析。</w:t>
      </w:r>
    </w:p>
    <w:p>
      <w:pPr>
        <w:keepNext w:val="0"/>
        <w:keepLines w:val="0"/>
        <w:pageBreakBefore w:val="0"/>
        <w:widowControl w:val="0"/>
        <w:kinsoku/>
        <w:wordWrap/>
        <w:overflowPunct/>
        <w:topLinePunct w:val="0"/>
        <w:autoSpaceDE/>
        <w:autoSpaceDN/>
        <w:bidi w:val="0"/>
        <w:adjustRightInd w:val="0"/>
        <w:snapToGrid w:val="0"/>
        <w:spacing w:line="576" w:lineRule="exact"/>
        <w:ind w:left="0" w:right="0" w:firstLine="643" w:firstLineChars="200"/>
        <w:contextualSpacing/>
        <w:jc w:val="both"/>
        <w:textAlignment w:val="auto"/>
        <w:rPr>
          <w:rFonts w:hint="default" w:ascii="Times New Roman" w:hAnsi="Times New Roman" w:eastAsia="仿宋_GB2312" w:cs="Times New Roman"/>
          <w:b/>
          <w:bCs/>
          <w:color w:val="auto"/>
          <w:kern w:val="0"/>
          <w:sz w:val="32"/>
          <w:szCs w:val="32"/>
          <w:highlight w:val="none"/>
          <w:shd w:val="clear" w:color="auto" w:fill="FFFFFF"/>
          <w:lang w:val="en-US" w:eastAsia="zh-CN"/>
        </w:rPr>
      </w:pPr>
      <w:r>
        <w:rPr>
          <w:rFonts w:hint="default" w:ascii="Times New Roman" w:hAnsi="Times New Roman" w:eastAsia="仿宋_GB2312" w:cs="Times New Roman"/>
          <w:b/>
          <w:bCs/>
          <w:color w:val="auto"/>
          <w:kern w:val="0"/>
          <w:sz w:val="32"/>
          <w:szCs w:val="32"/>
          <w:highlight w:val="none"/>
          <w:shd w:val="clear" w:color="auto" w:fill="FFFFFF"/>
          <w:lang w:val="en-US" w:eastAsia="zh-CN"/>
        </w:rPr>
        <w:t>1.人员类项目绩效分析</w:t>
      </w:r>
    </w:p>
    <w:p>
      <w:pPr>
        <w:keepNext w:val="0"/>
        <w:keepLines w:val="0"/>
        <w:pageBreakBefore w:val="0"/>
        <w:widowControl w:val="0"/>
        <w:kinsoku/>
        <w:wordWrap/>
        <w:overflowPunct/>
        <w:topLinePunct w:val="0"/>
        <w:autoSpaceDE/>
        <w:autoSpaceDN/>
        <w:bidi w:val="0"/>
        <w:adjustRightInd w:val="0"/>
        <w:snapToGrid w:val="0"/>
        <w:spacing w:line="576" w:lineRule="exact"/>
        <w:ind w:left="0" w:right="0" w:firstLine="640" w:firstLineChars="200"/>
        <w:contextualSpacing/>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我办2022年全年收入合计2</w:t>
      </w:r>
      <w:r>
        <w:rPr>
          <w:rFonts w:hint="eastAsia" w:eastAsia="仿宋_GB2312" w:cs="Times New Roman"/>
          <w:color w:val="auto"/>
          <w:sz w:val="32"/>
          <w:szCs w:val="32"/>
          <w:lang w:val="en-US" w:eastAsia="zh-CN"/>
        </w:rPr>
        <w:t>40</w:t>
      </w:r>
      <w:r>
        <w:rPr>
          <w:rFonts w:hint="default" w:ascii="Times New Roman" w:hAnsi="Times New Roman" w:eastAsia="仿宋_GB2312" w:cs="Times New Roman"/>
          <w:color w:val="auto"/>
          <w:sz w:val="32"/>
          <w:szCs w:val="32"/>
          <w:lang w:val="en-US" w:eastAsia="zh-CN"/>
        </w:rPr>
        <w:t>.97万元。一是人员类资金176.11万元，主要用于支付办内职工基本工资、津贴补贴、奖金、绩效工资、其他工资福利支出、奖励金、其他对个人和家庭的补助支出等，均按月按时将工资福利支出打卡到位，合理计算缴纳职工单位和个人部分五险一金，涉及职工工资调标、人员晋升等方面资金缺口，财政预算年中追加人员经费15.77万元，均按照相关标准执行并完成。年初预算与支出无偏差，其中：</w:t>
      </w:r>
      <w:r>
        <w:rPr>
          <w:rFonts w:hint="default" w:ascii="Times New Roman" w:hAnsi="Times New Roman" w:eastAsia="仿宋_GB2312" w:cs="Times New Roman"/>
          <w:color w:val="auto"/>
          <w:sz w:val="32"/>
          <w:szCs w:val="32"/>
        </w:rPr>
        <w:t>一般公共服务支出</w:t>
      </w:r>
      <w:r>
        <w:rPr>
          <w:rFonts w:hint="default" w:ascii="Times New Roman" w:hAnsi="Times New Roman" w:eastAsia="仿宋_GB2312" w:cs="Times New Roman"/>
          <w:color w:val="auto"/>
          <w:sz w:val="32"/>
          <w:szCs w:val="32"/>
          <w:lang w:eastAsia="zh-CN"/>
        </w:rPr>
        <w:t>类工资福利支出</w:t>
      </w:r>
      <w:r>
        <w:rPr>
          <w:rFonts w:hint="default" w:ascii="Times New Roman" w:hAnsi="Times New Roman" w:eastAsia="仿宋_GB2312" w:cs="Times New Roman"/>
          <w:color w:val="auto"/>
          <w:sz w:val="32"/>
          <w:szCs w:val="32"/>
          <w:lang w:val="en-US" w:eastAsia="zh-CN"/>
        </w:rPr>
        <w:t>132.24</w:t>
      </w:r>
      <w:r>
        <w:rPr>
          <w:rFonts w:hint="default" w:ascii="Times New Roman" w:hAnsi="Times New Roman" w:eastAsia="仿宋_GB2312" w:cs="Times New Roman"/>
          <w:color w:val="auto"/>
          <w:sz w:val="32"/>
          <w:szCs w:val="32"/>
        </w:rPr>
        <w:t>万元，社会保障和就业支出</w:t>
      </w:r>
      <w:r>
        <w:rPr>
          <w:rFonts w:hint="default" w:ascii="Times New Roman" w:hAnsi="Times New Roman" w:eastAsia="仿宋_GB2312" w:cs="Times New Roman"/>
          <w:color w:val="auto"/>
          <w:sz w:val="32"/>
          <w:szCs w:val="32"/>
          <w:lang w:val="en-US" w:eastAsia="zh-CN"/>
        </w:rPr>
        <w:t>22.49</w:t>
      </w:r>
      <w:r>
        <w:rPr>
          <w:rFonts w:hint="default" w:ascii="Times New Roman" w:hAnsi="Times New Roman" w:eastAsia="仿宋_GB2312" w:cs="Times New Roman"/>
          <w:color w:val="auto"/>
          <w:sz w:val="32"/>
          <w:szCs w:val="32"/>
        </w:rPr>
        <w:t>万元，卫生健康支</w:t>
      </w:r>
      <w:r>
        <w:rPr>
          <w:rFonts w:hint="eastAsia" w:eastAsia="仿宋_GB2312" w:cs="Times New Roman"/>
          <w:color w:val="auto"/>
          <w:sz w:val="32"/>
          <w:szCs w:val="32"/>
          <w:lang w:eastAsia="zh-CN"/>
        </w:rPr>
        <w:t>出</w:t>
      </w:r>
      <w:r>
        <w:rPr>
          <w:rFonts w:hint="default" w:ascii="Times New Roman" w:hAnsi="Times New Roman" w:eastAsia="仿宋_GB2312" w:cs="Times New Roman"/>
          <w:color w:val="auto"/>
          <w:sz w:val="32"/>
          <w:szCs w:val="32"/>
          <w:lang w:val="en-US" w:eastAsia="zh-CN"/>
        </w:rPr>
        <w:t>7.05</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住房保障支出</w:t>
      </w:r>
      <w:r>
        <w:rPr>
          <w:rFonts w:hint="default" w:ascii="Times New Roman" w:hAnsi="Times New Roman" w:eastAsia="仿宋_GB2312" w:cs="Times New Roman"/>
          <w:color w:val="auto"/>
          <w:sz w:val="32"/>
          <w:szCs w:val="32"/>
          <w:lang w:val="en-US" w:eastAsia="zh-CN"/>
        </w:rPr>
        <w:t>14.33</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val="en-US" w:eastAsia="zh-CN"/>
        </w:rPr>
        <w:t>实际完成情况与预期绩效目标偏离度小于等于0；截</w:t>
      </w:r>
      <w:r>
        <w:rPr>
          <w:rFonts w:hint="eastAsia" w:eastAsia="仿宋_GB2312" w:cs="Times New Roman"/>
          <w:color w:val="auto"/>
          <w:sz w:val="32"/>
          <w:szCs w:val="32"/>
          <w:lang w:val="en-US" w:eastAsia="zh-CN"/>
        </w:rPr>
        <w:t>至</w:t>
      </w:r>
      <w:r>
        <w:rPr>
          <w:rFonts w:hint="default" w:ascii="Times New Roman" w:hAnsi="Times New Roman" w:eastAsia="仿宋_GB2312" w:cs="Times New Roman"/>
          <w:color w:val="auto"/>
          <w:sz w:val="32"/>
          <w:szCs w:val="32"/>
          <w:lang w:val="en-US" w:eastAsia="zh-CN"/>
        </w:rPr>
        <w:t xml:space="preserve">目前，未发现相关违规违纪记录。    </w:t>
      </w:r>
    </w:p>
    <w:p>
      <w:pPr>
        <w:keepNext w:val="0"/>
        <w:keepLines w:val="0"/>
        <w:pageBreakBefore w:val="0"/>
        <w:widowControl w:val="0"/>
        <w:kinsoku/>
        <w:wordWrap/>
        <w:overflowPunct/>
        <w:topLinePunct w:val="0"/>
        <w:autoSpaceDE/>
        <w:autoSpaceDN/>
        <w:bidi w:val="0"/>
        <w:adjustRightInd w:val="0"/>
        <w:snapToGrid w:val="0"/>
        <w:spacing w:line="576" w:lineRule="exact"/>
        <w:ind w:left="0" w:right="0" w:firstLine="643" w:firstLineChars="200"/>
        <w:contextualSpacing/>
        <w:jc w:val="both"/>
        <w:textAlignment w:val="auto"/>
        <w:rPr>
          <w:rFonts w:hint="default" w:ascii="Times New Roman" w:hAnsi="Times New Roman" w:eastAsia="仿宋_GB2312" w:cs="Times New Roman"/>
          <w:b/>
          <w:bCs/>
          <w:color w:val="auto"/>
          <w:kern w:val="0"/>
          <w:sz w:val="32"/>
          <w:szCs w:val="32"/>
          <w:highlight w:val="none"/>
          <w:shd w:val="clear" w:color="auto" w:fill="FFFFFF"/>
          <w:lang w:val="en-US" w:eastAsia="zh-CN"/>
        </w:rPr>
      </w:pPr>
      <w:r>
        <w:rPr>
          <w:rFonts w:hint="default" w:ascii="Times New Roman" w:hAnsi="Times New Roman" w:eastAsia="仿宋_GB2312" w:cs="Times New Roman"/>
          <w:b/>
          <w:bCs/>
          <w:color w:val="auto"/>
          <w:kern w:val="0"/>
          <w:sz w:val="32"/>
          <w:szCs w:val="32"/>
          <w:highlight w:val="none"/>
          <w:shd w:val="clear" w:color="auto" w:fill="FFFFFF"/>
          <w:lang w:val="en-US" w:eastAsia="zh-CN"/>
        </w:rPr>
        <w:t>2.运转类项目绩效分析</w:t>
      </w:r>
    </w:p>
    <w:p>
      <w:pPr>
        <w:pStyle w:val="38"/>
        <w:keepNext w:val="0"/>
        <w:keepLines w:val="0"/>
        <w:pageBreakBefore w:val="0"/>
        <w:widowControl w:val="0"/>
        <w:kinsoku/>
        <w:wordWrap/>
        <w:overflowPunct/>
        <w:topLinePunct w:val="0"/>
        <w:autoSpaceDE/>
        <w:autoSpaceDN/>
        <w:bidi w:val="0"/>
        <w:adjustRightInd/>
        <w:snapToGrid/>
        <w:spacing w:beforeLines="0" w:line="576" w:lineRule="exact"/>
        <w:ind w:left="0" w:right="0" w:firstLine="640" w:firstLineChars="200"/>
        <w:jc w:val="both"/>
        <w:textAlignment w:val="auto"/>
        <w:rPr>
          <w:rFonts w:hint="default" w:ascii="Times New Roman" w:hAnsi="Times New Roman" w:cs="Times New Roman"/>
          <w:lang w:eastAsia="zh-CN"/>
        </w:rPr>
      </w:pPr>
      <w:r>
        <w:rPr>
          <w:rFonts w:hint="default" w:ascii="Times New Roman" w:hAnsi="Times New Roman" w:eastAsia="仿宋_GB2312" w:cs="Times New Roman"/>
          <w:sz w:val="32"/>
          <w:szCs w:val="32"/>
          <w:lang w:val="zh-CN" w:eastAsia="zh-CN"/>
        </w:rPr>
        <w:t>按照相关要求，区委编办制定了202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zh-CN" w:eastAsia="zh-CN"/>
        </w:rPr>
        <w:t>年度部门整体支出绩效目标</w:t>
      </w:r>
      <w:r>
        <w:rPr>
          <w:rFonts w:hint="default" w:ascii="Times New Roman" w:hAnsi="Times New Roman" w:eastAsia="仿宋_GB2312" w:cs="Times New Roman"/>
          <w:sz w:val="32"/>
          <w:szCs w:val="32"/>
          <w:lang w:val="en-US" w:eastAsia="zh-CN"/>
        </w:rPr>
        <w:t>（含运转类绩效目标）</w:t>
      </w:r>
      <w:r>
        <w:rPr>
          <w:rFonts w:hint="default" w:ascii="Times New Roman" w:hAnsi="Times New Roman" w:eastAsia="仿宋_GB2312" w:cs="Times New Roman"/>
          <w:sz w:val="32"/>
          <w:szCs w:val="32"/>
          <w:lang w:val="zh-CN" w:eastAsia="zh-CN"/>
        </w:rPr>
        <w:t>，目标反映了相应工作任务，其要素较为完整，且从数量指标、质量指标、满意度等指标的细化上达到绩效管理的细化量化。</w:t>
      </w:r>
      <w:r>
        <w:rPr>
          <w:rFonts w:hint="default" w:ascii="Times New Roman" w:hAnsi="Times New Roman" w:eastAsia="仿宋_GB2312" w:cs="Times New Roman"/>
          <w:spacing w:val="4"/>
          <w:sz w:val="31"/>
          <w:szCs w:val="31"/>
          <w:lang w:val="en-US" w:eastAsia="zh-CN"/>
        </w:rPr>
        <w:t>2022年，全年预算运转类项目</w:t>
      </w:r>
      <w:r>
        <w:rPr>
          <w:rFonts w:hint="eastAsia" w:ascii="Times New Roman" w:hAnsi="Times New Roman" w:eastAsia="仿宋_GB2312" w:cs="Times New Roman"/>
          <w:spacing w:val="4"/>
          <w:sz w:val="31"/>
          <w:szCs w:val="31"/>
          <w:lang w:val="en-US" w:eastAsia="zh-CN"/>
        </w:rPr>
        <w:t>64.86</w:t>
      </w:r>
      <w:r>
        <w:rPr>
          <w:rFonts w:hint="default" w:ascii="Times New Roman" w:hAnsi="Times New Roman" w:eastAsia="仿宋_GB2312" w:cs="Times New Roman"/>
          <w:spacing w:val="4"/>
          <w:sz w:val="31"/>
          <w:szCs w:val="31"/>
          <w:lang w:val="en-US" w:eastAsia="zh-CN"/>
        </w:rPr>
        <w:t>万元，支出</w:t>
      </w:r>
      <w:r>
        <w:rPr>
          <w:rFonts w:hint="eastAsia" w:ascii="Times New Roman" w:hAnsi="Times New Roman" w:eastAsia="仿宋_GB2312" w:cs="Times New Roman"/>
          <w:spacing w:val="4"/>
          <w:sz w:val="31"/>
          <w:szCs w:val="31"/>
          <w:lang w:val="en-US" w:eastAsia="zh-CN"/>
        </w:rPr>
        <w:t>64.86</w:t>
      </w:r>
      <w:r>
        <w:rPr>
          <w:rFonts w:hint="default" w:ascii="Times New Roman" w:hAnsi="Times New Roman" w:eastAsia="仿宋_GB2312" w:cs="Times New Roman"/>
          <w:spacing w:val="4"/>
          <w:sz w:val="31"/>
          <w:szCs w:val="31"/>
          <w:lang w:val="en-US" w:eastAsia="zh-CN"/>
        </w:rPr>
        <w:t>万元，</w:t>
      </w:r>
      <w:r>
        <w:rPr>
          <w:rFonts w:hint="default" w:ascii="Times New Roman" w:hAnsi="Times New Roman" w:eastAsia="仿宋_GB2312" w:cs="Times New Roman"/>
          <w:b w:val="0"/>
          <w:bCs w:val="0"/>
          <w:color w:val="auto"/>
          <w:sz w:val="32"/>
          <w:szCs w:val="32"/>
          <w:lang w:val="en-US" w:eastAsia="zh-CN"/>
        </w:rPr>
        <w:t>完成预算的100%</w:t>
      </w:r>
      <w:r>
        <w:rPr>
          <w:rFonts w:hint="default" w:ascii="Times New Roman" w:hAnsi="Times New Roman" w:eastAsia="仿宋_GB2312" w:cs="Times New Roman"/>
          <w:spacing w:val="4"/>
          <w:sz w:val="31"/>
          <w:szCs w:val="31"/>
        </w:rPr>
        <w:t>。</w:t>
      </w:r>
      <w:r>
        <w:rPr>
          <w:rFonts w:hint="default" w:ascii="Times New Roman" w:hAnsi="Times New Roman" w:eastAsia="仿宋_GB2312" w:cs="Times New Roman"/>
          <w:spacing w:val="4"/>
          <w:sz w:val="31"/>
          <w:szCs w:val="31"/>
          <w:lang w:eastAsia="zh-CN"/>
        </w:rPr>
        <w:t>在</w:t>
      </w:r>
      <w:r>
        <w:rPr>
          <w:rFonts w:hint="default" w:ascii="Times New Roman" w:hAnsi="Times New Roman" w:eastAsia="仿宋_GB2312" w:cs="Times New Roman"/>
          <w:b w:val="0"/>
          <w:bCs w:val="0"/>
          <w:color w:val="auto"/>
          <w:kern w:val="2"/>
          <w:sz w:val="32"/>
          <w:szCs w:val="32"/>
          <w:lang w:val="en-US" w:eastAsia="zh-CN" w:bidi="ar-SA"/>
        </w:rPr>
        <w:t>执行进度上，区委编办</w:t>
      </w:r>
      <w:r>
        <w:rPr>
          <w:rFonts w:hint="default" w:ascii="Times New Roman" w:hAnsi="Times New Roman" w:eastAsia="仿宋_GB2312" w:cs="Times New Roman"/>
          <w:b w:val="0"/>
          <w:bCs w:val="0"/>
          <w:color w:val="auto"/>
          <w:sz w:val="32"/>
          <w:szCs w:val="32"/>
          <w:lang w:val="en-US" w:eastAsia="zh-CN"/>
        </w:rPr>
        <w:t>支付各类资金时，严格按照财政局上半年支付</w:t>
      </w:r>
      <w:r>
        <w:rPr>
          <w:rFonts w:hint="eastAsia" w:ascii="Times New Roman" w:hAnsi="Times New Roman" w:eastAsia="仿宋_GB2312" w:cs="Times New Roman"/>
          <w:b w:val="0"/>
          <w:bCs w:val="0"/>
          <w:color w:val="auto"/>
          <w:sz w:val="32"/>
          <w:szCs w:val="32"/>
          <w:lang w:val="en-US" w:eastAsia="zh-CN"/>
        </w:rPr>
        <w:t>40</w:t>
      </w:r>
      <w:r>
        <w:rPr>
          <w:rFonts w:hint="default" w:ascii="Times New Roman" w:hAnsi="Times New Roman" w:eastAsia="仿宋_GB2312" w:cs="Times New Roman"/>
          <w:b w:val="0"/>
          <w:bCs w:val="0"/>
          <w:color w:val="auto"/>
          <w:sz w:val="32"/>
          <w:szCs w:val="32"/>
          <w:lang w:val="en-US" w:eastAsia="zh-CN"/>
        </w:rPr>
        <w:t>%，下半年支付60%的要求申请财政支付计划，及时支付各类资金，同时确保无违规违纪事项发生。</w:t>
      </w:r>
    </w:p>
    <w:p>
      <w:pPr>
        <w:keepNext w:val="0"/>
        <w:keepLines w:val="0"/>
        <w:pageBreakBefore w:val="0"/>
        <w:widowControl w:val="0"/>
        <w:kinsoku/>
        <w:wordWrap/>
        <w:overflowPunct/>
        <w:topLinePunct w:val="0"/>
        <w:autoSpaceDE/>
        <w:autoSpaceDN/>
        <w:bidi w:val="0"/>
        <w:adjustRightInd w:val="0"/>
        <w:snapToGrid w:val="0"/>
        <w:spacing w:line="576" w:lineRule="exact"/>
        <w:ind w:left="0" w:right="0" w:firstLine="643" w:firstLineChars="200"/>
        <w:contextualSpacing/>
        <w:jc w:val="both"/>
        <w:textAlignment w:val="auto"/>
        <w:rPr>
          <w:rFonts w:hint="default" w:ascii="Times New Roman" w:hAnsi="Times New Roman" w:eastAsia="仿宋_GB2312" w:cs="Times New Roman"/>
          <w:b/>
          <w:bCs/>
          <w:color w:val="auto"/>
          <w:kern w:val="0"/>
          <w:sz w:val="32"/>
          <w:szCs w:val="32"/>
          <w:highlight w:val="none"/>
          <w:shd w:val="clear" w:color="auto" w:fill="FFFFFF"/>
          <w:lang w:val="en-US" w:eastAsia="zh-CN"/>
        </w:rPr>
      </w:pPr>
      <w:r>
        <w:rPr>
          <w:rFonts w:hint="default" w:ascii="Times New Roman" w:hAnsi="Times New Roman" w:eastAsia="仿宋_GB2312" w:cs="Times New Roman"/>
          <w:b/>
          <w:bCs/>
          <w:color w:val="auto"/>
          <w:kern w:val="0"/>
          <w:sz w:val="32"/>
          <w:szCs w:val="32"/>
          <w:highlight w:val="none"/>
          <w:shd w:val="clear" w:color="auto" w:fill="FFFFFF"/>
          <w:lang w:val="en-US" w:eastAsia="zh-CN"/>
        </w:rPr>
        <w:t>3.特定目标类项目绩效分析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right="0" w:firstLine="640" w:firstLineChars="200"/>
        <w:contextualSpacing/>
        <w:jc w:val="both"/>
        <w:textAlignment w:val="auto"/>
        <w:rPr>
          <w:rFonts w:hint="default" w:ascii="Times New Roman" w:hAnsi="Times New Roman" w:cs="Times New Roman"/>
          <w:lang w:val="zh-CN"/>
        </w:rPr>
      </w:pPr>
      <w:r>
        <w:rPr>
          <w:rFonts w:hint="default" w:ascii="Times New Roman" w:hAnsi="Times New Roman" w:eastAsia="仿宋_GB2312" w:cs="Times New Roman"/>
          <w:b w:val="0"/>
          <w:bCs w:val="0"/>
          <w:color w:val="auto"/>
          <w:kern w:val="0"/>
          <w:sz w:val="32"/>
          <w:szCs w:val="32"/>
          <w:highlight w:val="none"/>
          <w:shd w:val="clear" w:color="auto" w:fill="FFFFFF"/>
          <w:lang w:val="en-US" w:eastAsia="zh-CN"/>
        </w:rPr>
        <w:t>无特定目标类项目。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right="0" w:firstLine="640" w:firstLineChars="200"/>
        <w:contextualSpacing/>
        <w:jc w:val="both"/>
        <w:textAlignment w:val="auto"/>
        <w:rPr>
          <w:rFonts w:hint="default" w:ascii="Times New Roman" w:hAnsi="Times New Roman" w:eastAsia="楷体_GB2312" w:cs="Times New Roman"/>
          <w:b w:val="0"/>
          <w:bCs w:val="0"/>
          <w:color w:val="auto"/>
          <w:kern w:val="0"/>
          <w:sz w:val="32"/>
          <w:szCs w:val="32"/>
          <w:highlight w:val="none"/>
          <w:shd w:val="clear" w:color="auto" w:fill="FFFFFF"/>
          <w:lang w:val="zh-CN"/>
        </w:rPr>
      </w:pPr>
      <w:r>
        <w:rPr>
          <w:rFonts w:hint="default" w:ascii="Times New Roman" w:hAnsi="Times New Roman" w:eastAsia="楷体_GB2312" w:cs="Times New Roman"/>
          <w:b w:val="0"/>
          <w:bCs w:val="0"/>
          <w:color w:val="auto"/>
          <w:kern w:val="0"/>
          <w:sz w:val="32"/>
          <w:szCs w:val="32"/>
          <w:highlight w:val="none"/>
          <w:shd w:val="clear" w:color="auto" w:fill="FFFFFF"/>
          <w:lang w:val="zh-CN"/>
        </w:rPr>
        <w:t>（二）部门整体履职绩效分析。</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right="0" w:firstLine="643" w:firstLineChars="200"/>
        <w:jc w:val="both"/>
        <w:textAlignment w:val="auto"/>
        <w:rPr>
          <w:rFonts w:hint="default" w:ascii="Times New Roman" w:hAnsi="Times New Roman" w:cs="Times New Roman"/>
          <w:lang w:val="en-US" w:eastAsia="zh-CN"/>
        </w:rPr>
      </w:pPr>
      <w:r>
        <w:rPr>
          <w:rFonts w:hint="default" w:ascii="Times New Roman" w:hAnsi="Times New Roman" w:eastAsia="仿宋_GB2312" w:cs="Times New Roman"/>
          <w:b/>
          <w:bCs/>
          <w:color w:val="auto"/>
          <w:spacing w:val="0"/>
          <w:sz w:val="32"/>
          <w:szCs w:val="32"/>
          <w:lang w:val="en-US" w:eastAsia="zh-CN"/>
        </w:rPr>
        <w:t>1.坚持体制机制创新，在不断推进治理体系和治理能力现代化建设中见实效。</w:t>
      </w:r>
      <w:r>
        <w:rPr>
          <w:rFonts w:hint="default" w:ascii="Times New Roman" w:hAnsi="Times New Roman" w:eastAsia="仿宋_GB2312" w:cs="Times New Roman"/>
          <w:color w:val="auto"/>
          <w:spacing w:val="0"/>
          <w:sz w:val="32"/>
          <w:szCs w:val="32"/>
          <w:lang w:val="en-US" w:eastAsia="zh-CN"/>
        </w:rPr>
        <w:t>深化重点行业领域体制机制改革。有序推动国家安全、国防动员、行政复议、党组织领导下的校（院）长负责制、消防安全基层治理试点等重点改革任务的落实见效。不断完善应急管理、安全生产等领域职责分工，厘清与重点领域、新行业、新业态有关的部门安全监管职责边界；扎实推进综合行政执法改革。</w:t>
      </w:r>
      <w:r>
        <w:rPr>
          <w:rFonts w:hint="default" w:ascii="Times New Roman" w:hAnsi="Times New Roman" w:eastAsia="仿宋_GB2312" w:cs="Times New Roman"/>
          <w:color w:val="auto"/>
          <w:sz w:val="32"/>
          <w:szCs w:val="32"/>
          <w:lang w:val="en-US" w:eastAsia="zh-CN"/>
        </w:rPr>
        <w:t>把深化综合行政执法改革纳入机构改革“后半篇文章”加紧部署和推进，成立了区综合行政执法局，组建了区市场监管、文化市场、交通运输、卫生健康、应急管理、劳动监察等10支综合行政执法队伍，理顺了职能配置，基本建立起了职责明确、边界清晰、运转高效的综合行政执法体制；</w:t>
      </w:r>
      <w:r>
        <w:rPr>
          <w:rFonts w:hint="default" w:ascii="Times New Roman" w:hAnsi="Times New Roman" w:eastAsia="仿宋_GB2312" w:cs="Times New Roman"/>
          <w:color w:val="auto"/>
          <w:spacing w:val="0"/>
          <w:sz w:val="32"/>
          <w:szCs w:val="32"/>
          <w:lang w:val="en-US" w:eastAsia="zh-CN"/>
        </w:rPr>
        <w:t>全面推行“一办一队三中心+”昭化模式。</w:t>
      </w:r>
      <w:r>
        <w:rPr>
          <w:rFonts w:hint="default" w:ascii="Times New Roman" w:hAnsi="Times New Roman" w:eastAsia="仿宋_GB2312" w:cs="Times New Roman"/>
          <w:color w:val="auto"/>
          <w:sz w:val="32"/>
          <w:szCs w:val="32"/>
          <w:lang w:eastAsia="zh-CN"/>
        </w:rPr>
        <w:t>通过采取人员统筹使用、编制分类管理、“动人不动编”原则，将除镇党政领导班子成员以外</w:t>
      </w:r>
      <w:r>
        <w:rPr>
          <w:rFonts w:hint="default" w:ascii="Times New Roman" w:hAnsi="Times New Roman" w:eastAsia="仿宋_GB2312" w:cs="Times New Roman"/>
          <w:sz w:val="32"/>
          <w:szCs w:val="32"/>
          <w:lang w:eastAsia="zh-CN"/>
        </w:rPr>
        <w:t>的干部安排到相应模块岗位。通过机构大整合、部门大放权、构建大机制，建立了“五统一、三分开”“六联”“三个一”工作运行机制，实现了人员统筹、效能提升；</w:t>
      </w:r>
      <w:r>
        <w:rPr>
          <w:rFonts w:hint="default" w:ascii="Times New Roman" w:hAnsi="Times New Roman" w:eastAsia="仿宋_GB2312" w:cs="Times New Roman"/>
          <w:color w:val="auto"/>
          <w:spacing w:val="0"/>
          <w:sz w:val="32"/>
          <w:szCs w:val="32"/>
          <w:lang w:val="en-US" w:eastAsia="zh-CN"/>
        </w:rPr>
        <w:t>探索构建基层消防安全治理能力昭化方法和路径。聚焦解决基层火灾防范、灭火救援难题，探索形成了“三级共建共管”基层消防安全治理机制，围绕职责界定、机构设置、队伍建设、运行机制等相关方面着力，逐步提升基层消防治理体系和治理能力现代化水平。</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right="0" w:firstLine="643" w:firstLineChars="200"/>
        <w:jc w:val="both"/>
        <w:textAlignment w:val="auto"/>
        <w:rPr>
          <w:rFonts w:hint="default" w:ascii="Times New Roman" w:hAnsi="Times New Roman" w:cs="Times New Roman"/>
          <w:lang w:val="en-US"/>
        </w:rPr>
      </w:pPr>
      <w:r>
        <w:rPr>
          <w:rFonts w:hint="default" w:ascii="Times New Roman" w:hAnsi="Times New Roman" w:eastAsia="仿宋_GB2312" w:cs="Times New Roman"/>
          <w:b/>
          <w:bCs/>
          <w:color w:val="auto"/>
          <w:spacing w:val="0"/>
          <w:sz w:val="32"/>
          <w:szCs w:val="32"/>
          <w:lang w:val="en-US" w:eastAsia="zh-CN"/>
        </w:rPr>
        <w:t>2.坚持围绕中心大局，在充分发挥机构编制资源保障作用上见实效。</w:t>
      </w:r>
      <w:r>
        <w:rPr>
          <w:rFonts w:hint="default" w:ascii="Times New Roman" w:hAnsi="Times New Roman" w:eastAsia="仿宋_GB2312" w:cs="Times New Roman"/>
          <w:color w:val="auto"/>
          <w:spacing w:val="0"/>
          <w:sz w:val="32"/>
          <w:szCs w:val="32"/>
          <w:lang w:val="en-US" w:eastAsia="zh-CN"/>
        </w:rPr>
        <w:t>聚焦中心大局抓统筹调配。</w:t>
      </w:r>
      <w:r>
        <w:rPr>
          <w:rFonts w:hint="default" w:ascii="Times New Roman" w:hAnsi="Times New Roman" w:eastAsia="仿宋_GB2312" w:cs="Times New Roman"/>
          <w:color w:val="auto"/>
          <w:kern w:val="2"/>
          <w:sz w:val="32"/>
          <w:szCs w:val="32"/>
          <w:lang w:val="en-US" w:eastAsia="zh-CN" w:bidi="ar-SA"/>
        </w:rPr>
        <w:t>紧扣“绿色家居产业优城”和工业经济发展，组建区绿色家居产业推进中心、经济合作和外事中心、优化营商环境服务中心等事业单位，为区经信科技、商务和经济合作、经济开发区等重点经济部门所属事业单位增核事业编制22名，为区绿色家居产业推进中心等事业单位增核科级领导职数5个</w:t>
      </w:r>
      <w:r>
        <w:rPr>
          <w:rFonts w:hint="default" w:ascii="Times New Roman" w:hAnsi="Times New Roman" w:eastAsia="仿宋_GB2312" w:cs="Times New Roman"/>
          <w:color w:val="auto"/>
          <w:spacing w:val="0"/>
          <w:sz w:val="32"/>
          <w:szCs w:val="32"/>
          <w:lang w:val="en-US" w:eastAsia="zh-CN"/>
        </w:rPr>
        <w:t>为“工业强区”提供强有力的机构编制保障；</w:t>
      </w:r>
      <w:r>
        <w:rPr>
          <w:rFonts w:hint="default" w:ascii="Times New Roman" w:hAnsi="Times New Roman" w:eastAsia="仿宋_GB2312" w:cs="Times New Roman"/>
          <w:color w:val="auto"/>
          <w:kern w:val="2"/>
          <w:sz w:val="32"/>
          <w:szCs w:val="32"/>
          <w:lang w:val="en-US" w:eastAsia="zh-CN" w:bidi="ar-SA"/>
        </w:rPr>
        <w:t>持续深化开发区管理体制创新。坚持问题导向，在园区机构设置、职能配置、编制保障、机制优化等方面持续发力，出台了《关于进一步明确昭化经开区职责边界等有关事项的通知》，建立“吹哨报到”工作运行机制，进一步理顺了经开区管委会与区政府职能部门和属地镇的关系，着力消除制约发展的体制机制壁垒，不断激发开发区发展活力；</w:t>
      </w:r>
      <w:r>
        <w:rPr>
          <w:rFonts w:hint="default" w:ascii="Times New Roman" w:hAnsi="Times New Roman" w:eastAsia="仿宋_GB2312" w:cs="Times New Roman"/>
          <w:color w:val="auto"/>
          <w:spacing w:val="0"/>
          <w:sz w:val="32"/>
          <w:szCs w:val="32"/>
          <w:lang w:val="en-US" w:eastAsia="zh-CN"/>
        </w:rPr>
        <w:t>用活空缺编制优</w:t>
      </w:r>
      <w:r>
        <w:rPr>
          <w:rFonts w:hint="eastAsia" w:eastAsia="仿宋_GB2312" w:cs="Times New Roman"/>
          <w:color w:val="auto"/>
          <w:spacing w:val="0"/>
          <w:sz w:val="32"/>
          <w:szCs w:val="32"/>
          <w:lang w:val="en-US" w:eastAsia="zh-CN"/>
        </w:rPr>
        <w:t>化</w:t>
      </w:r>
      <w:r>
        <w:rPr>
          <w:rFonts w:hint="default" w:ascii="Times New Roman" w:hAnsi="Times New Roman" w:eastAsia="仿宋_GB2312" w:cs="Times New Roman"/>
          <w:color w:val="auto"/>
          <w:spacing w:val="0"/>
          <w:sz w:val="32"/>
          <w:szCs w:val="32"/>
          <w:lang w:val="en-US" w:eastAsia="zh-CN"/>
        </w:rPr>
        <w:t>资源配置。近两年</w:t>
      </w:r>
      <w:r>
        <w:rPr>
          <w:rFonts w:hint="default" w:ascii="Times New Roman" w:hAnsi="Times New Roman" w:eastAsia="仿宋_GB2312" w:cs="Times New Roman"/>
          <w:color w:val="auto"/>
          <w:spacing w:val="0"/>
          <w:sz w:val="32"/>
          <w:szCs w:val="32"/>
        </w:rPr>
        <w:t>共计招考</w:t>
      </w:r>
      <w:r>
        <w:rPr>
          <w:rFonts w:hint="default" w:ascii="Times New Roman" w:hAnsi="Times New Roman" w:eastAsia="仿宋_GB2312" w:cs="Times New Roman"/>
          <w:color w:val="auto"/>
          <w:spacing w:val="0"/>
          <w:sz w:val="32"/>
          <w:szCs w:val="32"/>
          <w:lang w:val="en-US" w:eastAsia="zh-CN"/>
        </w:rPr>
        <w:t>公务员99人、</w:t>
      </w:r>
      <w:r>
        <w:rPr>
          <w:rFonts w:hint="default" w:ascii="Times New Roman" w:hAnsi="Times New Roman" w:eastAsia="仿宋_GB2312" w:cs="Times New Roman"/>
          <w:color w:val="auto"/>
          <w:spacing w:val="0"/>
          <w:sz w:val="32"/>
          <w:szCs w:val="32"/>
        </w:rPr>
        <w:t>事业干部</w:t>
      </w:r>
      <w:r>
        <w:rPr>
          <w:rFonts w:hint="default" w:ascii="Times New Roman" w:hAnsi="Times New Roman" w:eastAsia="仿宋_GB2312" w:cs="Times New Roman"/>
          <w:color w:val="auto"/>
          <w:spacing w:val="0"/>
          <w:sz w:val="32"/>
          <w:szCs w:val="32"/>
          <w:lang w:val="en-US" w:eastAsia="zh-CN"/>
        </w:rPr>
        <w:t>160</w:t>
      </w:r>
      <w:r>
        <w:rPr>
          <w:rFonts w:hint="default" w:ascii="Times New Roman" w:hAnsi="Times New Roman" w:eastAsia="仿宋_GB2312" w:cs="Times New Roman"/>
          <w:color w:val="auto"/>
          <w:spacing w:val="0"/>
          <w:sz w:val="32"/>
          <w:szCs w:val="32"/>
        </w:rPr>
        <w:t>人</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lang w:val="en-US" w:eastAsia="zh-CN"/>
        </w:rPr>
        <w:t>其中7人参公管理</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，引进急需紧缺高层次人才</w:t>
      </w:r>
      <w:r>
        <w:rPr>
          <w:rFonts w:hint="default" w:ascii="Times New Roman" w:hAnsi="Times New Roman" w:eastAsia="仿宋_GB2312" w:cs="Times New Roman"/>
          <w:color w:val="auto"/>
          <w:spacing w:val="0"/>
          <w:sz w:val="32"/>
          <w:szCs w:val="32"/>
          <w:lang w:val="en-US" w:eastAsia="zh-CN"/>
        </w:rPr>
        <w:t>118</w:t>
      </w:r>
      <w:r>
        <w:rPr>
          <w:rFonts w:hint="default" w:ascii="Times New Roman" w:hAnsi="Times New Roman" w:eastAsia="仿宋_GB2312" w:cs="Times New Roman"/>
          <w:color w:val="auto"/>
          <w:spacing w:val="0"/>
          <w:sz w:val="32"/>
          <w:szCs w:val="32"/>
        </w:rPr>
        <w:t>人，</w:t>
      </w:r>
      <w:r>
        <w:rPr>
          <w:rFonts w:hint="default" w:ascii="Times New Roman" w:hAnsi="Times New Roman" w:eastAsia="仿宋_GB2312" w:cs="Times New Roman"/>
          <w:color w:val="auto"/>
          <w:spacing w:val="0"/>
          <w:sz w:val="32"/>
          <w:szCs w:val="32"/>
          <w:lang w:val="en-US" w:eastAsia="zh-CN"/>
        </w:rPr>
        <w:t>安置“三支一扶”和西部志愿者27人</w:t>
      </w:r>
      <w:r>
        <w:rPr>
          <w:rFonts w:hint="default" w:ascii="Times New Roman" w:hAnsi="Times New Roman" w:eastAsia="仿宋_GB2312" w:cs="Times New Roman"/>
          <w:color w:val="auto"/>
          <w:spacing w:val="0"/>
          <w:sz w:val="32"/>
          <w:szCs w:val="32"/>
          <w:lang w:eastAsia="zh-CN"/>
        </w:rPr>
        <w:t>，安置医学生</w:t>
      </w:r>
      <w:r>
        <w:rPr>
          <w:rFonts w:hint="default" w:ascii="Times New Roman" w:hAnsi="Times New Roman" w:eastAsia="仿宋_GB2312" w:cs="Times New Roman"/>
          <w:color w:val="auto"/>
          <w:spacing w:val="0"/>
          <w:sz w:val="32"/>
          <w:szCs w:val="32"/>
          <w:lang w:val="en-US" w:eastAsia="zh-CN"/>
        </w:rPr>
        <w:t>3人，安置退伍军人6人，一线工作力量进一步得到保障，不断优化科级机构及职数设置；</w:t>
      </w:r>
      <w:r>
        <w:rPr>
          <w:rFonts w:hint="default" w:ascii="Times New Roman" w:hAnsi="Times New Roman" w:eastAsia="仿宋_GB2312" w:cs="Times New Roman"/>
          <w:color w:val="auto"/>
          <w:kern w:val="2"/>
          <w:sz w:val="32"/>
          <w:szCs w:val="32"/>
          <w:lang w:val="en-US" w:eastAsia="zh-CN" w:bidi="ar-SA"/>
        </w:rPr>
        <w:t>探索建立人才专编管理制度。紧紧围绕人才强区战略，充分发挥事业编制招才、引才和留住人才的蓄水池功能，有效破解引进高层次急需紧缺专业人才难的“瓶颈”。</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Lines="0" w:line="576" w:lineRule="exact"/>
        <w:ind w:left="0" w:right="0" w:firstLine="643"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b/>
          <w:bCs/>
          <w:color w:val="auto"/>
          <w:spacing w:val="0"/>
          <w:kern w:val="2"/>
          <w:sz w:val="32"/>
          <w:szCs w:val="32"/>
          <w:lang w:val="en-US" w:eastAsia="zh-CN" w:bidi="ar-SA"/>
        </w:rPr>
        <w:t>3.坚持推动机构编制资源挖潜增效，在持续发展社会事业提升民生福祉能力上见实效。</w:t>
      </w:r>
      <w:r>
        <w:rPr>
          <w:rFonts w:hint="default" w:ascii="Times New Roman" w:hAnsi="Times New Roman" w:eastAsia="仿宋_GB2312" w:cs="Times New Roman"/>
          <w:color w:val="auto"/>
          <w:kern w:val="2"/>
          <w:sz w:val="32"/>
          <w:szCs w:val="32"/>
          <w:lang w:val="en-US" w:eastAsia="zh-CN" w:bidi="ar-SA"/>
        </w:rPr>
        <w:t>教育提质增效。采取“基本编制+附加编制+调剂编制”方式，全面完成了38所中小学教职工编制动态调整工作。狠抓学前教育布局规划、办园条件改善和学前教师队伍建设，新成立东城、葭萌2个公办幼儿园，增加学前教育人员力量，新增学位近500个，切实保障学前教育普及普惠安全优质发展需要</w:t>
      </w:r>
      <w:r>
        <w:rPr>
          <w:rFonts w:hint="default" w:ascii="Times New Roman" w:hAnsi="Times New Roman"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社会保障坚强有力。整合各有关养老服务工作机构，做大做强养老服务中心，对全区公办敬老院和养老院实施统一管理、指导服务和人员考核。增核相应工勤编制，确保每个敬老院有1名正式在编人员负责日常管理服务，为促进全区养老事业均衡协调健康发展提供机构编制保障</w:t>
      </w:r>
      <w:r>
        <w:rPr>
          <w:rFonts w:hint="default" w:ascii="Times New Roman" w:hAnsi="Times New Roman"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医疗服务能力显著提升。在解决好3个区级医院主要负责人职级的基础上，协同推动“三医联动”改革，合理规划推进卫子、虎跳等区域医疗次中心建设。按照“三个一批”原则对现有人员进行优化重组，累计调整基层卫生院领导班子成员62人、医护人员17人，促进人员合理流动，</w:t>
      </w:r>
      <w:r>
        <w:rPr>
          <w:rFonts w:hint="default" w:ascii="Times New Roman" w:hAnsi="Times New Roman" w:eastAsia="仿宋_GB2312" w:cs="Times New Roman"/>
          <w:b w:val="0"/>
          <w:bCs w:val="0"/>
          <w:color w:val="auto"/>
          <w:kern w:val="0"/>
          <w:sz w:val="32"/>
          <w:szCs w:val="32"/>
          <w:highlight w:val="none"/>
          <w:lang w:val="en-US" w:eastAsia="zh-CN" w:bidi="ar-SA"/>
        </w:rPr>
        <w:t>充分调动基层医疗卫生机构医务人员的工作积极性，进一步提高医疗服务质量和效率</w:t>
      </w:r>
      <w:r>
        <w:rPr>
          <w:rFonts w:hint="default" w:ascii="Times New Roman" w:hAnsi="Times New Roman" w:cs="Times New Roman"/>
          <w:b w:val="0"/>
          <w:bCs w:val="0"/>
          <w:color w:val="auto"/>
          <w:kern w:val="0"/>
          <w:sz w:val="32"/>
          <w:szCs w:val="32"/>
          <w:highlight w:val="none"/>
          <w:lang w:val="en-US" w:eastAsia="zh-CN" w:bidi="ar-SA"/>
        </w:rPr>
        <w:t>；</w:t>
      </w:r>
      <w:r>
        <w:rPr>
          <w:rFonts w:hint="default" w:ascii="Times New Roman" w:hAnsi="Times New Roman" w:eastAsia="仿宋_GB2312" w:cs="Times New Roman"/>
          <w:color w:val="auto"/>
          <w:spacing w:val="0"/>
          <w:sz w:val="32"/>
          <w:szCs w:val="32"/>
          <w:lang w:val="en-US" w:eastAsia="zh-CN"/>
        </w:rPr>
        <w:t>便民服务通畅高效。</w:t>
      </w:r>
      <w:r>
        <w:rPr>
          <w:rFonts w:hint="default" w:ascii="Times New Roman" w:hAnsi="Times New Roman" w:eastAsia="仿宋_GB2312" w:cs="Times New Roman"/>
          <w:sz w:val="32"/>
          <w:szCs w:val="32"/>
          <w:lang w:val="en-US" w:eastAsia="zh-CN"/>
        </w:rPr>
        <w:t>整合完善镇、村两级便民服务平台，覆盖设置镇便民服务中心12个、便民服务站16个、村（社区）便民服务室150个，构建纵横贯通、功能集中的“5公里服务圈”，</w:t>
      </w:r>
      <w:r>
        <w:rPr>
          <w:rFonts w:hint="default" w:ascii="Times New Roman" w:hAnsi="Times New Roman" w:eastAsia="仿宋_GB2312" w:cs="Times New Roman"/>
          <w:color w:val="auto"/>
          <w:spacing w:val="0"/>
          <w:sz w:val="32"/>
          <w:szCs w:val="32"/>
          <w:lang w:val="en-US" w:eastAsia="zh-CN"/>
        </w:rPr>
        <w:t>打造覆盖全区的“村能办”“园能办”服务体系，全面提升“村能办”审批便民化服务模式，有效解决了镇村便民服务事项办理权责不清，办事不透明，群众办事成本高、办事效率低等问题，提升群众幸福指数。</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Lines="0" w:line="576" w:lineRule="exact"/>
        <w:ind w:left="0" w:right="0" w:firstLine="643"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b/>
          <w:bCs/>
          <w:color w:val="auto"/>
          <w:spacing w:val="0"/>
          <w:kern w:val="2"/>
          <w:sz w:val="32"/>
          <w:szCs w:val="32"/>
          <w:lang w:val="en-US" w:eastAsia="zh-CN" w:bidi="ar-SA"/>
        </w:rPr>
        <w:t>4.强化机构编制刚性约束，在严肃机构编制纪律推动机构编制法定化上见实效。</w:t>
      </w:r>
      <w:r>
        <w:rPr>
          <w:rFonts w:hint="default" w:ascii="Times New Roman" w:hAnsi="Times New Roman" w:eastAsia="仿宋_GB2312" w:cs="Times New Roman"/>
          <w:sz w:val="32"/>
          <w:szCs w:val="32"/>
          <w:lang w:val="en-US" w:eastAsia="zh-CN"/>
        </w:rPr>
        <w:t>严格执行动议、论证、审议决定、组织实施、监督问责各环节具体规定。修订完善《区委编委会工作规则》和《区委编办工作细则》，研制出台《乡镇编制动态管理</w:t>
      </w:r>
      <w:r>
        <w:rPr>
          <w:rFonts w:hint="default" w:ascii="Times New Roman" w:hAnsi="Times New Roman" w:eastAsia="仿宋_GB2312" w:cs="Times New Roman"/>
          <w:color w:val="auto"/>
          <w:sz w:val="32"/>
          <w:szCs w:val="32"/>
          <w:lang w:val="en-US" w:eastAsia="zh-CN"/>
        </w:rPr>
        <w:t>办法（</w:t>
      </w:r>
      <w:r>
        <w:rPr>
          <w:rFonts w:hint="default" w:ascii="Times New Roman" w:hAnsi="Times New Roman" w:eastAsia="仿宋_GB2312" w:cs="Times New Roman"/>
          <w:sz w:val="32"/>
          <w:szCs w:val="32"/>
          <w:lang w:val="en-US" w:eastAsia="zh-CN"/>
        </w:rPr>
        <w:t>试行）》《区级部门派出（驻）镇机构及工作人员管理办法》《机关事业单位抽（借）调和外派工作人员管理办法》等系列配套制度</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color w:val="auto"/>
          <w:kern w:val="2"/>
          <w:sz w:val="32"/>
          <w:szCs w:val="32"/>
          <w:lang w:val="en-US" w:eastAsia="zh-CN" w:bidi="ar-SA"/>
        </w:rPr>
        <w:t>有序推进法规制度落实情况的监督检查。结合机构编制事项申请、议事协调机构设立审查等工作，通过“即时+随时”方式，不定期抽检机构编制法规制度落实情况</w:t>
      </w:r>
      <w:r>
        <w:rPr>
          <w:rFonts w:hint="default" w:ascii="Times New Roman" w:hAnsi="Times New Roman" w:cs="Times New Roman"/>
          <w:color w:val="auto"/>
          <w:kern w:val="0"/>
          <w:sz w:val="32"/>
          <w:szCs w:val="32"/>
          <w:lang w:eastAsia="zh-CN"/>
        </w:rPr>
        <w:t>，</w:t>
      </w:r>
      <w:r>
        <w:rPr>
          <w:rFonts w:hint="default" w:ascii="Times New Roman" w:hAnsi="Times New Roman" w:eastAsia="仿宋_GB2312" w:cs="Times New Roman"/>
          <w:color w:val="auto"/>
          <w:kern w:val="0"/>
          <w:sz w:val="32"/>
          <w:szCs w:val="32"/>
        </w:rPr>
        <w:t>重点围绕是否“超审</w:t>
      </w:r>
      <w:r>
        <w:rPr>
          <w:rFonts w:hint="default" w:ascii="Times New Roman" w:hAnsi="Times New Roman" w:eastAsia="仿宋_GB2312" w:cs="Times New Roman"/>
          <w:color w:val="auto"/>
          <w:kern w:val="2"/>
          <w:sz w:val="32"/>
          <w:szCs w:val="32"/>
          <w:lang w:val="en-US" w:eastAsia="zh-CN" w:bidi="ar-SA"/>
        </w:rPr>
        <w:t>批权限设置机构”“超规格超职数配备干部”“自行设置领导职务名称”等机构编制问题，对各机关事业单位全覆盖实地检查，建立整改任务清单，下发整改通知书16份，有效提高监督检查针对性和精准度，促进问题整改，强化机构编制刚性约束。</w:t>
      </w:r>
    </w:p>
    <w:p>
      <w:pPr>
        <w:keepNext w:val="0"/>
        <w:keepLines w:val="0"/>
        <w:pageBreakBefore w:val="0"/>
        <w:widowControl w:val="0"/>
        <w:kinsoku/>
        <w:wordWrap/>
        <w:overflowPunct/>
        <w:topLinePunct w:val="0"/>
        <w:autoSpaceDE/>
        <w:autoSpaceDN/>
        <w:bidi w:val="0"/>
        <w:adjustRightInd w:val="0"/>
        <w:snapToGrid w:val="0"/>
        <w:spacing w:line="576" w:lineRule="exact"/>
        <w:ind w:left="0" w:right="0" w:firstLine="640" w:firstLineChars="200"/>
        <w:contextualSpacing/>
        <w:jc w:val="both"/>
        <w:textAlignment w:val="auto"/>
        <w:rPr>
          <w:rFonts w:hint="default" w:ascii="Times New Roman" w:hAnsi="Times New Roman" w:eastAsia="楷体_GB2312" w:cs="Times New Roman"/>
          <w:b w:val="0"/>
          <w:bCs w:val="0"/>
          <w:color w:val="auto"/>
          <w:kern w:val="0"/>
          <w:sz w:val="32"/>
          <w:szCs w:val="32"/>
          <w:highlight w:val="none"/>
          <w:shd w:val="clear" w:color="auto" w:fill="FFFFFF"/>
          <w:lang w:val="zh-CN"/>
        </w:rPr>
      </w:pPr>
      <w:r>
        <w:rPr>
          <w:rFonts w:hint="default" w:ascii="Times New Roman" w:hAnsi="Times New Roman" w:eastAsia="楷体_GB2312" w:cs="Times New Roman"/>
          <w:b w:val="0"/>
          <w:bCs w:val="0"/>
          <w:color w:val="auto"/>
          <w:kern w:val="0"/>
          <w:sz w:val="32"/>
          <w:szCs w:val="32"/>
          <w:highlight w:val="none"/>
          <w:shd w:val="clear" w:color="auto" w:fill="FFFFFF"/>
          <w:lang w:val="zh-CN"/>
        </w:rPr>
        <w:t>（三）结果应用情况。</w:t>
      </w:r>
    </w:p>
    <w:p>
      <w:pPr>
        <w:pStyle w:val="7"/>
        <w:keepNext w:val="0"/>
        <w:keepLines w:val="0"/>
        <w:pageBreakBefore w:val="0"/>
        <w:widowControl w:val="0"/>
        <w:kinsoku/>
        <w:wordWrap/>
        <w:overflowPunct/>
        <w:topLinePunct w:val="0"/>
        <w:autoSpaceDE/>
        <w:autoSpaceDN/>
        <w:bidi w:val="0"/>
        <w:spacing w:beforeLines="0" w:line="576" w:lineRule="exact"/>
        <w:ind w:left="0" w:leftChars="0" w:right="0" w:firstLine="640" w:firstLineChars="200"/>
        <w:jc w:val="both"/>
        <w:textAlignment w:val="auto"/>
        <w:rPr>
          <w:rFonts w:hint="default" w:ascii="Times New Roman" w:hAnsi="Times New Roman" w:eastAsia="仿宋_GB2312" w:cs="Times New Roman"/>
          <w:b w:val="0"/>
          <w:bCs w:val="0"/>
          <w:color w:val="auto"/>
          <w:kern w:val="0"/>
          <w:sz w:val="32"/>
          <w:szCs w:val="32"/>
          <w:highlight w:val="none"/>
          <w:shd w:val="clear" w:color="auto" w:fill="FFFFFF"/>
          <w:lang w:val="zh-CN" w:eastAsia="zh-CN"/>
        </w:rPr>
      </w:pPr>
      <w:r>
        <w:rPr>
          <w:rFonts w:hint="default" w:ascii="Times New Roman" w:hAnsi="Times New Roman" w:cs="Times New Roman"/>
          <w:color w:val="auto"/>
          <w:sz w:val="32"/>
          <w:szCs w:val="32"/>
          <w:lang w:val="en-US" w:eastAsia="zh-CN"/>
        </w:rPr>
        <w:t>一是将绩效结果运用在单位内部。</w:t>
      </w:r>
      <w:r>
        <w:rPr>
          <w:rFonts w:hint="default" w:ascii="Times New Roman" w:hAnsi="Times New Roman" w:eastAsia="仿宋_GB2312" w:cs="Times New Roman"/>
          <w:b w:val="0"/>
          <w:bCs w:val="0"/>
          <w:color w:val="auto"/>
          <w:kern w:val="2"/>
          <w:sz w:val="32"/>
          <w:szCs w:val="32"/>
          <w:lang w:val="en-US" w:eastAsia="zh-CN" w:bidi="ar-SA"/>
        </w:rPr>
        <w:t>将内设机构和下属单位绩效自评纳入单位内部考核体系，建立对内设机构和下属单位预算与绩效挂钩机制，将绩效成果呈现给单位、职工，促进资金使用高效合理，减少预算支出的随意性和盲目性，提高预算管理水平；二是绩效自评公开。按照财务信息公开相关制度，将部门预算安</w:t>
      </w:r>
      <w:r>
        <w:rPr>
          <w:rFonts w:hint="default" w:ascii="Times New Roman" w:hAnsi="Times New Roman" w:cs="Times New Roman"/>
          <w:color w:val="auto"/>
          <w:sz w:val="32"/>
          <w:szCs w:val="32"/>
          <w:lang w:val="en-US" w:eastAsia="zh-CN"/>
        </w:rPr>
        <w:t>排情况、预算绩效目标和完成情况随部门预算、决算在区政府门户网站公开（2021年度绩效评价随决算公开），提高预算绩效的公开透明度，加大对各项支出特别是项目支出的监督和激励，确保职工对项目进度和支出的知情权；三是及时整改绩效反馈问题，对全面开展的事前绩效评估、事中绩效监控、事后绩效评价反馈的问题及时进行整改，并形成整改报告报送区财政局绩效管理股并及时将绩效应用结果（如绩效监控需要调整事项）反馈给财政部门。</w:t>
      </w:r>
    </w:p>
    <w:p>
      <w:pPr>
        <w:keepNext w:val="0"/>
        <w:keepLines w:val="0"/>
        <w:pageBreakBefore w:val="0"/>
        <w:widowControl w:val="0"/>
        <w:numPr>
          <w:ilvl w:val="0"/>
          <w:numId w:val="6"/>
        </w:numPr>
        <w:kinsoku/>
        <w:wordWrap/>
        <w:overflowPunct/>
        <w:topLinePunct w:val="0"/>
        <w:autoSpaceDE/>
        <w:autoSpaceDN/>
        <w:bidi w:val="0"/>
        <w:adjustRightInd w:val="0"/>
        <w:snapToGrid w:val="0"/>
        <w:spacing w:line="576" w:lineRule="exact"/>
        <w:ind w:left="0" w:right="0" w:firstLine="640" w:firstLineChars="200"/>
        <w:contextualSpacing/>
        <w:jc w:val="both"/>
        <w:textAlignment w:val="auto"/>
        <w:rPr>
          <w:rFonts w:hint="default" w:ascii="Times New Roman" w:hAnsi="Times New Roman" w:eastAsia="楷体_GB2312" w:cs="Times New Roman"/>
          <w:b w:val="0"/>
          <w:bCs w:val="0"/>
          <w:color w:val="auto"/>
          <w:kern w:val="0"/>
          <w:sz w:val="32"/>
          <w:szCs w:val="32"/>
          <w:highlight w:val="none"/>
          <w:shd w:val="clear" w:color="auto" w:fill="FFFFFF"/>
          <w:lang w:val="zh-CN"/>
        </w:rPr>
      </w:pPr>
      <w:r>
        <w:rPr>
          <w:rFonts w:hint="default" w:ascii="Times New Roman" w:hAnsi="Times New Roman" w:eastAsia="楷体_GB2312" w:cs="Times New Roman"/>
          <w:b w:val="0"/>
          <w:bCs w:val="0"/>
          <w:color w:val="auto"/>
          <w:kern w:val="0"/>
          <w:sz w:val="32"/>
          <w:szCs w:val="32"/>
          <w:highlight w:val="none"/>
          <w:shd w:val="clear" w:color="auto" w:fill="FFFFFF"/>
          <w:lang w:val="zh-CN"/>
        </w:rPr>
        <w:t>自评质量。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firstLine="640" w:firstLineChars="200"/>
        <w:jc w:val="both"/>
        <w:textAlignment w:val="auto"/>
        <w:rPr>
          <w:rFonts w:hint="default" w:ascii="Times New Roman" w:hAnsi="Times New Roman" w:eastAsia="仿宋_GB2312" w:cs="Times New Roman"/>
          <w:b w:val="0"/>
          <w:bCs w:val="0"/>
          <w:color w:val="auto"/>
          <w:kern w:val="0"/>
          <w:sz w:val="32"/>
          <w:szCs w:val="32"/>
          <w:highlight w:val="none"/>
          <w:shd w:val="clear" w:color="auto" w:fill="FFFFFF"/>
          <w:lang w:val="en-US" w:eastAsia="zh-CN"/>
        </w:rPr>
      </w:pPr>
      <w:r>
        <w:rPr>
          <w:rFonts w:hint="default" w:ascii="Times New Roman" w:hAnsi="Times New Roman" w:eastAsia="仿宋_GB2312" w:cs="Times New Roman"/>
          <w:b w:val="0"/>
          <w:bCs w:val="0"/>
          <w:color w:val="auto"/>
          <w:kern w:val="2"/>
          <w:sz w:val="32"/>
          <w:szCs w:val="32"/>
          <w:lang w:val="en-US" w:eastAsia="zh-CN" w:bidi="ar-SA"/>
        </w:rPr>
        <w:t>按照预算绩效管理要求，整体支出绩效自评围绕人员类、公用经费类、其他运转类年初预算、支出时间和产出效益等方面开展自评，科学</w:t>
      </w:r>
      <w:r>
        <w:rPr>
          <w:rFonts w:hint="eastAsia" w:eastAsia="仿宋_GB2312" w:cs="Times New Roman"/>
          <w:b w:val="0"/>
          <w:bCs w:val="0"/>
          <w:color w:val="auto"/>
          <w:kern w:val="2"/>
          <w:sz w:val="32"/>
          <w:szCs w:val="32"/>
          <w:lang w:val="en-US" w:eastAsia="zh-CN" w:bidi="ar-SA"/>
        </w:rPr>
        <w:t>地</w:t>
      </w:r>
      <w:r>
        <w:rPr>
          <w:rFonts w:hint="default" w:ascii="Times New Roman" w:hAnsi="Times New Roman" w:eastAsia="仿宋_GB2312" w:cs="Times New Roman"/>
          <w:b w:val="0"/>
          <w:bCs w:val="0"/>
          <w:color w:val="auto"/>
          <w:kern w:val="2"/>
          <w:sz w:val="32"/>
          <w:szCs w:val="32"/>
          <w:lang w:val="en-US" w:eastAsia="zh-CN" w:bidi="ar-SA"/>
        </w:rPr>
        <w:t>监测部门整体支出情况，根据各类明细项目打分，有效合理</w:t>
      </w:r>
      <w:r>
        <w:rPr>
          <w:rFonts w:hint="eastAsia" w:eastAsia="仿宋_GB2312" w:cs="Times New Roman"/>
          <w:b w:val="0"/>
          <w:bCs w:val="0"/>
          <w:color w:val="auto"/>
          <w:kern w:val="2"/>
          <w:sz w:val="32"/>
          <w:szCs w:val="32"/>
          <w:lang w:val="en-US" w:eastAsia="zh-CN" w:bidi="ar-SA"/>
        </w:rPr>
        <w:t>地</w:t>
      </w:r>
      <w:r>
        <w:rPr>
          <w:rFonts w:hint="default" w:ascii="Times New Roman" w:hAnsi="Times New Roman" w:eastAsia="仿宋_GB2312" w:cs="Times New Roman"/>
          <w:b w:val="0"/>
          <w:bCs w:val="0"/>
          <w:color w:val="auto"/>
          <w:kern w:val="2"/>
          <w:sz w:val="32"/>
          <w:szCs w:val="32"/>
          <w:lang w:val="en-US" w:eastAsia="zh-CN" w:bidi="ar-SA"/>
        </w:rPr>
        <w:t>评价支出</w:t>
      </w:r>
      <w:r>
        <w:rPr>
          <w:rFonts w:hint="default" w:ascii="Times New Roman" w:hAnsi="Times New Roman" w:eastAsia="仿宋_GB2312" w:cs="Times New Roman"/>
          <w:color w:val="auto"/>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576" w:lineRule="exact"/>
        <w:ind w:left="0" w:right="0" w:firstLine="640" w:firstLineChars="200"/>
        <w:contextualSpacing/>
        <w:jc w:val="both"/>
        <w:textAlignment w:val="auto"/>
        <w:rPr>
          <w:rFonts w:hint="default" w:ascii="Times New Roman" w:hAnsi="Times New Roman" w:eastAsia="黑体" w:cs="Times New Roman"/>
          <w:color w:val="auto"/>
          <w:kern w:val="0"/>
          <w:sz w:val="32"/>
          <w:szCs w:val="32"/>
          <w:highlight w:val="none"/>
          <w:shd w:val="clear" w:color="auto" w:fill="FFFFFF"/>
        </w:rPr>
      </w:pPr>
      <w:r>
        <w:rPr>
          <w:rFonts w:hint="default" w:ascii="Times New Roman" w:hAnsi="Times New Roman" w:eastAsia="黑体" w:cs="Times New Roman"/>
          <w:color w:val="auto"/>
          <w:kern w:val="0"/>
          <w:sz w:val="32"/>
          <w:szCs w:val="32"/>
          <w:highlight w:val="none"/>
          <w:shd w:val="clear" w:color="auto" w:fill="FFFFFF"/>
        </w:rPr>
        <w:t>四、评价结论及建议</w:t>
      </w:r>
    </w:p>
    <w:p>
      <w:pPr>
        <w:keepNext w:val="0"/>
        <w:keepLines w:val="0"/>
        <w:pageBreakBefore w:val="0"/>
        <w:widowControl w:val="0"/>
        <w:kinsoku/>
        <w:wordWrap/>
        <w:overflowPunct/>
        <w:topLinePunct w:val="0"/>
        <w:autoSpaceDE/>
        <w:autoSpaceDN/>
        <w:bidi w:val="0"/>
        <w:adjustRightInd w:val="0"/>
        <w:snapToGrid w:val="0"/>
        <w:spacing w:line="576" w:lineRule="exact"/>
        <w:ind w:left="0" w:right="0" w:firstLine="640" w:firstLineChars="200"/>
        <w:contextualSpacing/>
        <w:jc w:val="both"/>
        <w:textAlignment w:val="auto"/>
        <w:rPr>
          <w:rFonts w:hint="default" w:ascii="Times New Roman" w:hAnsi="Times New Roman" w:eastAsia="楷体_GB2312" w:cs="Times New Roman"/>
          <w:b w:val="0"/>
          <w:bCs w:val="0"/>
          <w:color w:val="auto"/>
          <w:kern w:val="0"/>
          <w:sz w:val="32"/>
          <w:szCs w:val="32"/>
          <w:highlight w:val="none"/>
          <w:shd w:val="clear" w:color="auto" w:fill="FFFFFF"/>
          <w:lang w:val="zh-CN"/>
        </w:rPr>
      </w:pPr>
      <w:r>
        <w:rPr>
          <w:rFonts w:hint="default" w:ascii="Times New Roman" w:hAnsi="Times New Roman" w:eastAsia="楷体_GB2312" w:cs="Times New Roman"/>
          <w:b w:val="0"/>
          <w:bCs w:val="0"/>
          <w:color w:val="auto"/>
          <w:kern w:val="0"/>
          <w:sz w:val="32"/>
          <w:szCs w:val="32"/>
          <w:highlight w:val="none"/>
          <w:shd w:val="clear" w:color="auto" w:fill="FFFFFF"/>
          <w:lang w:val="zh-CN"/>
        </w:rPr>
        <w:t>（一）评价结论。</w:t>
      </w:r>
    </w:p>
    <w:p>
      <w:pPr>
        <w:pStyle w:val="7"/>
        <w:keepNext w:val="0"/>
        <w:keepLines w:val="0"/>
        <w:pageBreakBefore w:val="0"/>
        <w:widowControl w:val="0"/>
        <w:kinsoku/>
        <w:wordWrap/>
        <w:overflowPunct/>
        <w:topLinePunct w:val="0"/>
        <w:bidi w:val="0"/>
        <w:spacing w:beforeLines="0" w:line="576" w:lineRule="exact"/>
        <w:ind w:left="0" w:right="0" w:firstLine="600" w:firstLineChars="200"/>
        <w:jc w:val="both"/>
        <w:textAlignment w:val="auto"/>
        <w:rPr>
          <w:rFonts w:hint="default" w:ascii="Times New Roman" w:hAnsi="Times New Roman" w:cs="Times New Roman"/>
          <w:lang w:val="zh-CN"/>
        </w:rPr>
      </w:pPr>
      <w:r>
        <w:rPr>
          <w:rFonts w:hint="default" w:ascii="Times New Roman" w:hAnsi="Times New Roman" w:cs="Times New Roman"/>
          <w:lang w:val="zh-CN" w:eastAsia="zh-CN"/>
        </w:rPr>
        <w:t>区委编办严格</w:t>
      </w:r>
      <w:r>
        <w:rPr>
          <w:rFonts w:hint="default" w:ascii="Times New Roman" w:hAnsi="Times New Roman" w:cs="Times New Roman"/>
          <w:lang w:val="zh-CN"/>
        </w:rPr>
        <w:t>按照《广元市昭化区人民政府办公室关于印发&lt;广元市昭化区财政</w:t>
      </w:r>
      <w:r>
        <w:rPr>
          <w:rFonts w:hint="default" w:ascii="Times New Roman" w:hAnsi="Times New Roman" w:cs="Times New Roman"/>
          <w:lang w:val="zh-CN" w:eastAsia="zh-CN"/>
        </w:rPr>
        <w:t>支出事后绩效评价管理办法</w:t>
      </w:r>
      <w:r>
        <w:rPr>
          <w:rFonts w:hint="default" w:ascii="Times New Roman" w:hAnsi="Times New Roman" w:cs="Times New Roman"/>
          <w:lang w:val="zh-CN"/>
        </w:rPr>
        <w:t>&gt;的通知》(昭府办函〔20</w:t>
      </w:r>
      <w:r>
        <w:rPr>
          <w:rFonts w:hint="default" w:ascii="Times New Roman" w:hAnsi="Times New Roman" w:cs="Times New Roman"/>
          <w:lang w:val="zh-CN" w:eastAsia="zh-CN"/>
        </w:rPr>
        <w:t>22</w:t>
      </w:r>
      <w:r>
        <w:rPr>
          <w:rFonts w:hint="default" w:ascii="Times New Roman" w:hAnsi="Times New Roman" w:cs="Times New Roman"/>
          <w:lang w:val="zh-CN"/>
        </w:rPr>
        <w:t>〕</w:t>
      </w:r>
      <w:r>
        <w:rPr>
          <w:rFonts w:hint="default" w:ascii="Times New Roman" w:hAnsi="Times New Roman" w:cs="Times New Roman"/>
          <w:lang w:val="zh-CN" w:eastAsia="zh-CN"/>
        </w:rPr>
        <w:t>37</w:t>
      </w:r>
      <w:r>
        <w:rPr>
          <w:rFonts w:hint="default" w:ascii="Times New Roman" w:hAnsi="Times New Roman" w:cs="Times New Roman"/>
          <w:lang w:val="zh-CN"/>
        </w:rPr>
        <w:t>号)</w:t>
      </w:r>
      <w:r>
        <w:rPr>
          <w:rFonts w:hint="default" w:ascii="Times New Roman" w:hAnsi="Times New Roman" w:cs="Times New Roman"/>
          <w:lang w:val="zh-CN" w:eastAsia="zh-CN"/>
        </w:rPr>
        <w:t>附件的《部门整体支出</w:t>
      </w:r>
      <w:r>
        <w:rPr>
          <w:rFonts w:hint="default" w:ascii="Times New Roman" w:hAnsi="Times New Roman" w:cs="Times New Roman"/>
          <w:lang w:val="zh-CN"/>
        </w:rPr>
        <w:t>绩效评价指标体系</w:t>
      </w:r>
      <w:r>
        <w:rPr>
          <w:rFonts w:hint="default" w:ascii="Times New Roman" w:hAnsi="Times New Roman" w:cs="Times New Roman"/>
          <w:lang w:val="zh-CN" w:eastAsia="zh-CN"/>
        </w:rPr>
        <w:t>》</w:t>
      </w:r>
      <w:r>
        <w:rPr>
          <w:rFonts w:hint="default" w:ascii="Times New Roman" w:hAnsi="Times New Roman" w:cs="Times New Roman"/>
          <w:lang w:val="zh-CN"/>
        </w:rPr>
        <w:t>开展绩效评价</w:t>
      </w:r>
      <w:r>
        <w:rPr>
          <w:rFonts w:hint="default" w:ascii="Times New Roman" w:hAnsi="Times New Roman" w:cs="Times New Roman"/>
          <w:lang w:val="zh-CN" w:eastAsia="zh-CN"/>
        </w:rPr>
        <w:t>，</w:t>
      </w:r>
      <w:r>
        <w:rPr>
          <w:rFonts w:hint="default" w:ascii="Times New Roman" w:hAnsi="Times New Roman" w:cs="Times New Roman"/>
          <w:lang w:val="zh-CN"/>
        </w:rPr>
        <w:t>自评得分为</w:t>
      </w:r>
      <w:r>
        <w:rPr>
          <w:rFonts w:hint="default" w:ascii="Times New Roman" w:hAnsi="Times New Roman" w:cs="Times New Roman"/>
          <w:lang w:val="zh-CN" w:eastAsia="zh-CN"/>
        </w:rPr>
        <w:t>95</w:t>
      </w:r>
      <w:r>
        <w:rPr>
          <w:rFonts w:hint="default" w:ascii="Times New Roman" w:hAnsi="Times New Roman" w:cs="Times New Roman"/>
          <w:lang w:val="zh-CN"/>
        </w:rPr>
        <w:t>分，根据（昭府办函〔20</w:t>
      </w:r>
      <w:r>
        <w:rPr>
          <w:rFonts w:hint="default" w:ascii="Times New Roman" w:hAnsi="Times New Roman" w:cs="Times New Roman"/>
          <w:lang w:val="zh-CN" w:eastAsia="zh-CN"/>
        </w:rPr>
        <w:t>22</w:t>
      </w:r>
      <w:r>
        <w:rPr>
          <w:rFonts w:hint="default" w:ascii="Times New Roman" w:hAnsi="Times New Roman" w:cs="Times New Roman"/>
          <w:lang w:val="zh-CN"/>
        </w:rPr>
        <w:t>〕</w:t>
      </w:r>
      <w:r>
        <w:rPr>
          <w:rFonts w:hint="default" w:ascii="Times New Roman" w:hAnsi="Times New Roman" w:cs="Times New Roman"/>
          <w:lang w:val="zh-CN" w:eastAsia="zh-CN"/>
        </w:rPr>
        <w:t>37</w:t>
      </w:r>
      <w:r>
        <w:rPr>
          <w:rFonts w:hint="default" w:ascii="Times New Roman" w:hAnsi="Times New Roman" w:cs="Times New Roman"/>
          <w:lang w:val="zh-CN"/>
        </w:rPr>
        <w:t>号）文件规定，考核得分在90分至100分的为优），因此我单位202</w:t>
      </w:r>
      <w:r>
        <w:rPr>
          <w:rFonts w:hint="default" w:ascii="Times New Roman" w:hAnsi="Times New Roman" w:cs="Times New Roman"/>
          <w:lang w:val="zh-CN" w:eastAsia="zh-CN"/>
        </w:rPr>
        <w:t>2</w:t>
      </w:r>
      <w:r>
        <w:rPr>
          <w:rFonts w:hint="default" w:ascii="Times New Roman" w:hAnsi="Times New Roman" w:cs="Times New Roman"/>
          <w:lang w:val="zh-CN"/>
        </w:rPr>
        <w:t>年部门整体支出绩效评价为优秀。</w:t>
      </w:r>
    </w:p>
    <w:p>
      <w:pPr>
        <w:keepNext w:val="0"/>
        <w:keepLines w:val="0"/>
        <w:pageBreakBefore w:val="0"/>
        <w:widowControl w:val="0"/>
        <w:kinsoku/>
        <w:wordWrap/>
        <w:overflowPunct/>
        <w:topLinePunct w:val="0"/>
        <w:autoSpaceDE/>
        <w:autoSpaceDN/>
        <w:bidi w:val="0"/>
        <w:adjustRightInd w:val="0"/>
        <w:snapToGrid w:val="0"/>
        <w:spacing w:line="576" w:lineRule="exact"/>
        <w:ind w:left="0" w:right="0" w:firstLine="640" w:firstLineChars="200"/>
        <w:contextualSpacing/>
        <w:jc w:val="both"/>
        <w:textAlignment w:val="auto"/>
        <w:rPr>
          <w:rFonts w:hint="default" w:ascii="Times New Roman" w:hAnsi="Times New Roman" w:cs="Times New Roman"/>
          <w:b w:val="0"/>
          <w:bCs w:val="0"/>
          <w:lang w:val="zh-CN"/>
        </w:rPr>
      </w:pPr>
      <w:r>
        <w:rPr>
          <w:rFonts w:hint="default" w:ascii="Times New Roman" w:hAnsi="Times New Roman" w:eastAsia="楷体_GB2312" w:cs="Times New Roman"/>
          <w:b w:val="0"/>
          <w:bCs w:val="0"/>
          <w:color w:val="auto"/>
          <w:kern w:val="0"/>
          <w:sz w:val="32"/>
          <w:szCs w:val="32"/>
          <w:highlight w:val="none"/>
          <w:shd w:val="clear" w:color="auto" w:fill="FFFFFF"/>
          <w:lang w:val="zh-CN"/>
        </w:rPr>
        <w:t>（二）存在问题。</w:t>
      </w:r>
    </w:p>
    <w:p>
      <w:pPr>
        <w:pStyle w:val="7"/>
        <w:keepNext w:val="0"/>
        <w:keepLines w:val="0"/>
        <w:pageBreakBefore w:val="0"/>
        <w:widowControl w:val="0"/>
        <w:kinsoku/>
        <w:wordWrap/>
        <w:overflowPunct/>
        <w:topLinePunct w:val="0"/>
        <w:autoSpaceDE/>
        <w:autoSpaceDN/>
        <w:bidi w:val="0"/>
        <w:spacing w:beforeLines="0" w:line="576" w:lineRule="exact"/>
        <w:ind w:left="0" w:leftChars="0" w:right="0" w:firstLine="640" w:firstLineChars="200"/>
        <w:jc w:val="both"/>
        <w:textAlignment w:val="auto"/>
        <w:rPr>
          <w:rFonts w:hint="default" w:ascii="Times New Roman" w:hAnsi="Times New Roman" w:cs="Times New Roman"/>
          <w:lang w:val="zh-CN"/>
        </w:rPr>
      </w:pPr>
      <w:r>
        <w:rPr>
          <w:rFonts w:hint="default" w:ascii="Times New Roman" w:hAnsi="Times New Roman" w:cs="Times New Roman"/>
          <w:b w:val="0"/>
          <w:bCs w:val="0"/>
          <w:color w:val="auto"/>
          <w:sz w:val="32"/>
          <w:szCs w:val="32"/>
          <w:lang w:val="en-US" w:eastAsia="zh-CN"/>
        </w:rPr>
        <w:t>因财政资金紧张，需财政审核后支付的公用经费、特定运转类项目资金支付进度缓慢，年度内预算执行率低</w:t>
      </w:r>
      <w:r>
        <w:rPr>
          <w:rFonts w:hint="default" w:ascii="Times New Roman" w:hAnsi="Times New Roman" w:eastAsia="仿宋_GB2312" w:cs="Times New Roman"/>
          <w:b w:val="0"/>
          <w:bCs w:val="0"/>
          <w:color w:val="auto"/>
          <w:sz w:val="32"/>
          <w:szCs w:val="32"/>
          <w:lang w:val="en-US" w:eastAsia="zh-CN"/>
        </w:rPr>
        <w:t>。</w:t>
      </w:r>
    </w:p>
    <w:p>
      <w:pPr>
        <w:keepNext w:val="0"/>
        <w:keepLines w:val="0"/>
        <w:pageBreakBefore w:val="0"/>
        <w:widowControl w:val="0"/>
        <w:numPr>
          <w:ilvl w:val="0"/>
          <w:numId w:val="5"/>
        </w:numPr>
        <w:kinsoku/>
        <w:wordWrap/>
        <w:overflowPunct/>
        <w:topLinePunct w:val="0"/>
        <w:autoSpaceDE/>
        <w:autoSpaceDN/>
        <w:bidi w:val="0"/>
        <w:adjustRightInd w:val="0"/>
        <w:snapToGrid w:val="0"/>
        <w:spacing w:line="576" w:lineRule="exact"/>
        <w:ind w:left="0" w:leftChars="0" w:right="0" w:firstLine="640" w:firstLineChars="200"/>
        <w:contextualSpacing/>
        <w:jc w:val="both"/>
        <w:textAlignment w:val="auto"/>
        <w:rPr>
          <w:rFonts w:hint="default" w:ascii="Times New Roman" w:hAnsi="Times New Roman" w:eastAsia="楷体_GB2312" w:cs="Times New Roman"/>
          <w:b w:val="0"/>
          <w:bCs w:val="0"/>
          <w:color w:val="auto"/>
          <w:kern w:val="0"/>
          <w:sz w:val="32"/>
          <w:szCs w:val="32"/>
          <w:highlight w:val="none"/>
          <w:shd w:val="clear" w:color="auto" w:fill="FFFFFF"/>
          <w:lang w:val="zh-CN"/>
        </w:rPr>
      </w:pPr>
      <w:r>
        <w:rPr>
          <w:rFonts w:hint="default" w:ascii="Times New Roman" w:hAnsi="Times New Roman" w:eastAsia="楷体_GB2312" w:cs="Times New Roman"/>
          <w:b w:val="0"/>
          <w:bCs w:val="0"/>
          <w:color w:val="auto"/>
          <w:kern w:val="0"/>
          <w:sz w:val="32"/>
          <w:szCs w:val="32"/>
          <w:highlight w:val="none"/>
          <w:shd w:val="clear" w:color="auto" w:fill="FFFFFF"/>
          <w:lang w:val="zh-CN"/>
        </w:rPr>
        <w:t>改进建议。</w:t>
      </w:r>
    </w:p>
    <w:p>
      <w:pPr>
        <w:pStyle w:val="7"/>
        <w:keepNext w:val="0"/>
        <w:keepLines w:val="0"/>
        <w:pageBreakBefore w:val="0"/>
        <w:widowControl w:val="0"/>
        <w:kinsoku/>
        <w:wordWrap/>
        <w:overflowPunct/>
        <w:topLinePunct w:val="0"/>
        <w:autoSpaceDE/>
        <w:autoSpaceDN/>
        <w:bidi w:val="0"/>
        <w:spacing w:beforeLines="0" w:line="576" w:lineRule="exact"/>
        <w:ind w:left="0" w:leftChars="0" w:right="0" w:firstLine="640" w:firstLineChars="200"/>
        <w:jc w:val="both"/>
        <w:textAlignment w:val="auto"/>
        <w:rPr>
          <w:rFonts w:hint="default" w:ascii="Times New Roman" w:hAnsi="Times New Roman" w:cs="Times New Roman"/>
          <w:b w:val="0"/>
          <w:bCs w:val="0"/>
          <w:color w:val="auto"/>
          <w:sz w:val="32"/>
          <w:szCs w:val="32"/>
          <w:lang w:val="zh-CN" w:eastAsia="zh-CN"/>
        </w:rPr>
      </w:pPr>
      <w:r>
        <w:rPr>
          <w:rFonts w:hint="default" w:ascii="Times New Roman" w:hAnsi="Times New Roman" w:cs="Times New Roman"/>
          <w:b w:val="0"/>
          <w:bCs w:val="0"/>
          <w:color w:val="auto"/>
          <w:sz w:val="32"/>
          <w:szCs w:val="32"/>
          <w:lang w:val="zh-CN" w:eastAsia="zh-CN"/>
        </w:rPr>
        <w:t>根据财政要求，按照“上四下六”原则，及时审批计划申请，加快预算执行进度。</w:t>
      </w:r>
    </w:p>
    <w:p>
      <w:pPr>
        <w:pStyle w:val="17"/>
        <w:keepNext w:val="0"/>
        <w:keepLines w:val="0"/>
        <w:pageBreakBefore w:val="0"/>
        <w:numPr>
          <w:ilvl w:val="0"/>
          <w:numId w:val="0"/>
        </w:numPr>
        <w:kinsoku/>
        <w:wordWrap/>
        <w:overflowPunct/>
        <w:topLinePunct w:val="0"/>
        <w:autoSpaceDE/>
        <w:autoSpaceDN/>
        <w:bidi w:val="0"/>
        <w:spacing w:line="560" w:lineRule="exact"/>
        <w:textAlignment w:val="auto"/>
        <w:rPr>
          <w:rFonts w:hint="eastAsia" w:hAnsi="Times New Roman" w:cs="Times New Roman"/>
          <w:color w:val="auto"/>
          <w:sz w:val="32"/>
          <w:szCs w:val="32"/>
          <w:highlight w:val="none"/>
          <w:lang w:val="zh-CN" w:eastAsia="zh-CN"/>
        </w:rPr>
      </w:pPr>
    </w:p>
    <w:p>
      <w:pPr>
        <w:pStyle w:val="7"/>
        <w:rPr>
          <w:rFonts w:hint="default" w:hAnsi="宋体" w:eastAsia="仿宋_GB2312" w:cs="宋体"/>
          <w:color w:val="auto"/>
          <w:kern w:val="0"/>
          <w:sz w:val="32"/>
          <w:szCs w:val="32"/>
          <w:highlight w:val="none"/>
          <w:shd w:val="clear" w:color="auto" w:fill="FFFFFF"/>
          <w:lang w:val="en-US" w:eastAsia="zh-CN"/>
        </w:rPr>
      </w:pPr>
      <w:r>
        <w:rPr>
          <w:rFonts w:hint="eastAsia" w:hAnsi="宋体" w:cs="宋体"/>
          <w:color w:val="auto"/>
          <w:kern w:val="0"/>
          <w:sz w:val="32"/>
          <w:szCs w:val="32"/>
          <w:highlight w:val="none"/>
          <w:shd w:val="clear" w:color="auto" w:fill="FFFFFF"/>
          <w:lang w:val="en-US" w:eastAsia="zh-CN"/>
        </w:rPr>
        <w:t xml:space="preserve">    附表：区委编办2022年部门整体支出绩效目标自评表</w:t>
      </w:r>
    </w:p>
    <w:p>
      <w:pPr>
        <w:spacing w:line="600" w:lineRule="exact"/>
        <w:jc w:val="center"/>
        <w:outlineLvl w:val="0"/>
        <w:rPr>
          <w:rFonts w:hint="eastAsia" w:ascii="黑体" w:hAnsi="黑体" w:eastAsia="黑体"/>
          <w:color w:val="auto"/>
          <w:sz w:val="44"/>
          <w:szCs w:val="44"/>
          <w:highlight w:val="none"/>
        </w:rPr>
      </w:pPr>
      <w:bookmarkStart w:id="53" w:name="_Toc15396618"/>
    </w:p>
    <w:p>
      <w:pPr>
        <w:spacing w:line="600" w:lineRule="exact"/>
        <w:jc w:val="center"/>
        <w:outlineLvl w:val="0"/>
        <w:rPr>
          <w:rFonts w:hint="default" w:ascii="仿宋_GB2312" w:hAnsi="宋体" w:eastAsia="仿宋_GB2312" w:cs="宋体"/>
          <w:color w:val="auto"/>
          <w:kern w:val="0"/>
          <w:sz w:val="32"/>
          <w:szCs w:val="32"/>
          <w:highlight w:val="none"/>
          <w:shd w:val="clear" w:color="auto" w:fill="FFFFFF"/>
          <w:lang w:val="en-US" w:eastAsia="zh-CN" w:bidi="ar-SA"/>
        </w:rPr>
      </w:pPr>
      <w:r>
        <w:rPr>
          <w:rFonts w:hint="eastAsia" w:ascii="仿宋_GB2312" w:hAnsi="宋体" w:eastAsia="仿宋_GB2312" w:cs="宋体"/>
          <w:color w:val="auto"/>
          <w:kern w:val="0"/>
          <w:sz w:val="32"/>
          <w:szCs w:val="32"/>
          <w:highlight w:val="none"/>
          <w:shd w:val="clear" w:color="auto" w:fill="FFFFFF"/>
          <w:lang w:val="en-US" w:eastAsia="zh-CN" w:bidi="ar-SA"/>
        </w:rPr>
        <w:t xml:space="preserve">                         2023年9月25日</w:t>
      </w:r>
    </w:p>
    <w:p>
      <w:pPr>
        <w:spacing w:line="600" w:lineRule="exact"/>
        <w:jc w:val="both"/>
        <w:outlineLvl w:val="0"/>
        <w:rPr>
          <w:rFonts w:hint="eastAsia" w:ascii="黑体" w:hAnsi="黑体" w:eastAsia="黑体"/>
          <w:color w:val="auto"/>
          <w:sz w:val="44"/>
          <w:szCs w:val="44"/>
          <w:highlight w:val="none"/>
        </w:rPr>
      </w:pPr>
    </w:p>
    <w:tbl>
      <w:tblPr>
        <w:tblStyle w:val="18"/>
        <w:tblW w:w="9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6"/>
        <w:gridCol w:w="662"/>
        <w:gridCol w:w="932"/>
        <w:gridCol w:w="384"/>
        <w:gridCol w:w="816"/>
        <w:gridCol w:w="680"/>
        <w:gridCol w:w="816"/>
        <w:gridCol w:w="1944"/>
        <w:gridCol w:w="18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9120" w:type="dxa"/>
            <w:gridSpan w:val="9"/>
            <w:tcBorders>
              <w:top w:val="nil"/>
              <w:left w:val="nil"/>
              <w:bottom w:val="nil"/>
              <w:right w:val="nil"/>
            </w:tcBorders>
            <w:shd w:val="clear" w:color="auto" w:fill="auto"/>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i w:val="0"/>
                <w:iCs w:val="0"/>
                <w:color w:val="000000"/>
                <w:kern w:val="0"/>
                <w:sz w:val="44"/>
                <w:szCs w:val="44"/>
                <w:u w:val="none"/>
                <w:lang w:val="en-US" w:eastAsia="zh-CN"/>
              </w:rPr>
            </w:pPr>
            <w:r>
              <w:rPr>
                <w:rFonts w:hint="eastAsia" w:ascii="仿宋_GB2312" w:hAnsi="仿宋_GB2312" w:eastAsia="仿宋_GB2312" w:cs="仿宋_GB2312"/>
                <w:i w:val="0"/>
                <w:iCs w:val="0"/>
                <w:color w:val="000000"/>
                <w:kern w:val="0"/>
                <w:sz w:val="32"/>
                <w:szCs w:val="32"/>
                <w:u w:val="none"/>
                <w:lang w:val="en-US" w:eastAsia="zh-CN"/>
              </w:rPr>
              <w:t>附表</w:t>
            </w:r>
          </w:p>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rPr>
              <w:t>广元市昭化区部门整体支出绩效目标自评表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120" w:type="dxa"/>
            <w:gridSpan w:val="9"/>
            <w:tcBorders>
              <w:top w:val="nil"/>
              <w:left w:val="nil"/>
              <w:bottom w:val="nil"/>
              <w:right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主管部门</w:t>
            </w:r>
          </w:p>
        </w:tc>
        <w:tc>
          <w:tcPr>
            <w:tcW w:w="28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中共广元市昭化区委机构编制委员会办公室</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实施单位</w:t>
            </w:r>
          </w:p>
        </w:tc>
        <w:tc>
          <w:tcPr>
            <w:tcW w:w="4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中共广元市昭化区委机构编制委员会办公室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1524" w:type="dxa"/>
            <w:gridSpan w:val="2"/>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项目（政策）资金（万元）</w:t>
            </w:r>
          </w:p>
        </w:tc>
        <w:tc>
          <w:tcPr>
            <w:tcW w:w="13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年初预算</w:t>
            </w:r>
          </w:p>
        </w:tc>
        <w:tc>
          <w:tcPr>
            <w:tcW w:w="1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全年预算数</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全年执行数</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524"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年度资金总额</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240.97</w:t>
            </w:r>
          </w:p>
        </w:tc>
        <w:tc>
          <w:tcPr>
            <w:tcW w:w="1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240.97</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240.97</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1524"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（一）财政拨款小计</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240.97</w:t>
            </w:r>
          </w:p>
        </w:tc>
        <w:tc>
          <w:tcPr>
            <w:tcW w:w="1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240.97</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240.97</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1524"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1.一般公共预算</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240.97</w:t>
            </w:r>
          </w:p>
        </w:tc>
        <w:tc>
          <w:tcPr>
            <w:tcW w:w="1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240.97</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240.97</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1524"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2.政府性基金</w:t>
            </w:r>
          </w:p>
        </w:tc>
        <w:tc>
          <w:tcPr>
            <w:tcW w:w="713"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1524"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3.国有资本经营预算</w:t>
            </w:r>
          </w:p>
        </w:tc>
        <w:tc>
          <w:tcPr>
            <w:tcW w:w="713"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524"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4.社保基金</w:t>
            </w:r>
          </w:p>
        </w:tc>
        <w:tc>
          <w:tcPr>
            <w:tcW w:w="713"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524"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（二）其他资金</w:t>
            </w:r>
          </w:p>
        </w:tc>
        <w:tc>
          <w:tcPr>
            <w:tcW w:w="713" w:type="dxa"/>
            <w:tcBorders>
              <w:top w:val="single" w:color="000000" w:sz="4" w:space="0"/>
              <w:left w:val="nil"/>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年度总体目标</w:t>
            </w:r>
          </w:p>
        </w:tc>
        <w:tc>
          <w:tcPr>
            <w:tcW w:w="420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预期目标</w:t>
            </w:r>
          </w:p>
        </w:tc>
        <w:tc>
          <w:tcPr>
            <w:tcW w:w="4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0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按月打卡发放工资，及时缴纳养老、医疗保险，公积金等；完成全区机关事业单位中文域名新注册、更新、核销；分类推进扩权赋能，健全完善乡镇机构管理体制，优化调整各镇编制资源，建立动态调整机制。完成其他领域综合行政执法改革，务实推进乡镇综合行政执法改革工作，研制各部门所属事业单位改革方案，规范事业单位工作职责，盘活编制资源。落实事业单位法人公示信息抽查工作；对更新后的事业单位重新登记，每年3月份之前完成上年度年检，并予以公示公告；完善部门清单动态管理机制，做好行政权力事项下放乡镇（街道），整合基层审批服务和执法力量，明确各机构的职能职责，优化各类资源要素配置，提升乡镇公共服务效能，保障机关干部出差、培训、会议等日常工作所需。</w:t>
            </w:r>
          </w:p>
        </w:tc>
        <w:tc>
          <w:tcPr>
            <w:tcW w:w="4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深化重点行业领域体制机制改革，有序推动国家安全、国防动员、行政复议等重点改革任务的落实见效;扎实推进综合行政执法改革。全面推行“一办一队三中心+”昭化模式和探索构建基层消防安全治理能力昭化方法和路径;聚焦中心大局，紧扣“绿色家居产业优城”和工业经济发展，组建区绿色家居产业推进中心等事业单位，重点经济部门所属事业单位增核事业编制和科级领导职数；用活空缺编制优</w:t>
            </w:r>
            <w:r>
              <w:rPr>
                <w:rFonts w:hint="eastAsia" w:ascii="宋体" w:hAnsi="宋体" w:cs="宋体"/>
                <w:i w:val="0"/>
                <w:iCs w:val="0"/>
                <w:color w:val="000000"/>
                <w:kern w:val="0"/>
                <w:sz w:val="20"/>
                <w:szCs w:val="20"/>
                <w:u w:val="none"/>
                <w:lang w:val="en-US" w:eastAsia="zh-CN"/>
              </w:rPr>
              <w:t>化</w:t>
            </w:r>
            <w:r>
              <w:rPr>
                <w:rFonts w:hint="eastAsia" w:ascii="宋体" w:hAnsi="宋体" w:eastAsia="宋体" w:cs="宋体"/>
                <w:i w:val="0"/>
                <w:iCs w:val="0"/>
                <w:color w:val="000000"/>
                <w:kern w:val="0"/>
                <w:sz w:val="20"/>
                <w:szCs w:val="20"/>
                <w:u w:val="none"/>
                <w:lang w:val="en-US" w:eastAsia="zh-CN"/>
              </w:rPr>
              <w:t>资源配置。共计招考公务员99人、事业干部160人，引进急需紧缺高层次人才118人，安置“三支一扶”和西部志愿者等29人，保障一线工作力量；围绕人才强区战略，研究出台《引进高层次人才专项事业编制管理办法(试行)》，明确30名事业编制作为人才专项编制管理；教育提质增效，全面完成了38所中小学教职工编制动态调整工作，新成立东城、葭萌2个公办幼儿园，增加学前教育人员力量，新增学位近500个；整合各有关养老服务工作机构，做大做强养老服务中心；解决好3个区级医院主要负责人职级，协同推动“三医联动”改革，合理规划推进卫子、虎跳等区域医疗次中心建设，对现有人员进行优化重组，进一步提高医疗服务质量和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绩效指标</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一级</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指标</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二级指标</w:t>
            </w:r>
          </w:p>
        </w:tc>
        <w:tc>
          <w:tcPr>
            <w:tcW w:w="18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三级指标</w:t>
            </w:r>
          </w:p>
        </w:tc>
        <w:tc>
          <w:tcPr>
            <w:tcW w:w="67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年度指标值</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实际完成值</w:t>
            </w:r>
          </w:p>
        </w:tc>
        <w:tc>
          <w:tcPr>
            <w:tcW w:w="201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90" w:type="dxa"/>
            <w:vMerge w:val="restar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产出指标</w:t>
            </w:r>
          </w:p>
        </w:tc>
        <w:tc>
          <w:tcPr>
            <w:tcW w:w="952" w:type="dxa"/>
            <w:vMerge w:val="restar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数量指标</w:t>
            </w:r>
          </w:p>
        </w:tc>
        <w:tc>
          <w:tcPr>
            <w:tcW w:w="18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全年发放工资在职人员数量</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13人</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13人</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90"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2"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重点经济部门所属事业单位增核事业编制</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10名</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28名</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90"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2"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增核科级领导职数</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1个</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5个</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90"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2"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完成信息调研文章</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15篇</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18篇</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90"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2"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Arial" w:hAnsi="Arial" w:eastAsia="宋体" w:cs="Arial"/>
                <w:i w:val="0"/>
                <w:iCs w:val="0"/>
                <w:color w:val="000000"/>
                <w:sz w:val="20"/>
                <w:szCs w:val="20"/>
                <w:u w:val="none"/>
              </w:rPr>
            </w:pPr>
            <w:r>
              <w:rPr>
                <w:rStyle w:val="39"/>
                <w:rFonts w:eastAsia="宋体"/>
                <w:lang w:val="en-US" w:eastAsia="zh-CN"/>
              </w:rPr>
              <w:t xml:space="preserve"> </w:t>
            </w:r>
            <w:r>
              <w:rPr>
                <w:rStyle w:val="40"/>
                <w:lang w:val="en-US" w:eastAsia="zh-CN"/>
              </w:rPr>
              <w:t>梳理明确区级</w:t>
            </w:r>
            <w:r>
              <w:rPr>
                <w:rStyle w:val="39"/>
                <w:rFonts w:eastAsia="宋体"/>
                <w:lang w:val="en-US" w:eastAsia="zh-CN"/>
              </w:rPr>
              <w:t>35</w:t>
            </w:r>
            <w:r>
              <w:rPr>
                <w:rStyle w:val="40"/>
                <w:lang w:val="en-US" w:eastAsia="zh-CN"/>
              </w:rPr>
              <w:t>个部门（单位）行政权力</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5213项</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5213项</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90"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2"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新增赋予乡镇县级行政权力事项</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112项</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112项</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90"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2"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事业单位法人年度报告公示</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159家</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159家</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90"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2"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事业单位信用等级评定</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10家</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10家</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90"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质量指标</w:t>
            </w:r>
          </w:p>
        </w:tc>
        <w:tc>
          <w:tcPr>
            <w:tcW w:w="18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Style w:val="41"/>
                <w:rFonts w:eastAsia="宋体"/>
                <w:lang w:val="en-US" w:eastAsia="zh-CN"/>
              </w:rPr>
              <w:t xml:space="preserve"> </w:t>
            </w:r>
            <w:r>
              <w:rPr>
                <w:rStyle w:val="42"/>
                <w:lang w:val="en-US" w:eastAsia="zh-CN"/>
              </w:rPr>
              <w:t>理顺全区安全生产监管责任</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90%</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100%</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90"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Style w:val="41"/>
                <w:rFonts w:eastAsia="宋体"/>
                <w:lang w:val="en-US" w:eastAsia="zh-CN"/>
              </w:rPr>
              <w:t xml:space="preserve"> </w:t>
            </w:r>
            <w:r>
              <w:rPr>
                <w:rStyle w:val="42"/>
                <w:lang w:val="en-US" w:eastAsia="zh-CN"/>
              </w:rPr>
              <w:t>推动机构编制法定化</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80%</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90%</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90"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有序推进法规制度落实情况的监督检查</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80%</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90%</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90"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2"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时效指标</w:t>
            </w:r>
          </w:p>
        </w:tc>
        <w:tc>
          <w:tcPr>
            <w:tcW w:w="18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一般性、重要性任务完成及时率</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高中低</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高</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90"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2"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成本指标</w:t>
            </w:r>
          </w:p>
        </w:tc>
        <w:tc>
          <w:tcPr>
            <w:tcW w:w="18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人员及日常公用经费</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185.01万元</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185.01万元</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90"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开展机关编制工作运行成本</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40.2万元</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40.2万元</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效益指标</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社会效益</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指标</w:t>
            </w:r>
          </w:p>
        </w:tc>
        <w:tc>
          <w:tcPr>
            <w:tcW w:w="18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Style w:val="41"/>
                <w:rFonts w:eastAsia="宋体"/>
                <w:lang w:val="en-US" w:eastAsia="zh-CN"/>
              </w:rPr>
              <w:t xml:space="preserve"> </w:t>
            </w:r>
            <w:r>
              <w:rPr>
                <w:rStyle w:val="42"/>
                <w:lang w:val="en-US" w:eastAsia="zh-CN"/>
              </w:rPr>
              <w:t>盘活用好机构编制资源</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高中低</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高</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可持续影响指标</w:t>
            </w:r>
          </w:p>
        </w:tc>
        <w:tc>
          <w:tcPr>
            <w:tcW w:w="18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机构职能优化</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高中低</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高</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满意度</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指标</w:t>
            </w:r>
          </w:p>
        </w:tc>
        <w:tc>
          <w:tcPr>
            <w:tcW w:w="9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服务对象满意度指标</w:t>
            </w:r>
          </w:p>
        </w:tc>
        <w:tc>
          <w:tcPr>
            <w:tcW w:w="18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服务单位满意度</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90%</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90%</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受益群众满意度</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90%</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90%</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eastAsia="zh-CN"/>
              </w:rPr>
              <w:t>无</w:t>
            </w:r>
          </w:p>
        </w:tc>
      </w:tr>
    </w:tbl>
    <w:p>
      <w:pPr>
        <w:keepNext w:val="0"/>
        <w:keepLines w:val="0"/>
        <w:pageBreakBefore w:val="0"/>
        <w:widowControl w:val="0"/>
        <w:kinsoku/>
        <w:wordWrap/>
        <w:overflowPunct/>
        <w:topLinePunct w:val="0"/>
        <w:autoSpaceDE/>
        <w:autoSpaceDN/>
        <w:bidi w:val="0"/>
        <w:adjustRightInd/>
        <w:spacing w:line="576" w:lineRule="exact"/>
        <w:jc w:val="both"/>
        <w:textAlignment w:val="auto"/>
        <w:rPr>
          <w:rFonts w:hint="eastAsia" w:ascii="方正小标宋_GBK" w:hAnsi="方正小标宋_GBK" w:eastAsia="方正小标宋_GBK" w:cs="方正小标宋_GBK"/>
          <w:color w:val="auto"/>
          <w:sz w:val="44"/>
          <w:szCs w:val="44"/>
          <w:lang w:val="en-US" w:eastAsia="zh-CN"/>
        </w:rPr>
      </w:pPr>
    </w:p>
    <w:p>
      <w:pPr>
        <w:keepNext w:val="0"/>
        <w:keepLines w:val="0"/>
        <w:pageBreakBefore w:val="0"/>
        <w:widowControl w:val="0"/>
        <w:kinsoku/>
        <w:wordWrap/>
        <w:overflowPunct/>
        <w:topLinePunct w:val="0"/>
        <w:autoSpaceDE/>
        <w:autoSpaceDN/>
        <w:bidi w:val="0"/>
        <w:adjustRightInd/>
        <w:spacing w:line="576" w:lineRule="exact"/>
        <w:jc w:val="center"/>
        <w:textAlignment w:val="auto"/>
        <w:rPr>
          <w:rFonts w:hint="eastAsia" w:ascii="方正小标宋_GBK" w:hAnsi="方正小标宋_GBK" w:eastAsia="方正小标宋_GBK" w:cs="方正小标宋_GBK"/>
          <w:color w:val="auto"/>
          <w:sz w:val="44"/>
          <w:szCs w:val="44"/>
          <w:lang w:val="en-US" w:eastAsia="zh-CN"/>
        </w:rPr>
      </w:pPr>
    </w:p>
    <w:p>
      <w:pPr>
        <w:pStyle w:val="7"/>
        <w:keepNext w:val="0"/>
        <w:keepLines w:val="0"/>
        <w:pageBreakBefore w:val="0"/>
        <w:widowControl w:val="0"/>
        <w:kinsoku/>
        <w:wordWrap/>
        <w:overflowPunct w:val="0"/>
        <w:topLinePunct w:val="0"/>
        <w:bidi w:val="0"/>
        <w:spacing w:beforeLines="0" w:line="576" w:lineRule="exact"/>
        <w:ind w:right="0"/>
        <w:jc w:val="both"/>
        <w:textAlignment w:val="auto"/>
        <w:outlineLvl w:val="9"/>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kern w:val="0"/>
          <w:sz w:val="32"/>
          <w:szCs w:val="32"/>
          <w:highlight w:val="none"/>
          <w:shd w:val="clear" w:color="auto" w:fill="FFFFFF"/>
          <w:lang w:val="zh-CN"/>
        </w:rPr>
        <w:t>附件</w:t>
      </w:r>
      <w:r>
        <w:rPr>
          <w:rFonts w:hint="eastAsia" w:ascii="Times New Roman" w:hAnsi="Times New Roman" w:eastAsia="黑体" w:cs="黑体"/>
          <w:b w:val="0"/>
          <w:bCs w:val="0"/>
          <w:color w:val="auto"/>
          <w:kern w:val="0"/>
          <w:sz w:val="32"/>
          <w:szCs w:val="32"/>
          <w:highlight w:val="none"/>
          <w:shd w:val="clear" w:color="auto" w:fill="FFFFFF"/>
          <w:lang w:val="en-US" w:eastAsia="zh-CN"/>
        </w:rPr>
        <w:t>2</w:t>
      </w:r>
    </w:p>
    <w:p>
      <w:pPr>
        <w:keepNext w:val="0"/>
        <w:keepLines w:val="0"/>
        <w:pageBreakBefore w:val="0"/>
        <w:widowControl w:val="0"/>
        <w:kinsoku/>
        <w:wordWrap/>
        <w:overflowPunct/>
        <w:topLinePunct w:val="0"/>
        <w:autoSpaceDE/>
        <w:autoSpaceDN/>
        <w:bidi w:val="0"/>
        <w:adjustRightInd/>
        <w:spacing w:line="576" w:lineRule="exact"/>
        <w:jc w:val="both"/>
        <w:textAlignment w:val="auto"/>
        <w:rPr>
          <w:rFonts w:hint="eastAsia" w:ascii="方正小标宋_GBK" w:hAnsi="方正小标宋_GBK" w:eastAsia="方正小标宋_GBK" w:cs="方正小标宋_GBK"/>
          <w:color w:val="auto"/>
          <w:sz w:val="44"/>
          <w:szCs w:val="44"/>
          <w:lang w:val="en-US" w:eastAsia="zh-CN"/>
        </w:rPr>
      </w:pPr>
    </w:p>
    <w:p>
      <w:pPr>
        <w:keepNext w:val="0"/>
        <w:keepLines w:val="0"/>
        <w:pageBreakBefore w:val="0"/>
        <w:widowControl w:val="0"/>
        <w:kinsoku/>
        <w:wordWrap/>
        <w:overflowPunct/>
        <w:topLinePunct w:val="0"/>
        <w:autoSpaceDE/>
        <w:autoSpaceDN/>
        <w:bidi w:val="0"/>
        <w:adjustRightInd/>
        <w:spacing w:line="576" w:lineRule="exact"/>
        <w:jc w:val="center"/>
        <w:textAlignment w:val="auto"/>
        <w:rPr>
          <w:rFonts w:hint="default" w:eastAsia="黑体" w:cs="Times New Roman"/>
          <w:sz w:val="32"/>
          <w:szCs w:val="32"/>
          <w:lang w:val="en-US" w:eastAsia="zh-CN"/>
        </w:rPr>
      </w:pPr>
      <w:r>
        <w:rPr>
          <w:rFonts w:hint="eastAsia" w:ascii="方正小标宋_GBK" w:hAnsi="方正小标宋_GBK" w:eastAsia="方正小标宋_GBK" w:cs="方正小标宋_GBK"/>
          <w:color w:val="auto"/>
          <w:sz w:val="44"/>
          <w:szCs w:val="44"/>
          <w:lang w:val="en-US" w:eastAsia="zh-CN"/>
        </w:rPr>
        <w:t>中共广元市昭化区委机构编制委员会办公室</w:t>
      </w:r>
    </w:p>
    <w:p>
      <w:pPr>
        <w:keepNext w:val="0"/>
        <w:keepLines w:val="0"/>
        <w:pageBreakBefore w:val="0"/>
        <w:widowControl w:val="0"/>
        <w:kinsoku/>
        <w:wordWrap/>
        <w:overflowPunct/>
        <w:topLinePunct w:val="0"/>
        <w:autoSpaceDE/>
        <w:autoSpaceDN/>
        <w:bidi w:val="0"/>
        <w:adjustRightInd/>
        <w:snapToGrid w:val="0"/>
        <w:spacing w:line="70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rPr>
      </w:pPr>
      <w:r>
        <w:rPr>
          <w:rFonts w:hint="eastAsia" w:eastAsia="方正小标宋简体" w:cs="Times New Roman"/>
          <w:sz w:val="44"/>
          <w:szCs w:val="44"/>
          <w:lang w:eastAsia="zh-CN"/>
        </w:rPr>
        <w:t>关于</w:t>
      </w:r>
      <w:r>
        <w:rPr>
          <w:rFonts w:hint="eastAsia" w:eastAsia="方正小标宋简体" w:cs="Times New Roman"/>
          <w:sz w:val="44"/>
          <w:szCs w:val="44"/>
          <w:lang w:val="en-US" w:eastAsia="zh-CN"/>
        </w:rPr>
        <w:t>2022年审改办、事业单位年检等</w:t>
      </w:r>
      <w:r>
        <w:rPr>
          <w:rFonts w:hint="default" w:ascii="Times New Roman" w:hAnsi="Times New Roman" w:eastAsia="方正小标宋简体" w:cs="Times New Roman"/>
          <w:sz w:val="44"/>
          <w:szCs w:val="44"/>
        </w:rPr>
        <w:t>项目支出绩效自评报告</w:t>
      </w:r>
    </w:p>
    <w:p>
      <w:pPr>
        <w:keepNext w:val="0"/>
        <w:keepLines w:val="0"/>
        <w:pageBreakBefore w:val="0"/>
        <w:widowControl w:val="0"/>
        <w:numPr>
          <w:ilvl w:val="0"/>
          <w:numId w:val="7"/>
        </w:numPr>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lang w:val="zh-CN"/>
        </w:rPr>
        <w:t>项目概况</w:t>
      </w:r>
    </w:p>
    <w:p>
      <w:pPr>
        <w:keepNext w:val="0"/>
        <w:keepLines w:val="0"/>
        <w:pageBreakBefore w:val="0"/>
        <w:widowControl w:val="0"/>
        <w:numPr>
          <w:ilvl w:val="0"/>
          <w:numId w:val="8"/>
        </w:numPr>
        <w:kinsoku/>
        <w:wordWrap/>
        <w:overflowPunct/>
        <w:topLinePunct w:val="0"/>
        <w:autoSpaceDE/>
        <w:autoSpaceDN/>
        <w:bidi w:val="0"/>
        <w:adjustRightInd/>
        <w:snapToGrid/>
        <w:spacing w:line="576" w:lineRule="exact"/>
        <w:ind w:left="0" w:leftChars="0" w:firstLine="643" w:firstLineChars="200"/>
        <w:jc w:val="both"/>
        <w:textAlignment w:val="auto"/>
        <w:rPr>
          <w:rFonts w:hint="eastAsia" w:eastAsia="楷体_GB2312" w:cs="Times New Roman"/>
          <w:b/>
          <w:sz w:val="32"/>
          <w:szCs w:val="32"/>
          <w:lang w:val="zh-CN"/>
        </w:rPr>
      </w:pPr>
      <w:r>
        <w:rPr>
          <w:rFonts w:hint="default" w:ascii="Times New Roman" w:hAnsi="Times New Roman" w:eastAsia="楷体_GB2312" w:cs="Times New Roman"/>
          <w:b/>
          <w:sz w:val="32"/>
          <w:szCs w:val="32"/>
          <w:lang w:val="zh-CN"/>
        </w:rPr>
        <w:t>项目</w:t>
      </w:r>
      <w:r>
        <w:rPr>
          <w:rFonts w:hint="eastAsia" w:eastAsia="楷体_GB2312" w:cs="Times New Roman"/>
          <w:b/>
          <w:sz w:val="32"/>
          <w:szCs w:val="32"/>
          <w:lang w:val="zh-CN"/>
        </w:rPr>
        <w:t>资金申报及批复情况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sz w:val="32"/>
          <w:szCs w:val="32"/>
          <w:lang w:val="en-US" w:eastAsia="zh-CN"/>
        </w:rPr>
        <w:t>区委编办2022年项目支出均为其他运转类支出，</w:t>
      </w:r>
      <w:r>
        <w:rPr>
          <w:rFonts w:hint="eastAsia" w:ascii="仿宋_GB2312" w:hAnsi="仿宋_GB2312" w:eastAsia="仿宋_GB2312" w:cs="仿宋_GB2312"/>
          <w:snapToGrid w:val="0"/>
          <w:color w:val="000000"/>
          <w:spacing w:val="4"/>
          <w:kern w:val="0"/>
          <w:sz w:val="31"/>
          <w:szCs w:val="31"/>
          <w:lang w:val="en-US" w:eastAsia="zh-CN"/>
        </w:rPr>
        <w:t>按照预算报批流程，年初预算</w:t>
      </w:r>
      <w:r>
        <w:rPr>
          <w:rFonts w:hint="eastAsia" w:ascii="仿宋_GB2312" w:hAnsi="仿宋_GB2312" w:eastAsia="仿宋_GB2312" w:cs="仿宋_GB2312"/>
          <w:b w:val="0"/>
          <w:bCs w:val="0"/>
          <w:sz w:val="32"/>
          <w:szCs w:val="32"/>
          <w:lang w:val="en-US" w:eastAsia="zh-CN"/>
        </w:rPr>
        <w:t>金额40.2万元，分别是：机构编制运行评估办法1.2万元，中文域名注册经费</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4万元，审改办经费15万元，机构改革经费10万元，事业单位年检、登记工作经费10万元。预算批复40.2万元，根据“三公”经费压减政策，追减机构改革经费2万元，总预算38.2万元，预算项目</w:t>
      </w:r>
      <w:r>
        <w:rPr>
          <w:rFonts w:hint="eastAsia" w:ascii="仿宋_GB2312" w:hAnsi="仿宋_GB2312" w:eastAsia="仿宋_GB2312" w:cs="仿宋_GB2312"/>
          <w:sz w:val="32"/>
          <w:szCs w:val="32"/>
          <w:lang w:val="zh-CN"/>
        </w:rPr>
        <w:t>符合资金管理办法等相关规定</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cs="Times New Roman"/>
          <w:sz w:val="32"/>
          <w:szCs w:val="32"/>
          <w:lang w:val="zh-CN"/>
        </w:rPr>
      </w:pPr>
      <w:r>
        <w:rPr>
          <w:rFonts w:hint="default" w:ascii="Times New Roman" w:hAnsi="Times New Roman" w:eastAsia="楷体_GB2312" w:cs="Times New Roman"/>
          <w:b/>
          <w:sz w:val="32"/>
          <w:szCs w:val="32"/>
          <w:lang w:val="zh-CN"/>
        </w:rPr>
        <w:t>（二）项目绩效目标</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1</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机构编制运行评估主要通过</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对全区12个乡镇及区级部门三分之一数量单位的机构编制管理进行实地走访、问卷调查，</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就</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机构编制执行情况和使用效益进行客观评估，</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将</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评估结果作为改进机构编制管理、优化编制资源配置的重要依据</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eastAsia" w:ascii="Times New Roman" w:hAnsi="Times New Roman" w:cs="Times New Roman"/>
          <w:b w:val="0"/>
          <w:bCs w:val="0"/>
          <w:color w:val="000000" w:themeColor="text1"/>
          <w:sz w:val="32"/>
          <w:szCs w:val="32"/>
          <w:lang w:eastAsia="zh-CN"/>
          <w14:textFill>
            <w14:solidFill>
              <w14:schemeClr w14:val="tx1"/>
            </w14:solidFill>
          </w14:textFill>
        </w:rPr>
        <w:t>全年计划</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机构编制评估完成单位数量</w:t>
      </w:r>
      <w:r>
        <w:rPr>
          <w:rFonts w:hint="eastAsia" w:cs="Times New Roman"/>
          <w:b w:val="0"/>
          <w:bCs w:val="0"/>
          <w:color w:val="000000" w:themeColor="text1"/>
          <w:sz w:val="32"/>
          <w:szCs w:val="32"/>
          <w:lang w:val="en-US" w:eastAsia="zh-CN"/>
          <w14:textFill>
            <w14:solidFill>
              <w14:schemeClr w14:val="tx1"/>
            </w14:solidFill>
          </w14:textFill>
        </w:rPr>
        <w:t>40</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个单位，评估覆盖率超过</w:t>
      </w:r>
      <w:r>
        <w:rPr>
          <w:rFonts w:hint="eastAsia" w:ascii="Times New Roman" w:hAnsi="Times New Roman" w:cs="Times New Roman"/>
          <w:b w:val="0"/>
          <w:bCs w:val="0"/>
          <w:color w:val="000000" w:themeColor="text1"/>
          <w:sz w:val="32"/>
          <w:szCs w:val="32"/>
          <w:lang w:val="en-US" w:eastAsia="zh-CN"/>
          <w14:textFill>
            <w14:solidFill>
              <w14:schemeClr w14:val="tx1"/>
            </w14:solidFill>
          </w14:textFill>
        </w:rPr>
        <w:t>20</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%，机构编制运行平稳有序，被评估单位对运行较为满意,各项指标完成</w:t>
      </w:r>
      <w:r>
        <w:rPr>
          <w:rFonts w:hint="eastAsia" w:ascii="Times New Roman" w:hAnsi="Times New Roman" w:cs="Times New Roman"/>
          <w:b w:val="0"/>
          <w:bCs w:val="0"/>
          <w:color w:val="000000" w:themeColor="text1"/>
          <w:sz w:val="32"/>
          <w:szCs w:val="32"/>
          <w:lang w:val="en-US" w:eastAsia="zh-CN"/>
          <w14:textFill>
            <w14:solidFill>
              <w14:schemeClr w14:val="tx1"/>
            </w14:solidFill>
          </w14:textFill>
        </w:rPr>
        <w:t>率</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100%；</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2</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）中文域名注册</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经费要求</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全区机关事业单位中文域名注册全覆盖，并根据单位实际情况对域名进行更新或核销，对新增单位进行新注册，积极推动机构编制信息化工作，保证注册对象满意度较高。</w:t>
      </w:r>
      <w:r>
        <w:rPr>
          <w:rFonts w:hint="eastAsia" w:ascii="Times New Roman" w:hAnsi="Times New Roman" w:cs="Times New Roman"/>
          <w:b w:val="0"/>
          <w:bCs w:val="0"/>
          <w:color w:val="000000" w:themeColor="text1"/>
          <w:sz w:val="32"/>
          <w:szCs w:val="32"/>
          <w:lang w:eastAsia="zh-CN"/>
          <w14:textFill>
            <w14:solidFill>
              <w14:schemeClr w14:val="tx1"/>
            </w14:solidFill>
          </w14:textFill>
        </w:rPr>
        <w:t>全年计划</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单位注册覆盖率</w:t>
      </w:r>
      <w:r>
        <w:rPr>
          <w:rFonts w:hint="eastAsia" w:ascii="Times New Roman" w:hAnsi="Times New Roman" w:cs="Times New Roman"/>
          <w:b w:val="0"/>
          <w:bCs w:val="0"/>
          <w:color w:val="000000" w:themeColor="text1"/>
          <w:sz w:val="32"/>
          <w:szCs w:val="32"/>
          <w:lang w:eastAsia="zh-CN"/>
          <w14:textFill>
            <w14:solidFill>
              <w14:schemeClr w14:val="tx1"/>
            </w14:solidFill>
          </w14:textFill>
        </w:rPr>
        <w:t>达到</w:t>
      </w:r>
      <w:r>
        <w:rPr>
          <w:rFonts w:hint="eastAsia" w:ascii="Times New Roman" w:hAnsi="Times New Roman" w:cs="Times New Roman"/>
          <w:b w:val="0"/>
          <w:bCs w:val="0"/>
          <w:color w:val="000000" w:themeColor="text1"/>
          <w:sz w:val="32"/>
          <w:szCs w:val="32"/>
          <w:lang w:val="en-US" w:eastAsia="zh-CN"/>
          <w14:textFill>
            <w14:solidFill>
              <w14:schemeClr w14:val="tx1"/>
            </w14:solidFill>
          </w14:textFill>
        </w:rPr>
        <w:t>100</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%且质量较高，全区机关事业单位网上名称管理较为规范，注册对象满意度高，进一步推动了机构编制管理的信息化建设程度，各项指标完成</w:t>
      </w:r>
      <w:r>
        <w:rPr>
          <w:rFonts w:hint="eastAsia" w:ascii="Times New Roman" w:hAnsi="Times New Roman" w:cs="Times New Roman"/>
          <w:b w:val="0"/>
          <w:bCs w:val="0"/>
          <w:color w:val="000000" w:themeColor="text1"/>
          <w:sz w:val="32"/>
          <w:szCs w:val="32"/>
          <w:lang w:val="en-US" w:eastAsia="zh-CN"/>
          <w14:textFill>
            <w14:solidFill>
              <w14:schemeClr w14:val="tx1"/>
            </w14:solidFill>
          </w14:textFill>
        </w:rPr>
        <w:t>率</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100%；</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（3）审改办经费主要是持</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续深化审批制度改革，实现改革单位全覆盖，社会评价度高，改革对象满意度高。</w:t>
      </w:r>
      <w:r>
        <w:rPr>
          <w:rFonts w:hint="eastAsia" w:ascii="Times New Roman" w:hAnsi="Times New Roman" w:cs="Times New Roman"/>
          <w:b w:val="0"/>
          <w:bCs w:val="0"/>
          <w:color w:val="000000" w:themeColor="text1"/>
          <w:sz w:val="32"/>
          <w:szCs w:val="32"/>
          <w:lang w:eastAsia="zh-CN"/>
          <w14:textFill>
            <w14:solidFill>
              <w14:schemeClr w14:val="tx1"/>
            </w14:solidFill>
          </w14:textFill>
        </w:rPr>
        <w:t>全年计划</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审批制度改革覆盖率</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超过</w:t>
      </w:r>
      <w:r>
        <w:rPr>
          <w:rFonts w:hint="eastAsia" w:ascii="Times New Roman" w:hAnsi="Times New Roman" w:cs="Times New Roman"/>
          <w:b w:val="0"/>
          <w:bCs w:val="0"/>
          <w:color w:val="000000" w:themeColor="text1"/>
          <w:sz w:val="32"/>
          <w:szCs w:val="32"/>
          <w:lang w:val="en-US" w:eastAsia="zh-CN"/>
          <w14:textFill>
            <w14:solidFill>
              <w14:schemeClr w14:val="tx1"/>
            </w14:solidFill>
          </w14:textFill>
        </w:rPr>
        <w:t>95</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%，下放行政权力清单事项</w:t>
      </w:r>
      <w:r>
        <w:rPr>
          <w:rFonts w:hint="eastAsia" w:ascii="Times New Roman" w:hAnsi="Times New Roman" w:cs="Times New Roman"/>
          <w:b w:val="0"/>
          <w:bCs w:val="0"/>
          <w:color w:val="000000" w:themeColor="text1"/>
          <w:sz w:val="32"/>
          <w:szCs w:val="32"/>
          <w:lang w:val="en-US" w:eastAsia="zh-CN"/>
          <w14:textFill>
            <w14:solidFill>
              <w14:schemeClr w14:val="tx1"/>
            </w14:solidFill>
          </w14:textFill>
        </w:rPr>
        <w:t>274</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余项，审批制度改革深入程度较高，群众社会评价较高改革对象满意度较高，各项指标完成</w:t>
      </w:r>
      <w:r>
        <w:rPr>
          <w:rFonts w:hint="eastAsia" w:ascii="Times New Roman" w:hAnsi="Times New Roman" w:cs="Times New Roman"/>
          <w:b w:val="0"/>
          <w:bCs w:val="0"/>
          <w:color w:val="000000" w:themeColor="text1"/>
          <w:sz w:val="32"/>
          <w:szCs w:val="32"/>
          <w:lang w:val="en-US" w:eastAsia="zh-CN"/>
          <w14:textFill>
            <w14:solidFill>
              <w14:schemeClr w14:val="tx1"/>
            </w14:solidFill>
          </w14:textFill>
        </w:rPr>
        <w:t>率</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100%；</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（4）机构改革经费主要为</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稳步推进事业单位分类改革，各项专项改革和重点领域体制机制调整，规范与创新机构编制管理，充分发挥机构编制资源效益。加强和完善两项改革“后半篇”文章重点任务和内容，优化机构编制资源配置，提高机构编制使用效益。</w:t>
      </w:r>
      <w:r>
        <w:rPr>
          <w:rFonts w:hint="eastAsia" w:ascii="Times New Roman" w:hAnsi="Times New Roman" w:cs="Times New Roman"/>
          <w:b w:val="0"/>
          <w:bCs w:val="0"/>
          <w:color w:val="000000" w:themeColor="text1"/>
          <w:sz w:val="32"/>
          <w:szCs w:val="32"/>
          <w:lang w:eastAsia="zh-CN"/>
          <w14:textFill>
            <w14:solidFill>
              <w14:schemeClr w14:val="tx1"/>
            </w14:solidFill>
          </w14:textFill>
        </w:rPr>
        <w:t>全年计划</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机构改革完成数量</w:t>
      </w:r>
      <w:r>
        <w:rPr>
          <w:rFonts w:hint="eastAsia" w:ascii="Times New Roman" w:hAnsi="Times New Roman" w:cs="Times New Roman"/>
          <w:b w:val="0"/>
          <w:bCs w:val="0"/>
          <w:color w:val="000000" w:themeColor="text1"/>
          <w:sz w:val="32"/>
          <w:szCs w:val="32"/>
          <w:lang w:val="en-US" w:eastAsia="zh-CN"/>
          <w14:textFill>
            <w14:solidFill>
              <w14:schemeClr w14:val="tx1"/>
            </w14:solidFill>
          </w14:textFill>
        </w:rPr>
        <w:t>16</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处，改革对象运转通畅</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改革对象满意度较高</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，机构改革顺利平稳，基层服务效率</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得到提升，</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社会群众评价较高</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各项指标完成</w:t>
      </w:r>
      <w:r>
        <w:rPr>
          <w:rFonts w:hint="eastAsia" w:ascii="Times New Roman" w:hAnsi="Times New Roman" w:cs="Times New Roman"/>
          <w:b w:val="0"/>
          <w:bCs w:val="0"/>
          <w:color w:val="000000" w:themeColor="text1"/>
          <w:sz w:val="32"/>
          <w:szCs w:val="32"/>
          <w:lang w:val="en-US" w:eastAsia="zh-CN"/>
          <w14:textFill>
            <w14:solidFill>
              <w14:schemeClr w14:val="tx1"/>
            </w14:solidFill>
          </w14:textFill>
        </w:rPr>
        <w:t>率</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100%</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both"/>
        <w:textAlignment w:val="auto"/>
        <w:rPr>
          <w:rFonts w:hint="default"/>
          <w:lang w:val="zh-CN"/>
        </w:rPr>
      </w:pP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5</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事业单位年检、登记工作经费</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主要是</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对符合法定条件的登记申请核准登记</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并</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向核准设立登记的事业单位颁发《事业单位法人证书》，通过年度报告书，掌握事业单位的运转情况，对事业单位进行动态管理。</w:t>
      </w:r>
      <w:r>
        <w:rPr>
          <w:rFonts w:hint="eastAsia" w:ascii="Times New Roman" w:hAnsi="Times New Roman" w:cs="Times New Roman"/>
          <w:b w:val="0"/>
          <w:bCs w:val="0"/>
          <w:color w:val="000000" w:themeColor="text1"/>
          <w:sz w:val="32"/>
          <w:szCs w:val="32"/>
          <w:lang w:eastAsia="zh-CN"/>
          <w14:textFill>
            <w14:solidFill>
              <w14:schemeClr w14:val="tx1"/>
            </w14:solidFill>
          </w14:textFill>
        </w:rPr>
        <w:t>全年计划</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全区</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机关事业单位登记、年检覆盖率超过</w:t>
      </w:r>
      <w:r>
        <w:rPr>
          <w:rFonts w:hint="eastAsia" w:ascii="Times New Roman" w:hAnsi="Times New Roman" w:cs="Times New Roman"/>
          <w:b w:val="0"/>
          <w:bCs w:val="0"/>
          <w:color w:val="000000" w:themeColor="text1"/>
          <w:sz w:val="32"/>
          <w:szCs w:val="32"/>
          <w:lang w:val="en-US" w:eastAsia="zh-CN"/>
          <w14:textFill>
            <w14:solidFill>
              <w14:schemeClr w14:val="tx1"/>
            </w14:solidFill>
          </w14:textFill>
        </w:rPr>
        <w:t>100</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且质量较高</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公示公告完成单位超过</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100</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家；且社会评价度好，</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年检注册单位</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满意度较高</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各项指标完成</w:t>
      </w:r>
      <w:r>
        <w:rPr>
          <w:rFonts w:hint="eastAsia" w:ascii="Times New Roman" w:hAnsi="Times New Roman" w:cs="Times New Roman"/>
          <w:b w:val="0"/>
          <w:bCs w:val="0"/>
          <w:color w:val="000000" w:themeColor="text1"/>
          <w:sz w:val="32"/>
          <w:szCs w:val="32"/>
          <w:lang w:val="en-US" w:eastAsia="zh-CN"/>
          <w14:textFill>
            <w14:solidFill>
              <w14:schemeClr w14:val="tx1"/>
            </w14:solidFill>
          </w14:textFill>
        </w:rPr>
        <w:t>率</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100%</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3" w:firstLineChars="200"/>
        <w:textAlignment w:val="baseline"/>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（三）项目资金申报相符性</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rPr>
      </w:pPr>
      <w:r>
        <w:rPr>
          <w:rFonts w:hint="eastAsia" w:ascii="仿宋_GB2312" w:hAnsi="仿宋_GB2312" w:eastAsia="仿宋_GB2312" w:cs="仿宋_GB2312"/>
          <w:sz w:val="32"/>
          <w:lang w:val="en-US" w:eastAsia="zh-CN"/>
        </w:rPr>
        <w:t>项目支出经费</w:t>
      </w:r>
      <w:r>
        <w:rPr>
          <w:rFonts w:hint="eastAsia" w:ascii="仿宋_GB2312" w:hAnsi="仿宋_GB2312" w:eastAsia="仿宋_GB2312" w:cs="仿宋_GB2312"/>
          <w:sz w:val="32"/>
        </w:rPr>
        <w:t>申报内容与具体实施内容相符、申报目标合理可行。</w:t>
      </w:r>
    </w:p>
    <w:p>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eastAsia" w:ascii="Times New Roman" w:hAnsi="Times New Roman" w:eastAsia="楷体_GB2312" w:cs="Times New Roman"/>
          <w:b/>
          <w:sz w:val="32"/>
          <w:szCs w:val="32"/>
          <w:lang w:val="zh-CN"/>
        </w:rPr>
      </w:pPr>
      <w:r>
        <w:rPr>
          <w:rFonts w:hint="eastAsia" w:ascii="Times New Roman" w:hAnsi="Times New Roman" w:eastAsia="楷体_GB2312" w:cs="Times New Roman"/>
          <w:b/>
          <w:sz w:val="32"/>
          <w:szCs w:val="32"/>
          <w:lang w:val="zh-CN"/>
        </w:rPr>
        <w:t>（四）自评步骤及方法</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项目支出经费依据</w:t>
      </w:r>
      <w:r>
        <w:rPr>
          <w:rFonts w:hint="eastAsia" w:ascii="仿宋_GB2312" w:hAnsi="仿宋_GB2312" w:eastAsia="仿宋_GB2312" w:cs="仿宋_GB2312"/>
          <w:spacing w:val="-3"/>
          <w:sz w:val="31"/>
          <w:szCs w:val="31"/>
        </w:rPr>
        <w:t>《广元市昭化区人民政府办公室关于印发&lt;广元市</w:t>
      </w:r>
      <w:r>
        <w:rPr>
          <w:rFonts w:hint="eastAsia" w:ascii="仿宋_GB2312" w:hAnsi="仿宋_GB2312" w:eastAsia="仿宋_GB2312" w:cs="仿宋_GB2312"/>
          <w:spacing w:val="1"/>
          <w:sz w:val="31"/>
          <w:szCs w:val="31"/>
        </w:rPr>
        <w:t xml:space="preserve"> </w:t>
      </w:r>
      <w:r>
        <w:rPr>
          <w:rFonts w:hint="eastAsia" w:ascii="仿宋_GB2312" w:hAnsi="仿宋_GB2312" w:eastAsia="仿宋_GB2312" w:cs="仿宋_GB2312"/>
          <w:spacing w:val="25"/>
          <w:sz w:val="31"/>
          <w:szCs w:val="31"/>
        </w:rPr>
        <w:t>昭化区财政支出事后绩效评价管理办法&gt;的通知》(昭府办函</w:t>
      </w:r>
      <w:r>
        <w:rPr>
          <w:rFonts w:hint="eastAsia" w:ascii="仿宋_GB2312" w:hAnsi="仿宋_GB2312" w:eastAsia="仿宋_GB2312" w:cs="仿宋_GB2312"/>
          <w:spacing w:val="4"/>
          <w:sz w:val="31"/>
          <w:szCs w:val="31"/>
        </w:rPr>
        <w:t>〔2022〕37号)</w:t>
      </w:r>
      <w:r>
        <w:rPr>
          <w:rFonts w:hint="eastAsia" w:ascii="仿宋_GB2312" w:hAnsi="仿宋_GB2312" w:eastAsia="仿宋_GB2312" w:cs="仿宋_GB2312"/>
          <w:spacing w:val="4"/>
          <w:sz w:val="31"/>
          <w:szCs w:val="31"/>
          <w:lang w:val="en-US" w:eastAsia="zh-CN"/>
        </w:rPr>
        <w:t>文件自评且逐项量分。</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二、项目实施及管理情况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（一）资金计划、到位及使用情况</w:t>
      </w:r>
      <w:r>
        <w:rPr>
          <w:rFonts w:hint="eastAsia" w:eastAsia="楷体_GB2312" w:cs="Times New Roman"/>
          <w:b/>
          <w:sz w:val="32"/>
          <w:szCs w:val="32"/>
          <w:lang w:val="zh-CN"/>
        </w:rPr>
        <w:t>（可用表格形式反映）</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cs="仿宋_GB2312"/>
          <w:spacing w:val="4"/>
          <w:sz w:val="31"/>
          <w:szCs w:val="31"/>
          <w:lang w:val="en-US" w:eastAsia="zh-CN"/>
        </w:rPr>
      </w:pPr>
      <w:r>
        <w:rPr>
          <w:rFonts w:hint="default" w:ascii="Times New Roman" w:hAnsi="Times New Roman" w:cs="Times New Roman"/>
          <w:sz w:val="32"/>
          <w:szCs w:val="32"/>
          <w:lang w:val="zh-CN"/>
        </w:rPr>
        <w:t>1</w:t>
      </w:r>
      <w:r>
        <w:rPr>
          <w:rFonts w:hint="default" w:ascii="Times New Roman" w:hAnsi="Times New Roman" w:cs="Times New Roman"/>
          <w:sz w:val="32"/>
          <w:szCs w:val="32"/>
        </w:rPr>
        <w:t>.</w:t>
      </w:r>
      <w:r>
        <w:rPr>
          <w:rFonts w:hint="default" w:ascii="Times New Roman" w:hAnsi="Times New Roman" w:cs="Times New Roman"/>
          <w:sz w:val="32"/>
          <w:szCs w:val="32"/>
          <w:lang w:val="zh-CN"/>
        </w:rPr>
        <w:t>资金计划及到位。</w:t>
      </w:r>
      <w:r>
        <w:rPr>
          <w:rFonts w:hint="eastAsia" w:ascii="仿宋_GB2312" w:hAnsi="仿宋_GB2312" w:eastAsia="仿宋_GB2312" w:cs="仿宋_GB2312"/>
          <w:sz w:val="32"/>
        </w:rPr>
        <w:t>资金计划</w:t>
      </w:r>
      <w:r>
        <w:rPr>
          <w:rFonts w:hint="eastAsia" w:ascii="仿宋_GB2312" w:hAnsi="仿宋_GB2312" w:cs="仿宋_GB2312"/>
          <w:sz w:val="32"/>
          <w:lang w:eastAsia="zh-CN"/>
        </w:rPr>
        <w:t>及时</w:t>
      </w:r>
      <w:r>
        <w:rPr>
          <w:rFonts w:hint="eastAsia" w:ascii="仿宋_GB2312" w:hAnsi="仿宋_GB2312" w:eastAsia="仿宋_GB2312" w:cs="仿宋_GB2312"/>
          <w:sz w:val="32"/>
        </w:rPr>
        <w:t>到位</w:t>
      </w:r>
      <w:r>
        <w:rPr>
          <w:rFonts w:hint="eastAsia" w:ascii="仿宋_GB2312" w:hAnsi="仿宋_GB2312" w:eastAsia="仿宋_GB2312" w:cs="仿宋_GB2312"/>
          <w:sz w:val="32"/>
          <w:lang w:eastAsia="zh-CN"/>
        </w:rPr>
        <w:t>，</w:t>
      </w:r>
      <w:r>
        <w:rPr>
          <w:rFonts w:hint="eastAsia" w:ascii="仿宋_GB2312" w:hAnsi="仿宋_GB2312" w:eastAsia="仿宋_GB2312" w:cs="仿宋_GB2312"/>
          <w:spacing w:val="4"/>
          <w:sz w:val="31"/>
          <w:szCs w:val="31"/>
          <w:lang w:val="en-US" w:eastAsia="zh-CN"/>
        </w:rPr>
        <w:t>项目支出经费</w:t>
      </w:r>
      <w:r>
        <w:rPr>
          <w:rFonts w:hint="eastAsia" w:ascii="仿宋_GB2312" w:hAnsi="仿宋_GB2312" w:eastAsia="仿宋_GB2312" w:cs="仿宋_GB2312"/>
          <w:spacing w:val="4"/>
          <w:sz w:val="31"/>
          <w:szCs w:val="31"/>
        </w:rPr>
        <w:t>预算财政拨款资金为</w:t>
      </w:r>
      <w:r>
        <w:rPr>
          <w:rFonts w:hint="eastAsia" w:ascii="仿宋_GB2312" w:hAnsi="仿宋_GB2312" w:cs="仿宋_GB2312"/>
          <w:spacing w:val="4"/>
          <w:sz w:val="31"/>
          <w:szCs w:val="31"/>
          <w:lang w:val="en-US" w:eastAsia="zh-CN"/>
        </w:rPr>
        <w:t>38.2万</w:t>
      </w:r>
      <w:r>
        <w:rPr>
          <w:rFonts w:hint="eastAsia" w:ascii="仿宋_GB2312" w:hAnsi="仿宋_GB2312" w:eastAsia="仿宋_GB2312" w:cs="仿宋_GB2312"/>
          <w:spacing w:val="4"/>
          <w:sz w:val="31"/>
          <w:szCs w:val="31"/>
        </w:rPr>
        <w:t>元，</w:t>
      </w:r>
      <w:r>
        <w:rPr>
          <w:rFonts w:hint="eastAsia" w:ascii="仿宋_GB2312" w:hAnsi="仿宋_GB2312" w:eastAsia="仿宋_GB2312" w:cs="仿宋_GB2312"/>
          <w:spacing w:val="4"/>
          <w:sz w:val="31"/>
          <w:szCs w:val="31"/>
          <w:lang w:eastAsia="zh-CN"/>
        </w:rPr>
        <w:t>资金到位情况与资金计划相符，到位率</w:t>
      </w:r>
      <w:r>
        <w:rPr>
          <w:rFonts w:hint="eastAsia" w:ascii="仿宋_GB2312" w:hAnsi="仿宋_GB2312" w:eastAsia="仿宋_GB2312" w:cs="仿宋_GB2312"/>
          <w:spacing w:val="4"/>
          <w:sz w:val="31"/>
          <w:szCs w:val="31"/>
          <w:lang w:val="en-US" w:eastAsia="zh-CN"/>
        </w:rPr>
        <w:t>100%</w:t>
      </w:r>
      <w:r>
        <w:rPr>
          <w:rFonts w:hint="eastAsia" w:ascii="仿宋_GB2312" w:hAnsi="仿宋_GB2312" w:cs="仿宋_GB2312"/>
          <w:spacing w:val="4"/>
          <w:sz w:val="31"/>
          <w:szCs w:val="31"/>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pacing w:val="4"/>
          <w:sz w:val="31"/>
          <w:szCs w:val="31"/>
        </w:rPr>
      </w:pPr>
      <w:r>
        <w:rPr>
          <w:rFonts w:hint="default" w:ascii="Times New Roman" w:hAnsi="Times New Roman" w:cs="Times New Roman"/>
          <w:sz w:val="32"/>
          <w:szCs w:val="32"/>
          <w:lang w:val="zh-CN"/>
        </w:rPr>
        <w:t>2</w:t>
      </w:r>
      <w:r>
        <w:rPr>
          <w:rFonts w:hint="default" w:ascii="Times New Roman" w:hAnsi="Times New Roman" w:cs="Times New Roman"/>
          <w:sz w:val="32"/>
          <w:szCs w:val="32"/>
        </w:rPr>
        <w:t>.</w:t>
      </w:r>
      <w:r>
        <w:rPr>
          <w:rFonts w:hint="default" w:ascii="Times New Roman" w:hAnsi="Times New Roman" w:cs="Times New Roman"/>
          <w:sz w:val="32"/>
          <w:szCs w:val="32"/>
          <w:lang w:val="zh-CN"/>
        </w:rPr>
        <w:t>资金使用。</w:t>
      </w:r>
      <w:r>
        <w:rPr>
          <w:rFonts w:hint="eastAsia" w:ascii="仿宋_GB2312" w:hAnsi="仿宋_GB2312" w:eastAsia="仿宋_GB2312" w:cs="仿宋_GB2312"/>
          <w:spacing w:val="4"/>
          <w:sz w:val="31"/>
          <w:szCs w:val="31"/>
          <w:lang w:eastAsia="zh-CN"/>
        </w:rPr>
        <w:t>截至</w:t>
      </w:r>
      <w:r>
        <w:rPr>
          <w:rFonts w:hint="eastAsia" w:ascii="仿宋_GB2312" w:hAnsi="仿宋_GB2312" w:eastAsia="仿宋_GB2312" w:cs="仿宋_GB2312"/>
          <w:spacing w:val="4"/>
          <w:sz w:val="31"/>
          <w:szCs w:val="31"/>
          <w:lang w:val="en-US" w:eastAsia="zh-CN"/>
        </w:rPr>
        <w:t>2022年12月31日，该项目资金已支付38.2万元，完成预算的100%</w:t>
      </w:r>
      <w:r>
        <w:rPr>
          <w:rFonts w:hint="eastAsia" w:ascii="仿宋_GB2312" w:hAnsi="仿宋_GB2312" w:eastAsia="仿宋_GB2312" w:cs="仿宋_GB2312"/>
          <w:spacing w:val="4"/>
          <w:sz w:val="31"/>
          <w:szCs w:val="31"/>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（二）项目财务管理情况</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财务管理制度健全，严格执行财务管理制度</w:t>
      </w:r>
      <w:r>
        <w:rPr>
          <w:rFonts w:hint="eastAsia" w:ascii="仿宋_GB2312" w:hAnsi="仿宋_GB2312" w:eastAsia="仿宋_GB2312" w:cs="仿宋_GB2312"/>
          <w:sz w:val="32"/>
        </w:rPr>
        <w:t>收付项目资金</w:t>
      </w:r>
      <w:r>
        <w:rPr>
          <w:rFonts w:hint="eastAsia" w:ascii="仿宋_GB2312" w:hAnsi="仿宋_GB2312" w:eastAsia="仿宋_GB2312" w:cs="仿宋_GB2312"/>
          <w:sz w:val="32"/>
          <w:szCs w:val="32"/>
          <w:lang w:val="zh-CN"/>
        </w:rPr>
        <w:t>、财务处理及时、会计核算规范，</w:t>
      </w:r>
      <w:r>
        <w:rPr>
          <w:rFonts w:hint="eastAsia" w:ascii="仿宋_GB2312" w:hAnsi="仿宋_GB2312" w:eastAsia="仿宋_GB2312" w:cs="仿宋_GB2312"/>
          <w:sz w:val="32"/>
        </w:rPr>
        <w:t>做到了财务公开透明守法守规。</w:t>
      </w:r>
    </w:p>
    <w:p>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（三）项目组织实施</w:t>
      </w:r>
      <w:r>
        <w:rPr>
          <w:rFonts w:hint="eastAsia" w:eastAsia="楷体_GB2312" w:cs="Times New Roman"/>
          <w:b/>
          <w:sz w:val="32"/>
          <w:szCs w:val="32"/>
          <w:lang w:val="zh-CN"/>
        </w:rPr>
        <w:t>及管理</w:t>
      </w:r>
      <w:r>
        <w:rPr>
          <w:rFonts w:hint="default" w:ascii="Times New Roman" w:hAnsi="Times New Roman" w:eastAsia="楷体_GB2312" w:cs="Times New Roman"/>
          <w:b/>
          <w:sz w:val="32"/>
          <w:szCs w:val="32"/>
          <w:lang w:val="zh-CN"/>
        </w:rPr>
        <w:t>情况</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rPr>
      </w:pPr>
      <w:r>
        <w:rPr>
          <w:rFonts w:hint="eastAsia" w:ascii="仿宋_GB2312" w:hAnsi="仿宋_GB2312" w:eastAsia="仿宋_GB2312" w:cs="仿宋_GB2312"/>
          <w:sz w:val="32"/>
          <w:lang w:eastAsia="zh-CN"/>
        </w:rPr>
        <w:t>我办按照内部控制相关制度</w:t>
      </w:r>
      <w:r>
        <w:rPr>
          <w:rFonts w:hint="eastAsia" w:ascii="仿宋_GB2312" w:hAnsi="仿宋_GB2312" w:eastAsia="仿宋_GB2312" w:cs="仿宋_GB2312"/>
          <w:sz w:val="32"/>
        </w:rPr>
        <w:t>，成立了以主任为组长，分管领导为副组长，</w:t>
      </w:r>
      <w:r>
        <w:rPr>
          <w:rFonts w:hint="eastAsia" w:ascii="仿宋_GB2312" w:hAnsi="仿宋_GB2312" w:eastAsia="仿宋_GB2312" w:cs="仿宋_GB2312"/>
          <w:sz w:val="32"/>
          <w:lang w:eastAsia="zh-CN"/>
        </w:rPr>
        <w:t>相关股室以及</w:t>
      </w:r>
      <w:r>
        <w:rPr>
          <w:rFonts w:hint="eastAsia" w:ascii="仿宋_GB2312" w:hAnsi="仿宋_GB2312" w:eastAsia="仿宋_GB2312" w:cs="仿宋_GB2312"/>
          <w:sz w:val="32"/>
        </w:rPr>
        <w:t>财务人员为组员的项目实施小组，依法</w:t>
      </w:r>
      <w:r>
        <w:rPr>
          <w:rFonts w:hint="eastAsia" w:ascii="仿宋_GB2312" w:hAnsi="仿宋_GB2312" w:eastAsia="仿宋_GB2312" w:cs="仿宋_GB2312"/>
          <w:sz w:val="32"/>
          <w:lang w:eastAsia="zh-CN"/>
        </w:rPr>
        <w:t>依</w:t>
      </w:r>
      <w:r>
        <w:rPr>
          <w:rFonts w:hint="eastAsia" w:ascii="仿宋_GB2312" w:hAnsi="仿宋_GB2312" w:eastAsia="仿宋_GB2312" w:cs="仿宋_GB2312"/>
          <w:sz w:val="32"/>
        </w:rPr>
        <w:t>规</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合理管控开支，按照</w:t>
      </w:r>
      <w:r>
        <w:rPr>
          <w:rFonts w:hint="eastAsia" w:ascii="仿宋_GB2312" w:hAnsi="仿宋_GB2312" w:eastAsia="仿宋_GB2312" w:cs="仿宋_GB2312"/>
          <w:sz w:val="32"/>
          <w:lang w:eastAsia="zh-CN"/>
        </w:rPr>
        <w:t>预算计划，</w:t>
      </w:r>
      <w:r>
        <w:rPr>
          <w:rFonts w:hint="eastAsia" w:ascii="仿宋_GB2312" w:hAnsi="仿宋_GB2312" w:eastAsia="仿宋_GB2312" w:cs="仿宋_GB2312"/>
          <w:sz w:val="32"/>
        </w:rPr>
        <w:t>做到申请、审核、支付依规合法，全力</w:t>
      </w:r>
      <w:r>
        <w:rPr>
          <w:rFonts w:hint="eastAsia" w:ascii="仿宋_GB2312" w:hAnsi="仿宋_GB2312" w:eastAsia="仿宋_GB2312" w:cs="仿宋_GB2312"/>
          <w:sz w:val="32"/>
          <w:lang w:val="en-US" w:eastAsia="zh-CN"/>
        </w:rPr>
        <w:t>保障工作的正常运转</w:t>
      </w:r>
      <w:r>
        <w:rPr>
          <w:rFonts w:hint="eastAsia" w:ascii="仿宋_GB2312" w:hAnsi="仿宋_GB2312" w:eastAsia="仿宋_GB2312" w:cs="仿宋_GB2312"/>
          <w:sz w:val="32"/>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cs="Times New Roman"/>
          <w:sz w:val="32"/>
          <w:szCs w:val="32"/>
          <w:lang w:val="zh-CN"/>
        </w:rPr>
      </w:pPr>
      <w:r>
        <w:rPr>
          <w:rFonts w:hint="default" w:ascii="Times New Roman" w:hAnsi="Times New Roman" w:eastAsia="黑体" w:cs="Times New Roman"/>
          <w:sz w:val="32"/>
          <w:szCs w:val="32"/>
        </w:rPr>
        <w:t>三、项目绩效情况</w:t>
      </w:r>
      <w:r>
        <w:rPr>
          <w:rFonts w:hint="default" w:ascii="Times New Roman" w:hAnsi="Times New Roman" w:cs="Times New Roman"/>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（一）项目完成情况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1</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机构编制运行评估</w:t>
      </w:r>
      <w:r>
        <w:rPr>
          <w:rFonts w:hint="eastAsia" w:cs="Times New Roman"/>
          <w:b w:val="0"/>
          <w:bCs w:val="0"/>
          <w:color w:val="000000" w:themeColor="text1"/>
          <w:sz w:val="32"/>
          <w:szCs w:val="32"/>
          <w:lang w:val="en-US" w:eastAsia="zh-CN"/>
          <w14:textFill>
            <w14:solidFill>
              <w14:schemeClr w14:val="tx1"/>
            </w14:solidFill>
          </w14:textFill>
        </w:rPr>
        <w:t>经费。</w:t>
      </w:r>
      <w:r>
        <w:rPr>
          <w:rFonts w:hint="eastAsia" w:ascii="仿宋_GB2312" w:hAnsi="仿宋_GB2312" w:eastAsia="仿宋_GB2312" w:cs="仿宋_GB2312"/>
          <w:spacing w:val="4"/>
          <w:sz w:val="31"/>
          <w:szCs w:val="31"/>
          <w:lang w:val="en-US" w:eastAsia="zh-CN"/>
        </w:rPr>
        <w:t>截止评价时点</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，机构编制评估完成单位数量</w:t>
      </w:r>
      <w:r>
        <w:rPr>
          <w:rFonts w:hint="eastAsia" w:cs="Times New Roman"/>
          <w:b w:val="0"/>
          <w:bCs w:val="0"/>
          <w:color w:val="000000" w:themeColor="text1"/>
          <w:sz w:val="32"/>
          <w:szCs w:val="32"/>
          <w:lang w:val="en-US" w:eastAsia="zh-CN"/>
          <w14:textFill>
            <w14:solidFill>
              <w14:schemeClr w14:val="tx1"/>
            </w14:solidFill>
          </w14:textFill>
        </w:rPr>
        <w:t>40</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个单位，评估覆盖率超过</w:t>
      </w:r>
      <w:r>
        <w:rPr>
          <w:rFonts w:hint="eastAsia" w:ascii="Times New Roman" w:hAnsi="Times New Roman" w:cs="Times New Roman"/>
          <w:b w:val="0"/>
          <w:bCs w:val="0"/>
          <w:color w:val="000000" w:themeColor="text1"/>
          <w:sz w:val="32"/>
          <w:szCs w:val="32"/>
          <w:lang w:val="en-US" w:eastAsia="zh-CN"/>
          <w14:textFill>
            <w14:solidFill>
              <w14:schemeClr w14:val="tx1"/>
            </w14:solidFill>
          </w14:textFill>
        </w:rPr>
        <w:t>20</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%，机构编制运行平稳有序，被评估单位对运行较为满意,各项指标完成</w:t>
      </w:r>
      <w:r>
        <w:rPr>
          <w:rFonts w:hint="eastAsia" w:ascii="Times New Roman" w:hAnsi="Times New Roman" w:cs="Times New Roman"/>
          <w:b w:val="0"/>
          <w:bCs w:val="0"/>
          <w:color w:val="000000" w:themeColor="text1"/>
          <w:sz w:val="32"/>
          <w:szCs w:val="32"/>
          <w:lang w:val="en-US" w:eastAsia="zh-CN"/>
          <w14:textFill>
            <w14:solidFill>
              <w14:schemeClr w14:val="tx1"/>
            </w14:solidFill>
          </w14:textFill>
        </w:rPr>
        <w:t>全年</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计划的100%；</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2</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）中文域名注册</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经费</w:t>
      </w:r>
      <w:r>
        <w:rPr>
          <w:rFonts w:hint="eastAsia" w:cs="Times New Roman"/>
          <w:b w:val="0"/>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spacing w:val="4"/>
          <w:sz w:val="31"/>
          <w:szCs w:val="31"/>
          <w:lang w:val="en-US" w:eastAsia="zh-CN"/>
        </w:rPr>
        <w:t>截至评价时点</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，单位注册覆盖率</w:t>
      </w:r>
      <w:r>
        <w:rPr>
          <w:rFonts w:hint="eastAsia" w:ascii="Times New Roman" w:hAnsi="Times New Roman" w:cs="Times New Roman"/>
          <w:b w:val="0"/>
          <w:bCs w:val="0"/>
          <w:color w:val="000000" w:themeColor="text1"/>
          <w:sz w:val="32"/>
          <w:szCs w:val="32"/>
          <w:lang w:eastAsia="zh-CN"/>
          <w14:textFill>
            <w14:solidFill>
              <w14:schemeClr w14:val="tx1"/>
            </w14:solidFill>
          </w14:textFill>
        </w:rPr>
        <w:t>达到</w:t>
      </w:r>
      <w:r>
        <w:rPr>
          <w:rFonts w:hint="eastAsia" w:ascii="Times New Roman" w:hAnsi="Times New Roman" w:cs="Times New Roman"/>
          <w:b w:val="0"/>
          <w:bCs w:val="0"/>
          <w:color w:val="000000" w:themeColor="text1"/>
          <w:sz w:val="32"/>
          <w:szCs w:val="32"/>
          <w:lang w:val="en-US" w:eastAsia="zh-CN"/>
          <w14:textFill>
            <w14:solidFill>
              <w14:schemeClr w14:val="tx1"/>
            </w14:solidFill>
          </w14:textFill>
        </w:rPr>
        <w:t>100</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%且质量较高，全区机关事业单位网上名称管理较为规范，注册对象满意度高，进一步推动了机构编制管理的信息化建设程度，各项指标完成</w:t>
      </w:r>
      <w:r>
        <w:rPr>
          <w:rFonts w:hint="eastAsia" w:ascii="Times New Roman" w:hAnsi="Times New Roman" w:cs="Times New Roman"/>
          <w:b w:val="0"/>
          <w:bCs w:val="0"/>
          <w:color w:val="000000" w:themeColor="text1"/>
          <w:sz w:val="32"/>
          <w:szCs w:val="32"/>
          <w:lang w:val="en-US" w:eastAsia="zh-CN"/>
          <w14:textFill>
            <w14:solidFill>
              <w14:schemeClr w14:val="tx1"/>
            </w14:solidFill>
          </w14:textFill>
        </w:rPr>
        <w:t>全年</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计划的100%；</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（3）审改办经费</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spacing w:val="4"/>
          <w:sz w:val="31"/>
          <w:szCs w:val="31"/>
          <w:lang w:val="en-US" w:eastAsia="zh-CN"/>
        </w:rPr>
        <w:t>截止评价时点</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，审批制度改革覆盖率</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超过</w:t>
      </w:r>
      <w:r>
        <w:rPr>
          <w:rFonts w:hint="eastAsia" w:ascii="Times New Roman" w:hAnsi="Times New Roman" w:cs="Times New Roman"/>
          <w:b w:val="0"/>
          <w:bCs w:val="0"/>
          <w:color w:val="000000" w:themeColor="text1"/>
          <w:sz w:val="32"/>
          <w:szCs w:val="32"/>
          <w:lang w:val="en-US" w:eastAsia="zh-CN"/>
          <w14:textFill>
            <w14:solidFill>
              <w14:schemeClr w14:val="tx1"/>
            </w14:solidFill>
          </w14:textFill>
        </w:rPr>
        <w:t>95</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%，下放行政权力清单事项</w:t>
      </w:r>
      <w:r>
        <w:rPr>
          <w:rFonts w:hint="eastAsia" w:ascii="Times New Roman" w:hAnsi="Times New Roman" w:cs="Times New Roman"/>
          <w:b w:val="0"/>
          <w:bCs w:val="0"/>
          <w:color w:val="000000" w:themeColor="text1"/>
          <w:sz w:val="32"/>
          <w:szCs w:val="32"/>
          <w:lang w:val="en-US" w:eastAsia="zh-CN"/>
          <w14:textFill>
            <w14:solidFill>
              <w14:schemeClr w14:val="tx1"/>
            </w14:solidFill>
          </w14:textFill>
        </w:rPr>
        <w:t>274</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余项，审批制度改革深入程度较高，群众社会评价较高改革对象满意度较高，各项指标完成</w:t>
      </w:r>
      <w:r>
        <w:rPr>
          <w:rFonts w:hint="eastAsia" w:ascii="Times New Roman" w:hAnsi="Times New Roman" w:cs="Times New Roman"/>
          <w:b w:val="0"/>
          <w:bCs w:val="0"/>
          <w:color w:val="000000" w:themeColor="text1"/>
          <w:sz w:val="32"/>
          <w:szCs w:val="32"/>
          <w:lang w:val="en-US" w:eastAsia="zh-CN"/>
          <w14:textFill>
            <w14:solidFill>
              <w14:schemeClr w14:val="tx1"/>
            </w14:solidFill>
          </w14:textFill>
        </w:rPr>
        <w:t>全年</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计划的100%；</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（4）机构改革经费</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spacing w:val="4"/>
          <w:sz w:val="31"/>
          <w:szCs w:val="31"/>
          <w:lang w:val="en-US" w:eastAsia="zh-CN"/>
        </w:rPr>
        <w:t>截止评价时点</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机构改革完成数量</w:t>
      </w:r>
      <w:r>
        <w:rPr>
          <w:rFonts w:hint="eastAsia" w:ascii="Times New Roman" w:hAnsi="Times New Roman" w:cs="Times New Roman"/>
          <w:b w:val="0"/>
          <w:bCs w:val="0"/>
          <w:color w:val="000000" w:themeColor="text1"/>
          <w:sz w:val="32"/>
          <w:szCs w:val="32"/>
          <w:lang w:val="en-US" w:eastAsia="zh-CN"/>
          <w14:textFill>
            <w14:solidFill>
              <w14:schemeClr w14:val="tx1"/>
            </w14:solidFill>
          </w14:textFill>
        </w:rPr>
        <w:t>16</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处，改革对象运转通畅</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改革对象满意度较高</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，机构改革顺利平稳，基层服务效率</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得到提升，</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社会群众评价较高</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各项指标完成</w:t>
      </w:r>
      <w:r>
        <w:rPr>
          <w:rFonts w:hint="eastAsia" w:ascii="Times New Roman" w:hAnsi="Times New Roman" w:cs="Times New Roman"/>
          <w:b w:val="0"/>
          <w:bCs w:val="0"/>
          <w:color w:val="000000" w:themeColor="text1"/>
          <w:sz w:val="32"/>
          <w:szCs w:val="32"/>
          <w:lang w:val="en-US" w:eastAsia="zh-CN"/>
          <w14:textFill>
            <w14:solidFill>
              <w14:schemeClr w14:val="tx1"/>
            </w14:solidFill>
          </w14:textFill>
        </w:rPr>
        <w:t>全年</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计划的100%</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both"/>
        <w:textAlignment w:val="auto"/>
        <w:rPr>
          <w:rFonts w:hint="default"/>
          <w:lang w:val="zh-CN"/>
        </w:rPr>
      </w:pP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5</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事业单位年检、登记工作经费。</w:t>
      </w:r>
      <w:r>
        <w:rPr>
          <w:rFonts w:hint="eastAsia" w:ascii="仿宋_GB2312" w:hAnsi="仿宋_GB2312" w:eastAsia="仿宋_GB2312" w:cs="仿宋_GB2312"/>
          <w:spacing w:val="4"/>
          <w:sz w:val="31"/>
          <w:szCs w:val="31"/>
          <w:lang w:val="en-US" w:eastAsia="zh-CN"/>
        </w:rPr>
        <w:t>截止评价时点</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全区</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机关事业单位登记、年检覆盖率超过</w:t>
      </w:r>
      <w:r>
        <w:rPr>
          <w:rFonts w:hint="eastAsia" w:ascii="Times New Roman" w:hAnsi="Times New Roman" w:cs="Times New Roman"/>
          <w:b w:val="0"/>
          <w:bCs w:val="0"/>
          <w:color w:val="000000" w:themeColor="text1"/>
          <w:sz w:val="32"/>
          <w:szCs w:val="32"/>
          <w:lang w:val="en-US" w:eastAsia="zh-CN"/>
          <w14:textFill>
            <w14:solidFill>
              <w14:schemeClr w14:val="tx1"/>
            </w14:solidFill>
          </w14:textFill>
        </w:rPr>
        <w:t>100</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且质量较高</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公示公告完成单位超过</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100</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家；且社会评价度好，</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年检注册单位</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满意度较高</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各项指标完成</w:t>
      </w:r>
      <w:r>
        <w:rPr>
          <w:rFonts w:hint="eastAsia" w:ascii="Times New Roman" w:hAnsi="Times New Roman" w:cs="Times New Roman"/>
          <w:b w:val="0"/>
          <w:bCs w:val="0"/>
          <w:color w:val="000000" w:themeColor="text1"/>
          <w:sz w:val="32"/>
          <w:szCs w:val="32"/>
          <w:lang w:val="en-US" w:eastAsia="zh-CN"/>
          <w14:textFill>
            <w14:solidFill>
              <w14:schemeClr w14:val="tx1"/>
            </w14:solidFill>
          </w14:textFill>
        </w:rPr>
        <w:t>全年</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计划的100%</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jc w:val="both"/>
        <w:textAlignment w:val="auto"/>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楷体_GB2312" w:cs="Times New Roman"/>
          <w:b/>
          <w:sz w:val="32"/>
          <w:szCs w:val="32"/>
          <w:lang w:val="zh-CN"/>
        </w:rPr>
        <w:t>（二）项目效益情况。</w:t>
      </w:r>
      <w:r>
        <w:rPr>
          <w:rFonts w:hint="eastAsia" w:ascii="Times New Roman" w:hAnsi="Times New Roman" w:eastAsia="仿宋_GB2312" w:cs="Times New Roman"/>
          <w:b w:val="0"/>
          <w:bCs w:val="0"/>
          <w:color w:val="000000" w:themeColor="text1"/>
          <w:sz w:val="32"/>
          <w:szCs w:val="32"/>
          <w:lang w:val="zh-CN" w:eastAsia="zh-CN"/>
          <w14:textFill>
            <w14:solidFill>
              <w14:schemeClr w14:val="tx1"/>
            </w14:solidFill>
          </w14:textFill>
        </w:rPr>
        <w:t>开展机构编制运行评估</w:t>
      </w:r>
      <w:r>
        <w:rPr>
          <w:rFonts w:hint="eastAsia" w:ascii="Times New Roman" w:hAnsi="Times New Roman" w:cs="Times New Roman"/>
          <w:b w:val="0"/>
          <w:bCs w:val="0"/>
          <w:color w:val="000000" w:themeColor="text1"/>
          <w:sz w:val="32"/>
          <w:szCs w:val="32"/>
          <w:lang w:val="zh-CN"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通过</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实地走访、问卷调查，</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就</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机构编制执行情况和使用效益进行客观评估，</w:t>
      </w:r>
      <w:r>
        <w:rPr>
          <w:rFonts w:hint="eastAsia" w:ascii="Times New Roman" w:hAnsi="Times New Roman" w:cs="Times New Roman"/>
          <w:b w:val="0"/>
          <w:bCs w:val="0"/>
          <w:color w:val="000000" w:themeColor="text1"/>
          <w:sz w:val="32"/>
          <w:szCs w:val="32"/>
          <w:lang w:eastAsia="zh-CN"/>
          <w14:textFill>
            <w14:solidFill>
              <w14:schemeClr w14:val="tx1"/>
            </w14:solidFill>
          </w14:textFill>
        </w:rPr>
        <w:t>促使</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机构编制运行平稳有序，</w:t>
      </w:r>
      <w:r>
        <w:rPr>
          <w:rFonts w:hint="eastAsia" w:ascii="Times New Roman" w:hAnsi="Times New Roman" w:cs="Times New Roman"/>
          <w:b w:val="0"/>
          <w:bCs w:val="0"/>
          <w:color w:val="000000" w:themeColor="text1"/>
          <w:sz w:val="32"/>
          <w:szCs w:val="32"/>
          <w:lang w:val="en-US" w:eastAsia="zh-CN"/>
          <w14:textFill>
            <w14:solidFill>
              <w14:schemeClr w14:val="tx1"/>
            </w14:solidFill>
          </w14:textFill>
        </w:rPr>
        <w:t>提高被</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评估单位满意</w:t>
      </w:r>
      <w:r>
        <w:rPr>
          <w:rFonts w:hint="eastAsia" w:ascii="Times New Roman" w:hAnsi="Times New Roman" w:cs="Times New Roman"/>
          <w:b w:val="0"/>
          <w:bCs w:val="0"/>
          <w:color w:val="000000" w:themeColor="text1"/>
          <w:sz w:val="32"/>
          <w:szCs w:val="32"/>
          <w:lang w:val="en-US" w:eastAsia="zh-CN"/>
          <w14:textFill>
            <w14:solidFill>
              <w14:schemeClr w14:val="tx1"/>
            </w14:solidFill>
          </w14:textFill>
        </w:rPr>
        <w:t>度</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cs="Times New Roman"/>
          <w:b w:val="0"/>
          <w:bCs w:val="0"/>
          <w:color w:val="000000" w:themeColor="text1"/>
          <w:sz w:val="32"/>
          <w:szCs w:val="32"/>
          <w:lang w:eastAsia="zh-CN"/>
          <w14:textFill>
            <w14:solidFill>
              <w14:schemeClr w14:val="tx1"/>
            </w14:solidFill>
          </w14:textFill>
        </w:rPr>
        <w:t>开展</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中文域名注册</w:t>
      </w:r>
      <w:r>
        <w:rPr>
          <w:rFonts w:hint="eastAsia" w:ascii="Times New Roman" w:hAnsi="Times New Roman" w:cs="Times New Roman"/>
          <w:b w:val="0"/>
          <w:bCs w:val="0"/>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根据单位实际情况对域名进行更新或核销，对新增单位进行新注册，</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规范全区机关事业单位网上名称管理，注册对象满意度高，推动了机构编制管理的信息化建设；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cs="Times New Roman"/>
          <w:b w:val="0"/>
          <w:bCs w:val="0"/>
          <w:color w:val="000000" w:themeColor="text1"/>
          <w:sz w:val="32"/>
          <w:szCs w:val="32"/>
          <w:lang w:val="en-US" w:eastAsia="zh-CN"/>
          <w14:textFill>
            <w14:solidFill>
              <w14:schemeClr w14:val="tx1"/>
            </w14:solidFill>
          </w14:textFill>
        </w:rPr>
        <w:t>开展</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审改办</w:t>
      </w:r>
      <w:r>
        <w:rPr>
          <w:rFonts w:hint="eastAsia" w:ascii="Times New Roman" w:hAnsi="Times New Roman" w:cs="Times New Roman"/>
          <w:b w:val="0"/>
          <w:bCs w:val="0"/>
          <w:color w:val="000000" w:themeColor="text1"/>
          <w:sz w:val="32"/>
          <w:szCs w:val="32"/>
          <w:lang w:val="en-US" w:eastAsia="zh-CN"/>
          <w14:textFill>
            <w14:solidFill>
              <w14:schemeClr w14:val="tx1"/>
            </w14:solidFill>
          </w14:textFill>
        </w:rPr>
        <w:t>工作，</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持</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续深化审批制度改革，</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下放行政权力清单事项</w:t>
      </w:r>
      <w:r>
        <w:rPr>
          <w:rFonts w:hint="eastAsia" w:ascii="Times New Roman" w:hAnsi="Times New Roman" w:cs="Times New Roman"/>
          <w:b w:val="0"/>
          <w:bCs w:val="0"/>
          <w:color w:val="000000" w:themeColor="text1"/>
          <w:sz w:val="32"/>
          <w:szCs w:val="32"/>
          <w:lang w:val="en-US" w:eastAsia="zh-CN"/>
          <w14:textFill>
            <w14:solidFill>
              <w14:schemeClr w14:val="tx1"/>
            </w14:solidFill>
          </w14:textFill>
        </w:rPr>
        <w:t>274</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余项，</w:t>
      </w:r>
      <w:r>
        <w:rPr>
          <w:rFonts w:hint="eastAsia" w:ascii="Times New Roman" w:hAnsi="Times New Roman" w:cs="Times New Roman"/>
          <w:b w:val="0"/>
          <w:bCs w:val="0"/>
          <w:color w:val="000000" w:themeColor="text1"/>
          <w:sz w:val="32"/>
          <w:szCs w:val="32"/>
          <w:lang w:val="en-US" w:eastAsia="zh-CN"/>
          <w14:textFill>
            <w14:solidFill>
              <w14:schemeClr w14:val="tx1"/>
            </w14:solidFill>
          </w14:textFill>
        </w:rPr>
        <w:t>提高</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审批制度改革深入程度，群众社会评价较高</w:t>
      </w:r>
      <w:r>
        <w:rPr>
          <w:rFonts w:hint="eastAsia" w:ascii="Times New Roman" w:hAnsi="Times New Roman" w:cs="Times New Roman"/>
          <w:b w:val="0"/>
          <w:bCs w:val="0"/>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改革对象满意度较高；</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机构改革</w:t>
      </w:r>
      <w:r>
        <w:rPr>
          <w:rFonts w:hint="eastAsia" w:ascii="Times New Roman" w:hAnsi="Times New Roman" w:cs="Times New Roman"/>
          <w:b w:val="0"/>
          <w:bCs w:val="0"/>
          <w:color w:val="000000" w:themeColor="text1"/>
          <w:sz w:val="32"/>
          <w:szCs w:val="32"/>
          <w:lang w:val="en-US" w:eastAsia="zh-CN"/>
          <w14:textFill>
            <w14:solidFill>
              <w14:schemeClr w14:val="tx1"/>
            </w14:solidFill>
          </w14:textFill>
        </w:rPr>
        <w:t>工作，</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稳步推进事业单位分类改革，各项专项改革和重点领域体制机制调整，规范与创新机构编制管理，充分发挥机构编制资源效益。加强和完善两项改革“后半篇”文章重点任务和内容，优化机构编制资源配置，提高机构编制使用效益。</w:t>
      </w:r>
      <w:r>
        <w:rPr>
          <w:rFonts w:hint="eastAsia" w:ascii="Times New Roman" w:hAnsi="Times New Roman" w:cs="Times New Roman"/>
          <w:b w:val="0"/>
          <w:bCs w:val="0"/>
          <w:color w:val="000000" w:themeColor="text1"/>
          <w:sz w:val="32"/>
          <w:szCs w:val="32"/>
          <w:lang w:eastAsia="zh-CN"/>
          <w14:textFill>
            <w14:solidFill>
              <w14:schemeClr w14:val="tx1"/>
            </w14:solidFill>
          </w14:textFill>
        </w:rPr>
        <w:t>全年计划</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机构改革完成数量</w:t>
      </w:r>
      <w:r>
        <w:rPr>
          <w:rFonts w:hint="eastAsia" w:ascii="Times New Roman" w:hAnsi="Times New Roman" w:cs="Times New Roman"/>
          <w:b w:val="0"/>
          <w:bCs w:val="0"/>
          <w:color w:val="000000" w:themeColor="text1"/>
          <w:sz w:val="32"/>
          <w:szCs w:val="32"/>
          <w:lang w:val="en-US" w:eastAsia="zh-CN"/>
          <w14:textFill>
            <w14:solidFill>
              <w14:schemeClr w14:val="tx1"/>
            </w14:solidFill>
          </w14:textFill>
        </w:rPr>
        <w:t>16</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处，</w:t>
      </w:r>
      <w:r>
        <w:rPr>
          <w:rFonts w:hint="eastAsia" w:ascii="Times New Roman" w:hAnsi="Times New Roman" w:cs="Times New Roman"/>
          <w:b w:val="0"/>
          <w:bCs w:val="0"/>
          <w:color w:val="000000" w:themeColor="text1"/>
          <w:sz w:val="32"/>
          <w:szCs w:val="32"/>
          <w:lang w:eastAsia="zh-CN"/>
          <w14:textFill>
            <w14:solidFill>
              <w14:schemeClr w14:val="tx1"/>
            </w14:solidFill>
          </w14:textFill>
        </w:rPr>
        <w:t>确保</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改革对象运转通畅</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改革对象满意度较高</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，机构改革顺利平稳，基层服务效率</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得到提升，</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社会群众评价较高</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楷体_GB2312" w:cs="Times New Roman"/>
          <w:b/>
          <w:sz w:val="32"/>
          <w:szCs w:val="32"/>
          <w:lang w:val="zh-CN"/>
        </w:rPr>
      </w:pP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事业单位年检、登记工作</w:t>
      </w:r>
      <w:r>
        <w:rPr>
          <w:rFonts w:hint="eastAsia" w:ascii="Times New Roman" w:hAnsi="Times New Roman"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对符合法定条件的登记申请核准登记</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并</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向核准设立登记的事业单位颁发《事业单位法人证书》，通过年度报告书，掌握事业单位的运转情况，对事业单位进行动态管理。</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区</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机关事业单位登记、年检覆盖率超过</w:t>
      </w:r>
      <w:r>
        <w:rPr>
          <w:rFonts w:hint="eastAsia" w:ascii="Times New Roman" w:hAnsi="Times New Roman" w:cs="Times New Roman"/>
          <w:b w:val="0"/>
          <w:bCs w:val="0"/>
          <w:color w:val="000000" w:themeColor="text1"/>
          <w:sz w:val="32"/>
          <w:szCs w:val="32"/>
          <w:lang w:val="en-US" w:eastAsia="zh-CN"/>
          <w14:textFill>
            <w14:solidFill>
              <w14:schemeClr w14:val="tx1"/>
            </w14:solidFill>
          </w14:textFill>
        </w:rPr>
        <w:t>100</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且质量较高</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公示公告完成单位超过</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100</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家且社会评价度好，</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年检注册单位</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满意度较高。</w:t>
      </w:r>
    </w:p>
    <w:p>
      <w:pPr>
        <w:keepNext w:val="0"/>
        <w:keepLines w:val="0"/>
        <w:pageBreakBefore w:val="0"/>
        <w:widowControl w:val="0"/>
        <w:numPr>
          <w:ilvl w:val="0"/>
          <w:numId w:val="9"/>
        </w:numPr>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黑体" w:cs="Times New Roman"/>
          <w:sz w:val="32"/>
          <w:szCs w:val="32"/>
        </w:rPr>
      </w:pPr>
      <w:r>
        <w:rPr>
          <w:rFonts w:hint="eastAsia" w:eastAsia="黑体" w:cs="Times New Roman"/>
          <w:sz w:val="32"/>
          <w:szCs w:val="32"/>
          <w:lang w:eastAsia="zh-CN"/>
        </w:rPr>
        <w:t>自评结论及</w:t>
      </w:r>
      <w:r>
        <w:rPr>
          <w:rFonts w:hint="default" w:ascii="Times New Roman" w:hAnsi="Times New Roman" w:eastAsia="黑体" w:cs="Times New Roman"/>
          <w:sz w:val="32"/>
          <w:szCs w:val="32"/>
        </w:rPr>
        <w:t>建议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spacing w:val="4"/>
          <w:sz w:val="31"/>
          <w:szCs w:val="31"/>
          <w:lang w:val="en-US" w:eastAsia="zh-CN"/>
        </w:rPr>
      </w:pPr>
      <w:r>
        <w:rPr>
          <w:rFonts w:hint="eastAsia" w:ascii="Times New Roman" w:hAnsi="Times New Roman" w:eastAsia="楷体_GB2312" w:cs="Times New Roman"/>
          <w:b/>
          <w:sz w:val="32"/>
          <w:szCs w:val="32"/>
          <w:lang w:val="zh-CN" w:eastAsia="zh-CN"/>
        </w:rPr>
        <w:t>（一）评价结论。</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事业单位年检、登记</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等</w:t>
      </w:r>
      <w:r>
        <w:rPr>
          <w:rFonts w:hint="eastAsia" w:ascii="仿宋_GB2312" w:hAnsi="仿宋_GB2312" w:eastAsia="仿宋_GB2312" w:cs="仿宋_GB2312"/>
          <w:snapToGrid w:val="0"/>
          <w:color w:val="000000"/>
          <w:spacing w:val="4"/>
          <w:kern w:val="0"/>
          <w:sz w:val="31"/>
          <w:szCs w:val="31"/>
          <w:lang w:val="en-US" w:eastAsia="zh-CN"/>
        </w:rPr>
        <w:t>项目经费</w:t>
      </w:r>
      <w:r>
        <w:rPr>
          <w:rFonts w:hint="eastAsia" w:ascii="仿宋_GB2312" w:hAnsi="仿宋_GB2312" w:eastAsia="仿宋_GB2312" w:cs="仿宋_GB2312"/>
          <w:spacing w:val="4"/>
          <w:sz w:val="31"/>
          <w:szCs w:val="31"/>
          <w:lang w:val="en-US" w:eastAsia="zh-CN"/>
        </w:rPr>
        <w:t>资金计划、安排合规合法，对标项目支出绩效评价指标体系，我部对本项目进行总体自评，评价结果为：优，得分97分。</w:t>
      </w:r>
    </w:p>
    <w:p>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eastAsia" w:cs="Times New Roman"/>
          <w:sz w:val="32"/>
          <w:szCs w:val="32"/>
          <w:lang w:val="zh-CN"/>
        </w:rPr>
      </w:pPr>
      <w:r>
        <w:rPr>
          <w:rFonts w:hint="eastAsia" w:ascii="Times New Roman" w:hAnsi="Times New Roman" w:eastAsia="楷体_GB2312" w:cs="Times New Roman"/>
          <w:b/>
          <w:sz w:val="32"/>
          <w:szCs w:val="32"/>
          <w:lang w:val="zh-CN"/>
        </w:rPr>
        <w:t>（二）存在的问题。</w:t>
      </w:r>
      <w:r>
        <w:rPr>
          <w:rFonts w:hint="eastAsia" w:cs="Times New Roman"/>
          <w:sz w:val="32"/>
          <w:szCs w:val="32"/>
          <w:lang w:val="zh-CN"/>
        </w:rPr>
        <w:t>无</w:t>
      </w:r>
    </w:p>
    <w:p>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eastAsia" w:cs="Times New Roman"/>
          <w:sz w:val="32"/>
          <w:szCs w:val="32"/>
          <w:lang w:val="zh-CN"/>
        </w:rPr>
      </w:pPr>
      <w:r>
        <w:rPr>
          <w:rFonts w:hint="eastAsia" w:ascii="Times New Roman" w:hAnsi="Times New Roman" w:eastAsia="楷体_GB2312" w:cs="Times New Roman"/>
          <w:b/>
          <w:sz w:val="32"/>
          <w:szCs w:val="32"/>
          <w:lang w:val="zh-CN"/>
        </w:rPr>
        <w:t>（三）相关建议。</w:t>
      </w:r>
      <w:r>
        <w:rPr>
          <w:rFonts w:hint="eastAsia" w:cs="Times New Roman"/>
          <w:sz w:val="32"/>
          <w:szCs w:val="32"/>
          <w:lang w:val="zh-CN"/>
        </w:rPr>
        <w:t>无</w:t>
      </w:r>
    </w:p>
    <w:p>
      <w:pPr>
        <w:pStyle w:val="7"/>
        <w:rPr>
          <w:rFonts w:hint="eastAsia" w:cs="Times New Roman"/>
          <w:sz w:val="32"/>
          <w:szCs w:val="32"/>
          <w:lang w:val="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36" w:firstLineChars="200"/>
        <w:textAlignment w:val="auto"/>
        <w:rPr>
          <w:rFonts w:hint="eastAsia" w:ascii="仿宋_GB2312" w:hAnsi="仿宋_GB2312" w:eastAsia="仿宋_GB2312" w:cs="仿宋_GB2312"/>
          <w:spacing w:val="4"/>
          <w:sz w:val="31"/>
          <w:szCs w:val="31"/>
          <w:lang w:val="en-US" w:eastAsia="zh-CN"/>
        </w:rPr>
      </w:pPr>
      <w:r>
        <w:rPr>
          <w:rFonts w:hint="eastAsia" w:ascii="仿宋_GB2312" w:hAnsi="仿宋_GB2312" w:eastAsia="仿宋_GB2312" w:cs="仿宋_GB2312"/>
          <w:spacing w:val="4"/>
          <w:sz w:val="31"/>
          <w:szCs w:val="31"/>
          <w:lang w:val="en-US" w:eastAsia="zh-CN"/>
        </w:rPr>
        <w:t>附表1：机构改革经费项目支出绩效自评表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36" w:firstLineChars="200"/>
        <w:textAlignment w:val="auto"/>
        <w:rPr>
          <w:rFonts w:hint="eastAsia" w:ascii="仿宋_GB2312" w:hAnsi="仿宋_GB2312" w:eastAsia="仿宋_GB2312" w:cs="仿宋_GB2312"/>
          <w:spacing w:val="4"/>
          <w:sz w:val="31"/>
          <w:szCs w:val="31"/>
          <w:lang w:val="en-US" w:eastAsia="zh-CN"/>
        </w:rPr>
      </w:pPr>
      <w:r>
        <w:rPr>
          <w:rFonts w:hint="eastAsia" w:ascii="仿宋_GB2312" w:hAnsi="仿宋_GB2312" w:eastAsia="仿宋_GB2312" w:cs="仿宋_GB2312"/>
          <w:spacing w:val="4"/>
          <w:sz w:val="31"/>
          <w:szCs w:val="31"/>
          <w:lang w:val="en-US" w:eastAsia="zh-CN"/>
        </w:rPr>
        <w:t>附表2：审改办经费项目支出绩效自评表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36" w:firstLineChars="200"/>
        <w:textAlignment w:val="auto"/>
        <w:rPr>
          <w:rFonts w:hint="eastAsia" w:ascii="仿宋_GB2312" w:hAnsi="仿宋_GB2312" w:eastAsia="仿宋_GB2312" w:cs="仿宋_GB2312"/>
          <w:spacing w:val="4"/>
          <w:sz w:val="31"/>
          <w:szCs w:val="31"/>
          <w:lang w:val="en-US" w:eastAsia="zh-CN"/>
        </w:rPr>
      </w:pPr>
      <w:r>
        <w:rPr>
          <w:rFonts w:hint="eastAsia" w:ascii="仿宋_GB2312" w:hAnsi="仿宋_GB2312" w:eastAsia="仿宋_GB2312" w:cs="仿宋_GB2312"/>
          <w:spacing w:val="4"/>
          <w:sz w:val="31"/>
          <w:szCs w:val="31"/>
          <w:lang w:val="en-US" w:eastAsia="zh-CN"/>
        </w:rPr>
        <w:t>附表3：事业单位年检、登记工作经费项目支出绩效自评表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36" w:firstLineChars="200"/>
        <w:textAlignment w:val="auto"/>
        <w:rPr>
          <w:rFonts w:hint="eastAsia" w:ascii="仿宋_GB2312" w:hAnsi="仿宋_GB2312" w:eastAsia="仿宋_GB2312" w:cs="仿宋_GB2312"/>
          <w:spacing w:val="4"/>
          <w:sz w:val="31"/>
          <w:szCs w:val="31"/>
          <w:lang w:val="en-US" w:eastAsia="zh-CN"/>
        </w:rPr>
      </w:pPr>
      <w:r>
        <w:rPr>
          <w:rFonts w:hint="eastAsia" w:ascii="仿宋_GB2312" w:hAnsi="仿宋_GB2312" w:eastAsia="仿宋_GB2312" w:cs="仿宋_GB2312"/>
          <w:spacing w:val="4"/>
          <w:sz w:val="31"/>
          <w:szCs w:val="31"/>
          <w:lang w:val="en-US" w:eastAsia="zh-CN"/>
        </w:rPr>
        <w:t>附表4：中文域名注册经费项目支出绩效自评表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36" w:firstLineChars="200"/>
        <w:textAlignment w:val="auto"/>
        <w:rPr>
          <w:rFonts w:hint="eastAsia" w:ascii="仿宋_GB2312" w:hAnsi="仿宋_GB2312" w:eastAsia="仿宋_GB2312" w:cs="仿宋_GB2312"/>
          <w:spacing w:val="4"/>
          <w:sz w:val="31"/>
          <w:szCs w:val="31"/>
          <w:lang w:val="en-US" w:eastAsia="zh-CN"/>
        </w:rPr>
      </w:pPr>
      <w:r>
        <w:rPr>
          <w:rFonts w:hint="eastAsia" w:ascii="仿宋_GB2312" w:hAnsi="仿宋_GB2312" w:eastAsia="仿宋_GB2312" w:cs="仿宋_GB2312"/>
          <w:spacing w:val="4"/>
          <w:sz w:val="31"/>
          <w:szCs w:val="31"/>
          <w:lang w:val="en-US" w:eastAsia="zh-CN"/>
        </w:rPr>
        <w:t>附表5：机构编制运行评估办法经费项目支出绩效自评表</w:t>
      </w:r>
    </w:p>
    <w:p>
      <w:pPr>
        <w:keepNext w:val="0"/>
        <w:keepLines w:val="0"/>
        <w:pageBreakBefore w:val="0"/>
        <w:widowControl w:val="0"/>
        <w:kinsoku/>
        <w:wordWrap w:val="0"/>
        <w:overflowPunct/>
        <w:topLinePunct w:val="0"/>
        <w:autoSpaceDE/>
        <w:autoSpaceDN/>
        <w:bidi w:val="0"/>
        <w:spacing w:line="576" w:lineRule="exact"/>
        <w:jc w:val="both"/>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spacing w:line="576" w:lineRule="exact"/>
        <w:ind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20</w:t>
      </w:r>
      <w:r>
        <w:rPr>
          <w:rFonts w:hint="default" w:ascii="Times New Roman" w:hAnsi="Times New Roman" w:eastAsia="仿宋_GB2312" w:cs="Times New Roman"/>
          <w:color w:val="auto"/>
          <w:sz w:val="32"/>
          <w:szCs w:val="32"/>
          <w:lang w:val="en-US" w:eastAsia="zh-CN"/>
        </w:rPr>
        <w:t>2</w:t>
      </w:r>
      <w:r>
        <w:rPr>
          <w:rFonts w:hint="eastAsia" w:cs="Times New Roman"/>
          <w:color w:val="auto"/>
          <w:sz w:val="32"/>
          <w:szCs w:val="32"/>
          <w:lang w:val="en-US" w:eastAsia="zh-CN"/>
        </w:rPr>
        <w:t>3</w:t>
      </w:r>
      <w:r>
        <w:rPr>
          <w:rFonts w:hint="default" w:ascii="Times New Roman" w:hAnsi="Times New Roman" w:eastAsia="仿宋_GB2312" w:cs="Times New Roman"/>
          <w:color w:val="auto"/>
          <w:sz w:val="32"/>
          <w:szCs w:val="32"/>
        </w:rPr>
        <w:t>年</w:t>
      </w:r>
      <w:r>
        <w:rPr>
          <w:rFonts w:hint="eastAsia" w:cs="Times New Roman"/>
          <w:color w:val="auto"/>
          <w:sz w:val="32"/>
          <w:szCs w:val="32"/>
          <w:lang w:val="en-US" w:eastAsia="zh-CN"/>
        </w:rPr>
        <w:t>9</w:t>
      </w:r>
      <w:r>
        <w:rPr>
          <w:rFonts w:hint="default" w:ascii="Times New Roman" w:hAnsi="Times New Roman" w:eastAsia="仿宋_GB2312" w:cs="Times New Roman"/>
          <w:color w:val="auto"/>
          <w:sz w:val="32"/>
          <w:szCs w:val="32"/>
        </w:rPr>
        <w:t>月</w:t>
      </w:r>
      <w:r>
        <w:rPr>
          <w:rFonts w:hint="eastAsia" w:cs="Times New Roman"/>
          <w:color w:val="auto"/>
          <w:sz w:val="32"/>
          <w:szCs w:val="32"/>
          <w:lang w:val="en-US" w:eastAsia="zh-CN"/>
        </w:rPr>
        <w:t>25</w:t>
      </w:r>
      <w:r>
        <w:rPr>
          <w:rFonts w:hint="default" w:ascii="Times New Roman" w:hAnsi="Times New Roman" w:eastAsia="仿宋_GB2312" w:cs="Times New Roman"/>
          <w:color w:val="auto"/>
          <w:sz w:val="32"/>
          <w:szCs w:val="32"/>
        </w:rPr>
        <w:t>日</w:t>
      </w:r>
    </w:p>
    <w:p>
      <w:pPr>
        <w:spacing w:line="600" w:lineRule="exact"/>
        <w:jc w:val="both"/>
        <w:outlineLvl w:val="0"/>
        <w:rPr>
          <w:rFonts w:hint="eastAsia" w:ascii="黑体" w:hAnsi="黑体" w:eastAsia="黑体"/>
          <w:color w:val="auto"/>
          <w:sz w:val="44"/>
          <w:szCs w:val="44"/>
          <w:highlight w:val="none"/>
        </w:rPr>
      </w:pPr>
    </w:p>
    <w:tbl>
      <w:tblPr>
        <w:tblStyle w:val="18"/>
        <w:tblW w:w="935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6"/>
        <w:gridCol w:w="533"/>
        <w:gridCol w:w="1018"/>
        <w:gridCol w:w="1018"/>
        <w:gridCol w:w="1158"/>
        <w:gridCol w:w="1576"/>
        <w:gridCol w:w="1469"/>
        <w:gridCol w:w="16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1469" w:type="dxa"/>
            <w:gridSpan w:val="2"/>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黑体" w:hAnsi="宋体" w:eastAsia="黑体" w:cs="黑体"/>
                <w:i w:val="0"/>
                <w:iCs w:val="0"/>
                <w:color w:val="000000"/>
                <w:sz w:val="36"/>
                <w:szCs w:val="36"/>
                <w:u w:val="none"/>
              </w:rPr>
            </w:pPr>
            <w:r>
              <w:rPr>
                <w:rFonts w:hint="eastAsia" w:ascii="黑体" w:hAnsi="宋体" w:eastAsia="黑体" w:cs="黑体"/>
                <w:i w:val="0"/>
                <w:iCs w:val="0"/>
                <w:color w:val="000000"/>
                <w:kern w:val="0"/>
                <w:sz w:val="36"/>
                <w:szCs w:val="36"/>
                <w:u w:val="none"/>
                <w:lang w:val="en-US" w:eastAsia="zh-CN"/>
              </w:rPr>
              <w:t>附表1</w:t>
            </w:r>
          </w:p>
        </w:tc>
        <w:tc>
          <w:tcPr>
            <w:tcW w:w="1018"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18"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158"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57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469"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648"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9356"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rPr>
              <w:t>广元市昭化区财政项目（政策）支出绩效自评表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9356" w:type="dxa"/>
            <w:gridSpan w:val="8"/>
            <w:tcBorders>
              <w:top w:val="nil"/>
              <w:left w:val="nil"/>
              <w:bottom w:val="nil"/>
              <w:right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2022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4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项目（政策）名称</w:t>
            </w:r>
          </w:p>
        </w:tc>
        <w:tc>
          <w:tcPr>
            <w:tcW w:w="78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机构改革经费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14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主管部门</w:t>
            </w:r>
          </w:p>
        </w:tc>
        <w:tc>
          <w:tcPr>
            <w:tcW w:w="31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中共广元市昭化区委机构编制委员会办公室</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实施单位</w:t>
            </w:r>
          </w:p>
        </w:tc>
        <w:tc>
          <w:tcPr>
            <w:tcW w:w="31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中共广元市昭化区委机构编制委员会办公室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469" w:type="dxa"/>
            <w:gridSpan w:val="2"/>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项目（政策）资金（万元）</w:t>
            </w:r>
          </w:p>
        </w:tc>
        <w:tc>
          <w:tcPr>
            <w:tcW w:w="2036" w:type="dxa"/>
            <w:gridSpan w:val="2"/>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年初预算数</w:t>
            </w:r>
          </w:p>
        </w:tc>
        <w:tc>
          <w:tcPr>
            <w:tcW w:w="157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全年预算数</w:t>
            </w:r>
          </w:p>
        </w:tc>
        <w:tc>
          <w:tcPr>
            <w:tcW w:w="146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全年执行数</w:t>
            </w:r>
          </w:p>
        </w:tc>
        <w:tc>
          <w:tcPr>
            <w:tcW w:w="16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469"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年度资金总额</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10</w:t>
            </w:r>
          </w:p>
        </w:tc>
        <w:tc>
          <w:tcPr>
            <w:tcW w:w="16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469"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（一）财政拨款小计</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10</w:t>
            </w:r>
          </w:p>
        </w:tc>
        <w:tc>
          <w:tcPr>
            <w:tcW w:w="16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469"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1.一般公共预算</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10</w:t>
            </w:r>
          </w:p>
        </w:tc>
        <w:tc>
          <w:tcPr>
            <w:tcW w:w="16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469"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2.政府性基金</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trPr>
        <w:tc>
          <w:tcPr>
            <w:tcW w:w="1469"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3.国有资本经营预算</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469"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4.社保基金</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469"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（二）其他资金</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9"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48"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trPr>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年度总体目标</w:t>
            </w:r>
          </w:p>
        </w:tc>
        <w:tc>
          <w:tcPr>
            <w:tcW w:w="53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预期目标</w:t>
            </w:r>
          </w:p>
        </w:tc>
        <w:tc>
          <w:tcPr>
            <w:tcW w:w="31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3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完成机构与职能的整合，人员划转工作。稳步推进事业单位分类改革，各项专项改革和重点领域体制机制调整，规范与创新机构编制管理，充分发挥机构编制资源效益。加强和完善两项改革“后半篇”文章重点任务和内容，优化机构编制资源配置，提高机构编制使用效益。</w:t>
            </w:r>
          </w:p>
        </w:tc>
        <w:tc>
          <w:tcPr>
            <w:tcW w:w="31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机构改革完成数量16处，完成时效不晚于当年12月；机构改革完成后，社会群众评价较高，改革对象运转通畅，改革对象满意度较高。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绩效指标</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一级指标</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二级指标</w:t>
            </w:r>
          </w:p>
        </w:tc>
        <w:tc>
          <w:tcPr>
            <w:tcW w:w="2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三级指标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年度指标值</w:t>
            </w:r>
          </w:p>
        </w:tc>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实际完成值</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产出指标</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数量指标</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指标1：</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机构改革完成数量</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15处</w:t>
            </w:r>
          </w:p>
        </w:tc>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16处</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质量指标</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指标1：</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机构改革顺利平稳</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高中低</w:t>
            </w:r>
          </w:p>
        </w:tc>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高</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时效指标</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指标1：</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机构改革完成及时率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高中低</w:t>
            </w:r>
          </w:p>
        </w:tc>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高</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成本指标</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指标1：</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经费成本控制</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r>
              <w:rPr>
                <w:rFonts w:hint="eastAsia" w:ascii="宋体" w:hAnsi="宋体" w:cs="宋体"/>
                <w:i w:val="0"/>
                <w:iCs w:val="0"/>
                <w:color w:val="000000"/>
                <w:kern w:val="0"/>
                <w:sz w:val="18"/>
                <w:szCs w:val="18"/>
                <w:u w:val="none"/>
                <w:lang w:val="en-US" w:eastAsia="zh-CN"/>
              </w:rPr>
              <w:t>万</w:t>
            </w:r>
            <w:r>
              <w:rPr>
                <w:rFonts w:hint="eastAsia" w:ascii="宋体" w:hAnsi="宋体" w:eastAsia="宋体" w:cs="宋体"/>
                <w:i w:val="0"/>
                <w:iCs w:val="0"/>
                <w:color w:val="000000"/>
                <w:kern w:val="0"/>
                <w:sz w:val="18"/>
                <w:szCs w:val="18"/>
                <w:u w:val="none"/>
                <w:lang w:val="en-US" w:eastAsia="zh-CN"/>
              </w:rPr>
              <w:t>元</w:t>
            </w:r>
          </w:p>
        </w:tc>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rPr>
              <w:t>10万</w:t>
            </w:r>
            <w:r>
              <w:rPr>
                <w:rFonts w:hint="eastAsia" w:ascii="宋体" w:hAnsi="宋体" w:eastAsia="宋体" w:cs="宋体"/>
                <w:i w:val="0"/>
                <w:iCs w:val="0"/>
                <w:color w:val="000000"/>
                <w:kern w:val="0"/>
                <w:sz w:val="18"/>
                <w:szCs w:val="18"/>
                <w:u w:val="none"/>
                <w:lang w:val="en-US" w:eastAsia="zh-CN"/>
              </w:rPr>
              <w:t>元</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效益指标</w:t>
            </w:r>
          </w:p>
        </w:tc>
        <w:tc>
          <w:tcPr>
            <w:tcW w:w="101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社会效益</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指标</w:t>
            </w:r>
          </w:p>
        </w:tc>
        <w:tc>
          <w:tcPr>
            <w:tcW w:w="1018"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指标1：</w:t>
            </w:r>
          </w:p>
        </w:tc>
        <w:tc>
          <w:tcPr>
            <w:tcW w:w="1158"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提升基层服务效率</w:t>
            </w:r>
          </w:p>
        </w:tc>
        <w:tc>
          <w:tcPr>
            <w:tcW w:w="1576"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高中低</w:t>
            </w:r>
          </w:p>
        </w:tc>
        <w:tc>
          <w:tcPr>
            <w:tcW w:w="1469"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服务效率高</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满意度</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指标</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服务对象满意度指标</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指标1：</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改革对象满意度</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≥90%</w:t>
            </w:r>
          </w:p>
        </w:tc>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95%</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bl>
    <w:p>
      <w:pPr>
        <w:pStyle w:val="2"/>
        <w:rPr>
          <w:rFonts w:hint="eastAsia"/>
        </w:rPr>
      </w:pPr>
    </w:p>
    <w:tbl>
      <w:tblPr>
        <w:tblStyle w:val="18"/>
        <w:tblW w:w="101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6"/>
        <w:gridCol w:w="658"/>
        <w:gridCol w:w="1105"/>
        <w:gridCol w:w="1105"/>
        <w:gridCol w:w="1257"/>
        <w:gridCol w:w="1711"/>
        <w:gridCol w:w="1594"/>
        <w:gridCol w:w="17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trPr>
        <w:tc>
          <w:tcPr>
            <w:tcW w:w="1594" w:type="dxa"/>
            <w:gridSpan w:val="2"/>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黑体" w:hAnsi="宋体" w:eastAsia="黑体" w:cs="黑体"/>
                <w:i w:val="0"/>
                <w:iCs w:val="0"/>
                <w:color w:val="000000"/>
                <w:sz w:val="36"/>
                <w:szCs w:val="36"/>
                <w:u w:val="none"/>
              </w:rPr>
            </w:pPr>
            <w:r>
              <w:rPr>
                <w:rFonts w:hint="eastAsia" w:ascii="黑体" w:hAnsi="宋体" w:eastAsia="黑体" w:cs="黑体"/>
                <w:i w:val="0"/>
                <w:iCs w:val="0"/>
                <w:color w:val="000000"/>
                <w:kern w:val="0"/>
                <w:sz w:val="36"/>
                <w:szCs w:val="36"/>
                <w:u w:val="none"/>
                <w:lang w:val="en-US" w:eastAsia="zh-CN"/>
              </w:rPr>
              <w:t>附表2</w:t>
            </w:r>
          </w:p>
        </w:tc>
        <w:tc>
          <w:tcPr>
            <w:tcW w:w="110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10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257"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711"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59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789"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10155"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rPr>
              <w:t>广元市昭化区财政项目（政策）支出绩效自评表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10155" w:type="dxa"/>
            <w:gridSpan w:val="8"/>
            <w:tcBorders>
              <w:top w:val="nil"/>
              <w:left w:val="nil"/>
              <w:bottom w:val="nil"/>
              <w:right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2022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15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项目（政策）名称</w:t>
            </w:r>
          </w:p>
        </w:tc>
        <w:tc>
          <w:tcPr>
            <w:tcW w:w="856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审改办经费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15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主管部门</w:t>
            </w:r>
          </w:p>
        </w:tc>
        <w:tc>
          <w:tcPr>
            <w:tcW w:w="34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中共广元市昭化区委机构编制委员会办公室</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实施单位</w:t>
            </w:r>
          </w:p>
        </w:tc>
        <w:tc>
          <w:tcPr>
            <w:tcW w:w="33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中共广元市昭化区委机构编制委员会办公室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1594" w:type="dxa"/>
            <w:gridSpan w:val="2"/>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项目（政策）资金（万元）</w:t>
            </w:r>
          </w:p>
        </w:tc>
        <w:tc>
          <w:tcPr>
            <w:tcW w:w="2210" w:type="dxa"/>
            <w:gridSpan w:val="2"/>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5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年初预算数</w:t>
            </w:r>
          </w:p>
        </w:tc>
        <w:tc>
          <w:tcPr>
            <w:tcW w:w="171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全年预算数</w:t>
            </w:r>
          </w:p>
        </w:tc>
        <w:tc>
          <w:tcPr>
            <w:tcW w:w="159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全年执行数</w:t>
            </w:r>
          </w:p>
        </w:tc>
        <w:tc>
          <w:tcPr>
            <w:tcW w:w="178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1594"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年度资金总额</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15</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15</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15</w:t>
            </w:r>
          </w:p>
        </w:tc>
        <w:tc>
          <w:tcPr>
            <w:tcW w:w="178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1594"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（一）财政拨款小计</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15</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15</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15</w:t>
            </w:r>
          </w:p>
        </w:tc>
        <w:tc>
          <w:tcPr>
            <w:tcW w:w="178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1594"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1.一般公共预算</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15</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15</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15</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1594"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2.政府性基金</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1594"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3.国有资本经营预算</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1594"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4.社保基金</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1594"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（二）其他资金</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4"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年度总体目标</w:t>
            </w:r>
          </w:p>
        </w:tc>
        <w:tc>
          <w:tcPr>
            <w:tcW w:w="58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预期目标</w:t>
            </w:r>
          </w:p>
        </w:tc>
        <w:tc>
          <w:tcPr>
            <w:tcW w:w="33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4"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持续深化</w:t>
            </w:r>
            <w:r>
              <w:rPr>
                <w:rFonts w:hint="eastAsia" w:ascii="宋体" w:hAnsi="宋体" w:cs="宋体"/>
                <w:i w:val="0"/>
                <w:iCs w:val="0"/>
                <w:color w:val="000000"/>
                <w:kern w:val="0"/>
                <w:sz w:val="18"/>
                <w:szCs w:val="18"/>
                <w:u w:val="none"/>
                <w:lang w:val="en-US" w:eastAsia="zh-CN"/>
              </w:rPr>
              <w:t>行政</w:t>
            </w:r>
            <w:r>
              <w:rPr>
                <w:rFonts w:hint="eastAsia" w:ascii="宋体" w:hAnsi="宋体" w:eastAsia="宋体" w:cs="宋体"/>
                <w:i w:val="0"/>
                <w:iCs w:val="0"/>
                <w:color w:val="000000"/>
                <w:kern w:val="0"/>
                <w:sz w:val="18"/>
                <w:szCs w:val="18"/>
                <w:u w:val="none"/>
                <w:lang w:val="en-US" w:eastAsia="zh-CN"/>
              </w:rPr>
              <w:t>审批制度</w:t>
            </w:r>
            <w:bookmarkStart w:id="67" w:name="_GoBack"/>
            <w:bookmarkEnd w:id="67"/>
            <w:r>
              <w:rPr>
                <w:rFonts w:hint="eastAsia" w:ascii="宋体" w:hAnsi="宋体" w:eastAsia="宋体" w:cs="宋体"/>
                <w:i w:val="0"/>
                <w:iCs w:val="0"/>
                <w:color w:val="000000"/>
                <w:kern w:val="0"/>
                <w:sz w:val="18"/>
                <w:szCs w:val="18"/>
                <w:u w:val="none"/>
                <w:lang w:val="en-US" w:eastAsia="zh-CN"/>
              </w:rPr>
              <w:t>改革，实现改革单位全覆盖，社会评价度高，改革对象满意度高。全年计划审批制度改革覆盖率超过95%，下放行政权力清单事项274余项，审批制度改革深入程度较高，群众社会评价较高改革对象满意度较高，各项指标完成率100%</w:t>
            </w:r>
          </w:p>
        </w:tc>
        <w:tc>
          <w:tcPr>
            <w:tcW w:w="33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审批制度改革覆盖率超过95%，下放行政权力清单事项274余项，审批制度改革深入程度较高，群众社会评价较高改革对象满意度较高，各项指标完成全年计划的100%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绩效指标</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一级指标</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二级指标</w:t>
            </w:r>
          </w:p>
        </w:tc>
        <w:tc>
          <w:tcPr>
            <w:tcW w:w="23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三级指标</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年度指标值</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实际完成值</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产出指标</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数量指标</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指标1：</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审批制度改革覆盖率</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≥95%</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≥95%</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质量指标</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指标1：</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审批制度改革程度</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高中低</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高</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时效指标</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指标1：</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年度改革及时率</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高中低</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高</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成本指标</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指标1：</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审批制度改革成本控制</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≤15</w:t>
            </w:r>
            <w:r>
              <w:rPr>
                <w:rFonts w:hint="eastAsia" w:ascii="宋体" w:hAnsi="宋体" w:cs="宋体"/>
                <w:i w:val="0"/>
                <w:iCs w:val="0"/>
                <w:color w:val="000000"/>
                <w:kern w:val="0"/>
                <w:sz w:val="18"/>
                <w:szCs w:val="18"/>
                <w:u w:val="none"/>
                <w:lang w:val="en-US" w:eastAsia="zh-CN"/>
              </w:rPr>
              <w:t>万</w:t>
            </w:r>
            <w:r>
              <w:rPr>
                <w:rFonts w:hint="eastAsia" w:ascii="宋体" w:hAnsi="宋体" w:eastAsia="宋体" w:cs="宋体"/>
                <w:i w:val="0"/>
                <w:iCs w:val="0"/>
                <w:color w:val="000000"/>
                <w:kern w:val="0"/>
                <w:sz w:val="18"/>
                <w:szCs w:val="18"/>
                <w:u w:val="none"/>
                <w:lang w:val="en-US" w:eastAsia="zh-CN"/>
              </w:rPr>
              <w:t>元</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15</w:t>
            </w:r>
            <w:r>
              <w:rPr>
                <w:rFonts w:hint="eastAsia" w:ascii="宋体" w:hAnsi="宋体" w:cs="宋体"/>
                <w:i w:val="0"/>
                <w:iCs w:val="0"/>
                <w:color w:val="000000"/>
                <w:kern w:val="0"/>
                <w:sz w:val="18"/>
                <w:szCs w:val="18"/>
                <w:u w:val="none"/>
                <w:lang w:val="en-US" w:eastAsia="zh-CN"/>
              </w:rPr>
              <w:t>万</w:t>
            </w:r>
            <w:r>
              <w:rPr>
                <w:rFonts w:hint="eastAsia" w:ascii="宋体" w:hAnsi="宋体" w:eastAsia="宋体" w:cs="宋体"/>
                <w:i w:val="0"/>
                <w:iCs w:val="0"/>
                <w:color w:val="000000"/>
                <w:kern w:val="0"/>
                <w:sz w:val="18"/>
                <w:szCs w:val="18"/>
                <w:u w:val="none"/>
                <w:lang w:val="en-US" w:eastAsia="zh-CN"/>
              </w:rPr>
              <w:t>元</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效益指标</w:t>
            </w:r>
          </w:p>
        </w:tc>
        <w:tc>
          <w:tcPr>
            <w:tcW w:w="110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经济效益</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指标</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指标1：</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0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社会效益</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指标</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指标1：</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社会效益指标</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提高群众社会评价</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社会评价高</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满意度</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指标</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服务对象满意度指标</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指标1：</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改革对象满意度</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≥90%</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95%</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bl>
    <w:p>
      <w:pPr>
        <w:rPr>
          <w:rFonts w:hint="eastAsia" w:ascii="黑体" w:hAnsi="黑体" w:eastAsia="黑体"/>
          <w:color w:val="auto"/>
          <w:sz w:val="44"/>
          <w:szCs w:val="44"/>
          <w:highlight w:val="none"/>
        </w:rPr>
      </w:pPr>
    </w:p>
    <w:tbl>
      <w:tblPr>
        <w:tblStyle w:val="18"/>
        <w:tblW w:w="17639" w:type="dxa"/>
        <w:tblInd w:w="3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8"/>
        <w:gridCol w:w="74"/>
        <w:gridCol w:w="57"/>
        <w:gridCol w:w="583"/>
        <w:gridCol w:w="106"/>
        <w:gridCol w:w="106"/>
        <w:gridCol w:w="781"/>
        <w:gridCol w:w="99"/>
        <w:gridCol w:w="260"/>
        <w:gridCol w:w="634"/>
        <w:gridCol w:w="139"/>
        <w:gridCol w:w="367"/>
        <w:gridCol w:w="622"/>
        <w:gridCol w:w="187"/>
        <w:gridCol w:w="487"/>
        <w:gridCol w:w="863"/>
        <w:gridCol w:w="251"/>
        <w:gridCol w:w="650"/>
        <w:gridCol w:w="531"/>
        <w:gridCol w:w="1113"/>
        <w:gridCol w:w="427"/>
        <w:gridCol w:w="68"/>
        <w:gridCol w:w="1350"/>
        <w:gridCol w:w="700"/>
        <w:gridCol w:w="1674"/>
        <w:gridCol w:w="1674"/>
        <w:gridCol w:w="1674"/>
        <w:gridCol w:w="16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8746" w:type="dxa"/>
          <w:trHeight w:val="541" w:hRule="atLeast"/>
        </w:trPr>
        <w:tc>
          <w:tcPr>
            <w:tcW w:w="1202" w:type="dxa"/>
            <w:gridSpan w:val="4"/>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黑体" w:hAnsi="宋体" w:eastAsia="黑体" w:cs="黑体"/>
                <w:i w:val="0"/>
                <w:iCs w:val="0"/>
                <w:color w:val="000000"/>
                <w:sz w:val="36"/>
                <w:szCs w:val="36"/>
                <w:u w:val="none"/>
              </w:rPr>
            </w:pPr>
            <w:r>
              <w:rPr>
                <w:rFonts w:hint="eastAsia" w:ascii="黑体" w:hAnsi="宋体" w:eastAsia="黑体" w:cs="黑体"/>
                <w:i w:val="0"/>
                <w:iCs w:val="0"/>
                <w:color w:val="000000"/>
                <w:kern w:val="0"/>
                <w:sz w:val="36"/>
                <w:szCs w:val="36"/>
                <w:u w:val="none"/>
                <w:lang w:val="en-US" w:eastAsia="zh-CN"/>
              </w:rPr>
              <w:t>附表3</w:t>
            </w:r>
          </w:p>
        </w:tc>
        <w:tc>
          <w:tcPr>
            <w:tcW w:w="993" w:type="dxa"/>
            <w:gridSpan w:val="3"/>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993" w:type="dxa"/>
            <w:gridSpan w:val="3"/>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128" w:type="dxa"/>
            <w:gridSpan w:val="3"/>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537" w:type="dxa"/>
            <w:gridSpan w:val="3"/>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432" w:type="dxa"/>
            <w:gridSpan w:val="3"/>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608" w:type="dxa"/>
            <w:gridSpan w:val="3"/>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8746" w:type="dxa"/>
          <w:trHeight w:val="609" w:hRule="atLeast"/>
        </w:trPr>
        <w:tc>
          <w:tcPr>
            <w:tcW w:w="8893" w:type="dxa"/>
            <w:gridSpan w:val="2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rPr>
              <w:t>广元市昭化区财政项目（政策）支出绩效自评表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8746" w:type="dxa"/>
          <w:trHeight w:val="445" w:hRule="atLeast"/>
        </w:trPr>
        <w:tc>
          <w:tcPr>
            <w:tcW w:w="8893" w:type="dxa"/>
            <w:gridSpan w:val="22"/>
            <w:tcBorders>
              <w:top w:val="nil"/>
              <w:left w:val="nil"/>
              <w:bottom w:val="nil"/>
              <w:right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2022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8746" w:type="dxa"/>
          <w:trHeight w:val="467" w:hRule="atLeast"/>
        </w:trPr>
        <w:tc>
          <w:tcPr>
            <w:tcW w:w="12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项目（政策）名称</w:t>
            </w:r>
          </w:p>
        </w:tc>
        <w:tc>
          <w:tcPr>
            <w:tcW w:w="7691"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事业单位年检、登记工作经费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8746" w:type="dxa"/>
          <w:trHeight w:val="480" w:hRule="atLeast"/>
        </w:trPr>
        <w:tc>
          <w:tcPr>
            <w:tcW w:w="12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主管部门</w:t>
            </w:r>
          </w:p>
        </w:tc>
        <w:tc>
          <w:tcPr>
            <w:tcW w:w="311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中共广元市昭化区委机构编制委员会办公室</w:t>
            </w:r>
          </w:p>
        </w:tc>
        <w:tc>
          <w:tcPr>
            <w:tcW w:w="15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实施单位</w:t>
            </w:r>
          </w:p>
        </w:tc>
        <w:tc>
          <w:tcPr>
            <w:tcW w:w="30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中共广元市昭化区委机构编制委员会办公室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8746" w:type="dxa"/>
          <w:trHeight w:val="378" w:hRule="atLeast"/>
        </w:trPr>
        <w:tc>
          <w:tcPr>
            <w:tcW w:w="1202" w:type="dxa"/>
            <w:gridSpan w:val="4"/>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项目（政策）资金（万元）</w:t>
            </w:r>
          </w:p>
        </w:tc>
        <w:tc>
          <w:tcPr>
            <w:tcW w:w="1986" w:type="dxa"/>
            <w:gridSpan w:val="6"/>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8"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年初预算数</w:t>
            </w:r>
          </w:p>
        </w:tc>
        <w:tc>
          <w:tcPr>
            <w:tcW w:w="153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全年预算数</w:t>
            </w:r>
          </w:p>
        </w:tc>
        <w:tc>
          <w:tcPr>
            <w:tcW w:w="1432"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全年执行数</w:t>
            </w:r>
          </w:p>
        </w:tc>
        <w:tc>
          <w:tcPr>
            <w:tcW w:w="1608"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8746" w:type="dxa"/>
          <w:trHeight w:val="378" w:hRule="atLeast"/>
        </w:trPr>
        <w:tc>
          <w:tcPr>
            <w:tcW w:w="1202" w:type="dxa"/>
            <w:gridSpan w:val="4"/>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年度资金总额</w:t>
            </w:r>
          </w:p>
        </w:tc>
        <w:tc>
          <w:tcPr>
            <w:tcW w:w="11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rPr>
              <w:t>10</w:t>
            </w:r>
          </w:p>
        </w:tc>
        <w:tc>
          <w:tcPr>
            <w:tcW w:w="15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rPr>
              <w:t>10</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rPr>
              <w:t>10</w:t>
            </w:r>
          </w:p>
        </w:tc>
        <w:tc>
          <w:tcPr>
            <w:tcW w:w="1608"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8746" w:type="dxa"/>
          <w:trHeight w:val="378" w:hRule="atLeast"/>
        </w:trPr>
        <w:tc>
          <w:tcPr>
            <w:tcW w:w="1202" w:type="dxa"/>
            <w:gridSpan w:val="4"/>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（一）财政拨款小计</w:t>
            </w:r>
          </w:p>
        </w:tc>
        <w:tc>
          <w:tcPr>
            <w:tcW w:w="11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rPr>
              <w:t>10</w:t>
            </w:r>
          </w:p>
        </w:tc>
        <w:tc>
          <w:tcPr>
            <w:tcW w:w="15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rPr>
              <w:t>10</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rPr>
              <w:t>10</w:t>
            </w:r>
          </w:p>
        </w:tc>
        <w:tc>
          <w:tcPr>
            <w:tcW w:w="1608"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8746" w:type="dxa"/>
          <w:trHeight w:val="378" w:hRule="atLeast"/>
        </w:trPr>
        <w:tc>
          <w:tcPr>
            <w:tcW w:w="1202" w:type="dxa"/>
            <w:gridSpan w:val="4"/>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1.一般公共预算</w:t>
            </w:r>
          </w:p>
        </w:tc>
        <w:tc>
          <w:tcPr>
            <w:tcW w:w="11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rPr>
              <w:t>10</w:t>
            </w:r>
          </w:p>
        </w:tc>
        <w:tc>
          <w:tcPr>
            <w:tcW w:w="15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rPr>
              <w:t>10</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rPr>
              <w:t>10</w:t>
            </w:r>
          </w:p>
        </w:tc>
        <w:tc>
          <w:tcPr>
            <w:tcW w:w="1608"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8746" w:type="dxa"/>
          <w:trHeight w:val="378" w:hRule="atLeast"/>
        </w:trPr>
        <w:tc>
          <w:tcPr>
            <w:tcW w:w="1202" w:type="dxa"/>
            <w:gridSpan w:val="4"/>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2.政府性基金</w:t>
            </w:r>
          </w:p>
        </w:tc>
        <w:tc>
          <w:tcPr>
            <w:tcW w:w="11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5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8746" w:type="dxa"/>
          <w:trHeight w:val="455" w:hRule="atLeast"/>
        </w:trPr>
        <w:tc>
          <w:tcPr>
            <w:tcW w:w="1202" w:type="dxa"/>
            <w:gridSpan w:val="4"/>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3.国有资本经营预算</w:t>
            </w:r>
          </w:p>
        </w:tc>
        <w:tc>
          <w:tcPr>
            <w:tcW w:w="11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5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8746" w:type="dxa"/>
          <w:trHeight w:val="378" w:hRule="atLeast"/>
        </w:trPr>
        <w:tc>
          <w:tcPr>
            <w:tcW w:w="1202" w:type="dxa"/>
            <w:gridSpan w:val="4"/>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4.社保基金</w:t>
            </w:r>
          </w:p>
        </w:tc>
        <w:tc>
          <w:tcPr>
            <w:tcW w:w="11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5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8746" w:type="dxa"/>
          <w:trHeight w:val="378" w:hRule="atLeast"/>
        </w:trPr>
        <w:tc>
          <w:tcPr>
            <w:tcW w:w="1202" w:type="dxa"/>
            <w:gridSpan w:val="4"/>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（二）其他资金</w:t>
            </w:r>
          </w:p>
        </w:tc>
        <w:tc>
          <w:tcPr>
            <w:tcW w:w="11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2" w:type="dxa"/>
            <w:gridSpan w:val="3"/>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08" w:type="dxa"/>
            <w:gridSpan w:val="3"/>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8746" w:type="dxa"/>
          <w:trHeight w:val="455" w:hRule="atLeast"/>
        </w:trPr>
        <w:tc>
          <w:tcPr>
            <w:tcW w:w="6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年度总体目标</w:t>
            </w:r>
          </w:p>
        </w:tc>
        <w:tc>
          <w:tcPr>
            <w:tcW w:w="5234"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预期目标</w:t>
            </w:r>
          </w:p>
        </w:tc>
        <w:tc>
          <w:tcPr>
            <w:tcW w:w="30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8746" w:type="dxa"/>
          <w:trHeight w:val="1455" w:hRule="atLeast"/>
        </w:trPr>
        <w:tc>
          <w:tcPr>
            <w:tcW w:w="6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34"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对符合法定条件的登记申请核准登记并向核准设立登记的事业单位颁发《事业单位法人证书》，通过年度报告书，掌握事业单位的运转情况，对事业单位进行动态管理。全年计划全区机关事业单位登记、年检覆盖率超过100%且质量较高，公示公告完成单位超过100家；且社会评价度好，年检注册单位满意度较高，各项指标完成率100%</w:t>
            </w:r>
          </w:p>
        </w:tc>
        <w:tc>
          <w:tcPr>
            <w:tcW w:w="30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全区机关事业单位登记、年检覆盖率超过100%且质量较高，公示公告完成单位超过100家；且社会评价度好，年检注册单位满意度较高，各项指标完成全年计划的100%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8746" w:type="dxa"/>
          <w:trHeight w:val="531" w:hRule="atLeast"/>
        </w:trPr>
        <w:tc>
          <w:tcPr>
            <w:tcW w:w="6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绩效指标</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一级指标</w:t>
            </w:r>
          </w:p>
        </w:tc>
        <w:tc>
          <w:tcPr>
            <w:tcW w:w="9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二级指标</w:t>
            </w:r>
          </w:p>
        </w:tc>
        <w:tc>
          <w:tcPr>
            <w:tcW w:w="212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三级指标</w:t>
            </w:r>
          </w:p>
        </w:tc>
        <w:tc>
          <w:tcPr>
            <w:tcW w:w="15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年度指标值</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实际完成值</w:t>
            </w:r>
          </w:p>
        </w:tc>
        <w:tc>
          <w:tcPr>
            <w:tcW w:w="1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8746" w:type="dxa"/>
          <w:trHeight w:val="480" w:hRule="atLeast"/>
        </w:trPr>
        <w:tc>
          <w:tcPr>
            <w:tcW w:w="6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产出指标</w:t>
            </w:r>
          </w:p>
        </w:tc>
        <w:tc>
          <w:tcPr>
            <w:tcW w:w="99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数量指标</w:t>
            </w:r>
          </w:p>
        </w:tc>
        <w:tc>
          <w:tcPr>
            <w:tcW w:w="9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指标1：</w:t>
            </w:r>
          </w:p>
        </w:tc>
        <w:tc>
          <w:tcPr>
            <w:tcW w:w="11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公示公告完成单位</w:t>
            </w:r>
          </w:p>
        </w:tc>
        <w:tc>
          <w:tcPr>
            <w:tcW w:w="15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≥100处</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102处</w:t>
            </w:r>
          </w:p>
        </w:tc>
        <w:tc>
          <w:tcPr>
            <w:tcW w:w="1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8746" w:type="dxa"/>
          <w:trHeight w:val="480" w:hRule="atLeast"/>
        </w:trPr>
        <w:tc>
          <w:tcPr>
            <w:tcW w:w="6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指标2：</w:t>
            </w:r>
          </w:p>
        </w:tc>
        <w:tc>
          <w:tcPr>
            <w:tcW w:w="11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年检注册单位覆盖率</w:t>
            </w:r>
          </w:p>
        </w:tc>
        <w:tc>
          <w:tcPr>
            <w:tcW w:w="15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1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8746" w:type="dxa"/>
          <w:trHeight w:val="480" w:hRule="atLeast"/>
        </w:trPr>
        <w:tc>
          <w:tcPr>
            <w:tcW w:w="6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质量指标</w:t>
            </w:r>
          </w:p>
        </w:tc>
        <w:tc>
          <w:tcPr>
            <w:tcW w:w="9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指标1：</w:t>
            </w:r>
          </w:p>
        </w:tc>
        <w:tc>
          <w:tcPr>
            <w:tcW w:w="11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年检注册登记质量</w:t>
            </w:r>
          </w:p>
        </w:tc>
        <w:tc>
          <w:tcPr>
            <w:tcW w:w="153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高中低</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高</w:t>
            </w:r>
          </w:p>
        </w:tc>
        <w:tc>
          <w:tcPr>
            <w:tcW w:w="1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8746" w:type="dxa"/>
          <w:trHeight w:val="480" w:hRule="atLeast"/>
        </w:trPr>
        <w:tc>
          <w:tcPr>
            <w:tcW w:w="6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时效指标</w:t>
            </w:r>
          </w:p>
        </w:tc>
        <w:tc>
          <w:tcPr>
            <w:tcW w:w="9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指标1：</w:t>
            </w:r>
          </w:p>
        </w:tc>
        <w:tc>
          <w:tcPr>
            <w:tcW w:w="11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登记、公示完成及时率</w:t>
            </w:r>
          </w:p>
        </w:tc>
        <w:tc>
          <w:tcPr>
            <w:tcW w:w="153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高中低</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高</w:t>
            </w:r>
          </w:p>
        </w:tc>
        <w:tc>
          <w:tcPr>
            <w:tcW w:w="1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8746" w:type="dxa"/>
          <w:trHeight w:val="473" w:hRule="atLeast"/>
        </w:trPr>
        <w:tc>
          <w:tcPr>
            <w:tcW w:w="6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成本指标</w:t>
            </w:r>
          </w:p>
        </w:tc>
        <w:tc>
          <w:tcPr>
            <w:tcW w:w="9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指标1：</w:t>
            </w:r>
          </w:p>
        </w:tc>
        <w:tc>
          <w:tcPr>
            <w:tcW w:w="11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经费成本控制</w:t>
            </w:r>
          </w:p>
        </w:tc>
        <w:tc>
          <w:tcPr>
            <w:tcW w:w="15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r>
              <w:rPr>
                <w:rFonts w:hint="eastAsia" w:ascii="宋体" w:hAnsi="宋体" w:cs="宋体"/>
                <w:i w:val="0"/>
                <w:iCs w:val="0"/>
                <w:color w:val="000000"/>
                <w:kern w:val="0"/>
                <w:sz w:val="18"/>
                <w:szCs w:val="18"/>
                <w:u w:val="none"/>
                <w:lang w:val="en-US" w:eastAsia="zh-CN"/>
              </w:rPr>
              <w:t>万</w:t>
            </w:r>
            <w:r>
              <w:rPr>
                <w:rFonts w:hint="eastAsia" w:ascii="宋体" w:hAnsi="宋体" w:eastAsia="宋体" w:cs="宋体"/>
                <w:i w:val="0"/>
                <w:iCs w:val="0"/>
                <w:color w:val="000000"/>
                <w:kern w:val="0"/>
                <w:sz w:val="18"/>
                <w:szCs w:val="18"/>
                <w:u w:val="none"/>
                <w:lang w:val="en-US" w:eastAsia="zh-CN"/>
              </w:rPr>
              <w:t>元</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rPr>
              <w:t>10万</w:t>
            </w:r>
            <w:r>
              <w:rPr>
                <w:rFonts w:hint="eastAsia" w:ascii="宋体" w:hAnsi="宋体" w:eastAsia="宋体" w:cs="宋体"/>
                <w:i w:val="0"/>
                <w:iCs w:val="0"/>
                <w:color w:val="000000"/>
                <w:kern w:val="0"/>
                <w:sz w:val="18"/>
                <w:szCs w:val="18"/>
                <w:u w:val="none"/>
                <w:lang w:val="en-US" w:eastAsia="zh-CN"/>
              </w:rPr>
              <w:t>元</w:t>
            </w:r>
          </w:p>
        </w:tc>
        <w:tc>
          <w:tcPr>
            <w:tcW w:w="1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8746" w:type="dxa"/>
          <w:trHeight w:val="480" w:hRule="atLeast"/>
        </w:trPr>
        <w:tc>
          <w:tcPr>
            <w:tcW w:w="6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效益指标</w:t>
            </w:r>
          </w:p>
        </w:tc>
        <w:tc>
          <w:tcPr>
            <w:tcW w:w="993"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经济效益</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指标</w:t>
            </w:r>
          </w:p>
        </w:tc>
        <w:tc>
          <w:tcPr>
            <w:tcW w:w="9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指标1：</w:t>
            </w:r>
          </w:p>
        </w:tc>
        <w:tc>
          <w:tcPr>
            <w:tcW w:w="11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8746" w:type="dxa"/>
          <w:trHeight w:val="480" w:hRule="atLeast"/>
        </w:trPr>
        <w:tc>
          <w:tcPr>
            <w:tcW w:w="6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3"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社会效益</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指标</w:t>
            </w:r>
          </w:p>
        </w:tc>
        <w:tc>
          <w:tcPr>
            <w:tcW w:w="9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指标1：</w:t>
            </w:r>
          </w:p>
        </w:tc>
        <w:tc>
          <w:tcPr>
            <w:tcW w:w="11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提高社会评价</w:t>
            </w:r>
          </w:p>
        </w:tc>
        <w:tc>
          <w:tcPr>
            <w:tcW w:w="15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好坏</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评价好</w:t>
            </w:r>
          </w:p>
        </w:tc>
        <w:tc>
          <w:tcPr>
            <w:tcW w:w="1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8746" w:type="dxa"/>
          <w:trHeight w:val="480" w:hRule="atLeast"/>
        </w:trPr>
        <w:tc>
          <w:tcPr>
            <w:tcW w:w="6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满意度</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指标</w:t>
            </w:r>
          </w:p>
        </w:tc>
        <w:tc>
          <w:tcPr>
            <w:tcW w:w="9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服务对象满意度指标</w:t>
            </w:r>
          </w:p>
        </w:tc>
        <w:tc>
          <w:tcPr>
            <w:tcW w:w="9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指标1：</w:t>
            </w:r>
          </w:p>
        </w:tc>
        <w:tc>
          <w:tcPr>
            <w:tcW w:w="11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年检注册单位满意度</w:t>
            </w:r>
          </w:p>
        </w:tc>
        <w:tc>
          <w:tcPr>
            <w:tcW w:w="15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≥95%</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95%</w:t>
            </w:r>
          </w:p>
        </w:tc>
        <w:tc>
          <w:tcPr>
            <w:tcW w:w="1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8746" w:type="dxa"/>
          <w:trHeight w:val="314" w:hRule="atLeast"/>
        </w:trPr>
        <w:tc>
          <w:tcPr>
            <w:tcW w:w="7285" w:type="dxa"/>
            <w:gridSpan w:val="1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总分</w:t>
            </w:r>
          </w:p>
        </w:tc>
        <w:tc>
          <w:tcPr>
            <w:tcW w:w="160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8814" w:type="dxa"/>
          <w:trHeight w:val="564" w:hRule="atLeast"/>
        </w:trPr>
        <w:tc>
          <w:tcPr>
            <w:tcW w:w="1308" w:type="dxa"/>
            <w:gridSpan w:val="5"/>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黑体" w:hAnsi="宋体" w:eastAsia="黑体" w:cs="黑体"/>
                <w:i w:val="0"/>
                <w:iCs w:val="0"/>
                <w:color w:val="000000"/>
                <w:sz w:val="36"/>
                <w:szCs w:val="36"/>
                <w:u w:val="none"/>
              </w:rPr>
            </w:pPr>
            <w:r>
              <w:rPr>
                <w:rFonts w:hint="eastAsia" w:ascii="黑体" w:hAnsi="宋体" w:eastAsia="黑体" w:cs="黑体"/>
                <w:i w:val="0"/>
                <w:iCs w:val="0"/>
                <w:color w:val="000000"/>
                <w:kern w:val="0"/>
                <w:sz w:val="36"/>
                <w:szCs w:val="36"/>
                <w:u w:val="none"/>
                <w:lang w:val="en-US" w:eastAsia="zh-CN"/>
              </w:rPr>
              <w:t>附表4</w:t>
            </w:r>
          </w:p>
        </w:tc>
        <w:tc>
          <w:tcPr>
            <w:tcW w:w="986" w:type="dxa"/>
            <w:gridSpan w:val="3"/>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33" w:type="dxa"/>
            <w:gridSpan w:val="3"/>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176" w:type="dxa"/>
            <w:gridSpan w:val="3"/>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601" w:type="dxa"/>
            <w:gridSpan w:val="3"/>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181" w:type="dxa"/>
            <w:gridSpan w:val="2"/>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540" w:type="dxa"/>
            <w:gridSpan w:val="2"/>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8814" w:type="dxa"/>
          <w:trHeight w:val="609" w:hRule="atLeast"/>
        </w:trPr>
        <w:tc>
          <w:tcPr>
            <w:tcW w:w="8825" w:type="dxa"/>
            <w:gridSpan w:val="2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rPr>
              <w:t>广元市昭化区财政项目（政策）支出绩效自评表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8814" w:type="dxa"/>
          <w:trHeight w:val="448" w:hRule="atLeast"/>
        </w:trPr>
        <w:tc>
          <w:tcPr>
            <w:tcW w:w="8825" w:type="dxa"/>
            <w:gridSpan w:val="21"/>
            <w:tcBorders>
              <w:top w:val="nil"/>
              <w:left w:val="nil"/>
              <w:bottom w:val="nil"/>
              <w:right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2022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8814" w:type="dxa"/>
          <w:trHeight w:val="370" w:hRule="atLeast"/>
        </w:trPr>
        <w:tc>
          <w:tcPr>
            <w:tcW w:w="13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项目（政策）名称</w:t>
            </w:r>
          </w:p>
        </w:tc>
        <w:tc>
          <w:tcPr>
            <w:tcW w:w="7517"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中文域名注册经费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8814" w:type="dxa"/>
          <w:trHeight w:val="473" w:hRule="atLeast"/>
        </w:trPr>
        <w:tc>
          <w:tcPr>
            <w:tcW w:w="13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主管部门</w:t>
            </w:r>
          </w:p>
        </w:tc>
        <w:tc>
          <w:tcPr>
            <w:tcW w:w="31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中共广元市昭化区委机构编制委员会办公室</w:t>
            </w:r>
          </w:p>
        </w:tc>
        <w:tc>
          <w:tcPr>
            <w:tcW w:w="16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实施单位</w:t>
            </w:r>
          </w:p>
        </w:tc>
        <w:tc>
          <w:tcPr>
            <w:tcW w:w="27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中共广元市昭化区委机构编制委员会办公室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8814" w:type="dxa"/>
          <w:trHeight w:val="370" w:hRule="atLeast"/>
        </w:trPr>
        <w:tc>
          <w:tcPr>
            <w:tcW w:w="1308" w:type="dxa"/>
            <w:gridSpan w:val="5"/>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项目（政策）资金（万元）</w:t>
            </w:r>
          </w:p>
        </w:tc>
        <w:tc>
          <w:tcPr>
            <w:tcW w:w="2019" w:type="dxa"/>
            <w:gridSpan w:val="6"/>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6"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年初预算数</w:t>
            </w:r>
          </w:p>
        </w:tc>
        <w:tc>
          <w:tcPr>
            <w:tcW w:w="16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全年预算数</w:t>
            </w:r>
          </w:p>
        </w:tc>
        <w:tc>
          <w:tcPr>
            <w:tcW w:w="1181"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全年执行数</w:t>
            </w:r>
          </w:p>
        </w:tc>
        <w:tc>
          <w:tcPr>
            <w:tcW w:w="1540"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8814" w:type="dxa"/>
          <w:trHeight w:val="370" w:hRule="atLeast"/>
        </w:trPr>
        <w:tc>
          <w:tcPr>
            <w:tcW w:w="1308" w:type="dxa"/>
            <w:gridSpan w:val="5"/>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年度资金总额</w:t>
            </w:r>
          </w:p>
        </w:tc>
        <w:tc>
          <w:tcPr>
            <w:tcW w:w="1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rPr>
              <w:t>4</w:t>
            </w:r>
          </w:p>
        </w:tc>
        <w:tc>
          <w:tcPr>
            <w:tcW w:w="16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rPr>
              <w:t>4</w:t>
            </w:r>
          </w:p>
        </w:tc>
        <w:tc>
          <w:tcPr>
            <w:tcW w:w="11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rPr>
              <w:t>4</w:t>
            </w:r>
          </w:p>
        </w:tc>
        <w:tc>
          <w:tcPr>
            <w:tcW w:w="1540"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8814" w:type="dxa"/>
          <w:trHeight w:val="370" w:hRule="atLeast"/>
        </w:trPr>
        <w:tc>
          <w:tcPr>
            <w:tcW w:w="1308" w:type="dxa"/>
            <w:gridSpan w:val="5"/>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（一）财政拨款小计</w:t>
            </w:r>
          </w:p>
        </w:tc>
        <w:tc>
          <w:tcPr>
            <w:tcW w:w="1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rPr>
              <w:t>4</w:t>
            </w:r>
          </w:p>
        </w:tc>
        <w:tc>
          <w:tcPr>
            <w:tcW w:w="16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rPr>
              <w:t>4</w:t>
            </w:r>
          </w:p>
        </w:tc>
        <w:tc>
          <w:tcPr>
            <w:tcW w:w="11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rPr>
              <w:t>4</w:t>
            </w:r>
          </w:p>
        </w:tc>
        <w:tc>
          <w:tcPr>
            <w:tcW w:w="1540"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8814" w:type="dxa"/>
          <w:trHeight w:val="370" w:hRule="atLeast"/>
        </w:trPr>
        <w:tc>
          <w:tcPr>
            <w:tcW w:w="1308" w:type="dxa"/>
            <w:gridSpan w:val="5"/>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1.一般公共预算</w:t>
            </w:r>
          </w:p>
        </w:tc>
        <w:tc>
          <w:tcPr>
            <w:tcW w:w="1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rPr>
              <w:t>4</w:t>
            </w:r>
          </w:p>
        </w:tc>
        <w:tc>
          <w:tcPr>
            <w:tcW w:w="16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rPr>
              <w:t>4</w:t>
            </w:r>
          </w:p>
        </w:tc>
        <w:tc>
          <w:tcPr>
            <w:tcW w:w="11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rPr>
              <w:t>4</w:t>
            </w:r>
          </w:p>
        </w:tc>
        <w:tc>
          <w:tcPr>
            <w:tcW w:w="1540"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8814" w:type="dxa"/>
          <w:trHeight w:val="370" w:hRule="atLeast"/>
        </w:trPr>
        <w:tc>
          <w:tcPr>
            <w:tcW w:w="1308" w:type="dxa"/>
            <w:gridSpan w:val="5"/>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2.政府性基金</w:t>
            </w:r>
          </w:p>
        </w:tc>
        <w:tc>
          <w:tcPr>
            <w:tcW w:w="1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6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8814" w:type="dxa"/>
          <w:trHeight w:val="338" w:hRule="atLeast"/>
        </w:trPr>
        <w:tc>
          <w:tcPr>
            <w:tcW w:w="1308" w:type="dxa"/>
            <w:gridSpan w:val="5"/>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3.国有资本经营预算</w:t>
            </w:r>
          </w:p>
        </w:tc>
        <w:tc>
          <w:tcPr>
            <w:tcW w:w="1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6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8814" w:type="dxa"/>
          <w:trHeight w:val="370" w:hRule="atLeast"/>
        </w:trPr>
        <w:tc>
          <w:tcPr>
            <w:tcW w:w="1308" w:type="dxa"/>
            <w:gridSpan w:val="5"/>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4.社保基金</w:t>
            </w:r>
          </w:p>
        </w:tc>
        <w:tc>
          <w:tcPr>
            <w:tcW w:w="1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6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8814" w:type="dxa"/>
          <w:trHeight w:val="370" w:hRule="atLeast"/>
        </w:trPr>
        <w:tc>
          <w:tcPr>
            <w:tcW w:w="1308" w:type="dxa"/>
            <w:gridSpan w:val="5"/>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（二）其他资金</w:t>
            </w:r>
          </w:p>
        </w:tc>
        <w:tc>
          <w:tcPr>
            <w:tcW w:w="1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1" w:type="dxa"/>
            <w:gridSpan w:val="2"/>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0" w:type="dxa"/>
            <w:gridSpan w:val="2"/>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8814" w:type="dxa"/>
          <w:trHeight w:val="448" w:hRule="atLeast"/>
        </w:trPr>
        <w:tc>
          <w:tcPr>
            <w:tcW w:w="4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年度总体目标</w:t>
            </w:r>
          </w:p>
        </w:tc>
        <w:tc>
          <w:tcPr>
            <w:tcW w:w="5616"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预期目标</w:t>
            </w:r>
          </w:p>
        </w:tc>
        <w:tc>
          <w:tcPr>
            <w:tcW w:w="27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8814" w:type="dxa"/>
          <w:trHeight w:val="1457" w:hRule="atLeast"/>
        </w:trPr>
        <w:tc>
          <w:tcPr>
            <w:tcW w:w="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16"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全区机关事业单位中文域名注册全覆盖，并根据单位实际情况对域名进行更新或核销，对新增单位进行新注册，积极推动机构编制信息化工作，保证注册对象满意度较高</w:t>
            </w:r>
          </w:p>
        </w:tc>
        <w:tc>
          <w:tcPr>
            <w:tcW w:w="27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单位注册覆盖率达到100%且质量较高，全区机关事业单位网上名称管理较为规范，注册对象满意度高，进一步推动了机构编制管理的信息化建设程度，各项指标完成全年计划的100%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8814" w:type="dxa"/>
          <w:trHeight w:val="525" w:hRule="atLeast"/>
        </w:trPr>
        <w:tc>
          <w:tcPr>
            <w:tcW w:w="48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绩效指标</w:t>
            </w:r>
          </w:p>
        </w:tc>
        <w:tc>
          <w:tcPr>
            <w:tcW w:w="8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一级指标</w:t>
            </w:r>
          </w:p>
        </w:tc>
        <w:tc>
          <w:tcPr>
            <w:tcW w:w="9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二级指标</w:t>
            </w:r>
          </w:p>
        </w:tc>
        <w:tc>
          <w:tcPr>
            <w:tcW w:w="220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三级指标</w:t>
            </w:r>
          </w:p>
        </w:tc>
        <w:tc>
          <w:tcPr>
            <w:tcW w:w="16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年度指标值</w:t>
            </w:r>
          </w:p>
        </w:tc>
        <w:tc>
          <w:tcPr>
            <w:tcW w:w="11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实际完成值</w:t>
            </w:r>
          </w:p>
        </w:tc>
        <w:tc>
          <w:tcPr>
            <w:tcW w:w="1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8814" w:type="dxa"/>
          <w:trHeight w:val="473" w:hRule="atLeast"/>
        </w:trPr>
        <w:tc>
          <w:tcPr>
            <w:tcW w:w="4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2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产出指标</w:t>
            </w:r>
          </w:p>
        </w:tc>
        <w:tc>
          <w:tcPr>
            <w:tcW w:w="986"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数量指标</w:t>
            </w:r>
          </w:p>
        </w:tc>
        <w:tc>
          <w:tcPr>
            <w:tcW w:w="10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指标2：</w:t>
            </w:r>
          </w:p>
        </w:tc>
        <w:tc>
          <w:tcPr>
            <w:tcW w:w="1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注册单位覆盖率</w:t>
            </w:r>
          </w:p>
        </w:tc>
        <w:tc>
          <w:tcPr>
            <w:tcW w:w="16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11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1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8814" w:type="dxa"/>
          <w:trHeight w:val="473" w:hRule="atLeast"/>
        </w:trPr>
        <w:tc>
          <w:tcPr>
            <w:tcW w:w="4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2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质量指标</w:t>
            </w:r>
          </w:p>
        </w:tc>
        <w:tc>
          <w:tcPr>
            <w:tcW w:w="10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指标1：</w:t>
            </w:r>
          </w:p>
        </w:tc>
        <w:tc>
          <w:tcPr>
            <w:tcW w:w="1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中文域名注册</w:t>
            </w:r>
            <w:r>
              <w:rPr>
                <w:rFonts w:hint="eastAsia" w:ascii="宋体" w:hAnsi="宋体" w:cs="宋体"/>
                <w:i w:val="0"/>
                <w:iCs w:val="0"/>
                <w:color w:val="000000"/>
                <w:kern w:val="0"/>
                <w:sz w:val="18"/>
                <w:szCs w:val="18"/>
                <w:u w:val="none"/>
                <w:lang w:val="en-US" w:eastAsia="zh-CN"/>
              </w:rPr>
              <w:t>登</w:t>
            </w:r>
            <w:r>
              <w:rPr>
                <w:rFonts w:hint="eastAsia" w:ascii="宋体" w:hAnsi="宋体" w:eastAsia="宋体" w:cs="宋体"/>
                <w:i w:val="0"/>
                <w:iCs w:val="0"/>
                <w:color w:val="000000"/>
                <w:kern w:val="0"/>
                <w:sz w:val="18"/>
                <w:szCs w:val="18"/>
                <w:u w:val="none"/>
                <w:lang w:val="en-US" w:eastAsia="zh-CN"/>
              </w:rPr>
              <w:t>记质量</w:t>
            </w:r>
          </w:p>
        </w:tc>
        <w:tc>
          <w:tcPr>
            <w:tcW w:w="16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高中低</w:t>
            </w:r>
          </w:p>
        </w:tc>
        <w:tc>
          <w:tcPr>
            <w:tcW w:w="11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高</w:t>
            </w:r>
          </w:p>
        </w:tc>
        <w:tc>
          <w:tcPr>
            <w:tcW w:w="1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8814" w:type="dxa"/>
          <w:trHeight w:val="473" w:hRule="atLeast"/>
        </w:trPr>
        <w:tc>
          <w:tcPr>
            <w:tcW w:w="4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2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指标2：</w:t>
            </w:r>
          </w:p>
        </w:tc>
        <w:tc>
          <w:tcPr>
            <w:tcW w:w="1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网上名称管理规范程度</w:t>
            </w:r>
          </w:p>
        </w:tc>
        <w:tc>
          <w:tcPr>
            <w:tcW w:w="16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高中低</w:t>
            </w:r>
          </w:p>
        </w:tc>
        <w:tc>
          <w:tcPr>
            <w:tcW w:w="11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高</w:t>
            </w:r>
          </w:p>
        </w:tc>
        <w:tc>
          <w:tcPr>
            <w:tcW w:w="1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8814" w:type="dxa"/>
          <w:trHeight w:val="298" w:hRule="atLeast"/>
        </w:trPr>
        <w:tc>
          <w:tcPr>
            <w:tcW w:w="4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2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时效指标</w:t>
            </w:r>
          </w:p>
        </w:tc>
        <w:tc>
          <w:tcPr>
            <w:tcW w:w="10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指标1：</w:t>
            </w:r>
          </w:p>
        </w:tc>
        <w:tc>
          <w:tcPr>
            <w:tcW w:w="1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完成及时率</w:t>
            </w:r>
          </w:p>
        </w:tc>
        <w:tc>
          <w:tcPr>
            <w:tcW w:w="16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高中低</w:t>
            </w:r>
          </w:p>
        </w:tc>
        <w:tc>
          <w:tcPr>
            <w:tcW w:w="11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高</w:t>
            </w:r>
          </w:p>
        </w:tc>
        <w:tc>
          <w:tcPr>
            <w:tcW w:w="1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8814" w:type="dxa"/>
          <w:trHeight w:val="473" w:hRule="atLeast"/>
        </w:trPr>
        <w:tc>
          <w:tcPr>
            <w:tcW w:w="4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2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成本指标</w:t>
            </w:r>
          </w:p>
        </w:tc>
        <w:tc>
          <w:tcPr>
            <w:tcW w:w="10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指标1：</w:t>
            </w:r>
          </w:p>
        </w:tc>
        <w:tc>
          <w:tcPr>
            <w:tcW w:w="1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域名注册成本控制</w:t>
            </w:r>
          </w:p>
        </w:tc>
        <w:tc>
          <w:tcPr>
            <w:tcW w:w="16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w:t>
            </w:r>
            <w:r>
              <w:rPr>
                <w:rFonts w:hint="eastAsia" w:ascii="宋体" w:hAnsi="宋体" w:cs="宋体"/>
                <w:i w:val="0"/>
                <w:iCs w:val="0"/>
                <w:color w:val="000000"/>
                <w:kern w:val="0"/>
                <w:sz w:val="18"/>
                <w:szCs w:val="18"/>
                <w:u w:val="none"/>
                <w:lang w:val="en-US" w:eastAsia="zh-CN"/>
              </w:rPr>
              <w:t>万</w:t>
            </w:r>
            <w:r>
              <w:rPr>
                <w:rFonts w:hint="eastAsia" w:ascii="宋体" w:hAnsi="宋体" w:eastAsia="宋体" w:cs="宋体"/>
                <w:i w:val="0"/>
                <w:iCs w:val="0"/>
                <w:color w:val="000000"/>
                <w:kern w:val="0"/>
                <w:sz w:val="18"/>
                <w:szCs w:val="18"/>
                <w:u w:val="none"/>
                <w:lang w:val="en-US" w:eastAsia="zh-CN"/>
              </w:rPr>
              <w:t>元</w:t>
            </w:r>
          </w:p>
        </w:tc>
        <w:tc>
          <w:tcPr>
            <w:tcW w:w="11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rPr>
              <w:t>4万</w:t>
            </w:r>
            <w:r>
              <w:rPr>
                <w:rFonts w:hint="eastAsia" w:ascii="宋体" w:hAnsi="宋体" w:eastAsia="宋体" w:cs="宋体"/>
                <w:i w:val="0"/>
                <w:iCs w:val="0"/>
                <w:color w:val="000000"/>
                <w:kern w:val="0"/>
                <w:sz w:val="18"/>
                <w:szCs w:val="18"/>
                <w:u w:val="none"/>
                <w:lang w:val="en-US" w:eastAsia="zh-CN"/>
              </w:rPr>
              <w:t>元</w:t>
            </w:r>
          </w:p>
        </w:tc>
        <w:tc>
          <w:tcPr>
            <w:tcW w:w="1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8814" w:type="dxa"/>
          <w:trHeight w:val="946" w:hRule="atLeast"/>
        </w:trPr>
        <w:tc>
          <w:tcPr>
            <w:tcW w:w="4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效益指标</w:t>
            </w:r>
          </w:p>
        </w:tc>
        <w:tc>
          <w:tcPr>
            <w:tcW w:w="986" w:type="dxa"/>
            <w:gridSpan w:val="3"/>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社会效益</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指标</w:t>
            </w:r>
          </w:p>
        </w:tc>
        <w:tc>
          <w:tcPr>
            <w:tcW w:w="1033" w:type="dxa"/>
            <w:gridSpan w:val="3"/>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指标1：</w:t>
            </w:r>
          </w:p>
        </w:tc>
        <w:tc>
          <w:tcPr>
            <w:tcW w:w="1176" w:type="dxa"/>
            <w:gridSpan w:val="3"/>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社会效益指标</w:t>
            </w:r>
          </w:p>
        </w:tc>
        <w:tc>
          <w:tcPr>
            <w:tcW w:w="1601" w:type="dxa"/>
            <w:gridSpan w:val="3"/>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机构编制管理信息化程度</w:t>
            </w:r>
          </w:p>
        </w:tc>
        <w:tc>
          <w:tcPr>
            <w:tcW w:w="1181" w:type="dxa"/>
            <w:gridSpan w:val="2"/>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高</w:t>
            </w:r>
          </w:p>
        </w:tc>
        <w:tc>
          <w:tcPr>
            <w:tcW w:w="1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8814" w:type="dxa"/>
          <w:trHeight w:val="473" w:hRule="atLeast"/>
        </w:trPr>
        <w:tc>
          <w:tcPr>
            <w:tcW w:w="4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满意度</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指标</w:t>
            </w:r>
          </w:p>
        </w:tc>
        <w:tc>
          <w:tcPr>
            <w:tcW w:w="986" w:type="dxa"/>
            <w:gridSpan w:val="3"/>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服务对象满意度指标</w:t>
            </w:r>
          </w:p>
        </w:tc>
        <w:tc>
          <w:tcPr>
            <w:tcW w:w="10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指标1：</w:t>
            </w:r>
          </w:p>
        </w:tc>
        <w:tc>
          <w:tcPr>
            <w:tcW w:w="1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年检注册单位满意度</w:t>
            </w:r>
          </w:p>
        </w:tc>
        <w:tc>
          <w:tcPr>
            <w:tcW w:w="16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≥95%</w:t>
            </w:r>
          </w:p>
        </w:tc>
        <w:tc>
          <w:tcPr>
            <w:tcW w:w="11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95%</w:t>
            </w:r>
          </w:p>
        </w:tc>
        <w:tc>
          <w:tcPr>
            <w:tcW w:w="154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7285" w:type="dxa"/>
            <w:gridSpan w:val="19"/>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总分</w:t>
            </w:r>
          </w:p>
        </w:tc>
        <w:tc>
          <w:tcPr>
            <w:tcW w:w="15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118" w:type="dxa"/>
            <w:gridSpan w:val="3"/>
            <w:tcBorders>
              <w:top w:val="nil"/>
              <w:left w:val="single" w:color="auto" w:sz="4" w:space="0"/>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167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167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167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285" w:type="dxa"/>
            <w:gridSpan w:val="19"/>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黑体" w:hAnsi="宋体" w:eastAsia="黑体" w:cs="黑体"/>
                <w:i w:val="0"/>
                <w:iCs w:val="0"/>
                <w:color w:val="000000"/>
                <w:sz w:val="36"/>
                <w:szCs w:val="36"/>
                <w:u w:val="none"/>
              </w:rPr>
            </w:pPr>
            <w:r>
              <w:rPr>
                <w:rFonts w:hint="eastAsia" w:ascii="黑体" w:hAnsi="宋体" w:eastAsia="黑体" w:cs="黑体"/>
                <w:i w:val="0"/>
                <w:iCs w:val="0"/>
                <w:color w:val="000000"/>
                <w:kern w:val="0"/>
                <w:sz w:val="36"/>
                <w:szCs w:val="36"/>
                <w:u w:val="none"/>
                <w:lang w:val="en-US" w:eastAsia="zh-CN"/>
              </w:rPr>
              <w:t>附表5</w:t>
            </w:r>
          </w:p>
        </w:tc>
        <w:tc>
          <w:tcPr>
            <w:tcW w:w="1540" w:type="dxa"/>
            <w:gridSpan w:val="2"/>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2118" w:type="dxa"/>
            <w:gridSpan w:val="3"/>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67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67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67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67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7396" w:type="dxa"/>
          <w:trHeight w:val="600" w:hRule="atLeast"/>
        </w:trPr>
        <w:tc>
          <w:tcPr>
            <w:tcW w:w="10243" w:type="dxa"/>
            <w:gridSpan w:val="2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rPr>
              <w:t>广元市昭化区财政项目（政策）支出绩效自评表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7396" w:type="dxa"/>
          <w:trHeight w:val="460" w:hRule="atLeast"/>
        </w:trPr>
        <w:tc>
          <w:tcPr>
            <w:tcW w:w="10243" w:type="dxa"/>
            <w:gridSpan w:val="23"/>
            <w:tcBorders>
              <w:top w:val="nil"/>
              <w:left w:val="nil"/>
              <w:bottom w:val="nil"/>
              <w:right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2022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7396" w:type="dxa"/>
          <w:trHeight w:val="360" w:hRule="atLeast"/>
        </w:trPr>
        <w:tc>
          <w:tcPr>
            <w:tcW w:w="14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项目（政策）名称</w:t>
            </w:r>
          </w:p>
        </w:tc>
        <w:tc>
          <w:tcPr>
            <w:tcW w:w="8829"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机构编制运行评估办法经费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7396" w:type="dxa"/>
          <w:trHeight w:val="360" w:hRule="atLeast"/>
        </w:trPr>
        <w:tc>
          <w:tcPr>
            <w:tcW w:w="14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主管部门</w:t>
            </w:r>
          </w:p>
        </w:tc>
        <w:tc>
          <w:tcPr>
            <w:tcW w:w="357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中共广元市昭化区委机构编制委员会办公室</w:t>
            </w:r>
          </w:p>
        </w:tc>
        <w:tc>
          <w:tcPr>
            <w:tcW w:w="17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实施单位</w:t>
            </w:r>
          </w:p>
        </w:tc>
        <w:tc>
          <w:tcPr>
            <w:tcW w:w="34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中共广元市昭化区委机构编制委员会办公室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7396" w:type="dxa"/>
          <w:trHeight w:val="360" w:hRule="atLeast"/>
        </w:trPr>
        <w:tc>
          <w:tcPr>
            <w:tcW w:w="1414" w:type="dxa"/>
            <w:gridSpan w:val="6"/>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项目（政策）资金（万元）</w:t>
            </w:r>
          </w:p>
        </w:tc>
        <w:tc>
          <w:tcPr>
            <w:tcW w:w="2280" w:type="dxa"/>
            <w:gridSpan w:val="6"/>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6"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年初预算数</w:t>
            </w:r>
          </w:p>
        </w:tc>
        <w:tc>
          <w:tcPr>
            <w:tcW w:w="176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全年预算数</w:t>
            </w:r>
          </w:p>
        </w:tc>
        <w:tc>
          <w:tcPr>
            <w:tcW w:w="164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全年执行数</w:t>
            </w:r>
          </w:p>
        </w:tc>
        <w:tc>
          <w:tcPr>
            <w:tcW w:w="1845"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7396" w:type="dxa"/>
          <w:trHeight w:val="360" w:hRule="atLeast"/>
        </w:trPr>
        <w:tc>
          <w:tcPr>
            <w:tcW w:w="1414" w:type="dxa"/>
            <w:gridSpan w:val="6"/>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年度资金总额</w:t>
            </w:r>
          </w:p>
        </w:tc>
        <w:tc>
          <w:tcPr>
            <w:tcW w:w="1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1</w:t>
            </w:r>
            <w:r>
              <w:rPr>
                <w:rFonts w:hint="eastAsia" w:ascii="宋体" w:hAnsi="宋体" w:cs="宋体"/>
                <w:i w:val="0"/>
                <w:iCs w:val="0"/>
                <w:color w:val="000000"/>
                <w:kern w:val="0"/>
                <w:sz w:val="18"/>
                <w:szCs w:val="18"/>
                <w:u w:val="none"/>
                <w:lang w:val="en-US" w:eastAsia="zh-CN"/>
              </w:rPr>
              <w:t>.2</w:t>
            </w:r>
          </w:p>
        </w:tc>
        <w:tc>
          <w:tcPr>
            <w:tcW w:w="17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rPr>
              <w:t>1.2</w:t>
            </w: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rPr>
              <w:t>1.2</w:t>
            </w:r>
          </w:p>
        </w:tc>
        <w:tc>
          <w:tcPr>
            <w:tcW w:w="1845"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7396" w:type="dxa"/>
          <w:trHeight w:val="360" w:hRule="atLeast"/>
        </w:trPr>
        <w:tc>
          <w:tcPr>
            <w:tcW w:w="1414" w:type="dxa"/>
            <w:gridSpan w:val="6"/>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（一）财政拨款小计</w:t>
            </w:r>
          </w:p>
        </w:tc>
        <w:tc>
          <w:tcPr>
            <w:tcW w:w="1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r>
              <w:rPr>
                <w:rFonts w:hint="eastAsia" w:ascii="宋体" w:hAnsi="宋体" w:cs="宋体"/>
                <w:i w:val="0"/>
                <w:iCs w:val="0"/>
                <w:color w:val="000000"/>
                <w:kern w:val="0"/>
                <w:sz w:val="18"/>
                <w:szCs w:val="18"/>
                <w:u w:val="none"/>
                <w:lang w:val="en-US" w:eastAsia="zh-CN"/>
              </w:rPr>
              <w:t>.2</w:t>
            </w:r>
          </w:p>
        </w:tc>
        <w:tc>
          <w:tcPr>
            <w:tcW w:w="17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rPr>
              <w:t>1.2</w:t>
            </w: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rPr>
              <w:t>1.2</w:t>
            </w:r>
          </w:p>
        </w:tc>
        <w:tc>
          <w:tcPr>
            <w:tcW w:w="1845"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7396" w:type="dxa"/>
          <w:trHeight w:val="360" w:hRule="atLeast"/>
        </w:trPr>
        <w:tc>
          <w:tcPr>
            <w:tcW w:w="1414" w:type="dxa"/>
            <w:gridSpan w:val="6"/>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1.一般公共预算</w:t>
            </w:r>
          </w:p>
        </w:tc>
        <w:tc>
          <w:tcPr>
            <w:tcW w:w="1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r>
              <w:rPr>
                <w:rFonts w:hint="eastAsia" w:ascii="宋体" w:hAnsi="宋体" w:cs="宋体"/>
                <w:i w:val="0"/>
                <w:iCs w:val="0"/>
                <w:color w:val="000000"/>
                <w:kern w:val="0"/>
                <w:sz w:val="18"/>
                <w:szCs w:val="18"/>
                <w:u w:val="none"/>
                <w:lang w:val="en-US" w:eastAsia="zh-CN"/>
              </w:rPr>
              <w:t>.2</w:t>
            </w:r>
          </w:p>
        </w:tc>
        <w:tc>
          <w:tcPr>
            <w:tcW w:w="17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rPr>
              <w:t>1.2</w:t>
            </w: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rPr>
              <w:t>1.2</w:t>
            </w:r>
          </w:p>
        </w:tc>
        <w:tc>
          <w:tcPr>
            <w:tcW w:w="1845"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7396" w:type="dxa"/>
          <w:trHeight w:val="360" w:hRule="atLeast"/>
        </w:trPr>
        <w:tc>
          <w:tcPr>
            <w:tcW w:w="1414" w:type="dxa"/>
            <w:gridSpan w:val="6"/>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2.政府性基金</w:t>
            </w:r>
          </w:p>
        </w:tc>
        <w:tc>
          <w:tcPr>
            <w:tcW w:w="1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7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7396" w:type="dxa"/>
          <w:trHeight w:val="440" w:hRule="atLeast"/>
        </w:trPr>
        <w:tc>
          <w:tcPr>
            <w:tcW w:w="1414" w:type="dxa"/>
            <w:gridSpan w:val="6"/>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3.国有资本经营预算</w:t>
            </w:r>
          </w:p>
        </w:tc>
        <w:tc>
          <w:tcPr>
            <w:tcW w:w="1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7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7396" w:type="dxa"/>
          <w:trHeight w:val="360" w:hRule="atLeast"/>
        </w:trPr>
        <w:tc>
          <w:tcPr>
            <w:tcW w:w="1414" w:type="dxa"/>
            <w:gridSpan w:val="6"/>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4.社保基金</w:t>
            </w:r>
          </w:p>
        </w:tc>
        <w:tc>
          <w:tcPr>
            <w:tcW w:w="1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7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7396" w:type="dxa"/>
          <w:trHeight w:val="360" w:hRule="atLeast"/>
        </w:trPr>
        <w:tc>
          <w:tcPr>
            <w:tcW w:w="1414" w:type="dxa"/>
            <w:gridSpan w:val="6"/>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（二）其他资金</w:t>
            </w:r>
          </w:p>
        </w:tc>
        <w:tc>
          <w:tcPr>
            <w:tcW w:w="1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44" w:type="dxa"/>
            <w:gridSpan w:val="2"/>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5" w:type="dxa"/>
            <w:gridSpan w:val="3"/>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7396" w:type="dxa"/>
          <w:trHeight w:val="440" w:hRule="atLeast"/>
        </w:trPr>
        <w:tc>
          <w:tcPr>
            <w:tcW w:w="56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年度总体目标</w:t>
            </w:r>
          </w:p>
        </w:tc>
        <w:tc>
          <w:tcPr>
            <w:tcW w:w="6192"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预期目标</w:t>
            </w:r>
          </w:p>
        </w:tc>
        <w:tc>
          <w:tcPr>
            <w:tcW w:w="34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7396" w:type="dxa"/>
          <w:trHeight w:val="1480" w:hRule="atLeast"/>
        </w:trPr>
        <w:tc>
          <w:tcPr>
            <w:tcW w:w="5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92"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对符合法定条件的登记申请核准登记并向核准设立登记的事业单位颁发《事业单位法人证书》，通过年度报告书，掌握事业单位的运转情况，对事业单位进行动态管理。全年计划全区机关事业单位登记、年检覆盖率超过100%且质量较高，公示公告完成单位超过100家；且社会评价度好，年检注册单位满意度较高，各项指标完成率100%</w:t>
            </w:r>
          </w:p>
        </w:tc>
        <w:tc>
          <w:tcPr>
            <w:tcW w:w="34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全区机关事业单位登记、年检覆盖率超过100%且质量较高，公示公告完成单位超过100家；且社会评价度好，年检注册单位满意度较高，各项指标完成全年计划的100%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7396" w:type="dxa"/>
          <w:trHeight w:val="520" w:hRule="atLeast"/>
        </w:trPr>
        <w:tc>
          <w:tcPr>
            <w:tcW w:w="56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绩效指标</w:t>
            </w:r>
          </w:p>
        </w:tc>
        <w:tc>
          <w:tcPr>
            <w:tcW w:w="8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一级指标</w:t>
            </w:r>
          </w:p>
        </w:tc>
        <w:tc>
          <w:tcPr>
            <w:tcW w:w="1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二级指标</w:t>
            </w:r>
          </w:p>
        </w:tc>
        <w:tc>
          <w:tcPr>
            <w:tcW w:w="243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三级指标</w:t>
            </w:r>
          </w:p>
        </w:tc>
        <w:tc>
          <w:tcPr>
            <w:tcW w:w="17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年度指标值</w:t>
            </w: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实际完成值</w:t>
            </w:r>
          </w:p>
        </w:tc>
        <w:tc>
          <w:tcPr>
            <w:tcW w:w="18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7396" w:type="dxa"/>
          <w:trHeight w:val="450" w:hRule="atLeast"/>
        </w:trPr>
        <w:tc>
          <w:tcPr>
            <w:tcW w:w="5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产出指标</w:t>
            </w:r>
          </w:p>
        </w:tc>
        <w:tc>
          <w:tcPr>
            <w:tcW w:w="114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数量指标</w:t>
            </w:r>
          </w:p>
        </w:tc>
        <w:tc>
          <w:tcPr>
            <w:tcW w:w="1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指标1：</w:t>
            </w:r>
          </w:p>
        </w:tc>
        <w:tc>
          <w:tcPr>
            <w:tcW w:w="1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机构编制评估完成单位数量</w:t>
            </w:r>
          </w:p>
        </w:tc>
        <w:tc>
          <w:tcPr>
            <w:tcW w:w="17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≥40处</w:t>
            </w: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43处</w:t>
            </w:r>
          </w:p>
        </w:tc>
        <w:tc>
          <w:tcPr>
            <w:tcW w:w="18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7396" w:type="dxa"/>
          <w:trHeight w:val="285" w:hRule="atLeast"/>
        </w:trPr>
        <w:tc>
          <w:tcPr>
            <w:tcW w:w="5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质量指标</w:t>
            </w:r>
          </w:p>
        </w:tc>
        <w:tc>
          <w:tcPr>
            <w:tcW w:w="1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指标1：</w:t>
            </w:r>
          </w:p>
        </w:tc>
        <w:tc>
          <w:tcPr>
            <w:tcW w:w="1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评估覆盖面</w:t>
            </w:r>
          </w:p>
        </w:tc>
        <w:tc>
          <w:tcPr>
            <w:tcW w:w="17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w:t>
            </w: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w:t>
            </w:r>
          </w:p>
        </w:tc>
        <w:tc>
          <w:tcPr>
            <w:tcW w:w="18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7396" w:type="dxa"/>
          <w:trHeight w:val="450" w:hRule="atLeast"/>
        </w:trPr>
        <w:tc>
          <w:tcPr>
            <w:tcW w:w="5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时效指标</w:t>
            </w:r>
          </w:p>
        </w:tc>
        <w:tc>
          <w:tcPr>
            <w:tcW w:w="1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指标1：</w:t>
            </w:r>
          </w:p>
        </w:tc>
        <w:tc>
          <w:tcPr>
            <w:tcW w:w="1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评估完成及时率</w:t>
            </w:r>
          </w:p>
        </w:tc>
        <w:tc>
          <w:tcPr>
            <w:tcW w:w="17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高中低</w:t>
            </w: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高</w:t>
            </w:r>
          </w:p>
        </w:tc>
        <w:tc>
          <w:tcPr>
            <w:tcW w:w="18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7396" w:type="dxa"/>
          <w:trHeight w:val="285" w:hRule="atLeast"/>
        </w:trPr>
        <w:tc>
          <w:tcPr>
            <w:tcW w:w="5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成本指标</w:t>
            </w:r>
          </w:p>
        </w:tc>
        <w:tc>
          <w:tcPr>
            <w:tcW w:w="1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指标1：</w:t>
            </w:r>
          </w:p>
        </w:tc>
        <w:tc>
          <w:tcPr>
            <w:tcW w:w="1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经费成本控制</w:t>
            </w:r>
          </w:p>
        </w:tc>
        <w:tc>
          <w:tcPr>
            <w:tcW w:w="17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r>
              <w:rPr>
                <w:rFonts w:hint="eastAsia" w:ascii="宋体" w:hAnsi="宋体" w:cs="宋体"/>
                <w:i w:val="0"/>
                <w:iCs w:val="0"/>
                <w:color w:val="000000"/>
                <w:kern w:val="0"/>
                <w:sz w:val="18"/>
                <w:szCs w:val="18"/>
                <w:u w:val="none"/>
                <w:lang w:val="en-US" w:eastAsia="zh-CN"/>
              </w:rPr>
              <w:t>.2万</w:t>
            </w:r>
            <w:r>
              <w:rPr>
                <w:rFonts w:hint="eastAsia" w:ascii="宋体" w:hAnsi="宋体" w:eastAsia="宋体" w:cs="宋体"/>
                <w:i w:val="0"/>
                <w:iCs w:val="0"/>
                <w:color w:val="000000"/>
                <w:kern w:val="0"/>
                <w:sz w:val="18"/>
                <w:szCs w:val="18"/>
                <w:u w:val="none"/>
                <w:lang w:val="en-US" w:eastAsia="zh-CN"/>
              </w:rPr>
              <w:t>元</w:t>
            </w: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rPr>
              <w:t>1.2万</w:t>
            </w:r>
            <w:r>
              <w:rPr>
                <w:rFonts w:hint="eastAsia" w:ascii="宋体" w:hAnsi="宋体" w:eastAsia="宋体" w:cs="宋体"/>
                <w:i w:val="0"/>
                <w:iCs w:val="0"/>
                <w:color w:val="000000"/>
                <w:kern w:val="0"/>
                <w:sz w:val="18"/>
                <w:szCs w:val="18"/>
                <w:u w:val="none"/>
                <w:lang w:val="en-US" w:eastAsia="zh-CN"/>
              </w:rPr>
              <w:t>元</w:t>
            </w:r>
          </w:p>
        </w:tc>
        <w:tc>
          <w:tcPr>
            <w:tcW w:w="18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7396" w:type="dxa"/>
          <w:trHeight w:val="450" w:hRule="atLeast"/>
        </w:trPr>
        <w:tc>
          <w:tcPr>
            <w:tcW w:w="5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效益指标</w:t>
            </w:r>
          </w:p>
        </w:tc>
        <w:tc>
          <w:tcPr>
            <w:tcW w:w="114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经济效益</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指标</w:t>
            </w:r>
          </w:p>
        </w:tc>
        <w:tc>
          <w:tcPr>
            <w:tcW w:w="1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指标1：</w:t>
            </w:r>
          </w:p>
        </w:tc>
        <w:tc>
          <w:tcPr>
            <w:tcW w:w="1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7396" w:type="dxa"/>
          <w:trHeight w:val="450" w:hRule="atLeast"/>
        </w:trPr>
        <w:tc>
          <w:tcPr>
            <w:tcW w:w="5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4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社会效益</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指标</w:t>
            </w:r>
          </w:p>
        </w:tc>
        <w:tc>
          <w:tcPr>
            <w:tcW w:w="1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指标1：</w:t>
            </w:r>
          </w:p>
        </w:tc>
        <w:tc>
          <w:tcPr>
            <w:tcW w:w="1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机构编制运行平稳高效</w:t>
            </w:r>
          </w:p>
        </w:tc>
        <w:tc>
          <w:tcPr>
            <w:tcW w:w="17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好坏</w:t>
            </w: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好</w:t>
            </w:r>
          </w:p>
        </w:tc>
        <w:tc>
          <w:tcPr>
            <w:tcW w:w="18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7396" w:type="dxa"/>
          <w:trHeight w:val="450" w:hRule="atLeast"/>
        </w:trPr>
        <w:tc>
          <w:tcPr>
            <w:tcW w:w="5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满意度</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指标</w:t>
            </w:r>
          </w:p>
        </w:tc>
        <w:tc>
          <w:tcPr>
            <w:tcW w:w="1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服务对象满意度指标</w:t>
            </w:r>
          </w:p>
        </w:tc>
        <w:tc>
          <w:tcPr>
            <w:tcW w:w="1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指标1：</w:t>
            </w:r>
          </w:p>
        </w:tc>
        <w:tc>
          <w:tcPr>
            <w:tcW w:w="1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被评估运行机构满意度</w:t>
            </w:r>
          </w:p>
        </w:tc>
        <w:tc>
          <w:tcPr>
            <w:tcW w:w="17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≥90%</w:t>
            </w: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95%</w:t>
            </w:r>
          </w:p>
        </w:tc>
        <w:tc>
          <w:tcPr>
            <w:tcW w:w="18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7396" w:type="dxa"/>
          <w:trHeight w:val="123" w:hRule="atLeast"/>
        </w:trPr>
        <w:tc>
          <w:tcPr>
            <w:tcW w:w="8398" w:type="dxa"/>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总分</w:t>
            </w:r>
          </w:p>
        </w:tc>
        <w:tc>
          <w:tcPr>
            <w:tcW w:w="18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bl>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outlineLvl w:val="0"/>
        <w:rPr>
          <w:rStyle w:val="31"/>
          <w:rFonts w:hint="eastAsia" w:ascii="黑体" w:hAnsi="黑体" w:eastAsia="黑体"/>
          <w:b w:val="0"/>
          <w:color w:val="auto"/>
          <w:highlight w:val="none"/>
        </w:rPr>
      </w:pPr>
      <w:r>
        <w:rPr>
          <w:rFonts w:hint="eastAsia" w:ascii="黑体" w:hAnsi="黑体" w:eastAsia="黑体"/>
          <w:color w:val="auto"/>
          <w:sz w:val="44"/>
          <w:szCs w:val="44"/>
          <w:highlight w:val="none"/>
        </w:rPr>
        <w:t>第</w:t>
      </w:r>
      <w:r>
        <w:rPr>
          <w:rStyle w:val="31"/>
          <w:rFonts w:hint="eastAsia" w:ascii="黑体" w:hAnsi="黑体" w:eastAsia="黑体"/>
          <w:b w:val="0"/>
          <w:color w:val="auto"/>
          <w:highlight w:val="none"/>
        </w:rPr>
        <w:t xml:space="preserve">五部分 </w:t>
      </w:r>
      <w:r>
        <w:rPr>
          <w:rStyle w:val="31"/>
          <w:rFonts w:hint="eastAsia" w:ascii="黑体" w:hAnsi="黑体" w:eastAsia="黑体"/>
          <w:b w:val="0"/>
          <w:color w:val="auto"/>
          <w:highlight w:val="none"/>
          <w:lang w:val="en-US" w:eastAsia="zh-CN"/>
        </w:rPr>
        <w:t xml:space="preserve"> </w:t>
      </w:r>
      <w:r>
        <w:rPr>
          <w:rStyle w:val="31"/>
          <w:rFonts w:hint="eastAsia" w:ascii="黑体" w:hAnsi="黑体" w:eastAsia="黑体"/>
          <w:b w:val="0"/>
          <w:color w:val="auto"/>
          <w:highlight w:val="none"/>
        </w:rPr>
        <w:t>附表</w:t>
      </w:r>
      <w:bookmarkEnd w:id="51"/>
      <w:bookmarkEnd w:id="53"/>
      <w:bookmarkStart w:id="54" w:name="_Toc15396619"/>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0"/>
        <w:rPr>
          <w:rFonts w:hint="default" w:ascii="Times New Roman" w:hAnsi="Times New Roman" w:eastAsia="仿宋" w:cs="Times New Roman"/>
          <w:b w:val="0"/>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b w:val="0"/>
          <w:color w:val="auto"/>
          <w:sz w:val="32"/>
          <w:szCs w:val="32"/>
          <w:highlight w:val="none"/>
        </w:rPr>
        <w:t>一、收</w:t>
      </w:r>
      <w:r>
        <w:rPr>
          <w:rStyle w:val="32"/>
          <w:rFonts w:hint="default" w:ascii="Times New Roman" w:hAnsi="Times New Roman" w:eastAsia="仿宋" w:cs="Times New Roman"/>
          <w:b w:val="0"/>
          <w:bCs w:val="0"/>
          <w:color w:val="auto"/>
          <w:sz w:val="32"/>
          <w:szCs w:val="32"/>
          <w:highlight w:val="none"/>
        </w:rPr>
        <w:t>入支出决算总表</w:t>
      </w:r>
      <w:bookmarkEnd w:id="54"/>
    </w:p>
    <w:p>
      <w:pPr>
        <w:pStyle w:val="4"/>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default" w:ascii="Times New Roman" w:hAnsi="Times New Roman" w:eastAsia="仿宋" w:cs="Times New Roman"/>
          <w:color w:val="auto"/>
          <w:sz w:val="32"/>
          <w:szCs w:val="32"/>
          <w:highlight w:val="none"/>
        </w:rPr>
      </w:pPr>
      <w:bookmarkStart w:id="55" w:name="_Toc15396620"/>
      <w:r>
        <w:rPr>
          <w:rFonts w:hint="default" w:ascii="Times New Roman" w:hAnsi="Times New Roman" w:eastAsia="仿宋" w:cs="Times New Roman"/>
          <w:b w:val="0"/>
          <w:color w:val="auto"/>
          <w:sz w:val="32"/>
          <w:szCs w:val="32"/>
          <w:highlight w:val="none"/>
        </w:rPr>
        <w:t>二、收</w:t>
      </w:r>
      <w:r>
        <w:rPr>
          <w:rStyle w:val="32"/>
          <w:rFonts w:hint="default" w:ascii="Times New Roman" w:hAnsi="Times New Roman" w:eastAsia="仿宋" w:cs="Times New Roman"/>
          <w:b w:val="0"/>
          <w:bCs w:val="0"/>
          <w:color w:val="auto"/>
          <w:sz w:val="32"/>
          <w:szCs w:val="32"/>
          <w:highlight w:val="none"/>
        </w:rPr>
        <w:t>入决算表</w:t>
      </w:r>
      <w:bookmarkEnd w:id="55"/>
    </w:p>
    <w:p>
      <w:pPr>
        <w:pStyle w:val="4"/>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default" w:ascii="Times New Roman" w:hAnsi="Times New Roman" w:eastAsia="仿宋" w:cs="Times New Roman"/>
          <w:color w:val="auto"/>
          <w:sz w:val="32"/>
          <w:szCs w:val="32"/>
          <w:highlight w:val="none"/>
        </w:rPr>
      </w:pPr>
      <w:bookmarkStart w:id="56" w:name="_Toc15396621"/>
      <w:r>
        <w:rPr>
          <w:rStyle w:val="32"/>
          <w:rFonts w:hint="default" w:ascii="Times New Roman" w:hAnsi="Times New Roman" w:eastAsia="仿宋" w:cs="Times New Roman"/>
          <w:b w:val="0"/>
          <w:bCs w:val="0"/>
          <w:color w:val="auto"/>
          <w:sz w:val="32"/>
          <w:szCs w:val="32"/>
          <w:highlight w:val="none"/>
        </w:rPr>
        <w:t>三、</w:t>
      </w:r>
      <w:r>
        <w:rPr>
          <w:rFonts w:hint="default" w:ascii="Times New Roman" w:hAnsi="Times New Roman" w:eastAsia="仿宋" w:cs="Times New Roman"/>
          <w:b w:val="0"/>
          <w:color w:val="auto"/>
          <w:sz w:val="32"/>
          <w:szCs w:val="32"/>
          <w:highlight w:val="none"/>
        </w:rPr>
        <w:t>支</w:t>
      </w:r>
      <w:r>
        <w:rPr>
          <w:rStyle w:val="32"/>
          <w:rFonts w:hint="default" w:ascii="Times New Roman" w:hAnsi="Times New Roman" w:eastAsia="仿宋" w:cs="Times New Roman"/>
          <w:b w:val="0"/>
          <w:bCs w:val="0"/>
          <w:color w:val="auto"/>
          <w:sz w:val="32"/>
          <w:szCs w:val="32"/>
          <w:highlight w:val="none"/>
        </w:rPr>
        <w:t>出决算表</w:t>
      </w:r>
      <w:bookmarkEnd w:id="56"/>
    </w:p>
    <w:p>
      <w:pPr>
        <w:pStyle w:val="4"/>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default" w:ascii="Times New Roman" w:hAnsi="Times New Roman" w:eastAsia="仿宋" w:cs="Times New Roman"/>
          <w:b w:val="0"/>
          <w:color w:val="auto"/>
          <w:sz w:val="32"/>
          <w:szCs w:val="32"/>
          <w:highlight w:val="none"/>
        </w:rPr>
      </w:pPr>
      <w:bookmarkStart w:id="57" w:name="_Toc15396622"/>
      <w:r>
        <w:rPr>
          <w:rStyle w:val="32"/>
          <w:rFonts w:hint="default" w:ascii="Times New Roman" w:hAnsi="Times New Roman" w:eastAsia="仿宋" w:cs="Times New Roman"/>
          <w:b w:val="0"/>
          <w:bCs w:val="0"/>
          <w:color w:val="auto"/>
          <w:sz w:val="32"/>
          <w:szCs w:val="32"/>
          <w:highlight w:val="none"/>
        </w:rPr>
        <w:t>四、</w:t>
      </w:r>
      <w:r>
        <w:rPr>
          <w:rFonts w:hint="default" w:ascii="Times New Roman" w:hAnsi="Times New Roman" w:eastAsia="仿宋" w:cs="Times New Roman"/>
          <w:b w:val="0"/>
          <w:color w:val="auto"/>
          <w:sz w:val="32"/>
          <w:szCs w:val="32"/>
          <w:highlight w:val="none"/>
        </w:rPr>
        <w:t>财</w:t>
      </w:r>
      <w:r>
        <w:rPr>
          <w:rStyle w:val="32"/>
          <w:rFonts w:hint="default" w:ascii="Times New Roman" w:hAnsi="Times New Roman" w:eastAsia="仿宋" w:cs="Times New Roman"/>
          <w:b w:val="0"/>
          <w:bCs w:val="0"/>
          <w:color w:val="auto"/>
          <w:sz w:val="32"/>
          <w:szCs w:val="32"/>
          <w:highlight w:val="none"/>
        </w:rPr>
        <w:t>政拨款收入支出决算总表</w:t>
      </w:r>
      <w:bookmarkEnd w:id="57"/>
    </w:p>
    <w:p>
      <w:pPr>
        <w:pStyle w:val="4"/>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Style w:val="32"/>
          <w:rFonts w:hint="default" w:ascii="Times New Roman" w:hAnsi="Times New Roman" w:eastAsia="仿宋" w:cs="Times New Roman"/>
          <w:b w:val="0"/>
          <w:bCs w:val="0"/>
          <w:color w:val="auto"/>
          <w:sz w:val="32"/>
          <w:szCs w:val="32"/>
          <w:highlight w:val="none"/>
        </w:rPr>
      </w:pPr>
      <w:bookmarkStart w:id="58" w:name="_Toc15396623"/>
      <w:r>
        <w:rPr>
          <w:rStyle w:val="32"/>
          <w:rFonts w:hint="default" w:ascii="Times New Roman" w:hAnsi="Times New Roman" w:eastAsia="仿宋" w:cs="Times New Roman"/>
          <w:b w:val="0"/>
          <w:bCs w:val="0"/>
          <w:color w:val="auto"/>
          <w:sz w:val="32"/>
          <w:szCs w:val="32"/>
          <w:highlight w:val="none"/>
        </w:rPr>
        <w:t>五、</w:t>
      </w:r>
      <w:r>
        <w:rPr>
          <w:rFonts w:hint="default" w:ascii="Times New Roman" w:hAnsi="Times New Roman" w:eastAsia="仿宋" w:cs="Times New Roman"/>
          <w:b w:val="0"/>
          <w:color w:val="auto"/>
          <w:sz w:val="32"/>
          <w:szCs w:val="32"/>
          <w:highlight w:val="none"/>
        </w:rPr>
        <w:t>财</w:t>
      </w:r>
      <w:r>
        <w:rPr>
          <w:rStyle w:val="32"/>
          <w:rFonts w:hint="default" w:ascii="Times New Roman" w:hAnsi="Times New Roman" w:eastAsia="仿宋" w:cs="Times New Roman"/>
          <w:b w:val="0"/>
          <w:bCs w:val="0"/>
          <w:color w:val="auto"/>
          <w:sz w:val="32"/>
          <w:szCs w:val="32"/>
          <w:highlight w:val="none"/>
        </w:rPr>
        <w:t>政拨款支出决算明细表</w:t>
      </w:r>
      <w:bookmarkEnd w:id="58"/>
      <w:bookmarkStart w:id="59" w:name="_Toc15396624"/>
    </w:p>
    <w:p>
      <w:pPr>
        <w:pStyle w:val="4"/>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default" w:ascii="Times New Roman" w:hAnsi="Times New Roman" w:eastAsia="仿宋" w:cs="Times New Roman"/>
          <w:color w:val="auto"/>
          <w:sz w:val="32"/>
          <w:szCs w:val="32"/>
          <w:highlight w:val="none"/>
        </w:rPr>
      </w:pPr>
      <w:r>
        <w:rPr>
          <w:rStyle w:val="32"/>
          <w:rFonts w:hint="default" w:ascii="Times New Roman" w:hAnsi="Times New Roman" w:eastAsia="仿宋" w:cs="Times New Roman"/>
          <w:b w:val="0"/>
          <w:bCs w:val="0"/>
          <w:color w:val="auto"/>
          <w:sz w:val="32"/>
          <w:szCs w:val="32"/>
          <w:highlight w:val="none"/>
        </w:rPr>
        <w:t>六、</w:t>
      </w:r>
      <w:r>
        <w:rPr>
          <w:rFonts w:hint="default" w:ascii="Times New Roman" w:hAnsi="Times New Roman" w:eastAsia="仿宋" w:cs="Times New Roman"/>
          <w:b w:val="0"/>
          <w:color w:val="auto"/>
          <w:sz w:val="32"/>
          <w:szCs w:val="32"/>
          <w:highlight w:val="none"/>
        </w:rPr>
        <w:t>一</w:t>
      </w:r>
      <w:r>
        <w:rPr>
          <w:rStyle w:val="32"/>
          <w:rFonts w:hint="default" w:ascii="Times New Roman" w:hAnsi="Times New Roman" w:eastAsia="仿宋" w:cs="Times New Roman"/>
          <w:b w:val="0"/>
          <w:bCs w:val="0"/>
          <w:color w:val="auto"/>
          <w:sz w:val="32"/>
          <w:szCs w:val="32"/>
          <w:highlight w:val="none"/>
        </w:rPr>
        <w:t>般公共预算财政拨款支出决算表</w:t>
      </w:r>
      <w:bookmarkEnd w:id="59"/>
    </w:p>
    <w:p>
      <w:pPr>
        <w:pStyle w:val="4"/>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default" w:ascii="Times New Roman" w:hAnsi="Times New Roman" w:eastAsia="仿宋" w:cs="Times New Roman"/>
          <w:color w:val="auto"/>
          <w:sz w:val="32"/>
          <w:szCs w:val="32"/>
          <w:highlight w:val="none"/>
        </w:rPr>
      </w:pPr>
      <w:bookmarkStart w:id="60" w:name="_Toc15396625"/>
      <w:r>
        <w:rPr>
          <w:rStyle w:val="32"/>
          <w:rFonts w:hint="default" w:ascii="Times New Roman" w:hAnsi="Times New Roman" w:eastAsia="仿宋" w:cs="Times New Roman"/>
          <w:b w:val="0"/>
          <w:bCs w:val="0"/>
          <w:color w:val="auto"/>
          <w:sz w:val="32"/>
          <w:szCs w:val="32"/>
          <w:highlight w:val="none"/>
        </w:rPr>
        <w:t>七、</w:t>
      </w:r>
      <w:r>
        <w:rPr>
          <w:rFonts w:hint="default" w:ascii="Times New Roman" w:hAnsi="Times New Roman" w:eastAsia="仿宋" w:cs="Times New Roman"/>
          <w:b w:val="0"/>
          <w:color w:val="auto"/>
          <w:sz w:val="32"/>
          <w:szCs w:val="32"/>
          <w:highlight w:val="none"/>
        </w:rPr>
        <w:t>一</w:t>
      </w:r>
      <w:r>
        <w:rPr>
          <w:rStyle w:val="32"/>
          <w:rFonts w:hint="default" w:ascii="Times New Roman" w:hAnsi="Times New Roman" w:eastAsia="仿宋" w:cs="Times New Roman"/>
          <w:b w:val="0"/>
          <w:bCs w:val="0"/>
          <w:color w:val="auto"/>
          <w:sz w:val="32"/>
          <w:szCs w:val="32"/>
          <w:highlight w:val="none"/>
        </w:rPr>
        <w:t>般公共预算财政拨款支出决算明细表</w:t>
      </w:r>
      <w:bookmarkEnd w:id="60"/>
    </w:p>
    <w:p>
      <w:pPr>
        <w:pStyle w:val="4"/>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default" w:ascii="Times New Roman" w:hAnsi="Times New Roman" w:eastAsia="仿宋" w:cs="Times New Roman"/>
          <w:color w:val="auto"/>
          <w:sz w:val="32"/>
          <w:szCs w:val="32"/>
          <w:highlight w:val="none"/>
        </w:rPr>
      </w:pPr>
      <w:bookmarkStart w:id="61" w:name="_Toc15396626"/>
      <w:r>
        <w:rPr>
          <w:rStyle w:val="32"/>
          <w:rFonts w:hint="default" w:ascii="Times New Roman" w:hAnsi="Times New Roman" w:eastAsia="仿宋" w:cs="Times New Roman"/>
          <w:b w:val="0"/>
          <w:bCs w:val="0"/>
          <w:color w:val="auto"/>
          <w:sz w:val="32"/>
          <w:szCs w:val="32"/>
          <w:highlight w:val="none"/>
        </w:rPr>
        <w:t>八、</w:t>
      </w:r>
      <w:r>
        <w:rPr>
          <w:rFonts w:hint="default" w:ascii="Times New Roman" w:hAnsi="Times New Roman" w:eastAsia="仿宋" w:cs="Times New Roman"/>
          <w:b w:val="0"/>
          <w:color w:val="auto"/>
          <w:sz w:val="32"/>
          <w:szCs w:val="32"/>
          <w:highlight w:val="none"/>
        </w:rPr>
        <w:t>一</w:t>
      </w:r>
      <w:r>
        <w:rPr>
          <w:rStyle w:val="32"/>
          <w:rFonts w:hint="default" w:ascii="Times New Roman" w:hAnsi="Times New Roman" w:eastAsia="仿宋" w:cs="Times New Roman"/>
          <w:b w:val="0"/>
          <w:bCs w:val="0"/>
          <w:color w:val="auto"/>
          <w:sz w:val="32"/>
          <w:szCs w:val="32"/>
          <w:highlight w:val="none"/>
        </w:rPr>
        <w:t>般公共预算财政拨款基本支出决算表</w:t>
      </w:r>
      <w:bookmarkEnd w:id="61"/>
    </w:p>
    <w:p>
      <w:pPr>
        <w:pStyle w:val="4"/>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default" w:ascii="Times New Roman" w:hAnsi="Times New Roman" w:eastAsia="仿宋" w:cs="Times New Roman"/>
          <w:color w:val="auto"/>
          <w:sz w:val="32"/>
          <w:szCs w:val="32"/>
          <w:highlight w:val="none"/>
        </w:rPr>
      </w:pPr>
      <w:bookmarkStart w:id="62" w:name="_Toc15396627"/>
      <w:r>
        <w:rPr>
          <w:rStyle w:val="32"/>
          <w:rFonts w:hint="default" w:ascii="Times New Roman" w:hAnsi="Times New Roman" w:eastAsia="仿宋" w:cs="Times New Roman"/>
          <w:b w:val="0"/>
          <w:bCs w:val="0"/>
          <w:color w:val="auto"/>
          <w:sz w:val="32"/>
          <w:szCs w:val="32"/>
          <w:highlight w:val="none"/>
        </w:rPr>
        <w:t>九、</w:t>
      </w:r>
      <w:r>
        <w:rPr>
          <w:rFonts w:hint="default" w:ascii="Times New Roman" w:hAnsi="Times New Roman" w:eastAsia="仿宋" w:cs="Times New Roman"/>
          <w:b w:val="0"/>
          <w:color w:val="auto"/>
          <w:sz w:val="32"/>
          <w:szCs w:val="32"/>
          <w:highlight w:val="none"/>
        </w:rPr>
        <w:t>一</w:t>
      </w:r>
      <w:r>
        <w:rPr>
          <w:rStyle w:val="32"/>
          <w:rFonts w:hint="default" w:ascii="Times New Roman" w:hAnsi="Times New Roman" w:eastAsia="仿宋" w:cs="Times New Roman"/>
          <w:b w:val="0"/>
          <w:bCs w:val="0"/>
          <w:color w:val="auto"/>
          <w:sz w:val="32"/>
          <w:szCs w:val="32"/>
          <w:highlight w:val="none"/>
        </w:rPr>
        <w:t>般公共预算财政拨款项目支出决算表</w:t>
      </w:r>
      <w:bookmarkEnd w:id="62"/>
    </w:p>
    <w:p>
      <w:pPr>
        <w:pStyle w:val="4"/>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default" w:ascii="Times New Roman" w:hAnsi="Times New Roman" w:eastAsia="仿宋" w:cs="Times New Roman"/>
          <w:color w:val="auto"/>
          <w:sz w:val="32"/>
          <w:szCs w:val="32"/>
          <w:highlight w:val="none"/>
        </w:rPr>
      </w:pPr>
      <w:bookmarkStart w:id="63" w:name="_Toc15396628"/>
      <w:r>
        <w:rPr>
          <w:rStyle w:val="32"/>
          <w:rFonts w:hint="default" w:ascii="Times New Roman" w:hAnsi="Times New Roman" w:eastAsia="仿宋" w:cs="Times New Roman"/>
          <w:b w:val="0"/>
          <w:bCs w:val="0"/>
          <w:color w:val="auto"/>
          <w:sz w:val="32"/>
          <w:szCs w:val="32"/>
          <w:highlight w:val="none"/>
        </w:rPr>
        <w:t>十、</w:t>
      </w:r>
      <w:bookmarkEnd w:id="63"/>
      <w:r>
        <w:rPr>
          <w:rFonts w:hint="default" w:ascii="Times New Roman" w:hAnsi="Times New Roman" w:eastAsia="仿宋" w:cs="Times New Roman"/>
          <w:b w:val="0"/>
          <w:color w:val="auto"/>
          <w:sz w:val="32"/>
          <w:szCs w:val="32"/>
          <w:highlight w:val="none"/>
        </w:rPr>
        <w:t>政</w:t>
      </w:r>
      <w:r>
        <w:rPr>
          <w:rStyle w:val="32"/>
          <w:rFonts w:hint="default" w:ascii="Times New Roman" w:hAnsi="Times New Roman" w:eastAsia="仿宋" w:cs="Times New Roman"/>
          <w:b w:val="0"/>
          <w:bCs w:val="0"/>
          <w:color w:val="auto"/>
          <w:sz w:val="32"/>
          <w:szCs w:val="32"/>
          <w:highlight w:val="none"/>
        </w:rPr>
        <w:t>府性基金预算财政拨款收入支出决算表</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default" w:ascii="Times New Roman" w:hAnsi="Times New Roman" w:eastAsia="仿宋" w:cs="Times New Roman"/>
          <w:color w:val="auto"/>
          <w:sz w:val="32"/>
          <w:szCs w:val="32"/>
          <w:highlight w:val="none"/>
        </w:rPr>
      </w:pPr>
      <w:bookmarkStart w:id="64" w:name="_Toc15396629"/>
      <w:r>
        <w:rPr>
          <w:rStyle w:val="32"/>
          <w:rFonts w:hint="default" w:ascii="Times New Roman" w:hAnsi="Times New Roman" w:eastAsia="仿宋" w:cs="Times New Roman"/>
          <w:b w:val="0"/>
          <w:bCs w:val="0"/>
          <w:color w:val="auto"/>
          <w:sz w:val="32"/>
          <w:szCs w:val="32"/>
          <w:highlight w:val="none"/>
        </w:rPr>
        <w:t>十一、</w:t>
      </w:r>
      <w:bookmarkEnd w:id="64"/>
      <w:r>
        <w:rPr>
          <w:rFonts w:hint="default" w:ascii="Times New Roman" w:hAnsi="Times New Roman" w:eastAsia="仿宋" w:cs="Times New Roman"/>
          <w:b w:val="0"/>
          <w:color w:val="auto"/>
          <w:sz w:val="32"/>
          <w:szCs w:val="32"/>
          <w:highlight w:val="none"/>
        </w:rPr>
        <w:t>国</w:t>
      </w:r>
      <w:r>
        <w:rPr>
          <w:rStyle w:val="32"/>
          <w:rFonts w:hint="default" w:ascii="Times New Roman" w:hAnsi="Times New Roman" w:eastAsia="仿宋" w:cs="Times New Roman"/>
          <w:b w:val="0"/>
          <w:bCs w:val="0"/>
          <w:color w:val="auto"/>
          <w:sz w:val="32"/>
          <w:szCs w:val="32"/>
          <w:highlight w:val="none"/>
        </w:rPr>
        <w:t>有资本经营预算</w:t>
      </w:r>
      <w:r>
        <w:rPr>
          <w:rStyle w:val="32"/>
          <w:rFonts w:hint="default" w:ascii="Times New Roman" w:hAnsi="Times New Roman" w:eastAsia="仿宋" w:cs="Times New Roman"/>
          <w:b w:val="0"/>
          <w:bCs w:val="0"/>
          <w:color w:val="auto"/>
          <w:sz w:val="32"/>
          <w:szCs w:val="32"/>
          <w:highlight w:val="none"/>
          <w:lang w:eastAsia="zh-CN"/>
        </w:rPr>
        <w:t>财政拨款收入</w:t>
      </w:r>
      <w:r>
        <w:rPr>
          <w:rStyle w:val="32"/>
          <w:rFonts w:hint="default" w:ascii="Times New Roman" w:hAnsi="Times New Roman" w:eastAsia="仿宋" w:cs="Times New Roman"/>
          <w:b w:val="0"/>
          <w:bCs w:val="0"/>
          <w:color w:val="auto"/>
          <w:sz w:val="32"/>
          <w:szCs w:val="32"/>
          <w:highlight w:val="none"/>
        </w:rPr>
        <w:t>支出决算表</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default" w:ascii="Times New Roman" w:hAnsi="Times New Roman" w:eastAsia="仿宋" w:cs="Times New Roman"/>
          <w:color w:val="auto"/>
          <w:sz w:val="32"/>
          <w:szCs w:val="32"/>
          <w:highlight w:val="none"/>
        </w:rPr>
      </w:pPr>
      <w:bookmarkStart w:id="65" w:name="_Toc15396630"/>
      <w:r>
        <w:rPr>
          <w:rStyle w:val="32"/>
          <w:rFonts w:hint="default" w:ascii="Times New Roman" w:hAnsi="Times New Roman" w:eastAsia="仿宋" w:cs="Times New Roman"/>
          <w:b w:val="0"/>
          <w:bCs w:val="0"/>
          <w:color w:val="auto"/>
          <w:sz w:val="32"/>
          <w:szCs w:val="32"/>
          <w:highlight w:val="none"/>
        </w:rPr>
        <w:t>十二、</w:t>
      </w:r>
      <w:bookmarkEnd w:id="65"/>
      <w:r>
        <w:rPr>
          <w:rStyle w:val="32"/>
          <w:rFonts w:hint="default" w:ascii="Times New Roman" w:hAnsi="Times New Roman" w:eastAsia="仿宋" w:cs="Times New Roman"/>
          <w:b w:val="0"/>
          <w:bCs w:val="0"/>
          <w:color w:val="auto"/>
          <w:sz w:val="32"/>
          <w:szCs w:val="32"/>
          <w:highlight w:val="none"/>
          <w:lang w:eastAsia="zh-CN"/>
        </w:rPr>
        <w:t>国有资本经营预算财政拨款支出决算表</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default" w:ascii="Times New Roman" w:hAnsi="Times New Roman" w:eastAsia="仿宋" w:cs="Times New Roman"/>
          <w:color w:val="auto"/>
          <w:sz w:val="32"/>
          <w:szCs w:val="32"/>
          <w:highlight w:val="none"/>
          <w:lang w:eastAsia="zh-CN"/>
        </w:rPr>
      </w:pPr>
      <w:bookmarkStart w:id="66" w:name="_Toc15396631"/>
      <w:r>
        <w:rPr>
          <w:rStyle w:val="32"/>
          <w:rFonts w:hint="default" w:ascii="Times New Roman" w:hAnsi="Times New Roman" w:eastAsia="仿宋" w:cs="Times New Roman"/>
          <w:b w:val="0"/>
          <w:bCs w:val="0"/>
          <w:color w:val="auto"/>
          <w:sz w:val="32"/>
          <w:szCs w:val="32"/>
          <w:highlight w:val="none"/>
        </w:rPr>
        <w:t>十三、</w:t>
      </w:r>
      <w:bookmarkEnd w:id="66"/>
      <w:r>
        <w:rPr>
          <w:rStyle w:val="32"/>
          <w:rFonts w:hint="default" w:ascii="Times New Roman" w:hAnsi="Times New Roman" w:eastAsia="仿宋" w:cs="Times New Roman"/>
          <w:b w:val="0"/>
          <w:bCs w:val="0"/>
          <w:color w:val="auto"/>
          <w:sz w:val="32"/>
          <w:szCs w:val="32"/>
          <w:highlight w:val="none"/>
          <w:lang w:eastAsia="zh-CN"/>
        </w:rPr>
        <w:t>财政拨款“三公”经费支出决算表</w:t>
      </w:r>
    </w:p>
    <w:sectPr>
      <w:headerReference r:id="rId6" w:type="default"/>
      <w:footerReference r:id="rId7" w:type="default"/>
      <w:pgSz w:w="11905" w:h="16838"/>
      <w:pgMar w:top="2098" w:right="1474" w:bottom="1984" w:left="1587" w:header="850" w:footer="1531" w:gutter="0"/>
      <w:pgNumType w:fmt="decimal" w:start="1"/>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auto"/>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
    <w:altName w:val="Times New Roman"/>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10"/>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11"/>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0" o:spid="_x0000_s1026" o:spt="1"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5dblS0AAAAAUBAAAPAAAAAAAAAAEAIAAAACIAAABkcnMvZG93bnJldi54bWxQ&#10;SwECFAAUAAAACACHTuJAb2OlX/8BAAALBAAADgAAAAAAAAABACAAAAAfAQAAZHJzL2Uyb0RvYy54&#10;bWxQSwUGAAAAAAYABgBZAQAAkAUAAAAA&#10;">
              <v:fill on="f" focussize="0,0"/>
              <v:stroke on="f"/>
              <v:imagedata o:title=""/>
              <o:lock v:ext="edit" aspectratio="f"/>
              <v:textbox inset="0mm,0mm,0mm,0mm" style="mso-fit-shape-to-text:t;">
                <w:txbxContent>
                  <w:p>
                    <w:pPr>
                      <w:pStyle w:val="11"/>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singleLevel"/>
    <w:tmpl w:val="B5E306ED"/>
    <w:lvl w:ilvl="0" w:tentative="0">
      <w:start w:val="1"/>
      <w:numFmt w:val="chineseCounting"/>
      <w:suff w:val="nothing"/>
      <w:lvlText w:val="（%1）"/>
      <w:lvlJc w:val="left"/>
      <w:rPr>
        <w:rFonts w:hint="eastAsia"/>
      </w:rPr>
    </w:lvl>
  </w:abstractNum>
  <w:abstractNum w:abstractNumId="1">
    <w:nsid w:val="BF205925"/>
    <w:multiLevelType w:val="singleLevel"/>
    <w:tmpl w:val="BF205925"/>
    <w:lvl w:ilvl="0" w:tentative="0">
      <w:start w:val="1"/>
      <w:numFmt w:val="chineseCounting"/>
      <w:suff w:val="nothing"/>
      <w:lvlText w:val="%1、"/>
      <w:lvlJc w:val="left"/>
      <w:rPr>
        <w:rFonts w:hint="eastAsia"/>
      </w:rPr>
    </w:lvl>
  </w:abstractNum>
  <w:abstractNum w:abstractNumId="2">
    <w:nsid w:val="CF092B84"/>
    <w:multiLevelType w:val="singleLevel"/>
    <w:tmpl w:val="CF092B84"/>
    <w:lvl w:ilvl="0" w:tentative="0">
      <w:start w:val="9"/>
      <w:numFmt w:val="chineseCounting"/>
      <w:suff w:val="nothing"/>
      <w:lvlText w:val="%1、"/>
      <w:lvlJc w:val="left"/>
      <w:rPr>
        <w:rFonts w:hint="eastAsia"/>
      </w:rPr>
    </w:lvl>
  </w:abstractNum>
  <w:abstractNum w:abstractNumId="3">
    <w:nsid w:val="0053208E"/>
    <w:multiLevelType w:val="singleLevel"/>
    <w:tmpl w:val="0053208E"/>
    <w:lvl w:ilvl="0" w:tentative="0">
      <w:start w:val="1"/>
      <w:numFmt w:val="chineseCounting"/>
      <w:suff w:val="nothing"/>
      <w:lvlText w:val="%1、"/>
      <w:lvlJc w:val="left"/>
      <w:rPr>
        <w:rFonts w:hint="eastAsia"/>
      </w:rPr>
    </w:lvl>
  </w:abstractNum>
  <w:abstractNum w:abstractNumId="4">
    <w:nsid w:val="0248C179"/>
    <w:multiLevelType w:val="singleLevel"/>
    <w:tmpl w:val="0248C179"/>
    <w:lvl w:ilvl="0" w:tentative="0">
      <w:start w:val="4"/>
      <w:numFmt w:val="chineseCounting"/>
      <w:suff w:val="nothing"/>
      <w:lvlText w:val="%1、"/>
      <w:lvlJc w:val="left"/>
      <w:rPr>
        <w:rFonts w:hint="eastAsia"/>
      </w:rPr>
    </w:lvl>
  </w:abstractNum>
  <w:abstractNum w:abstractNumId="5">
    <w:nsid w:val="03D62ECE"/>
    <w:multiLevelType w:val="singleLevel"/>
    <w:tmpl w:val="03D62ECE"/>
    <w:lvl w:ilvl="0" w:tentative="0">
      <w:start w:val="4"/>
      <w:numFmt w:val="chineseCounting"/>
      <w:suff w:val="nothing"/>
      <w:lvlText w:val="（%1）"/>
      <w:lvlJc w:val="left"/>
      <w:rPr>
        <w:rFonts w:hint="eastAsia"/>
      </w:rPr>
    </w:lvl>
  </w:abstractNum>
  <w:abstractNum w:abstractNumId="6">
    <w:nsid w:val="25B654F3"/>
    <w:multiLevelType w:val="singleLevel"/>
    <w:tmpl w:val="25B654F3"/>
    <w:lvl w:ilvl="0" w:tentative="0">
      <w:start w:val="1"/>
      <w:numFmt w:val="chineseCounting"/>
      <w:suff w:val="nothing"/>
      <w:lvlText w:val="%1、"/>
      <w:lvlJc w:val="left"/>
    </w:lvl>
  </w:abstractNum>
  <w:abstractNum w:abstractNumId="7">
    <w:nsid w:val="59ADCABA"/>
    <w:multiLevelType w:val="singleLevel"/>
    <w:tmpl w:val="59ADCABA"/>
    <w:lvl w:ilvl="0" w:tentative="0">
      <w:start w:val="3"/>
      <w:numFmt w:val="chineseCounting"/>
      <w:suff w:val="space"/>
      <w:lvlText w:val="第%1部分"/>
      <w:lvlJc w:val="left"/>
      <w:rPr>
        <w:rFonts w:hint="eastAsia"/>
      </w:rPr>
    </w:lvl>
  </w:abstractNum>
  <w:abstractNum w:abstractNumId="8">
    <w:nsid w:val="72183CF9"/>
    <w:multiLevelType w:val="singleLevel"/>
    <w:tmpl w:val="72183CF9"/>
    <w:lvl w:ilvl="0" w:tentative="0">
      <w:start w:val="1"/>
      <w:numFmt w:val="chineseCounting"/>
      <w:suff w:val="nothing"/>
      <w:lvlText w:val="（%1）"/>
      <w:lvlJc w:val="left"/>
      <w:rPr>
        <w:rFonts w:hint="eastAsia"/>
      </w:rPr>
    </w:lvl>
  </w:abstractNum>
  <w:num w:numId="1">
    <w:abstractNumId w:val="3"/>
  </w:num>
  <w:num w:numId="2">
    <w:abstractNumId w:val="2"/>
  </w:num>
  <w:num w:numId="3">
    <w:abstractNumId w:val="7"/>
  </w:num>
  <w:num w:numId="4">
    <w:abstractNumId w:val="1"/>
  </w:num>
  <w:num w:numId="5">
    <w:abstractNumId w:val="0"/>
  </w:num>
  <w:num w:numId="6">
    <w:abstractNumId w:val="5"/>
  </w:num>
  <w:num w:numId="7">
    <w:abstractNumId w:val="6"/>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420"/>
  <w:drawingGridHorizontalSpacing w:val="210"/>
  <w:drawingGridVerticalSpacing w:val="9999999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yMzA3ODczZTMyNTE1MjljZDY4N2YxOTA4NDY2OTMifQ=="/>
  </w:docVars>
  <w:rsids>
    <w:rsidRoot w:val="00000000"/>
    <w:rsid w:val="08EC3A1E"/>
    <w:rsid w:val="12A7331B"/>
    <w:rsid w:val="23B7040A"/>
    <w:rsid w:val="3191526C"/>
    <w:rsid w:val="73AE2948"/>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20">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6">
    <w:name w:val="index 8"/>
    <w:basedOn w:val="1"/>
    <w:next w:val="1"/>
    <w:unhideWhenUsed/>
    <w:qFormat/>
    <w:uiPriority w:val="99"/>
    <w:pPr>
      <w:ind w:left="2940"/>
    </w:pPr>
    <w:rPr>
      <w:rFonts w:cs="黑体"/>
      <w:szCs w:val="22"/>
    </w:rPr>
  </w:style>
  <w:style w:type="paragraph" w:styleId="7">
    <w:name w:val="Body Text"/>
    <w:basedOn w:val="1"/>
    <w:link w:val="29"/>
    <w:qFormat/>
    <w:uiPriority w:val="99"/>
    <w:pPr>
      <w:spacing w:beforeLines="30"/>
    </w:pPr>
    <w:rPr>
      <w:rFonts w:ascii="仿宋_GB2312" w:eastAsia="仿宋_GB2312"/>
      <w:kern w:val="0"/>
      <w:sz w:val="30"/>
    </w:rPr>
  </w:style>
  <w:style w:type="paragraph" w:styleId="8">
    <w:name w:val="Body Text Indent"/>
    <w:basedOn w:val="1"/>
    <w:qFormat/>
    <w:uiPriority w:val="0"/>
    <w:pPr>
      <w:spacing w:after="120"/>
      <w:ind w:leftChars="200"/>
    </w:pPr>
    <w:rPr>
      <w:rFonts w:ascii="仿宋_GB2312"/>
      <w:szCs w:val="32"/>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4"/>
    <w:semiHidden/>
    <w:unhideWhenUsed/>
    <w:qFormat/>
    <w:uiPriority w:val="99"/>
    <w:rPr>
      <w:sz w:val="18"/>
      <w:szCs w:val="18"/>
    </w:rPr>
  </w:style>
  <w:style w:type="paragraph" w:styleId="11">
    <w:name w:val="footer"/>
    <w:basedOn w:val="1"/>
    <w:link w:val="27"/>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5"/>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able of figures"/>
    <w:basedOn w:val="1"/>
    <w:next w:val="1"/>
    <w:qFormat/>
    <w:uiPriority w:val="0"/>
    <w:pPr>
      <w:ind w:left="200" w:leftChars="200" w:hanging="200" w:hangingChars="200"/>
    </w:p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rPr>
  </w:style>
  <w:style w:type="paragraph" w:styleId="17">
    <w:name w:val="Body Text First Indent 2"/>
    <w:basedOn w:val="8"/>
    <w:next w:val="1"/>
    <w:unhideWhenUsed/>
    <w:qFormat/>
    <w:uiPriority w:val="99"/>
    <w:pPr>
      <w:ind w:firstLine="420" w:firstLineChars="200"/>
    </w:pPr>
  </w:style>
  <w:style w:type="table" w:styleId="19">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1">
    <w:name w:val="Strong"/>
    <w:basedOn w:val="20"/>
    <w:qFormat/>
    <w:uiPriority w:val="99"/>
    <w:rPr>
      <w:b/>
    </w:rPr>
  </w:style>
  <w:style w:type="character" w:styleId="22">
    <w:name w:val="Hyperlink"/>
    <w:basedOn w:val="20"/>
    <w:unhideWhenUsed/>
    <w:qFormat/>
    <w:uiPriority w:val="99"/>
    <w:rPr>
      <w:color w:val="0000FF" w:themeColor="hyperlink"/>
      <w:u w:val="single"/>
      <w14:textFill>
        <w14:solidFill>
          <w14:schemeClr w14:val="hlink"/>
        </w14:solidFill>
      </w14:textFill>
    </w:rPr>
  </w:style>
  <w:style w:type="paragraph" w:customStyle="1" w:styleId="23">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4">
    <w:name w:val="Header Char"/>
    <w:basedOn w:val="20"/>
    <w:semiHidden/>
    <w:qFormat/>
    <w:uiPriority w:val="99"/>
    <w:rPr>
      <w:rFonts w:ascii="Times New Roman" w:hAnsi="Times New Roman"/>
      <w:sz w:val="18"/>
      <w:szCs w:val="18"/>
    </w:rPr>
  </w:style>
  <w:style w:type="character" w:customStyle="1" w:styleId="25">
    <w:name w:val="页眉 Char"/>
    <w:link w:val="12"/>
    <w:semiHidden/>
    <w:qFormat/>
    <w:locked/>
    <w:uiPriority w:val="99"/>
    <w:rPr>
      <w:sz w:val="18"/>
    </w:rPr>
  </w:style>
  <w:style w:type="character" w:customStyle="1" w:styleId="26">
    <w:name w:val="Footer Char"/>
    <w:basedOn w:val="20"/>
    <w:semiHidden/>
    <w:qFormat/>
    <w:uiPriority w:val="99"/>
    <w:rPr>
      <w:rFonts w:ascii="Times New Roman" w:hAnsi="Times New Roman"/>
      <w:sz w:val="18"/>
      <w:szCs w:val="18"/>
    </w:rPr>
  </w:style>
  <w:style w:type="character" w:customStyle="1" w:styleId="27">
    <w:name w:val="页脚 Char"/>
    <w:link w:val="11"/>
    <w:qFormat/>
    <w:locked/>
    <w:uiPriority w:val="99"/>
    <w:rPr>
      <w:sz w:val="18"/>
    </w:rPr>
  </w:style>
  <w:style w:type="character" w:customStyle="1" w:styleId="28">
    <w:name w:val="Body Text Char"/>
    <w:basedOn w:val="20"/>
    <w:semiHidden/>
    <w:qFormat/>
    <w:uiPriority w:val="99"/>
    <w:rPr>
      <w:rFonts w:ascii="Times New Roman" w:hAnsi="Times New Roman"/>
      <w:szCs w:val="24"/>
    </w:rPr>
  </w:style>
  <w:style w:type="character" w:customStyle="1" w:styleId="29">
    <w:name w:val="正文文本 Char"/>
    <w:link w:val="7"/>
    <w:qFormat/>
    <w:locked/>
    <w:uiPriority w:val="99"/>
    <w:rPr>
      <w:rFonts w:ascii="仿宋_GB2312" w:hAnsi="Times New Roman" w:eastAsia="仿宋_GB2312"/>
      <w:sz w:val="24"/>
    </w:rPr>
  </w:style>
  <w:style w:type="paragraph" w:styleId="30">
    <w:name w:val="List Paragraph"/>
    <w:basedOn w:val="1"/>
    <w:qFormat/>
    <w:uiPriority w:val="34"/>
    <w:pPr>
      <w:ind w:firstLine="420" w:firstLineChars="200"/>
    </w:pPr>
  </w:style>
  <w:style w:type="character" w:customStyle="1" w:styleId="31">
    <w:name w:val="标题 1 Char"/>
    <w:basedOn w:val="20"/>
    <w:link w:val="3"/>
    <w:qFormat/>
    <w:uiPriority w:val="9"/>
    <w:rPr>
      <w:rFonts w:ascii="Times New Roman" w:hAnsi="Times New Roman"/>
      <w:b/>
      <w:bCs/>
      <w:kern w:val="44"/>
      <w:sz w:val="44"/>
      <w:szCs w:val="44"/>
    </w:rPr>
  </w:style>
  <w:style w:type="character" w:customStyle="1" w:styleId="32">
    <w:name w:val="标题 2 Char"/>
    <w:basedOn w:val="20"/>
    <w:link w:val="4"/>
    <w:qFormat/>
    <w:uiPriority w:val="9"/>
    <w:rPr>
      <w:rFonts w:asciiTheme="majorHAnsi" w:hAnsiTheme="majorHAnsi" w:eastAsiaTheme="majorEastAsia" w:cstheme="majorBidi"/>
      <w:b/>
      <w:bCs/>
      <w:kern w:val="2"/>
      <w:sz w:val="32"/>
      <w:szCs w:val="32"/>
    </w:rPr>
  </w:style>
  <w:style w:type="paragraph" w:customStyle="1" w:styleId="33">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20"/>
    <w:link w:val="10"/>
    <w:semiHidden/>
    <w:qFormat/>
    <w:uiPriority w:val="99"/>
    <w:rPr>
      <w:rFonts w:ascii="Times New Roman" w:hAnsi="Times New Roman"/>
      <w:kern w:val="2"/>
      <w:sz w:val="18"/>
      <w:szCs w:val="18"/>
    </w:rPr>
  </w:style>
  <w:style w:type="character" w:customStyle="1" w:styleId="35">
    <w:name w:val="标题 3 Char"/>
    <w:basedOn w:val="20"/>
    <w:link w:val="5"/>
    <w:qFormat/>
    <w:uiPriority w:val="9"/>
    <w:rPr>
      <w:rFonts w:ascii="Times New Roman" w:hAnsi="Times New Roman"/>
      <w:b/>
      <w:bCs/>
      <w:kern w:val="2"/>
      <w:sz w:val="32"/>
      <w:szCs w:val="32"/>
    </w:rPr>
  </w:style>
  <w:style w:type="paragraph" w:customStyle="1" w:styleId="36">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8">
    <w:name w:val="正文-啊"/>
    <w:basedOn w:val="1"/>
    <w:qFormat/>
    <w:uiPriority w:val="0"/>
    <w:pPr>
      <w:spacing w:beforeLines="100" w:line="276" w:lineRule="auto"/>
      <w:ind w:left="210" w:right="210" w:firstLine="600"/>
      <w:contextualSpacing/>
    </w:pPr>
    <w:rPr>
      <w:rFonts w:ascii="微软雅黑" w:hAnsi="微软雅黑"/>
      <w:color w:val="000000"/>
      <w:sz w:val="24"/>
      <w:szCs w:val="21"/>
    </w:rPr>
  </w:style>
  <w:style w:type="character" w:customStyle="1" w:styleId="39">
    <w:name w:val="font61"/>
    <w:basedOn w:val="20"/>
    <w:qFormat/>
    <w:uiPriority w:val="0"/>
    <w:rPr>
      <w:rFonts w:hint="default" w:ascii="Arial" w:hAnsi="Arial" w:cs="Arial"/>
      <w:color w:val="000000"/>
      <w:sz w:val="20"/>
      <w:szCs w:val="20"/>
      <w:u w:val="none"/>
    </w:rPr>
  </w:style>
  <w:style w:type="character" w:customStyle="1" w:styleId="40">
    <w:name w:val="font51"/>
    <w:basedOn w:val="20"/>
    <w:qFormat/>
    <w:uiPriority w:val="0"/>
    <w:rPr>
      <w:rFonts w:hint="eastAsia" w:ascii="宋体" w:hAnsi="宋体" w:eastAsia="宋体" w:cs="宋体"/>
      <w:color w:val="000000"/>
      <w:sz w:val="20"/>
      <w:szCs w:val="20"/>
      <w:u w:val="none"/>
    </w:rPr>
  </w:style>
  <w:style w:type="character" w:customStyle="1" w:styleId="41">
    <w:name w:val="font71"/>
    <w:basedOn w:val="20"/>
    <w:qFormat/>
    <w:uiPriority w:val="0"/>
    <w:rPr>
      <w:rFonts w:hint="default" w:ascii="Arial" w:hAnsi="Arial" w:cs="Arial"/>
      <w:color w:val="000000"/>
      <w:sz w:val="20"/>
      <w:szCs w:val="20"/>
      <w:u w:val="none"/>
    </w:rPr>
  </w:style>
  <w:style w:type="character" w:customStyle="1" w:styleId="42">
    <w:name w:val="font41"/>
    <w:basedOn w:val="20"/>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4.xml"/><Relationship Id="rId2" Type="http://schemas.openxmlformats.org/officeDocument/2006/relationships/settings" Target="settings.xml"/><Relationship Id="rId19" Type="http://schemas.openxmlformats.org/officeDocument/2006/relationships/customXml" Target="../customXml/item3.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收、支决算总计变动情况图</a:t>
            </a:r>
          </a:p>
        </c:rich>
      </c:tx>
      <c:layout>
        <c:manualLayout>
          <c:xMode val="edge"/>
          <c:yMode val="edge"/>
          <c:x val="0.270552471583399"/>
          <c:y val="0.0317119694802098"/>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收入决算(万)</c:v>
                </c:pt>
                <c:pt idx="1">
                  <c:v>支出决算（万）</c:v>
                </c:pt>
              </c:strCache>
            </c:strRef>
          </c:cat>
          <c:val>
            <c:numRef>
              <c:f>Sheet1!$B$2:$B$3</c:f>
              <c:numCache>
                <c:formatCode>General</c:formatCode>
                <c:ptCount val="2"/>
                <c:pt idx="0">
                  <c:v>207.96</c:v>
                </c:pt>
                <c:pt idx="1">
                  <c:v>207.96</c:v>
                </c:pt>
              </c:numCache>
            </c:numRef>
          </c:val>
        </c:ser>
        <c:ser>
          <c:idx val="1"/>
          <c:order val="1"/>
          <c:tx>
            <c:strRef>
              <c:f>Sheet1!$C$1</c:f>
              <c:strCache>
                <c:ptCount val="1"/>
                <c:pt idx="0">
                  <c:v>2022年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收入决算(万)</c:v>
                </c:pt>
                <c:pt idx="1">
                  <c:v>支出决算（万）</c:v>
                </c:pt>
              </c:strCache>
            </c:strRef>
          </c:cat>
          <c:val>
            <c:numRef>
              <c:f>Sheet1!$C$2:$C$3</c:f>
              <c:numCache>
                <c:formatCode>General</c:formatCode>
                <c:ptCount val="2"/>
                <c:pt idx="0">
                  <c:v>240.97</c:v>
                </c:pt>
                <c:pt idx="1">
                  <c:v>240.97</c:v>
                </c:pt>
              </c:numCache>
            </c:numRef>
          </c:val>
        </c:ser>
        <c:dLbls>
          <c:showLegendKey val="0"/>
          <c:showVal val="1"/>
          <c:showCatName val="0"/>
          <c:showSerName val="0"/>
          <c:showPercent val="0"/>
          <c:showBubbleSize val="0"/>
        </c:dLbls>
        <c:gapWidth val="246"/>
        <c:overlap val="-28"/>
        <c:axId val="273213911"/>
        <c:axId val="603446174"/>
      </c:barChart>
      <c:catAx>
        <c:axId val="273213911"/>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03446174"/>
        <c:crosses val="autoZero"/>
        <c:auto val="1"/>
        <c:lblAlgn val="ctr"/>
        <c:lblOffset val="100"/>
        <c:noMultiLvlLbl val="0"/>
      </c:catAx>
      <c:valAx>
        <c:axId val="603446174"/>
        <c:scaling>
          <c:orientation val="minMax"/>
        </c:scaling>
        <c:delete val="0"/>
        <c:axPos val="l"/>
        <c:majorGridlines>
          <c:spPr>
            <a:ln w="9525" cap="flat" cmpd="sng" algn="ctr">
              <a:solidFill>
                <a:schemeClr val="bg1">
                  <a:lumMod val="902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73213911"/>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收入决算</c:v>
                </c:pt>
              </c:strCache>
            </c:strRef>
          </c:tx>
          <c:explosion val="0"/>
          <c:dPt>
            <c:idx val="0"/>
            <c:bubble3D val="0"/>
            <c:spPr>
              <a:solidFill>
                <a:schemeClr val="accent1"/>
              </a:solidFill>
              <a:ln>
                <a:solidFill>
                  <a:schemeClr val="bg1"/>
                </a:solidFill>
              </a:ln>
              <a:effectLst/>
            </c:spPr>
          </c:dPt>
          <c:dLbls>
            <c:dLbl>
              <c:idx val="0"/>
              <c:layout>
                <c:manualLayout>
                  <c:x val="0.0174578042274203"/>
                  <c:y val="-0.297238016103521"/>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2200" b="0" i="0" u="none" strike="noStrike" kern="1200" baseline="0">
                      <a:solidFill>
                        <a:srgbClr val="FFFF00"/>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manualLayout>
                      <c:w val="0.204056055599863"/>
                      <c:h val="0.222404259676428"/>
                    </c:manualLayout>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FFFF00"/>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c:f>
              <c:strCache>
                <c:ptCount val="1"/>
                <c:pt idx="0">
                  <c:v>一般公共预算财政拨款收入(万元)</c:v>
                </c:pt>
              </c:strCache>
            </c:strRef>
          </c:cat>
          <c:val>
            <c:numRef>
              <c:f>Sheet1!$B$2</c:f>
              <c:numCache>
                <c:formatCode>General</c:formatCode>
                <c:ptCount val="1"/>
                <c:pt idx="0">
                  <c:v>240.97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555262427103582"/>
          <c:y val="0.853119180633147"/>
          <c:w val="0.406414884754235"/>
          <c:h val="0.0779795158286778"/>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支出决算</c:v>
                </c:pt>
              </c:strCache>
            </c:strRef>
          </c:tx>
          <c:explosion val="0"/>
          <c:dPt>
            <c:idx val="0"/>
            <c:bubble3D val="0"/>
            <c:spPr>
              <a:solidFill>
                <a:schemeClr val="accent1"/>
              </a:solidFill>
              <a:ln>
                <a:solidFill>
                  <a:schemeClr val="bg1"/>
                </a:solidFill>
              </a:ln>
              <a:effectLst/>
            </c:spPr>
          </c:dPt>
          <c:dLbls>
            <c:dLbl>
              <c:idx val="0"/>
              <c:layout>
                <c:manualLayout>
                  <c:x val="-0.00302072838192183"/>
                  <c:y val="-0.328653456571929"/>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600" b="0" i="0" u="none" strike="noStrike" kern="1200" baseline="0">
                      <a:solidFill>
                        <a:srgbClr val="FFFF00"/>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manualLayout>
                      <c:w val="0.150036240637835"/>
                      <c:h val="0.111559711007225"/>
                    </c:manualLayout>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c:f>
              <c:strCache>
                <c:ptCount val="1"/>
                <c:pt idx="0">
                  <c:v>基本支出（万）</c:v>
                </c:pt>
              </c:strCache>
            </c:strRef>
          </c:cat>
          <c:val>
            <c:numRef>
              <c:f>Sheet1!$B$2</c:f>
              <c:numCache>
                <c:formatCode>General</c:formatCode>
                <c:ptCount val="1"/>
                <c:pt idx="0">
                  <c:v>240.97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manualLayout>
          <c:xMode val="edge"/>
          <c:yMode val="edge"/>
          <c:x val="0.680961584923895"/>
          <c:y val="0.86485337866553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财政拨款收、支决算总计变动情况图</a:t>
            </a:r>
          </a:p>
        </c:rich>
      </c:tx>
      <c:layout>
        <c:manualLayout>
          <c:xMode val="edge"/>
          <c:yMode val="edge"/>
          <c:x val="0.270552471583399"/>
          <c:y val="0.0317119694802098"/>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收入决算(万)</c:v>
                </c:pt>
                <c:pt idx="1">
                  <c:v>支出决算（万）</c:v>
                </c:pt>
              </c:strCache>
            </c:strRef>
          </c:cat>
          <c:val>
            <c:numRef>
              <c:f>Sheet1!$B$2:$B$3</c:f>
              <c:numCache>
                <c:formatCode>General</c:formatCode>
                <c:ptCount val="2"/>
                <c:pt idx="0">
                  <c:v>207.96</c:v>
                </c:pt>
                <c:pt idx="1">
                  <c:v>207.96</c:v>
                </c:pt>
              </c:numCache>
            </c:numRef>
          </c:val>
        </c:ser>
        <c:ser>
          <c:idx val="1"/>
          <c:order val="1"/>
          <c:tx>
            <c:strRef>
              <c:f>Sheet1!$C$1</c:f>
              <c:strCache>
                <c:ptCount val="1"/>
                <c:pt idx="0">
                  <c:v>2022年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收入决算(万)</c:v>
                </c:pt>
                <c:pt idx="1">
                  <c:v>支出决算（万）</c:v>
                </c:pt>
              </c:strCache>
            </c:strRef>
          </c:cat>
          <c:val>
            <c:numRef>
              <c:f>Sheet1!$C$2:$C$3</c:f>
              <c:numCache>
                <c:formatCode>General</c:formatCode>
                <c:ptCount val="2"/>
                <c:pt idx="0">
                  <c:v>240.97</c:v>
                </c:pt>
                <c:pt idx="1">
                  <c:v>240.97</c:v>
                </c:pt>
              </c:numCache>
            </c:numRef>
          </c:val>
        </c:ser>
        <c:dLbls>
          <c:showLegendKey val="0"/>
          <c:showVal val="1"/>
          <c:showCatName val="0"/>
          <c:showSerName val="0"/>
          <c:showPercent val="0"/>
          <c:showBubbleSize val="0"/>
        </c:dLbls>
        <c:gapWidth val="246"/>
        <c:overlap val="-28"/>
        <c:axId val="273213911"/>
        <c:axId val="603446174"/>
      </c:barChart>
      <c:catAx>
        <c:axId val="273213911"/>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03446174"/>
        <c:crosses val="autoZero"/>
        <c:auto val="1"/>
        <c:lblAlgn val="ctr"/>
        <c:lblOffset val="100"/>
        <c:noMultiLvlLbl val="0"/>
      </c:catAx>
      <c:valAx>
        <c:axId val="603446174"/>
        <c:scaling>
          <c:orientation val="minMax"/>
        </c:scaling>
        <c:delete val="0"/>
        <c:axPos val="l"/>
        <c:majorGridlines>
          <c:spPr>
            <a:ln w="9525" cap="flat" cmpd="sng" algn="ctr">
              <a:solidFill>
                <a:schemeClr val="bg1">
                  <a:lumMod val="902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73213911"/>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c:f>
              <c:strCache>
                <c:ptCount val="1"/>
                <c:pt idx="0">
                  <c:v>一般公共预算财政拨款支出决算（万）</c:v>
                </c:pt>
              </c:strCache>
            </c:strRef>
          </c:cat>
          <c:val>
            <c:numRef>
              <c:f>Sheet1!$B$2</c:f>
              <c:numCache>
                <c:formatCode>General</c:formatCode>
                <c:ptCount val="1"/>
                <c:pt idx="0">
                  <c:v>207.96</c:v>
                </c:pt>
              </c:numCache>
            </c:numRef>
          </c:val>
        </c:ser>
        <c:ser>
          <c:idx val="1"/>
          <c:order val="1"/>
          <c:tx>
            <c:strRef>
              <c:f>Sheet1!$C$1</c:f>
              <c:strCache>
                <c:ptCount val="1"/>
                <c:pt idx="0">
                  <c:v>2022年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trendline>
            <c:spPr>
              <a:ln w="19050" cap="rnd" cmpd="sng" algn="ctr">
                <a:solidFill>
                  <a:schemeClr val="accent2"/>
                </a:solidFill>
                <a:prstDash val="sysDot"/>
                <a:round/>
              </a:ln>
              <a:effectLst/>
            </c:spPr>
            <c:trendlineType val="linear"/>
            <c:dispRSqr val="0"/>
            <c:dispEq val="0"/>
          </c:trendline>
          <c:trendline>
            <c:spPr>
              <a:ln w="19050" cap="rnd" cmpd="sng" algn="ctr">
                <a:solidFill>
                  <a:schemeClr val="accent2"/>
                </a:solidFill>
                <a:prstDash val="sysDot"/>
                <a:round/>
              </a:ln>
              <a:effectLst/>
            </c:spPr>
            <c:trendlineType val="linear"/>
            <c:dispRSqr val="0"/>
            <c:dispEq val="0"/>
          </c:trendline>
          <c:cat>
            <c:strRef>
              <c:f>Sheet1!$A$2</c:f>
              <c:strCache>
                <c:ptCount val="1"/>
                <c:pt idx="0">
                  <c:v>一般公共预算财政拨款支出决算（万）</c:v>
                </c:pt>
              </c:strCache>
            </c:strRef>
          </c:cat>
          <c:val>
            <c:numRef>
              <c:f>Sheet1!$C$2</c:f>
              <c:numCache>
                <c:formatCode>General</c:formatCode>
                <c:ptCount val="1"/>
                <c:pt idx="0">
                  <c:v>240.97</c:v>
                </c:pt>
              </c:numCache>
            </c:numRef>
          </c:val>
        </c:ser>
        <c:dLbls>
          <c:showLegendKey val="0"/>
          <c:showVal val="1"/>
          <c:showCatName val="0"/>
          <c:showSerName val="0"/>
          <c:showPercent val="0"/>
          <c:showBubbleSize val="0"/>
        </c:dLbls>
        <c:gapWidth val="219"/>
        <c:overlap val="-27"/>
        <c:axId val="995820991"/>
        <c:axId val="60232198"/>
      </c:barChart>
      <c:catAx>
        <c:axId val="995820991"/>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0232198"/>
        <c:crosses val="autoZero"/>
        <c:auto val="1"/>
        <c:lblAlgn val="ctr"/>
        <c:lblOffset val="100"/>
        <c:noMultiLvlLbl val="0"/>
      </c:catAx>
      <c:valAx>
        <c:axId val="6023219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95820991"/>
        <c:crosses val="autoZero"/>
        <c:crossBetween val="between"/>
      </c:valAx>
      <c:spPr>
        <a:noFill/>
        <a:ln>
          <a:noFill/>
        </a:ln>
        <a:effectLst/>
      </c:spPr>
    </c:plotArea>
    <c:legend>
      <c:legendPos val="b"/>
      <c:legendEntry>
        <c:idx val="2"/>
        <c:delete val="1"/>
      </c:legendEntry>
      <c:legendEntry>
        <c:idx val="3"/>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p>
        </c:rich>
      </c:tx>
      <c:layout/>
      <c:overlay val="0"/>
      <c:spPr>
        <a:noFill/>
        <a:ln>
          <a:noFill/>
        </a:ln>
        <a:effectLst/>
      </c:spPr>
    </c:title>
    <c:autoTitleDeleted val="0"/>
    <c:plotArea>
      <c:layout/>
      <c:pieChart>
        <c:varyColors val="1"/>
        <c:ser>
          <c:idx val="0"/>
          <c:order val="0"/>
          <c:tx>
            <c:strRef>
              <c:f>Sheet1!$B$1</c:f>
              <c:strCache>
                <c:ptCount val="1"/>
                <c:pt idx="0">
                  <c:v>一般公共预算财政拨款支出（万）</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81.79</a:t>
                    </a:r>
                    <a:r>
                      <a:t>%</a:t>
                    </a:r>
                  </a:p>
                </c:rich>
              </c:tx>
              <c:dLblPos val="inEnd"/>
              <c:showLegendKey val="0"/>
              <c:showVal val="0"/>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9</a:t>
                    </a:r>
                    <a:r>
                      <a:rPr lang="en-US" altLang="zh-CN"/>
                      <a:t>.33</a:t>
                    </a:r>
                    <a:r>
                      <a:t>%</a:t>
                    </a:r>
                  </a:p>
                </c:rich>
              </c:tx>
              <c:dLblPos val="inEnd"/>
              <c:showLegendKey val="0"/>
              <c:showVal val="0"/>
              <c:showCatName val="0"/>
              <c:showSerName val="0"/>
              <c:showPercent val="1"/>
              <c:showBubbleSize val="0"/>
              <c:extLst>
                <c:ext xmlns:c15="http://schemas.microsoft.com/office/drawing/2012/chart" uri="{CE6537A1-D6FC-4f65-9D91-7224C49458BB}"/>
              </c:extLst>
            </c:dLbl>
            <c:dLbl>
              <c:idx val="2"/>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2.93</a:t>
                    </a:r>
                    <a:r>
                      <a:t>%</a:t>
                    </a:r>
                  </a:p>
                </c:rich>
              </c:tx>
              <c:dLblPos val="inEnd"/>
              <c:showLegendKey val="0"/>
              <c:showVal val="0"/>
              <c:showCatName val="0"/>
              <c:showSerName val="0"/>
              <c:showPercent val="1"/>
              <c:showBubbleSize val="0"/>
              <c:extLst>
                <c:ext xmlns:c15="http://schemas.microsoft.com/office/drawing/2012/chart" uri="{CE6537A1-D6FC-4f65-9D91-7224C49458BB}">
                  <c15:layout>
                    <c:manualLayout>
                      <c:w val="0.08325"/>
                      <c:h val="0.0788333333333333"/>
                    </c:manualLayout>
                  </c15:layout>
                </c:ext>
              </c:extLst>
            </c:dLbl>
            <c:dLbl>
              <c:idx val="3"/>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5.95</a:t>
                    </a:r>
                    <a:r>
                      <a:t>%</a:t>
                    </a:r>
                  </a:p>
                </c:rich>
              </c:tx>
              <c:dLblPos val="inEnd"/>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一般公共服务（类）支出</c:v>
                </c:pt>
                <c:pt idx="1">
                  <c:v>社会保障和就业（类）支出</c:v>
                </c:pt>
                <c:pt idx="2">
                  <c:v>卫生健康支出</c:v>
                </c:pt>
                <c:pt idx="3">
                  <c:v>住房保障支出</c:v>
                </c:pt>
              </c:strCache>
            </c:strRef>
          </c:cat>
          <c:val>
            <c:numRef>
              <c:f>Sheet1!$B$2:$B$5</c:f>
              <c:numCache>
                <c:formatCode>General</c:formatCode>
                <c:ptCount val="4"/>
                <c:pt idx="0">
                  <c:v>197.1</c:v>
                </c:pt>
                <c:pt idx="1">
                  <c:v>22.49</c:v>
                </c:pt>
                <c:pt idx="2">
                  <c:v>14.33</c:v>
                </c:pt>
                <c:pt idx="3">
                  <c:v>13.99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“三公”经费财政拨款支出结构</c:v>
                </c:pt>
              </c:strCache>
            </c:strRef>
          </c:tx>
          <c:explosion val="0"/>
          <c:dPt>
            <c:idx val="0"/>
            <c:bubble3D val="0"/>
            <c:spPr>
              <a:solidFill>
                <a:schemeClr val="accent1"/>
              </a:solidFill>
              <a:ln w="19050">
                <a:solidFill>
                  <a:schemeClr val="lt1"/>
                </a:solidFill>
              </a:ln>
              <a:effectLst/>
            </c:spPr>
          </c:dPt>
          <c:dLbls>
            <c:dLbl>
              <c:idx val="0"/>
              <c:layout>
                <c:manualLayout>
                  <c:x val="0.111374167045277"/>
                  <c:y val="-0.403720495236605"/>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sz="1600">
                        <a:solidFill>
                          <a:srgbClr val="FFFF00"/>
                        </a:solidFill>
                        <a:latin typeface="+mj-ea"/>
                        <a:cs typeface="+mj-ea"/>
                      </a:rPr>
                      <a:t>0.8</a:t>
                    </a:r>
                    <a:endParaRPr lang="en-US" altLang="zh-CN" sz="1600">
                      <a:solidFill>
                        <a:srgbClr val="FFFF00"/>
                      </a:solidFill>
                      <a:latin typeface="+mj-ea"/>
                      <a:cs typeface="+mj-ea"/>
                    </a:endParaRPr>
                  </a:p>
                </c:rich>
              </c:tx>
              <c:dLblPos val="bestFit"/>
              <c:showLegendKey val="0"/>
              <c:showVal val="1"/>
              <c:showCatName val="0"/>
              <c:showSerName val="0"/>
              <c:showPercent val="0"/>
              <c:showBubbleSize val="0"/>
              <c:extLst>
                <c:ext xmlns:c15="http://schemas.microsoft.com/office/drawing/2012/chart" uri="{CE6537A1-D6FC-4f65-9D91-7224C49458BB}">
                  <c15:layout>
                    <c:manualLayout>
                      <c:w val="0.153"/>
                      <c:h val="0.147333333333333"/>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c:f>
              <c:strCache>
                <c:ptCount val="1"/>
                <c:pt idx="0">
                  <c:v>公务接待费支出（万）</c:v>
                </c:pt>
              </c:strCache>
            </c:strRef>
          </c:cat>
          <c:val>
            <c:numRef>
              <c:f>Sheet1!$B$2</c:f>
              <c:numCache>
                <c:formatCode>General</c:formatCode>
                <c:ptCount val="1"/>
                <c:pt idx="0">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FAF70F49279B4017B8A06D7E606AB684_13</vt:lpwstr>
  </property>
</Properties>
</file>

<file path=customXml/item3.xml><?xml version="1.0" encoding="utf-8"?>
<Properties xmlns="http://schemas.openxmlformats.org/officeDocument/2006/extended-properties" xmlns:vt="http://schemas.openxmlformats.org/officeDocument/2006/docPropsVTypes">
  <Template>Normal.dotm</Template>
  <Company>四川省财政厅</Company>
  <Pages>24</Pages>
  <Words>1299</Words>
  <Characters>7410</Characters>
  <Lines>61</Lines>
  <Paragraphs>17</Paragraphs>
  <TotalTime>6</TotalTime>
  <ScaleCrop>false</ScaleCrop>
  <LinksUpToDate>false</LinksUpToDate>
  <CharactersWithSpaces>8692</CharactersWithSpaces>
  <Application>WPS Office_12.1.0.15374_F1E327BC-269C-435d-A152-05C5408002CA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笃定</cp:lastModifiedBy>
  <cp:lastPrinted>2023-10-07T02:58:00Z</cp:lastPrinted>
  <dcterms:modified xsi:type="dcterms:W3CDTF">2023-10-07T09:20:03Z</dcterms:modified>
  <dc:title>四川省***</dc:title>
  <cp:revision>32</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e55219-93f8-42f7-a703-582eb87d9e82}">
  <ds:schemaRefs/>
</ds:datastoreItem>
</file>

<file path=customXml/itemProps3.xml><?xml version="1.0" encoding="utf-8"?>
<ds:datastoreItem xmlns:ds="http://schemas.openxmlformats.org/officeDocument/2006/customXml" ds:itemID="{748aa1dc-6428-4575-9b73-48dcdf727989}">
  <ds:schemaRefs/>
</ds:datastoreItem>
</file>

<file path=customXml/itemProps4.xml><?xml version="1.0" encoding="utf-8"?>
<ds:datastoreItem xmlns:ds="http://schemas.openxmlformats.org/officeDocument/2006/customXml" ds:itemID="{26dad005-3c84-4a4a-9100-fd45284dffc0}">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44</Pages>
  <Words>19309</Words>
  <Characters>20411</Characters>
  <Lines>61</Lines>
  <Paragraphs>17</Paragraphs>
  <TotalTime>16</TotalTime>
  <ScaleCrop>false</ScaleCrop>
  <LinksUpToDate>false</LinksUpToDate>
  <CharactersWithSpaces>20589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笃定</cp:lastModifiedBy>
  <cp:lastPrinted>2023-10-07T02:58:00Z</cp:lastPrinted>
  <dcterms:modified xsi:type="dcterms:W3CDTF">2023-10-08T02:16:24Z</dcterms:modified>
  <dc:title>四川省_x002A__x002A__x002A_</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FAF70F49279B4017B8A06D7E606AB684_13</vt:lpwstr>
  </property>
</Properties>
</file>