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76" w:lineRule="exact"/>
        <w:ind w:left="0" w:leftChars="0" w:right="0" w:firstLine="0" w:firstLineChars="0"/>
        <w:jc w:val="center"/>
        <w:outlineLvl w:val="9"/>
        <w:rPr>
          <w:rFonts w:hint="default" w:ascii="Arial Unicode MS" w:hAnsi="宋体" w:eastAsia="Arial Unicode MS"/>
          <w:b w:val="0"/>
          <w:bCs w:val="0"/>
          <w:color w:val="auto"/>
          <w:sz w:val="72"/>
          <w:szCs w:val="72"/>
          <w:highlight w:val="none"/>
          <w:lang w:val="en-US" w:eastAsia="zh-CN"/>
        </w:rPr>
      </w:pPr>
      <w:bookmarkStart w:id="0" w:name="_Toc15306267"/>
      <w:r>
        <w:rPr>
          <w:rFonts w:hint="eastAsia" w:ascii="Arial Unicode MS" w:hAnsi="宋体" w:eastAsia="Arial Unicode MS"/>
          <w:b w:val="0"/>
          <w:bCs w:val="0"/>
          <w:color w:val="auto"/>
          <w:sz w:val="72"/>
          <w:szCs w:val="72"/>
          <w:highlight w:val="none"/>
          <w:lang w:val="en-US" w:eastAsia="zh-CN"/>
        </w:rPr>
        <w:t xml:space="preserve"> </w:t>
      </w:r>
    </w:p>
    <w:p>
      <w:pPr>
        <w:keepNext w:val="0"/>
        <w:keepLines w:val="0"/>
        <w:pageBreakBefore w:val="0"/>
        <w:widowControl w:val="0"/>
        <w:kinsoku/>
        <w:wordWrap/>
        <w:overflowPunct/>
        <w:topLinePunct w:val="0"/>
        <w:bidi w:val="0"/>
        <w:spacing w:line="576" w:lineRule="exact"/>
        <w:ind w:left="0" w:leftChars="0" w:right="0" w:firstLine="0" w:firstLineChars="0"/>
        <w:jc w:val="center"/>
        <w:outlineLvl w:val="9"/>
        <w:rPr>
          <w:rFonts w:ascii="Arial Unicode MS" w:hAnsi="宋体" w:eastAsia="Arial Unicode MS"/>
          <w:b w:val="0"/>
          <w:bCs w:val="0"/>
          <w:color w:val="auto"/>
          <w:sz w:val="72"/>
          <w:szCs w:val="72"/>
          <w:highlight w:val="none"/>
        </w:rPr>
      </w:pPr>
    </w:p>
    <w:p>
      <w:pPr>
        <w:keepNext w:val="0"/>
        <w:keepLines w:val="0"/>
        <w:pageBreakBefore w:val="0"/>
        <w:widowControl w:val="0"/>
        <w:kinsoku/>
        <w:wordWrap/>
        <w:overflowPunct/>
        <w:topLinePunct w:val="0"/>
        <w:bidi w:val="0"/>
        <w:spacing w:line="576" w:lineRule="exact"/>
        <w:ind w:left="0" w:leftChars="0" w:right="0" w:firstLine="0" w:firstLineChars="0"/>
        <w:jc w:val="center"/>
        <w:outlineLvl w:val="9"/>
        <w:rPr>
          <w:rFonts w:ascii="Arial Unicode MS" w:hAnsi="宋体" w:eastAsia="Arial Unicode MS"/>
          <w:b w:val="0"/>
          <w:bCs w:val="0"/>
          <w:color w:val="auto"/>
          <w:sz w:val="72"/>
          <w:szCs w:val="72"/>
          <w:highlight w:val="none"/>
        </w:rPr>
      </w:pPr>
    </w:p>
    <w:p>
      <w:pPr>
        <w:keepNext w:val="0"/>
        <w:keepLines w:val="0"/>
        <w:pageBreakBefore w:val="0"/>
        <w:widowControl w:val="0"/>
        <w:kinsoku/>
        <w:wordWrap/>
        <w:overflowPunct/>
        <w:topLinePunct w:val="0"/>
        <w:bidi w:val="0"/>
        <w:spacing w:line="576" w:lineRule="exact"/>
        <w:ind w:left="0" w:leftChars="0" w:right="0" w:firstLine="0" w:firstLineChars="0"/>
        <w:jc w:val="center"/>
        <w:outlineLvl w:val="9"/>
        <w:rPr>
          <w:rFonts w:ascii="Arial Unicode MS" w:hAnsi="宋体" w:eastAsia="Arial Unicode MS"/>
          <w:b w:val="0"/>
          <w:bCs w:val="0"/>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outlineLvl w:val="0"/>
        <w:rPr>
          <w:rFonts w:hint="eastAsia" w:ascii="Arial Unicode MS" w:hAnsi="Arial Unicode MS" w:eastAsia="Arial Unicode MS" w:cs="Arial Unicode MS"/>
          <w:b w:val="0"/>
          <w:bCs w:val="0"/>
          <w:color w:val="auto"/>
          <w:sz w:val="72"/>
          <w:szCs w:val="72"/>
          <w:highlight w:val="none"/>
        </w:rPr>
      </w:pPr>
      <w:bookmarkStart w:id="1" w:name="_Toc15378441"/>
      <w:bookmarkStart w:id="2" w:name="_Toc15377193"/>
      <w:bookmarkStart w:id="3" w:name="_Toc15396475"/>
      <w:bookmarkStart w:id="4" w:name="_Toc15377425"/>
      <w:bookmarkStart w:id="5" w:name="_Toc18334"/>
      <w:bookmarkStart w:id="6" w:name="_Toc15396597"/>
      <w:r>
        <w:rPr>
          <w:rFonts w:hint="eastAsia" w:ascii="Times New Roman" w:hAnsi="Times New Roman" w:eastAsia="Arial Unicode MS" w:cs="Arial Unicode MS"/>
          <w:b w:val="0"/>
          <w:bCs w:val="0"/>
          <w:color w:val="auto"/>
          <w:sz w:val="72"/>
          <w:szCs w:val="72"/>
          <w:highlight w:val="none"/>
        </w:rPr>
        <w:t>20</w:t>
      </w:r>
      <w:r>
        <w:rPr>
          <w:rFonts w:hint="eastAsia" w:ascii="Times New Roman" w:hAnsi="Times New Roman" w:eastAsia="Arial Unicode MS" w:cs="Arial Unicode MS"/>
          <w:b w:val="0"/>
          <w:bCs w:val="0"/>
          <w:color w:val="auto"/>
          <w:sz w:val="72"/>
          <w:szCs w:val="72"/>
          <w:highlight w:val="none"/>
          <w:lang w:val="en-US" w:eastAsia="zh-CN"/>
        </w:rPr>
        <w:t>2</w:t>
      </w:r>
      <w:r>
        <w:rPr>
          <w:rFonts w:hint="eastAsia" w:eastAsia="Arial Unicode MS" w:cs="Arial Unicode MS"/>
          <w:b w:val="0"/>
          <w:bCs w:val="0"/>
          <w:color w:val="auto"/>
          <w:sz w:val="72"/>
          <w:szCs w:val="72"/>
          <w:highlight w:val="none"/>
          <w:lang w:val="en-US" w:eastAsia="zh-CN"/>
        </w:rPr>
        <w:t>2</w:t>
      </w:r>
      <w:r>
        <w:rPr>
          <w:rFonts w:hint="eastAsia" w:ascii="Arial Unicode MS" w:hAnsi="Arial Unicode MS" w:eastAsia="Arial Unicode MS" w:cs="Arial Unicode MS"/>
          <w:b w:val="0"/>
          <w:bCs w:val="0"/>
          <w:color w:val="auto"/>
          <w:sz w:val="72"/>
          <w:szCs w:val="72"/>
          <w:highlight w:val="none"/>
        </w:rPr>
        <w:t>年度</w:t>
      </w:r>
      <w:bookmarkEnd w:id="0"/>
      <w:bookmarkEnd w:id="1"/>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outlineLvl w:val="0"/>
        <w:rPr>
          <w:rFonts w:hint="eastAsia" w:ascii="Arial Unicode MS" w:hAnsi="Arial Unicode MS" w:eastAsia="Arial Unicode MS" w:cs="Arial Unicode MS"/>
          <w:b w:val="0"/>
          <w:bCs w:val="0"/>
          <w:color w:val="000000"/>
          <w:sz w:val="72"/>
          <w:szCs w:val="72"/>
        </w:rPr>
      </w:pPr>
      <w:bookmarkStart w:id="7" w:name="_Toc15396476"/>
      <w:bookmarkStart w:id="8" w:name="_Toc15396598"/>
      <w:bookmarkStart w:id="9" w:name="_Toc15377426"/>
      <w:bookmarkStart w:id="10" w:name="_Toc15377194"/>
      <w:bookmarkStart w:id="11" w:name="_Toc15378442"/>
      <w:bookmarkStart w:id="12" w:name="_Toc25938"/>
      <w:r>
        <w:rPr>
          <w:rFonts w:hint="eastAsia" w:ascii="Arial Unicode MS" w:hAnsi="Arial Unicode MS" w:eastAsia="Arial Unicode MS" w:cs="Arial Unicode MS"/>
          <w:b w:val="0"/>
          <w:bCs w:val="0"/>
          <w:color w:val="000000"/>
          <w:sz w:val="72"/>
          <w:szCs w:val="72"/>
        </w:rPr>
        <w:t>四川省</w:t>
      </w:r>
      <w:bookmarkStart w:id="13" w:name="_Toc15306268"/>
      <w:r>
        <w:rPr>
          <w:rFonts w:hint="eastAsia" w:ascii="Arial Unicode MS" w:hAnsi="Arial Unicode MS" w:eastAsia="Arial Unicode MS" w:cs="Arial Unicode MS"/>
          <w:b w:val="0"/>
          <w:bCs w:val="0"/>
          <w:color w:val="000000"/>
          <w:sz w:val="72"/>
          <w:szCs w:val="72"/>
          <w:lang w:eastAsia="zh-CN"/>
        </w:rPr>
        <w:t>广元市昭化区目标绩效事务中心</w:t>
      </w:r>
      <w:r>
        <w:rPr>
          <w:rFonts w:hint="eastAsia" w:ascii="Arial Unicode MS" w:hAnsi="Arial Unicode MS" w:eastAsia="Arial Unicode MS" w:cs="Arial Unicode MS"/>
          <w:b w:val="0"/>
          <w:bCs w:val="0"/>
          <w:color w:val="000000"/>
          <w:sz w:val="72"/>
          <w:szCs w:val="72"/>
        </w:rPr>
        <w:t>部门决算</w:t>
      </w:r>
      <w:bookmarkEnd w:id="7"/>
      <w:bookmarkEnd w:id="8"/>
      <w:bookmarkEnd w:id="9"/>
      <w:bookmarkEnd w:id="10"/>
      <w:bookmarkEnd w:id="11"/>
      <w:bookmarkEnd w:id="12"/>
      <w:bookmarkEnd w:id="13"/>
    </w:p>
    <w:p>
      <w:pPr>
        <w:keepNext w:val="0"/>
        <w:keepLines w:val="0"/>
        <w:pageBreakBefore w:val="0"/>
        <w:widowControl w:val="0"/>
        <w:kinsoku/>
        <w:wordWrap/>
        <w:overflowPunct/>
        <w:topLinePunct w:val="0"/>
        <w:autoSpaceDE/>
        <w:autoSpaceDN/>
        <w:bidi w:val="0"/>
        <w:spacing w:line="576" w:lineRule="exact"/>
        <w:ind w:left="0" w:leftChars="0" w:right="0" w:firstLine="0" w:firstLineChars="0"/>
        <w:jc w:val="center"/>
        <w:textAlignment w:val="auto"/>
        <w:rPr>
          <w:rFonts w:hint="eastAsia" w:ascii="黑体" w:hAnsi="黑体" w:eastAsia="黑体"/>
          <w:color w:val="auto"/>
          <w:sz w:val="48"/>
          <w:szCs w:val="48"/>
          <w:highlight w:val="none"/>
        </w:rPr>
      </w:pPr>
      <w:r>
        <w:br w:type="page"/>
      </w: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w:t>
      </w:r>
      <w:r>
        <w:rPr>
          <w:rFonts w:hint="eastAsia" w:ascii="黑体" w:hAnsi="黑体" w:eastAsia="黑体"/>
          <w:color w:val="auto"/>
          <w:sz w:val="48"/>
          <w:szCs w:val="48"/>
          <w:highlight w:val="none"/>
        </w:rPr>
        <w:t>录</w:t>
      </w:r>
    </w:p>
    <w:p>
      <w:pPr>
        <w:pStyle w:val="2"/>
        <w:keepNext w:val="0"/>
        <w:keepLines w:val="0"/>
        <w:pageBreakBefore w:val="0"/>
        <w:widowControl w:val="0"/>
        <w:kinsoku/>
        <w:wordWrap/>
        <w:overflowPunct/>
        <w:topLinePunct w:val="0"/>
        <w:autoSpaceDE/>
        <w:autoSpaceDN/>
        <w:bidi w:val="0"/>
        <w:spacing w:before="0" w:line="576" w:lineRule="exact"/>
        <w:ind w:left="0" w:leftChars="0" w:right="0" w:firstLine="0" w:firstLineChars="0"/>
        <w:jc w:val="both"/>
        <w:textAlignment w:val="auto"/>
        <w:rPr>
          <w:b w:val="0"/>
          <w:bCs w:val="0"/>
          <w:color w:val="auto"/>
          <w:highlight w:val="none"/>
        </w:rPr>
      </w:pPr>
    </w:p>
    <w:sdt>
      <w:sdtPr>
        <w:rPr>
          <w:rFonts w:ascii="宋体" w:hAnsi="宋体" w:eastAsia="宋体" w:cs="Times New Roman"/>
          <w:kern w:val="2"/>
          <w:sz w:val="21"/>
          <w:szCs w:val="24"/>
          <w:lang w:val="en-US" w:eastAsia="zh-CN" w:bidi="ar-SA"/>
        </w:rPr>
        <w:id w:val="147453100"/>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4" w:name="_Toc15377196"/>
        </w:p>
        <w:p>
          <w:pPr>
            <w:pStyle w:val="40"/>
            <w:tabs>
              <w:tab w:val="right" w:leader="dot" w:pos="8845"/>
            </w:tabs>
            <w:rPr>
              <w:b/>
            </w:rPr>
          </w:pPr>
          <w:r>
            <w:fldChar w:fldCharType="begin"/>
          </w:r>
          <w:r>
            <w:instrText xml:space="preserve">TOC \o "1-2" \h \u</w:instrText>
          </w:r>
          <w:r>
            <w:fldChar w:fldCharType="separate"/>
          </w:r>
        </w:p>
        <w:p>
          <w:pPr>
            <w:pStyle w:val="2"/>
            <w:adjustRightInd w:val="0"/>
            <w:snapToGrid w:val="0"/>
            <w:spacing w:before="0" w:line="440" w:lineRule="exact"/>
            <w:jc w:val="left"/>
            <w:rPr>
              <w:rFonts w:hint="eastAsia" w:eastAsia="仿宋" w:cs="Times New Roman"/>
              <w:color w:val="auto"/>
              <w:sz w:val="24"/>
              <w:highlight w:val="none"/>
              <w:lang w:eastAsia="zh-CN"/>
            </w:rPr>
          </w:pPr>
          <w:r>
            <w:fldChar w:fldCharType="begin"/>
          </w:r>
          <w:r>
            <w:instrText xml:space="preserve"> HYPERLINK \l "_Toc16491" </w:instrText>
          </w:r>
          <w:r>
            <w:fldChar w:fldCharType="separate"/>
          </w:r>
          <w:r>
            <w:rPr>
              <w:rFonts w:hint="eastAsia" w:cs="Times New Roman"/>
              <w:color w:val="auto"/>
              <w:sz w:val="24"/>
              <w:highlight w:val="none"/>
              <w:lang w:val="en-US" w:eastAsia="zh-CN"/>
            </w:rPr>
            <w:t>第一部分　部门概况</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fldChar w:fldCharType="end"/>
          </w:r>
          <w:r>
            <w:rPr>
              <w:rFonts w:hint="eastAsia" w:cs="Times New Roman"/>
              <w:color w:val="auto"/>
              <w:sz w:val="24"/>
              <w:highlight w:val="none"/>
              <w:lang w:val="en-US" w:eastAsia="zh-CN"/>
            </w:rPr>
            <w:t>4</w:t>
          </w:r>
        </w:p>
        <w:p>
          <w:pPr>
            <w:pStyle w:val="15"/>
            <w:adjustRightInd w:val="0"/>
            <w:snapToGrid w:val="0"/>
            <w:spacing w:line="440" w:lineRule="exact"/>
            <w:jc w:val="left"/>
            <w:rPr>
              <w:rFonts w:hint="eastAsia" w:ascii="Times New Roman" w:hAnsi="Times New Roman" w:eastAsia="宋体" w:cs="Times New Roman"/>
              <w:color w:val="auto"/>
              <w:sz w:val="24"/>
              <w:highlight w:val="none"/>
              <w:lang w:eastAsia="zh-CN"/>
            </w:rPr>
          </w:pPr>
          <w:r>
            <w:fldChar w:fldCharType="begin"/>
          </w:r>
          <w:r>
            <w:instrText xml:space="preserve"> HYPERLINK \l "_Toc25904" </w:instrText>
          </w:r>
          <w:r>
            <w:fldChar w:fldCharType="separate"/>
          </w:r>
          <w:r>
            <w:rPr>
              <w:rFonts w:hint="eastAsia" w:ascii="Times New Roman" w:hAnsi="Times New Roman" w:cs="Times New Roman"/>
              <w:color w:val="auto"/>
              <w:sz w:val="24"/>
              <w:highlight w:val="none"/>
              <w:lang w:eastAsia="zh-CN"/>
            </w:rPr>
            <w:t>一、</w:t>
          </w:r>
          <w:r>
            <w:rPr>
              <w:rFonts w:hint="eastAsia" w:cs="Times New Roman"/>
              <w:color w:val="auto"/>
              <w:sz w:val="24"/>
              <w:highlight w:val="none"/>
              <w:lang w:eastAsia="zh-CN"/>
            </w:rPr>
            <w:t>部门</w:t>
          </w:r>
          <w:r>
            <w:rPr>
              <w:rFonts w:hint="eastAsia" w:ascii="Times New Roman" w:hAnsi="Times New Roman" w:cs="Times New Roman"/>
              <w:color w:val="auto"/>
              <w:sz w:val="24"/>
              <w:highlight w:val="none"/>
            </w:rPr>
            <w:t>职能</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cs="Times New Roman"/>
              <w:color w:val="auto"/>
              <w:sz w:val="24"/>
              <w:highlight w:val="none"/>
              <w:lang w:val="en-US" w:eastAsia="zh-CN"/>
            </w:rPr>
            <w:t>4</w:t>
          </w:r>
        </w:p>
        <w:p>
          <w:pPr>
            <w:pStyle w:val="15"/>
            <w:adjustRightInd w:val="0"/>
            <w:snapToGrid w:val="0"/>
            <w:spacing w:line="440" w:lineRule="exact"/>
            <w:ind w:left="0" w:leftChars="0" w:firstLine="420" w:firstLineChars="200"/>
            <w:jc w:val="left"/>
          </w:pPr>
          <w:r>
            <w:fldChar w:fldCharType="begin"/>
          </w:r>
          <w:r>
            <w:instrText xml:space="preserve"> HYPERLINK \l "_Toc2776" </w:instrText>
          </w:r>
          <w:r>
            <w:fldChar w:fldCharType="separate"/>
          </w:r>
          <w:r>
            <w:rPr>
              <w:rFonts w:hint="eastAsia" w:ascii="Times New Roman" w:hAnsi="Times New Roman" w:cs="Times New Roman"/>
              <w:color w:val="auto"/>
              <w:sz w:val="24"/>
              <w:highlight w:val="none"/>
              <w:lang w:val="en-US" w:eastAsia="zh-CN"/>
            </w:rPr>
            <w:t>二、部门预算单位构成</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cs="Times New Roman"/>
              <w:color w:val="auto"/>
              <w:sz w:val="24"/>
              <w:highlight w:val="none"/>
              <w:lang w:val="en-US" w:eastAsia="zh-CN"/>
            </w:rPr>
            <w:t>5</w:t>
          </w:r>
        </w:p>
        <w:p>
          <w:pPr>
            <w:pStyle w:val="2"/>
            <w:adjustRightInd w:val="0"/>
            <w:snapToGrid w:val="0"/>
            <w:spacing w:before="0" w:line="440" w:lineRule="exact"/>
            <w:ind w:firstLine="280" w:firstLineChars="100"/>
            <w:jc w:val="left"/>
            <w:rPr>
              <w:rFonts w:hint="eastAsia" w:eastAsia="仿宋" w:cs="Times New Roman"/>
              <w:color w:val="auto"/>
              <w:sz w:val="24"/>
              <w:highlight w:val="none"/>
              <w:lang w:eastAsia="zh-CN"/>
            </w:rPr>
          </w:pPr>
          <w:r>
            <w:fldChar w:fldCharType="begin"/>
          </w:r>
          <w:r>
            <w:instrText xml:space="preserve"> HYPERLINK \l "_Toc2776" </w:instrText>
          </w:r>
          <w:r>
            <w:fldChar w:fldCharType="separate"/>
          </w:r>
          <w:r>
            <w:rPr>
              <w:rFonts w:hint="eastAsia" w:ascii="Times New Roman" w:hAnsi="Times New Roman" w:eastAsia="宋体" w:cs="Times New Roman"/>
              <w:color w:val="auto"/>
              <w:kern w:val="2"/>
              <w:sz w:val="24"/>
              <w:szCs w:val="24"/>
              <w:highlight w:val="none"/>
              <w:lang w:val="en-US" w:eastAsia="zh-CN" w:bidi="ar-SA"/>
            </w:rPr>
            <w:t>三、2022年重点工作完成情况.....</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lang w:val="en-US" w:eastAsia="zh-CN"/>
            </w:rPr>
            <w:t>5</w:t>
          </w:r>
        </w:p>
        <w:p>
          <w:pPr>
            <w:pStyle w:val="2"/>
            <w:adjustRightInd w:val="0"/>
            <w:snapToGrid w:val="0"/>
            <w:spacing w:before="0" w:line="440" w:lineRule="exact"/>
            <w:jc w:val="left"/>
            <w:rPr>
              <w:rFonts w:hint="default" w:eastAsia="仿宋" w:cs="Times New Roman"/>
              <w:color w:val="auto"/>
              <w:sz w:val="24"/>
              <w:highlight w:val="none"/>
              <w:lang w:val="en-US" w:eastAsia="zh-CN"/>
            </w:rPr>
          </w:pPr>
          <w:r>
            <w:fldChar w:fldCharType="begin"/>
          </w:r>
          <w:r>
            <w:instrText xml:space="preserve"> HYPERLINK \l "_Toc20142" </w:instrText>
          </w:r>
          <w:r>
            <w:fldChar w:fldCharType="separate"/>
          </w:r>
          <w:r>
            <w:rPr>
              <w:rFonts w:hint="eastAsia" w:cs="Times New Roman"/>
              <w:color w:val="auto"/>
              <w:sz w:val="24"/>
              <w:highlight w:val="none"/>
              <w:lang w:val="en-US" w:eastAsia="zh-CN"/>
            </w:rPr>
            <w:t>第二部分　2022年度单位决算情况说明</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fldChar w:fldCharType="end"/>
          </w:r>
          <w:r>
            <w:rPr>
              <w:rFonts w:hint="eastAsia" w:cs="Times New Roman"/>
              <w:color w:val="auto"/>
              <w:sz w:val="24"/>
              <w:highlight w:val="none"/>
              <w:lang w:val="en-US" w:eastAsia="zh-CN"/>
            </w:rPr>
            <w:t>10</w:t>
          </w:r>
        </w:p>
        <w:p>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fldChar w:fldCharType="begin"/>
          </w:r>
          <w:r>
            <w:instrText xml:space="preserve"> HYPERLINK \l "_Toc14374" </w:instrText>
          </w:r>
          <w:r>
            <w:fldChar w:fldCharType="separate"/>
          </w:r>
          <w:r>
            <w:rPr>
              <w:rFonts w:hint="eastAsia" w:ascii="Times New Roman" w:hAnsi="Times New Roman" w:cs="Times New Roman"/>
              <w:color w:val="auto"/>
              <w:sz w:val="24"/>
              <w:highlight w:val="none"/>
              <w:lang w:val="en-US" w:eastAsia="zh-CN"/>
            </w:rPr>
            <w:t>一、收入支出决算总体情况说明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cs="Times New Roman"/>
              <w:color w:val="auto"/>
              <w:sz w:val="24"/>
              <w:highlight w:val="none"/>
              <w:lang w:val="en-US" w:eastAsia="zh-CN"/>
            </w:rPr>
            <w:t>10</w:t>
          </w:r>
        </w:p>
        <w:p>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fldChar w:fldCharType="begin"/>
          </w:r>
          <w:r>
            <w:instrText xml:space="preserve"> HYPERLINK \l "_Toc32242" </w:instrText>
          </w:r>
          <w:r>
            <w:fldChar w:fldCharType="separate"/>
          </w:r>
          <w:r>
            <w:rPr>
              <w:rFonts w:hint="eastAsia" w:ascii="Times New Roman" w:hAnsi="Times New Roman" w:cs="Times New Roman"/>
              <w:color w:val="auto"/>
              <w:sz w:val="24"/>
              <w:highlight w:val="none"/>
              <w:lang w:val="en-US" w:eastAsia="zh-CN"/>
            </w:rPr>
            <w:t>二、收入决算情况说明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cs="Times New Roman"/>
              <w:color w:val="auto"/>
              <w:sz w:val="24"/>
              <w:highlight w:val="none"/>
              <w:lang w:val="en-US" w:eastAsia="zh-CN"/>
            </w:rPr>
            <w:t>10</w:t>
          </w:r>
        </w:p>
        <w:p>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fldChar w:fldCharType="begin"/>
          </w:r>
          <w:r>
            <w:instrText xml:space="preserve"> HYPERLINK \l "_Toc98" </w:instrText>
          </w:r>
          <w:r>
            <w:fldChar w:fldCharType="separate"/>
          </w:r>
          <w:r>
            <w:rPr>
              <w:rFonts w:hint="eastAsia" w:ascii="Times New Roman" w:hAnsi="Times New Roman" w:cs="Times New Roman"/>
              <w:color w:val="auto"/>
              <w:sz w:val="24"/>
              <w:highlight w:val="none"/>
              <w:lang w:val="en-US" w:eastAsia="zh-CN"/>
            </w:rPr>
            <w:t>三、支出决算情况说明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cs="Times New Roman"/>
              <w:color w:val="auto"/>
              <w:sz w:val="24"/>
              <w:highlight w:val="none"/>
              <w:lang w:val="en-US" w:eastAsia="zh-CN"/>
            </w:rPr>
            <w:t>11</w:t>
          </w:r>
        </w:p>
        <w:p>
          <w:pPr>
            <w:pStyle w:val="15"/>
            <w:adjustRightInd w:val="0"/>
            <w:snapToGrid w:val="0"/>
            <w:spacing w:line="440" w:lineRule="exact"/>
            <w:jc w:val="left"/>
            <w:rPr>
              <w:rFonts w:hint="eastAsia" w:ascii="Times New Roman" w:hAnsi="Times New Roman" w:eastAsia="宋体" w:cs="Times New Roman"/>
              <w:color w:val="auto"/>
              <w:sz w:val="24"/>
              <w:highlight w:val="none"/>
              <w:lang w:eastAsia="zh-CN"/>
            </w:rPr>
          </w:pPr>
          <w:r>
            <w:fldChar w:fldCharType="begin"/>
          </w:r>
          <w:r>
            <w:instrText xml:space="preserve"> HYPERLINK \l "_Toc11845" </w:instrText>
          </w:r>
          <w:r>
            <w:fldChar w:fldCharType="separate"/>
          </w:r>
          <w:r>
            <w:rPr>
              <w:rFonts w:hint="eastAsia" w:ascii="Times New Roman" w:hAnsi="Times New Roman" w:cs="Times New Roman"/>
              <w:color w:val="auto"/>
              <w:sz w:val="24"/>
              <w:highlight w:val="none"/>
              <w:lang w:val="en-US" w:eastAsia="zh-CN"/>
            </w:rPr>
            <w:t>四、财政拨款收入支出决算总体情况说明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_Toc11845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12</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5"/>
            <w:adjustRightInd w:val="0"/>
            <w:snapToGrid w:val="0"/>
            <w:spacing w:line="440" w:lineRule="exact"/>
            <w:jc w:val="left"/>
            <w:rPr>
              <w:rFonts w:hint="eastAsia" w:ascii="Times New Roman" w:hAnsi="Times New Roman" w:eastAsia="宋体" w:cs="Times New Roman"/>
              <w:color w:val="auto"/>
              <w:sz w:val="24"/>
              <w:highlight w:val="none"/>
              <w:lang w:eastAsia="zh-CN"/>
            </w:rPr>
          </w:pPr>
          <w:r>
            <w:fldChar w:fldCharType="begin"/>
          </w:r>
          <w:r>
            <w:instrText xml:space="preserve"> HYPERLINK \l "_Toc13043" </w:instrText>
          </w:r>
          <w:r>
            <w:fldChar w:fldCharType="separate"/>
          </w:r>
          <w:r>
            <w:rPr>
              <w:rFonts w:hint="eastAsia" w:ascii="Times New Roman" w:hAnsi="Times New Roman" w:cs="Times New Roman"/>
              <w:color w:val="auto"/>
              <w:sz w:val="24"/>
              <w:highlight w:val="none"/>
              <w:lang w:val="en-US" w:eastAsia="zh-CN"/>
            </w:rPr>
            <w:t>五、一般公共预算财政拨款支出决算情况说明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_Toc13043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12</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5"/>
            <w:adjustRightInd w:val="0"/>
            <w:snapToGrid w:val="0"/>
            <w:spacing w:line="440" w:lineRule="exact"/>
            <w:jc w:val="left"/>
            <w:rPr>
              <w:rFonts w:hint="eastAsia" w:ascii="Times New Roman" w:hAnsi="Times New Roman" w:eastAsia="宋体" w:cs="Times New Roman"/>
              <w:color w:val="auto"/>
              <w:sz w:val="24"/>
              <w:highlight w:val="none"/>
              <w:lang w:eastAsia="zh-CN"/>
            </w:rPr>
          </w:pPr>
          <w:r>
            <w:fldChar w:fldCharType="begin"/>
          </w:r>
          <w:r>
            <w:instrText xml:space="preserve"> HYPERLINK \l "_Toc13485" </w:instrText>
          </w:r>
          <w:r>
            <w:fldChar w:fldCharType="separate"/>
          </w:r>
          <w:r>
            <w:rPr>
              <w:rFonts w:hint="eastAsia" w:ascii="Times New Roman" w:hAnsi="Times New Roman" w:cs="Times New Roman"/>
              <w:color w:val="auto"/>
              <w:sz w:val="24"/>
              <w:highlight w:val="none"/>
              <w:lang w:val="en-US" w:eastAsia="zh-CN"/>
            </w:rPr>
            <w:t>六、一般公共预算财政拨款基本支出决算情况说明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_Toc13485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15</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5"/>
            <w:adjustRightInd w:val="0"/>
            <w:snapToGrid w:val="0"/>
            <w:spacing w:line="440" w:lineRule="exact"/>
            <w:jc w:val="left"/>
            <w:rPr>
              <w:rFonts w:hint="eastAsia" w:ascii="Times New Roman" w:hAnsi="Times New Roman" w:cs="Times New Roman"/>
              <w:color w:val="auto"/>
              <w:sz w:val="24"/>
              <w:highlight w:val="none"/>
            </w:rPr>
          </w:pPr>
          <w:r>
            <w:fldChar w:fldCharType="begin"/>
          </w:r>
          <w:r>
            <w:instrText xml:space="preserve"> HYPERLINK \l "_Toc6825" </w:instrText>
          </w:r>
          <w:r>
            <w:fldChar w:fldCharType="separate"/>
          </w:r>
          <w:r>
            <w:rPr>
              <w:rFonts w:hint="eastAsia" w:ascii="Times New Roman" w:hAnsi="Times New Roman" w:cs="Times New Roman"/>
              <w:color w:val="auto"/>
              <w:sz w:val="24"/>
              <w:highlight w:val="none"/>
              <w:lang w:val="en-US" w:eastAsia="zh-CN"/>
            </w:rPr>
            <w:t>七、财政拨款“三公”经费支出决算情况说明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_Toc6825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15</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5"/>
            <w:adjustRightInd w:val="0"/>
            <w:snapToGrid w:val="0"/>
            <w:spacing w:line="440" w:lineRule="exact"/>
            <w:jc w:val="left"/>
            <w:rPr>
              <w:rFonts w:hint="eastAsia" w:ascii="Times New Roman" w:hAnsi="Times New Roman" w:eastAsia="宋体" w:cs="Times New Roman"/>
              <w:color w:val="auto"/>
              <w:sz w:val="24"/>
              <w:highlight w:val="none"/>
              <w:lang w:eastAsia="zh-CN"/>
            </w:rPr>
          </w:pPr>
          <w:r>
            <w:fldChar w:fldCharType="begin"/>
          </w:r>
          <w:r>
            <w:instrText xml:space="preserve"> HYPERLINK \l "_Toc5693" </w:instrText>
          </w:r>
          <w:r>
            <w:fldChar w:fldCharType="separate"/>
          </w:r>
          <w:r>
            <w:rPr>
              <w:rFonts w:hint="eastAsia" w:ascii="Times New Roman" w:hAnsi="Times New Roman" w:cs="Times New Roman"/>
              <w:color w:val="auto"/>
              <w:sz w:val="24"/>
              <w:highlight w:val="none"/>
              <w:lang w:val="en-US" w:eastAsia="zh-CN"/>
            </w:rPr>
            <w:t>八、政府性基金预算支出决算情况说明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_Toc5693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17</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5"/>
            <w:adjustRightInd w:val="0"/>
            <w:snapToGrid w:val="0"/>
            <w:spacing w:line="440" w:lineRule="exact"/>
            <w:jc w:val="left"/>
            <w:rPr>
              <w:rFonts w:hint="eastAsia" w:ascii="Times New Roman" w:hAnsi="Times New Roman" w:eastAsia="宋体" w:cs="Times New Roman"/>
              <w:color w:val="auto"/>
              <w:sz w:val="24"/>
              <w:highlight w:val="none"/>
              <w:lang w:eastAsia="zh-CN"/>
            </w:rPr>
          </w:pPr>
          <w:r>
            <w:fldChar w:fldCharType="begin"/>
          </w:r>
          <w:r>
            <w:instrText xml:space="preserve"> HYPERLINK \l "_Toc16410" </w:instrText>
          </w:r>
          <w:r>
            <w:fldChar w:fldCharType="separate"/>
          </w:r>
          <w:r>
            <w:rPr>
              <w:rFonts w:hint="eastAsia" w:ascii="Times New Roman" w:hAnsi="Times New Roman" w:cs="Times New Roman"/>
              <w:color w:val="auto"/>
              <w:sz w:val="24"/>
              <w:highlight w:val="none"/>
              <w:lang w:val="en-US" w:eastAsia="zh-CN"/>
            </w:rPr>
            <w:t>九、国有资本经营预算支出决算情况说明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_Toc16410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17</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5"/>
            <w:adjustRightInd w:val="0"/>
            <w:snapToGrid w:val="0"/>
            <w:spacing w:line="440" w:lineRule="exact"/>
            <w:jc w:val="left"/>
            <w:rPr>
              <w:rFonts w:hint="eastAsia" w:ascii="Times New Roman" w:hAnsi="Times New Roman" w:cs="Times New Roman"/>
              <w:color w:val="auto"/>
              <w:sz w:val="24"/>
              <w:highlight w:val="none"/>
            </w:rPr>
          </w:pPr>
          <w:r>
            <w:fldChar w:fldCharType="begin"/>
          </w:r>
          <w:r>
            <w:instrText xml:space="preserve"> HYPERLINK \l "_Toc9410" </w:instrText>
          </w:r>
          <w:r>
            <w:fldChar w:fldCharType="separate"/>
          </w:r>
          <w:r>
            <w:rPr>
              <w:rFonts w:hint="eastAsia" w:ascii="Times New Roman" w:hAnsi="Times New Roman" w:cs="Times New Roman"/>
              <w:color w:val="auto"/>
              <w:sz w:val="24"/>
              <w:highlight w:val="none"/>
              <w:lang w:val="en-US" w:eastAsia="zh-CN"/>
            </w:rPr>
            <w:t>十、其他重要事项的情况说明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_Toc9410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w:t>
          </w:r>
          <w:r>
            <w:rPr>
              <w:rFonts w:hint="eastAsia" w:cs="Times New Roman"/>
              <w:color w:val="auto"/>
              <w:sz w:val="24"/>
              <w:highlight w:val="none"/>
              <w:lang w:val="en-US" w:eastAsia="zh-CN"/>
            </w:rPr>
            <w:t>7</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2"/>
            <w:adjustRightInd w:val="0"/>
            <w:snapToGrid w:val="0"/>
            <w:spacing w:before="0" w:line="440" w:lineRule="exact"/>
            <w:jc w:val="left"/>
            <w:rPr>
              <w:rFonts w:hint="default" w:eastAsia="仿宋" w:cs="Times New Roman"/>
              <w:color w:val="auto"/>
              <w:sz w:val="24"/>
              <w:highlight w:val="none"/>
              <w:lang w:val="en-US" w:eastAsia="zh-CN"/>
            </w:rPr>
          </w:pPr>
          <w:r>
            <w:fldChar w:fldCharType="begin"/>
          </w:r>
          <w:r>
            <w:instrText xml:space="preserve"> HYPERLINK \l "_Toc9623" </w:instrText>
          </w:r>
          <w:r>
            <w:fldChar w:fldCharType="separate"/>
          </w:r>
          <w:r>
            <w:rPr>
              <w:rFonts w:hint="eastAsia" w:cs="Times New Roman"/>
              <w:color w:val="auto"/>
              <w:sz w:val="24"/>
              <w:highlight w:val="none"/>
            </w:rPr>
            <w:t>第三部分 名词解释</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fldChar w:fldCharType="end"/>
          </w:r>
          <w:r>
            <w:rPr>
              <w:rFonts w:hint="eastAsia" w:ascii="Times New Roman" w:hAnsi="Times New Roman" w:eastAsia="宋体" w:cs="Times New Roman"/>
              <w:color w:val="auto"/>
              <w:kern w:val="2"/>
              <w:sz w:val="24"/>
              <w:szCs w:val="24"/>
              <w:highlight w:val="none"/>
              <w:lang w:val="en-US" w:eastAsia="zh-CN" w:bidi="ar-SA"/>
            </w:rPr>
            <w:t>19</w:t>
          </w:r>
        </w:p>
        <w:p>
          <w:pPr>
            <w:pStyle w:val="2"/>
            <w:adjustRightInd w:val="0"/>
            <w:snapToGrid w:val="0"/>
            <w:spacing w:before="0" w:line="440" w:lineRule="exact"/>
            <w:jc w:val="left"/>
            <w:rPr>
              <w:rFonts w:hint="eastAsia" w:eastAsia="仿宋" w:cs="Times New Roman"/>
              <w:color w:val="auto"/>
              <w:sz w:val="24"/>
              <w:highlight w:val="none"/>
              <w:lang w:eastAsia="zh-CN"/>
            </w:rPr>
          </w:pPr>
          <w:r>
            <w:fldChar w:fldCharType="begin"/>
          </w:r>
          <w:r>
            <w:instrText xml:space="preserve"> HYPERLINK \l "_Toc16478" </w:instrText>
          </w:r>
          <w:r>
            <w:fldChar w:fldCharType="separate"/>
          </w:r>
          <w:r>
            <w:rPr>
              <w:rFonts w:hint="eastAsia" w:cs="Times New Roman"/>
              <w:color w:val="auto"/>
              <w:sz w:val="24"/>
              <w:highlight w:val="none"/>
            </w:rPr>
            <w:t>第四部分</w:t>
          </w:r>
          <w:r>
            <w:rPr>
              <w:rFonts w:hint="eastAsia" w:cs="Times New Roman"/>
              <w:color w:val="auto"/>
              <w:sz w:val="24"/>
              <w:highlight w:val="none"/>
              <w:lang w:eastAsia="zh-CN"/>
            </w:rPr>
            <w:t>　</w:t>
          </w:r>
          <w:r>
            <w:rPr>
              <w:rFonts w:hint="eastAsia" w:cs="Times New Roman"/>
              <w:color w:val="auto"/>
              <w:sz w:val="24"/>
              <w:highlight w:val="none"/>
            </w:rPr>
            <w:t>附件</w:t>
          </w:r>
          <w:r>
            <w:rPr>
              <w:rFonts w:hint="eastAsia" w:ascii="Times New Roman" w:hAnsi="Times New Roman" w:eastAsia="宋体" w:cs="Times New Roman"/>
              <w:color w:val="auto"/>
              <w:kern w:val="2"/>
              <w:sz w:val="24"/>
              <w:szCs w:val="24"/>
              <w:highlight w:val="none"/>
              <w:lang w:val="en-US" w:eastAsia="zh-CN" w:bidi="ar-SA"/>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_Toc16478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fldChar w:fldCharType="end"/>
          </w:r>
          <w:r>
            <w:rPr>
              <w:rFonts w:hint="eastAsia" w:cs="Times New Roman"/>
              <w:color w:val="auto"/>
              <w:sz w:val="24"/>
              <w:highlight w:val="none"/>
            </w:rPr>
            <w:fldChar w:fldCharType="end"/>
          </w:r>
        </w:p>
        <w:p>
          <w:pPr>
            <w:pStyle w:val="2"/>
            <w:adjustRightInd w:val="0"/>
            <w:snapToGrid w:val="0"/>
            <w:spacing w:before="0" w:line="440" w:lineRule="exact"/>
            <w:jc w:val="left"/>
            <w:rPr>
              <w:b/>
            </w:rPr>
          </w:pPr>
          <w:r>
            <w:fldChar w:fldCharType="begin"/>
          </w:r>
          <w:r>
            <w:instrText xml:space="preserve"> HYPERLINK \l "_Toc22" </w:instrText>
          </w:r>
          <w:r>
            <w:fldChar w:fldCharType="separate"/>
          </w:r>
          <w:r>
            <w:rPr>
              <w:rFonts w:hint="eastAsia" w:cs="Times New Roman"/>
              <w:color w:val="auto"/>
              <w:sz w:val="24"/>
              <w:highlight w:val="none"/>
            </w:rPr>
            <w:t>第五部分</w:t>
          </w:r>
          <w:r>
            <w:rPr>
              <w:rFonts w:hint="eastAsia" w:cs="Times New Roman"/>
              <w:color w:val="auto"/>
              <w:sz w:val="24"/>
              <w:highlight w:val="none"/>
              <w:lang w:eastAsia="zh-CN"/>
            </w:rPr>
            <w:t>　</w:t>
          </w:r>
          <w:r>
            <w:rPr>
              <w:rFonts w:hint="eastAsia" w:cs="Times New Roman"/>
              <w:color w:val="auto"/>
              <w:sz w:val="24"/>
              <w:highlight w:val="none"/>
            </w:rPr>
            <w:t>附表</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t>39</w:t>
          </w:r>
          <w:r>
            <w:rPr>
              <w:rFonts w:hint="eastAsia" w:ascii="Times New Roman" w:hAnsi="Times New Roman" w:eastAsia="宋体" w:cs="Times New Roman"/>
              <w:color w:val="auto"/>
              <w:kern w:val="2"/>
              <w:sz w:val="24"/>
              <w:szCs w:val="24"/>
              <w:highlight w:val="none"/>
              <w:lang w:val="en-US" w:eastAsia="zh-CN" w:bidi="ar-SA"/>
            </w:rPr>
            <w:fldChar w:fldCharType="end"/>
          </w:r>
        </w:p>
        <w:p>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fldChar w:fldCharType="begin"/>
          </w:r>
          <w:r>
            <w:instrText xml:space="preserve"> HYPERLINK \l "_Toc17839" </w:instrText>
          </w:r>
          <w:r>
            <w:fldChar w:fldCharType="separate"/>
          </w:r>
          <w:r>
            <w:rPr>
              <w:rFonts w:hint="eastAsia" w:ascii="Times New Roman" w:hAnsi="Times New Roman" w:cs="Times New Roman"/>
              <w:color w:val="auto"/>
              <w:sz w:val="24"/>
              <w:highlight w:val="none"/>
            </w:rPr>
            <w:t>一、收入支出决算总表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cs="Times New Roman"/>
              <w:color w:val="auto"/>
              <w:sz w:val="24"/>
              <w:highlight w:val="none"/>
              <w:lang w:val="en-US" w:eastAsia="zh-CN"/>
            </w:rPr>
            <w:t>39</w:t>
          </w:r>
        </w:p>
        <w:p>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fldChar w:fldCharType="begin"/>
          </w:r>
          <w:r>
            <w:instrText xml:space="preserve"> HYPERLINK \l "_Toc19336" </w:instrText>
          </w:r>
          <w:r>
            <w:fldChar w:fldCharType="separate"/>
          </w:r>
          <w:r>
            <w:rPr>
              <w:rFonts w:hint="eastAsia" w:ascii="Times New Roman" w:hAnsi="Times New Roman" w:cs="Times New Roman"/>
              <w:color w:val="auto"/>
              <w:sz w:val="24"/>
              <w:highlight w:val="none"/>
            </w:rPr>
            <w:t>二、收入决算表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cs="Times New Roman"/>
              <w:color w:val="auto"/>
              <w:sz w:val="24"/>
              <w:highlight w:val="none"/>
              <w:lang w:val="en-US" w:eastAsia="zh-CN"/>
            </w:rPr>
            <w:t>39</w:t>
          </w:r>
        </w:p>
        <w:p>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fldChar w:fldCharType="begin"/>
          </w:r>
          <w:r>
            <w:instrText xml:space="preserve"> HYPERLINK \l "_Toc25281" </w:instrText>
          </w:r>
          <w:r>
            <w:fldChar w:fldCharType="separate"/>
          </w:r>
          <w:r>
            <w:rPr>
              <w:rFonts w:hint="eastAsia" w:ascii="Times New Roman" w:hAnsi="Times New Roman" w:cs="Times New Roman"/>
              <w:color w:val="auto"/>
              <w:sz w:val="24"/>
              <w:highlight w:val="none"/>
            </w:rPr>
            <w:t>三、支出决算表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cs="Times New Roman"/>
              <w:color w:val="auto"/>
              <w:sz w:val="24"/>
              <w:highlight w:val="none"/>
              <w:lang w:val="en-US" w:eastAsia="zh-CN"/>
            </w:rPr>
            <w:t>39</w:t>
          </w:r>
        </w:p>
        <w:p>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fldChar w:fldCharType="begin"/>
          </w:r>
          <w:r>
            <w:instrText xml:space="preserve"> HYPERLINK \l "_Toc23733" </w:instrText>
          </w:r>
          <w:r>
            <w:fldChar w:fldCharType="separate"/>
          </w:r>
          <w:r>
            <w:rPr>
              <w:rFonts w:hint="eastAsia" w:ascii="Times New Roman" w:hAnsi="Times New Roman" w:cs="Times New Roman"/>
              <w:color w:val="auto"/>
              <w:sz w:val="24"/>
              <w:highlight w:val="none"/>
            </w:rPr>
            <w:t>四、财政拨款收入支出决算总表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cs="Times New Roman"/>
              <w:color w:val="auto"/>
              <w:sz w:val="24"/>
              <w:highlight w:val="none"/>
              <w:lang w:val="en-US" w:eastAsia="zh-CN"/>
            </w:rPr>
            <w:t>39</w:t>
          </w:r>
        </w:p>
        <w:p>
          <w:pPr>
            <w:pStyle w:val="15"/>
            <w:adjustRightInd w:val="0"/>
            <w:snapToGrid w:val="0"/>
            <w:spacing w:line="440" w:lineRule="exact"/>
            <w:jc w:val="left"/>
            <w:rPr>
              <w:rFonts w:hint="eastAsia" w:ascii="Times New Roman" w:hAnsi="Times New Roman" w:eastAsia="宋体" w:cs="Times New Roman"/>
              <w:color w:val="auto"/>
              <w:sz w:val="24"/>
              <w:highlight w:val="none"/>
              <w:lang w:eastAsia="zh-CN"/>
            </w:rPr>
          </w:pPr>
          <w:r>
            <w:fldChar w:fldCharType="begin"/>
          </w:r>
          <w:r>
            <w:instrText xml:space="preserve"> HYPERLINK \l "_Toc16940" </w:instrText>
          </w:r>
          <w:r>
            <w:fldChar w:fldCharType="separate"/>
          </w:r>
          <w:r>
            <w:rPr>
              <w:rFonts w:hint="eastAsia" w:ascii="Times New Roman" w:hAnsi="Times New Roman" w:cs="Times New Roman"/>
              <w:color w:val="auto"/>
              <w:sz w:val="24"/>
              <w:highlight w:val="none"/>
            </w:rPr>
            <w:t>五、财政拨款支出决算明细表</w:t>
          </w:r>
          <w:r>
            <w:rPr>
              <w:rFonts w:hint="eastAsia" w:ascii="Times New Roman" w:hAnsi="Times New Roman" w:cs="Times New Roman"/>
              <w:color w:val="auto"/>
              <w:sz w:val="24"/>
              <w:highlight w:val="none"/>
            </w:rPr>
            <w:tab/>
          </w:r>
          <w:r>
            <w:rPr>
              <w:rFonts w:hint="eastAsia" w:cs="Times New Roman"/>
              <w:color w:val="auto"/>
              <w:sz w:val="24"/>
              <w:highlight w:val="none"/>
              <w:lang w:val="en-US" w:eastAsia="zh-CN"/>
            </w:rPr>
            <w:t>3</w:t>
          </w:r>
          <w:r>
            <w:rPr>
              <w:rFonts w:hint="eastAsia" w:cs="Times New Roman"/>
              <w:color w:val="auto"/>
              <w:sz w:val="24"/>
              <w:highlight w:val="none"/>
              <w:lang w:val="en-US" w:eastAsia="zh-CN"/>
            </w:rPr>
            <w:fldChar w:fldCharType="end"/>
          </w:r>
          <w:r>
            <w:rPr>
              <w:rFonts w:hint="eastAsia" w:cs="Times New Roman"/>
              <w:color w:val="auto"/>
              <w:sz w:val="24"/>
              <w:highlight w:val="none"/>
              <w:lang w:val="en-US" w:eastAsia="zh-CN"/>
            </w:rPr>
            <w:t>9</w:t>
          </w:r>
        </w:p>
        <w:p>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fldChar w:fldCharType="begin"/>
          </w:r>
          <w:r>
            <w:instrText xml:space="preserve"> HYPERLINK \l "_Toc8508" </w:instrText>
          </w:r>
          <w:r>
            <w:fldChar w:fldCharType="separate"/>
          </w:r>
          <w:r>
            <w:rPr>
              <w:rFonts w:hint="eastAsia" w:ascii="Times New Roman" w:hAnsi="Times New Roman" w:cs="Times New Roman"/>
              <w:color w:val="auto"/>
              <w:sz w:val="24"/>
              <w:highlight w:val="none"/>
            </w:rPr>
            <w:t>六、一般公共预算财政拨款支出决算表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cs="Times New Roman"/>
              <w:color w:val="auto"/>
              <w:sz w:val="24"/>
              <w:highlight w:val="none"/>
              <w:lang w:val="en-US" w:eastAsia="zh-CN"/>
            </w:rPr>
            <w:t>39</w:t>
          </w:r>
        </w:p>
        <w:p>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fldChar w:fldCharType="begin"/>
          </w:r>
          <w:r>
            <w:instrText xml:space="preserve"> HYPERLINK \l "_Toc31069" </w:instrText>
          </w:r>
          <w:r>
            <w:fldChar w:fldCharType="separate"/>
          </w:r>
          <w:r>
            <w:rPr>
              <w:rFonts w:hint="eastAsia" w:ascii="Times New Roman" w:hAnsi="Times New Roman" w:cs="Times New Roman"/>
              <w:color w:val="auto"/>
              <w:sz w:val="24"/>
              <w:highlight w:val="none"/>
            </w:rPr>
            <w:t>七、一般公共预算财政拨款支出决算明细表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cs="Times New Roman"/>
              <w:color w:val="auto"/>
              <w:sz w:val="24"/>
              <w:highlight w:val="none"/>
              <w:lang w:val="en-US" w:eastAsia="zh-CN"/>
            </w:rPr>
            <w:t>39</w:t>
          </w:r>
        </w:p>
        <w:p>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fldChar w:fldCharType="begin"/>
          </w:r>
          <w:r>
            <w:instrText xml:space="preserve"> HYPERLINK \l "_Toc26104" </w:instrText>
          </w:r>
          <w:r>
            <w:fldChar w:fldCharType="separate"/>
          </w:r>
          <w:r>
            <w:rPr>
              <w:rFonts w:hint="eastAsia" w:ascii="Times New Roman" w:hAnsi="Times New Roman" w:cs="Times New Roman"/>
              <w:color w:val="auto"/>
              <w:sz w:val="24"/>
              <w:highlight w:val="none"/>
            </w:rPr>
            <w:t>八、一般公共预算财政拨款基本支出决算表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cs="Times New Roman"/>
              <w:color w:val="auto"/>
              <w:sz w:val="24"/>
              <w:highlight w:val="none"/>
              <w:lang w:val="en-US" w:eastAsia="zh-CN"/>
            </w:rPr>
            <w:t>39</w:t>
          </w:r>
        </w:p>
        <w:p>
          <w:pPr>
            <w:pStyle w:val="15"/>
            <w:adjustRightInd w:val="0"/>
            <w:snapToGrid w:val="0"/>
            <w:spacing w:line="440" w:lineRule="exact"/>
            <w:ind w:left="0" w:leftChars="0" w:firstLine="420" w:firstLineChars="200"/>
            <w:jc w:val="left"/>
            <w:rPr>
              <w:rFonts w:hint="default" w:ascii="Times New Roman" w:hAnsi="Times New Roman" w:eastAsia="宋体" w:cs="Times New Roman"/>
              <w:color w:val="auto"/>
              <w:sz w:val="24"/>
              <w:highlight w:val="none"/>
              <w:lang w:val="en-US" w:eastAsia="zh-CN"/>
            </w:rPr>
          </w:pPr>
          <w:r>
            <w:fldChar w:fldCharType="begin"/>
          </w:r>
          <w:r>
            <w:instrText xml:space="preserve"> HYPERLINK \l "_Toc604" </w:instrText>
          </w:r>
          <w:r>
            <w:fldChar w:fldCharType="separate"/>
          </w:r>
          <w:r>
            <w:rPr>
              <w:rFonts w:hint="eastAsia" w:ascii="Times New Roman" w:hAnsi="Times New Roman" w:cs="Times New Roman"/>
              <w:color w:val="auto"/>
              <w:sz w:val="24"/>
              <w:highlight w:val="none"/>
            </w:rPr>
            <w:t>九、一般公共预算财政拨款项目支出决算表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cs="Times New Roman"/>
              <w:color w:val="auto"/>
              <w:sz w:val="24"/>
              <w:highlight w:val="none"/>
              <w:lang w:val="en-US" w:eastAsia="zh-CN"/>
            </w:rPr>
            <w:t>39</w:t>
          </w:r>
        </w:p>
        <w:p>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fldChar w:fldCharType="begin"/>
          </w:r>
          <w:r>
            <w:instrText xml:space="preserve"> HYPERLINK \l "_Toc19011" </w:instrText>
          </w:r>
          <w:r>
            <w:fldChar w:fldCharType="separate"/>
          </w:r>
          <w:r>
            <w:rPr>
              <w:rFonts w:hint="eastAsia" w:ascii="Times New Roman" w:hAnsi="Times New Roman" w:cs="Times New Roman"/>
              <w:color w:val="auto"/>
              <w:sz w:val="24"/>
              <w:highlight w:val="none"/>
            </w:rPr>
            <w:t>十、政府性基金预算财政拨款收入支出决算表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cs="Times New Roman"/>
              <w:color w:val="auto"/>
              <w:sz w:val="24"/>
              <w:highlight w:val="none"/>
              <w:lang w:val="en-US" w:eastAsia="zh-CN"/>
            </w:rPr>
            <w:t>39</w:t>
          </w:r>
        </w:p>
        <w:p>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fldChar w:fldCharType="begin"/>
          </w:r>
          <w:r>
            <w:instrText xml:space="preserve"> HYPERLINK \l "_Toc122" </w:instrText>
          </w:r>
          <w:r>
            <w:fldChar w:fldCharType="separate"/>
          </w:r>
          <w:r>
            <w:rPr>
              <w:rFonts w:hint="eastAsia" w:ascii="Times New Roman" w:hAnsi="Times New Roman" w:cs="Times New Roman"/>
              <w:color w:val="auto"/>
              <w:sz w:val="24"/>
              <w:highlight w:val="none"/>
            </w:rPr>
            <w:t>十</w:t>
          </w:r>
          <w:r>
            <w:rPr>
              <w:rFonts w:hint="eastAsia" w:cs="Times New Roman"/>
              <w:color w:val="auto"/>
              <w:sz w:val="24"/>
              <w:highlight w:val="none"/>
              <w:lang w:eastAsia="zh-CN"/>
            </w:rPr>
            <w:t>一</w:t>
          </w:r>
          <w:r>
            <w:rPr>
              <w:rFonts w:hint="eastAsia" w:ascii="Times New Roman" w:hAnsi="Times New Roman" w:cs="Times New Roman"/>
              <w:color w:val="auto"/>
              <w:sz w:val="24"/>
              <w:highlight w:val="none"/>
            </w:rPr>
            <w:t>、国有资本经营预算</w:t>
          </w:r>
          <w:r>
            <w:rPr>
              <w:rFonts w:hint="eastAsia" w:ascii="Times New Roman" w:hAnsi="Times New Roman" w:cs="Times New Roman"/>
              <w:color w:val="auto"/>
              <w:sz w:val="24"/>
              <w:highlight w:val="none"/>
              <w:lang w:eastAsia="zh-CN"/>
            </w:rPr>
            <w:t>财政拨款收入</w:t>
          </w:r>
          <w:r>
            <w:rPr>
              <w:rFonts w:hint="eastAsia" w:ascii="Times New Roman" w:hAnsi="Times New Roman" w:cs="Times New Roman"/>
              <w:color w:val="auto"/>
              <w:sz w:val="24"/>
              <w:highlight w:val="none"/>
            </w:rPr>
            <w:t>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cs="Times New Roman"/>
              <w:color w:val="auto"/>
              <w:sz w:val="24"/>
              <w:highlight w:val="none"/>
              <w:lang w:val="en-US" w:eastAsia="zh-CN"/>
            </w:rPr>
            <w:t>39</w:t>
          </w:r>
        </w:p>
        <w:p>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fldChar w:fldCharType="begin"/>
          </w:r>
          <w:r>
            <w:instrText xml:space="preserve"> HYPERLINK \l "_Toc3833" </w:instrText>
          </w:r>
          <w:r>
            <w:fldChar w:fldCharType="separate"/>
          </w:r>
          <w:r>
            <w:rPr>
              <w:rFonts w:hint="eastAsia" w:ascii="Times New Roman" w:hAnsi="Times New Roman" w:cs="Times New Roman"/>
              <w:color w:val="auto"/>
              <w:sz w:val="24"/>
              <w:highlight w:val="none"/>
              <w:lang w:eastAsia="zh-CN"/>
            </w:rPr>
            <w:t>十</w:t>
          </w:r>
          <w:r>
            <w:rPr>
              <w:rFonts w:hint="eastAsia" w:cs="Times New Roman"/>
              <w:color w:val="auto"/>
              <w:sz w:val="24"/>
              <w:highlight w:val="none"/>
              <w:lang w:eastAsia="zh-CN"/>
            </w:rPr>
            <w:t>二</w:t>
          </w:r>
          <w:r>
            <w:rPr>
              <w:rFonts w:hint="eastAsia" w:ascii="Times New Roman" w:hAnsi="Times New Roman" w:cs="Times New Roman"/>
              <w:color w:val="auto"/>
              <w:sz w:val="24"/>
              <w:highlight w:val="none"/>
              <w:lang w:eastAsia="zh-CN"/>
            </w:rPr>
            <w:t>、国有资本经营预算财政拨款支出决算表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cs="Times New Roman"/>
              <w:color w:val="auto"/>
              <w:sz w:val="24"/>
              <w:highlight w:val="none"/>
              <w:lang w:val="en-US" w:eastAsia="zh-CN"/>
            </w:rPr>
            <w:t>39</w:t>
          </w:r>
        </w:p>
        <w:p>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fldChar w:fldCharType="begin"/>
          </w:r>
          <w:r>
            <w:instrText xml:space="preserve"> HYPERLINK \l "_Toc3833" </w:instrText>
          </w:r>
          <w:r>
            <w:fldChar w:fldCharType="separate"/>
          </w:r>
          <w:r>
            <w:rPr>
              <w:rFonts w:hint="eastAsia" w:ascii="Times New Roman" w:hAnsi="Times New Roman" w:cs="Times New Roman"/>
              <w:color w:val="auto"/>
              <w:sz w:val="24"/>
              <w:highlight w:val="none"/>
              <w:lang w:eastAsia="zh-CN"/>
            </w:rPr>
            <w:t>十</w:t>
          </w:r>
          <w:r>
            <w:rPr>
              <w:rFonts w:hint="eastAsia" w:cs="Times New Roman"/>
              <w:color w:val="auto"/>
              <w:sz w:val="24"/>
              <w:highlight w:val="none"/>
              <w:lang w:eastAsia="zh-CN"/>
            </w:rPr>
            <w:t>三</w:t>
          </w:r>
          <w:r>
            <w:rPr>
              <w:rFonts w:hint="eastAsia" w:ascii="Times New Roman" w:hAnsi="Times New Roman" w:cs="Times New Roman"/>
              <w:color w:val="auto"/>
              <w:sz w:val="24"/>
              <w:highlight w:val="none"/>
              <w:lang w:eastAsia="zh-CN"/>
            </w:rPr>
            <w:t>、</w:t>
          </w:r>
          <w:r>
            <w:rPr>
              <w:rFonts w:hint="eastAsia" w:cs="Times New Roman"/>
              <w:color w:val="auto"/>
              <w:sz w:val="24"/>
              <w:highlight w:val="none"/>
              <w:lang w:eastAsia="zh-CN"/>
            </w:rPr>
            <w:t>财政拨款“三公”经费支出</w:t>
          </w:r>
          <w:r>
            <w:rPr>
              <w:rFonts w:hint="eastAsia" w:ascii="Times New Roman" w:hAnsi="Times New Roman" w:cs="Times New Roman"/>
              <w:color w:val="auto"/>
              <w:sz w:val="24"/>
              <w:highlight w:val="none"/>
              <w:lang w:eastAsia="zh-CN"/>
            </w:rPr>
            <w:t>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end"/>
          </w:r>
          <w:r>
            <w:rPr>
              <w:rFonts w:hint="eastAsia" w:cs="Times New Roman"/>
              <w:color w:val="auto"/>
              <w:sz w:val="24"/>
              <w:highlight w:val="none"/>
              <w:lang w:val="en-US" w:eastAsia="zh-CN"/>
            </w:rPr>
            <w:t>39</w:t>
          </w:r>
        </w:p>
        <w:p/>
        <w:p>
          <w:r>
            <w:rPr>
              <w:b/>
            </w:rPr>
            <w:fldChar w:fldCharType="end"/>
          </w:r>
        </w:p>
      </w:sdtContent>
    </w:sdt>
    <w:p>
      <w:pPr>
        <w:keepNext w:val="0"/>
        <w:keepLines w:val="0"/>
        <w:pageBreakBefore w:val="0"/>
        <w:widowControl w:val="0"/>
        <w:kinsoku/>
        <w:wordWrap/>
        <w:overflowPunct/>
        <w:topLinePunct w:val="0"/>
        <w:bidi w:val="0"/>
        <w:spacing w:line="576" w:lineRule="exact"/>
        <w:ind w:left="0" w:leftChars="0" w:right="0" w:firstLine="0" w:firstLineChars="0"/>
        <w:jc w:val="left"/>
        <w:rPr>
          <w:rFonts w:hint="eastAsia" w:ascii="仿宋_GB2312" w:hAnsi="仿宋_GB2312" w:eastAsia="仿宋_GB2312" w:cs="仿宋_GB2312"/>
          <w:b w:val="0"/>
          <w:bCs w:val="0"/>
          <w:color w:val="auto"/>
          <w:kern w:val="44"/>
          <w:sz w:val="32"/>
          <w:szCs w:val="32"/>
          <w:highlight w:val="none"/>
        </w:rPr>
      </w:pPr>
      <w:r>
        <w:br w:type="page"/>
      </w:r>
    </w:p>
    <w:p>
      <w:pPr>
        <w:pStyle w:val="3"/>
        <w:keepNext w:val="0"/>
        <w:keepLines w:val="0"/>
        <w:pageBreakBefore w:val="0"/>
        <w:widowControl w:val="0"/>
        <w:kinsoku/>
        <w:wordWrap/>
        <w:overflowPunct/>
        <w:topLinePunct w:val="0"/>
        <w:bidi w:val="0"/>
        <w:spacing w:before="0" w:after="0" w:line="576" w:lineRule="exact"/>
        <w:ind w:left="0" w:leftChars="0" w:right="0" w:firstLine="0" w:firstLineChars="0"/>
        <w:jc w:val="center"/>
        <w:rPr>
          <w:rStyle w:val="32"/>
          <w:rFonts w:hint="eastAsia" w:ascii="Arial Unicode MS" w:hAnsi="Arial Unicode MS" w:eastAsia="Arial Unicode MS" w:cs="Arial Unicode MS"/>
          <w:b w:val="0"/>
          <w:bCs w:val="0"/>
          <w:color w:val="auto"/>
          <w:sz w:val="44"/>
          <w:szCs w:val="44"/>
          <w:highlight w:val="none"/>
        </w:rPr>
      </w:pPr>
      <w:bookmarkStart w:id="15" w:name="_Toc16491"/>
      <w:r>
        <w:rPr>
          <w:rFonts w:hint="eastAsia" w:ascii="黑体" w:hAnsi="黑体" w:eastAsia="黑体" w:cs="Times New Roman"/>
          <w:b w:val="0"/>
          <w:bCs w:val="0"/>
          <w:color w:val="auto"/>
          <w:kern w:val="2"/>
          <w:sz w:val="48"/>
          <w:szCs w:val="48"/>
          <w:highlight w:val="none"/>
          <w:lang w:val="en-US" w:eastAsia="zh-CN" w:bidi="ar-SA"/>
        </w:rPr>
        <w:t>第一部分　单位概况</w:t>
      </w:r>
      <w:bookmarkEnd w:id="14"/>
      <w:bookmarkEnd w:id="15"/>
    </w:p>
    <w:p>
      <w:pPr>
        <w:keepNext w:val="0"/>
        <w:keepLines w:val="0"/>
        <w:pageBreakBefore w:val="0"/>
        <w:widowControl w:val="0"/>
        <w:kinsoku/>
        <w:wordWrap/>
        <w:overflowPunct/>
        <w:topLinePunct w:val="0"/>
        <w:bidi w:val="0"/>
        <w:spacing w:line="576" w:lineRule="exact"/>
        <w:ind w:left="0" w:leftChars="0" w:right="0" w:firstLine="0" w:firstLineChars="0"/>
        <w:jc w:val="left"/>
        <w:rPr>
          <w:rFonts w:hint="eastAsia" w:ascii="仿宋_GB2312" w:hAnsi="仿宋_GB2312" w:eastAsia="仿宋_GB2312" w:cs="仿宋_GB2312"/>
          <w:b w:val="0"/>
          <w:bCs w:val="0"/>
          <w:color w:val="auto"/>
          <w:sz w:val="32"/>
          <w:szCs w:val="32"/>
          <w:highlight w:val="none"/>
        </w:rPr>
      </w:pP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Chars="0" w:right="0" w:rightChars="0" w:firstLine="640" w:firstLineChars="200"/>
        <w:textAlignment w:val="auto"/>
        <w:rPr>
          <w:rStyle w:val="33"/>
          <w:rFonts w:hint="eastAsia" w:ascii="黑体" w:hAnsi="黑体" w:eastAsia="黑体" w:cs="黑体"/>
          <w:b w:val="0"/>
          <w:bCs w:val="0"/>
          <w:color w:val="auto"/>
          <w:sz w:val="32"/>
          <w:szCs w:val="32"/>
          <w:highlight w:val="none"/>
          <w:lang w:eastAsia="zh-CN"/>
        </w:rPr>
      </w:pPr>
      <w:bookmarkStart w:id="16" w:name="_Toc25904"/>
      <w:bookmarkStart w:id="17" w:name="_Toc15377197"/>
      <w:bookmarkStart w:id="18" w:name="_Toc15396600"/>
      <w:r>
        <w:rPr>
          <w:rStyle w:val="33"/>
          <w:rFonts w:hint="eastAsia" w:ascii="黑体" w:hAnsi="黑体" w:eastAsia="黑体" w:cs="黑体"/>
          <w:b w:val="0"/>
          <w:bCs w:val="0"/>
          <w:color w:val="auto"/>
          <w:sz w:val="32"/>
          <w:szCs w:val="32"/>
          <w:highlight w:val="none"/>
          <w:lang w:eastAsia="zh-CN"/>
        </w:rPr>
        <w:t>一、部门</w:t>
      </w:r>
      <w:r>
        <w:rPr>
          <w:rStyle w:val="33"/>
          <w:rFonts w:hint="eastAsia" w:ascii="黑体" w:hAnsi="黑体" w:eastAsia="黑体" w:cs="黑体"/>
          <w:b w:val="0"/>
          <w:bCs w:val="0"/>
          <w:color w:val="auto"/>
          <w:sz w:val="32"/>
          <w:szCs w:val="32"/>
          <w:highlight w:val="none"/>
        </w:rPr>
        <w:t>职能</w:t>
      </w:r>
      <w:bookmarkEnd w:id="16"/>
    </w:p>
    <w:p>
      <w:pPr>
        <w:pStyle w:val="38"/>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（一）</w:t>
      </w:r>
      <w:r>
        <w:rPr>
          <w:rFonts w:hint="eastAsia" w:ascii="仿宋_GB2312" w:hAnsi="仿宋_GB2312" w:eastAsia="仿宋_GB2312" w:cs="仿宋_GB2312"/>
          <w:b w:val="0"/>
          <w:bCs w:val="0"/>
          <w:kern w:val="2"/>
          <w:sz w:val="32"/>
          <w:szCs w:val="32"/>
        </w:rPr>
        <w:t>协助相关部门做好区委、区政府重大决策、重要工作部署落实情况督促检查，承担区委、区政府领导批交办事项专项督查或督查调研；根据授权，协助统筹规范区本级督查检查考核事项。</w:t>
      </w:r>
    </w:p>
    <w:p>
      <w:pPr>
        <w:pStyle w:val="38"/>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（二）</w:t>
      </w:r>
      <w:r>
        <w:rPr>
          <w:rFonts w:hint="eastAsia" w:ascii="仿宋_GB2312" w:hAnsi="仿宋_GB2312" w:eastAsia="仿宋_GB2312" w:cs="仿宋_GB2312"/>
          <w:b w:val="0"/>
          <w:bCs w:val="0"/>
          <w:kern w:val="2"/>
          <w:sz w:val="32"/>
          <w:szCs w:val="32"/>
        </w:rPr>
        <w:t>配合做好乡镇（街道）、区级部门实施目标绩效运行监控，牵头组织考评。</w:t>
      </w:r>
    </w:p>
    <w:p>
      <w:pPr>
        <w:pStyle w:val="38"/>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（三）</w:t>
      </w:r>
      <w:r>
        <w:rPr>
          <w:rFonts w:hint="eastAsia" w:ascii="仿宋_GB2312" w:hAnsi="仿宋_GB2312" w:eastAsia="仿宋_GB2312" w:cs="仿宋_GB2312"/>
          <w:b w:val="0"/>
          <w:bCs w:val="0"/>
          <w:kern w:val="2"/>
          <w:sz w:val="32"/>
          <w:szCs w:val="32"/>
        </w:rPr>
        <w:t>负责协助做好市委、市政府下达的绩效目标任务的运行。</w:t>
      </w:r>
    </w:p>
    <w:p>
      <w:pPr>
        <w:pStyle w:val="38"/>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（四）</w:t>
      </w:r>
      <w:r>
        <w:rPr>
          <w:rFonts w:hint="eastAsia" w:ascii="仿宋_GB2312" w:hAnsi="仿宋_GB2312" w:eastAsia="仿宋_GB2312" w:cs="仿宋_GB2312"/>
          <w:b w:val="0"/>
          <w:bCs w:val="0"/>
          <w:kern w:val="2"/>
          <w:sz w:val="32"/>
          <w:szCs w:val="32"/>
        </w:rPr>
        <w:t>参与区委、区政府年度民生实事任务统筹，拟订全区民生实事实施方案，开展日常推进督促检查。</w:t>
      </w:r>
    </w:p>
    <w:p>
      <w:pPr>
        <w:pStyle w:val="38"/>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（五）</w:t>
      </w:r>
      <w:r>
        <w:rPr>
          <w:rFonts w:hint="eastAsia" w:ascii="仿宋_GB2312" w:hAnsi="仿宋_GB2312" w:eastAsia="仿宋_GB2312" w:cs="仿宋_GB2312"/>
          <w:b w:val="0"/>
          <w:bCs w:val="0"/>
          <w:kern w:val="2"/>
          <w:sz w:val="32"/>
          <w:szCs w:val="32"/>
        </w:rPr>
        <w:t>配合做好区人大代表建议和区政协提案的交办督办工作，拟订区政府领导领办重点建议提案方案，组织开展办理工作视察活动。</w:t>
      </w:r>
    </w:p>
    <w:p>
      <w:pPr>
        <w:pStyle w:val="38"/>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（六）</w:t>
      </w:r>
      <w:r>
        <w:rPr>
          <w:rFonts w:hint="eastAsia" w:ascii="仿宋_GB2312" w:hAnsi="仿宋_GB2312" w:eastAsia="仿宋_GB2312" w:cs="仿宋_GB2312"/>
          <w:b w:val="0"/>
          <w:bCs w:val="0"/>
          <w:kern w:val="2"/>
          <w:sz w:val="32"/>
          <w:szCs w:val="32"/>
        </w:rPr>
        <w:t>协助督办区委常委会决定事项、区委主要领导批示件办理工作以及区政府常务会交办事项、区政府主要领导批示件办理工作。</w:t>
      </w:r>
    </w:p>
    <w:p>
      <w:pPr>
        <w:pStyle w:val="38"/>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（七）</w:t>
      </w:r>
      <w:r>
        <w:rPr>
          <w:rFonts w:hint="eastAsia" w:ascii="仿宋_GB2312" w:hAnsi="仿宋_GB2312" w:eastAsia="仿宋_GB2312" w:cs="仿宋_GB2312"/>
          <w:b w:val="0"/>
          <w:bCs w:val="0"/>
          <w:kern w:val="2"/>
          <w:sz w:val="32"/>
          <w:szCs w:val="32"/>
        </w:rPr>
        <w:t>承担区督促检查和目标绩效领导小组日常工作。</w:t>
      </w:r>
    </w:p>
    <w:p>
      <w:pPr>
        <w:pStyle w:val="38"/>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（八）</w:t>
      </w:r>
      <w:r>
        <w:rPr>
          <w:rFonts w:hint="eastAsia" w:ascii="仿宋_GB2312" w:hAnsi="仿宋_GB2312" w:eastAsia="仿宋_GB2312" w:cs="仿宋_GB2312"/>
          <w:b w:val="0"/>
          <w:bCs w:val="0"/>
          <w:kern w:val="2"/>
          <w:sz w:val="32"/>
          <w:szCs w:val="32"/>
        </w:rPr>
        <w:t>完成区委交办的其他任务。</w:t>
      </w:r>
    </w:p>
    <w:p>
      <w:pPr>
        <w:pStyle w:val="38"/>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Chars="0" w:right="0" w:rightChars="0" w:firstLine="640" w:firstLineChars="200"/>
        <w:textAlignment w:val="auto"/>
        <w:rPr>
          <w:rStyle w:val="33"/>
          <w:rFonts w:hint="eastAsia" w:ascii="黑体" w:hAnsi="黑体" w:eastAsia="黑体" w:cs="黑体"/>
          <w:b w:val="0"/>
          <w:bCs w:val="0"/>
          <w:color w:val="auto"/>
          <w:sz w:val="32"/>
          <w:szCs w:val="32"/>
          <w:highlight w:val="none"/>
          <w:lang w:eastAsia="zh-CN"/>
        </w:rPr>
      </w:pPr>
      <w:bookmarkStart w:id="19" w:name="_Toc7326"/>
      <w:r>
        <w:rPr>
          <w:rStyle w:val="33"/>
          <w:rFonts w:hint="eastAsia" w:ascii="黑体" w:hAnsi="黑体" w:eastAsia="黑体" w:cs="黑体"/>
          <w:b w:val="0"/>
          <w:bCs w:val="0"/>
          <w:color w:val="auto"/>
          <w:sz w:val="32"/>
          <w:szCs w:val="32"/>
          <w:highlight w:val="none"/>
          <w:lang w:val="en-US" w:eastAsia="zh-CN"/>
        </w:rPr>
        <w:t>二、部门预算单位构成</w:t>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Chars="0" w:right="0" w:rightChars="0" w:firstLine="648" w:firstLineChars="200"/>
        <w:textAlignment w:val="auto"/>
        <w:rPr>
          <w:rFonts w:hint="eastAsia" w:ascii="黑体" w:hAnsi="黑体" w:eastAsia="黑体" w:cs="Times New Roman"/>
          <w:b w:val="0"/>
          <w:bCs w:val="0"/>
          <w:color w:val="auto"/>
          <w:kern w:val="2"/>
          <w:sz w:val="48"/>
          <w:szCs w:val="48"/>
          <w:highlight w:val="none"/>
          <w:lang w:val="en-US" w:eastAsia="zh-CN" w:bidi="ar-SA"/>
        </w:rPr>
      </w:pPr>
      <w:r>
        <w:rPr>
          <w:rFonts w:hint="eastAsia" w:ascii="仿宋_GB2312" w:hAnsi="仿宋_GB2312" w:eastAsia="仿宋_GB2312" w:cs="仿宋_GB2312"/>
          <w:b w:val="0"/>
          <w:bCs w:val="0"/>
          <w:spacing w:val="2"/>
          <w:sz w:val="32"/>
          <w:szCs w:val="32"/>
          <w:lang w:val="en-US" w:eastAsia="zh-CN"/>
        </w:rPr>
        <w:t>区目标绩效事务中心共为一级预算单位，无下属二级预算单位。内设机构</w:t>
      </w:r>
      <w:r>
        <w:rPr>
          <w:rFonts w:hint="default" w:ascii="Times New Roman" w:hAnsi="Times New Roman" w:eastAsia="仿宋_GB2312" w:cs="Times New Roman"/>
          <w:b w:val="0"/>
          <w:bCs w:val="0"/>
          <w:spacing w:val="2"/>
          <w:sz w:val="32"/>
          <w:szCs w:val="32"/>
          <w:lang w:val="en-US" w:eastAsia="zh-CN"/>
        </w:rPr>
        <w:t>4</w:t>
      </w:r>
      <w:r>
        <w:rPr>
          <w:rFonts w:hint="eastAsia" w:ascii="仿宋_GB2312" w:hAnsi="仿宋_GB2312" w:eastAsia="仿宋_GB2312" w:cs="仿宋_GB2312"/>
          <w:b w:val="0"/>
          <w:bCs w:val="0"/>
          <w:spacing w:val="2"/>
          <w:sz w:val="32"/>
          <w:szCs w:val="32"/>
          <w:lang w:val="en-US" w:eastAsia="zh-CN"/>
        </w:rPr>
        <w:t>个股室：办公室、目标绩效股、督查一股、督查二股。</w:t>
      </w:r>
      <w:bookmarkEnd w:id="17"/>
      <w:bookmarkEnd w:id="18"/>
      <w:bookmarkEnd w:id="19"/>
      <w:bookmarkStart w:id="20" w:name="_Toc20142"/>
      <w:bookmarkStart w:id="21" w:name="_Toc15396603"/>
      <w:bookmarkStart w:id="22" w:name="_Toc15377205"/>
    </w:p>
    <w:p>
      <w:pPr>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jc w:val="both"/>
        <w:textAlignment w:val="auto"/>
        <w:outlineLvl w:val="1"/>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三、2022年重点工作完成情况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bookmarkStart w:id="23" w:name="_Toc27984"/>
      <w:r>
        <w:rPr>
          <w:rFonts w:hint="eastAsia" w:ascii="楷体_GB2312" w:hAnsi="楷体_GB2312" w:eastAsia="楷体_GB2312" w:cs="楷体_GB2312"/>
          <w:b w:val="0"/>
          <w:bCs w:val="0"/>
          <w:sz w:val="32"/>
          <w:szCs w:val="32"/>
          <w:lang w:eastAsia="zh-CN" w:bidi="ar-SA"/>
        </w:rPr>
        <w:t>（一）</w:t>
      </w:r>
      <w:r>
        <w:rPr>
          <w:rFonts w:hint="eastAsia" w:ascii="楷体_GB2312" w:hAnsi="楷体_GB2312" w:eastAsia="楷体_GB2312" w:cs="楷体_GB2312"/>
          <w:sz w:val="32"/>
          <w:szCs w:val="32"/>
          <w:lang w:val="en-US" w:eastAsia="zh-CN"/>
        </w:rPr>
        <w:t>推动重大决策部署落实方面。</w:t>
      </w:r>
      <w:r>
        <w:rPr>
          <w:rFonts w:hint="eastAsia" w:ascii="仿宋_GB2312" w:hAnsi="仿宋_GB2312" w:eastAsia="仿宋_GB2312" w:cs="仿宋_GB2312"/>
          <w:b w:val="0"/>
          <w:bCs w:val="0"/>
          <w:sz w:val="32"/>
          <w:szCs w:val="32"/>
          <w:lang w:val="en-US" w:eastAsia="zh-CN" w:bidi="ar-SA"/>
        </w:rPr>
        <w:t>梳理制定省第十二次党代会、区第八次党代会、市委区委常委会工作要点、市委区委八届二次全会、市委区委工作会议等重要部署责任分工方案（清单）</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b w:val="0"/>
          <w:bCs w:val="0"/>
          <w:sz w:val="32"/>
          <w:szCs w:val="32"/>
          <w:lang w:val="en-US" w:eastAsia="zh-CN" w:bidi="ar-SA"/>
        </w:rPr>
        <w:t>个，对各镇和区级重点部门落实有关任务情况督查调度</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b w:val="0"/>
          <w:bCs w:val="0"/>
          <w:sz w:val="32"/>
          <w:szCs w:val="32"/>
          <w:lang w:val="en-US" w:eastAsia="zh-CN" w:bidi="ar-SA"/>
        </w:rPr>
        <w:t>次，梳理制定习近平总书记来川视察、省委领导来广调研、市委主要领导来昭调研重要指示精神重点任务分工方案（清单）</w:t>
      </w:r>
      <w:r>
        <w:rPr>
          <w:rFonts w:hint="default" w:ascii="Times New Roman" w:hAnsi="Times New Roman" w:eastAsia="仿宋_GB2312" w:cs="Times New Roman"/>
          <w:sz w:val="32"/>
          <w:szCs w:val="32"/>
          <w:lang w:val="en-US" w:eastAsia="zh-CN"/>
        </w:rPr>
        <w:t>17</w:t>
      </w:r>
      <w:r>
        <w:rPr>
          <w:rFonts w:hint="eastAsia" w:ascii="仿宋_GB2312" w:hAnsi="仿宋_GB2312" w:eastAsia="仿宋_GB2312" w:cs="仿宋_GB2312"/>
          <w:b w:val="0"/>
          <w:bCs w:val="0"/>
          <w:sz w:val="32"/>
          <w:szCs w:val="32"/>
          <w:lang w:val="en-US" w:eastAsia="zh-CN" w:bidi="ar-SA"/>
        </w:rPr>
        <w:t>个，开展专项督查调度</w:t>
      </w: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b w:val="0"/>
          <w:bCs w:val="0"/>
          <w:sz w:val="32"/>
          <w:szCs w:val="32"/>
          <w:lang w:val="en-US" w:eastAsia="zh-CN" w:bidi="ar-SA"/>
        </w:rPr>
        <w:t>次，开展习近平总书记重要指示批示精神、李克强总理来广视察重要指示精神落实“回头看”</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b w:val="0"/>
          <w:bCs w:val="0"/>
          <w:sz w:val="32"/>
          <w:szCs w:val="32"/>
          <w:lang w:val="en-US" w:eastAsia="zh-CN" w:bidi="ar-SA"/>
        </w:rPr>
        <w:t>次，向市委、区委领导书面汇报重点任务落实情况</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b w:val="0"/>
          <w:bCs w:val="0"/>
          <w:sz w:val="32"/>
          <w:szCs w:val="32"/>
          <w:lang w:val="en-US" w:eastAsia="zh-CN" w:bidi="ar-SA"/>
        </w:rPr>
        <w:t>次。分批分期将区委常委会会议议定事项</w:t>
      </w:r>
      <w:r>
        <w:rPr>
          <w:rFonts w:hint="eastAsia" w:ascii="Times New Roman" w:hAnsi="Times New Roman" w:eastAsia="仿宋_GB2312" w:cs="Times New Roman"/>
          <w:sz w:val="32"/>
          <w:szCs w:val="32"/>
          <w:lang w:val="en-US" w:eastAsia="zh-CN"/>
        </w:rPr>
        <w:t>36</w:t>
      </w:r>
      <w:r>
        <w:rPr>
          <w:rFonts w:hint="eastAsia" w:ascii="仿宋_GB2312" w:hAnsi="仿宋_GB2312" w:eastAsia="仿宋_GB2312" w:cs="仿宋_GB2312"/>
          <w:b w:val="0"/>
          <w:bCs w:val="0"/>
          <w:sz w:val="32"/>
          <w:szCs w:val="32"/>
          <w:lang w:val="en-US" w:eastAsia="zh-CN" w:bidi="ar-SA"/>
        </w:rPr>
        <w:t>件、区委重要会议部署事项</w:t>
      </w:r>
      <w:r>
        <w:rPr>
          <w:rFonts w:hint="eastAsia" w:ascii="Times New Roman" w:hAnsi="Times New Roman" w:eastAsia="仿宋_GB2312" w:cs="Times New Roman"/>
          <w:sz w:val="32"/>
          <w:szCs w:val="32"/>
          <w:lang w:val="en-US" w:eastAsia="zh-CN"/>
        </w:rPr>
        <w:t>54</w:t>
      </w:r>
      <w:r>
        <w:rPr>
          <w:rFonts w:hint="eastAsia" w:ascii="仿宋_GB2312" w:hAnsi="仿宋_GB2312" w:eastAsia="仿宋_GB2312" w:cs="仿宋_GB2312"/>
          <w:b w:val="0"/>
          <w:bCs w:val="0"/>
          <w:sz w:val="32"/>
          <w:szCs w:val="32"/>
          <w:lang w:val="en-US" w:eastAsia="zh-CN" w:bidi="ar-SA"/>
        </w:rPr>
        <w:t>件、重要签批文件</w:t>
      </w:r>
      <w:r>
        <w:rPr>
          <w:rFonts w:hint="eastAsia" w:ascii="Times New Roman" w:hAnsi="Times New Roman" w:eastAsia="仿宋_GB2312" w:cs="Times New Roman"/>
          <w:sz w:val="32"/>
          <w:szCs w:val="32"/>
          <w:lang w:val="en-US" w:eastAsia="zh-CN"/>
        </w:rPr>
        <w:t>245</w:t>
      </w:r>
      <w:r>
        <w:rPr>
          <w:rFonts w:hint="eastAsia" w:ascii="仿宋_GB2312" w:hAnsi="仿宋_GB2312" w:eastAsia="仿宋_GB2312" w:cs="仿宋_GB2312"/>
          <w:b w:val="0"/>
          <w:bCs w:val="0"/>
          <w:sz w:val="32"/>
          <w:szCs w:val="32"/>
          <w:lang w:val="en-US" w:eastAsia="zh-CN" w:bidi="ar-SA"/>
        </w:rPr>
        <w:t>件纳入督办管理，报告落实情况</w:t>
      </w:r>
      <w:r>
        <w:rPr>
          <w:rFonts w:hint="eastAsia" w:ascii="Times New Roman" w:hAnsi="Times New Roman" w:eastAsia="仿宋_GB2312" w:cs="Times New Roman"/>
          <w:sz w:val="32"/>
          <w:szCs w:val="32"/>
          <w:lang w:val="en-US" w:eastAsia="zh-CN"/>
        </w:rPr>
        <w:t>11</w:t>
      </w:r>
      <w:r>
        <w:rPr>
          <w:rFonts w:hint="eastAsia" w:ascii="仿宋_GB2312" w:hAnsi="仿宋_GB2312" w:eastAsia="仿宋_GB2312" w:cs="仿宋_GB2312"/>
          <w:b w:val="0"/>
          <w:bCs w:val="0"/>
          <w:sz w:val="32"/>
          <w:szCs w:val="32"/>
          <w:lang w:val="en-US" w:eastAsia="zh-CN" w:bidi="ar-SA"/>
        </w:rPr>
        <w:t>期，办结落实</w:t>
      </w:r>
      <w:r>
        <w:rPr>
          <w:rFonts w:hint="eastAsia" w:ascii="Times New Roman" w:hAnsi="Times New Roman" w:eastAsia="仿宋_GB2312" w:cs="Times New Roman"/>
          <w:sz w:val="32"/>
          <w:szCs w:val="32"/>
          <w:lang w:val="en-US" w:eastAsia="zh-CN"/>
        </w:rPr>
        <w:t>289</w:t>
      </w:r>
      <w:r>
        <w:rPr>
          <w:rFonts w:hint="eastAsia" w:ascii="仿宋_GB2312" w:hAnsi="仿宋_GB2312" w:eastAsia="仿宋_GB2312" w:cs="仿宋_GB2312"/>
          <w:b w:val="0"/>
          <w:bCs w:val="0"/>
          <w:sz w:val="32"/>
          <w:szCs w:val="32"/>
          <w:lang w:val="en-US" w:eastAsia="zh-CN" w:bidi="ar-SA"/>
        </w:rPr>
        <w:t>件，持续推进</w:t>
      </w:r>
      <w:r>
        <w:rPr>
          <w:rFonts w:hint="eastAsia" w:ascii="Times New Roman" w:hAnsi="Times New Roman" w:eastAsia="仿宋_GB2312" w:cs="Times New Roman"/>
          <w:sz w:val="32"/>
          <w:szCs w:val="32"/>
          <w:lang w:val="en-US" w:eastAsia="zh-CN"/>
        </w:rPr>
        <w:t>46</w:t>
      </w:r>
      <w:r>
        <w:rPr>
          <w:rFonts w:hint="eastAsia" w:ascii="仿宋_GB2312" w:hAnsi="仿宋_GB2312" w:eastAsia="仿宋_GB2312" w:cs="仿宋_GB2312"/>
          <w:b w:val="0"/>
          <w:bCs w:val="0"/>
          <w:sz w:val="32"/>
          <w:szCs w:val="32"/>
          <w:lang w:val="en-US" w:eastAsia="zh-CN" w:bidi="ar-SA"/>
        </w:rPr>
        <w:t>件，今年以来，督促办理</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b w:val="0"/>
          <w:bCs w:val="0"/>
          <w:sz w:val="32"/>
          <w:szCs w:val="32"/>
          <w:lang w:val="en-US" w:eastAsia="zh-CN" w:bidi="ar-SA"/>
        </w:rPr>
        <w:t>年政府工作报告任务</w:t>
      </w:r>
      <w:r>
        <w:rPr>
          <w:rFonts w:hint="eastAsia" w:ascii="Times New Roman" w:hAnsi="Times New Roman" w:eastAsia="仿宋_GB2312" w:cs="Times New Roman"/>
          <w:sz w:val="32"/>
          <w:szCs w:val="32"/>
          <w:lang w:val="en-US" w:eastAsia="zh-CN"/>
        </w:rPr>
        <w:t>133</w:t>
      </w:r>
      <w:r>
        <w:rPr>
          <w:rFonts w:hint="eastAsia" w:ascii="仿宋_GB2312" w:hAnsi="仿宋_GB2312" w:eastAsia="仿宋_GB2312" w:cs="仿宋_GB2312"/>
          <w:b w:val="0"/>
          <w:bCs w:val="0"/>
          <w:sz w:val="32"/>
          <w:szCs w:val="32"/>
          <w:lang w:val="en-US" w:eastAsia="zh-CN" w:bidi="ar-SA"/>
        </w:rPr>
        <w:t>件、区政府常务会议议定事项</w:t>
      </w:r>
      <w:r>
        <w:rPr>
          <w:rFonts w:hint="eastAsia" w:ascii="Times New Roman" w:hAnsi="Times New Roman" w:eastAsia="仿宋_GB2312" w:cs="Times New Roman"/>
          <w:sz w:val="32"/>
          <w:szCs w:val="32"/>
          <w:lang w:val="en-US" w:eastAsia="zh-CN"/>
        </w:rPr>
        <w:t>177</w:t>
      </w:r>
      <w:r>
        <w:rPr>
          <w:rFonts w:hint="eastAsia" w:ascii="仿宋_GB2312" w:hAnsi="仿宋_GB2312" w:eastAsia="仿宋_GB2312" w:cs="仿宋_GB2312"/>
          <w:b w:val="0"/>
          <w:bCs w:val="0"/>
          <w:sz w:val="32"/>
          <w:szCs w:val="32"/>
          <w:lang w:val="en-US" w:eastAsia="zh-CN" w:bidi="ar-SA"/>
        </w:rPr>
        <w:t>件、区政府重要会议部署事项</w:t>
      </w:r>
      <w:r>
        <w:rPr>
          <w:rFonts w:hint="eastAsia" w:ascii="Times New Roman" w:hAnsi="Times New Roman" w:eastAsia="仿宋_GB2312" w:cs="Times New Roman"/>
          <w:sz w:val="32"/>
          <w:szCs w:val="32"/>
          <w:lang w:val="en-US" w:eastAsia="zh-CN"/>
        </w:rPr>
        <w:t>76</w:t>
      </w:r>
      <w:r>
        <w:rPr>
          <w:rFonts w:hint="eastAsia" w:ascii="仿宋_GB2312" w:hAnsi="仿宋_GB2312" w:eastAsia="仿宋_GB2312" w:cs="仿宋_GB2312"/>
          <w:b w:val="0"/>
          <w:bCs w:val="0"/>
          <w:sz w:val="32"/>
          <w:szCs w:val="32"/>
          <w:lang w:val="en-US" w:eastAsia="zh-CN" w:bidi="ar-SA"/>
        </w:rPr>
        <w:t>件、重要签批文件</w:t>
      </w:r>
      <w:r>
        <w:rPr>
          <w:rFonts w:hint="eastAsia" w:ascii="Times New Roman" w:hAnsi="Times New Roman" w:eastAsia="仿宋_GB2312" w:cs="Times New Roman"/>
          <w:sz w:val="32"/>
          <w:szCs w:val="32"/>
          <w:lang w:val="en-US" w:eastAsia="zh-CN"/>
        </w:rPr>
        <w:t>55</w:t>
      </w:r>
      <w:r>
        <w:rPr>
          <w:rFonts w:hint="eastAsia" w:ascii="仿宋_GB2312" w:hAnsi="仿宋_GB2312" w:eastAsia="仿宋_GB2312" w:cs="仿宋_GB2312"/>
          <w:b w:val="0"/>
          <w:bCs w:val="0"/>
          <w:sz w:val="32"/>
          <w:szCs w:val="32"/>
          <w:lang w:val="en-US" w:eastAsia="zh-CN" w:bidi="ar-SA"/>
        </w:rPr>
        <w:t>件，对国务院第八次大督查反馈问题整改、文明城市创建、党的二十大安保维稳、省级乡村振兴成效显著县及省级五星级现代农业园区创建等</w:t>
      </w:r>
      <w:r>
        <w:rPr>
          <w:rFonts w:hint="eastAsia" w:ascii="Times New Roman" w:hAnsi="Times New Roman" w:eastAsia="仿宋_GB2312" w:cs="Times New Roman"/>
          <w:sz w:val="32"/>
          <w:szCs w:val="32"/>
          <w:lang w:val="en-US" w:eastAsia="zh-CN"/>
        </w:rPr>
        <w:t>15</w:t>
      </w:r>
      <w:r>
        <w:rPr>
          <w:rFonts w:hint="eastAsia" w:ascii="仿宋_GB2312" w:hAnsi="仿宋_GB2312" w:eastAsia="仿宋_GB2312" w:cs="仿宋_GB2312"/>
          <w:b w:val="0"/>
          <w:bCs w:val="0"/>
          <w:sz w:val="32"/>
          <w:szCs w:val="32"/>
          <w:lang w:val="en-US" w:eastAsia="zh-CN" w:bidi="ar-SA"/>
        </w:rPr>
        <w:t>项重点工作进行专项督查督办，印发通报</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b w:val="0"/>
          <w:bCs w:val="0"/>
          <w:sz w:val="32"/>
          <w:szCs w:val="32"/>
          <w:lang w:val="en-US" w:eastAsia="zh-CN" w:bidi="ar-SA"/>
        </w:rPr>
        <w:t>期，累计通报整改问题</w:t>
      </w:r>
      <w:r>
        <w:rPr>
          <w:rFonts w:hint="eastAsia" w:ascii="Times New Roman" w:hAnsi="Times New Roman" w:eastAsia="仿宋_GB2312" w:cs="Times New Roman"/>
          <w:sz w:val="32"/>
          <w:szCs w:val="32"/>
          <w:lang w:val="en-US" w:eastAsia="zh-CN"/>
        </w:rPr>
        <w:t>110</w:t>
      </w:r>
      <w:r>
        <w:rPr>
          <w:rFonts w:hint="eastAsia" w:ascii="仿宋_GB2312" w:hAnsi="仿宋_GB2312" w:eastAsia="仿宋_GB2312" w:cs="仿宋_GB2312"/>
          <w:b w:val="0"/>
          <w:bCs w:val="0"/>
          <w:sz w:val="32"/>
          <w:szCs w:val="32"/>
          <w:lang w:val="en-US" w:eastAsia="zh-CN" w:bidi="ar-SA"/>
        </w:rPr>
        <w:t>余个。督办国务院办公厅“互联网+督查”反映问题</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b w:val="0"/>
          <w:bCs w:val="0"/>
          <w:sz w:val="32"/>
          <w:szCs w:val="32"/>
          <w:lang w:val="en-US" w:eastAsia="zh-CN" w:bidi="ar-SA"/>
        </w:rPr>
        <w:t>个、人大建议和政协提案</w:t>
      </w:r>
      <w:r>
        <w:rPr>
          <w:rFonts w:hint="eastAsia" w:ascii="Times New Roman" w:hAnsi="Times New Roman" w:eastAsia="仿宋_GB2312" w:cs="Times New Roman"/>
          <w:sz w:val="32"/>
          <w:szCs w:val="32"/>
          <w:lang w:val="en-US" w:eastAsia="zh-CN"/>
        </w:rPr>
        <w:t>188</w:t>
      </w:r>
      <w:r>
        <w:rPr>
          <w:rFonts w:hint="eastAsia" w:ascii="仿宋_GB2312" w:hAnsi="仿宋_GB2312" w:eastAsia="仿宋_GB2312" w:cs="仿宋_GB2312"/>
          <w:b w:val="0"/>
          <w:bCs w:val="0"/>
          <w:sz w:val="32"/>
          <w:szCs w:val="32"/>
          <w:lang w:val="en-US" w:eastAsia="zh-CN" w:bidi="ar-SA"/>
        </w:rPr>
        <w:t>件，完成率</w:t>
      </w:r>
      <w:r>
        <w:rPr>
          <w:rFonts w:hint="eastAsia" w:ascii="Times New Roman" w:hAnsi="Times New Roman" w:eastAsia="仿宋_GB2312" w:cs="Times New Roman"/>
          <w:sz w:val="32"/>
          <w:szCs w:val="32"/>
          <w:lang w:val="en-US" w:eastAsia="zh-CN"/>
        </w:rPr>
        <w:t>100%</w:t>
      </w:r>
      <w:r>
        <w:rPr>
          <w:rFonts w:hint="eastAsia" w:ascii="仿宋_GB2312" w:hAnsi="仿宋_GB2312" w:eastAsia="仿宋_GB2312" w:cs="仿宋_GB2312"/>
          <w:b w:val="0"/>
          <w:bCs w:val="0"/>
          <w:sz w:val="32"/>
          <w:szCs w:val="32"/>
          <w:lang w:val="en-US" w:eastAsia="zh-CN" w:bidi="ar-SA"/>
        </w:rPr>
        <w:t>、满意率</w:t>
      </w:r>
      <w:r>
        <w:rPr>
          <w:rFonts w:hint="eastAsia" w:ascii="Times New Roman" w:hAnsi="Times New Roman" w:eastAsia="仿宋_GB2312" w:cs="Times New Roman"/>
          <w:sz w:val="32"/>
          <w:szCs w:val="32"/>
          <w:lang w:val="en-US" w:eastAsia="zh-CN"/>
        </w:rPr>
        <w:t>100%</w:t>
      </w:r>
      <w:r>
        <w:rPr>
          <w:rFonts w:hint="eastAsia" w:ascii="仿宋_GB2312" w:hAnsi="仿宋_GB2312" w:eastAsia="仿宋_GB2312" w:cs="仿宋_GB2312"/>
          <w:b w:val="0"/>
          <w:bCs w:val="0"/>
          <w:sz w:val="32"/>
          <w:szCs w:val="32"/>
          <w:lang w:val="en-US" w:eastAsia="zh-CN" w:bidi="ar-SA"/>
        </w:rPr>
        <w:t>。开展多轮森林防灭火、防汛减灾、城镇燃气和自建房安全等专项督查</w:t>
      </w:r>
      <w:r>
        <w:rPr>
          <w:rFonts w:hint="eastAsia" w:ascii="Times New Roman" w:hAnsi="Times New Roman" w:eastAsia="仿宋_GB2312" w:cs="Times New Roman"/>
          <w:sz w:val="32"/>
          <w:szCs w:val="32"/>
          <w:lang w:val="en-US" w:eastAsia="zh-CN"/>
        </w:rPr>
        <w:t>20</w:t>
      </w:r>
      <w:r>
        <w:rPr>
          <w:rFonts w:hint="eastAsia" w:ascii="仿宋_GB2312" w:hAnsi="仿宋_GB2312" w:eastAsia="仿宋_GB2312" w:cs="仿宋_GB2312"/>
          <w:b w:val="0"/>
          <w:bCs w:val="0"/>
          <w:sz w:val="32"/>
          <w:szCs w:val="32"/>
          <w:lang w:val="en-US" w:eastAsia="zh-CN" w:bidi="ar-SA"/>
        </w:rPr>
        <w:t>次，印发通报</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b w:val="0"/>
          <w:bCs w:val="0"/>
          <w:sz w:val="32"/>
          <w:szCs w:val="32"/>
          <w:lang w:val="en-US" w:eastAsia="zh-CN" w:bidi="ar-SA"/>
        </w:rPr>
        <w:t>期、累计通报整改问题</w:t>
      </w:r>
      <w:r>
        <w:rPr>
          <w:rFonts w:hint="eastAsia" w:ascii="Times New Roman" w:hAnsi="Times New Roman" w:eastAsia="仿宋_GB2312" w:cs="Times New Roman"/>
          <w:sz w:val="32"/>
          <w:szCs w:val="32"/>
          <w:lang w:val="en-US" w:eastAsia="zh-CN"/>
        </w:rPr>
        <w:t>76</w:t>
      </w:r>
      <w:r>
        <w:rPr>
          <w:rFonts w:hint="eastAsia" w:ascii="仿宋_GB2312" w:hAnsi="仿宋_GB2312" w:eastAsia="仿宋_GB2312" w:cs="仿宋_GB2312"/>
          <w:b w:val="0"/>
          <w:bCs w:val="0"/>
          <w:sz w:val="32"/>
          <w:szCs w:val="32"/>
          <w:lang w:val="en-US" w:eastAsia="zh-CN" w:bidi="ar-SA"/>
        </w:rPr>
        <w:t>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楷体_GB2312" w:hAnsi="楷体_GB2312" w:eastAsia="楷体_GB2312" w:cs="楷体_GB2312"/>
          <w:b w:val="0"/>
          <w:bCs w:val="0"/>
          <w:sz w:val="32"/>
          <w:szCs w:val="32"/>
          <w:lang w:val="en-US" w:eastAsia="zh-CN" w:bidi="ar-SA"/>
        </w:rPr>
        <w:t>（二）牵头抓好重点工作实施方面。</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b w:val="0"/>
          <w:bCs w:val="0"/>
          <w:sz w:val="32"/>
          <w:szCs w:val="32"/>
          <w:lang w:eastAsia="zh-CN" w:bidi="ar-SA"/>
        </w:rPr>
        <w:t>加快推进民生实事</w:t>
      </w:r>
      <w:r>
        <w:rPr>
          <w:rFonts w:hint="eastAsia" w:ascii="仿宋_GB2312" w:hAnsi="仿宋_GB2312" w:eastAsia="仿宋_GB2312" w:cs="仿宋_GB2312"/>
          <w:b w:val="0"/>
          <w:bCs w:val="0"/>
          <w:sz w:val="32"/>
          <w:szCs w:val="32"/>
          <w:lang w:bidi="ar-SA"/>
        </w:rPr>
        <w:t>，</w:t>
      </w:r>
      <w:r>
        <w:rPr>
          <w:rFonts w:hint="eastAsia" w:ascii="仿宋_GB2312" w:hAnsi="仿宋_GB2312" w:eastAsia="仿宋_GB2312" w:cs="仿宋_GB2312"/>
          <w:b w:val="0"/>
          <w:bCs w:val="0"/>
          <w:sz w:val="32"/>
          <w:szCs w:val="32"/>
          <w:lang w:eastAsia="zh-CN" w:bidi="ar-SA"/>
        </w:rPr>
        <w:t>不断</w:t>
      </w:r>
      <w:r>
        <w:rPr>
          <w:rFonts w:hint="eastAsia" w:ascii="仿宋_GB2312" w:hAnsi="仿宋_GB2312" w:eastAsia="仿宋_GB2312" w:cs="仿宋_GB2312"/>
          <w:b w:val="0"/>
          <w:bCs w:val="0"/>
          <w:sz w:val="32"/>
          <w:szCs w:val="32"/>
          <w:lang w:bidi="ar-SA"/>
        </w:rPr>
        <w:t>凝聚经济发展强大合力</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sz w:val="32"/>
          <w:szCs w:val="32"/>
          <w:lang w:val="en-US" w:eastAsia="zh-CN" w:bidi="ar-SA"/>
        </w:rPr>
        <w:t>严格按照区委、区政府要求，在省市下达我区</w:t>
      </w:r>
      <w:r>
        <w:rPr>
          <w:rFonts w:hint="eastAsia" w:ascii="Times New Roman" w:hAnsi="Times New Roman" w:eastAsia="仿宋_GB2312" w:cs="Times New Roman"/>
          <w:sz w:val="32"/>
          <w:szCs w:val="32"/>
          <w:lang w:val="en-US" w:eastAsia="zh-CN"/>
        </w:rPr>
        <w:t>23</w:t>
      </w:r>
      <w:r>
        <w:rPr>
          <w:rFonts w:hint="eastAsia" w:ascii="仿宋_GB2312" w:hAnsi="仿宋_GB2312" w:eastAsia="仿宋_GB2312" w:cs="仿宋_GB2312"/>
          <w:b w:val="0"/>
          <w:bCs w:val="0"/>
          <w:sz w:val="32"/>
          <w:szCs w:val="32"/>
          <w:lang w:val="en-US" w:eastAsia="zh-CN" w:bidi="ar-SA"/>
        </w:rPr>
        <w:t>件民生实事任务基础上，统筹</w:t>
      </w:r>
      <w:r>
        <w:rPr>
          <w:rFonts w:hint="eastAsia" w:ascii="仿宋_GB2312" w:hAnsi="仿宋_GB2312" w:eastAsia="仿宋_GB2312" w:cs="仿宋_GB2312"/>
          <w:color w:val="000000"/>
          <w:kern w:val="2"/>
          <w:sz w:val="32"/>
          <w:szCs w:val="32"/>
          <w:highlight w:val="none"/>
          <w:lang w:val="en-US" w:eastAsia="zh-CN" w:bidi="ar-SA"/>
        </w:rPr>
        <w:t>区八届人大二次会议票决</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color w:val="000000"/>
          <w:kern w:val="2"/>
          <w:sz w:val="32"/>
          <w:szCs w:val="32"/>
          <w:highlight w:val="none"/>
          <w:lang w:val="en-US" w:eastAsia="zh-CN" w:bidi="ar-SA"/>
        </w:rPr>
        <w:t>件民生实事</w:t>
      </w:r>
      <w:r>
        <w:rPr>
          <w:rFonts w:hint="eastAsia" w:ascii="仿宋_GB2312" w:hAnsi="仿宋_GB2312" w:eastAsia="仿宋_GB2312" w:cs="仿宋_GB2312"/>
          <w:b w:val="0"/>
          <w:bCs w:val="0"/>
          <w:sz w:val="32"/>
          <w:szCs w:val="32"/>
          <w:lang w:val="en-US" w:eastAsia="zh-CN" w:bidi="ar-SA"/>
        </w:rPr>
        <w:t>，形成《</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b w:val="0"/>
          <w:bCs w:val="0"/>
          <w:sz w:val="32"/>
          <w:szCs w:val="32"/>
          <w:lang w:val="en-US" w:eastAsia="zh-CN" w:bidi="ar-SA"/>
        </w:rPr>
        <w:t>年全区</w:t>
      </w:r>
      <w:r>
        <w:rPr>
          <w:rFonts w:hint="eastAsia" w:ascii="Times New Roman" w:hAnsi="Times New Roman" w:eastAsia="仿宋_GB2312" w:cs="Times New Roman"/>
          <w:sz w:val="32"/>
          <w:szCs w:val="32"/>
          <w:lang w:val="en-US" w:eastAsia="zh-CN"/>
        </w:rPr>
        <w:t>30</w:t>
      </w:r>
      <w:r>
        <w:rPr>
          <w:rFonts w:hint="eastAsia" w:ascii="仿宋_GB2312" w:hAnsi="仿宋_GB2312" w:eastAsia="仿宋_GB2312" w:cs="仿宋_GB2312"/>
          <w:b w:val="0"/>
          <w:bCs w:val="0"/>
          <w:sz w:val="32"/>
          <w:szCs w:val="32"/>
          <w:lang w:val="en-US" w:eastAsia="zh-CN" w:bidi="ar-SA"/>
        </w:rPr>
        <w:t>件民生实事实施方案》，</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b w:val="0"/>
          <w:bCs w:val="0"/>
          <w:sz w:val="32"/>
          <w:szCs w:val="32"/>
          <w:lang w:val="en-US" w:eastAsia="zh-CN" w:bidi="ar-SA"/>
        </w:rPr>
        <w:t>将</w:t>
      </w:r>
      <w:r>
        <w:rPr>
          <w:rFonts w:hint="eastAsia" w:ascii="Times New Roman" w:hAnsi="Times New Roman" w:eastAsia="仿宋_GB2312" w:cs="Times New Roman"/>
          <w:sz w:val="32"/>
          <w:szCs w:val="32"/>
          <w:lang w:val="en-US" w:eastAsia="zh-CN"/>
        </w:rPr>
        <w:t>30</w:t>
      </w:r>
      <w:r>
        <w:rPr>
          <w:rFonts w:hint="eastAsia" w:ascii="仿宋_GB2312" w:hAnsi="仿宋_GB2312" w:eastAsia="仿宋_GB2312" w:cs="仿宋_GB2312"/>
          <w:b w:val="0"/>
          <w:bCs w:val="0"/>
          <w:sz w:val="32"/>
          <w:szCs w:val="32"/>
          <w:lang w:val="en-US" w:eastAsia="zh-CN" w:bidi="ar-SA"/>
        </w:rPr>
        <w:t>件民生实事细化分解为</w:t>
      </w:r>
      <w:r>
        <w:rPr>
          <w:rFonts w:hint="eastAsia" w:ascii="Times New Roman" w:hAnsi="Times New Roman" w:eastAsia="仿宋_GB2312" w:cs="Times New Roman"/>
          <w:sz w:val="32"/>
          <w:szCs w:val="32"/>
          <w:lang w:val="en-US" w:eastAsia="zh-CN"/>
        </w:rPr>
        <w:t>58</w:t>
      </w:r>
      <w:r>
        <w:rPr>
          <w:rFonts w:hint="eastAsia" w:ascii="仿宋_GB2312" w:hAnsi="仿宋_GB2312" w:eastAsia="仿宋_GB2312" w:cs="仿宋_GB2312"/>
          <w:b w:val="0"/>
          <w:bCs w:val="0"/>
          <w:sz w:val="32"/>
          <w:szCs w:val="32"/>
          <w:lang w:val="en-US" w:eastAsia="zh-CN" w:bidi="ar-SA"/>
        </w:rPr>
        <w:t>个小项具体任务，组织相关责任单位集中会商</w:t>
      </w: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b w:val="0"/>
          <w:bCs w:val="0"/>
          <w:sz w:val="32"/>
          <w:szCs w:val="32"/>
          <w:lang w:val="en-US" w:eastAsia="zh-CN" w:bidi="ar-SA"/>
        </w:rPr>
        <w:t>次，开展专项调度督查</w:t>
      </w:r>
      <w:r>
        <w:rPr>
          <w:rFonts w:hint="eastAsia" w:ascii="Times New Roman" w:hAnsi="Times New Roman" w:eastAsia="仿宋_GB2312" w:cs="Times New Roman"/>
          <w:sz w:val="32"/>
          <w:szCs w:val="32"/>
          <w:lang w:val="en-US" w:eastAsia="zh-CN"/>
        </w:rPr>
        <w:t>15</w:t>
      </w:r>
      <w:r>
        <w:rPr>
          <w:rFonts w:hint="eastAsia" w:ascii="仿宋_GB2312" w:hAnsi="仿宋_GB2312" w:eastAsia="仿宋_GB2312" w:cs="仿宋_GB2312"/>
          <w:b w:val="0"/>
          <w:bCs w:val="0"/>
          <w:sz w:val="32"/>
          <w:szCs w:val="32"/>
          <w:lang w:val="en-US" w:eastAsia="zh-CN" w:bidi="ar-SA"/>
        </w:rPr>
        <w:t>次、印发督查通报</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b w:val="0"/>
          <w:bCs w:val="0"/>
          <w:sz w:val="32"/>
          <w:szCs w:val="32"/>
          <w:lang w:val="en-US" w:eastAsia="zh-CN" w:bidi="ar-SA"/>
        </w:rPr>
        <w:t>期，协调民生实事推进过程中各类困难问题</w:t>
      </w:r>
      <w:r>
        <w:rPr>
          <w:rFonts w:hint="eastAsia" w:ascii="Times New Roman" w:hAnsi="Times New Roman" w:eastAsia="仿宋_GB2312" w:cs="Times New Roman"/>
          <w:sz w:val="32"/>
          <w:szCs w:val="32"/>
          <w:lang w:val="en-US" w:eastAsia="zh-CN"/>
        </w:rPr>
        <w:t>13</w:t>
      </w:r>
      <w:r>
        <w:rPr>
          <w:rFonts w:hint="eastAsia" w:ascii="仿宋_GB2312" w:hAnsi="仿宋_GB2312" w:eastAsia="仿宋_GB2312" w:cs="仿宋_GB2312"/>
          <w:b w:val="0"/>
          <w:bCs w:val="0"/>
          <w:sz w:val="32"/>
          <w:szCs w:val="32"/>
          <w:lang w:val="en-US" w:eastAsia="zh-CN" w:bidi="ar-SA"/>
        </w:rPr>
        <w:t>个，刊载民生实事宣传稿件</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b w:val="0"/>
          <w:bCs w:val="0"/>
          <w:sz w:val="32"/>
          <w:szCs w:val="32"/>
          <w:lang w:val="en-US" w:eastAsia="zh-CN" w:bidi="ar-SA"/>
        </w:rPr>
        <w:t>条。</w:t>
      </w:r>
      <w:r>
        <w:rPr>
          <w:rFonts w:hint="eastAsia" w:ascii="仿宋_GB2312" w:hAnsi="仿宋_GB2312" w:eastAsia="仿宋_GB2312" w:cs="仿宋_GB2312"/>
          <w:b w:val="0"/>
          <w:bCs w:val="0"/>
          <w:sz w:val="32"/>
          <w:szCs w:val="32"/>
          <w:lang w:eastAsia="zh-CN" w:bidi="ar-SA"/>
        </w:rPr>
        <w:t>二是</w:t>
      </w:r>
      <w:r>
        <w:rPr>
          <w:rFonts w:hint="eastAsia" w:ascii="仿宋_GB2312" w:hAnsi="仿宋_GB2312" w:eastAsia="仿宋_GB2312" w:cs="仿宋_GB2312"/>
          <w:b w:val="0"/>
          <w:bCs w:val="0"/>
          <w:sz w:val="32"/>
          <w:szCs w:val="32"/>
          <w:lang w:bidi="ar-SA"/>
        </w:rPr>
        <w:t>聚焦疫情形势变化，科学精准做好防控督办工作</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sz w:val="32"/>
          <w:szCs w:val="32"/>
          <w:lang w:bidi="ar-SA"/>
        </w:rPr>
        <w:t>今年以来，通过</w:t>
      </w:r>
      <w:r>
        <w:rPr>
          <w:rFonts w:hint="eastAsia" w:ascii="仿宋_GB2312" w:hAnsi="仿宋_GB2312" w:eastAsia="仿宋_GB2312" w:cs="仿宋_GB2312"/>
          <w:b w:val="0"/>
          <w:bCs w:val="0"/>
          <w:sz w:val="32"/>
          <w:szCs w:val="32"/>
          <w:lang w:eastAsia="zh-CN" w:bidi="ar-SA"/>
        </w:rPr>
        <w:t>职工会</w:t>
      </w:r>
      <w:r>
        <w:rPr>
          <w:rFonts w:hint="eastAsia" w:ascii="仿宋_GB2312" w:hAnsi="仿宋_GB2312" w:eastAsia="仿宋_GB2312" w:cs="仿宋_GB2312"/>
          <w:b w:val="0"/>
          <w:bCs w:val="0"/>
          <w:sz w:val="32"/>
          <w:szCs w:val="32"/>
          <w:lang w:bidi="ar-SA"/>
        </w:rPr>
        <w:t>向</w:t>
      </w:r>
      <w:r>
        <w:rPr>
          <w:rFonts w:hint="eastAsia" w:ascii="仿宋_GB2312" w:hAnsi="仿宋_GB2312" w:eastAsia="仿宋_GB2312" w:cs="仿宋_GB2312"/>
          <w:b w:val="0"/>
          <w:bCs w:val="0"/>
          <w:sz w:val="32"/>
          <w:szCs w:val="32"/>
          <w:lang w:eastAsia="zh-CN" w:bidi="ar-SA"/>
        </w:rPr>
        <w:t>我中心</w:t>
      </w:r>
      <w:r>
        <w:rPr>
          <w:rFonts w:hint="eastAsia" w:ascii="仿宋_GB2312" w:hAnsi="仿宋_GB2312" w:eastAsia="仿宋_GB2312" w:cs="仿宋_GB2312"/>
          <w:b w:val="0"/>
          <w:bCs w:val="0"/>
          <w:sz w:val="32"/>
          <w:szCs w:val="32"/>
          <w:lang w:bidi="ar-SA"/>
        </w:rPr>
        <w:t>干部职工传达疫情防控政策</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b w:val="0"/>
          <w:bCs w:val="0"/>
          <w:sz w:val="32"/>
          <w:szCs w:val="32"/>
          <w:lang w:bidi="ar-SA"/>
        </w:rPr>
        <w:t>次，在疫情防控工作交流群等平台共享疫情防控即时资料</w:t>
      </w:r>
      <w:r>
        <w:rPr>
          <w:rFonts w:hint="eastAsia" w:ascii="Times New Roman" w:hAnsi="Times New Roman" w:eastAsia="仿宋_GB2312" w:cs="Times New Roman"/>
          <w:sz w:val="32"/>
          <w:szCs w:val="32"/>
          <w:lang w:val="en-US" w:eastAsia="zh-CN"/>
        </w:rPr>
        <w:t>50</w:t>
      </w:r>
      <w:r>
        <w:rPr>
          <w:rFonts w:hint="eastAsia" w:ascii="仿宋_GB2312" w:hAnsi="仿宋_GB2312" w:eastAsia="仿宋_GB2312" w:cs="仿宋_GB2312"/>
          <w:b w:val="0"/>
          <w:bCs w:val="0"/>
          <w:sz w:val="32"/>
          <w:szCs w:val="32"/>
          <w:lang w:bidi="ar-SA"/>
        </w:rPr>
        <w:t>份，</w:t>
      </w:r>
      <w:r>
        <w:rPr>
          <w:rFonts w:hint="eastAsia" w:ascii="仿宋_GB2312" w:hAnsi="仿宋_GB2312" w:eastAsia="仿宋_GB2312" w:cs="仿宋_GB2312"/>
          <w:b w:val="0"/>
          <w:bCs w:val="0"/>
          <w:sz w:val="32"/>
          <w:szCs w:val="32"/>
          <w:lang w:eastAsia="zh-CN" w:bidi="ar-SA"/>
        </w:rPr>
        <w:t>让督查员</w:t>
      </w:r>
      <w:r>
        <w:rPr>
          <w:rFonts w:hint="eastAsia" w:ascii="仿宋_GB2312" w:hAnsi="仿宋_GB2312" w:eastAsia="仿宋_GB2312" w:cs="仿宋_GB2312"/>
          <w:b w:val="0"/>
          <w:bCs w:val="0"/>
          <w:sz w:val="32"/>
          <w:szCs w:val="32"/>
          <w:lang w:bidi="ar-SA"/>
        </w:rPr>
        <w:t>精准督查的能力明显提升。</w:t>
      </w:r>
      <w:r>
        <w:rPr>
          <w:rFonts w:hint="eastAsia" w:ascii="仿宋_GB2312" w:hAnsi="仿宋_GB2312" w:eastAsia="仿宋_GB2312" w:cs="仿宋_GB2312"/>
          <w:b w:val="0"/>
          <w:bCs w:val="0"/>
          <w:sz w:val="32"/>
          <w:szCs w:val="32"/>
          <w:lang w:val="en-US" w:eastAsia="zh-CN" w:bidi="ar-SA"/>
        </w:rPr>
        <w:t>开展综合督查</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b w:val="0"/>
          <w:bCs w:val="0"/>
          <w:sz w:val="32"/>
          <w:szCs w:val="32"/>
          <w:lang w:val="en-US" w:eastAsia="zh-CN" w:bidi="ar-SA"/>
        </w:rPr>
        <w:t>次、专项督查</w:t>
      </w: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b w:val="0"/>
          <w:bCs w:val="0"/>
          <w:sz w:val="32"/>
          <w:szCs w:val="32"/>
          <w:lang w:val="en-US" w:eastAsia="zh-CN" w:bidi="ar-SA"/>
        </w:rPr>
        <w:t>次，发现并督促整改各类问题</w:t>
      </w:r>
      <w:r>
        <w:rPr>
          <w:rFonts w:hint="eastAsia" w:ascii="Times New Roman" w:hAnsi="Times New Roman" w:eastAsia="仿宋_GB2312" w:cs="Times New Roman"/>
          <w:sz w:val="32"/>
          <w:szCs w:val="32"/>
          <w:lang w:val="en-US" w:eastAsia="zh-CN"/>
        </w:rPr>
        <w:t>118</w:t>
      </w:r>
      <w:r>
        <w:rPr>
          <w:rFonts w:hint="eastAsia" w:ascii="仿宋_GB2312" w:hAnsi="仿宋_GB2312" w:eastAsia="仿宋_GB2312" w:cs="仿宋_GB2312"/>
          <w:b w:val="0"/>
          <w:bCs w:val="0"/>
          <w:sz w:val="32"/>
          <w:szCs w:val="32"/>
          <w:lang w:val="en-US" w:eastAsia="zh-CN" w:bidi="ar-SA"/>
        </w:rPr>
        <w:t>个，累计派出疫情防控督查督办力量</w:t>
      </w:r>
      <w:r>
        <w:rPr>
          <w:rFonts w:hint="eastAsia" w:ascii="Times New Roman" w:hAnsi="Times New Roman" w:eastAsia="仿宋_GB2312" w:cs="Times New Roman"/>
          <w:sz w:val="32"/>
          <w:szCs w:val="32"/>
          <w:lang w:val="en-US" w:eastAsia="zh-CN"/>
        </w:rPr>
        <w:t>980</w:t>
      </w:r>
      <w:r>
        <w:rPr>
          <w:rFonts w:hint="eastAsia" w:ascii="仿宋_GB2312" w:hAnsi="仿宋_GB2312" w:eastAsia="仿宋_GB2312" w:cs="仿宋_GB2312"/>
          <w:b w:val="0"/>
          <w:bCs w:val="0"/>
          <w:sz w:val="32"/>
          <w:szCs w:val="32"/>
          <w:lang w:val="en-US" w:eastAsia="zh-CN" w:bidi="ar-SA"/>
        </w:rPr>
        <w:t>余人次，全领域多角度检视了疫情防控工作。</w:t>
      </w:r>
      <w:r>
        <w:rPr>
          <w:rFonts w:hint="eastAsia" w:ascii="仿宋_GB2312" w:hAnsi="仿宋_GB2312" w:eastAsia="仿宋_GB2312" w:cs="仿宋_GB2312"/>
          <w:b w:val="0"/>
          <w:bCs w:val="0"/>
          <w:color w:val="auto"/>
          <w:sz w:val="32"/>
          <w:szCs w:val="32"/>
          <w:lang w:val="en-US" w:eastAsia="zh-CN" w:bidi="ar-SA"/>
        </w:rPr>
        <w:t>三是全力抓好专项整治，切实提升减负工作实效质效。</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制发</w:t>
      </w:r>
      <w:r>
        <w:rPr>
          <w:rFonts w:hint="eastAsia" w:ascii="仿宋_GB2312" w:hAnsi="仿宋_GB2312" w:eastAsia="仿宋_GB2312" w:cs="仿宋_GB2312"/>
          <w:color w:val="000000"/>
          <w:sz w:val="32"/>
          <w:szCs w:val="32"/>
          <w:highlight w:val="none"/>
        </w:rPr>
        <w:t>《昭化区</w:t>
      </w:r>
      <w:r>
        <w:rPr>
          <w:rFonts w:hint="eastAsia" w:ascii="仿宋_GB2312" w:hAnsi="仿宋_GB2312" w:eastAsia="仿宋_GB2312" w:cs="仿宋_GB2312"/>
          <w:color w:val="000000"/>
          <w:sz w:val="32"/>
          <w:szCs w:val="32"/>
          <w:highlight w:val="none"/>
          <w:lang w:eastAsia="zh-CN"/>
        </w:rPr>
        <w:t>整治</w:t>
      </w:r>
      <w:r>
        <w:rPr>
          <w:rFonts w:hint="eastAsia" w:ascii="仿宋_GB2312" w:hAnsi="仿宋_GB2312" w:eastAsia="仿宋_GB2312" w:cs="仿宋_GB2312"/>
          <w:color w:val="000000"/>
          <w:sz w:val="32"/>
          <w:szCs w:val="32"/>
          <w:highlight w:val="none"/>
        </w:rPr>
        <w:t>形式主义</w:t>
      </w:r>
      <w:r>
        <w:rPr>
          <w:rFonts w:hint="eastAsia" w:ascii="仿宋_GB2312" w:hAnsi="仿宋_GB2312" w:eastAsia="仿宋_GB2312" w:cs="仿宋_GB2312"/>
          <w:color w:val="000000"/>
          <w:sz w:val="32"/>
          <w:szCs w:val="32"/>
          <w:highlight w:val="none"/>
          <w:lang w:eastAsia="zh-CN"/>
        </w:rPr>
        <w:t>为</w:t>
      </w:r>
      <w:r>
        <w:rPr>
          <w:rFonts w:hint="eastAsia" w:ascii="仿宋_GB2312" w:hAnsi="仿宋_GB2312" w:eastAsia="仿宋_GB2312" w:cs="仿宋_GB2312"/>
          <w:color w:val="000000"/>
          <w:sz w:val="32"/>
          <w:szCs w:val="32"/>
          <w:highlight w:val="none"/>
        </w:rPr>
        <w:t>基层减负</w:t>
      </w:r>
      <w:r>
        <w:rPr>
          <w:rFonts w:hint="eastAsia" w:ascii="仿宋_GB2312" w:hAnsi="仿宋_GB2312" w:eastAsia="仿宋_GB2312" w:cs="仿宋_GB2312"/>
          <w:color w:val="000000"/>
          <w:sz w:val="32"/>
          <w:szCs w:val="32"/>
          <w:highlight w:val="none"/>
          <w:lang w:eastAsia="zh-CN"/>
        </w:rPr>
        <w:t>专项</w:t>
      </w:r>
      <w:r>
        <w:rPr>
          <w:rFonts w:hint="eastAsia" w:ascii="仿宋_GB2312" w:hAnsi="仿宋_GB2312" w:eastAsia="仿宋_GB2312" w:cs="仿宋_GB2312"/>
          <w:color w:val="000000"/>
          <w:sz w:val="32"/>
          <w:szCs w:val="32"/>
          <w:highlight w:val="none"/>
        </w:rPr>
        <w:t>工作</w:t>
      </w:r>
      <w:r>
        <w:rPr>
          <w:rFonts w:hint="eastAsia" w:ascii="仿宋_GB2312" w:hAnsi="仿宋_GB2312" w:eastAsia="仿宋_GB2312" w:cs="仿宋_GB2312"/>
          <w:color w:val="000000"/>
          <w:sz w:val="32"/>
          <w:szCs w:val="32"/>
          <w:highlight w:val="none"/>
          <w:lang w:eastAsia="zh-CN"/>
        </w:rPr>
        <w:t>机制</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color w:val="000000"/>
          <w:sz w:val="32"/>
          <w:szCs w:val="32"/>
          <w:highlight w:val="none"/>
          <w:lang w:val="en-US" w:eastAsia="zh-CN"/>
        </w:rPr>
        <w:t>年工作措施及</w:t>
      </w:r>
      <w:r>
        <w:rPr>
          <w:rFonts w:hint="eastAsia" w:ascii="仿宋_GB2312" w:hAnsi="仿宋_GB2312" w:eastAsia="仿宋_GB2312" w:cs="仿宋_GB2312"/>
          <w:color w:val="000000"/>
          <w:sz w:val="32"/>
          <w:szCs w:val="32"/>
          <w:highlight w:val="none"/>
        </w:rPr>
        <w:t>责任分工方案》，</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eastAsia="zh-CN"/>
        </w:rPr>
        <w:t>向市专项机制报告工作情况</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次，</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调度</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eastAsia="zh-CN"/>
        </w:rPr>
        <w:t>重点任务牵头部门工作情况</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次</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color w:val="000000"/>
          <w:kern w:val="2"/>
          <w:sz w:val="32"/>
          <w:szCs w:val="32"/>
          <w:highlight w:val="none"/>
          <w:lang w:val="en-US" w:eastAsia="zh-CN"/>
        </w:rPr>
        <w:t>印发《</w:t>
      </w:r>
      <w:r>
        <w:rPr>
          <w:rFonts w:hint="eastAsia" w:ascii="仿宋_GB2312" w:hAnsi="仿宋_GB2312" w:eastAsia="仿宋_GB2312" w:cs="仿宋_GB2312"/>
          <w:color w:val="000000"/>
          <w:sz w:val="32"/>
          <w:szCs w:val="32"/>
          <w:highlight w:val="none"/>
          <w:lang w:val="en-US" w:eastAsia="zh-CN"/>
        </w:rPr>
        <w:t>严格落实统筹</w:t>
      </w:r>
      <w:r>
        <w:rPr>
          <w:rFonts w:hint="eastAsia" w:ascii="仿宋_GB2312" w:hAnsi="仿宋_GB2312" w:eastAsia="仿宋_GB2312" w:cs="仿宋_GB2312"/>
          <w:color w:val="000000"/>
          <w:spacing w:val="0"/>
          <w:w w:val="100"/>
          <w:kern w:val="2"/>
          <w:sz w:val="32"/>
          <w:szCs w:val="32"/>
          <w:highlight w:val="none"/>
          <w:lang w:val="en-US" w:eastAsia="zh-CN"/>
        </w:rPr>
        <w:t>规范督查检查考核七条措施》</w:t>
      </w:r>
      <w:r>
        <w:rPr>
          <w:rFonts w:hint="eastAsia" w:ascii="仿宋_GB2312" w:hAnsi="仿宋_GB2312" w:eastAsia="仿宋_GB2312" w:cs="仿宋_GB2312"/>
          <w:b w:val="0"/>
          <w:bCs w:val="0"/>
          <w:color w:val="000000"/>
          <w:spacing w:val="0"/>
          <w:w w:val="100"/>
          <w:sz w:val="32"/>
          <w:szCs w:val="32"/>
          <w:highlight w:val="none"/>
          <w:lang w:val="en-US" w:eastAsia="zh-CN"/>
        </w:rPr>
        <w:t>《</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b w:val="0"/>
          <w:bCs w:val="0"/>
          <w:color w:val="000000"/>
          <w:spacing w:val="0"/>
          <w:w w:val="100"/>
          <w:sz w:val="32"/>
          <w:szCs w:val="32"/>
          <w:highlight w:val="none"/>
          <w:lang w:val="en-US" w:eastAsia="zh-CN"/>
        </w:rPr>
        <w:t>年区级督查检查考核计划》</w:t>
      </w:r>
      <w:r>
        <w:rPr>
          <w:rFonts w:hint="eastAsia" w:ascii="仿宋_GB2312" w:hAnsi="仿宋_GB2312" w:eastAsia="仿宋_GB2312" w:cs="仿宋_GB2312"/>
          <w:color w:val="000000"/>
          <w:kern w:val="2"/>
          <w:sz w:val="32"/>
          <w:szCs w:val="32"/>
          <w:highlight w:val="none"/>
          <w:lang w:val="en-US" w:eastAsia="zh-CN"/>
        </w:rPr>
        <w:t>，统筹规范年度区级督查检查考核</w:t>
      </w:r>
      <w:r>
        <w:rPr>
          <w:rFonts w:hint="eastAsia" w:ascii="仿宋_GB2312" w:hAnsi="仿宋_GB2312" w:eastAsia="仿宋_GB2312" w:cs="仿宋_GB2312"/>
          <w:color w:val="000000"/>
          <w:sz w:val="32"/>
          <w:szCs w:val="32"/>
          <w:highlight w:val="none"/>
        </w:rPr>
        <w:t>事项</w:t>
      </w:r>
      <w:r>
        <w:rPr>
          <w:rFonts w:hint="eastAsia" w:ascii="Times New Roman" w:hAnsi="Times New Roman" w:eastAsia="仿宋_GB2312" w:cs="Times New Roman"/>
          <w:sz w:val="32"/>
          <w:szCs w:val="32"/>
          <w:lang w:val="en-US" w:eastAsia="zh-CN"/>
        </w:rPr>
        <w:t>26</w:t>
      </w:r>
      <w:r>
        <w:rPr>
          <w:rFonts w:hint="eastAsia" w:ascii="仿宋_GB2312" w:hAnsi="仿宋_GB2312" w:eastAsia="仿宋_GB2312" w:cs="仿宋_GB2312"/>
          <w:color w:val="000000"/>
          <w:sz w:val="32"/>
          <w:szCs w:val="32"/>
          <w:highlight w:val="none"/>
        </w:rPr>
        <w:t>项</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kern w:val="2"/>
          <w:sz w:val="32"/>
          <w:szCs w:val="32"/>
          <w:highlight w:val="none"/>
          <w:lang w:val="en-US" w:eastAsia="zh-CN"/>
        </w:rPr>
        <w:t>利用</w:t>
      </w:r>
      <w:r>
        <w:rPr>
          <w:rFonts w:hint="eastAsia" w:ascii="Times New Roman" w:hAnsi="Times New Roman" w:eastAsia="仿宋_GB2312" w:cs="Times New Roman"/>
          <w:sz w:val="32"/>
          <w:szCs w:val="32"/>
          <w:lang w:val="en-US" w:eastAsia="zh-CN"/>
        </w:rPr>
        <w:t>LED</w:t>
      </w:r>
      <w:r>
        <w:rPr>
          <w:rFonts w:hint="eastAsia" w:ascii="仿宋_GB2312" w:hAnsi="仿宋_GB2312" w:eastAsia="仿宋_GB2312" w:cs="仿宋_GB2312"/>
          <w:color w:val="000000"/>
          <w:kern w:val="2"/>
          <w:sz w:val="32"/>
          <w:szCs w:val="32"/>
          <w:highlight w:val="none"/>
          <w:lang w:val="en-US" w:eastAsia="zh-CN"/>
        </w:rPr>
        <w:t>屏刊播相关宣传信息</w:t>
      </w:r>
      <w:r>
        <w:rPr>
          <w:rFonts w:hint="eastAsia" w:ascii="Times New Roman" w:hAnsi="Times New Roman" w:eastAsia="仿宋_GB2312" w:cs="Times New Roman"/>
          <w:sz w:val="32"/>
          <w:szCs w:val="32"/>
          <w:lang w:val="en-US" w:eastAsia="zh-CN"/>
        </w:rPr>
        <w:t>500</w:t>
      </w:r>
      <w:r>
        <w:rPr>
          <w:rFonts w:hint="eastAsia" w:ascii="仿宋_GB2312" w:hAnsi="仿宋_GB2312" w:eastAsia="仿宋_GB2312" w:cs="仿宋_GB2312"/>
          <w:color w:val="000000"/>
          <w:kern w:val="2"/>
          <w:sz w:val="32"/>
          <w:szCs w:val="32"/>
          <w:highlight w:val="none"/>
          <w:lang w:val="en-US" w:eastAsia="zh-CN"/>
        </w:rPr>
        <w:t>余幅次，</w:t>
      </w:r>
      <w:r>
        <w:rPr>
          <w:rFonts w:hint="eastAsia" w:ascii="仿宋_GB2312" w:hAnsi="仿宋_GB2312" w:eastAsia="仿宋_GB2312" w:cs="仿宋_GB2312"/>
          <w:i w:val="0"/>
          <w:iCs w:val="0"/>
          <w:caps w:val="0"/>
          <w:color w:val="000000"/>
          <w:spacing w:val="0"/>
          <w:sz w:val="32"/>
          <w:szCs w:val="32"/>
          <w:highlight w:val="none"/>
          <w:shd w:val="clear" w:color="auto" w:fill="auto"/>
        </w:rPr>
        <w:t>推动</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形成干事创业良好风气</w:t>
      </w:r>
      <w:r>
        <w:rPr>
          <w:rFonts w:hint="eastAsia" w:ascii="仿宋_GB2312" w:hAnsi="仿宋_GB2312" w:eastAsia="仿宋_GB2312" w:cs="仿宋_GB2312"/>
          <w:i w:val="0"/>
          <w:iCs w:val="0"/>
          <w:caps w:val="0"/>
          <w:color w:val="000000"/>
          <w:spacing w:val="0"/>
          <w:sz w:val="32"/>
          <w:szCs w:val="32"/>
          <w:highlight w:val="none"/>
          <w:shd w:val="clear" w:color="auto" w:fill="auto"/>
        </w:rPr>
        <w:t>。</w:t>
      </w:r>
      <w:r>
        <w:rPr>
          <w:rFonts w:hint="eastAsia" w:ascii="仿宋_GB2312" w:hAnsi="仿宋_GB2312" w:eastAsia="仿宋_GB2312" w:cs="仿宋_GB2312"/>
          <w:b w:val="0"/>
          <w:bCs w:val="0"/>
          <w:sz w:val="32"/>
          <w:szCs w:val="32"/>
          <w:lang w:val="en-US" w:eastAsia="zh-CN" w:bidi="ar-SA"/>
        </w:rPr>
        <w:t>四是持续发力久久为功，不断巩固巡视整改工作成果。</w:t>
      </w:r>
      <w:r>
        <w:rPr>
          <w:rFonts w:hint="eastAsia" w:ascii="仿宋_GB2312" w:hAnsi="仿宋_GB2312" w:eastAsia="仿宋_GB2312" w:cs="仿宋_GB2312"/>
          <w:color w:val="000000"/>
          <w:sz w:val="32"/>
          <w:szCs w:val="32"/>
          <w:highlight w:val="none"/>
          <w:lang w:eastAsia="zh-CN"/>
        </w:rPr>
        <w:t>传达</w:t>
      </w:r>
      <w:r>
        <w:rPr>
          <w:rFonts w:hint="eastAsia" w:ascii="仿宋_GB2312" w:hAnsi="仿宋_GB2312" w:eastAsia="仿宋_GB2312" w:cs="仿宋_GB2312"/>
          <w:color w:val="000000"/>
          <w:sz w:val="32"/>
          <w:szCs w:val="32"/>
          <w:highlight w:val="none"/>
        </w:rPr>
        <w:t>学习习近平总书记关于巡视工作的重要</w:t>
      </w:r>
      <w:r>
        <w:rPr>
          <w:rFonts w:hint="eastAsia" w:ascii="仿宋_GB2312" w:hAnsi="仿宋_GB2312" w:eastAsia="仿宋_GB2312" w:cs="仿宋_GB2312"/>
          <w:color w:val="000000"/>
          <w:sz w:val="32"/>
          <w:szCs w:val="32"/>
          <w:highlight w:val="none"/>
          <w:lang w:eastAsia="zh-CN"/>
        </w:rPr>
        <w:t>论述和中共中央办公厅</w:t>
      </w:r>
      <w:r>
        <w:rPr>
          <w:rFonts w:hint="eastAsia" w:ascii="仿宋_GB2312" w:hAnsi="仿宋_GB2312" w:eastAsia="仿宋_GB2312" w:cs="仿宋_GB2312"/>
          <w:color w:val="000000"/>
          <w:sz w:val="32"/>
          <w:szCs w:val="32"/>
          <w:highlight w:val="none"/>
        </w:rPr>
        <w:t>《关于加强巡视整改和成果运用的意见》《关于加强巡视巡察上下联动的实施意见》等文件精神</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color w:val="000000"/>
          <w:sz w:val="32"/>
          <w:szCs w:val="32"/>
          <w:highlight w:val="none"/>
          <w:lang w:val="en-US" w:eastAsia="zh-CN"/>
        </w:rPr>
        <w:t>批次</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b w:val="0"/>
          <w:bCs w:val="0"/>
          <w:color w:val="auto"/>
          <w:spacing w:val="0"/>
          <w:sz w:val="32"/>
          <w:szCs w:val="32"/>
          <w:lang w:eastAsia="zh-CN"/>
        </w:rPr>
        <w:t>对未完成整改事项推进情况</w:t>
      </w:r>
      <w:r>
        <w:rPr>
          <w:rFonts w:hint="eastAsia" w:ascii="仿宋_GB2312" w:hAnsi="仿宋_GB2312" w:eastAsia="仿宋_GB2312" w:cs="仿宋_GB2312"/>
          <w:b w:val="0"/>
          <w:bCs w:val="0"/>
          <w:color w:val="000000"/>
          <w:kern w:val="2"/>
          <w:sz w:val="32"/>
          <w:szCs w:val="32"/>
          <w:highlight w:val="none"/>
          <w:lang w:eastAsia="zh-CN"/>
        </w:rPr>
        <w:t>定期一收集、一梳理，督促责任领导和责任单位</w:t>
      </w:r>
      <w:r>
        <w:rPr>
          <w:rFonts w:hint="eastAsia" w:ascii="仿宋_GB2312" w:hAnsi="仿宋_GB2312" w:eastAsia="仿宋_GB2312" w:cs="仿宋_GB2312"/>
          <w:b w:val="0"/>
          <w:bCs w:val="0"/>
          <w:color w:val="auto"/>
          <w:spacing w:val="0"/>
          <w:sz w:val="32"/>
          <w:szCs w:val="32"/>
          <w:highlight w:val="none"/>
          <w:lang w:eastAsia="zh-CN"/>
        </w:rPr>
        <w:t>先后</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b w:val="0"/>
          <w:bCs w:val="0"/>
          <w:color w:val="auto"/>
          <w:spacing w:val="0"/>
          <w:sz w:val="32"/>
          <w:szCs w:val="32"/>
          <w:highlight w:val="none"/>
          <w:lang w:val="en-US" w:eastAsia="zh-CN"/>
        </w:rPr>
        <w:t>次召开会商会议</w:t>
      </w:r>
      <w:r>
        <w:rPr>
          <w:rFonts w:hint="eastAsia" w:ascii="仿宋_GB2312" w:hAnsi="仿宋_GB2312" w:eastAsia="仿宋_GB2312" w:cs="仿宋_GB2312"/>
          <w:b w:val="0"/>
          <w:bCs w:val="0"/>
          <w:color w:val="auto"/>
          <w:spacing w:val="0"/>
          <w:sz w:val="32"/>
          <w:szCs w:val="32"/>
          <w:highlight w:val="none"/>
          <w:lang w:eastAsia="zh-CN"/>
        </w:rPr>
        <w:t>研究部署走访、化解、稳控等工作。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bidi="ar-SA"/>
        </w:rPr>
      </w:pPr>
      <w:r>
        <w:rPr>
          <w:rFonts w:hint="eastAsia" w:ascii="楷体_GB2312" w:hAnsi="楷体_GB2312" w:eastAsia="楷体_GB2312" w:cs="楷体_GB2312"/>
          <w:b w:val="0"/>
          <w:bCs w:val="0"/>
          <w:sz w:val="32"/>
          <w:szCs w:val="32"/>
          <w:lang w:val="en-US" w:eastAsia="zh-CN" w:bidi="ar-SA"/>
        </w:rPr>
        <w:t>（三）开展目标绩效管理工作方面。</w:t>
      </w:r>
      <w:r>
        <w:rPr>
          <w:rFonts w:hint="eastAsia" w:ascii="仿宋_GB2312" w:hAnsi="仿宋_GB2312" w:eastAsia="仿宋_GB2312" w:cs="仿宋_GB2312"/>
          <w:b w:val="0"/>
          <w:bCs w:val="0"/>
          <w:sz w:val="32"/>
          <w:szCs w:val="32"/>
          <w:lang w:val="en-US" w:eastAsia="zh-CN" w:bidi="ar-SA"/>
        </w:rPr>
        <w:t>一是用好考核“指挥棒”，扎实做好目标绩效管理。根据区委、区政府重大决策部署和年度重点工作，围绕“四城新区”建设，突出以经济发展为第一要务，梳理归纳</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b w:val="0"/>
          <w:bCs w:val="0"/>
          <w:sz w:val="32"/>
          <w:szCs w:val="32"/>
          <w:lang w:val="en-US" w:eastAsia="zh-CN" w:bidi="ar-SA"/>
        </w:rPr>
        <w:t>年综合工作目标考核指标，设置项目投资、首善港城、宜居名城、产业优城、幸福新城、全面从严治党</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b w:val="0"/>
          <w:bCs w:val="0"/>
          <w:sz w:val="32"/>
          <w:szCs w:val="32"/>
          <w:lang w:val="en-US" w:eastAsia="zh-CN" w:bidi="ar-SA"/>
        </w:rPr>
        <w:t>项核心指标，增加经济类指标分值权重，提高主要经济指标超额完成加分上限，激励各级各部门拼经济搞建设。充分发挥目标绩效考核的正向激励作用，对目标绩效管理先进单位</w:t>
      </w:r>
      <w:r>
        <w:rPr>
          <w:rFonts w:hint="eastAsia" w:ascii="Times New Roman" w:hAnsi="Times New Roman" w:eastAsia="仿宋_GB2312" w:cs="Times New Roman"/>
          <w:sz w:val="32"/>
          <w:szCs w:val="32"/>
          <w:lang w:val="en-US" w:eastAsia="zh-CN"/>
        </w:rPr>
        <w:t>80%</w:t>
      </w:r>
      <w:r>
        <w:rPr>
          <w:rFonts w:hint="eastAsia" w:ascii="仿宋_GB2312" w:hAnsi="仿宋_GB2312" w:eastAsia="仿宋_GB2312" w:cs="仿宋_GB2312"/>
          <w:b w:val="0"/>
          <w:bCs w:val="0"/>
          <w:sz w:val="32"/>
          <w:szCs w:val="32"/>
          <w:lang w:val="en-US" w:eastAsia="zh-CN" w:bidi="ar-SA"/>
        </w:rPr>
        <w:t>的干部职工和目标绩效管理合格单位</w:t>
      </w:r>
      <w:r>
        <w:rPr>
          <w:rFonts w:hint="eastAsia" w:ascii="Times New Roman" w:hAnsi="Times New Roman" w:eastAsia="仿宋_GB2312" w:cs="Times New Roman"/>
          <w:sz w:val="32"/>
          <w:szCs w:val="32"/>
          <w:lang w:val="en-US" w:eastAsia="zh-CN"/>
        </w:rPr>
        <w:t>30%</w:t>
      </w:r>
      <w:r>
        <w:rPr>
          <w:rFonts w:hint="eastAsia" w:ascii="仿宋_GB2312" w:hAnsi="仿宋_GB2312" w:eastAsia="仿宋_GB2312" w:cs="仿宋_GB2312"/>
          <w:b w:val="0"/>
          <w:bCs w:val="0"/>
          <w:sz w:val="32"/>
          <w:szCs w:val="32"/>
          <w:lang w:val="en-US" w:eastAsia="zh-CN" w:bidi="ar-SA"/>
        </w:rPr>
        <w:t>的干部职工予以工作实绩上浮奖励，打破“平均主义”和“吃大锅饭”现象。二是督考一体抓落实，奋力推动目标任务完成。及时分解市下区目标任务，明确</w:t>
      </w:r>
      <w:r>
        <w:rPr>
          <w:rFonts w:hint="eastAsia" w:ascii="Times New Roman" w:hAnsi="Times New Roman" w:eastAsia="仿宋_GB2312" w:cs="Times New Roman"/>
          <w:sz w:val="32"/>
          <w:szCs w:val="32"/>
          <w:lang w:val="en-US" w:eastAsia="zh-CN"/>
        </w:rPr>
        <w:t>139</w:t>
      </w:r>
      <w:r>
        <w:rPr>
          <w:rFonts w:hint="eastAsia" w:ascii="仿宋_GB2312" w:hAnsi="仿宋_GB2312" w:eastAsia="仿宋_GB2312" w:cs="仿宋_GB2312"/>
          <w:b w:val="0"/>
          <w:bCs w:val="0"/>
          <w:sz w:val="32"/>
          <w:szCs w:val="32"/>
          <w:lang w:val="en-US" w:eastAsia="zh-CN" w:bidi="ar-SA"/>
        </w:rPr>
        <w:t>项市下区指标分管责任区领导和牵头责任单位，开展专项现场督导</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b w:val="0"/>
          <w:bCs w:val="0"/>
          <w:sz w:val="32"/>
          <w:szCs w:val="32"/>
          <w:lang w:val="en-US" w:eastAsia="zh-CN" w:bidi="ar-SA"/>
        </w:rPr>
        <w:t>批次，印发专项报告和督查通报</w:t>
      </w:r>
      <w:r>
        <w:rPr>
          <w:rFonts w:hint="eastAsia" w:ascii="Times New Roman" w:hAnsi="Times New Roman" w:eastAsia="仿宋_GB2312" w:cs="Times New Roman"/>
          <w:sz w:val="32"/>
          <w:szCs w:val="32"/>
          <w:lang w:val="en-US" w:eastAsia="zh-CN"/>
        </w:rPr>
        <w:t>15</w:t>
      </w:r>
      <w:r>
        <w:rPr>
          <w:rFonts w:hint="eastAsia" w:ascii="仿宋_GB2312" w:hAnsi="仿宋_GB2312" w:eastAsia="仿宋_GB2312" w:cs="仿宋_GB2312"/>
          <w:b w:val="0"/>
          <w:bCs w:val="0"/>
          <w:sz w:val="32"/>
          <w:szCs w:val="32"/>
          <w:lang w:val="en-US" w:eastAsia="zh-CN" w:bidi="ar-SA"/>
        </w:rPr>
        <w:t>期、督办单</w:t>
      </w:r>
      <w:r>
        <w:rPr>
          <w:rFonts w:hint="eastAsia" w:ascii="Times New Roman" w:hAnsi="Times New Roman" w:eastAsia="仿宋_GB2312" w:cs="Times New Roman"/>
          <w:sz w:val="32"/>
          <w:szCs w:val="32"/>
          <w:lang w:val="en-US" w:eastAsia="zh-CN"/>
        </w:rPr>
        <w:t>21</w:t>
      </w:r>
      <w:r>
        <w:rPr>
          <w:rFonts w:hint="eastAsia" w:ascii="仿宋_GB2312" w:hAnsi="仿宋_GB2312" w:eastAsia="仿宋_GB2312" w:cs="仿宋_GB2312"/>
          <w:b w:val="0"/>
          <w:bCs w:val="0"/>
          <w:sz w:val="32"/>
          <w:szCs w:val="32"/>
          <w:lang w:val="en-US" w:eastAsia="zh-CN" w:bidi="ar-SA"/>
        </w:rPr>
        <w:t>份。</w:t>
      </w:r>
      <w:r>
        <w:rPr>
          <w:rFonts w:hint="eastAsia" w:ascii="仿宋_GB2312" w:hAnsi="仿宋_GB2312" w:eastAsia="仿宋_GB2312" w:cs="仿宋_GB2312"/>
          <w:sz w:val="32"/>
          <w:szCs w:val="32"/>
          <w:lang w:eastAsia="zh-CN"/>
        </w:rPr>
        <w:t>按照区委书记在重点项目推进会上关于“定期通报，并将督办情况逗硬纳入目标考核”的指示要求，</w:t>
      </w:r>
      <w:r>
        <w:rPr>
          <w:rFonts w:hint="eastAsia" w:ascii="仿宋_GB2312" w:hAnsi="仿宋_GB2312" w:eastAsia="仿宋_GB2312" w:cs="仿宋_GB2312"/>
          <w:b w:val="0"/>
          <w:bCs w:val="0"/>
          <w:sz w:val="32"/>
          <w:szCs w:val="32"/>
          <w:lang w:val="en-US" w:eastAsia="zh-CN" w:bidi="ar-SA"/>
        </w:rPr>
        <w:t>对完成市下目标任务且在市对区考核中贡献突出的责任单位，重奖加分；对未完成目标任务，严重影响市对区考核的责任单位，取消年度目标绩效管理评先资格，突出经济指标争先进位加分和退位倒数扣分，进一步鲜明追赶比超、勇争一流的目标导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bidi="ar-SA"/>
        </w:rPr>
        <w:t>（四）持续加强督查队伍建设方面。一是</w:t>
      </w:r>
      <w:r>
        <w:rPr>
          <w:rFonts w:hint="eastAsia" w:ascii="仿宋_GB2312" w:hAnsi="仿宋_GB2312" w:eastAsia="仿宋_GB2312" w:cs="仿宋_GB2312"/>
          <w:b w:val="0"/>
          <w:bCs w:val="0"/>
          <w:sz w:val="32"/>
          <w:szCs w:val="32"/>
          <w:lang w:val="en-US" w:eastAsia="zh-CN" w:bidi="ar-SA"/>
        </w:rPr>
        <w:t>集中优势，为督查队伍充实力量。建立“</w:t>
      </w:r>
      <w:r>
        <w:rPr>
          <w:rFonts w:hint="eastAsia" w:ascii="Times New Roman" w:hAnsi="Times New Roman" w:eastAsia="仿宋_GB2312" w:cs="Times New Roman"/>
          <w:sz w:val="32"/>
          <w:szCs w:val="32"/>
          <w:lang w:val="en-US" w:eastAsia="zh-CN"/>
        </w:rPr>
        <w:t>1+N+1</w:t>
      </w:r>
      <w:r>
        <w:rPr>
          <w:rFonts w:hint="eastAsia" w:ascii="仿宋_GB2312" w:hAnsi="仿宋_GB2312" w:eastAsia="仿宋_GB2312" w:cs="仿宋_GB2312"/>
          <w:b w:val="0"/>
          <w:bCs w:val="0"/>
          <w:sz w:val="32"/>
          <w:szCs w:val="32"/>
          <w:lang w:val="en-US" w:eastAsia="zh-CN" w:bidi="ar-SA"/>
        </w:rPr>
        <w:t>”大督查人员库，着力解决督查工作中人手紧、来源单一、不专不精等问题。组织区级各行业部门精选</w:t>
      </w:r>
      <w:r>
        <w:rPr>
          <w:rFonts w:hint="eastAsia" w:ascii="Times New Roman" w:hAnsi="Times New Roman" w:eastAsia="仿宋_GB2312" w:cs="Times New Roman"/>
          <w:b w:val="0"/>
          <w:bCs w:val="0"/>
          <w:kern w:val="2"/>
          <w:sz w:val="32"/>
          <w:szCs w:val="32"/>
          <w:lang w:val="en-US" w:eastAsia="zh-CN" w:bidi="ar-SA"/>
        </w:rPr>
        <w:t>3—4</w:t>
      </w:r>
      <w:r>
        <w:rPr>
          <w:rFonts w:hint="eastAsia" w:ascii="仿宋_GB2312" w:hAnsi="仿宋_GB2312" w:eastAsia="仿宋_GB2312" w:cs="仿宋_GB2312"/>
          <w:b w:val="0"/>
          <w:bCs w:val="0"/>
          <w:sz w:val="32"/>
          <w:szCs w:val="32"/>
          <w:lang w:val="en-US" w:eastAsia="zh-CN" w:bidi="ar-SA"/>
        </w:rPr>
        <w:t>名具备</w:t>
      </w:r>
      <w:r>
        <w:rPr>
          <w:rFonts w:hint="eastAsia" w:ascii="Times New Roman" w:hAnsi="Times New Roman" w:eastAsia="仿宋_GB2312" w:cs="Times New Roman"/>
          <w:b w:val="0"/>
          <w:bCs w:val="0"/>
          <w:kern w:val="2"/>
          <w:sz w:val="32"/>
          <w:szCs w:val="32"/>
          <w:lang w:val="en-US" w:eastAsia="zh-CN" w:bidi="ar-SA"/>
        </w:rPr>
        <w:t>3</w:t>
      </w:r>
      <w:r>
        <w:rPr>
          <w:rFonts w:hint="eastAsia" w:ascii="仿宋_GB2312" w:hAnsi="仿宋_GB2312" w:eastAsia="仿宋_GB2312" w:cs="仿宋_GB2312"/>
          <w:b w:val="0"/>
          <w:bCs w:val="0"/>
          <w:sz w:val="32"/>
          <w:szCs w:val="32"/>
          <w:lang w:val="en-US" w:eastAsia="zh-CN" w:bidi="ar-SA"/>
        </w:rPr>
        <w:t>年以上工作经验的同志，结合职能职责实际，成立项目推进、生态环保、安全生产、乡村振兴、农业农村、信访维稳等</w:t>
      </w:r>
      <w:r>
        <w:rPr>
          <w:rFonts w:hint="eastAsia" w:ascii="Times New Roman" w:hAnsi="Times New Roman" w:eastAsia="仿宋_GB2312" w:cs="Times New Roman"/>
          <w:sz w:val="32"/>
          <w:szCs w:val="32"/>
          <w:lang w:val="en-US" w:eastAsia="zh-CN"/>
        </w:rPr>
        <w:t>N</w:t>
      </w:r>
      <w:r>
        <w:rPr>
          <w:rFonts w:hint="eastAsia" w:ascii="仿宋_GB2312" w:hAnsi="仿宋_GB2312" w:eastAsia="仿宋_GB2312" w:cs="仿宋_GB2312"/>
          <w:b w:val="0"/>
          <w:bCs w:val="0"/>
          <w:sz w:val="32"/>
          <w:szCs w:val="32"/>
          <w:lang w:val="en-US" w:eastAsia="zh-CN" w:bidi="ar-SA"/>
        </w:rPr>
        <w:t>个督查工作专项小组，进一步充实督查队伍力量，织密督查工作网络，建立新闻媒体监督参与督查工作机制，与区委网信办、区融媒体中心等单位合作，成立督查工作曝光组，根据督查点位具体情况，适时派员参与督查，进行暗访取证和典型问题曝光，持续跟踪问效，切实推动发现问题整改落实到位。开展“督目讲堂”“阅读畅谈”读书分享和文明礼仪素养提升集中学习活动。着力提升督查干部综合能力等。二是清单管理，为工作落实提供保障。制定“任务单+责任单+成绩单”清单管理模式。找准年度工作重点，明确工作思路，围绕目标管理、督查督办、巡视整改、整治形式主义等方面工作内容，坚持可量化、能落地和可操作的原则，将年度工作要点细化分解为</w:t>
      </w:r>
      <w:r>
        <w:rPr>
          <w:rFonts w:hint="eastAsia" w:ascii="Times New Roman" w:hAnsi="Times New Roman" w:eastAsia="仿宋_GB2312" w:cs="Times New Roman"/>
          <w:sz w:val="32"/>
          <w:szCs w:val="32"/>
          <w:lang w:val="en-US" w:eastAsia="zh-CN"/>
        </w:rPr>
        <w:t>17</w:t>
      </w:r>
      <w:r>
        <w:rPr>
          <w:rFonts w:hint="eastAsia" w:ascii="仿宋_GB2312" w:hAnsi="仿宋_GB2312" w:eastAsia="仿宋_GB2312" w:cs="仿宋_GB2312"/>
          <w:b w:val="0"/>
          <w:bCs w:val="0"/>
          <w:sz w:val="32"/>
          <w:szCs w:val="32"/>
          <w:lang w:val="en-US" w:eastAsia="zh-CN" w:bidi="ar-SA"/>
        </w:rPr>
        <w:t>类</w:t>
      </w:r>
      <w:r>
        <w:rPr>
          <w:rFonts w:hint="eastAsia" w:ascii="Times New Roman" w:hAnsi="Times New Roman" w:eastAsia="仿宋_GB2312" w:cs="Times New Roman"/>
          <w:sz w:val="32"/>
          <w:szCs w:val="32"/>
          <w:lang w:val="en-US" w:eastAsia="zh-CN"/>
        </w:rPr>
        <w:t>33</w:t>
      </w:r>
      <w:r>
        <w:rPr>
          <w:rFonts w:hint="eastAsia" w:ascii="仿宋_GB2312" w:hAnsi="仿宋_GB2312" w:eastAsia="仿宋_GB2312" w:cs="仿宋_GB2312"/>
          <w:b w:val="0"/>
          <w:bCs w:val="0"/>
          <w:sz w:val="32"/>
          <w:szCs w:val="32"/>
          <w:lang w:val="en-US" w:eastAsia="zh-CN" w:bidi="ar-SA"/>
        </w:rPr>
        <w:t>项具体目标任务，建立“周报告、月小结、季总结”动态管理机制，各股室每月在干部职工大会上公开“晒单”，接受分管领导点评和会议评议，对工作完成较好的股室及其创新做法作经验交流。</w:t>
      </w:r>
    </w:p>
    <w:p>
      <w:pPr>
        <w:pStyle w:val="3"/>
        <w:keepNext w:val="0"/>
        <w:keepLines w:val="0"/>
        <w:pageBreakBefore w:val="0"/>
        <w:widowControl w:val="0"/>
        <w:kinsoku/>
        <w:wordWrap/>
        <w:overflowPunct/>
        <w:topLinePunct w:val="0"/>
        <w:bidi w:val="0"/>
        <w:spacing w:before="0" w:after="0" w:line="576" w:lineRule="exact"/>
        <w:ind w:left="0" w:leftChars="0" w:right="0" w:firstLine="0" w:firstLineChars="0"/>
        <w:jc w:val="center"/>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sz w:val="32"/>
          <w:szCs w:val="32"/>
          <w:lang w:val="en-US" w:eastAsia="zh-CN" w:bidi="ar-SA"/>
        </w:rPr>
        <w:t xml:space="preserve">   </w:t>
      </w:r>
      <w:r>
        <w:rPr>
          <w:rFonts w:hint="eastAsia" w:ascii="楷体_GB2312" w:hAnsi="楷体_GB2312" w:eastAsia="楷体_GB2312" w:cs="楷体_GB2312"/>
          <w:b w:val="0"/>
          <w:bCs w:val="0"/>
          <w:sz w:val="32"/>
          <w:szCs w:val="32"/>
          <w:lang w:eastAsia="zh-CN" w:bidi="ar-SA"/>
        </w:rPr>
        <w:t>（五）落实全面从严治党主体责任方面。</w:t>
      </w:r>
      <w:r>
        <w:rPr>
          <w:rFonts w:hint="eastAsia" w:ascii="仿宋_GB2312" w:hAnsi="仿宋_GB2312" w:eastAsia="仿宋_GB2312" w:cs="仿宋_GB2312"/>
          <w:b w:val="0"/>
          <w:bCs w:val="0"/>
          <w:kern w:val="2"/>
          <w:sz w:val="32"/>
          <w:szCs w:val="32"/>
          <w:lang w:eastAsia="zh-CN"/>
        </w:rPr>
        <w:t>今</w:t>
      </w:r>
      <w:r>
        <w:rPr>
          <w:rFonts w:hint="eastAsia" w:ascii="仿宋_GB2312" w:hAnsi="仿宋_GB2312" w:eastAsia="仿宋_GB2312" w:cs="仿宋_GB2312"/>
          <w:b w:val="0"/>
          <w:bCs w:val="0"/>
          <w:kern w:val="2"/>
          <w:sz w:val="32"/>
          <w:szCs w:val="32"/>
        </w:rPr>
        <w:t>年</w:t>
      </w:r>
      <w:r>
        <w:rPr>
          <w:rFonts w:hint="eastAsia" w:ascii="仿宋_GB2312" w:hAnsi="仿宋_GB2312" w:eastAsia="仿宋_GB2312" w:cs="仿宋_GB2312"/>
          <w:b w:val="0"/>
          <w:bCs w:val="0"/>
          <w:kern w:val="2"/>
          <w:sz w:val="32"/>
          <w:szCs w:val="32"/>
          <w:lang w:eastAsia="zh-CN"/>
        </w:rPr>
        <w:t>以</w:t>
      </w:r>
      <w:r>
        <w:rPr>
          <w:rFonts w:hint="eastAsia" w:ascii="仿宋_GB2312" w:hAnsi="仿宋_GB2312" w:eastAsia="仿宋_GB2312" w:cs="仿宋_GB2312"/>
          <w:b w:val="0"/>
          <w:bCs w:val="0"/>
          <w:kern w:val="2"/>
          <w:sz w:val="32"/>
          <w:szCs w:val="32"/>
        </w:rPr>
        <w:t>来，开展集中学习</w:t>
      </w:r>
      <w:r>
        <w:rPr>
          <w:rFonts w:hint="eastAsia" w:ascii="Times New Roman" w:hAnsi="Times New Roman" w:eastAsia="仿宋_GB2312" w:cs="Times New Roman"/>
          <w:b w:val="0"/>
          <w:bCs w:val="0"/>
          <w:kern w:val="2"/>
          <w:sz w:val="32"/>
          <w:szCs w:val="32"/>
          <w:lang w:val="en-US" w:eastAsia="zh-CN"/>
        </w:rPr>
        <w:t>12</w:t>
      </w:r>
      <w:r>
        <w:rPr>
          <w:rFonts w:hint="eastAsia" w:ascii="仿宋_GB2312" w:hAnsi="仿宋_GB2312" w:eastAsia="仿宋_GB2312" w:cs="仿宋_GB2312"/>
          <w:b w:val="0"/>
          <w:bCs w:val="0"/>
          <w:kern w:val="2"/>
          <w:sz w:val="32"/>
          <w:szCs w:val="32"/>
          <w:lang w:val="en-US" w:eastAsia="zh-CN"/>
        </w:rPr>
        <w:t>批次</w:t>
      </w:r>
      <w:r>
        <w:rPr>
          <w:rFonts w:hint="eastAsia" w:ascii="仿宋_GB2312" w:hAnsi="仿宋_GB2312" w:eastAsia="仿宋_GB2312" w:cs="仿宋_GB2312"/>
          <w:b w:val="0"/>
          <w:bCs w:val="0"/>
          <w:kern w:val="2"/>
          <w:sz w:val="32"/>
          <w:szCs w:val="32"/>
        </w:rPr>
        <w:t>，组织全体党员赴</w:t>
      </w:r>
      <w:r>
        <w:rPr>
          <w:rFonts w:hint="eastAsia" w:ascii="仿宋_GB2312" w:hAnsi="仿宋_GB2312" w:eastAsia="仿宋_GB2312" w:cs="仿宋_GB2312"/>
          <w:b w:val="0"/>
          <w:bCs w:val="0"/>
          <w:kern w:val="2"/>
          <w:sz w:val="32"/>
          <w:szCs w:val="32"/>
          <w:lang w:eastAsia="zh-CN"/>
        </w:rPr>
        <w:t>红军山</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b w:val="0"/>
          <w:bCs w:val="0"/>
          <w:kern w:val="2"/>
          <w:sz w:val="32"/>
          <w:szCs w:val="32"/>
          <w:lang w:eastAsia="zh-CN"/>
        </w:rPr>
        <w:t>通江县</w:t>
      </w:r>
      <w:r>
        <w:rPr>
          <w:rFonts w:hint="eastAsia" w:ascii="仿宋_GB2312" w:hAnsi="仿宋_GB2312" w:eastAsia="仿宋_GB2312" w:cs="仿宋_GB2312"/>
          <w:b w:val="0"/>
          <w:bCs w:val="0"/>
          <w:kern w:val="2"/>
          <w:sz w:val="32"/>
          <w:szCs w:val="32"/>
        </w:rPr>
        <w:t>等革命教育基地开展理想信念教育</w:t>
      </w:r>
      <w:r>
        <w:rPr>
          <w:rFonts w:hint="eastAsia" w:ascii="Times New Roman" w:hAnsi="Times New Roman" w:eastAsia="仿宋_GB2312" w:cs="Times New Roman"/>
          <w:b w:val="0"/>
          <w:bCs w:val="0"/>
          <w:kern w:val="2"/>
          <w:sz w:val="32"/>
          <w:szCs w:val="32"/>
          <w:lang w:val="en-US" w:eastAsia="zh-CN"/>
        </w:rPr>
        <w:t>2</w:t>
      </w:r>
      <w:r>
        <w:rPr>
          <w:rFonts w:hint="eastAsia" w:ascii="仿宋_GB2312" w:hAnsi="仿宋_GB2312" w:eastAsia="仿宋_GB2312" w:cs="仿宋_GB2312"/>
          <w:b w:val="0"/>
          <w:bCs w:val="0"/>
          <w:kern w:val="2"/>
          <w:sz w:val="32"/>
          <w:szCs w:val="32"/>
        </w:rPr>
        <w:t>批次，激发了党员干部学习的热情，补足了党员干部精神之钙。建立</w:t>
      </w:r>
      <w:r>
        <w:rPr>
          <w:rFonts w:hint="eastAsia" w:ascii="仿宋_GB2312" w:hAnsi="仿宋_GB2312" w:eastAsia="仿宋_GB2312" w:cs="仿宋_GB2312"/>
          <w:b w:val="0"/>
          <w:bCs w:val="0"/>
          <w:kern w:val="2"/>
          <w:sz w:val="32"/>
          <w:szCs w:val="32"/>
          <w:lang w:eastAsia="zh-CN"/>
        </w:rPr>
        <w:t>健全</w:t>
      </w:r>
      <w:r>
        <w:rPr>
          <w:rFonts w:hint="eastAsia" w:ascii="仿宋_GB2312" w:hAnsi="仿宋_GB2312" w:eastAsia="仿宋_GB2312" w:cs="仿宋_GB2312"/>
          <w:b w:val="0"/>
          <w:bCs w:val="0"/>
          <w:kern w:val="2"/>
          <w:sz w:val="32"/>
          <w:szCs w:val="32"/>
        </w:rPr>
        <w:t>《党建“三级五岗”责任清单》，对党建工作做到月度研究、季度检查。</w:t>
      </w:r>
      <w:r>
        <w:rPr>
          <w:rFonts w:hint="eastAsia" w:ascii="仿宋_GB2312" w:hAnsi="仿宋_GB2312" w:eastAsia="仿宋_GB2312" w:cs="仿宋_GB2312"/>
          <w:b w:val="0"/>
          <w:bCs w:val="0"/>
          <w:kern w:val="2"/>
          <w:sz w:val="32"/>
          <w:szCs w:val="32"/>
          <w:lang w:eastAsia="zh-CN"/>
        </w:rPr>
        <w:t>完善</w:t>
      </w:r>
      <w:r>
        <w:rPr>
          <w:rFonts w:hint="eastAsia" w:ascii="仿宋_GB2312" w:hAnsi="仿宋_GB2312" w:eastAsia="仿宋_GB2312" w:cs="仿宋_GB2312"/>
          <w:b w:val="0"/>
          <w:bCs w:val="0"/>
          <w:kern w:val="2"/>
          <w:sz w:val="32"/>
          <w:szCs w:val="32"/>
        </w:rPr>
        <w:t>《</w:t>
      </w:r>
      <w:r>
        <w:rPr>
          <w:rFonts w:hint="eastAsia" w:ascii="Times New Roman" w:hAnsi="Times New Roman" w:eastAsia="仿宋_GB2312" w:cs="Times New Roman"/>
          <w:b w:val="0"/>
          <w:bCs w:val="0"/>
          <w:kern w:val="2"/>
          <w:sz w:val="32"/>
          <w:szCs w:val="32"/>
          <w:lang w:val="en-US" w:eastAsia="zh-CN"/>
        </w:rPr>
        <w:t>2022</w:t>
      </w:r>
      <w:r>
        <w:rPr>
          <w:rFonts w:hint="eastAsia" w:ascii="仿宋_GB2312" w:hAnsi="仿宋_GB2312" w:eastAsia="仿宋_GB2312" w:cs="仿宋_GB2312"/>
          <w:b w:val="0"/>
          <w:bCs w:val="0"/>
          <w:kern w:val="2"/>
          <w:sz w:val="32"/>
          <w:szCs w:val="32"/>
        </w:rPr>
        <w:t>年全面从严治党主体责任</w:t>
      </w:r>
      <w:r>
        <w:rPr>
          <w:rFonts w:hint="eastAsia" w:ascii="仿宋_GB2312" w:hAnsi="仿宋_GB2312" w:eastAsia="仿宋_GB2312" w:cs="仿宋_GB2312"/>
          <w:b w:val="0"/>
          <w:bCs w:val="0"/>
          <w:kern w:val="2"/>
          <w:sz w:val="32"/>
          <w:szCs w:val="32"/>
          <w:lang w:eastAsia="zh-CN"/>
        </w:rPr>
        <w:t>清单</w:t>
      </w:r>
      <w:r>
        <w:rPr>
          <w:rFonts w:hint="eastAsia" w:ascii="仿宋_GB2312" w:hAnsi="仿宋_GB2312" w:eastAsia="仿宋_GB2312" w:cs="仿宋_GB2312"/>
          <w:b w:val="0"/>
          <w:bCs w:val="0"/>
          <w:kern w:val="2"/>
          <w:sz w:val="32"/>
          <w:szCs w:val="32"/>
        </w:rPr>
        <w:t>》《</w:t>
      </w:r>
      <w:r>
        <w:rPr>
          <w:rFonts w:hint="default" w:ascii="Times New Roman" w:hAnsi="Times New Roman" w:eastAsia="仿宋_GB2312" w:cs="Times New Roman"/>
          <w:b w:val="0"/>
          <w:bCs w:val="0"/>
          <w:kern w:val="2"/>
          <w:sz w:val="32"/>
          <w:szCs w:val="32"/>
          <w:lang w:val="en-US" w:eastAsia="zh-CN"/>
        </w:rPr>
        <w:t>2022</w:t>
      </w:r>
      <w:r>
        <w:rPr>
          <w:rFonts w:hint="eastAsia" w:ascii="仿宋_GB2312" w:hAnsi="仿宋_GB2312" w:eastAsia="仿宋_GB2312" w:cs="仿宋_GB2312"/>
          <w:b w:val="0"/>
          <w:bCs w:val="0"/>
          <w:kern w:val="2"/>
          <w:sz w:val="32"/>
          <w:szCs w:val="32"/>
        </w:rPr>
        <w:t>年重点权力风险防控清单》</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班子成员严格</w:t>
      </w:r>
      <w:r>
        <w:rPr>
          <w:rFonts w:hint="eastAsia" w:ascii="仿宋_GB2312" w:hAnsi="仿宋_GB2312" w:eastAsia="仿宋_GB2312" w:cs="仿宋_GB2312"/>
          <w:b w:val="0"/>
          <w:bCs w:val="0"/>
          <w:kern w:val="2"/>
          <w:sz w:val="32"/>
          <w:szCs w:val="32"/>
          <w:lang w:eastAsia="zh-CN"/>
        </w:rPr>
        <w:t>落实</w:t>
      </w:r>
      <w:r>
        <w:rPr>
          <w:rFonts w:hint="eastAsia" w:ascii="仿宋_GB2312" w:hAnsi="仿宋_GB2312" w:eastAsia="仿宋_GB2312" w:cs="仿宋_GB2312"/>
          <w:b w:val="0"/>
          <w:bCs w:val="0"/>
          <w:kern w:val="2"/>
          <w:sz w:val="32"/>
          <w:szCs w:val="32"/>
        </w:rPr>
        <w:t>领导干部述职述廉、党风廉政建设责任制工作纪实制度。严格落实中央八项规定、省委省政府十项规定、市委“六个带头”、区委“七条要求”及其实施细则精神，持之以恒狠抓作风建设，切实加强干部职工作纪律的明查暗访力度，全力推动干部职工敢为、善为、能为，全面提升各</w:t>
      </w:r>
      <w:r>
        <w:rPr>
          <w:rFonts w:hint="eastAsia" w:ascii="仿宋_GB2312" w:hAnsi="仿宋_GB2312" w:eastAsia="仿宋_GB2312" w:cs="仿宋_GB2312"/>
          <w:b w:val="0"/>
          <w:bCs w:val="0"/>
          <w:kern w:val="2"/>
          <w:sz w:val="32"/>
          <w:szCs w:val="32"/>
          <w:lang w:eastAsia="zh-CN"/>
        </w:rPr>
        <w:t>股室</w:t>
      </w:r>
      <w:r>
        <w:rPr>
          <w:rFonts w:hint="eastAsia" w:ascii="仿宋_GB2312" w:hAnsi="仿宋_GB2312" w:eastAsia="仿宋_GB2312" w:cs="仿宋_GB2312"/>
          <w:b w:val="0"/>
          <w:bCs w:val="0"/>
          <w:kern w:val="2"/>
          <w:sz w:val="32"/>
          <w:szCs w:val="32"/>
        </w:rPr>
        <w:t>的工作和服务效能。</w:t>
      </w:r>
      <w:bookmarkEnd w:id="23"/>
    </w:p>
    <w:p>
      <w:pPr>
        <w:pStyle w:val="3"/>
        <w:keepNext w:val="0"/>
        <w:keepLines w:val="0"/>
        <w:pageBreakBefore w:val="0"/>
        <w:widowControl w:val="0"/>
        <w:kinsoku/>
        <w:wordWrap/>
        <w:overflowPunct/>
        <w:topLinePunct w:val="0"/>
        <w:bidi w:val="0"/>
        <w:spacing w:before="0" w:after="0" w:line="576" w:lineRule="exact"/>
        <w:ind w:left="0" w:leftChars="0" w:right="0" w:firstLine="0" w:firstLineChars="0"/>
        <w:jc w:val="center"/>
        <w:rPr>
          <w:rFonts w:hint="eastAsia" w:ascii="黑体" w:hAnsi="黑体" w:eastAsia="黑体" w:cs="Times New Roman"/>
          <w:b w:val="0"/>
          <w:bCs w:val="0"/>
          <w:color w:val="auto"/>
          <w:kern w:val="2"/>
          <w:sz w:val="48"/>
          <w:szCs w:val="48"/>
          <w:highlight w:val="none"/>
          <w:lang w:val="en-US" w:eastAsia="zh-CN" w:bidi="ar-SA"/>
        </w:rPr>
      </w:pPr>
    </w:p>
    <w:p>
      <w:pPr>
        <w:pStyle w:val="3"/>
        <w:keepNext w:val="0"/>
        <w:keepLines w:val="0"/>
        <w:pageBreakBefore w:val="0"/>
        <w:widowControl w:val="0"/>
        <w:kinsoku/>
        <w:wordWrap/>
        <w:overflowPunct/>
        <w:topLinePunct w:val="0"/>
        <w:bidi w:val="0"/>
        <w:spacing w:before="0" w:after="0" w:line="576" w:lineRule="exact"/>
        <w:ind w:left="0" w:leftChars="0" w:right="0" w:firstLine="0" w:firstLineChars="0"/>
        <w:jc w:val="center"/>
        <w:rPr>
          <w:rFonts w:hint="eastAsia" w:ascii="黑体" w:hAnsi="黑体" w:eastAsia="黑体" w:cs="Times New Roman"/>
          <w:b w:val="0"/>
          <w:bCs w:val="0"/>
          <w:color w:val="auto"/>
          <w:kern w:val="2"/>
          <w:sz w:val="48"/>
          <w:szCs w:val="48"/>
          <w:highlight w:val="none"/>
          <w:lang w:val="en-US" w:eastAsia="zh-CN" w:bidi="ar-SA"/>
        </w:rPr>
      </w:pPr>
    </w:p>
    <w:p>
      <w:pPr>
        <w:pStyle w:val="3"/>
        <w:keepNext w:val="0"/>
        <w:keepLines w:val="0"/>
        <w:pageBreakBefore w:val="0"/>
        <w:widowControl w:val="0"/>
        <w:kinsoku/>
        <w:wordWrap/>
        <w:overflowPunct/>
        <w:topLinePunct w:val="0"/>
        <w:bidi w:val="0"/>
        <w:spacing w:before="0" w:after="0" w:line="576" w:lineRule="exact"/>
        <w:ind w:left="0" w:leftChars="0" w:right="0" w:firstLine="0" w:firstLineChars="0"/>
        <w:jc w:val="center"/>
        <w:rPr>
          <w:rFonts w:hint="eastAsia" w:ascii="黑体" w:hAnsi="黑体" w:eastAsia="黑体" w:cs="Times New Roman"/>
          <w:b w:val="0"/>
          <w:bCs w:val="0"/>
          <w:color w:val="auto"/>
          <w:kern w:val="2"/>
          <w:sz w:val="48"/>
          <w:szCs w:val="48"/>
          <w:highlight w:val="none"/>
          <w:lang w:val="en-US" w:eastAsia="zh-CN" w:bidi="ar-SA"/>
        </w:rPr>
      </w:pPr>
    </w:p>
    <w:p>
      <w:pPr>
        <w:pStyle w:val="3"/>
        <w:keepNext w:val="0"/>
        <w:keepLines w:val="0"/>
        <w:pageBreakBefore w:val="0"/>
        <w:widowControl w:val="0"/>
        <w:kinsoku/>
        <w:wordWrap/>
        <w:overflowPunct/>
        <w:topLinePunct w:val="0"/>
        <w:bidi w:val="0"/>
        <w:spacing w:before="0" w:after="0" w:line="576" w:lineRule="exact"/>
        <w:ind w:left="0" w:leftChars="0" w:right="0" w:firstLine="0" w:firstLineChars="0"/>
        <w:jc w:val="center"/>
        <w:rPr>
          <w:rFonts w:hint="eastAsia" w:ascii="黑体" w:hAnsi="黑体" w:eastAsia="黑体" w:cs="Times New Roman"/>
          <w:b w:val="0"/>
          <w:bCs w:val="0"/>
          <w:color w:val="auto"/>
          <w:kern w:val="2"/>
          <w:sz w:val="48"/>
          <w:szCs w:val="48"/>
          <w:highlight w:val="none"/>
          <w:lang w:val="en-US" w:eastAsia="zh-CN" w:bidi="ar-SA"/>
        </w:rPr>
      </w:pPr>
    </w:p>
    <w:p>
      <w:pPr>
        <w:rPr>
          <w:rFonts w:hint="eastAsia" w:ascii="黑体" w:hAnsi="黑体" w:eastAsia="黑体" w:cs="Times New Roman"/>
          <w:b w:val="0"/>
          <w:bCs w:val="0"/>
          <w:color w:val="auto"/>
          <w:kern w:val="2"/>
          <w:sz w:val="48"/>
          <w:szCs w:val="48"/>
          <w:highlight w:val="none"/>
          <w:lang w:val="en-US" w:eastAsia="zh-CN" w:bidi="ar-SA"/>
        </w:rPr>
      </w:pPr>
    </w:p>
    <w:p>
      <w:pPr>
        <w:pStyle w:val="7"/>
        <w:rPr>
          <w:rFonts w:hint="eastAsia"/>
          <w:lang w:val="en-US" w:eastAsia="zh-CN"/>
        </w:rPr>
      </w:pPr>
    </w:p>
    <w:p>
      <w:pPr>
        <w:pStyle w:val="3"/>
        <w:keepNext w:val="0"/>
        <w:keepLines w:val="0"/>
        <w:pageBreakBefore w:val="0"/>
        <w:widowControl w:val="0"/>
        <w:kinsoku/>
        <w:wordWrap/>
        <w:overflowPunct/>
        <w:topLinePunct w:val="0"/>
        <w:bidi w:val="0"/>
        <w:spacing w:before="0" w:after="0" w:line="576" w:lineRule="exact"/>
        <w:ind w:left="0" w:leftChars="0" w:right="0" w:firstLine="0" w:firstLineChars="0"/>
        <w:jc w:val="center"/>
        <w:rPr>
          <w:rFonts w:hint="eastAsia" w:ascii="黑体" w:hAnsi="黑体" w:eastAsia="黑体" w:cs="Times New Roman"/>
          <w:b w:val="0"/>
          <w:bCs w:val="0"/>
          <w:color w:val="auto"/>
          <w:kern w:val="2"/>
          <w:sz w:val="48"/>
          <w:szCs w:val="48"/>
          <w:highlight w:val="none"/>
          <w:lang w:val="en-US" w:eastAsia="zh-CN" w:bidi="ar-SA"/>
        </w:rPr>
      </w:pPr>
    </w:p>
    <w:p>
      <w:pPr>
        <w:pStyle w:val="3"/>
        <w:keepNext w:val="0"/>
        <w:keepLines w:val="0"/>
        <w:pageBreakBefore w:val="0"/>
        <w:widowControl w:val="0"/>
        <w:kinsoku/>
        <w:wordWrap/>
        <w:overflowPunct/>
        <w:topLinePunct w:val="0"/>
        <w:bidi w:val="0"/>
        <w:spacing w:before="0" w:after="0" w:line="576" w:lineRule="exact"/>
        <w:ind w:left="0" w:leftChars="0" w:right="0" w:firstLine="0" w:firstLineChars="0"/>
        <w:jc w:val="both"/>
        <w:rPr>
          <w:rFonts w:hint="eastAsia" w:ascii="黑体" w:hAnsi="黑体" w:eastAsia="黑体" w:cs="Times New Roman"/>
          <w:b w:val="0"/>
          <w:bCs w:val="0"/>
          <w:color w:val="auto"/>
          <w:kern w:val="2"/>
          <w:sz w:val="48"/>
          <w:szCs w:val="48"/>
          <w:highlight w:val="none"/>
          <w:lang w:val="en-US" w:eastAsia="zh-CN" w:bidi="ar-SA"/>
        </w:rPr>
      </w:pPr>
    </w:p>
    <w:p>
      <w:pPr>
        <w:pStyle w:val="3"/>
        <w:keepNext w:val="0"/>
        <w:keepLines w:val="0"/>
        <w:pageBreakBefore w:val="0"/>
        <w:widowControl w:val="0"/>
        <w:kinsoku/>
        <w:wordWrap/>
        <w:overflowPunct/>
        <w:topLinePunct w:val="0"/>
        <w:bidi w:val="0"/>
        <w:spacing w:before="0" w:after="0" w:line="576" w:lineRule="exact"/>
        <w:ind w:left="0" w:leftChars="0" w:right="0" w:firstLine="0" w:firstLineChars="0"/>
        <w:jc w:val="both"/>
        <w:rPr>
          <w:rFonts w:hint="eastAsia" w:ascii="黑体" w:hAnsi="黑体" w:eastAsia="黑体" w:cs="Times New Roman"/>
          <w:b w:val="0"/>
          <w:bCs w:val="0"/>
          <w:color w:val="auto"/>
          <w:kern w:val="2"/>
          <w:sz w:val="48"/>
          <w:szCs w:val="48"/>
          <w:highlight w:val="none"/>
          <w:lang w:val="en-US" w:eastAsia="zh-CN" w:bidi="ar-SA"/>
        </w:rPr>
      </w:pPr>
      <w:r>
        <w:rPr>
          <w:rFonts w:hint="eastAsia" w:ascii="黑体" w:hAnsi="黑体" w:eastAsia="黑体" w:cs="Times New Roman"/>
          <w:b w:val="0"/>
          <w:bCs w:val="0"/>
          <w:color w:val="auto"/>
          <w:kern w:val="2"/>
          <w:sz w:val="48"/>
          <w:szCs w:val="48"/>
          <w:highlight w:val="none"/>
          <w:lang w:val="en-US" w:eastAsia="zh-CN" w:bidi="ar-SA"/>
        </w:rPr>
        <w:t>第二部分　2022年度单位决算情况说明</w:t>
      </w:r>
      <w:bookmarkEnd w:id="20"/>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outlineLvl w:val="9"/>
        <w:rPr>
          <w:rFonts w:hint="eastAsia" w:ascii="黑体" w:hAnsi="黑体" w:eastAsia="黑体" w:cs="黑体"/>
          <w:b w:val="0"/>
          <w:bCs w:val="0"/>
          <w:color w:val="auto"/>
          <w:sz w:val="32"/>
          <w:szCs w:val="32"/>
          <w:highlight w:val="none"/>
          <w:lang w:val="en-US" w:eastAsia="zh-CN"/>
        </w:rPr>
      </w:pP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24" w:name="_Toc14374"/>
      <w:r>
        <w:rPr>
          <w:rFonts w:hint="eastAsia" w:ascii="黑体" w:hAnsi="黑体" w:eastAsia="黑体" w:cs="黑体"/>
          <w:b w:val="0"/>
          <w:bCs w:val="0"/>
          <w:color w:val="auto"/>
          <w:sz w:val="32"/>
          <w:szCs w:val="32"/>
          <w:highlight w:val="none"/>
          <w:lang w:val="en-US" w:eastAsia="zh-CN"/>
        </w:rPr>
        <w:t>一、收入支出决算总体情况说明</w:t>
      </w:r>
      <w:bookmarkEnd w:id="21"/>
      <w:bookmarkEnd w:id="22"/>
      <w:bookmarkEnd w:id="24"/>
    </w:p>
    <w:p>
      <w:pPr>
        <w:spacing w:line="600" w:lineRule="exact"/>
        <w:ind w:firstLine="640" w:firstLineChars="200"/>
        <w:rPr>
          <w:rFonts w:hint="eastAsia" w:ascii="仿宋" w:hAnsi="仿宋" w:eastAsia="仿宋"/>
          <w:color w:val="auto"/>
          <w:sz w:val="32"/>
          <w:szCs w:val="32"/>
          <w:highlight w:val="none"/>
        </w:rPr>
      </w:pPr>
      <w:r>
        <w:rPr>
          <w:rFonts w:hint="default" w:ascii="Times New Roman" w:hAnsi="Times New Roman" w:eastAsia="仿宋"/>
          <w:color w:val="auto"/>
          <w:sz w:val="32"/>
          <w:szCs w:val="32"/>
          <w:highlight w:val="none"/>
          <w:lang w:eastAsia="zh-CN"/>
        </w:rPr>
        <w:t>2022</w:t>
      </w:r>
      <w:r>
        <w:rPr>
          <w:rFonts w:hint="eastAsia" w:ascii="仿宋_GB2312" w:hAnsi="仿宋_GB2312" w:eastAsia="仿宋_GB2312" w:cs="仿宋_GB2312"/>
          <w:color w:val="auto"/>
          <w:sz w:val="32"/>
          <w:szCs w:val="32"/>
          <w:highlight w:val="none"/>
        </w:rPr>
        <w:t>年本年收入合计</w:t>
      </w:r>
      <w:r>
        <w:rPr>
          <w:rFonts w:hint="default" w:ascii="Times New Roman" w:hAnsi="Times New Roman" w:eastAsia="仿宋"/>
          <w:color w:val="auto"/>
          <w:sz w:val="32"/>
          <w:szCs w:val="32"/>
          <w:highlight w:val="none"/>
          <w:lang w:val="en-US" w:eastAsia="zh-CN"/>
        </w:rPr>
        <w:t>145.07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支出合计</w:t>
      </w:r>
      <w:r>
        <w:rPr>
          <w:rFonts w:hint="default" w:ascii="Times New Roman" w:hAnsi="Times New Roman" w:eastAsia="仿宋"/>
          <w:color w:val="auto"/>
          <w:sz w:val="32"/>
          <w:szCs w:val="32"/>
          <w:highlight w:val="none"/>
          <w:lang w:val="en-US" w:eastAsia="zh-CN"/>
        </w:rPr>
        <w:t>145.07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。与</w:t>
      </w:r>
      <w:r>
        <w:rPr>
          <w:rFonts w:hint="default" w:ascii="Times New Roman" w:hAnsi="Times New Roman" w:eastAsia="仿宋" w:cs="Times New Roman"/>
          <w:color w:val="auto"/>
          <w:sz w:val="32"/>
          <w:szCs w:val="32"/>
          <w:highlight w:val="none"/>
          <w:lang w:val="en-US" w:eastAsia="zh-CN"/>
        </w:rPr>
        <w:t>2021</w:t>
      </w:r>
      <w:r>
        <w:rPr>
          <w:rFonts w:hint="eastAsia" w:ascii="仿宋_GB2312" w:hAnsi="仿宋_GB2312" w:eastAsia="仿宋_GB2312" w:cs="仿宋_GB2312"/>
          <w:color w:val="auto"/>
          <w:sz w:val="32"/>
          <w:szCs w:val="32"/>
          <w:highlight w:val="none"/>
          <w:lang w:val="en-US" w:eastAsia="zh-CN"/>
        </w:rPr>
        <w:t>年相比，</w:t>
      </w:r>
      <w:r>
        <w:rPr>
          <w:rFonts w:hint="eastAsia" w:ascii="仿宋_GB2312" w:hAnsi="仿宋_GB2312" w:eastAsia="仿宋_GB2312" w:cs="仿宋_GB2312"/>
          <w:color w:val="auto"/>
          <w:sz w:val="32"/>
          <w:szCs w:val="32"/>
          <w:highlight w:val="none"/>
        </w:rPr>
        <w:t>收</w:t>
      </w:r>
      <w:r>
        <w:rPr>
          <w:rFonts w:hint="eastAsia" w:ascii="仿宋_GB2312" w:hAnsi="仿宋_GB2312" w:eastAsia="仿宋_GB2312" w:cs="仿宋_GB2312"/>
          <w:color w:val="auto"/>
          <w:sz w:val="32"/>
          <w:szCs w:val="32"/>
          <w:highlight w:val="none"/>
          <w:lang w:eastAsia="zh-CN"/>
        </w:rPr>
        <w:t>、支总计各增加</w:t>
      </w:r>
      <w:r>
        <w:rPr>
          <w:rFonts w:hint="default" w:ascii="Times New Roman" w:hAnsi="Times New Roman" w:eastAsia="仿宋"/>
          <w:color w:val="auto"/>
          <w:sz w:val="32"/>
          <w:szCs w:val="32"/>
          <w:highlight w:val="none"/>
          <w:lang w:val="en-US" w:eastAsia="zh-CN"/>
        </w:rPr>
        <w:t>20.54</w:t>
      </w:r>
      <w:r>
        <w:rPr>
          <w:rFonts w:hint="eastAsia" w:ascii="仿宋_GB2312" w:hAnsi="仿宋_GB2312" w:eastAsia="仿宋_GB2312" w:cs="仿宋_GB2312"/>
          <w:color w:val="auto"/>
          <w:sz w:val="32"/>
          <w:szCs w:val="32"/>
          <w:highlight w:val="none"/>
          <w:lang w:val="en-US" w:eastAsia="zh-CN"/>
        </w:rPr>
        <w:t>万元，增长</w:t>
      </w:r>
      <w:r>
        <w:rPr>
          <w:rFonts w:hint="default" w:ascii="Times New Roman" w:hAnsi="Times New Roman" w:eastAsia="仿宋" w:cs="Times New Roman"/>
          <w:color w:val="auto"/>
          <w:sz w:val="32"/>
          <w:szCs w:val="32"/>
          <w:highlight w:val="none"/>
          <w:lang w:val="en-US" w:eastAsia="zh-CN"/>
        </w:rPr>
        <w:t>14.16%</w:t>
      </w:r>
      <w:r>
        <w:rPr>
          <w:rFonts w:hint="eastAsia" w:ascii="仿宋" w:hAnsi="仿宋" w:eastAsia="仿宋"/>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增加了</w:t>
      </w:r>
      <w:r>
        <w:rPr>
          <w:rFonts w:hint="eastAsia" w:ascii="Times New Roman" w:hAnsi="Times New Roman" w:eastAsia="仿宋"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名编制等。</w:t>
      </w:r>
    </w:p>
    <w:p>
      <w:pPr>
        <w:pStyle w:val="7"/>
        <w:jc w:val="center"/>
        <w:rPr>
          <w:rFonts w:hint="eastAsia"/>
          <w:lang w:eastAsia="zh-CN"/>
        </w:rPr>
      </w:pPr>
      <w:r>
        <w:drawing>
          <wp:inline distT="0" distB="0" distL="114300" distR="114300">
            <wp:extent cx="5001260" cy="4038600"/>
            <wp:effectExtent l="4445" t="4445" r="23495" b="14605"/>
            <wp:docPr id="294" name="图表 11" descr="7b0a202020202263686172745265734964223a20223230343736303831220a7d0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25" w:name="_Toc15396604"/>
      <w:bookmarkStart w:id="26" w:name="_Toc15377206"/>
      <w:bookmarkStart w:id="27" w:name="_Toc32242"/>
      <w:r>
        <w:rPr>
          <w:rFonts w:hint="eastAsia" w:ascii="黑体" w:hAnsi="黑体" w:eastAsia="黑体" w:cs="黑体"/>
          <w:b w:val="0"/>
          <w:bCs w:val="0"/>
          <w:color w:val="auto"/>
          <w:sz w:val="32"/>
          <w:szCs w:val="32"/>
          <w:highlight w:val="none"/>
          <w:lang w:val="en-US" w:eastAsia="zh-CN"/>
        </w:rPr>
        <w:t>二、收入决算情况说明</w:t>
      </w:r>
      <w:bookmarkEnd w:id="25"/>
      <w:bookmarkEnd w:id="26"/>
      <w:bookmarkEnd w:id="27"/>
    </w:p>
    <w:p>
      <w:pPr>
        <w:spacing w:line="600" w:lineRule="exact"/>
        <w:ind w:firstLine="640" w:firstLineChars="200"/>
        <w:rPr>
          <w:rFonts w:hint="eastAsia" w:ascii="仿宋" w:hAnsi="仿宋" w:eastAsia="仿宋"/>
          <w:color w:val="auto"/>
          <w:sz w:val="32"/>
          <w:szCs w:val="32"/>
          <w:highlight w:val="none"/>
          <w:lang w:eastAsia="zh-CN"/>
        </w:rPr>
      </w:pPr>
      <w:r>
        <w:rPr>
          <w:rFonts w:hint="default" w:ascii="Times New Roman" w:hAnsi="Times New Roman" w:eastAsia="仿宋"/>
          <w:color w:val="auto"/>
          <w:sz w:val="32"/>
          <w:szCs w:val="32"/>
          <w:highlight w:val="none"/>
          <w:lang w:eastAsia="zh-CN"/>
        </w:rPr>
        <w:t>2022</w:t>
      </w:r>
      <w:r>
        <w:rPr>
          <w:rFonts w:hint="eastAsia" w:ascii="仿宋_GB2312" w:hAnsi="仿宋_GB2312" w:eastAsia="仿宋_GB2312" w:cs="仿宋_GB2312"/>
          <w:color w:val="auto"/>
          <w:sz w:val="32"/>
          <w:szCs w:val="32"/>
          <w:highlight w:val="none"/>
          <w:lang w:eastAsia="zh-CN"/>
        </w:rPr>
        <w:t>年本年收入合计</w:t>
      </w:r>
      <w:r>
        <w:rPr>
          <w:rFonts w:hint="default" w:ascii="Times New Roman" w:hAnsi="Times New Roman" w:eastAsia="仿宋" w:cs="Times New Roman"/>
          <w:color w:val="auto"/>
          <w:sz w:val="32"/>
          <w:szCs w:val="32"/>
          <w:highlight w:val="none"/>
          <w:lang w:val="en-US" w:eastAsia="zh-CN"/>
        </w:rPr>
        <w:t>145.07</w:t>
      </w:r>
      <w:r>
        <w:rPr>
          <w:rFonts w:hint="eastAsia" w:ascii="仿宋_GB2312" w:hAnsi="仿宋_GB2312" w:eastAsia="仿宋_GB2312" w:cs="仿宋_GB2312"/>
          <w:color w:val="auto"/>
          <w:sz w:val="32"/>
          <w:szCs w:val="32"/>
          <w:highlight w:val="none"/>
          <w:lang w:eastAsia="zh-CN"/>
        </w:rPr>
        <w:t>万元，其中：一般公共预算财政拨款收入</w:t>
      </w:r>
      <w:r>
        <w:rPr>
          <w:rFonts w:hint="default" w:ascii="Times New Roman" w:hAnsi="Times New Roman" w:eastAsia="仿宋"/>
          <w:color w:val="auto"/>
          <w:sz w:val="32"/>
          <w:szCs w:val="32"/>
          <w:highlight w:val="none"/>
          <w:lang w:val="en-US" w:eastAsia="zh-CN"/>
        </w:rPr>
        <w:t>145.07</w:t>
      </w:r>
      <w:r>
        <w:rPr>
          <w:rFonts w:hint="eastAsia" w:ascii="仿宋_GB2312" w:hAnsi="仿宋_GB2312" w:eastAsia="仿宋_GB2312" w:cs="仿宋_GB2312"/>
          <w:color w:val="auto"/>
          <w:sz w:val="32"/>
          <w:szCs w:val="32"/>
          <w:highlight w:val="none"/>
          <w:lang w:eastAsia="zh-CN"/>
        </w:rPr>
        <w:t>万元，占</w:t>
      </w:r>
      <w:r>
        <w:rPr>
          <w:rFonts w:hint="default" w:ascii="Times New Roman" w:hAnsi="Times New Roman" w:eastAsia="仿宋"/>
          <w:color w:val="auto"/>
          <w:sz w:val="32"/>
          <w:szCs w:val="32"/>
          <w:highlight w:val="none"/>
          <w:lang w:val="en-US" w:eastAsia="zh-CN"/>
        </w:rPr>
        <w:t>100</w:t>
      </w:r>
      <w:r>
        <w:rPr>
          <w:rFonts w:hint="default" w:ascii="Times New Roman" w:hAnsi="Times New Roman" w:eastAsia="仿宋"/>
          <w:color w:val="auto"/>
          <w:sz w:val="32"/>
          <w:szCs w:val="32"/>
          <w:highlight w:val="none"/>
          <w:lang w:eastAsia="zh-CN"/>
        </w:rPr>
        <w:t>%</w:t>
      </w:r>
      <w:r>
        <w:rPr>
          <w:rFonts w:hint="eastAsia" w:ascii="仿宋" w:hAnsi="仿宋" w:eastAsia="仿宋"/>
          <w:color w:val="auto"/>
          <w:sz w:val="32"/>
          <w:szCs w:val="32"/>
          <w:highlight w:val="none"/>
          <w:lang w:eastAsia="zh-CN"/>
        </w:rPr>
        <w:t>。</w:t>
      </w:r>
    </w:p>
    <w:p>
      <w:pPr>
        <w:pStyle w:val="7"/>
        <w:jc w:val="center"/>
        <w:rPr>
          <w:rFonts w:hint="eastAsia"/>
          <w:lang w:eastAsia="zh-CN"/>
        </w:rPr>
      </w:pPr>
      <w:r>
        <w:drawing>
          <wp:inline distT="0" distB="0" distL="114300" distR="114300">
            <wp:extent cx="5075555" cy="3018155"/>
            <wp:effectExtent l="4445" t="4445" r="6350" b="63500"/>
            <wp:docPr id="295" name="图表 8" descr="7b0a202020202263686172745265734964223a20223230343735393631220a7d0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28" w:name="_Toc15396605"/>
      <w:bookmarkStart w:id="29" w:name="_Toc98"/>
      <w:bookmarkStart w:id="30" w:name="_Toc15377207"/>
      <w:r>
        <w:rPr>
          <w:rFonts w:hint="eastAsia" w:ascii="黑体" w:hAnsi="黑体" w:eastAsia="黑体" w:cs="黑体"/>
          <w:b w:val="0"/>
          <w:bCs w:val="0"/>
          <w:color w:val="auto"/>
          <w:sz w:val="32"/>
          <w:szCs w:val="32"/>
          <w:highlight w:val="none"/>
          <w:lang w:val="en-US" w:eastAsia="zh-CN"/>
        </w:rPr>
        <w:t>三、支出决算情况说明</w:t>
      </w:r>
      <w:bookmarkEnd w:id="28"/>
      <w:bookmarkEnd w:id="29"/>
      <w:bookmarkEnd w:id="30"/>
    </w:p>
    <w:p>
      <w:pPr>
        <w:spacing w:line="600" w:lineRule="exact"/>
        <w:ind w:firstLine="640" w:firstLineChars="200"/>
        <w:rPr>
          <w:rFonts w:hint="eastAsia" w:ascii="仿宋" w:hAnsi="仿宋" w:eastAsia="仿宋"/>
          <w:color w:val="auto"/>
          <w:sz w:val="32"/>
          <w:szCs w:val="32"/>
          <w:highlight w:val="none"/>
          <w:lang w:eastAsia="zh-CN"/>
        </w:rPr>
      </w:pPr>
      <w:r>
        <w:rPr>
          <w:rFonts w:hint="eastAsia" w:ascii="Times New Roman" w:hAnsi="Times New Roman" w:eastAsia="仿宋_GB2312" w:cs="仿宋_GB2312"/>
          <w:color w:val="auto"/>
          <w:sz w:val="32"/>
          <w:szCs w:val="32"/>
          <w:lang w:eastAsia="zh-CN"/>
        </w:rPr>
        <w:t>2022</w:t>
      </w:r>
      <w:r>
        <w:rPr>
          <w:rFonts w:hint="eastAsia" w:ascii="仿宋_GB2312" w:hAnsi="仿宋_GB2312" w:eastAsia="仿宋_GB2312" w:cs="仿宋_GB2312"/>
          <w:color w:val="auto"/>
          <w:sz w:val="32"/>
          <w:szCs w:val="32"/>
          <w:highlight w:val="none"/>
          <w:lang w:eastAsia="zh-CN"/>
        </w:rPr>
        <w:t>年本年支出合计</w:t>
      </w:r>
      <w:r>
        <w:rPr>
          <w:rFonts w:hint="eastAsia" w:ascii="Times New Roman" w:hAnsi="Times New Roman" w:eastAsia="仿宋_GB2312" w:cs="仿宋_GB2312"/>
          <w:color w:val="auto"/>
          <w:sz w:val="32"/>
          <w:szCs w:val="32"/>
          <w:lang w:val="en-US" w:eastAsia="zh-CN"/>
        </w:rPr>
        <w:t>144.98</w:t>
      </w:r>
      <w:r>
        <w:rPr>
          <w:rFonts w:hint="eastAsia" w:ascii="仿宋_GB2312" w:hAnsi="仿宋_GB2312" w:eastAsia="仿宋_GB2312" w:cs="仿宋_GB2312"/>
          <w:color w:val="auto"/>
          <w:sz w:val="32"/>
          <w:szCs w:val="32"/>
          <w:highlight w:val="none"/>
          <w:lang w:eastAsia="zh-CN"/>
        </w:rPr>
        <w:t>万元，其中：基本支出</w:t>
      </w:r>
      <w:r>
        <w:rPr>
          <w:rFonts w:hint="eastAsia" w:ascii="Times New Roman" w:hAnsi="Times New Roman" w:eastAsia="仿宋_GB2312" w:cs="仿宋_GB2312"/>
          <w:color w:val="auto"/>
          <w:sz w:val="32"/>
          <w:szCs w:val="32"/>
          <w:lang w:val="en-US" w:eastAsia="zh-CN"/>
        </w:rPr>
        <w:t>144.98</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lang w:val="en-US" w:eastAsia="zh-CN"/>
        </w:rPr>
        <w:t>100</w:t>
      </w:r>
      <w:r>
        <w:rPr>
          <w:rFonts w:hint="eastAsia" w:ascii="Times New Roman" w:hAnsi="Times New Roman" w:eastAsia="仿宋_GB2312" w:cs="仿宋_GB2312"/>
          <w:color w:val="auto"/>
          <w:sz w:val="32"/>
          <w:szCs w:val="32"/>
          <w:lang w:eastAsia="zh-CN"/>
        </w:rPr>
        <w:t>%</w:t>
      </w:r>
      <w:r>
        <w:rPr>
          <w:rFonts w:hint="eastAsia" w:ascii="仿宋" w:hAnsi="仿宋" w:eastAsia="仿宋"/>
          <w:color w:val="auto"/>
          <w:sz w:val="32"/>
          <w:szCs w:val="32"/>
          <w:highlight w:val="none"/>
          <w:lang w:eastAsia="zh-CN"/>
        </w:rPr>
        <w:t>。</w:t>
      </w:r>
    </w:p>
    <w:p>
      <w:pPr>
        <w:pStyle w:val="7"/>
        <w:jc w:val="center"/>
        <w:rPr>
          <w:rFonts w:hint="eastAsia" w:ascii="黑体" w:hAnsi="黑体" w:eastAsia="黑体" w:cs="黑体"/>
          <w:b w:val="0"/>
          <w:bCs w:val="0"/>
          <w:color w:val="auto"/>
          <w:sz w:val="32"/>
          <w:szCs w:val="32"/>
          <w:highlight w:val="none"/>
          <w:lang w:val="en-US" w:eastAsia="zh-CN"/>
        </w:rPr>
      </w:pPr>
      <w:r>
        <w:drawing>
          <wp:inline distT="0" distB="0" distL="114300" distR="114300">
            <wp:extent cx="5036820" cy="3398520"/>
            <wp:effectExtent l="4445" t="4445" r="6985" b="6985"/>
            <wp:docPr id="296" name="图表 9" descr="7b0a202020202263686172745265734964223a20223230343735353739220a7d0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31" w:name="_Toc15396606"/>
      <w:bookmarkStart w:id="32" w:name="_Toc15377208"/>
      <w:bookmarkStart w:id="33" w:name="_Toc11845"/>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四、财政拨款收入支出决算总体情况说明</w:t>
      </w:r>
      <w:bookmarkEnd w:id="31"/>
      <w:bookmarkEnd w:id="32"/>
      <w:bookmarkEnd w:id="33"/>
    </w:p>
    <w:p>
      <w:pPr>
        <w:spacing w:line="600" w:lineRule="exact"/>
        <w:ind w:firstLine="640" w:firstLineChars="200"/>
        <w:rPr>
          <w:rFonts w:hint="eastAsia" w:ascii="仿宋" w:hAnsi="仿宋" w:eastAsia="仿宋"/>
          <w:color w:val="auto"/>
          <w:sz w:val="32"/>
          <w:szCs w:val="32"/>
          <w:highlight w:val="none"/>
          <w:lang w:eastAsia="zh-CN"/>
        </w:rPr>
      </w:pPr>
      <w:r>
        <w:rPr>
          <w:rFonts w:hint="eastAsia" w:ascii="Times New Roman" w:hAnsi="Times New Roman" w:eastAsia="仿宋_GB2312" w:cs="仿宋_GB2312"/>
          <w:color w:val="auto"/>
          <w:sz w:val="32"/>
          <w:szCs w:val="32"/>
          <w:lang w:eastAsia="zh-CN"/>
        </w:rPr>
        <w:t>2022</w:t>
      </w:r>
      <w:r>
        <w:rPr>
          <w:rFonts w:hint="eastAsia" w:ascii="仿宋_GB2312" w:hAnsi="仿宋_GB2312" w:eastAsia="仿宋_GB2312" w:cs="仿宋_GB2312"/>
          <w:color w:val="auto"/>
          <w:sz w:val="32"/>
          <w:szCs w:val="32"/>
          <w:highlight w:val="none"/>
          <w:lang w:eastAsia="zh-CN"/>
        </w:rPr>
        <w:t>年财政拨款收、支总计</w:t>
      </w:r>
      <w:r>
        <w:rPr>
          <w:rFonts w:hint="eastAsia" w:ascii="Times New Roman" w:hAnsi="Times New Roman" w:eastAsia="仿宋_GB2312" w:cs="仿宋_GB2312"/>
          <w:color w:val="auto"/>
          <w:sz w:val="32"/>
          <w:szCs w:val="32"/>
          <w:lang w:val="en-US" w:eastAsia="zh-CN"/>
        </w:rPr>
        <w:t>145.07</w:t>
      </w:r>
      <w:r>
        <w:rPr>
          <w:rFonts w:hint="eastAsia" w:ascii="仿宋_GB2312" w:hAnsi="仿宋_GB2312" w:eastAsia="仿宋_GB2312" w:cs="仿宋_GB2312"/>
          <w:color w:val="auto"/>
          <w:sz w:val="32"/>
          <w:szCs w:val="32"/>
          <w:highlight w:val="none"/>
          <w:lang w:eastAsia="zh-CN"/>
        </w:rPr>
        <w:t>万元。与</w:t>
      </w:r>
      <w:r>
        <w:rPr>
          <w:rFonts w:hint="eastAsia" w:ascii="Times New Roman" w:hAnsi="Times New Roman" w:eastAsia="仿宋_GB2312" w:cs="仿宋_GB2312"/>
          <w:color w:val="auto"/>
          <w:sz w:val="32"/>
          <w:szCs w:val="32"/>
          <w:lang w:eastAsia="zh-CN"/>
        </w:rPr>
        <w:t>20</w:t>
      </w:r>
      <w:r>
        <w:rPr>
          <w:rFonts w:hint="eastAsia" w:ascii="Times New Roman" w:hAnsi="Times New Roman" w:eastAsia="仿宋_GB2312" w:cs="仿宋_GB2312"/>
          <w:color w:val="auto"/>
          <w:sz w:val="32"/>
          <w:szCs w:val="32"/>
          <w:lang w:val="en-US" w:eastAsia="zh-CN"/>
        </w:rPr>
        <w:t>21</w:t>
      </w:r>
      <w:r>
        <w:rPr>
          <w:rFonts w:hint="eastAsia" w:ascii="仿宋_GB2312" w:hAnsi="仿宋_GB2312" w:eastAsia="仿宋_GB2312" w:cs="仿宋_GB2312"/>
          <w:color w:val="auto"/>
          <w:sz w:val="32"/>
          <w:szCs w:val="32"/>
          <w:highlight w:val="none"/>
          <w:lang w:eastAsia="zh-CN"/>
        </w:rPr>
        <w:t>年相比，财政拨款收、支总计分别增加</w:t>
      </w:r>
      <w:r>
        <w:rPr>
          <w:rFonts w:hint="eastAsia" w:ascii="Times New Roman" w:hAnsi="Times New Roman" w:eastAsia="仿宋_GB2312" w:cs="仿宋_GB2312"/>
          <w:color w:val="auto"/>
          <w:sz w:val="32"/>
          <w:szCs w:val="32"/>
          <w:lang w:val="en-US" w:eastAsia="zh-CN"/>
        </w:rPr>
        <w:t>20.54</w:t>
      </w:r>
      <w:r>
        <w:rPr>
          <w:rFonts w:hint="eastAsia" w:ascii="仿宋_GB2312" w:hAnsi="仿宋_GB2312" w:eastAsia="仿宋_GB2312" w:cs="仿宋_GB2312"/>
          <w:color w:val="auto"/>
          <w:sz w:val="32"/>
          <w:szCs w:val="32"/>
          <w:highlight w:val="none"/>
          <w:lang w:eastAsia="zh-CN"/>
        </w:rPr>
        <w:t>万元，增长</w:t>
      </w:r>
      <w:r>
        <w:rPr>
          <w:rFonts w:hint="eastAsia" w:ascii="Times New Roman" w:hAnsi="Times New Roman" w:eastAsia="仿宋_GB2312" w:cs="仿宋_GB2312"/>
          <w:color w:val="auto"/>
          <w:sz w:val="32"/>
          <w:szCs w:val="32"/>
          <w:lang w:val="en-US" w:eastAsia="zh-CN"/>
        </w:rPr>
        <w:t>14.16%</w:t>
      </w:r>
      <w:r>
        <w:rPr>
          <w:rFonts w:hint="eastAsia" w:ascii="仿宋" w:hAnsi="仿宋" w:eastAsia="仿宋"/>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主要变动原因是人员增加，预算增加，</w:t>
      </w:r>
      <w:r>
        <w:rPr>
          <w:rFonts w:hint="eastAsia" w:ascii="仿宋_GB2312" w:hAnsi="仿宋_GB2312" w:eastAsia="仿宋_GB2312" w:cs="仿宋_GB2312"/>
          <w:color w:val="auto"/>
          <w:sz w:val="32"/>
          <w:szCs w:val="32"/>
          <w:highlight w:val="none"/>
          <w:lang w:val="en-US" w:eastAsia="zh-CN"/>
        </w:rPr>
        <w:t>收入支出增加</w:t>
      </w:r>
      <w:r>
        <w:rPr>
          <w:rFonts w:hint="eastAsia" w:ascii="仿宋_GB2312" w:hAnsi="仿宋_GB2312" w:eastAsia="仿宋_GB2312" w:cs="仿宋_GB2312"/>
          <w:color w:val="auto"/>
          <w:sz w:val="32"/>
          <w:szCs w:val="32"/>
          <w:highlight w:val="none"/>
          <w:lang w:eastAsia="zh-CN"/>
        </w:rPr>
        <w:t>。</w:t>
      </w:r>
    </w:p>
    <w:p>
      <w:pPr>
        <w:pStyle w:val="7"/>
        <w:jc w:val="center"/>
        <w:rPr>
          <w:rFonts w:hint="eastAsia" w:ascii="仿宋" w:hAnsi="仿宋" w:eastAsia="仿宋"/>
          <w:color w:val="auto"/>
          <w:sz w:val="32"/>
          <w:szCs w:val="32"/>
          <w:highlight w:val="none"/>
          <w:lang w:eastAsia="zh-CN"/>
        </w:rPr>
      </w:pPr>
      <w:r>
        <w:drawing>
          <wp:inline distT="0" distB="0" distL="114300" distR="114300">
            <wp:extent cx="5257800" cy="3818890"/>
            <wp:effectExtent l="4445" t="4445" r="14605" b="5715"/>
            <wp:docPr id="297" name="图表 11" descr="7b0a202020202263686172745265734964223a20223230343736303831220a7d0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34" w:name="_Toc15396607"/>
      <w:bookmarkStart w:id="35" w:name="_Toc13043"/>
      <w:bookmarkStart w:id="36" w:name="_Toc15377209"/>
      <w:r>
        <w:rPr>
          <w:rFonts w:hint="eastAsia" w:ascii="黑体" w:hAnsi="黑体" w:eastAsia="黑体" w:cs="黑体"/>
          <w:b w:val="0"/>
          <w:bCs w:val="0"/>
          <w:color w:val="auto"/>
          <w:sz w:val="32"/>
          <w:szCs w:val="32"/>
          <w:highlight w:val="none"/>
          <w:lang w:val="en-US" w:eastAsia="zh-CN"/>
        </w:rPr>
        <w:t>五、一般公共预算财政拨款支出决算情况说明</w:t>
      </w:r>
      <w:bookmarkEnd w:id="34"/>
      <w:bookmarkEnd w:id="35"/>
      <w:bookmarkEnd w:id="36"/>
    </w:p>
    <w:p>
      <w:pPr>
        <w:keepNext w:val="0"/>
        <w:keepLines w:val="0"/>
        <w:pageBreakBefore w:val="0"/>
        <w:widowControl w:val="0"/>
        <w:kinsoku/>
        <w:wordWrap/>
        <w:overflowPunct/>
        <w:topLinePunct w:val="0"/>
        <w:bidi w:val="0"/>
        <w:spacing w:line="576" w:lineRule="exact"/>
        <w:ind w:left="0" w:leftChars="0" w:right="0" w:firstLine="640" w:firstLineChars="200"/>
        <w:outlineLvl w:val="2"/>
        <w:rPr>
          <w:rFonts w:hint="eastAsia" w:ascii="楷体_GB2312" w:hAnsi="楷体_GB2312" w:eastAsia="楷体_GB2312" w:cs="楷体_GB2312"/>
          <w:b w:val="0"/>
          <w:bCs w:val="0"/>
          <w:color w:val="auto"/>
          <w:sz w:val="32"/>
          <w:szCs w:val="32"/>
          <w:highlight w:val="none"/>
        </w:rPr>
      </w:pPr>
      <w:bookmarkStart w:id="37" w:name="_Toc15377210"/>
      <w:r>
        <w:rPr>
          <w:rFonts w:hint="eastAsia" w:ascii="楷体_GB2312" w:hAnsi="楷体_GB2312" w:eastAsia="楷体_GB2312" w:cs="楷体_GB2312"/>
          <w:b w:val="0"/>
          <w:bCs w:val="0"/>
          <w:color w:val="auto"/>
          <w:sz w:val="32"/>
          <w:szCs w:val="32"/>
          <w:highlight w:val="none"/>
        </w:rPr>
        <w:t>（一）一般公共预算财政拨款支出决算总体情况</w:t>
      </w:r>
      <w:bookmarkEnd w:id="37"/>
    </w:p>
    <w:p>
      <w:pPr>
        <w:keepNext w:val="0"/>
        <w:keepLines w:val="0"/>
        <w:pageBreakBefore w:val="0"/>
        <w:widowControl w:val="0"/>
        <w:kinsoku/>
        <w:wordWrap/>
        <w:overflowPunct/>
        <w:topLinePunct w:val="0"/>
        <w:bidi w:val="0"/>
        <w:spacing w:line="576" w:lineRule="exact"/>
        <w:ind w:left="0" w:leftChars="0" w:right="0" w:firstLine="640" w:firstLineChars="200"/>
        <w:rPr>
          <w:rFonts w:hint="eastAsia" w:ascii="仿宋" w:hAnsi="仿宋" w:eastAsia="仿宋"/>
          <w:color w:val="auto"/>
          <w:sz w:val="32"/>
          <w:szCs w:val="32"/>
          <w:highlight w:val="none"/>
          <w:lang w:val="en-US" w:eastAsia="zh-CN"/>
        </w:rPr>
      </w:pPr>
      <w:r>
        <w:rPr>
          <w:rFonts w:hint="eastAsia" w:ascii="Times New Roman" w:hAnsi="Times New Roman" w:eastAsia="仿宋_GB2312" w:cs="仿宋_GB2312"/>
          <w:color w:val="auto"/>
          <w:sz w:val="32"/>
          <w:szCs w:val="32"/>
          <w:lang w:eastAsia="zh-CN"/>
        </w:rPr>
        <w:t>2022</w:t>
      </w:r>
      <w:r>
        <w:rPr>
          <w:rFonts w:hint="eastAsia" w:ascii="仿宋_GB2312" w:hAnsi="仿宋_GB2312" w:eastAsia="仿宋_GB2312" w:cs="仿宋_GB2312"/>
          <w:color w:val="auto"/>
          <w:sz w:val="32"/>
          <w:szCs w:val="32"/>
          <w:highlight w:val="none"/>
          <w:lang w:eastAsia="zh-CN"/>
        </w:rPr>
        <w:t>年一般公共预算财政拨款支出</w:t>
      </w:r>
      <w:r>
        <w:rPr>
          <w:rFonts w:hint="eastAsia" w:ascii="Times New Roman" w:hAnsi="Times New Roman" w:eastAsia="仿宋_GB2312" w:cs="仿宋_GB2312"/>
          <w:color w:val="auto"/>
          <w:sz w:val="32"/>
          <w:szCs w:val="32"/>
          <w:lang w:val="en-US" w:eastAsia="zh-CN"/>
        </w:rPr>
        <w:t>144.98</w:t>
      </w:r>
      <w:r>
        <w:rPr>
          <w:rFonts w:hint="eastAsia" w:ascii="仿宋_GB2312" w:hAnsi="仿宋_GB2312" w:eastAsia="仿宋_GB2312" w:cs="仿宋_GB2312"/>
          <w:color w:val="auto"/>
          <w:sz w:val="32"/>
          <w:szCs w:val="32"/>
          <w:highlight w:val="none"/>
          <w:lang w:eastAsia="zh-CN"/>
        </w:rPr>
        <w:t>万元，占本年支出合计的</w:t>
      </w:r>
      <w:r>
        <w:rPr>
          <w:rFonts w:hint="eastAsia" w:ascii="Times New Roman" w:hAnsi="Times New Roman" w:eastAsia="仿宋_GB2312" w:cs="仿宋_GB2312"/>
          <w:color w:val="auto"/>
          <w:sz w:val="32"/>
          <w:szCs w:val="32"/>
          <w:lang w:val="en-US" w:eastAsia="zh-CN"/>
        </w:rPr>
        <w:t>99.94</w:t>
      </w:r>
      <w:r>
        <w:rPr>
          <w:rFonts w:hint="eastAsia" w:ascii="Times New Roman" w:hAnsi="Times New Roman" w:eastAsia="仿宋_GB2312" w:cs="仿宋_GB2312"/>
          <w:color w:val="auto"/>
          <w:sz w:val="32"/>
          <w:szCs w:val="32"/>
          <w:lang w:eastAsia="zh-CN"/>
        </w:rPr>
        <w:t>%</w:t>
      </w:r>
      <w:r>
        <w:rPr>
          <w:rFonts w:hint="eastAsia" w:ascii="仿宋" w:hAnsi="仿宋" w:eastAsia="仿宋"/>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结余</w:t>
      </w:r>
      <w:r>
        <w:rPr>
          <w:rFonts w:hint="eastAsia" w:ascii="Times New Roman" w:hAnsi="Times New Roman" w:eastAsia="仿宋_GB2312" w:cs="仿宋_GB2312"/>
          <w:color w:val="auto"/>
          <w:sz w:val="32"/>
          <w:szCs w:val="32"/>
          <w:lang w:val="en-US" w:eastAsia="zh-CN"/>
        </w:rPr>
        <w:t>0.09</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eastAsia="zh-CN"/>
        </w:rPr>
        <w:t>。与</w:t>
      </w:r>
      <w:r>
        <w:rPr>
          <w:rFonts w:hint="eastAsia" w:ascii="Times New Roman" w:hAnsi="Times New Roman" w:eastAsia="仿宋_GB2312" w:cs="仿宋_GB2312"/>
          <w:color w:val="auto"/>
          <w:sz w:val="32"/>
          <w:szCs w:val="32"/>
          <w:lang w:eastAsia="zh-CN"/>
        </w:rPr>
        <w:t>20</w:t>
      </w:r>
      <w:r>
        <w:rPr>
          <w:rFonts w:hint="eastAsia" w:ascii="Times New Roman" w:hAnsi="Times New Roman" w:eastAsia="仿宋_GB2312" w:cs="仿宋_GB2312"/>
          <w:color w:val="auto"/>
          <w:sz w:val="32"/>
          <w:szCs w:val="32"/>
          <w:lang w:val="en-US" w:eastAsia="zh-CN"/>
        </w:rPr>
        <w:t>21</w:t>
      </w:r>
      <w:r>
        <w:rPr>
          <w:rFonts w:hint="eastAsia" w:ascii="仿宋_GB2312" w:hAnsi="仿宋_GB2312" w:eastAsia="仿宋_GB2312" w:cs="仿宋_GB2312"/>
          <w:color w:val="auto"/>
          <w:sz w:val="32"/>
          <w:szCs w:val="32"/>
          <w:highlight w:val="none"/>
          <w:lang w:eastAsia="zh-CN"/>
        </w:rPr>
        <w:t>年相比，一般公共预算财政拨款支出增加</w:t>
      </w:r>
      <w:r>
        <w:rPr>
          <w:rFonts w:hint="eastAsia" w:ascii="Times New Roman" w:hAnsi="Times New Roman" w:eastAsia="仿宋_GB2312" w:cs="仿宋_GB2312"/>
          <w:color w:val="auto"/>
          <w:sz w:val="32"/>
          <w:szCs w:val="32"/>
          <w:lang w:val="en-US" w:eastAsia="zh-CN"/>
        </w:rPr>
        <w:t>20.45</w:t>
      </w:r>
      <w:r>
        <w:rPr>
          <w:rFonts w:hint="eastAsia" w:ascii="仿宋_GB2312" w:hAnsi="仿宋_GB2312" w:eastAsia="仿宋_GB2312" w:cs="仿宋_GB2312"/>
          <w:color w:val="auto"/>
          <w:sz w:val="32"/>
          <w:szCs w:val="32"/>
          <w:highlight w:val="none"/>
          <w:lang w:eastAsia="zh-CN"/>
        </w:rPr>
        <w:t>万元，增长</w:t>
      </w:r>
      <w:r>
        <w:rPr>
          <w:rFonts w:hint="eastAsia" w:ascii="Times New Roman" w:hAnsi="Times New Roman" w:eastAsia="仿宋_GB2312" w:cs="仿宋_GB2312"/>
          <w:color w:val="auto"/>
          <w:sz w:val="32"/>
          <w:szCs w:val="32"/>
          <w:lang w:val="en-US" w:eastAsia="zh-CN"/>
        </w:rPr>
        <w:t>14.11</w:t>
      </w:r>
      <w:r>
        <w:rPr>
          <w:rFonts w:hint="eastAsia" w:ascii="Times New Roman" w:hAnsi="Times New Roman" w:eastAsia="仿宋_GB2312" w:cs="仿宋_GB2312"/>
          <w:color w:val="auto"/>
          <w:sz w:val="32"/>
          <w:szCs w:val="32"/>
          <w:lang w:eastAsia="zh-CN"/>
        </w:rPr>
        <w:t>%</w:t>
      </w:r>
      <w:r>
        <w:rPr>
          <w:rFonts w:hint="eastAsia" w:ascii="仿宋" w:hAnsi="仿宋" w:eastAsia="仿宋"/>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主要变动原因是人员增加，预算增加，</w:t>
      </w:r>
      <w:r>
        <w:rPr>
          <w:rFonts w:hint="eastAsia" w:ascii="仿宋_GB2312" w:hAnsi="仿宋_GB2312" w:eastAsia="仿宋_GB2312" w:cs="仿宋_GB2312"/>
          <w:color w:val="auto"/>
          <w:sz w:val="32"/>
          <w:szCs w:val="32"/>
          <w:highlight w:val="none"/>
          <w:lang w:val="en-US" w:eastAsia="zh-CN"/>
        </w:rPr>
        <w:t>收入支出增加。</w:t>
      </w:r>
    </w:p>
    <w:p>
      <w:pPr>
        <w:pStyle w:val="7"/>
        <w:jc w:val="center"/>
        <w:rPr>
          <w:rFonts w:hint="eastAsia" w:eastAsia="仿宋_GB2312"/>
          <w:lang w:eastAsia="zh-CN"/>
        </w:rPr>
      </w:pPr>
      <w:r>
        <w:drawing>
          <wp:inline distT="0" distB="0" distL="114300" distR="114300">
            <wp:extent cx="5143500" cy="4085590"/>
            <wp:effectExtent l="4445" t="4445" r="14605" b="5715"/>
            <wp:docPr id="298" name="图表 12" descr="7b0a202020202263686172745265734964223a20223230343736303831220a7d0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bidi w:val="0"/>
        <w:spacing w:line="576" w:lineRule="exact"/>
        <w:ind w:left="0" w:leftChars="0" w:right="0" w:firstLine="640" w:firstLineChars="200"/>
        <w:outlineLvl w:val="2"/>
        <w:rPr>
          <w:rFonts w:hint="eastAsia" w:ascii="楷体_GB2312" w:hAnsi="楷体_GB2312" w:eastAsia="楷体_GB2312" w:cs="楷体_GB2312"/>
          <w:b w:val="0"/>
          <w:bCs w:val="0"/>
          <w:color w:val="auto"/>
          <w:sz w:val="32"/>
          <w:szCs w:val="32"/>
          <w:highlight w:val="none"/>
        </w:rPr>
      </w:pPr>
      <w:bookmarkStart w:id="38" w:name="_Toc15377211"/>
      <w:r>
        <w:rPr>
          <w:rFonts w:hint="eastAsia" w:ascii="楷体_GB2312" w:hAnsi="楷体_GB2312" w:eastAsia="楷体_GB2312" w:cs="楷体_GB2312"/>
          <w:b w:val="0"/>
          <w:bCs w:val="0"/>
          <w:color w:val="auto"/>
          <w:sz w:val="32"/>
          <w:szCs w:val="32"/>
          <w:highlight w:val="none"/>
        </w:rPr>
        <w:t>（二）一般公共预算财政拨款支出决算结构情况</w:t>
      </w:r>
      <w:bookmarkEnd w:id="38"/>
    </w:p>
    <w:p>
      <w:pPr>
        <w:keepNext w:val="0"/>
        <w:keepLines w:val="0"/>
        <w:pageBreakBefore w:val="0"/>
        <w:widowControl w:val="0"/>
        <w:kinsoku/>
        <w:wordWrap/>
        <w:overflowPunct/>
        <w:topLinePunct w:val="0"/>
        <w:bidi w:val="0"/>
        <w:spacing w:line="576" w:lineRule="exact"/>
        <w:ind w:left="0" w:leftChars="0" w:right="0" w:firstLine="640" w:firstLineChars="200"/>
        <w:rPr>
          <w:rFonts w:hint="eastAsia" w:ascii="仿宋" w:hAnsi="仿宋" w:eastAsia="仿宋"/>
          <w:color w:val="auto"/>
          <w:sz w:val="32"/>
          <w:szCs w:val="32"/>
          <w:highlight w:val="none"/>
          <w:lang w:eastAsia="zh-CN"/>
        </w:rPr>
      </w:pPr>
      <w:r>
        <w:rPr>
          <w:rFonts w:hint="eastAsia" w:ascii="Times New Roman" w:hAnsi="Times New Roman" w:eastAsia="仿宋_GB2312" w:cs="仿宋_GB2312"/>
          <w:color w:val="auto"/>
          <w:sz w:val="32"/>
          <w:szCs w:val="32"/>
          <w:lang w:eastAsia="zh-CN"/>
        </w:rPr>
        <w:t>2022</w:t>
      </w:r>
      <w:r>
        <w:rPr>
          <w:rFonts w:hint="eastAsia" w:ascii="仿宋_GB2312" w:hAnsi="仿宋_GB2312" w:eastAsia="仿宋_GB2312" w:cs="仿宋_GB2312"/>
          <w:color w:val="auto"/>
          <w:sz w:val="32"/>
          <w:szCs w:val="32"/>
          <w:highlight w:val="none"/>
          <w:lang w:eastAsia="zh-CN"/>
        </w:rPr>
        <w:t>年一般公共预算财政拨款支出</w:t>
      </w:r>
      <w:r>
        <w:rPr>
          <w:rFonts w:hint="eastAsia" w:ascii="Times New Roman" w:hAnsi="Times New Roman" w:eastAsia="仿宋_GB2312" w:cs="仿宋_GB2312"/>
          <w:color w:val="auto"/>
          <w:sz w:val="32"/>
          <w:szCs w:val="32"/>
          <w:lang w:val="en-US" w:eastAsia="zh-CN"/>
        </w:rPr>
        <w:t>144.98</w:t>
      </w:r>
      <w:r>
        <w:rPr>
          <w:rFonts w:hint="eastAsia" w:ascii="仿宋_GB2312" w:hAnsi="仿宋_GB2312" w:eastAsia="仿宋_GB2312" w:cs="仿宋_GB2312"/>
          <w:color w:val="auto"/>
          <w:sz w:val="32"/>
          <w:szCs w:val="32"/>
          <w:highlight w:val="none"/>
          <w:lang w:eastAsia="zh-CN"/>
        </w:rPr>
        <w:t>万元，主要用于以下方面：</w:t>
      </w:r>
      <w:r>
        <w:rPr>
          <w:rFonts w:hint="eastAsia" w:ascii="仿宋" w:hAnsi="仿宋" w:eastAsia="仿宋"/>
          <w:b/>
          <w:color w:val="auto"/>
          <w:sz w:val="32"/>
          <w:szCs w:val="32"/>
          <w:highlight w:val="none"/>
          <w:lang w:eastAsia="zh-CN"/>
        </w:rPr>
        <w:t>一般公共服务（类）</w:t>
      </w:r>
      <w:r>
        <w:rPr>
          <w:rFonts w:hint="eastAsia" w:ascii="仿宋_GB2312" w:hAnsi="仿宋_GB2312"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lang w:val="en-US" w:eastAsia="zh-CN"/>
        </w:rPr>
        <w:t>127.01</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lang w:val="en-US" w:eastAsia="zh-CN"/>
        </w:rPr>
        <w:t>87</w:t>
      </w:r>
      <w:r>
        <w:rPr>
          <w:rFonts w:hint="eastAsia" w:ascii="Times New Roman" w:hAnsi="Times New Roman" w:eastAsia="仿宋_GB2312" w:cs="仿宋_GB2312"/>
          <w:color w:val="auto"/>
          <w:sz w:val="32"/>
          <w:szCs w:val="32"/>
          <w:lang w:eastAsia="zh-CN"/>
        </w:rPr>
        <w:t>%</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lang w:eastAsia="zh-CN"/>
        </w:rPr>
        <w:t>社会保障和就业（类）</w:t>
      </w:r>
      <w:r>
        <w:rPr>
          <w:rFonts w:hint="eastAsia" w:ascii="仿宋_GB2312" w:hAnsi="仿宋_GB2312"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lang w:val="en-US" w:eastAsia="zh-CN"/>
        </w:rPr>
        <w:t>8.59</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lang w:eastAsia="zh-CN"/>
        </w:rPr>
        <w:t>%</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lang w:eastAsia="zh-CN"/>
        </w:rPr>
        <w:t>卫生健康（类）</w:t>
      </w:r>
      <w:r>
        <w:rPr>
          <w:rFonts w:hint="eastAsia" w:ascii="仿宋_GB2312" w:hAnsi="仿宋_GB2312" w:eastAsia="仿宋_GB2312" w:cs="仿宋_GB2312"/>
          <w:color w:val="auto"/>
          <w:sz w:val="32"/>
          <w:szCs w:val="32"/>
          <w:highlight w:val="none"/>
          <w:lang w:val="en-US" w:eastAsia="zh-CN"/>
        </w:rPr>
        <w:t>支出</w:t>
      </w:r>
      <w:r>
        <w:rPr>
          <w:rFonts w:hint="eastAsia" w:ascii="Times New Roman" w:hAnsi="Times New Roman" w:eastAsia="仿宋_GB2312" w:cs="仿宋_GB2312"/>
          <w:color w:val="auto"/>
          <w:sz w:val="32"/>
          <w:szCs w:val="32"/>
          <w:lang w:val="en-US" w:eastAsia="zh-CN"/>
        </w:rPr>
        <w:t>3.22</w:t>
      </w:r>
      <w:r>
        <w:rPr>
          <w:rFonts w:hint="eastAsia" w:ascii="仿宋_GB2312" w:hAnsi="仿宋_GB2312" w:eastAsia="仿宋_GB2312" w:cs="仿宋_GB2312"/>
          <w:color w:val="auto"/>
          <w:sz w:val="32"/>
          <w:szCs w:val="32"/>
          <w:highlight w:val="none"/>
          <w:lang w:eastAsia="zh-CN"/>
        </w:rPr>
        <w:t>万元，占</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eastAsia="zh-CN"/>
        </w:rPr>
        <w:t>%</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lang w:eastAsia="zh-CN"/>
        </w:rPr>
        <w:t>住房保障（类）支出</w:t>
      </w:r>
      <w:r>
        <w:rPr>
          <w:rFonts w:hint="eastAsia" w:ascii="Times New Roman" w:hAnsi="Times New Roman" w:eastAsia="仿宋_GB2312" w:cs="仿宋_GB2312"/>
          <w:color w:val="auto"/>
          <w:sz w:val="32"/>
          <w:szCs w:val="32"/>
          <w:lang w:val="en-US" w:eastAsia="zh-CN"/>
        </w:rPr>
        <w:t>6.16</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w:t>
      </w:r>
      <w:r>
        <w:rPr>
          <w:rFonts w:hint="eastAsia" w:ascii="仿宋" w:hAnsi="仿宋" w:eastAsia="仿宋"/>
          <w:color w:val="auto"/>
          <w:sz w:val="32"/>
          <w:szCs w:val="32"/>
          <w:highlight w:val="none"/>
          <w:lang w:eastAsia="zh-CN"/>
        </w:rPr>
        <w:t>。</w:t>
      </w:r>
    </w:p>
    <w:p>
      <w:pPr>
        <w:pStyle w:val="7"/>
        <w:jc w:val="center"/>
        <w:rPr>
          <w:rFonts w:hint="eastAsia"/>
          <w:lang w:eastAsia="zh-CN"/>
        </w:rPr>
      </w:pPr>
      <w:r>
        <w:drawing>
          <wp:inline distT="0" distB="0" distL="114300" distR="114300">
            <wp:extent cx="5363845" cy="3895725"/>
            <wp:effectExtent l="4445" t="4445" r="22860" b="62230"/>
            <wp:docPr id="299" name="图表 13" descr="7b0a202020202263686172745265734964223a20223230343736313237220a7d0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bidi w:val="0"/>
        <w:spacing w:line="576" w:lineRule="exact"/>
        <w:ind w:left="0" w:leftChars="0" w:right="0" w:firstLine="640" w:firstLineChars="200"/>
        <w:outlineLvl w:val="2"/>
        <w:rPr>
          <w:rFonts w:hint="eastAsia" w:ascii="楷体_GB2312" w:hAnsi="楷体_GB2312" w:eastAsia="楷体_GB2312" w:cs="楷体_GB2312"/>
          <w:b w:val="0"/>
          <w:bCs w:val="0"/>
          <w:color w:val="auto"/>
          <w:sz w:val="32"/>
          <w:szCs w:val="32"/>
          <w:highlight w:val="none"/>
        </w:rPr>
      </w:pPr>
      <w:bookmarkStart w:id="39" w:name="_Toc15377212"/>
      <w:r>
        <w:rPr>
          <w:rFonts w:hint="eastAsia" w:ascii="楷体_GB2312" w:hAnsi="楷体_GB2312" w:eastAsia="楷体_GB2312" w:cs="楷体_GB2312"/>
          <w:b w:val="0"/>
          <w:bCs w:val="0"/>
          <w:color w:val="auto"/>
          <w:sz w:val="32"/>
          <w:szCs w:val="32"/>
          <w:highlight w:val="none"/>
        </w:rPr>
        <w:t>（三）一般公共预算财政拨款支出决算具体情况</w:t>
      </w:r>
      <w:bookmarkEnd w:id="39"/>
    </w:p>
    <w:p>
      <w:pPr>
        <w:spacing w:line="600" w:lineRule="exact"/>
        <w:ind w:firstLine="643" w:firstLineChars="200"/>
        <w:outlineLvl w:val="1"/>
        <w:rPr>
          <w:rFonts w:hint="eastAsia" w:ascii="仿宋" w:hAnsi="仿宋" w:eastAsia="仿宋"/>
          <w:b/>
          <w:color w:val="auto"/>
          <w:sz w:val="32"/>
          <w:szCs w:val="32"/>
          <w:highlight w:val="none"/>
        </w:rPr>
      </w:pPr>
      <w:bookmarkStart w:id="40" w:name="_Toc12306"/>
      <w:bookmarkStart w:id="41" w:name="_Toc15377213"/>
      <w:bookmarkStart w:id="42" w:name="_Toc15378460"/>
      <w:bookmarkStart w:id="43" w:name="_Toc15377444"/>
      <w:r>
        <w:rPr>
          <w:rFonts w:hint="eastAsia" w:ascii="仿宋" w:hAnsi="仿宋" w:eastAsia="仿宋"/>
          <w:b/>
          <w:color w:val="auto"/>
          <w:sz w:val="32"/>
          <w:szCs w:val="32"/>
          <w:highlight w:val="none"/>
          <w:lang w:eastAsia="zh-CN"/>
        </w:rPr>
        <w:t>2022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144.98</w:t>
      </w:r>
      <w:r>
        <w:rPr>
          <w:rFonts w:hint="eastAsia" w:ascii="仿宋" w:hAnsi="仿宋" w:eastAsia="仿宋"/>
          <w:b/>
          <w:color w:val="auto"/>
          <w:sz w:val="32"/>
          <w:szCs w:val="32"/>
          <w:highlight w:val="none"/>
        </w:rPr>
        <w:t>，完成预算</w:t>
      </w:r>
      <w:r>
        <w:rPr>
          <w:rFonts w:hint="eastAsia" w:ascii="仿宋" w:hAnsi="仿宋" w:eastAsia="仿宋"/>
          <w:b/>
          <w:color w:val="auto"/>
          <w:sz w:val="32"/>
          <w:szCs w:val="32"/>
          <w:highlight w:val="none"/>
          <w:lang w:val="en-US" w:eastAsia="zh-CN"/>
        </w:rPr>
        <w:t>99.94</w:t>
      </w:r>
      <w:r>
        <w:rPr>
          <w:rFonts w:hint="eastAsia" w:ascii="仿宋" w:hAnsi="仿宋" w:eastAsia="仿宋"/>
          <w:b/>
          <w:color w:val="auto"/>
          <w:sz w:val="32"/>
          <w:szCs w:val="32"/>
          <w:highlight w:val="none"/>
        </w:rPr>
        <w:t>%。其中：</w:t>
      </w:r>
      <w:bookmarkEnd w:id="40"/>
      <w:bookmarkEnd w:id="41"/>
      <w:bookmarkEnd w:id="42"/>
      <w:bookmarkEnd w:id="43"/>
    </w:p>
    <w:p>
      <w:pPr>
        <w:spacing w:line="600" w:lineRule="exact"/>
        <w:ind w:firstLine="643" w:firstLineChars="200"/>
        <w:outlineLvl w:val="2"/>
        <w:rPr>
          <w:rFonts w:hint="eastAsia" w:ascii="仿宋_GB2312" w:hAnsi="仿宋_GB2312" w:eastAsia="仿宋_GB2312" w:cs="仿宋_GB2312"/>
          <w:b w:val="0"/>
          <w:bCs w:val="0"/>
          <w:color w:val="auto"/>
          <w:sz w:val="32"/>
          <w:szCs w:val="32"/>
        </w:rPr>
      </w:pPr>
      <w:r>
        <w:rPr>
          <w:rFonts w:hint="eastAsia" w:ascii="仿宋" w:hAnsi="仿宋" w:eastAsia="仿宋"/>
          <w:b/>
          <w:color w:val="auto"/>
          <w:sz w:val="32"/>
          <w:szCs w:val="32"/>
          <w:highlight w:val="none"/>
        </w:rPr>
        <w:t>1.一般公共服务（类）党委办公厅（室）及相关机构事务（款）事业运行（项）</w:t>
      </w:r>
      <w:r>
        <w:rPr>
          <w:rFonts w:hint="eastAsia" w:ascii="仿宋" w:hAnsi="仿宋" w:eastAsia="仿宋"/>
          <w:b/>
          <w:color w:val="auto"/>
          <w:sz w:val="32"/>
          <w:szCs w:val="32"/>
          <w:highlight w:val="none"/>
          <w:lang w:eastAsia="zh-CN"/>
        </w:rPr>
        <w:t>：</w:t>
      </w:r>
      <w:r>
        <w:rPr>
          <w:rFonts w:hint="eastAsia" w:ascii="仿宋_GB2312" w:hAnsi="仿宋_GB2312" w:eastAsia="仿宋_GB2312" w:cs="仿宋_GB2312"/>
          <w:color w:val="auto"/>
          <w:sz w:val="32"/>
          <w:szCs w:val="32"/>
          <w:highlight w:val="none"/>
        </w:rPr>
        <w:t>支出决算为</w:t>
      </w:r>
      <w:r>
        <w:rPr>
          <w:rFonts w:hint="eastAsia" w:eastAsia="仿宋_GB2312" w:cs="仿宋_GB2312"/>
          <w:b w:val="0"/>
          <w:bCs w:val="0"/>
          <w:color w:val="auto"/>
          <w:sz w:val="32"/>
          <w:szCs w:val="32"/>
          <w:lang w:val="en-US" w:eastAsia="zh-CN"/>
        </w:rPr>
        <w:t>127.01</w:t>
      </w:r>
      <w:r>
        <w:rPr>
          <w:rFonts w:hint="eastAsia" w:ascii="仿宋_GB2312" w:hAnsi="仿宋_GB2312" w:eastAsia="仿宋_GB2312" w:cs="仿宋_GB2312"/>
          <w:color w:val="auto"/>
          <w:sz w:val="32"/>
          <w:szCs w:val="32"/>
          <w:highlight w:val="none"/>
        </w:rPr>
        <w:t>万元，完成预算</w:t>
      </w:r>
      <w:r>
        <w:rPr>
          <w:rFonts w:hint="eastAsia" w:eastAsia="仿宋_GB2312" w:cs="仿宋_GB2312"/>
          <w:b w:val="0"/>
          <w:bCs w:val="0"/>
          <w:color w:val="auto"/>
          <w:sz w:val="32"/>
          <w:szCs w:val="32"/>
          <w:lang w:val="en-US" w:eastAsia="zh-CN"/>
        </w:rPr>
        <w:t>87%</w:t>
      </w:r>
      <w:r>
        <w:rPr>
          <w:rStyle w:val="22"/>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bidi w:val="0"/>
        <w:spacing w:line="576" w:lineRule="exact"/>
        <w:ind w:left="0" w:firstLine="643" w:firstLineChars="200"/>
        <w:textAlignment w:val="auto"/>
        <w:rPr>
          <w:rFonts w:hint="eastAsia" w:ascii="仿宋_GB2312" w:hAnsi="仿宋_GB2312" w:eastAsia="仿宋_GB2312" w:cs="仿宋_GB2312"/>
          <w:b w:val="0"/>
          <w:bCs w:val="0"/>
          <w:color w:val="auto"/>
          <w:sz w:val="32"/>
          <w:szCs w:val="32"/>
        </w:rPr>
      </w:pPr>
      <w:r>
        <w:rPr>
          <w:rFonts w:hint="eastAsia" w:ascii="仿宋" w:hAnsi="仿宋" w:eastAsia="仿宋"/>
          <w:b/>
          <w:color w:val="auto"/>
          <w:sz w:val="32"/>
          <w:szCs w:val="32"/>
          <w:highlight w:val="none"/>
          <w:lang w:val="en-US" w:eastAsia="zh-CN"/>
        </w:rPr>
        <w:t>2</w:t>
      </w:r>
      <w:r>
        <w:rPr>
          <w:rFonts w:hint="eastAsia" w:ascii="仿宋" w:hAnsi="仿宋" w:eastAsia="仿宋"/>
          <w:b/>
          <w:color w:val="auto"/>
          <w:sz w:val="32"/>
          <w:szCs w:val="32"/>
          <w:highlight w:val="none"/>
        </w:rPr>
        <w:t>.社会保障和就业（类）行政事业单位离退休机关事业单位（款）基本养老保险缴费支出（项）</w:t>
      </w:r>
      <w:r>
        <w:rPr>
          <w:rFonts w:hint="eastAsia" w:ascii="仿宋" w:hAnsi="仿宋" w:eastAsia="仿宋"/>
          <w:b/>
          <w:color w:val="auto"/>
          <w:sz w:val="32"/>
          <w:szCs w:val="32"/>
          <w:highlight w:val="none"/>
          <w:lang w:eastAsia="zh-CN"/>
        </w:rPr>
        <w:t>：</w:t>
      </w:r>
      <w:r>
        <w:rPr>
          <w:rFonts w:hint="eastAsia" w:ascii="仿宋_GB2312" w:hAnsi="仿宋_GB2312" w:eastAsia="仿宋_GB2312" w:cs="仿宋_GB2312"/>
          <w:color w:val="auto"/>
          <w:sz w:val="32"/>
          <w:szCs w:val="32"/>
          <w:highlight w:val="none"/>
        </w:rPr>
        <w:t>支出决算为</w:t>
      </w:r>
      <w:r>
        <w:rPr>
          <w:rFonts w:hint="eastAsia" w:eastAsia="仿宋_GB2312" w:cs="仿宋_GB2312"/>
          <w:b w:val="0"/>
          <w:bCs w:val="0"/>
          <w:color w:val="auto"/>
          <w:sz w:val="32"/>
          <w:szCs w:val="32"/>
          <w:lang w:val="en-US" w:eastAsia="zh-CN"/>
        </w:rPr>
        <w:t>8.59</w:t>
      </w:r>
      <w:r>
        <w:rPr>
          <w:rFonts w:hint="eastAsia" w:ascii="仿宋_GB2312" w:hAnsi="仿宋_GB2312" w:eastAsia="仿宋_GB2312" w:cs="仿宋_GB2312"/>
          <w:color w:val="auto"/>
          <w:sz w:val="32"/>
          <w:szCs w:val="32"/>
          <w:highlight w:val="none"/>
        </w:rPr>
        <w:t>万元</w:t>
      </w:r>
      <w:r>
        <w:rPr>
          <w:rStyle w:val="22"/>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highlight w:val="none"/>
        </w:rPr>
        <w:t>完成预算</w:t>
      </w:r>
      <w:r>
        <w:rPr>
          <w:rFonts w:hint="eastAsia" w:eastAsia="仿宋_GB2312" w:cs="仿宋_GB2312"/>
          <w:b w:val="0"/>
          <w:bCs w:val="0"/>
          <w:color w:val="auto"/>
          <w:sz w:val="32"/>
          <w:szCs w:val="32"/>
          <w:lang w:val="en-US" w:eastAsia="zh-CN"/>
        </w:rPr>
        <w:t>6</w:t>
      </w:r>
      <w:r>
        <w:rPr>
          <w:rFonts w:hint="eastAsia" w:ascii="Times New Roman" w:hAnsi="Times New Roman" w:eastAsia="仿宋_GB2312" w:cs="仿宋_GB2312"/>
          <w:b w:val="0"/>
          <w:bCs w:val="0"/>
          <w:color w:val="auto"/>
          <w:sz w:val="32"/>
          <w:szCs w:val="32"/>
        </w:rPr>
        <w:t>%</w:t>
      </w:r>
      <w:r>
        <w:rPr>
          <w:rStyle w:val="22"/>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bidi w:val="0"/>
        <w:spacing w:line="576" w:lineRule="exact"/>
        <w:ind w:left="0" w:firstLine="643" w:firstLineChars="200"/>
        <w:textAlignment w:val="auto"/>
        <w:rPr>
          <w:rStyle w:val="22"/>
          <w:rFonts w:hint="eastAsia" w:ascii="仿宋_GB2312" w:hAnsi="仿宋_GB2312" w:eastAsia="仿宋_GB2312" w:cs="仿宋_GB2312"/>
          <w:b w:val="0"/>
          <w:bCs w:val="0"/>
          <w:color w:val="auto"/>
          <w:sz w:val="32"/>
          <w:szCs w:val="32"/>
        </w:rPr>
      </w:pPr>
      <w:r>
        <w:rPr>
          <w:rFonts w:hint="eastAsia" w:ascii="仿宋" w:hAnsi="仿宋" w:eastAsia="仿宋"/>
          <w:b/>
          <w:color w:val="auto"/>
          <w:sz w:val="32"/>
          <w:szCs w:val="32"/>
          <w:highlight w:val="none"/>
          <w:lang w:val="en-US" w:eastAsia="zh-CN"/>
        </w:rPr>
        <w:t>3.卫生健康（类）行政事业单位医疗（款）事业单位医疗（项）：</w:t>
      </w:r>
      <w:r>
        <w:rPr>
          <w:rFonts w:hint="eastAsia" w:ascii="仿宋_GB2312" w:hAnsi="仿宋_GB2312" w:eastAsia="仿宋_GB2312" w:cs="仿宋_GB2312"/>
          <w:color w:val="auto"/>
          <w:sz w:val="32"/>
          <w:szCs w:val="32"/>
          <w:highlight w:val="none"/>
        </w:rPr>
        <w:t>支出决算为</w:t>
      </w:r>
      <w:r>
        <w:rPr>
          <w:rFonts w:hint="eastAsia" w:eastAsia="仿宋_GB2312" w:cs="仿宋_GB2312"/>
          <w:b w:val="0"/>
          <w:bCs w:val="0"/>
          <w:color w:val="auto"/>
          <w:sz w:val="32"/>
          <w:szCs w:val="32"/>
          <w:lang w:val="en-US" w:eastAsia="zh-CN"/>
        </w:rPr>
        <w:t>3.22</w:t>
      </w:r>
      <w:r>
        <w:rPr>
          <w:rFonts w:hint="eastAsia" w:ascii="仿宋_GB2312" w:hAnsi="仿宋_GB2312" w:eastAsia="仿宋_GB2312" w:cs="仿宋_GB2312"/>
          <w:color w:val="auto"/>
          <w:sz w:val="32"/>
          <w:szCs w:val="32"/>
          <w:highlight w:val="none"/>
        </w:rPr>
        <w:t>万元，完成预算</w:t>
      </w:r>
      <w:r>
        <w:rPr>
          <w:rFonts w:hint="eastAsia" w:eastAsia="仿宋_GB2312" w:cs="仿宋_GB2312"/>
          <w:b w:val="0"/>
          <w:bCs w:val="0"/>
          <w:color w:val="auto"/>
          <w:sz w:val="32"/>
          <w:szCs w:val="32"/>
          <w:lang w:val="en-US" w:eastAsia="zh-CN"/>
        </w:rPr>
        <w:t>2</w:t>
      </w:r>
      <w:r>
        <w:rPr>
          <w:rFonts w:hint="eastAsia" w:ascii="Times New Roman" w:hAnsi="Times New Roman" w:eastAsia="仿宋_GB2312" w:cs="仿宋_GB2312"/>
          <w:b w:val="0"/>
          <w:bCs w:val="0"/>
          <w:color w:val="auto"/>
          <w:sz w:val="32"/>
          <w:szCs w:val="32"/>
        </w:rPr>
        <w:t>%</w:t>
      </w:r>
      <w:r>
        <w:rPr>
          <w:rStyle w:val="22"/>
          <w:rFonts w:hint="eastAsia" w:ascii="仿宋_GB2312" w:hAnsi="仿宋_GB2312" w:eastAsia="仿宋_GB2312" w:cs="仿宋_GB2312"/>
          <w:b w:val="0"/>
          <w:bCs w:val="0"/>
          <w:color w:val="auto"/>
          <w:sz w:val="32"/>
          <w:szCs w:val="32"/>
        </w:rPr>
        <w:t>。</w:t>
      </w:r>
    </w:p>
    <w:p>
      <w:pPr>
        <w:spacing w:line="576" w:lineRule="exact"/>
        <w:ind w:firstLine="643" w:firstLineChars="200"/>
        <w:rPr>
          <w:rFonts w:hint="eastAsia"/>
        </w:rPr>
      </w:pPr>
      <w:r>
        <w:rPr>
          <w:rFonts w:hint="eastAsia" w:ascii="仿宋" w:hAnsi="仿宋" w:eastAsia="仿宋"/>
          <w:b/>
          <w:color w:val="auto"/>
          <w:sz w:val="32"/>
          <w:szCs w:val="32"/>
          <w:highlight w:val="none"/>
          <w:lang w:val="en-US" w:eastAsia="zh-CN"/>
        </w:rPr>
        <w:t>4.住房保障（类）住房改革支出（款）住房公积金（项）：</w:t>
      </w:r>
      <w:r>
        <w:rPr>
          <w:rFonts w:hint="eastAsia" w:ascii="仿宋_GB2312" w:hAnsi="仿宋_GB2312" w:eastAsia="仿宋_GB2312" w:cs="仿宋_GB2312"/>
          <w:color w:val="auto"/>
          <w:sz w:val="32"/>
          <w:szCs w:val="32"/>
          <w:highlight w:val="none"/>
        </w:rPr>
        <w:t>支出决算为</w:t>
      </w:r>
      <w:r>
        <w:rPr>
          <w:rStyle w:val="22"/>
          <w:rFonts w:hint="eastAsia" w:eastAsia="仿宋_GB2312" w:cs="仿宋_GB2312"/>
          <w:b w:val="0"/>
          <w:bCs w:val="0"/>
          <w:color w:val="auto"/>
          <w:sz w:val="32"/>
          <w:szCs w:val="32"/>
          <w:lang w:val="en-US" w:eastAsia="zh-CN"/>
        </w:rPr>
        <w:t>6.16</w:t>
      </w:r>
      <w:r>
        <w:rPr>
          <w:rFonts w:hint="eastAsia" w:ascii="仿宋_GB2312" w:hAnsi="仿宋_GB2312" w:eastAsia="仿宋_GB2312" w:cs="仿宋_GB2312"/>
          <w:color w:val="auto"/>
          <w:sz w:val="32"/>
          <w:szCs w:val="32"/>
          <w:highlight w:val="none"/>
        </w:rPr>
        <w:t>万元，完成预算</w:t>
      </w:r>
      <w:r>
        <w:rPr>
          <w:rStyle w:val="22"/>
          <w:rFonts w:hint="default" w:ascii="Times New Roman" w:hAnsi="Times New Roman" w:eastAsia="仿宋_GB2312" w:cs="Times New Roman"/>
          <w:b w:val="0"/>
          <w:bCs w:val="0"/>
          <w:color w:val="auto"/>
          <w:sz w:val="32"/>
          <w:szCs w:val="32"/>
          <w:lang w:val="en-US" w:eastAsia="zh-CN"/>
        </w:rPr>
        <w:t>4</w:t>
      </w:r>
      <w:r>
        <w:rPr>
          <w:rStyle w:val="22"/>
          <w:rFonts w:hint="default" w:ascii="Times New Roman" w:hAnsi="Times New Roman" w:eastAsia="仿宋_GB2312" w:cs="Times New Roman"/>
          <w:b w:val="0"/>
          <w:bCs w:val="0"/>
          <w:color w:val="auto"/>
          <w:sz w:val="32"/>
          <w:szCs w:val="32"/>
        </w:rPr>
        <w:t>%</w:t>
      </w:r>
      <w:r>
        <w:rPr>
          <w:rStyle w:val="22"/>
          <w:rFonts w:hint="eastAsia" w:ascii="仿宋_GB2312" w:hAnsi="仿宋_GB2312" w:eastAsia="仿宋_GB2312" w:cs="仿宋_GB2312"/>
          <w:b w:val="0"/>
          <w:bCs w:val="0"/>
          <w:color w:val="auto"/>
          <w:sz w:val="32"/>
          <w:szCs w:val="32"/>
        </w:rPr>
        <w:t>。</w:t>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44" w:name="_Toc15377214"/>
      <w:bookmarkStart w:id="45" w:name="_Toc15396608"/>
      <w:bookmarkStart w:id="46" w:name="_Toc13485"/>
      <w:r>
        <w:rPr>
          <w:rFonts w:hint="eastAsia" w:ascii="黑体" w:hAnsi="黑体" w:eastAsia="黑体" w:cs="黑体"/>
          <w:b w:val="0"/>
          <w:bCs w:val="0"/>
          <w:color w:val="auto"/>
          <w:sz w:val="32"/>
          <w:szCs w:val="32"/>
          <w:highlight w:val="none"/>
          <w:lang w:val="en-US" w:eastAsia="zh-CN"/>
        </w:rPr>
        <w:t>六、一般公共预算财政拨款基本支出决算情况说明</w:t>
      </w:r>
      <w:bookmarkEnd w:id="44"/>
      <w:bookmarkEnd w:id="45"/>
      <w:bookmarkEnd w:id="46"/>
      <w:r>
        <w:rPr>
          <w:rFonts w:hint="eastAsia" w:ascii="黑体" w:hAnsi="黑体" w:eastAsia="黑体" w:cs="黑体"/>
          <w:b w:val="0"/>
          <w:bCs w:val="0"/>
          <w:color w:val="auto"/>
          <w:sz w:val="32"/>
          <w:szCs w:val="32"/>
          <w:highlight w:val="none"/>
          <w:lang w:val="en-US" w:eastAsia="zh-CN"/>
        </w:rPr>
        <w:tab/>
      </w:r>
    </w:p>
    <w:p>
      <w:pPr>
        <w:keepNext w:val="0"/>
        <w:keepLines w:val="0"/>
        <w:pageBreakBefore w:val="0"/>
        <w:widowControl w:val="0"/>
        <w:kinsoku/>
        <w:wordWrap/>
        <w:overflowPunct/>
        <w:topLinePunct w:val="0"/>
        <w:bidi w:val="0"/>
        <w:spacing w:line="576" w:lineRule="exact"/>
        <w:ind w:left="0" w:leftChars="0" w:right="0" w:firstLine="640" w:firstLineChars="200"/>
        <w:rPr>
          <w:rFonts w:hint="eastAsia" w:ascii="仿宋_GB2312" w:hAnsi="仿宋_GB2312" w:eastAsia="仿宋_GB2312" w:cs="仿宋_GB2312"/>
          <w:b w:val="0"/>
          <w:bCs w:val="0"/>
          <w:color w:val="auto"/>
          <w:sz w:val="32"/>
          <w:szCs w:val="32"/>
          <w:highlight w:val="none"/>
        </w:rPr>
      </w:pPr>
      <w:r>
        <w:rPr>
          <w:rFonts w:hint="eastAsia" w:eastAsia="仿宋_GB2312" w:cs="仿宋_GB2312"/>
          <w:b w:val="0"/>
          <w:bCs w:val="0"/>
          <w:color w:val="auto"/>
          <w:sz w:val="32"/>
          <w:szCs w:val="32"/>
          <w:lang w:eastAsia="zh-CN"/>
        </w:rPr>
        <w:t>2022</w:t>
      </w:r>
      <w:r>
        <w:rPr>
          <w:rFonts w:hint="eastAsia" w:ascii="仿宋_GB2312" w:hAnsi="仿宋_GB2312" w:eastAsia="仿宋_GB2312" w:cs="仿宋_GB2312"/>
          <w:b w:val="0"/>
          <w:bCs w:val="0"/>
          <w:color w:val="auto"/>
          <w:sz w:val="32"/>
          <w:szCs w:val="32"/>
          <w:highlight w:val="none"/>
        </w:rPr>
        <w:t>年一般公共预算财政拨款基本支出</w:t>
      </w:r>
      <w:r>
        <w:rPr>
          <w:rFonts w:hint="eastAsia" w:ascii="Times New Roman" w:hAnsi="Times New Roman" w:eastAsia="仿宋_GB2312" w:cs="仿宋_GB2312"/>
          <w:b w:val="0"/>
          <w:bCs w:val="0"/>
          <w:color w:val="auto"/>
          <w:sz w:val="32"/>
          <w:szCs w:val="32"/>
          <w:highlight w:val="none"/>
          <w:lang w:val="en-US" w:eastAsia="zh-CN"/>
        </w:rPr>
        <w:t>1</w:t>
      </w:r>
      <w:r>
        <w:rPr>
          <w:rFonts w:hint="eastAsia" w:eastAsia="仿宋_GB2312" w:cs="仿宋_GB2312"/>
          <w:b w:val="0"/>
          <w:bCs w:val="0"/>
          <w:color w:val="auto"/>
          <w:sz w:val="32"/>
          <w:szCs w:val="32"/>
          <w:highlight w:val="none"/>
          <w:lang w:val="en-US" w:eastAsia="zh-CN"/>
        </w:rPr>
        <w:t>44.98</w:t>
      </w:r>
      <w:r>
        <w:rPr>
          <w:rFonts w:hint="eastAsia" w:ascii="仿宋_GB2312" w:hAnsi="仿宋_GB2312" w:eastAsia="仿宋_GB2312" w:cs="仿宋_GB2312"/>
          <w:b w:val="0"/>
          <w:bCs w:val="0"/>
          <w:color w:val="auto"/>
          <w:sz w:val="32"/>
          <w:szCs w:val="32"/>
          <w:highlight w:val="none"/>
        </w:rPr>
        <w:t>万元，其中：</w:t>
      </w:r>
    </w:p>
    <w:p>
      <w:pPr>
        <w:keepNext w:val="0"/>
        <w:keepLines w:val="0"/>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highlight w:val="none"/>
        </w:rPr>
        <w:t>人员经费</w:t>
      </w:r>
      <w:r>
        <w:rPr>
          <w:rFonts w:hint="eastAsia" w:eastAsia="仿宋_GB2312" w:cs="仿宋_GB2312"/>
          <w:b w:val="0"/>
          <w:bCs w:val="0"/>
          <w:color w:val="auto"/>
          <w:sz w:val="32"/>
          <w:szCs w:val="32"/>
          <w:lang w:val="en-US" w:eastAsia="zh-CN"/>
        </w:rPr>
        <w:t>71.94</w:t>
      </w:r>
      <w:r>
        <w:rPr>
          <w:rFonts w:hint="eastAsia" w:ascii="仿宋_GB2312" w:hAnsi="仿宋_GB2312" w:eastAsia="仿宋_GB2312" w:cs="仿宋_GB2312"/>
          <w:b w:val="0"/>
          <w:bCs w:val="0"/>
          <w:color w:val="auto"/>
          <w:sz w:val="32"/>
          <w:szCs w:val="32"/>
          <w:highlight w:val="none"/>
        </w:rPr>
        <w:t>万元，主要包括：</w:t>
      </w:r>
      <w:r>
        <w:rPr>
          <w:rFonts w:hint="eastAsia" w:ascii="仿宋_GB2312" w:hAnsi="仿宋_GB2312" w:eastAsia="仿宋_GB2312" w:cs="仿宋_GB2312"/>
          <w:b w:val="0"/>
          <w:bCs w:val="0"/>
          <w:color w:val="auto"/>
          <w:sz w:val="32"/>
          <w:szCs w:val="32"/>
        </w:rPr>
        <w:t>基本工资、津贴补贴、奖金、绩效工资、机关事业单位基本养老保险缴费、职业年金缴费、其他社会保障缴费、其他工资福利支出、医疗费补助、奖励金、住房公积金、其他对个人和家庭的补助支出等。</w:t>
      </w:r>
    </w:p>
    <w:p>
      <w:pPr>
        <w:keepNext w:val="0"/>
        <w:keepLines w:val="0"/>
        <w:pageBreakBefore w:val="0"/>
        <w:widowControl w:val="0"/>
        <w:kinsoku/>
        <w:wordWrap/>
        <w:overflowPunct/>
        <w:topLinePunct w:val="0"/>
        <w:bidi w:val="0"/>
        <w:spacing w:line="576"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公用经费</w:t>
      </w:r>
      <w:r>
        <w:rPr>
          <w:rFonts w:hint="eastAsia" w:eastAsia="仿宋_GB2312" w:cs="仿宋_GB2312"/>
          <w:b w:val="0"/>
          <w:bCs w:val="0"/>
          <w:color w:val="auto"/>
          <w:sz w:val="32"/>
          <w:szCs w:val="32"/>
          <w:lang w:val="en-US" w:eastAsia="zh-CN"/>
        </w:rPr>
        <w:t>73.04</w:t>
      </w:r>
      <w:r>
        <w:rPr>
          <w:rFonts w:hint="eastAsia" w:ascii="仿宋_GB2312" w:hAnsi="仿宋_GB2312" w:eastAsia="仿宋_GB2312" w:cs="仿宋_GB2312"/>
          <w:b w:val="0"/>
          <w:bCs w:val="0"/>
          <w:color w:val="auto"/>
          <w:sz w:val="32"/>
          <w:szCs w:val="32"/>
          <w:highlight w:val="none"/>
        </w:rPr>
        <w:t>万元，主要包括：</w:t>
      </w:r>
      <w:r>
        <w:rPr>
          <w:rFonts w:hint="eastAsia" w:ascii="仿宋_GB2312" w:hAnsi="仿宋_GB2312" w:eastAsia="仿宋_GB2312" w:cs="仿宋_GB2312"/>
          <w:b w:val="0"/>
          <w:bCs w:val="0"/>
          <w:color w:val="auto"/>
          <w:sz w:val="32"/>
          <w:szCs w:val="32"/>
        </w:rPr>
        <w:t>办公费、印刷费、邮电费、差旅费</w:t>
      </w:r>
      <w:r>
        <w:rPr>
          <w:rFonts w:hint="eastAsia" w:ascii="仿宋_GB2312" w:hAnsi="仿宋_GB2312" w:eastAsia="仿宋_GB2312" w:cs="仿宋_GB2312"/>
          <w:b w:val="0"/>
          <w:bCs w:val="0"/>
          <w:color w:val="auto"/>
          <w:sz w:val="32"/>
          <w:szCs w:val="32"/>
          <w:lang w:eastAsia="zh-CN"/>
        </w:rPr>
        <w:t>、会议费、</w:t>
      </w:r>
      <w:r>
        <w:rPr>
          <w:rFonts w:hint="eastAsia" w:ascii="仿宋_GB2312" w:hAnsi="仿宋_GB2312" w:eastAsia="仿宋_GB2312" w:cs="仿宋_GB2312"/>
          <w:b w:val="0"/>
          <w:bCs w:val="0"/>
          <w:color w:val="auto"/>
          <w:sz w:val="32"/>
          <w:szCs w:val="32"/>
        </w:rPr>
        <w:t>公务接待费、工会经费、其他商品和服务支出。</w:t>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47" w:name="_Toc6825"/>
      <w:bookmarkStart w:id="48" w:name="_Toc15396609"/>
      <w:bookmarkStart w:id="49" w:name="_Toc15377215"/>
      <w:r>
        <w:rPr>
          <w:rFonts w:hint="eastAsia" w:ascii="黑体" w:hAnsi="黑体" w:eastAsia="黑体" w:cs="黑体"/>
          <w:b w:val="0"/>
          <w:bCs w:val="0"/>
          <w:color w:val="auto"/>
          <w:sz w:val="32"/>
          <w:szCs w:val="32"/>
          <w:highlight w:val="none"/>
          <w:lang w:val="en-US" w:eastAsia="zh-CN"/>
        </w:rPr>
        <w:t>七、“三公”经费财政拨款支出决算情况说明</w:t>
      </w:r>
      <w:bookmarkEnd w:id="47"/>
      <w:bookmarkEnd w:id="48"/>
      <w:bookmarkEnd w:id="49"/>
    </w:p>
    <w:p>
      <w:pPr>
        <w:keepNext w:val="0"/>
        <w:keepLines w:val="0"/>
        <w:pageBreakBefore w:val="0"/>
        <w:widowControl w:val="0"/>
        <w:kinsoku/>
        <w:wordWrap/>
        <w:overflowPunct/>
        <w:topLinePunct w:val="0"/>
        <w:bidi w:val="0"/>
        <w:spacing w:line="576" w:lineRule="exact"/>
        <w:ind w:left="0" w:leftChars="0" w:right="0" w:firstLine="640" w:firstLineChars="200"/>
        <w:outlineLvl w:val="2"/>
        <w:rPr>
          <w:rFonts w:hint="eastAsia" w:ascii="楷体_GB2312" w:hAnsi="楷体_GB2312" w:eastAsia="楷体_GB2312" w:cs="楷体_GB2312"/>
          <w:b w:val="0"/>
          <w:bCs w:val="0"/>
          <w:color w:val="auto"/>
          <w:sz w:val="32"/>
          <w:szCs w:val="32"/>
          <w:highlight w:val="none"/>
        </w:rPr>
      </w:pPr>
      <w:bookmarkStart w:id="50" w:name="_Toc15377216"/>
      <w:r>
        <w:rPr>
          <w:rFonts w:hint="eastAsia" w:ascii="楷体_GB2312" w:hAnsi="楷体_GB2312" w:eastAsia="楷体_GB2312" w:cs="楷体_GB2312"/>
          <w:b w:val="0"/>
          <w:bCs w:val="0"/>
          <w:color w:val="auto"/>
          <w:sz w:val="32"/>
          <w:szCs w:val="32"/>
          <w:highlight w:val="none"/>
        </w:rPr>
        <w:t>（一）“三公”经费财政拨款支出决算总体情况说明</w:t>
      </w:r>
      <w:bookmarkEnd w:id="50"/>
    </w:p>
    <w:p>
      <w:pPr>
        <w:spacing w:line="600" w:lineRule="exact"/>
        <w:ind w:firstLine="640"/>
        <w:rPr>
          <w:rFonts w:hint="eastAsia" w:ascii="仿宋" w:hAnsi="仿宋" w:eastAsia="仿宋"/>
          <w:color w:val="auto"/>
          <w:sz w:val="32"/>
          <w:szCs w:val="32"/>
          <w:highlight w:val="none"/>
          <w:lang w:eastAsia="zh-CN"/>
        </w:rPr>
      </w:pPr>
      <w:r>
        <w:rPr>
          <w:rFonts w:hint="eastAsia" w:ascii="Times New Roman" w:hAnsi="Times New Roman" w:eastAsia="仿宋_GB2312" w:cs="仿宋_GB2312"/>
          <w:color w:val="auto"/>
          <w:sz w:val="32"/>
          <w:szCs w:val="32"/>
          <w:lang w:val="en-US" w:eastAsia="zh-CN"/>
        </w:rPr>
        <w:t>2022</w:t>
      </w:r>
      <w:r>
        <w:rPr>
          <w:rFonts w:hint="eastAsia" w:ascii="仿宋" w:hAnsi="仿宋" w:eastAsia="仿宋"/>
          <w:color w:val="auto"/>
          <w:sz w:val="32"/>
          <w:szCs w:val="32"/>
          <w:highlight w:val="none"/>
        </w:rPr>
        <w:t>年“三公”经费财政拨款支出决算为</w:t>
      </w:r>
      <w:r>
        <w:rPr>
          <w:rFonts w:hint="eastAsia" w:ascii="Times New Roman" w:hAnsi="Times New Roman" w:eastAsia="仿宋_GB2312" w:cs="仿宋_GB2312"/>
          <w:color w:val="auto"/>
          <w:sz w:val="32"/>
          <w:szCs w:val="32"/>
          <w:lang w:val="en-US" w:eastAsia="zh-CN"/>
        </w:rPr>
        <w:t>1.44</w:t>
      </w:r>
      <w:r>
        <w:rPr>
          <w:rFonts w:hint="eastAsia" w:ascii="仿宋" w:hAnsi="仿宋" w:eastAsia="仿宋"/>
          <w:color w:val="auto"/>
          <w:sz w:val="32"/>
          <w:szCs w:val="32"/>
          <w:highlight w:val="none"/>
        </w:rPr>
        <w:t>万元，完成预算</w:t>
      </w:r>
      <w:r>
        <w:rPr>
          <w:rFonts w:hint="eastAsia" w:ascii="Times New Roman" w:hAnsi="Times New Roman" w:eastAsia="仿宋_GB2312" w:cs="仿宋_GB2312"/>
          <w:color w:val="auto"/>
          <w:sz w:val="32"/>
          <w:szCs w:val="32"/>
          <w:lang w:val="en-US" w:eastAsia="zh-CN"/>
        </w:rPr>
        <w:t>100</w:t>
      </w:r>
      <w:r>
        <w:rPr>
          <w:rFonts w:hint="eastAsia" w:ascii="Times New Roman" w:hAnsi="Times New Roman" w:eastAsia="仿宋_GB2312" w:cs="仿宋_GB2312"/>
          <w:color w:val="auto"/>
          <w:sz w:val="32"/>
          <w:szCs w:val="32"/>
        </w:rPr>
        <w:t>%</w:t>
      </w:r>
      <w:r>
        <w:rPr>
          <w:rFonts w:hint="eastAsia" w:ascii="仿宋" w:hAnsi="仿宋" w:eastAsia="仿宋"/>
          <w:color w:val="auto"/>
          <w:sz w:val="32"/>
          <w:szCs w:val="32"/>
          <w:highlight w:val="none"/>
          <w:lang w:eastAsia="zh-CN"/>
        </w:rPr>
        <w:t>，较上年减少</w:t>
      </w:r>
      <w:r>
        <w:rPr>
          <w:rFonts w:hint="eastAsia" w:ascii="Times New Roman" w:hAnsi="Times New Roman" w:eastAsia="仿宋_GB2312" w:cs="仿宋_GB2312"/>
          <w:color w:val="auto"/>
          <w:sz w:val="32"/>
          <w:szCs w:val="32"/>
          <w:lang w:val="en-US" w:eastAsia="zh-CN"/>
        </w:rPr>
        <w:t>0.51</w:t>
      </w:r>
      <w:r>
        <w:rPr>
          <w:rFonts w:hint="eastAsia" w:ascii="仿宋" w:hAnsi="仿宋" w:eastAsia="仿宋"/>
          <w:color w:val="auto"/>
          <w:sz w:val="32"/>
          <w:szCs w:val="32"/>
          <w:highlight w:val="none"/>
          <w:lang w:val="en-US" w:eastAsia="zh-CN"/>
        </w:rPr>
        <w:t>万元，下降</w:t>
      </w:r>
      <w:r>
        <w:rPr>
          <w:rFonts w:hint="eastAsia" w:ascii="Times New Roman" w:hAnsi="Times New Roman" w:eastAsia="仿宋_GB2312" w:cs="仿宋_GB2312"/>
          <w:color w:val="auto"/>
          <w:sz w:val="32"/>
          <w:szCs w:val="32"/>
          <w:lang w:val="en-US" w:eastAsia="zh-CN"/>
        </w:rPr>
        <w:t>35.41%</w:t>
      </w:r>
      <w:r>
        <w:rPr>
          <w:rFonts w:hint="eastAsia" w:ascii="仿宋" w:hAnsi="仿宋" w:eastAsia="仿宋"/>
          <w:color w:val="auto"/>
          <w:sz w:val="32"/>
          <w:szCs w:val="32"/>
          <w:highlight w:val="none"/>
          <w:lang w:val="en-US" w:eastAsia="zh-CN"/>
        </w:rPr>
        <w:t>。</w:t>
      </w:r>
      <w:r>
        <w:rPr>
          <w:rFonts w:hint="eastAsia" w:ascii="仿宋" w:hAnsi="仿宋" w:eastAsia="仿宋"/>
          <w:b/>
          <w:bCs/>
          <w:color w:val="auto"/>
          <w:sz w:val="32"/>
          <w:szCs w:val="32"/>
          <w:highlight w:val="none"/>
        </w:rPr>
        <w:t>主要</w:t>
      </w:r>
      <w:r>
        <w:rPr>
          <w:rFonts w:hint="eastAsia" w:ascii="仿宋" w:hAnsi="仿宋" w:eastAsia="仿宋"/>
          <w:b/>
          <w:bCs/>
          <w:color w:val="auto"/>
          <w:sz w:val="32"/>
          <w:szCs w:val="32"/>
          <w:highlight w:val="none"/>
          <w:lang w:eastAsia="zh-CN"/>
        </w:rPr>
        <w:t>原因</w:t>
      </w:r>
      <w:r>
        <w:rPr>
          <w:rFonts w:hint="eastAsia" w:ascii="仿宋" w:hAnsi="仿宋" w:eastAsia="仿宋"/>
          <w:color w:val="auto"/>
          <w:sz w:val="32"/>
          <w:szCs w:val="32"/>
          <w:highlight w:val="none"/>
          <w:lang w:eastAsia="zh-CN"/>
        </w:rPr>
        <w:t>是省、市、区三级联动督查，上级来人调研等情况。决算数与预算数持平。</w:t>
      </w:r>
    </w:p>
    <w:p>
      <w:pPr>
        <w:keepNext w:val="0"/>
        <w:keepLines w:val="0"/>
        <w:pageBreakBefore w:val="0"/>
        <w:widowControl w:val="0"/>
        <w:kinsoku/>
        <w:wordWrap/>
        <w:overflowPunct/>
        <w:topLinePunct w:val="0"/>
        <w:bidi w:val="0"/>
        <w:spacing w:line="576" w:lineRule="exact"/>
        <w:ind w:left="0" w:leftChars="0" w:right="0" w:firstLine="640" w:firstLineChars="200"/>
        <w:outlineLvl w:val="2"/>
        <w:rPr>
          <w:rFonts w:hint="eastAsia" w:ascii="楷体_GB2312" w:hAnsi="楷体_GB2312" w:eastAsia="楷体_GB2312" w:cs="楷体_GB2312"/>
          <w:b w:val="0"/>
          <w:bCs w:val="0"/>
          <w:color w:val="auto"/>
          <w:sz w:val="32"/>
          <w:szCs w:val="32"/>
          <w:highlight w:val="none"/>
        </w:rPr>
      </w:pPr>
      <w:bookmarkStart w:id="51" w:name="_Toc15377217"/>
      <w:r>
        <w:rPr>
          <w:rFonts w:hint="eastAsia" w:ascii="楷体_GB2312" w:hAnsi="楷体_GB2312" w:eastAsia="楷体_GB2312" w:cs="楷体_GB2312"/>
          <w:b w:val="0"/>
          <w:bCs w:val="0"/>
          <w:color w:val="auto"/>
          <w:sz w:val="32"/>
          <w:szCs w:val="32"/>
          <w:highlight w:val="none"/>
        </w:rPr>
        <w:t>（二）“三公”经费财政拨款支出决算具体情况说明</w:t>
      </w:r>
      <w:bookmarkEnd w:id="51"/>
    </w:p>
    <w:p>
      <w:pPr>
        <w:spacing w:line="600" w:lineRule="exact"/>
        <w:ind w:firstLine="640"/>
        <w:rPr>
          <w:rFonts w:hint="eastAsia" w:ascii="仿宋" w:hAnsi="仿宋" w:eastAsia="仿宋"/>
          <w:color w:val="auto"/>
          <w:sz w:val="32"/>
          <w:szCs w:val="32"/>
          <w:highlight w:val="none"/>
          <w:lang w:val="en-US" w:eastAsia="zh-CN"/>
        </w:rPr>
      </w:pPr>
      <w:r>
        <w:rPr>
          <w:rFonts w:hint="eastAsia" w:ascii="Times New Roman" w:hAnsi="Times New Roman" w:eastAsia="仿宋_GB2312" w:cs="仿宋_GB2312"/>
          <w:color w:val="auto"/>
          <w:sz w:val="32"/>
          <w:szCs w:val="32"/>
          <w:lang w:eastAsia="zh-CN"/>
        </w:rPr>
        <w:t>2022</w:t>
      </w:r>
      <w:r>
        <w:rPr>
          <w:rFonts w:hint="eastAsia" w:ascii="仿宋" w:hAnsi="仿宋" w:eastAsia="仿宋"/>
          <w:color w:val="auto"/>
          <w:sz w:val="32"/>
          <w:szCs w:val="32"/>
          <w:highlight w:val="none"/>
        </w:rPr>
        <w:t>年“三公”经费财政拨款支出决算中，因公出国（境）费支出决算</w:t>
      </w:r>
      <w:r>
        <w:rPr>
          <w:rFonts w:hint="eastAsia" w:ascii="Times New Roman" w:hAnsi="Times New Roman" w:eastAsia="仿宋_GB2312" w:cs="仿宋_GB2312"/>
          <w:color w:val="auto"/>
          <w:sz w:val="32"/>
          <w:szCs w:val="32"/>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default" w:ascii="Times New Roman" w:hAnsi="Times New Roman" w:eastAsia="仿宋_GB2312" w:cs="Times New Roman"/>
          <w:sz w:val="32"/>
          <w:szCs w:val="32"/>
        </w:rPr>
        <w:t>占</w:t>
      </w:r>
      <w:r>
        <w:rPr>
          <w:rFonts w:hint="eastAsia" w:eastAsia="仿宋_GB2312" w:cs="仿宋_GB2312"/>
          <w:color w:val="auto"/>
          <w:sz w:val="32"/>
          <w:szCs w:val="32"/>
          <w:lang w:val="en-US" w:eastAsia="zh-CN"/>
        </w:rPr>
        <w:t>0</w:t>
      </w:r>
      <w:r>
        <w:rPr>
          <w:rFonts w:hint="eastAsia" w:ascii="Times New Roman" w:hAnsi="Times New Roman" w:eastAsia="仿宋_GB2312" w:cs="仿宋_GB2312"/>
          <w:color w:val="auto"/>
          <w:sz w:val="32"/>
          <w:szCs w:val="32"/>
        </w:rPr>
        <w:t>%</w:t>
      </w:r>
      <w:r>
        <w:rPr>
          <w:rFonts w:hint="eastAsia" w:ascii="仿宋" w:hAnsi="仿宋" w:eastAsia="仿宋"/>
          <w:color w:val="auto"/>
          <w:sz w:val="32"/>
          <w:szCs w:val="32"/>
          <w:highlight w:val="none"/>
        </w:rPr>
        <w:t>；公务用车购置及运行维护费支出决算</w:t>
      </w:r>
      <w:r>
        <w:rPr>
          <w:rFonts w:hint="eastAsia" w:ascii="Times New Roman" w:hAnsi="Times New Roman" w:eastAsia="仿宋_GB2312" w:cs="仿宋_GB2312"/>
          <w:color w:val="auto"/>
          <w:sz w:val="32"/>
          <w:szCs w:val="32"/>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default" w:ascii="Times New Roman" w:hAnsi="Times New Roman" w:eastAsia="仿宋_GB2312" w:cs="Times New Roman"/>
          <w:sz w:val="32"/>
          <w:szCs w:val="32"/>
        </w:rPr>
        <w:t>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仿宋" w:hAnsi="仿宋" w:eastAsia="仿宋"/>
          <w:color w:val="auto"/>
          <w:sz w:val="32"/>
          <w:szCs w:val="32"/>
          <w:highlight w:val="none"/>
        </w:rPr>
        <w:t>；公务接待费支出决算</w:t>
      </w:r>
      <w:r>
        <w:rPr>
          <w:rFonts w:hint="eastAsia" w:ascii="Times New Roman" w:hAnsi="Times New Roman" w:eastAsia="仿宋_GB2312" w:cs="仿宋_GB2312"/>
          <w:color w:val="auto"/>
          <w:sz w:val="32"/>
          <w:szCs w:val="32"/>
          <w:lang w:val="en-US" w:eastAsia="zh-CN"/>
        </w:rPr>
        <w:t>1.44</w:t>
      </w:r>
      <w:r>
        <w:rPr>
          <w:rFonts w:hint="eastAsia" w:ascii="仿宋" w:hAnsi="仿宋" w:eastAsia="仿宋"/>
          <w:color w:val="auto"/>
          <w:sz w:val="32"/>
          <w:szCs w:val="32"/>
          <w:highlight w:val="none"/>
        </w:rPr>
        <w:t>万元，占</w:t>
      </w:r>
      <w:r>
        <w:rPr>
          <w:rFonts w:hint="eastAsia" w:ascii="Times New Roman" w:hAnsi="Times New Roman" w:eastAsia="仿宋_GB2312" w:cs="仿宋_GB2312"/>
          <w:color w:val="auto"/>
          <w:sz w:val="32"/>
          <w:szCs w:val="32"/>
          <w:lang w:val="en-US" w:eastAsia="zh-CN"/>
        </w:rPr>
        <w:t>100</w:t>
      </w:r>
      <w:r>
        <w:rPr>
          <w:rFonts w:hint="eastAsia" w:ascii="Times New Roman" w:hAnsi="Times New Roman" w:eastAsia="仿宋_GB2312" w:cs="仿宋_GB2312"/>
          <w:color w:val="auto"/>
          <w:sz w:val="32"/>
          <w:szCs w:val="32"/>
        </w:rPr>
        <w:t>%</w:t>
      </w:r>
      <w:r>
        <w:rPr>
          <w:rFonts w:hint="eastAsia" w:ascii="仿宋" w:hAnsi="仿宋" w:eastAsia="仿宋"/>
          <w:color w:val="auto"/>
          <w:sz w:val="32"/>
          <w:szCs w:val="32"/>
          <w:highlight w:val="none"/>
        </w:rPr>
        <w:t>。具体情况</w:t>
      </w:r>
      <w:r>
        <w:rPr>
          <w:rFonts w:hint="eastAsia" w:ascii="仿宋" w:hAnsi="仿宋" w:eastAsia="仿宋"/>
          <w:color w:val="auto"/>
          <w:sz w:val="32"/>
          <w:szCs w:val="32"/>
          <w:highlight w:val="none"/>
          <w:lang w:val="en-US" w:eastAsia="zh-CN"/>
        </w:rPr>
        <w:t>如下：</w:t>
      </w:r>
    </w:p>
    <w:p>
      <w:pPr>
        <w:pStyle w:val="7"/>
        <w:jc w:val="center"/>
        <w:rPr>
          <w:rFonts w:hint="eastAsia"/>
          <w:lang w:val="en-US" w:eastAsia="zh-CN"/>
        </w:rPr>
      </w:pPr>
      <w:r>
        <w:drawing>
          <wp:inline distT="0" distB="0" distL="114300" distR="114300">
            <wp:extent cx="4866640" cy="3295650"/>
            <wp:effectExtent l="4445" t="4445" r="5715" b="14605"/>
            <wp:docPr id="300" name="图表 16" descr="7b0a202020202263686172745265734964223a20223230343735353833220a7d0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numPr>
          <w:ilvl w:val="0"/>
          <w:numId w:val="0"/>
        </w:numPr>
        <w:spacing w:line="600" w:lineRule="exact"/>
        <w:ind w:firstLine="643" w:firstLineChars="200"/>
        <w:rPr>
          <w:rFonts w:hint="eastAsia" w:ascii="仿宋" w:hAnsi="仿宋" w:eastAsia="仿宋"/>
          <w:color w:val="auto"/>
          <w:sz w:val="32"/>
          <w:szCs w:val="32"/>
          <w:highlight w:val="none"/>
          <w:lang w:val="en-US" w:eastAsia="zh-CN"/>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Times New Roman" w:hAnsi="Times New Roman" w:eastAsia="仿宋_GB2312" w:cs="仿宋_GB2312"/>
          <w:color w:val="auto"/>
          <w:sz w:val="32"/>
          <w:szCs w:val="32"/>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年初未安排预算，因公出国</w:t>
      </w:r>
      <w:r>
        <w:rPr>
          <w:rFonts w:hint="eastAsia" w:ascii="仿宋" w:hAnsi="仿宋" w:eastAsia="仿宋"/>
          <w:color w:val="auto"/>
          <w:sz w:val="32"/>
          <w:szCs w:val="32"/>
          <w:highlight w:val="none"/>
        </w:rPr>
        <w:t>（境）</w:t>
      </w:r>
      <w:r>
        <w:rPr>
          <w:rFonts w:hint="eastAsia" w:ascii="仿宋" w:hAnsi="仿宋" w:eastAsia="仿宋"/>
          <w:color w:val="auto"/>
          <w:sz w:val="32"/>
          <w:szCs w:val="32"/>
          <w:highlight w:val="none"/>
          <w:lang w:val="en-US" w:eastAsia="zh-CN"/>
        </w:rPr>
        <w:t>支出决算较</w:t>
      </w:r>
      <w:r>
        <w:rPr>
          <w:rFonts w:hint="eastAsia" w:ascii="Times New Roman" w:hAnsi="Times New Roman" w:eastAsia="仿宋_GB2312" w:cs="仿宋_GB2312"/>
          <w:color w:val="auto"/>
          <w:sz w:val="32"/>
          <w:szCs w:val="32"/>
          <w:lang w:val="en-US" w:eastAsia="zh-CN"/>
        </w:rPr>
        <w:t>2021</w:t>
      </w:r>
      <w:r>
        <w:rPr>
          <w:rFonts w:hint="eastAsia" w:ascii="仿宋" w:hAnsi="仿宋" w:eastAsia="仿宋"/>
          <w:color w:val="auto"/>
          <w:sz w:val="32"/>
          <w:szCs w:val="32"/>
          <w:highlight w:val="none"/>
          <w:lang w:val="en-US" w:eastAsia="zh-CN"/>
        </w:rPr>
        <w:t>年无变化。</w:t>
      </w:r>
    </w:p>
    <w:p>
      <w:pPr>
        <w:numPr>
          <w:ilvl w:val="0"/>
          <w:numId w:val="0"/>
        </w:numPr>
        <w:spacing w:line="600" w:lineRule="exact"/>
        <w:ind w:firstLine="643" w:firstLineChars="200"/>
        <w:rPr>
          <w:rFonts w:hint="eastAsia" w:ascii="仿宋" w:hAnsi="仿宋" w:eastAsia="仿宋"/>
          <w:color w:val="auto"/>
          <w:sz w:val="32"/>
          <w:szCs w:val="32"/>
          <w:highlight w:val="none"/>
        </w:rPr>
      </w:pPr>
      <w:r>
        <w:rPr>
          <w:rFonts w:hint="eastAsia" w:ascii="仿宋_GB2312" w:eastAsia="仿宋_GB2312"/>
          <w:b/>
          <w:color w:val="auto"/>
          <w:sz w:val="32"/>
          <w:szCs w:val="32"/>
          <w:highlight w:val="none"/>
          <w:lang w:val="en-US" w:eastAsia="zh-CN"/>
        </w:rPr>
        <w:t>2.</w:t>
      </w:r>
      <w:r>
        <w:rPr>
          <w:rFonts w:hint="eastAsia" w:ascii="仿宋_GB2312" w:eastAsia="仿宋_GB2312"/>
          <w:b/>
          <w:color w:val="auto"/>
          <w:sz w:val="32"/>
          <w:szCs w:val="32"/>
          <w:highlight w:val="none"/>
        </w:rPr>
        <w:t>公务用车购置及运行维护费支出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pPr>
        <w:pageBreakBefore w:val="0"/>
        <w:kinsoku/>
        <w:wordWrap/>
        <w:overflowPunct/>
        <w:topLinePunct w:val="0"/>
        <w:bidi w:val="0"/>
        <w:snapToGrid/>
        <w:spacing w:line="576"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Times New Roman" w:hAnsi="Times New Roman" w:eastAsia="仿宋_GB2312" w:cs="仿宋_GB2312"/>
          <w:color w:val="auto"/>
          <w:kern w:val="2"/>
          <w:sz w:val="32"/>
          <w:szCs w:val="32"/>
          <w:lang w:val="en-US" w:eastAsia="zh-CN" w:bidi="ar-SA"/>
        </w:rPr>
        <w:t>0</w:t>
      </w:r>
      <w:r>
        <w:rPr>
          <w:rFonts w:hint="eastAsia" w:ascii="仿宋" w:hAnsi="仿宋" w:eastAsia="仿宋" w:cs="Times New Roman"/>
          <w:color w:val="auto"/>
          <w:kern w:val="2"/>
          <w:sz w:val="32"/>
          <w:szCs w:val="32"/>
          <w:highlight w:val="none"/>
          <w:lang w:val="en-US" w:eastAsia="zh-CN" w:bidi="ar-SA"/>
        </w:rPr>
        <w:t>万</w:t>
      </w:r>
      <w:r>
        <w:rPr>
          <w:rFonts w:hint="eastAsia" w:ascii="仿宋_GB2312" w:eastAsia="仿宋_GB2312"/>
          <w:color w:val="auto"/>
          <w:sz w:val="32"/>
          <w:szCs w:val="32"/>
          <w:highlight w:val="none"/>
        </w:rPr>
        <w:t>元。全年按规定更新购置公务用车</w:t>
      </w:r>
      <w:r>
        <w:rPr>
          <w:rFonts w:hint="eastAsia"/>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在公务用车制度改革后，不允许单位购买公务用车。因公出差向机关事务局申请公务用车，公务用车有保障。</w:t>
      </w:r>
    </w:p>
    <w:p>
      <w:pPr>
        <w:pageBreakBefore w:val="0"/>
        <w:kinsoku/>
        <w:wordWrap/>
        <w:overflowPunct/>
        <w:topLinePunct w:val="0"/>
        <w:bidi w:val="0"/>
        <w:snapToGrid/>
        <w:spacing w:line="576" w:lineRule="exact"/>
        <w:ind w:firstLine="640"/>
        <w:textAlignment w:val="auto"/>
        <w:rPr>
          <w:rFonts w:hint="eastAsia" w:eastAsia="仿宋_GB2312"/>
          <w:lang w:val="en-US" w:eastAsia="zh-CN"/>
        </w:rPr>
      </w:pPr>
      <w:r>
        <w:rPr>
          <w:rFonts w:hint="eastAsia" w:ascii="仿宋_GB2312" w:eastAsia="仿宋_GB2312"/>
          <w:b/>
          <w:color w:val="auto"/>
          <w:sz w:val="32"/>
          <w:szCs w:val="32"/>
          <w:highlight w:val="none"/>
        </w:rPr>
        <w:t>公务用车运行维护费支出</w:t>
      </w:r>
      <w:r>
        <w:rPr>
          <w:rFonts w:hint="eastAsia" w:ascii="Times New Roman" w:eastAsia="仿宋_GB2312" w:cs="仿宋_GB2312"/>
          <w:color w:val="auto"/>
          <w:sz w:val="32"/>
          <w:szCs w:val="32"/>
          <w:lang w:val="en-US" w:eastAsia="zh-CN"/>
        </w:rPr>
        <w:t>0</w:t>
      </w:r>
      <w:r>
        <w:rPr>
          <w:rFonts w:hint="eastAsia" w:ascii="仿宋_GB2312" w:eastAsia="仿宋_GB2312"/>
          <w:color w:val="auto"/>
          <w:sz w:val="32"/>
          <w:szCs w:val="32"/>
          <w:highlight w:val="none"/>
        </w:rPr>
        <w:t>万元</w:t>
      </w:r>
      <w:r>
        <w:rPr>
          <w:rFonts w:hint="eastAsia" w:eastAsia="仿宋_GB2312"/>
          <w:lang w:val="en-US" w:eastAsia="zh-CN"/>
        </w:rPr>
        <w:t>。</w:t>
      </w:r>
    </w:p>
    <w:p>
      <w:pPr>
        <w:pageBreakBefore w:val="0"/>
        <w:kinsoku/>
        <w:wordWrap/>
        <w:overflowPunct/>
        <w:topLinePunct w:val="0"/>
        <w:bidi w:val="0"/>
        <w:snapToGrid/>
        <w:spacing w:line="576" w:lineRule="exact"/>
        <w:ind w:firstLine="640"/>
        <w:textAlignment w:val="auto"/>
        <w:rPr>
          <w:rFonts w:hint="eastAsia" w:ascii="仿宋" w:hAnsi="仿宋" w:eastAsia="仿宋"/>
          <w:color w:val="auto"/>
          <w:sz w:val="32"/>
          <w:szCs w:val="32"/>
          <w:highlight w:val="none"/>
        </w:rPr>
      </w:pPr>
      <w:r>
        <w:rPr>
          <w:rFonts w:hint="eastAsia" w:ascii="仿宋_GB2312" w:eastAsia="仿宋_GB2312"/>
          <w:b/>
          <w:color w:val="auto"/>
          <w:sz w:val="32"/>
          <w:szCs w:val="32"/>
          <w:highlight w:val="none"/>
        </w:rPr>
        <w:t>3.公务接待费支出</w:t>
      </w:r>
      <w:r>
        <w:rPr>
          <w:rFonts w:hint="eastAsia" w:ascii="Times New Roman" w:hAnsi="Times New Roman" w:eastAsia="仿宋_GB2312" w:cs="仿宋_GB2312"/>
          <w:color w:val="auto"/>
          <w:sz w:val="32"/>
          <w:szCs w:val="32"/>
          <w:lang w:val="en-US" w:eastAsia="zh-CN"/>
        </w:rPr>
        <w:t>1.44</w:t>
      </w:r>
      <w:r>
        <w:rPr>
          <w:rFonts w:hint="eastAsia" w:ascii="仿宋" w:hAnsi="仿宋" w:eastAsia="仿宋"/>
          <w:color w:val="auto"/>
          <w:sz w:val="32"/>
          <w:szCs w:val="32"/>
          <w:highlight w:val="none"/>
        </w:rPr>
        <w:t>万元，完成预算</w:t>
      </w:r>
      <w:r>
        <w:rPr>
          <w:rFonts w:hint="eastAsia" w:ascii="Times New Roman" w:hAnsi="Times New Roman" w:eastAsia="仿宋_GB2312" w:cs="仿宋_GB2312"/>
          <w:color w:val="auto"/>
          <w:sz w:val="32"/>
          <w:szCs w:val="32"/>
          <w:lang w:val="en-US" w:eastAsia="zh-CN"/>
        </w:rPr>
        <w:t>100</w:t>
      </w:r>
      <w:r>
        <w:rPr>
          <w:rFonts w:hint="eastAsia" w:ascii="Times New Roman" w:hAnsi="Times New Roman" w:eastAsia="仿宋_GB2312" w:cs="仿宋_GB2312"/>
          <w:color w:val="auto"/>
          <w:sz w:val="32"/>
          <w:szCs w:val="32"/>
        </w:rPr>
        <w:t>%</w:t>
      </w:r>
      <w:r>
        <w:rPr>
          <w:rFonts w:hint="eastAsia" w:ascii="仿宋" w:hAnsi="仿宋" w:eastAsia="仿宋"/>
          <w:color w:val="auto"/>
          <w:sz w:val="32"/>
          <w:szCs w:val="32"/>
          <w:highlight w:val="none"/>
        </w:rPr>
        <w:t>。公务接待费支出决算比</w:t>
      </w:r>
      <w:r>
        <w:rPr>
          <w:rFonts w:hint="eastAsia" w:ascii="Times New Roman" w:hAnsi="Times New Roman" w:eastAsia="仿宋_GB2312" w:cs="仿宋_GB2312"/>
          <w:color w:val="auto"/>
          <w:sz w:val="32"/>
          <w:szCs w:val="32"/>
        </w:rPr>
        <w:t>20</w:t>
      </w:r>
      <w:r>
        <w:rPr>
          <w:rFonts w:hint="eastAsia" w:ascii="Times New Roman" w:hAnsi="Times New Roman" w:eastAsia="仿宋_GB2312" w:cs="仿宋_GB2312"/>
          <w:color w:val="auto"/>
          <w:sz w:val="32"/>
          <w:szCs w:val="32"/>
          <w:lang w:val="en-US" w:eastAsia="zh-CN"/>
        </w:rPr>
        <w:t>21</w:t>
      </w:r>
      <w:r>
        <w:rPr>
          <w:rFonts w:hint="eastAsia" w:ascii="仿宋" w:hAnsi="仿宋" w:eastAsia="仿宋"/>
          <w:color w:val="auto"/>
          <w:sz w:val="32"/>
          <w:szCs w:val="32"/>
          <w:highlight w:val="none"/>
        </w:rPr>
        <w:t>年减少</w:t>
      </w:r>
      <w:r>
        <w:rPr>
          <w:rFonts w:hint="eastAsia" w:ascii="Times New Roman" w:hAnsi="Times New Roman" w:eastAsia="仿宋_GB2312" w:cs="仿宋_GB2312"/>
          <w:color w:val="auto"/>
          <w:sz w:val="32"/>
          <w:szCs w:val="32"/>
          <w:lang w:val="en-US" w:eastAsia="zh-CN"/>
        </w:rPr>
        <w:t>0.51</w:t>
      </w:r>
      <w:r>
        <w:rPr>
          <w:rFonts w:hint="eastAsia" w:ascii="仿宋" w:hAnsi="仿宋" w:eastAsia="仿宋"/>
          <w:color w:val="auto"/>
          <w:sz w:val="32"/>
          <w:szCs w:val="32"/>
          <w:highlight w:val="none"/>
        </w:rPr>
        <w:t>万元，下降</w:t>
      </w:r>
      <w:r>
        <w:rPr>
          <w:rFonts w:hint="eastAsia" w:eastAsia="仿宋_GB2312" w:cs="仿宋_GB2312"/>
          <w:color w:val="auto"/>
          <w:sz w:val="32"/>
          <w:szCs w:val="32"/>
          <w:lang w:val="en-US" w:eastAsia="zh-CN"/>
        </w:rPr>
        <w:t>26</w:t>
      </w:r>
      <w:r>
        <w:rPr>
          <w:rFonts w:hint="eastAsia" w:ascii="Times New Roman" w:hAnsi="Times New Roman" w:eastAsia="仿宋_GB2312" w:cs="仿宋_GB2312"/>
          <w:color w:val="auto"/>
          <w:sz w:val="32"/>
          <w:szCs w:val="32"/>
        </w:rPr>
        <w:t>%</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厉行节约，严格控制三公经费</w:t>
      </w:r>
      <w:r>
        <w:rPr>
          <w:rFonts w:hint="eastAsia" w:ascii="仿宋" w:hAnsi="仿宋" w:eastAsia="仿宋"/>
          <w:color w:val="auto"/>
          <w:sz w:val="32"/>
          <w:szCs w:val="32"/>
          <w:highlight w:val="none"/>
        </w:rPr>
        <w:t>。其中：</w:t>
      </w:r>
    </w:p>
    <w:p>
      <w:pPr>
        <w:keepNext w:val="0"/>
        <w:keepLines w:val="0"/>
        <w:pageBreakBefore w:val="0"/>
        <w:widowControl w:val="0"/>
        <w:kinsoku/>
        <w:wordWrap/>
        <w:overflowPunct/>
        <w:topLinePunct w:val="0"/>
        <w:bidi w:val="0"/>
        <w:spacing w:line="576" w:lineRule="exact"/>
        <w:ind w:left="0" w:leftChars="0" w:right="0" w:firstLine="643" w:firstLineChars="200"/>
        <w:rPr>
          <w:rFonts w:hint="eastAsia" w:ascii="仿宋_GB2312" w:hAnsi="仿宋_GB2312" w:eastAsia="仿宋_GB2312" w:cs="仿宋_GB2312"/>
          <w:b w:val="0"/>
          <w:bCs w:val="0"/>
          <w:color w:val="auto"/>
          <w:sz w:val="32"/>
          <w:szCs w:val="32"/>
        </w:rPr>
      </w:pPr>
      <w:r>
        <w:rPr>
          <w:rFonts w:hint="eastAsia" w:ascii="仿宋_GB2312" w:eastAsia="仿宋_GB2312"/>
          <w:b/>
          <w:color w:val="auto"/>
          <w:sz w:val="32"/>
          <w:szCs w:val="32"/>
          <w:highlight w:val="none"/>
        </w:rPr>
        <w:t>国内公务接待支出</w:t>
      </w:r>
      <w:r>
        <w:rPr>
          <w:rFonts w:hint="eastAsia" w:ascii="Times New Roman" w:hAnsi="Times New Roman"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w:t>
      </w:r>
      <w:r>
        <w:rPr>
          <w:rFonts w:hint="eastAsia" w:eastAsia="仿宋_GB2312" w:cs="仿宋_GB2312"/>
          <w:b w:val="0"/>
          <w:bCs w:val="0"/>
          <w:color w:val="auto"/>
          <w:sz w:val="32"/>
          <w:szCs w:val="32"/>
          <w:highlight w:val="none"/>
          <w:lang w:val="en-US" w:eastAsia="zh-CN"/>
        </w:rPr>
        <w:t>44</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rPr>
        <w:t>主要用于执行公务、开展业务活动开支的交通费、住宿费、用餐费等。国内公务接待</w:t>
      </w:r>
      <w:r>
        <w:rPr>
          <w:rFonts w:hint="eastAsia" w:ascii="Times New Roman" w:hAnsi="Times New Roman" w:eastAsia="仿宋_GB2312" w:cs="仿宋_GB2312"/>
          <w:b w:val="0"/>
          <w:bCs w:val="0"/>
          <w:color w:val="auto"/>
          <w:sz w:val="32"/>
          <w:szCs w:val="32"/>
          <w:lang w:val="en-US" w:eastAsia="zh-CN"/>
        </w:rPr>
        <w:t>2</w:t>
      </w:r>
      <w:r>
        <w:rPr>
          <w:rFonts w:hint="eastAsia"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批次</w:t>
      </w:r>
      <w:r>
        <w:rPr>
          <w:rFonts w:hint="eastAsia" w:ascii="仿宋" w:hAnsi="仿宋" w:eastAsia="仿宋"/>
          <w:color w:val="auto"/>
          <w:sz w:val="32"/>
          <w:szCs w:val="32"/>
          <w:highlight w:val="none"/>
        </w:rPr>
        <w:t>，</w:t>
      </w:r>
      <w:r>
        <w:rPr>
          <w:rFonts w:hint="eastAsia" w:ascii="Times New Roman" w:hAnsi="Times New Roman" w:eastAsia="仿宋_GB2312" w:cs="仿宋_GB2312"/>
          <w:color w:val="auto"/>
          <w:sz w:val="32"/>
          <w:szCs w:val="32"/>
          <w:lang w:val="en-US" w:eastAsia="zh-CN"/>
        </w:rPr>
        <w:t>240</w:t>
      </w:r>
      <w:r>
        <w:rPr>
          <w:rFonts w:hint="eastAsia" w:ascii="仿宋_GB2312" w:hAnsi="仿宋_GB2312" w:eastAsia="仿宋_GB2312" w:cs="仿宋_GB2312"/>
          <w:b w:val="0"/>
          <w:bCs w:val="0"/>
          <w:color w:val="auto"/>
          <w:sz w:val="32"/>
          <w:szCs w:val="32"/>
        </w:rPr>
        <w:t>人次（不包括陪同人员），共计支出</w:t>
      </w:r>
      <w:r>
        <w:rPr>
          <w:rFonts w:hint="eastAsia" w:ascii="Times New Roman" w:hAnsi="Times New Roman" w:eastAsia="仿宋_GB2312" w:cs="仿宋_GB2312"/>
          <w:color w:val="auto"/>
          <w:sz w:val="32"/>
          <w:szCs w:val="32"/>
          <w:lang w:val="en-US" w:eastAsia="zh-CN"/>
        </w:rPr>
        <w:t>1.44</w:t>
      </w:r>
      <w:r>
        <w:rPr>
          <w:rFonts w:hint="eastAsia" w:ascii="仿宋_GB2312" w:hAnsi="仿宋_GB2312" w:eastAsia="仿宋_GB2312" w:cs="仿宋_GB2312"/>
          <w:b w:val="0"/>
          <w:bCs w:val="0"/>
          <w:color w:val="auto"/>
          <w:sz w:val="32"/>
          <w:szCs w:val="32"/>
        </w:rPr>
        <w:t>万元，具体内容包括：执行公务、开展业务活动开支的交通费、住宿费、用餐费等</w:t>
      </w:r>
      <w:r>
        <w:rPr>
          <w:rFonts w:hint="eastAsia" w:ascii="仿宋_GB2312" w:hAnsi="仿宋_GB2312" w:eastAsia="仿宋_GB2312" w:cs="仿宋_GB2312"/>
          <w:b w:val="0"/>
          <w:bCs w:val="0"/>
          <w:color w:val="auto"/>
          <w:sz w:val="32"/>
          <w:szCs w:val="32"/>
          <w:lang w:eastAsia="zh-CN"/>
        </w:rPr>
        <w:t>。</w:t>
      </w:r>
    </w:p>
    <w:p>
      <w:pPr>
        <w:spacing w:line="600" w:lineRule="exact"/>
        <w:ind w:firstLine="643" w:firstLineChars="200"/>
        <w:rPr>
          <w:rFonts w:hint="eastAsia" w:ascii="仿宋_GB2312" w:eastAsia="仿宋_GB2312"/>
          <w:color w:val="auto"/>
          <w:sz w:val="32"/>
          <w:szCs w:val="32"/>
          <w:highlight w:val="none"/>
          <w:lang w:eastAsia="zh-CN"/>
        </w:rPr>
      </w:pPr>
      <w:bookmarkStart w:id="52" w:name="_Toc15377218"/>
      <w:bookmarkStart w:id="53" w:name="_Toc15396610"/>
      <w:r>
        <w:rPr>
          <w:rFonts w:hint="eastAsia" w:ascii="仿宋" w:hAnsi="仿宋" w:eastAsia="仿宋"/>
          <w:b/>
          <w:color w:val="auto"/>
          <w:sz w:val="32"/>
          <w:szCs w:val="32"/>
          <w:highlight w:val="none"/>
        </w:rPr>
        <w:t>外事接待支出</w:t>
      </w:r>
      <w:r>
        <w:rPr>
          <w:rFonts w:hint="eastAsia" w:ascii="Times New Roman" w:hAnsi="Times New Roman" w:eastAsia="仿宋_GB2312" w:cs="仿宋_GB2312"/>
          <w:color w:val="auto"/>
          <w:sz w:val="32"/>
          <w:szCs w:val="32"/>
          <w:lang w:val="en-US" w:eastAsia="zh-CN"/>
        </w:rPr>
        <w:t>0</w:t>
      </w:r>
      <w:r>
        <w:rPr>
          <w:rFonts w:hint="eastAsia" w:ascii="仿宋_GB2312" w:hAnsi="仿宋_GB2312" w:eastAsia="仿宋_GB2312" w:cs="仿宋_GB2312"/>
          <w:b w:val="0"/>
          <w:bCs w:val="0"/>
          <w:color w:val="auto"/>
          <w:sz w:val="32"/>
          <w:szCs w:val="32"/>
        </w:rPr>
        <w:t>万元，外事接待</w:t>
      </w:r>
      <w:r>
        <w:rPr>
          <w:rFonts w:hint="eastAsia" w:ascii="Times New Roman" w:eastAsia="仿宋_GB2312" w:cs="仿宋_GB2312"/>
          <w:color w:val="auto"/>
          <w:sz w:val="32"/>
          <w:szCs w:val="32"/>
          <w:lang w:val="en-US" w:eastAsia="zh-CN"/>
        </w:rPr>
        <w:t>0</w:t>
      </w:r>
      <w:r>
        <w:rPr>
          <w:rFonts w:hint="eastAsia" w:ascii="仿宋_GB2312" w:eastAsia="仿宋_GB2312"/>
          <w:color w:val="auto"/>
          <w:sz w:val="32"/>
          <w:szCs w:val="32"/>
          <w:highlight w:val="none"/>
        </w:rPr>
        <w:t>批次，</w:t>
      </w:r>
      <w:r>
        <w:rPr>
          <w:rFonts w:hint="eastAsia" w:ascii="Times New Roman" w:eastAsia="仿宋_GB2312" w:cs="仿宋_GB2312"/>
          <w:color w:val="auto"/>
          <w:sz w:val="32"/>
          <w:szCs w:val="32"/>
          <w:lang w:val="en-US" w:eastAsia="zh-CN"/>
        </w:rPr>
        <w:t>0</w:t>
      </w:r>
      <w:r>
        <w:rPr>
          <w:rFonts w:hint="eastAsia" w:ascii="仿宋_GB2312" w:eastAsia="仿宋_GB2312"/>
          <w:color w:val="auto"/>
          <w:sz w:val="32"/>
          <w:szCs w:val="32"/>
          <w:highlight w:val="none"/>
        </w:rPr>
        <w:t>人，</w:t>
      </w:r>
      <w:r>
        <w:rPr>
          <w:rFonts w:hint="eastAsia" w:ascii="仿宋_GB2312" w:hAnsi="仿宋_GB2312" w:eastAsia="仿宋_GB2312" w:cs="仿宋_GB2312"/>
          <w:b w:val="0"/>
          <w:bCs w:val="0"/>
          <w:color w:val="auto"/>
          <w:sz w:val="32"/>
          <w:szCs w:val="32"/>
        </w:rPr>
        <w:t>共计支出</w:t>
      </w:r>
      <w:r>
        <w:rPr>
          <w:rFonts w:hint="eastAsia" w:ascii="Times New Roman" w:eastAsia="仿宋_GB2312" w:cs="仿宋_GB2312"/>
          <w:color w:val="auto"/>
          <w:sz w:val="32"/>
          <w:szCs w:val="32"/>
          <w:lang w:val="en-US" w:eastAsia="zh-CN"/>
        </w:rPr>
        <w:t>0</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54" w:name="_Toc5693"/>
      <w:r>
        <w:rPr>
          <w:rFonts w:hint="eastAsia" w:ascii="黑体" w:hAnsi="黑体" w:eastAsia="黑体" w:cs="黑体"/>
          <w:b w:val="0"/>
          <w:bCs w:val="0"/>
          <w:color w:val="auto"/>
          <w:sz w:val="32"/>
          <w:szCs w:val="32"/>
          <w:highlight w:val="none"/>
          <w:lang w:val="en-US" w:eastAsia="zh-CN"/>
        </w:rPr>
        <w:t>八、政府性基金预算支出决算情况说明</w:t>
      </w:r>
      <w:bookmarkEnd w:id="52"/>
      <w:bookmarkEnd w:id="53"/>
      <w:bookmarkEnd w:id="54"/>
    </w:p>
    <w:p>
      <w:pPr>
        <w:keepNext w:val="0"/>
        <w:keepLines w:val="0"/>
        <w:pageBreakBefore w:val="0"/>
        <w:widowControl w:val="0"/>
        <w:kinsoku/>
        <w:wordWrap/>
        <w:overflowPunct/>
        <w:topLinePunct w:val="0"/>
        <w:bidi w:val="0"/>
        <w:spacing w:line="576" w:lineRule="exact"/>
        <w:ind w:left="0" w:leftChars="0" w:right="0" w:firstLine="640" w:firstLineChars="200"/>
        <w:rPr>
          <w:rFonts w:hint="eastAsia" w:ascii="仿宋_GB2312" w:hAnsi="仿宋_GB2312" w:eastAsia="仿宋_GB2312" w:cs="仿宋_GB2312"/>
          <w:b w:val="0"/>
          <w:bCs w:val="0"/>
          <w:color w:val="auto"/>
          <w:sz w:val="32"/>
          <w:szCs w:val="32"/>
          <w:highlight w:val="none"/>
        </w:rPr>
      </w:pPr>
      <w:r>
        <w:rPr>
          <w:rFonts w:hint="eastAsia" w:ascii="Times New Roman" w:hAnsi="Times New Roman" w:eastAsia="仿宋_GB2312" w:cs="仿宋_GB2312"/>
          <w:color w:val="auto"/>
          <w:sz w:val="32"/>
          <w:szCs w:val="32"/>
          <w:lang w:val="en-US" w:eastAsia="zh-CN"/>
        </w:rPr>
        <w:t>2022</w:t>
      </w:r>
      <w:r>
        <w:rPr>
          <w:rFonts w:hint="eastAsia" w:ascii="仿宋_GB2312" w:hAnsi="仿宋_GB2312" w:eastAsia="仿宋_GB2312" w:cs="仿宋_GB2312"/>
          <w:b w:val="0"/>
          <w:bCs w:val="0"/>
          <w:color w:val="auto"/>
          <w:sz w:val="32"/>
          <w:szCs w:val="32"/>
          <w:lang w:val="en-US" w:eastAsia="zh-CN"/>
        </w:rPr>
        <w:t>年政府性基金预算财政拨款支出</w:t>
      </w:r>
      <w:r>
        <w:rPr>
          <w:rFonts w:hint="eastAsia" w:ascii="Times New Roman" w:hAnsi="Times New Roman" w:eastAsia="仿宋_GB2312" w:cs="仿宋_GB2312"/>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万元。</w:t>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55" w:name="_Toc15377219"/>
      <w:bookmarkStart w:id="56" w:name="_Toc16410"/>
      <w:bookmarkStart w:id="57" w:name="_Toc15396611"/>
      <w:r>
        <w:rPr>
          <w:rFonts w:hint="eastAsia" w:ascii="黑体" w:hAnsi="黑体" w:eastAsia="黑体" w:cs="黑体"/>
          <w:b w:val="0"/>
          <w:bCs w:val="0"/>
          <w:color w:val="auto"/>
          <w:sz w:val="32"/>
          <w:szCs w:val="32"/>
          <w:highlight w:val="none"/>
          <w:lang w:val="en-US" w:eastAsia="zh-CN"/>
        </w:rPr>
        <w:t>九、国有资本经营预算支出决算情况说明</w:t>
      </w:r>
      <w:bookmarkEnd w:id="55"/>
      <w:bookmarkEnd w:id="56"/>
      <w:bookmarkEnd w:id="57"/>
    </w:p>
    <w:p>
      <w:pPr>
        <w:keepNext w:val="0"/>
        <w:keepLines w:val="0"/>
        <w:pageBreakBefore w:val="0"/>
        <w:widowControl w:val="0"/>
        <w:kinsoku/>
        <w:wordWrap/>
        <w:overflowPunct/>
        <w:topLinePunct w:val="0"/>
        <w:bidi w:val="0"/>
        <w:spacing w:line="576" w:lineRule="exact"/>
        <w:ind w:left="0" w:leftChars="0" w:right="0" w:firstLine="640" w:firstLineChars="200"/>
        <w:rPr>
          <w:rFonts w:hint="eastAsia" w:ascii="仿宋" w:hAnsi="仿宋" w:eastAsia="仿宋"/>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2022</w:t>
      </w:r>
      <w:r>
        <w:rPr>
          <w:rFonts w:hint="eastAsia" w:ascii="仿宋_GB2312" w:hAnsi="仿宋_GB2312" w:eastAsia="仿宋_GB2312" w:cs="仿宋_GB2312"/>
          <w:b w:val="0"/>
          <w:bCs w:val="0"/>
          <w:color w:val="auto"/>
          <w:sz w:val="32"/>
          <w:szCs w:val="32"/>
          <w:lang w:val="en-US" w:eastAsia="zh-CN"/>
        </w:rPr>
        <w:t>年国有资本经营预算财政拨款支出</w:t>
      </w:r>
      <w:r>
        <w:rPr>
          <w:rFonts w:hint="eastAsia" w:ascii="Times New Roman" w:hAnsi="Times New Roman" w:eastAsia="仿宋_GB2312" w:cs="仿宋_GB2312"/>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万元。</w:t>
      </w:r>
    </w:p>
    <w:p>
      <w:pPr>
        <w:ind w:firstLine="640"/>
        <w:jc w:val="left"/>
        <w:rPr>
          <w:rFonts w:hint="eastAsia" w:ascii="黑体" w:hAnsi="黑体" w:eastAsia="黑体" w:cs="黑体"/>
          <w:b w:val="0"/>
          <w:bCs w:val="0"/>
          <w:color w:val="auto"/>
          <w:sz w:val="32"/>
          <w:szCs w:val="32"/>
          <w:highlight w:val="none"/>
          <w:lang w:val="en-US" w:eastAsia="zh-CN"/>
        </w:rPr>
      </w:pPr>
      <w:bookmarkStart w:id="58" w:name="_Toc15656"/>
      <w:bookmarkStart w:id="59" w:name="_Toc15396612"/>
      <w:bookmarkStart w:id="60" w:name="_Toc9410"/>
      <w:bookmarkStart w:id="61" w:name="_Toc15377221"/>
      <w:r>
        <w:rPr>
          <w:rFonts w:hint="eastAsia" w:ascii="黑体" w:hAnsi="黑体" w:eastAsia="黑体" w:cs="黑体"/>
          <w:b w:val="0"/>
          <w:bCs w:val="0"/>
          <w:color w:val="auto"/>
          <w:sz w:val="32"/>
          <w:szCs w:val="32"/>
          <w:highlight w:val="none"/>
          <w:lang w:val="en-US" w:eastAsia="zh-CN"/>
        </w:rPr>
        <w:t>十、其他重要事项的情况说明</w:t>
      </w:r>
    </w:p>
    <w:p>
      <w:pPr>
        <w:spacing w:line="600" w:lineRule="exact"/>
        <w:ind w:firstLine="643" w:firstLineChars="200"/>
        <w:outlineLvl w:val="2"/>
        <w:rPr>
          <w:rFonts w:hint="eastAsia" w:ascii="仿宋" w:hAnsi="仿宋" w:eastAsia="仿宋"/>
          <w:b/>
          <w:color w:val="auto"/>
          <w:sz w:val="32"/>
          <w:szCs w:val="32"/>
          <w:highlight w:val="none"/>
        </w:rPr>
      </w:pPr>
      <w:bookmarkStart w:id="62" w:name="_Toc15377222"/>
      <w:r>
        <w:rPr>
          <w:rFonts w:hint="eastAsia" w:ascii="仿宋" w:hAnsi="仿宋" w:eastAsia="仿宋"/>
          <w:b/>
          <w:color w:val="auto"/>
          <w:sz w:val="32"/>
          <w:szCs w:val="32"/>
          <w:highlight w:val="none"/>
        </w:rPr>
        <w:t>（一）机关运行经费支出情况</w:t>
      </w:r>
      <w:bookmarkEnd w:id="62"/>
    </w:p>
    <w:p>
      <w:pPr>
        <w:keepNext w:val="0"/>
        <w:keepLines w:val="0"/>
        <w:pageBreakBefore w:val="0"/>
        <w:widowControl w:val="0"/>
        <w:kinsoku/>
        <w:wordWrap/>
        <w:overflowPunct/>
        <w:topLinePunct w:val="0"/>
        <w:bidi w:val="0"/>
        <w:spacing w:line="550" w:lineRule="exact"/>
        <w:ind w:firstLine="640"/>
        <w:jc w:val="left"/>
        <w:textAlignment w:val="auto"/>
        <w:rPr>
          <w:rFonts w:hint="eastAsia" w:ascii="仿宋_GB2312" w:hAnsi="仿宋_GB2312" w:eastAsia="仿宋_GB2312" w:cs="仿宋_GB2312"/>
          <w:b w:val="0"/>
          <w:bCs w:val="0"/>
          <w:sz w:val="32"/>
          <w:szCs w:val="32"/>
        </w:rPr>
      </w:pPr>
      <w:bookmarkStart w:id="63" w:name="_Toc15377223"/>
      <w:r>
        <w:rPr>
          <w:rFonts w:hint="eastAsia" w:ascii="仿宋_GB2312" w:hAnsi="仿宋_GB2312" w:eastAsia="仿宋_GB2312" w:cs="仿宋_GB2312"/>
          <w:b w:val="0"/>
          <w:bCs w:val="0"/>
          <w:color w:val="auto"/>
          <w:sz w:val="32"/>
          <w:szCs w:val="32"/>
        </w:rPr>
        <w:t>本单位为事业单位，未发生机关运行经费支出。</w:t>
      </w:r>
    </w:p>
    <w:p>
      <w:pPr>
        <w:spacing w:line="600" w:lineRule="exact"/>
        <w:ind w:firstLine="643" w:firstLineChars="200"/>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63"/>
    </w:p>
    <w:p>
      <w:pPr>
        <w:keepNext w:val="0"/>
        <w:keepLines w:val="0"/>
        <w:pageBreakBefore w:val="0"/>
        <w:widowControl w:val="0"/>
        <w:kinsoku/>
        <w:wordWrap/>
        <w:overflowPunct/>
        <w:topLinePunct w:val="0"/>
        <w:bidi w:val="0"/>
        <w:spacing w:line="550" w:lineRule="exact"/>
        <w:ind w:left="0" w:leftChars="0" w:right="0" w:firstLine="640" w:firstLineChars="200"/>
        <w:textAlignment w:val="auto"/>
        <w:rPr>
          <w:rFonts w:hint="eastAsia" w:ascii="仿宋_GB2312" w:eastAsia="仿宋_GB2312"/>
          <w:color w:val="auto"/>
          <w:sz w:val="32"/>
          <w:szCs w:val="32"/>
          <w:highlight w:val="none"/>
        </w:rPr>
      </w:pPr>
      <w:r>
        <w:rPr>
          <w:rFonts w:hint="eastAsia" w:ascii="Times New Roman" w:eastAsia="仿宋_GB2312" w:cs="仿宋_GB2312"/>
          <w:sz w:val="32"/>
          <w:szCs w:val="32"/>
          <w:lang w:eastAsia="zh-CN"/>
        </w:rPr>
        <w:t>2022</w:t>
      </w:r>
      <w:r>
        <w:rPr>
          <w:rFonts w:hint="eastAsia" w:ascii="仿宋_GB2312" w:hAnsi="仿宋_GB2312" w:eastAsia="仿宋_GB2312" w:cs="仿宋_GB2312"/>
          <w:b w:val="0"/>
          <w:bCs w:val="0"/>
          <w:color w:val="auto"/>
          <w:sz w:val="32"/>
          <w:szCs w:val="32"/>
        </w:rPr>
        <w:t>年，政府采购支出总额</w:t>
      </w:r>
      <w:r>
        <w:rPr>
          <w:rFonts w:hint="eastAsia" w:ascii="Times New Roman" w:eastAsia="仿宋_GB2312" w:cs="仿宋_GB2312"/>
          <w:sz w:val="32"/>
          <w:szCs w:val="32"/>
          <w:lang w:val="en-US" w:eastAsia="zh-CN"/>
        </w:rPr>
        <w:t>13.07</w:t>
      </w:r>
      <w:r>
        <w:rPr>
          <w:rFonts w:hint="eastAsia" w:ascii="仿宋_GB2312" w:hAnsi="仿宋_GB2312" w:eastAsia="仿宋_GB2312" w:cs="仿宋_GB2312"/>
          <w:b w:val="0"/>
          <w:bCs w:val="0"/>
          <w:color w:val="auto"/>
          <w:sz w:val="32"/>
          <w:szCs w:val="32"/>
        </w:rPr>
        <w:t>万元，其中：政府采购货物支出</w:t>
      </w:r>
      <w:r>
        <w:rPr>
          <w:rFonts w:hint="eastAsia" w:ascii="Times New Roman" w:eastAsia="仿宋_GB2312" w:cs="仿宋_GB2312"/>
          <w:sz w:val="32"/>
          <w:szCs w:val="32"/>
          <w:lang w:val="en-US" w:eastAsia="zh-CN"/>
        </w:rPr>
        <w:t>13.07</w:t>
      </w:r>
      <w:r>
        <w:rPr>
          <w:rFonts w:hint="eastAsia" w:ascii="仿宋_GB2312" w:hAnsi="仿宋_GB2312" w:eastAsia="仿宋_GB2312" w:cs="仿宋_GB2312"/>
          <w:b w:val="0"/>
          <w:bCs w:val="0"/>
          <w:color w:val="auto"/>
          <w:sz w:val="32"/>
          <w:szCs w:val="32"/>
        </w:rPr>
        <w:t>万元。主要用</w:t>
      </w:r>
      <w:r>
        <w:rPr>
          <w:rFonts w:hint="eastAsia" w:ascii="仿宋_GB2312" w:hAnsi="仿宋_GB2312" w:eastAsia="仿宋_GB2312" w:cs="仿宋_GB2312"/>
          <w:b w:val="0"/>
          <w:bCs w:val="0"/>
          <w:color w:val="auto"/>
          <w:sz w:val="32"/>
          <w:szCs w:val="32"/>
          <w:lang w:eastAsia="zh-CN"/>
        </w:rPr>
        <w:t>于中心开办办公设备采购</w:t>
      </w:r>
      <w:r>
        <w:rPr>
          <w:rFonts w:hint="eastAsia" w:ascii="仿宋_GB2312" w:hAnsi="仿宋_GB2312" w:eastAsia="仿宋_GB2312" w:cs="仿宋_GB2312"/>
          <w:b w:val="0"/>
          <w:bCs w:val="0"/>
          <w:color w:val="auto"/>
          <w:sz w:val="32"/>
          <w:szCs w:val="32"/>
        </w:rPr>
        <w:t>。</w:t>
      </w:r>
    </w:p>
    <w:p>
      <w:pPr>
        <w:spacing w:line="600" w:lineRule="exact"/>
        <w:ind w:firstLine="643" w:firstLineChars="200"/>
        <w:outlineLvl w:val="2"/>
        <w:rPr>
          <w:rFonts w:hint="eastAsia" w:ascii="仿宋" w:hAnsi="仿宋" w:eastAsia="仿宋"/>
          <w:b/>
          <w:color w:val="auto"/>
          <w:sz w:val="32"/>
          <w:szCs w:val="32"/>
          <w:highlight w:val="none"/>
        </w:rPr>
      </w:pPr>
      <w:bookmarkStart w:id="64" w:name="_Toc15377224"/>
      <w:r>
        <w:rPr>
          <w:rFonts w:hint="eastAsia" w:ascii="仿宋" w:hAnsi="仿宋" w:eastAsia="仿宋"/>
          <w:b/>
          <w:color w:val="auto"/>
          <w:sz w:val="32"/>
          <w:szCs w:val="32"/>
          <w:highlight w:val="none"/>
        </w:rPr>
        <w:t>（三）国有资产占有使用情况</w:t>
      </w:r>
      <w:bookmarkEnd w:id="64"/>
    </w:p>
    <w:p>
      <w:pPr>
        <w:numPr>
          <w:ilvl w:val="0"/>
          <w:numId w:val="0"/>
        </w:numPr>
        <w:spacing w:line="600" w:lineRule="exact"/>
        <w:ind w:firstLine="0" w:firstLineChars="0"/>
        <w:jc w:val="left"/>
        <w:outlineLvl w:val="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 xml:space="preserve">    </w:t>
      </w:r>
      <w:r>
        <w:rPr>
          <w:rFonts w:hint="default" w:eastAsia="仿宋_GB2312" w:cs="Times New Roman"/>
          <w:color w:val="auto"/>
          <w:sz w:val="32"/>
          <w:szCs w:val="32"/>
          <w:highlight w:val="none"/>
          <w:lang w:val="en-US" w:eastAsia="zh-CN"/>
        </w:rPr>
        <w:t>截至</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年12月31日，</w:t>
      </w:r>
      <w:r>
        <w:rPr>
          <w:rFonts w:hint="eastAsia" w:eastAsia="仿宋_GB2312" w:cs="Times New Roman"/>
          <w:color w:val="auto"/>
          <w:sz w:val="32"/>
          <w:szCs w:val="32"/>
          <w:highlight w:val="none"/>
          <w:lang w:val="en-US" w:eastAsia="zh-CN"/>
        </w:rPr>
        <w:t>广元市昭化区目标绩效事务中心</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eastAsia" w:ascii="仿宋" w:hAnsi="仿宋" w:eastAsia="仿宋" w:cs="仿宋"/>
          <w:color w:val="auto"/>
          <w:sz w:val="32"/>
          <w:szCs w:val="32"/>
          <w:highlight w:val="none"/>
        </w:rPr>
        <w:t>其中：主要领导干部用车</w:t>
      </w:r>
      <w:r>
        <w:rPr>
          <w:rFonts w:hint="default" w:ascii="Times New Roman" w:hAnsi="Times New Roman" w:eastAsia="仿宋" w:cs="Times New Roman"/>
          <w:color w:val="auto"/>
          <w:sz w:val="32"/>
          <w:szCs w:val="32"/>
          <w:highlight w:val="none"/>
          <w:lang w:val="en-US" w:eastAsia="zh-CN"/>
        </w:rPr>
        <w:t>0</w:t>
      </w:r>
      <w:r>
        <w:rPr>
          <w:rFonts w:hint="eastAsia" w:ascii="仿宋" w:hAnsi="仿宋" w:eastAsia="仿宋" w:cs="仿宋"/>
          <w:color w:val="auto"/>
          <w:sz w:val="32"/>
          <w:szCs w:val="32"/>
          <w:highlight w:val="none"/>
        </w:rPr>
        <w:t>辆、机要通信用车</w:t>
      </w:r>
      <w:r>
        <w:rPr>
          <w:rFonts w:hint="default" w:ascii="Times New Roman" w:hAnsi="Times New Roman" w:eastAsia="仿宋" w:cs="Times New Roman"/>
          <w:color w:val="auto"/>
          <w:sz w:val="32"/>
          <w:szCs w:val="32"/>
          <w:highlight w:val="none"/>
          <w:lang w:val="en-US" w:eastAsia="zh-CN"/>
        </w:rPr>
        <w:t>0</w:t>
      </w:r>
      <w:r>
        <w:rPr>
          <w:rFonts w:hint="eastAsia" w:eastAsia="仿宋_GB2312" w:cs="Times New Roman"/>
          <w:color w:val="auto"/>
          <w:sz w:val="32"/>
          <w:szCs w:val="32"/>
          <w:highlight w:val="none"/>
          <w:lang w:val="en-US" w:eastAsia="zh-CN"/>
        </w:rPr>
        <w:t>辆、应急保障用车</w:t>
      </w:r>
      <w:r>
        <w:rPr>
          <w:rFonts w:hint="default" w:ascii="Times New Roman" w:hAnsi="Times New Roman" w:eastAsia="仿宋" w:cs="Times New Roman"/>
          <w:color w:val="auto"/>
          <w:sz w:val="32"/>
          <w:szCs w:val="32"/>
          <w:highlight w:val="none"/>
          <w:lang w:val="en-US" w:eastAsia="zh-CN"/>
        </w:rPr>
        <w:t>0</w:t>
      </w:r>
      <w:r>
        <w:rPr>
          <w:rFonts w:hint="eastAsia" w:eastAsia="仿宋_GB2312" w:cs="Times New Roman"/>
          <w:color w:val="auto"/>
          <w:sz w:val="32"/>
          <w:szCs w:val="32"/>
          <w:highlight w:val="none"/>
          <w:lang w:val="en-US" w:eastAsia="zh-CN"/>
        </w:rPr>
        <w:t>辆、其他用车</w:t>
      </w:r>
      <w:r>
        <w:rPr>
          <w:rFonts w:hint="default" w:ascii="Times New Roman" w:hAnsi="Times New Roman" w:eastAsia="仿宋" w:cs="Times New Roman"/>
          <w:color w:val="auto"/>
          <w:sz w:val="32"/>
          <w:szCs w:val="32"/>
          <w:highlight w:val="none"/>
          <w:lang w:val="en-US" w:eastAsia="zh-CN"/>
        </w:rPr>
        <w:t>0</w:t>
      </w:r>
      <w:r>
        <w:rPr>
          <w:rFonts w:hint="eastAsia" w:eastAsia="仿宋_GB2312" w:cs="Times New Roman"/>
          <w:color w:val="auto"/>
          <w:sz w:val="32"/>
          <w:szCs w:val="32"/>
          <w:highlight w:val="none"/>
          <w:lang w:val="en-US" w:eastAsia="zh-CN"/>
        </w:rPr>
        <w:t>辆单价</w:t>
      </w:r>
      <w:r>
        <w:rPr>
          <w:rFonts w:hint="default" w:ascii="Times New Roman" w:hAnsi="Times New Roman" w:eastAsia="仿宋" w:cs="Times New Roman"/>
          <w:color w:val="auto"/>
          <w:sz w:val="32"/>
          <w:szCs w:val="32"/>
          <w:highlight w:val="none"/>
        </w:rPr>
        <w:t>50</w:t>
      </w:r>
      <w:r>
        <w:rPr>
          <w:rFonts w:hint="eastAsia" w:eastAsia="仿宋_GB2312" w:cs="Times New Roman"/>
          <w:color w:val="auto"/>
          <w:sz w:val="32"/>
          <w:szCs w:val="32"/>
          <w:highlight w:val="none"/>
          <w:lang w:val="en-US" w:eastAsia="zh-CN"/>
        </w:rPr>
        <w:t>万元以上通用设备</w:t>
      </w:r>
      <w:r>
        <w:rPr>
          <w:rFonts w:hint="default" w:ascii="Times New Roman" w:hAnsi="Times New Roman" w:eastAsia="方正楷体_GBK" w:cs="Times New Roman"/>
          <w:color w:val="auto"/>
          <w:sz w:val="32"/>
          <w:szCs w:val="32"/>
          <w:highlight w:val="none"/>
          <w:lang w:val="en-US" w:eastAsia="zh-CN"/>
        </w:rPr>
        <w:t>0</w:t>
      </w:r>
      <w:r>
        <w:rPr>
          <w:rFonts w:hint="eastAsia" w:eastAsia="仿宋_GB2312" w:cs="Times New Roman"/>
          <w:color w:val="auto"/>
          <w:sz w:val="32"/>
          <w:szCs w:val="32"/>
          <w:highlight w:val="none"/>
          <w:lang w:val="en-US" w:eastAsia="zh-CN"/>
        </w:rPr>
        <w:t>台。（套），单价</w:t>
      </w:r>
      <w:r>
        <w:rPr>
          <w:rFonts w:hint="default" w:ascii="Times New Roman" w:hAnsi="Times New Roman" w:eastAsia="仿宋" w:cs="Times New Roman"/>
          <w:color w:val="auto"/>
          <w:sz w:val="32"/>
          <w:szCs w:val="32"/>
          <w:highlight w:val="none"/>
        </w:rPr>
        <w:t>100</w:t>
      </w:r>
      <w:r>
        <w:rPr>
          <w:rFonts w:hint="eastAsia" w:eastAsia="仿宋_GB2312" w:cs="Times New Roman"/>
          <w:color w:val="auto"/>
          <w:sz w:val="32"/>
          <w:szCs w:val="32"/>
          <w:highlight w:val="none"/>
          <w:lang w:val="en-US" w:eastAsia="zh-CN"/>
        </w:rPr>
        <w:t>万元以上专用设备</w:t>
      </w:r>
      <w:r>
        <w:rPr>
          <w:rFonts w:hint="default" w:ascii="Times New Roman" w:hAnsi="Times New Roman" w:eastAsia="仿宋" w:cs="Times New Roman"/>
          <w:color w:val="auto"/>
          <w:sz w:val="32"/>
          <w:szCs w:val="32"/>
          <w:highlight w:val="none"/>
          <w:lang w:val="en-US" w:eastAsia="zh-CN"/>
        </w:rPr>
        <w:t>0</w:t>
      </w:r>
      <w:r>
        <w:rPr>
          <w:rFonts w:hint="eastAsia" w:eastAsia="仿宋_GB2312" w:cs="Times New Roman"/>
          <w:color w:val="auto"/>
          <w:sz w:val="32"/>
          <w:szCs w:val="32"/>
          <w:highlight w:val="none"/>
          <w:lang w:val="en-US" w:eastAsia="zh-CN"/>
        </w:rPr>
        <w:t>台（套）。</w:t>
      </w:r>
    </w:p>
    <w:p>
      <w:pPr>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jc w:val="both"/>
        <w:textAlignment w:val="auto"/>
        <w:outlineLvl w:val="1"/>
        <w:rPr>
          <w:rFonts w:hint="eastAsia" w:ascii="黑体" w:hAnsi="黑体" w:eastAsia="黑体" w:cs="黑体"/>
          <w:b w:val="0"/>
          <w:bCs w:val="0"/>
          <w:color w:val="auto"/>
          <w:kern w:val="2"/>
          <w:sz w:val="32"/>
          <w:szCs w:val="32"/>
          <w:highlight w:val="none"/>
          <w:lang w:val="en-US" w:eastAsia="zh-CN" w:bidi="ar-SA"/>
        </w:rPr>
      </w:pPr>
    </w:p>
    <w:p>
      <w:pPr>
        <w:spacing w:line="600" w:lineRule="exact"/>
        <w:ind w:firstLine="643" w:firstLineChars="200"/>
        <w:outlineLvl w:val="2"/>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（四）预算绩效管理情况</w:t>
      </w:r>
      <w:bookmarkEnd w:id="58"/>
    </w:p>
    <w:p>
      <w:pPr>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根据预算绩效管理要求，本部门在</w:t>
      </w:r>
      <w:r>
        <w:rPr>
          <w:rFonts w:hint="default" w:ascii="Times New Roman" w:hAnsi="Times New Roman" w:eastAsia="仿宋_GB2312" w:cs="Times New Roman"/>
          <w:b w:val="0"/>
          <w:bCs w:val="0"/>
          <w:color w:val="auto"/>
          <w:sz w:val="32"/>
          <w:szCs w:val="32"/>
          <w:lang w:val="en-US" w:eastAsia="zh-CN"/>
        </w:rPr>
        <w:t>2022</w:t>
      </w:r>
      <w:r>
        <w:rPr>
          <w:rFonts w:hint="eastAsia" w:ascii="仿宋_GB2312" w:hAnsi="仿宋_GB2312" w:eastAsia="仿宋_GB2312" w:cs="仿宋_GB2312"/>
          <w:b w:val="0"/>
          <w:bCs w:val="0"/>
          <w:color w:val="auto"/>
          <w:sz w:val="32"/>
          <w:szCs w:val="32"/>
          <w:lang w:val="en-US" w:eastAsia="zh-CN"/>
        </w:rPr>
        <w:t>年度预算编制阶段，组织对督查项目开展了预算事前绩效评估；预算执行中，按照财政要求全面开展了绩效运行监控，并对</w:t>
      </w:r>
      <w:r>
        <w:rPr>
          <w:rFonts w:hint="eastAsia" w:ascii="Times New Roman" w:hAnsi="Times New Roman" w:eastAsia="仿宋_GB2312" w:cs="Times New Roman"/>
          <w:b w:val="0"/>
          <w:bCs w:val="0"/>
          <w:color w:val="auto"/>
          <w:sz w:val="32"/>
          <w:szCs w:val="32"/>
          <w:lang w:val="en-US" w:eastAsia="zh-CN"/>
        </w:rPr>
        <w:t>2022</w:t>
      </w:r>
      <w:r>
        <w:rPr>
          <w:rFonts w:hint="eastAsia" w:ascii="仿宋_GB2312" w:hAnsi="仿宋_GB2312" w:eastAsia="仿宋_GB2312" w:cs="仿宋_GB2312"/>
          <w:b w:val="0"/>
          <w:bCs w:val="0"/>
          <w:color w:val="auto"/>
          <w:sz w:val="32"/>
          <w:szCs w:val="32"/>
          <w:lang w:val="en-US" w:eastAsia="zh-CN"/>
        </w:rPr>
        <w:t>年度一般公共预算支出等全覆盖开展了绩效自评 ，形成了</w:t>
      </w:r>
      <w:r>
        <w:rPr>
          <w:rFonts w:hint="eastAsia" w:ascii="Times New Roman" w:hAnsi="Times New Roman" w:eastAsia="仿宋_GB2312" w:cs="Times New Roman"/>
          <w:b w:val="0"/>
          <w:bCs w:val="0"/>
          <w:color w:val="auto"/>
          <w:sz w:val="32"/>
          <w:szCs w:val="32"/>
          <w:lang w:val="en-US" w:eastAsia="zh-CN"/>
        </w:rPr>
        <w:t>2022</w:t>
      </w:r>
      <w:r>
        <w:rPr>
          <w:rFonts w:hint="eastAsia" w:ascii="仿宋_GB2312" w:hAnsi="仿宋_GB2312" w:eastAsia="仿宋_GB2312" w:cs="仿宋_GB2312"/>
          <w:b w:val="0"/>
          <w:bCs w:val="0"/>
          <w:color w:val="auto"/>
          <w:sz w:val="32"/>
          <w:szCs w:val="32"/>
          <w:lang w:val="en-US" w:eastAsia="zh-CN"/>
        </w:rPr>
        <w:t>年部门整体绩效自评报告（表)、督查等专项预算项目绩效自评报告，其中，部门整体绩效自评得分为</w:t>
      </w:r>
      <w:r>
        <w:rPr>
          <w:rFonts w:hint="eastAsia" w:ascii="Times New Roman" w:hAnsi="Times New Roman" w:eastAsia="仿宋_GB2312" w:cs="Times New Roman"/>
          <w:b w:val="0"/>
          <w:bCs w:val="0"/>
          <w:color w:val="auto"/>
          <w:sz w:val="32"/>
          <w:szCs w:val="32"/>
          <w:lang w:val="en-US" w:eastAsia="zh-CN"/>
        </w:rPr>
        <w:t>95</w:t>
      </w:r>
      <w:r>
        <w:rPr>
          <w:rFonts w:hint="eastAsia" w:ascii="仿宋_GB2312" w:hAnsi="仿宋_GB2312" w:eastAsia="仿宋_GB2312" w:cs="仿宋_GB2312"/>
          <w:b w:val="0"/>
          <w:bCs w:val="0"/>
          <w:color w:val="auto"/>
          <w:sz w:val="32"/>
          <w:szCs w:val="32"/>
          <w:lang w:val="en-US" w:eastAsia="zh-CN"/>
        </w:rPr>
        <w:t>分；督查专项预算项目绩效自评得分为</w:t>
      </w:r>
      <w:r>
        <w:rPr>
          <w:rFonts w:hint="eastAsia" w:ascii="Times New Roman" w:hAnsi="Times New Roman" w:eastAsia="仿宋_GB2312" w:cs="Times New Roman"/>
          <w:b w:val="0"/>
          <w:bCs w:val="0"/>
          <w:color w:val="auto"/>
          <w:sz w:val="32"/>
          <w:szCs w:val="32"/>
          <w:lang w:val="en-US" w:eastAsia="zh-CN"/>
        </w:rPr>
        <w:t>95</w:t>
      </w:r>
      <w:r>
        <w:rPr>
          <w:rFonts w:hint="eastAsia" w:ascii="仿宋_GB2312" w:hAnsi="仿宋_GB2312" w:eastAsia="仿宋_GB2312" w:cs="仿宋_GB2312"/>
          <w:b w:val="0"/>
          <w:bCs w:val="0"/>
          <w:color w:val="auto"/>
          <w:sz w:val="32"/>
          <w:szCs w:val="32"/>
          <w:lang w:val="en-US" w:eastAsia="zh-CN"/>
        </w:rPr>
        <w:t>分。《</w:t>
      </w:r>
      <w:r>
        <w:rPr>
          <w:rFonts w:hint="eastAsia" w:ascii="Times New Roman" w:hAnsi="Times New Roman" w:eastAsia="仿宋_GB2312" w:cs="Times New Roman"/>
          <w:b w:val="0"/>
          <w:bCs w:val="0"/>
          <w:color w:val="auto"/>
          <w:sz w:val="32"/>
          <w:szCs w:val="32"/>
          <w:lang w:val="en-US" w:eastAsia="zh-CN"/>
        </w:rPr>
        <w:t>2022</w:t>
      </w:r>
      <w:r>
        <w:rPr>
          <w:rFonts w:hint="eastAsia" w:ascii="仿宋_GB2312" w:hAnsi="仿宋_GB2312" w:eastAsia="仿宋_GB2312" w:cs="仿宋_GB2312"/>
          <w:b w:val="0"/>
          <w:bCs w:val="0"/>
          <w:color w:val="auto"/>
          <w:sz w:val="32"/>
          <w:szCs w:val="32"/>
          <w:lang w:val="en-US" w:eastAsia="zh-CN"/>
        </w:rPr>
        <w:t>年昭化区目标绩效事务中心部门整体绩效自评报告（表）》和《项目支出绩效自评报告（表）》详见附件。</w:t>
      </w:r>
    </w:p>
    <w:p>
      <w:pPr>
        <w:keepNext w:val="0"/>
        <w:keepLines w:val="0"/>
        <w:pageBreakBefore w:val="0"/>
        <w:widowControl w:val="0"/>
        <w:kinsoku/>
        <w:wordWrap/>
        <w:overflowPunct w:val="0"/>
        <w:topLinePunct w:val="0"/>
        <w:bidi w:val="0"/>
        <w:spacing w:line="576" w:lineRule="exact"/>
        <w:ind w:firstLine="640" w:firstLineChars="200"/>
        <w:jc w:val="left"/>
        <w:textAlignment w:val="auto"/>
        <w:rPr>
          <w:rFonts w:hint="eastAsia" w:ascii="仿宋_GB2312" w:hAnsi="仿宋_GB2312" w:eastAsia="仿宋_GB2312" w:cs="仿宋_GB2312"/>
          <w:b w:val="0"/>
          <w:bCs/>
          <w:color w:val="auto"/>
          <w:sz w:val="32"/>
          <w:szCs w:val="32"/>
          <w:highlight w:val="none"/>
        </w:rPr>
      </w:pPr>
    </w:p>
    <w:p>
      <w:pPr>
        <w:pStyle w:val="7"/>
        <w:rPr>
          <w:rFonts w:hint="eastAsia"/>
          <w:lang w:val="en-US" w:eastAsia="zh-CN"/>
        </w:rPr>
      </w:pPr>
    </w:p>
    <w:bookmarkEnd w:id="59"/>
    <w:bookmarkEnd w:id="60"/>
    <w:bookmarkEnd w:id="61"/>
    <w:p>
      <w:pPr>
        <w:numPr>
          <w:ilvl w:val="0"/>
          <w:numId w:val="0"/>
        </w:numPr>
        <w:spacing w:line="600" w:lineRule="exact"/>
        <w:ind w:firstLine="0" w:firstLineChars="0"/>
        <w:jc w:val="center"/>
        <w:outlineLvl w:val="0"/>
        <w:rPr>
          <w:rStyle w:val="32"/>
          <w:rFonts w:hint="eastAsia" w:ascii="黑体" w:hAnsi="黑体" w:eastAsia="黑体" w:cstheme="minorBidi"/>
          <w:b w:val="0"/>
          <w:color w:val="auto"/>
          <w:highlight w:val="none"/>
          <w:lang w:eastAsia="zh-CN"/>
        </w:rPr>
      </w:pPr>
      <w:bookmarkStart w:id="65" w:name="_Toc15377225"/>
      <w:bookmarkStart w:id="66" w:name="_Toc9623"/>
      <w:bookmarkStart w:id="67" w:name="_Toc15396613"/>
    </w:p>
    <w:p>
      <w:pPr>
        <w:numPr>
          <w:ilvl w:val="0"/>
          <w:numId w:val="0"/>
        </w:numPr>
        <w:spacing w:line="600" w:lineRule="exact"/>
        <w:ind w:firstLine="0" w:firstLineChars="0"/>
        <w:jc w:val="center"/>
        <w:outlineLvl w:val="0"/>
        <w:rPr>
          <w:rStyle w:val="32"/>
          <w:rFonts w:hint="eastAsia" w:ascii="黑体" w:hAnsi="黑体" w:eastAsia="黑体" w:cstheme="minorBidi"/>
          <w:b w:val="0"/>
          <w:color w:val="auto"/>
          <w:highlight w:val="none"/>
          <w:lang w:eastAsia="zh-CN"/>
        </w:rPr>
      </w:pPr>
    </w:p>
    <w:p>
      <w:pPr>
        <w:numPr>
          <w:ilvl w:val="0"/>
          <w:numId w:val="0"/>
        </w:numPr>
        <w:spacing w:line="600" w:lineRule="exact"/>
        <w:ind w:firstLine="0" w:firstLineChars="0"/>
        <w:jc w:val="center"/>
        <w:outlineLvl w:val="0"/>
        <w:rPr>
          <w:rStyle w:val="32"/>
          <w:rFonts w:hint="eastAsia" w:ascii="黑体" w:hAnsi="黑体" w:eastAsia="黑体" w:cstheme="minorBidi"/>
          <w:b w:val="0"/>
          <w:color w:val="auto"/>
          <w:highlight w:val="none"/>
          <w:lang w:eastAsia="zh-CN"/>
        </w:rPr>
      </w:pPr>
    </w:p>
    <w:p>
      <w:pPr>
        <w:numPr>
          <w:ilvl w:val="0"/>
          <w:numId w:val="0"/>
        </w:numPr>
        <w:spacing w:line="600" w:lineRule="exact"/>
        <w:ind w:firstLine="0" w:firstLineChars="0"/>
        <w:jc w:val="center"/>
        <w:outlineLvl w:val="0"/>
        <w:rPr>
          <w:rStyle w:val="32"/>
          <w:rFonts w:hint="eastAsia" w:ascii="黑体" w:hAnsi="黑体" w:eastAsia="黑体" w:cstheme="minorBidi"/>
          <w:b w:val="0"/>
          <w:color w:val="auto"/>
          <w:highlight w:val="none"/>
          <w:lang w:eastAsia="zh-CN"/>
        </w:rPr>
      </w:pPr>
    </w:p>
    <w:p>
      <w:pPr>
        <w:pStyle w:val="2"/>
        <w:rPr>
          <w:rStyle w:val="32"/>
          <w:rFonts w:hint="eastAsia" w:ascii="黑体" w:hAnsi="黑体" w:eastAsia="黑体" w:cstheme="minorBidi"/>
          <w:b w:val="0"/>
          <w:color w:val="auto"/>
          <w:highlight w:val="none"/>
          <w:lang w:eastAsia="zh-CN"/>
        </w:rPr>
      </w:pPr>
    </w:p>
    <w:p>
      <w:pPr>
        <w:rPr>
          <w:rFonts w:hint="eastAsia"/>
          <w:lang w:eastAsia="zh-CN"/>
        </w:rPr>
      </w:pPr>
    </w:p>
    <w:p>
      <w:pPr>
        <w:numPr>
          <w:ilvl w:val="0"/>
          <w:numId w:val="0"/>
        </w:numPr>
        <w:spacing w:line="600" w:lineRule="exact"/>
        <w:ind w:firstLine="0" w:firstLineChars="0"/>
        <w:jc w:val="center"/>
        <w:outlineLvl w:val="0"/>
        <w:rPr>
          <w:rStyle w:val="32"/>
          <w:rFonts w:hint="eastAsia" w:ascii="黑体" w:hAnsi="黑体" w:eastAsia="黑体" w:cstheme="minorBidi"/>
          <w:b w:val="0"/>
          <w:color w:val="auto"/>
          <w:highlight w:val="none"/>
          <w:lang w:eastAsia="zh-CN"/>
        </w:rPr>
      </w:pPr>
    </w:p>
    <w:p>
      <w:pPr>
        <w:pStyle w:val="7"/>
        <w:rPr>
          <w:rStyle w:val="32"/>
          <w:rFonts w:hint="eastAsia" w:ascii="黑体" w:hAnsi="黑体" w:eastAsia="黑体" w:cstheme="minorBidi"/>
          <w:b w:val="0"/>
          <w:color w:val="auto"/>
          <w:highlight w:val="none"/>
          <w:lang w:eastAsia="zh-CN"/>
        </w:rPr>
      </w:pPr>
    </w:p>
    <w:p>
      <w:pPr>
        <w:numPr>
          <w:ilvl w:val="0"/>
          <w:numId w:val="0"/>
        </w:numPr>
        <w:spacing w:line="600" w:lineRule="exact"/>
        <w:ind w:firstLine="0" w:firstLineChars="0"/>
        <w:jc w:val="both"/>
        <w:outlineLvl w:val="0"/>
        <w:rPr>
          <w:rStyle w:val="32"/>
          <w:rFonts w:hint="eastAsia" w:ascii="黑体" w:hAnsi="黑体" w:eastAsia="黑体" w:cstheme="minorBidi"/>
          <w:b w:val="0"/>
          <w:color w:val="auto"/>
          <w:highlight w:val="none"/>
          <w:lang w:eastAsia="zh-CN"/>
        </w:rPr>
      </w:pPr>
    </w:p>
    <w:p>
      <w:pPr>
        <w:numPr>
          <w:ilvl w:val="0"/>
          <w:numId w:val="0"/>
        </w:numPr>
        <w:spacing w:line="600" w:lineRule="exact"/>
        <w:ind w:firstLine="0" w:firstLineChars="0"/>
        <w:jc w:val="center"/>
        <w:outlineLvl w:val="0"/>
        <w:rPr>
          <w:rFonts w:hint="eastAsia" w:ascii="仿宋_GB2312" w:hAnsi="仿宋_GB2312" w:eastAsia="仿宋_GB2312" w:cs="仿宋_GB2312"/>
          <w:b w:val="0"/>
          <w:bCs w:val="0"/>
          <w:color w:val="auto"/>
          <w:sz w:val="32"/>
          <w:szCs w:val="32"/>
          <w:highlight w:val="none"/>
        </w:rPr>
      </w:pPr>
      <w:r>
        <w:rPr>
          <w:rStyle w:val="32"/>
          <w:rFonts w:hint="eastAsia" w:ascii="黑体" w:hAnsi="黑体" w:eastAsia="黑体" w:cstheme="minorBidi"/>
          <w:b w:val="0"/>
          <w:color w:val="auto"/>
          <w:highlight w:val="none"/>
          <w:lang w:eastAsia="zh-CN"/>
        </w:rPr>
        <w:t>第三部分</w:t>
      </w:r>
      <w:r>
        <w:rPr>
          <w:rStyle w:val="32"/>
          <w:rFonts w:hint="eastAsia" w:ascii="黑体" w:hAnsi="黑体" w:eastAsia="黑体" w:cstheme="minorBidi"/>
          <w:b w:val="0"/>
          <w:color w:val="auto"/>
          <w:highlight w:val="none"/>
          <w:lang w:val="en-US" w:eastAsia="zh-CN"/>
        </w:rPr>
        <w:t xml:space="preserve">  </w:t>
      </w:r>
      <w:r>
        <w:rPr>
          <w:rStyle w:val="32"/>
          <w:rFonts w:hint="eastAsia" w:ascii="黑体" w:hAnsi="黑体" w:eastAsia="黑体" w:cstheme="minorBidi"/>
          <w:b w:val="0"/>
          <w:color w:val="auto"/>
          <w:highlight w:val="none"/>
        </w:rPr>
        <w:t>名词解释</w:t>
      </w:r>
      <w:bookmarkEnd w:id="65"/>
      <w:bookmarkEnd w:id="66"/>
      <w:bookmarkEnd w:id="67"/>
    </w:p>
    <w:p>
      <w:pPr>
        <w:pStyle w:val="30"/>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.财政拨款收入：指单位从同级财政部门取得的财政预算资金。</w:t>
      </w:r>
    </w:p>
    <w:p>
      <w:pPr>
        <w:pStyle w:val="30"/>
        <w:pageBreakBefore w:val="0"/>
        <w:kinsoku/>
        <w:wordWrap/>
        <w:overflowPunct/>
        <w:topLinePunct w:val="0"/>
        <w:bidi w:val="0"/>
        <w:spacing w:line="576" w:lineRule="exact"/>
        <w:ind w:left="0" w:firstLine="640" w:firstLineChars="200"/>
        <w:textAlignment w:val="auto"/>
        <w:rPr>
          <w:rFonts w:hint="eastAsia" w:ascii="仿宋_GB2312" w:eastAsia="仿宋_GB2312"/>
          <w:sz w:val="32"/>
          <w:szCs w:val="32"/>
        </w:rPr>
      </w:pPr>
      <w:bookmarkStart w:id="68" w:name="_Toc15396614"/>
      <w:bookmarkStart w:id="69" w:name="_Toc15377226"/>
      <w:r>
        <w:rPr>
          <w:rFonts w:hint="eastAsia" w:ascii="仿宋_GB2312" w:eastAsia="仿宋_GB2312"/>
          <w:sz w:val="32"/>
          <w:szCs w:val="32"/>
          <w:lang w:val="en-US" w:eastAsia="zh-CN"/>
        </w:rPr>
        <w:t>2</w:t>
      </w:r>
      <w:r>
        <w:rPr>
          <w:rFonts w:hint="eastAsia" w:ascii="仿宋_GB2312" w:eastAsia="仿宋_GB2312"/>
          <w:sz w:val="32"/>
          <w:szCs w:val="32"/>
        </w:rPr>
        <w:t>.一般公共服务（类）党委办公厅（室）及相关机构事务（款）事业运行（项）：指机关开展会议、监督、调研、视察等工作需要用于购买货物和服务的各项支出。</w:t>
      </w:r>
    </w:p>
    <w:p>
      <w:pPr>
        <w:pStyle w:val="30"/>
        <w:pageBreakBefore w:val="0"/>
        <w:kinsoku/>
        <w:wordWrap/>
        <w:overflowPunct/>
        <w:topLinePunct w:val="0"/>
        <w:bidi w:val="0"/>
        <w:spacing w:line="576"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.社会保障和就业（类）行政事业单位养老支出（款）机关事业单位基本养老保险缴费支出（项）：指机关事业单位实施养老保险制度由单位缴纳的基本养老保险费支出。</w:t>
      </w:r>
    </w:p>
    <w:p>
      <w:pPr>
        <w:pStyle w:val="30"/>
        <w:pageBreakBefore w:val="0"/>
        <w:kinsoku/>
        <w:wordWrap/>
        <w:overflowPunct/>
        <w:topLinePunct w:val="0"/>
        <w:bidi w:val="0"/>
        <w:spacing w:line="576"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.医疗卫生与计划生育（类）行政事业单位医疗（款）行政事业单位医疗（项）：指财政部门安排的行政事业单位基本医疗保险缴费经费。</w:t>
      </w:r>
    </w:p>
    <w:p>
      <w:pPr>
        <w:pStyle w:val="30"/>
        <w:pageBreakBefore w:val="0"/>
        <w:kinsoku/>
        <w:wordWrap/>
        <w:overflowPunct/>
        <w:topLinePunct w:val="0"/>
        <w:bidi w:val="0"/>
        <w:spacing w:line="576"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.住房保障（类）住房改革支出（款）住房公积金（项）：指反映行政事业单位按人力资源和社会保障部、财政部规定的基本工资和津贴补贴以及规定比例为职工缴纳的住房公积金。</w:t>
      </w:r>
    </w:p>
    <w:p>
      <w:pPr>
        <w:pageBreakBefore w:val="0"/>
        <w:kinsoku/>
        <w:wordWrap/>
        <w:overflowPunct/>
        <w:topLinePunct w:val="0"/>
        <w:bidi w:val="0"/>
        <w:spacing w:line="576" w:lineRule="exact"/>
        <w:ind w:left="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Style w:val="30"/>
        <w:pageBreakBefore w:val="0"/>
        <w:kinsoku/>
        <w:wordWrap/>
        <w:overflowPunct/>
        <w:topLinePunct w:val="0"/>
        <w:bidi w:val="0"/>
        <w:spacing w:line="576" w:lineRule="exact"/>
        <w:ind w:left="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辆购置支出（含车辆购置税）及租用费、燃料费、维修费、过路过桥费、保险费等支出；公务接待费反映单位按规定开支的各类公务接待（含外宾接待）支出。</w:t>
      </w:r>
    </w:p>
    <w:p>
      <w:pPr>
        <w:pageBreakBefore w:val="0"/>
        <w:kinsoku/>
        <w:wordWrap/>
        <w:overflowPunct/>
        <w:topLinePunct w:val="0"/>
        <w:bidi w:val="0"/>
        <w:spacing w:line="576" w:lineRule="exact"/>
        <w:ind w:left="0" w:leftChars="0" w:right="0" w:firstLine="0" w:firstLineChars="0"/>
        <w:jc w:val="center"/>
        <w:outlineLvl w:val="9"/>
        <w:rPr>
          <w:rFonts w:hint="eastAsia" w:ascii="黑体" w:hAnsi="黑体" w:eastAsia="黑体"/>
          <w:color w:val="auto"/>
          <w:sz w:val="44"/>
          <w:szCs w:val="44"/>
          <w:highlight w:val="none"/>
        </w:rPr>
      </w:pPr>
    </w:p>
    <w:p>
      <w:pPr>
        <w:pStyle w:val="7"/>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7"/>
        <w:rPr>
          <w:rFonts w:hint="eastAsia" w:ascii="黑体" w:hAnsi="黑体" w:eastAsia="黑体"/>
          <w:color w:val="auto"/>
          <w:sz w:val="44"/>
          <w:szCs w:val="44"/>
          <w:highlight w:val="none"/>
        </w:rPr>
      </w:pPr>
    </w:p>
    <w:p>
      <w:pPr>
        <w:rPr>
          <w:rFonts w:hint="eastAsia"/>
        </w:rPr>
      </w:pPr>
    </w:p>
    <w:p>
      <w:pPr>
        <w:pageBreakBefore w:val="0"/>
        <w:kinsoku/>
        <w:wordWrap/>
        <w:overflowPunct/>
        <w:topLinePunct w:val="0"/>
        <w:bidi w:val="0"/>
        <w:spacing w:line="576" w:lineRule="exact"/>
        <w:ind w:left="0" w:leftChars="0" w:right="0" w:firstLine="0" w:firstLineChars="0"/>
        <w:jc w:val="center"/>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ind w:left="0" w:leftChars="0" w:right="0" w:firstLine="0" w:firstLineChars="0"/>
        <w:jc w:val="center"/>
        <w:outlineLvl w:val="9"/>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576" w:lineRule="exact"/>
        <w:ind w:left="0" w:leftChars="0" w:right="0" w:firstLine="0" w:firstLineChars="0"/>
        <w:jc w:val="center"/>
        <w:outlineLvl w:val="9"/>
        <w:rPr>
          <w:rFonts w:hint="eastAsia" w:ascii="黑体" w:hAnsi="黑体" w:eastAsia="黑体"/>
          <w:b w:val="0"/>
          <w:bCs w:val="0"/>
          <w:color w:val="auto"/>
          <w:sz w:val="44"/>
          <w:szCs w:val="44"/>
          <w:highlight w:val="none"/>
        </w:rPr>
      </w:pPr>
    </w:p>
    <w:p>
      <w:pPr>
        <w:pStyle w:val="7"/>
        <w:rPr>
          <w:rFonts w:hint="eastAsia" w:ascii="黑体" w:hAnsi="黑体" w:eastAsia="黑体"/>
          <w:b w:val="0"/>
          <w:bCs w:val="0"/>
          <w:color w:val="auto"/>
          <w:sz w:val="44"/>
          <w:szCs w:val="44"/>
          <w:highlight w:val="none"/>
        </w:rPr>
      </w:pPr>
    </w:p>
    <w:p>
      <w:pPr>
        <w:pStyle w:val="7"/>
        <w:rPr>
          <w:rFonts w:hint="eastAsia" w:ascii="黑体" w:hAnsi="黑体" w:eastAsia="黑体"/>
          <w:b w:val="0"/>
          <w:bCs w:val="0"/>
          <w:color w:val="auto"/>
          <w:sz w:val="44"/>
          <w:szCs w:val="44"/>
          <w:highlight w:val="none"/>
        </w:rPr>
      </w:pPr>
    </w:p>
    <w:p>
      <w:pPr>
        <w:pStyle w:val="7"/>
        <w:rPr>
          <w:rFonts w:hint="eastAsia" w:ascii="黑体" w:hAnsi="黑体" w:eastAsia="黑体"/>
          <w:b w:val="0"/>
          <w:bCs w:val="0"/>
          <w:color w:val="auto"/>
          <w:sz w:val="44"/>
          <w:szCs w:val="44"/>
          <w:highlight w:val="none"/>
        </w:rPr>
      </w:pPr>
    </w:p>
    <w:p>
      <w:pPr>
        <w:pStyle w:val="7"/>
        <w:rPr>
          <w:rFonts w:hint="eastAsia" w:ascii="黑体" w:hAnsi="黑体" w:eastAsia="黑体"/>
          <w:b w:val="0"/>
          <w:bCs w:val="0"/>
          <w:color w:val="auto"/>
          <w:sz w:val="44"/>
          <w:szCs w:val="44"/>
          <w:highlight w:val="none"/>
        </w:rPr>
      </w:pPr>
    </w:p>
    <w:p>
      <w:pPr>
        <w:rPr>
          <w:rFonts w:hint="eastAsia" w:ascii="黑体" w:hAnsi="黑体" w:eastAsia="黑体"/>
          <w:b w:val="0"/>
          <w:bCs w:val="0"/>
          <w:color w:val="auto"/>
          <w:sz w:val="44"/>
          <w:szCs w:val="44"/>
          <w:highlight w:val="none"/>
        </w:rPr>
      </w:pPr>
    </w:p>
    <w:p>
      <w:pPr>
        <w:pStyle w:val="14"/>
        <w:rPr>
          <w:rFonts w:hint="eastAsia" w:ascii="黑体" w:hAnsi="黑体" w:eastAsia="黑体"/>
          <w:b w:val="0"/>
          <w:bCs w:val="0"/>
          <w:color w:val="auto"/>
          <w:sz w:val="44"/>
          <w:szCs w:val="44"/>
          <w:highlight w:val="none"/>
        </w:rPr>
      </w:pPr>
    </w:p>
    <w:p>
      <w:pPr>
        <w:rPr>
          <w:rFonts w:hint="eastAsia" w:ascii="黑体" w:hAnsi="黑体" w:eastAsia="黑体"/>
          <w:b w:val="0"/>
          <w:bCs w:val="0"/>
          <w:color w:val="auto"/>
          <w:sz w:val="44"/>
          <w:szCs w:val="44"/>
          <w:highlight w:val="none"/>
        </w:rPr>
      </w:pPr>
    </w:p>
    <w:p>
      <w:pPr>
        <w:pStyle w:val="14"/>
        <w:rPr>
          <w:rFonts w:hint="eastAsia" w:ascii="黑体" w:hAnsi="黑体" w:eastAsia="黑体"/>
          <w:b w:val="0"/>
          <w:bCs w:val="0"/>
          <w:color w:val="auto"/>
          <w:sz w:val="44"/>
          <w:szCs w:val="44"/>
          <w:highlight w:val="none"/>
        </w:rPr>
      </w:pPr>
    </w:p>
    <w:p>
      <w:pPr>
        <w:rPr>
          <w:rFonts w:hint="eastAsia"/>
        </w:rPr>
      </w:pPr>
    </w:p>
    <w:p>
      <w:pPr>
        <w:pStyle w:val="7"/>
        <w:rPr>
          <w:rFonts w:hint="eastAsia" w:ascii="黑体" w:hAnsi="黑体" w:eastAsia="黑体"/>
          <w:b w:val="0"/>
          <w:bCs w:val="0"/>
          <w:color w:val="auto"/>
          <w:sz w:val="44"/>
          <w:szCs w:val="44"/>
          <w:highlight w:val="none"/>
        </w:rPr>
      </w:pPr>
    </w:p>
    <w:p>
      <w:pPr>
        <w:keepNext w:val="0"/>
        <w:keepLines w:val="0"/>
        <w:pageBreakBefore w:val="0"/>
        <w:widowControl w:val="0"/>
        <w:kinsoku/>
        <w:wordWrap/>
        <w:overflowPunct/>
        <w:topLinePunct w:val="0"/>
        <w:bidi w:val="0"/>
        <w:spacing w:line="576" w:lineRule="exact"/>
        <w:ind w:left="0" w:leftChars="0" w:right="0" w:firstLine="0" w:firstLineChars="0"/>
        <w:jc w:val="center"/>
        <w:outlineLvl w:val="0"/>
        <w:rPr>
          <w:rStyle w:val="32"/>
          <w:rFonts w:hint="eastAsia" w:ascii="Arial Unicode MS" w:hAnsi="Arial Unicode MS" w:eastAsia="Arial Unicode MS" w:cs="Arial Unicode MS"/>
          <w:b w:val="0"/>
          <w:bCs w:val="0"/>
          <w:color w:val="auto"/>
          <w:highlight w:val="none"/>
        </w:rPr>
      </w:pPr>
      <w:bookmarkStart w:id="70" w:name="_Toc16478"/>
      <w:r>
        <w:rPr>
          <w:rStyle w:val="32"/>
          <w:rFonts w:hint="eastAsia" w:ascii="黑体" w:hAnsi="黑体" w:eastAsia="黑体" w:cstheme="minorBidi"/>
          <w:b w:val="0"/>
          <w:color w:val="auto"/>
          <w:highlight w:val="none"/>
        </w:rPr>
        <w:t>第四部分</w:t>
      </w:r>
      <w:r>
        <w:rPr>
          <w:rStyle w:val="32"/>
          <w:rFonts w:hint="eastAsia" w:ascii="黑体" w:hAnsi="黑体" w:eastAsia="黑体" w:cstheme="minorBidi"/>
          <w:b w:val="0"/>
          <w:color w:val="auto"/>
          <w:highlight w:val="none"/>
          <w:lang w:eastAsia="zh-CN"/>
        </w:rPr>
        <w:t>　</w:t>
      </w:r>
      <w:r>
        <w:rPr>
          <w:rStyle w:val="32"/>
          <w:rFonts w:hint="eastAsia" w:ascii="黑体" w:hAnsi="黑体" w:eastAsia="黑体" w:cstheme="minorBidi"/>
          <w:b w:val="0"/>
          <w:color w:val="auto"/>
          <w:highlight w:val="none"/>
        </w:rPr>
        <w:t>附件</w:t>
      </w:r>
      <w:bookmarkEnd w:id="68"/>
      <w:bookmarkEnd w:id="70"/>
    </w:p>
    <w:p>
      <w:pPr>
        <w:keepNext w:val="0"/>
        <w:keepLines w:val="0"/>
        <w:pageBreakBefore w:val="0"/>
        <w:widowControl w:val="0"/>
        <w:kinsoku/>
        <w:wordWrap/>
        <w:overflowPunct/>
        <w:topLinePunct w:val="0"/>
        <w:autoSpaceDE/>
        <w:autoSpaceDN/>
        <w:bidi w:val="0"/>
        <w:spacing w:line="576" w:lineRule="exact"/>
        <w:ind w:left="0" w:leftChars="0" w:right="0" w:firstLine="0" w:firstLineChars="0"/>
        <w:jc w:val="left"/>
        <w:textAlignment w:val="auto"/>
        <w:outlineLvl w:val="1"/>
        <w:rPr>
          <w:rFonts w:hint="eastAsia" w:ascii="黑体" w:hAnsi="黑体" w:eastAsia="黑体" w:cs="黑体"/>
          <w:b w:val="0"/>
          <w:bCs w:val="0"/>
          <w:color w:val="auto"/>
          <w:sz w:val="32"/>
          <w:szCs w:val="32"/>
          <w:highlight w:val="none"/>
        </w:rPr>
      </w:pPr>
      <w:bookmarkStart w:id="71" w:name="_Toc2982"/>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center"/>
        <w:textAlignment w:val="auto"/>
        <w:outlineLvl w:val="1"/>
        <w:rPr>
          <w:rFonts w:hint="eastAsia" w:ascii="黑体" w:hAnsi="黑体" w:eastAsia="黑体" w:cs="黑体"/>
          <w:b w:val="0"/>
          <w:bCs w:val="0"/>
          <w:color w:val="000000"/>
          <w:kern w:val="0"/>
          <w:sz w:val="32"/>
          <w:szCs w:val="32"/>
          <w:lang w:eastAsia="zh-CN"/>
        </w:rPr>
      </w:pPr>
      <w:r>
        <w:rPr>
          <w:rFonts w:hint="eastAsia" w:ascii="黑体" w:hAnsi="黑体" w:eastAsia="黑体" w:cs="黑体"/>
          <w:b w:val="0"/>
          <w:bCs w:val="0"/>
          <w:color w:val="000000"/>
          <w:kern w:val="0"/>
          <w:sz w:val="32"/>
          <w:szCs w:val="32"/>
        </w:rPr>
        <w:t>广元市昭化区</w:t>
      </w:r>
      <w:r>
        <w:rPr>
          <w:rFonts w:hint="eastAsia" w:ascii="黑体" w:hAnsi="黑体" w:eastAsia="黑体" w:cs="黑体"/>
          <w:b w:val="0"/>
          <w:bCs w:val="0"/>
          <w:color w:val="000000"/>
          <w:kern w:val="0"/>
          <w:sz w:val="32"/>
          <w:szCs w:val="32"/>
          <w:lang w:eastAsia="zh-CN"/>
        </w:rPr>
        <w:t>目标绩效事务中心</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center"/>
        <w:textAlignment w:val="auto"/>
        <w:outlineLvl w:val="1"/>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000000"/>
          <w:kern w:val="0"/>
          <w:sz w:val="32"/>
          <w:szCs w:val="32"/>
          <w:lang w:val="en-US" w:eastAsia="zh-CN"/>
        </w:rPr>
        <w:t>关于2022年</w:t>
      </w:r>
      <w:r>
        <w:rPr>
          <w:rFonts w:hint="eastAsia" w:ascii="黑体" w:hAnsi="黑体" w:eastAsia="黑体" w:cs="黑体"/>
          <w:b w:val="0"/>
          <w:bCs w:val="0"/>
          <w:color w:val="000000"/>
          <w:kern w:val="0"/>
          <w:sz w:val="32"/>
          <w:szCs w:val="32"/>
        </w:rPr>
        <w:t>部门</w:t>
      </w:r>
      <w:r>
        <w:rPr>
          <w:rFonts w:hint="eastAsia" w:ascii="黑体" w:hAnsi="黑体" w:eastAsia="黑体" w:cs="黑体"/>
          <w:b w:val="0"/>
          <w:bCs w:val="0"/>
          <w:color w:val="000000"/>
          <w:kern w:val="0"/>
          <w:sz w:val="32"/>
          <w:szCs w:val="32"/>
          <w:lang w:eastAsia="zh-CN"/>
        </w:rPr>
        <w:t>整体支出</w:t>
      </w:r>
      <w:r>
        <w:rPr>
          <w:rFonts w:hint="eastAsia" w:ascii="黑体" w:hAnsi="黑体" w:eastAsia="黑体" w:cs="黑体"/>
          <w:b w:val="0"/>
          <w:bCs w:val="0"/>
          <w:color w:val="000000"/>
          <w:kern w:val="0"/>
          <w:sz w:val="32"/>
          <w:szCs w:val="32"/>
        </w:rPr>
        <w:t>绩效自评报告</w:t>
      </w:r>
    </w:p>
    <w:p>
      <w:pPr>
        <w:keepNext w:val="0"/>
        <w:keepLines w:val="0"/>
        <w:pageBreakBefore w:val="0"/>
        <w:widowControl w:val="0"/>
        <w:kinsoku/>
        <w:wordWrap/>
        <w:overflowPunct/>
        <w:topLinePunct w:val="0"/>
        <w:autoSpaceDE/>
        <w:autoSpaceDN/>
        <w:bidi w:val="0"/>
        <w:spacing w:line="576" w:lineRule="exact"/>
        <w:ind w:left="0" w:leftChars="0" w:right="0" w:firstLine="0" w:firstLineChars="0"/>
        <w:jc w:val="left"/>
        <w:textAlignment w:val="auto"/>
        <w:outlineLvl w:val="1"/>
        <w:rPr>
          <w:rFonts w:hint="eastAsia" w:ascii="黑体" w:hAnsi="黑体" w:eastAsia="黑体" w:cs="黑体"/>
          <w:b w:val="0"/>
          <w:bCs w:val="0"/>
          <w:color w:val="auto"/>
          <w:sz w:val="32"/>
          <w:szCs w:val="32"/>
          <w:highlight w:val="none"/>
          <w:lang w:val="zh-CN" w:eastAsia="zh-CN"/>
        </w:rPr>
      </w:pP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Calibri" w:eastAsia="仿宋_GB2312" w:cs="仿宋"/>
          <w:b w:val="0"/>
          <w:bCs w:val="0"/>
          <w:color w:val="000000"/>
          <w:kern w:val="0"/>
          <w:sz w:val="32"/>
          <w:szCs w:val="32"/>
        </w:rPr>
      </w:pPr>
      <w:r>
        <w:rPr>
          <w:rFonts w:hint="eastAsia" w:ascii="仿宋_GB2312" w:hAnsi="Calibri" w:eastAsia="仿宋_GB2312" w:cs="仿宋"/>
          <w:b w:val="0"/>
          <w:bCs w:val="0"/>
          <w:color w:val="000000"/>
          <w:kern w:val="0"/>
          <w:sz w:val="32"/>
          <w:szCs w:val="32"/>
        </w:rPr>
        <w:t>根据《广元市昭化区财政局关于开展</w:t>
      </w:r>
      <w:r>
        <w:rPr>
          <w:rFonts w:hint="default" w:ascii="Times New Roman" w:hAnsi="Times New Roman" w:eastAsia="仿宋_GB2312" w:cs="Times New Roman"/>
          <w:b w:val="0"/>
          <w:bCs w:val="0"/>
          <w:color w:val="000000"/>
          <w:kern w:val="0"/>
          <w:sz w:val="32"/>
          <w:szCs w:val="32"/>
          <w:lang w:val="en-US" w:eastAsia="zh-CN"/>
        </w:rPr>
        <w:t>2023</w:t>
      </w:r>
      <w:r>
        <w:rPr>
          <w:rFonts w:hint="eastAsia" w:ascii="仿宋_GB2312" w:hAnsi="Calibri" w:eastAsia="仿宋_GB2312" w:cs="仿宋"/>
          <w:b w:val="0"/>
          <w:bCs w:val="0"/>
          <w:color w:val="000000"/>
          <w:kern w:val="0"/>
          <w:sz w:val="32"/>
          <w:szCs w:val="32"/>
          <w:lang w:val="en-US" w:eastAsia="zh-CN"/>
        </w:rPr>
        <w:t>年部门、政策和项目支出绩效评价工作的通知</w:t>
      </w:r>
      <w:r>
        <w:rPr>
          <w:rFonts w:hint="eastAsia" w:ascii="仿宋_GB2312" w:hAnsi="Calibri" w:eastAsia="仿宋_GB2312" w:cs="仿宋"/>
          <w:b w:val="0"/>
          <w:bCs w:val="0"/>
          <w:color w:val="000000"/>
          <w:kern w:val="0"/>
          <w:sz w:val="32"/>
          <w:szCs w:val="32"/>
        </w:rPr>
        <w:t>》</w:t>
      </w:r>
      <w:r>
        <w:rPr>
          <w:rFonts w:hint="eastAsia" w:ascii="仿宋_GB2312" w:hAnsi="Calibri" w:eastAsia="仿宋_GB2312" w:cs="仿宋"/>
          <w:b w:val="0"/>
          <w:bCs w:val="0"/>
          <w:color w:val="000000"/>
          <w:kern w:val="0"/>
          <w:sz w:val="32"/>
          <w:szCs w:val="32"/>
          <w:lang w:eastAsia="zh-CN"/>
        </w:rPr>
        <w:t>（</w:t>
      </w:r>
      <w:r>
        <w:rPr>
          <w:rFonts w:hint="eastAsia" w:ascii="仿宋_GB2312" w:hAnsi="Calibri" w:eastAsia="仿宋_GB2312" w:cs="仿宋"/>
          <w:b w:val="0"/>
          <w:bCs w:val="0"/>
          <w:color w:val="000000"/>
          <w:kern w:val="0"/>
          <w:sz w:val="32"/>
          <w:szCs w:val="32"/>
          <w:lang w:val="en-US" w:eastAsia="zh-CN"/>
        </w:rPr>
        <w:t>昭财办〔</w:t>
      </w:r>
      <w:r>
        <w:rPr>
          <w:rFonts w:hint="eastAsia" w:ascii="Times New Roman" w:hAnsi="Times New Roman" w:eastAsia="仿宋_GB2312" w:cs="Times New Roman"/>
          <w:b w:val="0"/>
          <w:bCs w:val="0"/>
          <w:color w:val="000000"/>
          <w:kern w:val="0"/>
          <w:sz w:val="32"/>
          <w:szCs w:val="32"/>
          <w:lang w:val="en-US" w:eastAsia="zh-CN"/>
        </w:rPr>
        <w:t>2023</w:t>
      </w:r>
      <w:r>
        <w:rPr>
          <w:rFonts w:hint="eastAsia" w:ascii="仿宋_GB2312" w:hAnsi="Calibri" w:eastAsia="仿宋_GB2312" w:cs="仿宋"/>
          <w:b w:val="0"/>
          <w:bCs w:val="0"/>
          <w:color w:val="000000"/>
          <w:kern w:val="0"/>
          <w:sz w:val="32"/>
          <w:szCs w:val="32"/>
          <w:lang w:val="en-US" w:eastAsia="zh-CN"/>
        </w:rPr>
        <w:t>〕</w:t>
      </w:r>
      <w:r>
        <w:rPr>
          <w:rFonts w:hint="eastAsia" w:ascii="Times New Roman" w:hAnsi="Times New Roman" w:eastAsia="仿宋_GB2312" w:cs="Times New Roman"/>
          <w:b w:val="0"/>
          <w:bCs w:val="0"/>
          <w:color w:val="000000"/>
          <w:kern w:val="0"/>
          <w:sz w:val="32"/>
          <w:szCs w:val="32"/>
          <w:lang w:val="en-US" w:eastAsia="zh-CN"/>
        </w:rPr>
        <w:t>12</w:t>
      </w:r>
      <w:r>
        <w:rPr>
          <w:rFonts w:hint="eastAsia" w:ascii="仿宋_GB2312" w:hAnsi="Calibri" w:eastAsia="仿宋_GB2312" w:cs="仿宋"/>
          <w:b w:val="0"/>
          <w:bCs w:val="0"/>
          <w:color w:val="000000"/>
          <w:kern w:val="0"/>
          <w:sz w:val="32"/>
          <w:szCs w:val="32"/>
          <w:lang w:val="en-US" w:eastAsia="zh-CN"/>
        </w:rPr>
        <w:t>号）</w:t>
      </w:r>
      <w:r>
        <w:rPr>
          <w:rFonts w:hint="eastAsia" w:ascii="仿宋_GB2312" w:hAnsi="Calibri" w:eastAsia="仿宋_GB2312" w:cs="仿宋"/>
          <w:b w:val="0"/>
          <w:bCs w:val="0"/>
          <w:color w:val="000000"/>
          <w:kern w:val="0"/>
          <w:sz w:val="32"/>
          <w:szCs w:val="32"/>
        </w:rPr>
        <w:t>要求，</w:t>
      </w:r>
      <w:r>
        <w:rPr>
          <w:rFonts w:hint="eastAsia" w:ascii="仿宋_GB2312" w:hAnsi="Calibri" w:eastAsia="仿宋_GB2312" w:cs="仿宋"/>
          <w:b w:val="0"/>
          <w:bCs w:val="0"/>
          <w:color w:val="000000"/>
          <w:kern w:val="0"/>
          <w:sz w:val="32"/>
          <w:szCs w:val="32"/>
          <w:lang w:val="en-US"/>
        </w:rPr>
        <w:t>结合我中心</w:t>
      </w:r>
      <w:r>
        <w:rPr>
          <w:rFonts w:hint="eastAsia" w:ascii="Times New Roman" w:hAnsi="Times New Roman" w:eastAsia="仿宋_GB2312" w:cs="Times New Roman"/>
          <w:b w:val="0"/>
          <w:bCs w:val="0"/>
          <w:color w:val="000000"/>
          <w:kern w:val="0"/>
          <w:sz w:val="32"/>
          <w:szCs w:val="32"/>
          <w:lang w:val="en-US" w:eastAsia="zh-CN"/>
        </w:rPr>
        <w:t>2023</w:t>
      </w:r>
      <w:r>
        <w:rPr>
          <w:rFonts w:hint="eastAsia" w:ascii="仿宋_GB2312" w:hAnsi="Calibri" w:eastAsia="仿宋_GB2312" w:cs="仿宋"/>
          <w:b w:val="0"/>
          <w:bCs w:val="0"/>
          <w:color w:val="000000"/>
          <w:kern w:val="0"/>
          <w:sz w:val="32"/>
          <w:szCs w:val="32"/>
          <w:lang w:val="en-US" w:eastAsia="zh-CN"/>
        </w:rPr>
        <w:t>年部门预算管理、项目的实施情况等，现将我中心</w:t>
      </w:r>
      <w:r>
        <w:rPr>
          <w:rFonts w:hint="eastAsia" w:ascii="Times New Roman" w:hAnsi="Times New Roman" w:eastAsia="仿宋_GB2312" w:cs="Times New Roman"/>
          <w:b w:val="0"/>
          <w:bCs w:val="0"/>
          <w:color w:val="000000"/>
          <w:kern w:val="0"/>
          <w:sz w:val="32"/>
          <w:szCs w:val="32"/>
          <w:lang w:val="en-US" w:eastAsia="zh-CN"/>
        </w:rPr>
        <w:t>2023</w:t>
      </w:r>
      <w:r>
        <w:rPr>
          <w:rFonts w:hint="eastAsia" w:ascii="仿宋_GB2312" w:hAnsi="Calibri" w:eastAsia="仿宋_GB2312" w:cs="仿宋"/>
          <w:b w:val="0"/>
          <w:bCs w:val="0"/>
          <w:color w:val="000000"/>
          <w:kern w:val="0"/>
          <w:sz w:val="32"/>
          <w:szCs w:val="32"/>
          <w:lang w:val="en-US" w:eastAsia="zh-CN"/>
        </w:rPr>
        <w:t>年开展部门整</w:t>
      </w:r>
      <w:r>
        <w:rPr>
          <w:rFonts w:hint="eastAsia" w:ascii="仿宋_GB2312" w:hAnsi="Calibri" w:eastAsia="仿宋_GB2312" w:cs="仿宋"/>
          <w:b w:val="0"/>
          <w:bCs w:val="0"/>
          <w:color w:val="000000"/>
          <w:kern w:val="0"/>
          <w:sz w:val="32"/>
          <w:szCs w:val="32"/>
        </w:rPr>
        <w:t>体支出绩效自评报告如下：</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一、部门概况</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w:t>
      </w:r>
      <w:r>
        <w:rPr>
          <w:rFonts w:hint="eastAsia" w:ascii="楷体_GB2312" w:hAnsi="楷体_GB2312" w:eastAsia="楷体_GB2312" w:cs="楷体_GB2312"/>
          <w:b w:val="0"/>
          <w:bCs w:val="0"/>
          <w:color w:val="auto"/>
          <w:sz w:val="32"/>
          <w:szCs w:val="32"/>
          <w:highlight w:val="none"/>
          <w:lang w:eastAsia="zh-CN"/>
        </w:rPr>
        <w:t>机构职能</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协助相关部门做好区委、区政府重大决策、重要工作部署落实情况督促检查，承担区委、区政府领导批交办事项专项督查或督查调研；根据授权，协助统筹规范区本级督查检查考核事项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配合做好乡镇（街道）、区级部门实施目标绩效运行监控，牵头组织考评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负责协助做好市委、市政府下达的绩效目标任务的运行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参与区委、区政府年度民生实事任务统筹，拟订全区民生实事实施方案，开展日常推进督促检查</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配合做好区人大代表建议和区政协提案的交办督办工作，拟订区政府领导领办重点建议提案方案，组织开展办理工作视察活动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协助督办区委常委会决定事项、区委主要领导批示件办理工作以及区政府常务会交办事项、区政府主要领导批示件办理工作</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承担区督促检查和目标绩效领导小组日常工作</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完成区委交办的其他任务。</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lang w:val="en-US" w:eastAsia="zh-CN"/>
        </w:rPr>
        <w:t>（二）人员概况</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年底决算实有在职编制内人员</w:t>
      </w:r>
      <w:r>
        <w:rPr>
          <w:rFonts w:hint="default" w:ascii="Times New Roman" w:hAnsi="Times New Roman" w:eastAsia="仿宋_GB2312" w:cs="Times New Roman"/>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人，其中：事业人员</w:t>
      </w:r>
      <w:r>
        <w:rPr>
          <w:rFonts w:hint="eastAsia" w:ascii="Times New Roman" w:hAnsi="Times New Roman" w:eastAsia="仿宋_GB2312" w:cs="Times New Roman"/>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人。</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rPr>
        <w:t>部门财政</w:t>
      </w:r>
      <w:r>
        <w:rPr>
          <w:rFonts w:hint="eastAsia" w:ascii="黑体" w:hAnsi="黑体" w:eastAsia="黑体" w:cs="黑体"/>
          <w:b w:val="0"/>
          <w:bCs w:val="0"/>
          <w:color w:val="auto"/>
          <w:sz w:val="32"/>
          <w:szCs w:val="32"/>
          <w:highlight w:val="none"/>
          <w:lang w:eastAsia="zh-CN"/>
        </w:rPr>
        <w:t>收支</w:t>
      </w:r>
      <w:r>
        <w:rPr>
          <w:rFonts w:hint="eastAsia" w:ascii="黑体" w:hAnsi="黑体" w:eastAsia="黑体" w:cs="黑体"/>
          <w:b w:val="0"/>
          <w:bCs w:val="0"/>
          <w:color w:val="auto"/>
          <w:sz w:val="32"/>
          <w:szCs w:val="32"/>
          <w:highlight w:val="none"/>
        </w:rPr>
        <w:t>管理情况</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lang w:eastAsia="zh-CN"/>
        </w:rPr>
        <w:t>单位财政资金收入情况</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区</w:t>
      </w:r>
      <w:r>
        <w:rPr>
          <w:rFonts w:hint="eastAsia" w:eastAsia="仿宋_GB2312" w:cs="Times New Roman"/>
          <w:color w:val="auto"/>
          <w:sz w:val="32"/>
          <w:szCs w:val="32"/>
          <w:lang w:eastAsia="zh-CN"/>
        </w:rPr>
        <w:t>目标绩效事务</w:t>
      </w:r>
      <w:r>
        <w:rPr>
          <w:rFonts w:hint="default" w:ascii="Times New Roman" w:hAnsi="Times New Roman" w:eastAsia="仿宋_GB2312" w:cs="Times New Roman"/>
          <w:color w:val="auto"/>
          <w:sz w:val="32"/>
          <w:szCs w:val="32"/>
          <w:lang w:eastAsia="zh-CN"/>
        </w:rPr>
        <w:t>中心</w:t>
      </w:r>
      <w:r>
        <w:rPr>
          <w:rFonts w:hint="default" w:ascii="Times New Roman" w:hAnsi="Times New Roman" w:eastAsia="仿宋_GB2312" w:cs="Times New Roman"/>
          <w:b w:val="0"/>
          <w:bCs w:val="0"/>
          <w:color w:val="000000"/>
          <w:sz w:val="32"/>
          <w:szCs w:val="32"/>
          <w:lang w:val="en-US" w:eastAsia="zh-CN"/>
        </w:rPr>
        <w:t>202</w:t>
      </w:r>
      <w:r>
        <w:rPr>
          <w:rFonts w:hint="eastAsia"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年部门预算收入总数</w:t>
      </w:r>
      <w:r>
        <w:rPr>
          <w:rFonts w:hint="eastAsia" w:cs="Times New Roman"/>
          <w:b w:val="0"/>
          <w:bCs w:val="0"/>
          <w:color w:val="000000"/>
          <w:sz w:val="32"/>
          <w:szCs w:val="32"/>
          <w:lang w:val="en-US" w:eastAsia="zh-CN"/>
        </w:rPr>
        <w:t>145.07</w:t>
      </w:r>
      <w:r>
        <w:rPr>
          <w:rFonts w:hint="default" w:ascii="Times New Roman" w:hAnsi="Times New Roman" w:eastAsia="仿宋_GB2312" w:cs="Times New Roman"/>
          <w:b w:val="0"/>
          <w:bCs w:val="0"/>
          <w:color w:val="000000"/>
          <w:sz w:val="32"/>
          <w:szCs w:val="32"/>
        </w:rPr>
        <w:t>万元，较</w:t>
      </w:r>
      <w:r>
        <w:rPr>
          <w:rFonts w:hint="default" w:ascii="Times New Roman" w:hAnsi="Times New Roman" w:eastAsia="仿宋_GB2312" w:cs="Times New Roman"/>
          <w:b w:val="0"/>
          <w:bCs w:val="0"/>
          <w:color w:val="000000"/>
          <w:sz w:val="32"/>
          <w:szCs w:val="32"/>
          <w:lang w:val="en-US" w:eastAsia="zh-CN"/>
        </w:rPr>
        <w:t>202</w:t>
      </w:r>
      <w:r>
        <w:rPr>
          <w:rFonts w:hint="eastAsia"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rPr>
        <w:t>年部门预算收入总数</w:t>
      </w:r>
      <w:r>
        <w:rPr>
          <w:rFonts w:hint="eastAsia" w:cs="Times New Roman"/>
          <w:b w:val="0"/>
          <w:bCs w:val="0"/>
          <w:color w:val="000000"/>
          <w:sz w:val="32"/>
          <w:szCs w:val="32"/>
          <w:lang w:val="en-US" w:eastAsia="zh-CN"/>
        </w:rPr>
        <w:t>124.53</w:t>
      </w:r>
      <w:r>
        <w:rPr>
          <w:rFonts w:hint="default" w:ascii="Times New Roman" w:hAnsi="Times New Roman" w:eastAsia="仿宋_GB2312" w:cs="Times New Roman"/>
          <w:b w:val="0"/>
          <w:bCs w:val="0"/>
          <w:color w:val="000000"/>
          <w:sz w:val="32"/>
          <w:szCs w:val="32"/>
        </w:rPr>
        <w:t>万元</w:t>
      </w:r>
      <w:r>
        <w:rPr>
          <w:rFonts w:hint="eastAsia" w:ascii="Times New Roman" w:hAnsi="Times New Roman" w:eastAsia="仿宋_GB2312" w:cs="Times New Roman"/>
          <w:b w:val="0"/>
          <w:bCs w:val="0"/>
          <w:color w:val="000000"/>
          <w:sz w:val="32"/>
          <w:szCs w:val="32"/>
          <w:lang w:val="en-US" w:eastAsia="zh-CN"/>
        </w:rPr>
        <w:t>增加</w:t>
      </w:r>
      <w:r>
        <w:rPr>
          <w:rFonts w:hint="eastAsia" w:ascii="Times New Roman" w:hAnsi="Times New Roman" w:cs="Times New Roman"/>
          <w:b w:val="0"/>
          <w:bCs w:val="0"/>
          <w:color w:val="000000"/>
          <w:sz w:val="32"/>
          <w:szCs w:val="32"/>
          <w:lang w:val="en-US" w:eastAsia="zh-CN"/>
        </w:rPr>
        <w:t>2</w:t>
      </w:r>
      <w:r>
        <w:rPr>
          <w:rFonts w:hint="eastAsia" w:cs="Times New Roman"/>
          <w:b w:val="0"/>
          <w:bCs w:val="0"/>
          <w:color w:val="000000"/>
          <w:sz w:val="32"/>
          <w:szCs w:val="32"/>
          <w:lang w:val="en-US" w:eastAsia="zh-CN"/>
        </w:rPr>
        <w:t>0.54</w:t>
      </w:r>
      <w:r>
        <w:rPr>
          <w:rFonts w:hint="default" w:ascii="Times New Roman" w:hAnsi="Times New Roman" w:eastAsia="仿宋_GB2312" w:cs="Times New Roman"/>
          <w:b w:val="0"/>
          <w:bCs w:val="0"/>
          <w:color w:val="000000"/>
          <w:sz w:val="32"/>
          <w:szCs w:val="32"/>
        </w:rPr>
        <w:t>万元</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增长</w:t>
      </w:r>
      <w:r>
        <w:rPr>
          <w:rFonts w:hint="eastAsia" w:cs="Times New Roman"/>
          <w:b w:val="0"/>
          <w:bCs w:val="0"/>
          <w:color w:val="000000"/>
          <w:sz w:val="32"/>
          <w:szCs w:val="32"/>
          <w:lang w:val="en-US" w:eastAsia="zh-CN"/>
        </w:rPr>
        <w:t>14.16</w:t>
      </w:r>
      <w:r>
        <w:rPr>
          <w:rFonts w:hint="default" w:ascii="Times New Roman" w:hAnsi="Times New Roman" w:eastAsia="仿宋_GB2312" w:cs="Times New Roman"/>
          <w:b w:val="0"/>
          <w:bCs w:val="0"/>
          <w:color w:val="000000"/>
          <w:sz w:val="32"/>
          <w:szCs w:val="32"/>
        </w:rPr>
        <w:t>%</w:t>
      </w:r>
      <w:r>
        <w:rPr>
          <w:rFonts w:hint="eastAsia" w:cs="Times New Roman"/>
          <w:b w:val="0"/>
          <w:bCs w:val="0"/>
          <w:color w:val="000000"/>
          <w:sz w:val="32"/>
          <w:szCs w:val="32"/>
          <w:lang w:eastAsia="zh-CN"/>
        </w:rPr>
        <w:t>。</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（二）单位财政支出情况</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区</w:t>
      </w:r>
      <w:r>
        <w:rPr>
          <w:rFonts w:hint="eastAsia" w:eastAsia="仿宋_GB2312" w:cs="Times New Roman"/>
          <w:color w:val="auto"/>
          <w:sz w:val="32"/>
          <w:szCs w:val="32"/>
          <w:lang w:eastAsia="zh-CN"/>
        </w:rPr>
        <w:t>目标绩效事务</w:t>
      </w:r>
      <w:r>
        <w:rPr>
          <w:rFonts w:hint="default" w:ascii="Times New Roman" w:hAnsi="Times New Roman" w:eastAsia="仿宋_GB2312" w:cs="Times New Roman"/>
          <w:color w:val="auto"/>
          <w:sz w:val="32"/>
          <w:szCs w:val="32"/>
          <w:lang w:eastAsia="zh-CN"/>
        </w:rPr>
        <w:t>中心</w:t>
      </w:r>
      <w:r>
        <w:rPr>
          <w:rFonts w:hint="default" w:ascii="Times New Roman" w:hAnsi="Times New Roman" w:eastAsia="仿宋_GB2312" w:cs="Times New Roman"/>
          <w:b w:val="0"/>
          <w:bCs w:val="0"/>
          <w:color w:val="000000"/>
          <w:sz w:val="32"/>
          <w:szCs w:val="32"/>
        </w:rPr>
        <w:t>20</w:t>
      </w: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年部门预算支出总数</w:t>
      </w:r>
      <w:r>
        <w:rPr>
          <w:rFonts w:hint="eastAsia" w:cs="Times New Roman"/>
          <w:b w:val="0"/>
          <w:bCs w:val="0"/>
          <w:color w:val="000000"/>
          <w:sz w:val="32"/>
          <w:szCs w:val="32"/>
          <w:lang w:val="en-US" w:eastAsia="zh-CN"/>
        </w:rPr>
        <w:t>144.98</w:t>
      </w:r>
      <w:r>
        <w:rPr>
          <w:rFonts w:hint="default" w:ascii="Times New Roman" w:hAnsi="Times New Roman" w:eastAsia="仿宋_GB2312" w:cs="Times New Roman"/>
          <w:b w:val="0"/>
          <w:bCs w:val="0"/>
          <w:color w:val="000000"/>
          <w:sz w:val="32"/>
          <w:szCs w:val="32"/>
        </w:rPr>
        <w:t>万元，较20</w:t>
      </w: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rPr>
        <w:t>年部门预算支出总数</w:t>
      </w:r>
      <w:r>
        <w:rPr>
          <w:rFonts w:hint="eastAsia" w:cs="Times New Roman"/>
          <w:b w:val="0"/>
          <w:bCs w:val="0"/>
          <w:color w:val="000000"/>
          <w:sz w:val="32"/>
          <w:szCs w:val="32"/>
          <w:lang w:val="en-US" w:eastAsia="zh-CN"/>
        </w:rPr>
        <w:t>124.53</w:t>
      </w:r>
      <w:r>
        <w:rPr>
          <w:rFonts w:hint="default" w:ascii="Times New Roman" w:hAnsi="Times New Roman" w:eastAsia="仿宋_GB2312" w:cs="Times New Roman"/>
          <w:b w:val="0"/>
          <w:bCs w:val="0"/>
          <w:color w:val="000000"/>
          <w:sz w:val="32"/>
          <w:szCs w:val="32"/>
        </w:rPr>
        <w:t>万元</w:t>
      </w:r>
      <w:r>
        <w:rPr>
          <w:rFonts w:hint="eastAsia" w:ascii="Times New Roman" w:hAnsi="Times New Roman" w:eastAsia="仿宋_GB2312" w:cs="Times New Roman"/>
          <w:b w:val="0"/>
          <w:bCs w:val="0"/>
          <w:color w:val="000000"/>
          <w:sz w:val="32"/>
          <w:szCs w:val="32"/>
          <w:lang w:val="en-US" w:eastAsia="zh-CN"/>
        </w:rPr>
        <w:t>增加</w:t>
      </w:r>
      <w:r>
        <w:rPr>
          <w:rFonts w:hint="eastAsia" w:ascii="Times New Roman" w:hAnsi="Times New Roman" w:cs="Times New Roman"/>
          <w:b w:val="0"/>
          <w:bCs w:val="0"/>
          <w:color w:val="000000"/>
          <w:sz w:val="32"/>
          <w:szCs w:val="32"/>
          <w:lang w:val="en-US" w:eastAsia="zh-CN"/>
        </w:rPr>
        <w:t>2</w:t>
      </w:r>
      <w:r>
        <w:rPr>
          <w:rFonts w:hint="eastAsia" w:cs="Times New Roman"/>
          <w:b w:val="0"/>
          <w:bCs w:val="0"/>
          <w:color w:val="000000"/>
          <w:sz w:val="32"/>
          <w:szCs w:val="32"/>
          <w:lang w:val="en-US" w:eastAsia="zh-CN"/>
        </w:rPr>
        <w:t>0.45</w:t>
      </w:r>
      <w:r>
        <w:rPr>
          <w:rFonts w:hint="default" w:ascii="Times New Roman" w:hAnsi="Times New Roman" w:eastAsia="仿宋_GB2312" w:cs="Times New Roman"/>
          <w:b w:val="0"/>
          <w:bCs w:val="0"/>
          <w:color w:val="000000"/>
          <w:sz w:val="32"/>
          <w:szCs w:val="32"/>
        </w:rPr>
        <w:t>万元</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增长</w:t>
      </w:r>
      <w:r>
        <w:rPr>
          <w:rFonts w:hint="eastAsia" w:ascii="Times New Roman" w:hAnsi="Times New Roman" w:cs="Times New Roman"/>
          <w:b w:val="0"/>
          <w:bCs w:val="0"/>
          <w:color w:val="000000"/>
          <w:sz w:val="32"/>
          <w:szCs w:val="32"/>
          <w:lang w:val="en-US" w:eastAsia="zh-CN"/>
        </w:rPr>
        <w:t>1</w:t>
      </w:r>
      <w:r>
        <w:rPr>
          <w:rFonts w:hint="eastAsia" w:cs="Times New Roman"/>
          <w:b w:val="0"/>
          <w:bCs w:val="0"/>
          <w:color w:val="000000"/>
          <w:sz w:val="32"/>
          <w:szCs w:val="32"/>
          <w:lang w:val="en-US" w:eastAsia="zh-CN"/>
        </w:rPr>
        <w:t>4.11</w:t>
      </w:r>
      <w:r>
        <w:rPr>
          <w:rFonts w:hint="default" w:ascii="Times New Roman" w:hAnsi="Times New Roman" w:eastAsia="仿宋_GB2312" w:cs="Times New Roman"/>
          <w:b w:val="0"/>
          <w:bCs w:val="0"/>
          <w:color w:val="000000"/>
          <w:sz w:val="32"/>
          <w:szCs w:val="32"/>
        </w:rPr>
        <w:t>%</w:t>
      </w:r>
      <w:r>
        <w:rPr>
          <w:rFonts w:hint="eastAsia" w:cs="Times New Roman"/>
          <w:b w:val="0"/>
          <w:bCs w:val="0"/>
          <w:color w:val="000000"/>
          <w:sz w:val="32"/>
          <w:szCs w:val="32"/>
          <w:lang w:eastAsia="zh-CN"/>
        </w:rPr>
        <w:t>。</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楷体_GB2312" w:hAnsi="楷体_GB2312" w:eastAsia="楷体_GB2312" w:cs="楷体_GB2312"/>
          <w:b w:val="0"/>
          <w:bCs w:val="0"/>
          <w:color w:val="auto"/>
          <w:sz w:val="32"/>
          <w:szCs w:val="32"/>
          <w:highlight w:val="none"/>
          <w:lang w:eastAsia="zh-CN"/>
        </w:rPr>
        <w:t>（三）</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部门总体结转结余情况</w:t>
      </w:r>
    </w:p>
    <w:p>
      <w:pPr>
        <w:keepNext w:val="0"/>
        <w:keepLines w:val="0"/>
        <w:pageBreakBefore w:val="0"/>
        <w:widowControl w:val="0"/>
        <w:kinsoku/>
        <w:wordWrap/>
        <w:overflowPunct/>
        <w:topLinePunct w:val="0"/>
        <w:autoSpaceDE/>
        <w:autoSpaceDN/>
        <w:bidi w:val="0"/>
        <w:spacing w:line="576" w:lineRule="exact"/>
        <w:ind w:left="0" w:leftChars="0" w:right="0" w:firstLine="420" w:firstLineChars="200"/>
        <w:jc w:val="left"/>
        <w:textAlignment w:val="auto"/>
        <w:outlineLvl w:val="1"/>
        <w:rPr>
          <w:rFonts w:hint="eastAsia" w:ascii="黑体" w:hAnsi="黑体" w:eastAsia="黑体" w:cs="黑体"/>
          <w:b w:val="0"/>
          <w:bCs w:val="0"/>
          <w:color w:val="auto"/>
          <w:sz w:val="32"/>
          <w:szCs w:val="32"/>
          <w:highlight w:val="none"/>
          <w:lang w:eastAsia="zh-CN"/>
        </w:rPr>
      </w:pPr>
      <w:r>
        <w:rPr>
          <w:rFonts w:hint="eastAsia"/>
          <w:lang w:val="en-US" w:eastAsia="zh-CN"/>
        </w:rPr>
        <w:t xml:space="preserve">   </w:t>
      </w:r>
      <w:r>
        <w:rPr>
          <w:rFonts w:hint="eastAsia" w:ascii="Times New Roman" w:hAnsi="Times New Roman" w:eastAsia="仿宋_GB2312"/>
          <w:sz w:val="32"/>
          <w:szCs w:val="32"/>
          <w:lang w:val="en-US" w:eastAsia="zh-CN"/>
        </w:rPr>
        <w:t>2022年财政</w:t>
      </w:r>
      <w:r>
        <w:rPr>
          <w:rFonts w:hint="eastAsia" w:ascii="Times New Roman" w:hAnsi="Times New Roman"/>
          <w:sz w:val="32"/>
          <w:szCs w:val="32"/>
          <w:lang w:val="en-US" w:eastAsia="zh-CN"/>
        </w:rPr>
        <w:t>预算</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结转结余</w:t>
      </w:r>
      <w:r>
        <w:rPr>
          <w:rFonts w:hint="eastAsia" w:ascii="Times New Roman" w:hAnsi="Times New Roman"/>
          <w:sz w:val="32"/>
          <w:szCs w:val="32"/>
          <w:lang w:val="en-US" w:eastAsia="zh-CN"/>
        </w:rPr>
        <w:t>0.09</w:t>
      </w:r>
      <w:r>
        <w:rPr>
          <w:rFonts w:hint="eastAsia" w:ascii="Times New Roman" w:hAnsi="Times New Roman" w:eastAsia="仿宋_GB2312"/>
          <w:sz w:val="32"/>
          <w:szCs w:val="32"/>
          <w:lang w:val="en-US" w:eastAsia="zh-CN"/>
        </w:rPr>
        <w:t>万元，</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主要原因是项目资金未支付完毕。</w:t>
      </w:r>
      <w:bookmarkStart w:id="95" w:name="_GoBack"/>
      <w:bookmarkEnd w:id="95"/>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三、部门整体绩效管理情况</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w:t>
      </w:r>
      <w:r>
        <w:rPr>
          <w:rFonts w:hint="eastAsia" w:ascii="楷体_GB2312" w:hAnsi="楷体_GB2312" w:eastAsia="楷体_GB2312" w:cs="楷体_GB2312"/>
          <w:b w:val="0"/>
          <w:bCs w:val="0"/>
          <w:color w:val="auto"/>
          <w:sz w:val="32"/>
          <w:szCs w:val="32"/>
          <w:highlight w:val="none"/>
          <w:lang w:val="en-US" w:eastAsia="zh-CN"/>
        </w:rPr>
        <w:t>推动重大决策部署落实方面</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旗帜鲜明讲政治，务实开展政治督查。</w:t>
      </w:r>
      <w:r>
        <w:rPr>
          <w:rFonts w:hint="eastAsia" w:ascii="仿宋_GB2312" w:hAnsi="仿宋_GB2312" w:eastAsia="仿宋_GB2312" w:cs="仿宋_GB2312"/>
          <w:b w:val="0"/>
          <w:bCs w:val="0"/>
          <w:color w:val="auto"/>
          <w:sz w:val="32"/>
          <w:szCs w:val="32"/>
          <w:highlight w:val="none"/>
          <w:lang w:val="en-US" w:eastAsia="zh-CN"/>
        </w:rPr>
        <w:t>一是紧盯党委重大会议部署落实。聚焦“两个确立”“两个维护”，紧扣服务保障中心大局，细化梳理制定省第十二次党代会、区第八次党代会、市委区委常委会工作要点、市委区委八届二次全会、市委区委工作会议等重要部署责任分工方案（清单）</w:t>
      </w:r>
      <w:r>
        <w:rPr>
          <w:rFonts w:hint="eastAsia" w:ascii="Times New Roman" w:hAnsi="Times New Roman" w:eastAsia="仿宋_GB2312" w:cs="Times New Roman"/>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val="en-US" w:eastAsia="zh-CN"/>
        </w:rPr>
        <w:t>个，采取“暗访督查+抽查调度”方式，对各镇和区级重点部门落实有关任务情况督查调度</w:t>
      </w:r>
      <w:r>
        <w:rPr>
          <w:rFonts w:hint="eastAsia" w:ascii="Times New Roman" w:hAnsi="Times New Roman" w:eastAsia="仿宋_GB2312" w:cs="Times New Roman"/>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val="en-US" w:eastAsia="zh-CN"/>
        </w:rPr>
        <w:t>次。二是紧盯调研指示精神落实。坚持把贯彻落实各级领导调研指示精神作为重点工作，聚焦重点任务，强化问题导向，细化梳理制定习近平总书记来川视察、省委领导来广调研、市委主要领导来昭调研重要指示精神重点任务分工方案（清单）</w:t>
      </w:r>
      <w:r>
        <w:rPr>
          <w:rFonts w:hint="eastAsia" w:ascii="Times New Roman" w:hAnsi="Times New Roman" w:eastAsia="仿宋_GB2312" w:cs="Times New Roman"/>
          <w:b w:val="0"/>
          <w:bCs w:val="0"/>
          <w:color w:val="auto"/>
          <w:sz w:val="32"/>
          <w:szCs w:val="32"/>
          <w:highlight w:val="none"/>
          <w:lang w:val="en-US" w:eastAsia="zh-CN"/>
        </w:rPr>
        <w:t>17</w:t>
      </w:r>
      <w:r>
        <w:rPr>
          <w:rFonts w:hint="eastAsia" w:ascii="仿宋_GB2312" w:hAnsi="仿宋_GB2312" w:eastAsia="仿宋_GB2312" w:cs="仿宋_GB2312"/>
          <w:b w:val="0"/>
          <w:bCs w:val="0"/>
          <w:color w:val="auto"/>
          <w:sz w:val="32"/>
          <w:szCs w:val="32"/>
          <w:highlight w:val="none"/>
          <w:lang w:val="en-US" w:eastAsia="zh-CN"/>
        </w:rPr>
        <w:t>个，开展专项督查调度</w:t>
      </w:r>
      <w:r>
        <w:rPr>
          <w:rFonts w:hint="eastAsia" w:ascii="Times New Roman" w:hAnsi="Times New Roman" w:eastAsia="仿宋_GB2312" w:cs="Times New Roman"/>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val="en-US" w:eastAsia="zh-CN"/>
        </w:rPr>
        <w:t>次，开展习近平总书记重要指示批示精神、李克强总理来广视察重要指示精神落实“回头看”</w:t>
      </w:r>
      <w:r>
        <w:rPr>
          <w:rFonts w:hint="eastAsia" w:ascii="Times New Roman" w:hAnsi="Times New Roman" w:eastAsia="仿宋_GB2312" w:cs="Times New Roman"/>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次，向市委、区委领导书面汇报重点任务落实情况</w:t>
      </w:r>
      <w:r>
        <w:rPr>
          <w:rFonts w:hint="eastAsia" w:ascii="Times New Roman" w:hAnsi="Times New Roman" w:eastAsia="仿宋_GB2312" w:cs="Times New Roman"/>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val="en-US" w:eastAsia="zh-CN"/>
        </w:rPr>
        <w:t>次。三是紧盯领导批示交办件落实。坚持“想领导所思、急领导所盼、解领导所忧”，台账式、动态化分批分期将区委常委会会议议定事项</w:t>
      </w:r>
      <w:r>
        <w:rPr>
          <w:rFonts w:hint="eastAsia" w:ascii="Times New Roman" w:hAnsi="Times New Roman" w:eastAsia="仿宋_GB2312" w:cs="Times New Roman"/>
          <w:b w:val="0"/>
          <w:bCs w:val="0"/>
          <w:color w:val="auto"/>
          <w:sz w:val="32"/>
          <w:szCs w:val="32"/>
          <w:highlight w:val="none"/>
          <w:lang w:val="en-US" w:eastAsia="zh-CN"/>
        </w:rPr>
        <w:t>36</w:t>
      </w:r>
      <w:r>
        <w:rPr>
          <w:rFonts w:hint="eastAsia" w:ascii="仿宋_GB2312" w:hAnsi="仿宋_GB2312" w:eastAsia="仿宋_GB2312" w:cs="仿宋_GB2312"/>
          <w:b w:val="0"/>
          <w:bCs w:val="0"/>
          <w:color w:val="auto"/>
          <w:sz w:val="32"/>
          <w:szCs w:val="32"/>
          <w:highlight w:val="none"/>
          <w:lang w:val="en-US" w:eastAsia="zh-CN"/>
        </w:rPr>
        <w:t>件、区委重要会议部署事项</w:t>
      </w:r>
      <w:r>
        <w:rPr>
          <w:rFonts w:hint="eastAsia" w:ascii="Times New Roman" w:hAnsi="Times New Roman" w:eastAsia="仿宋_GB2312" w:cs="Times New Roman"/>
          <w:b w:val="0"/>
          <w:bCs w:val="0"/>
          <w:color w:val="auto"/>
          <w:sz w:val="32"/>
          <w:szCs w:val="32"/>
          <w:highlight w:val="none"/>
          <w:lang w:val="en-US" w:eastAsia="zh-CN"/>
        </w:rPr>
        <w:t>54</w:t>
      </w:r>
      <w:r>
        <w:rPr>
          <w:rFonts w:hint="eastAsia" w:ascii="仿宋_GB2312" w:hAnsi="仿宋_GB2312" w:eastAsia="仿宋_GB2312" w:cs="仿宋_GB2312"/>
          <w:b w:val="0"/>
          <w:bCs w:val="0"/>
          <w:color w:val="auto"/>
          <w:sz w:val="32"/>
          <w:szCs w:val="32"/>
          <w:highlight w:val="none"/>
          <w:lang w:val="en-US" w:eastAsia="zh-CN"/>
        </w:rPr>
        <w:t>件、重要签批文件</w:t>
      </w:r>
      <w:r>
        <w:rPr>
          <w:rFonts w:hint="eastAsia" w:ascii="Times New Roman" w:hAnsi="Times New Roman" w:eastAsia="仿宋_GB2312" w:cs="Times New Roman"/>
          <w:b w:val="0"/>
          <w:bCs w:val="0"/>
          <w:color w:val="auto"/>
          <w:sz w:val="32"/>
          <w:szCs w:val="32"/>
          <w:highlight w:val="none"/>
          <w:lang w:val="en-US" w:eastAsia="zh-CN"/>
        </w:rPr>
        <w:t>245</w:t>
      </w:r>
      <w:r>
        <w:rPr>
          <w:rFonts w:hint="eastAsia" w:ascii="仿宋_GB2312" w:hAnsi="仿宋_GB2312" w:eastAsia="仿宋_GB2312" w:cs="仿宋_GB2312"/>
          <w:b w:val="0"/>
          <w:bCs w:val="0"/>
          <w:color w:val="auto"/>
          <w:sz w:val="32"/>
          <w:szCs w:val="32"/>
          <w:highlight w:val="none"/>
          <w:lang w:val="en-US" w:eastAsia="zh-CN"/>
        </w:rPr>
        <w:t>件纳入督办管理，报告落实情况</w:t>
      </w:r>
      <w:r>
        <w:rPr>
          <w:rFonts w:hint="eastAsia" w:ascii="Times New Roman" w:hAnsi="Times New Roman" w:eastAsia="仿宋_GB2312" w:cs="Times New Roman"/>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lang w:val="en-US" w:eastAsia="zh-CN"/>
        </w:rPr>
        <w:t>期，办结落</w:t>
      </w:r>
      <w:r>
        <w:rPr>
          <w:rFonts w:hint="eastAsia" w:ascii="Times New Roman" w:hAnsi="Times New Roman" w:eastAsia="仿宋_GB2312" w:cs="Times New Roman"/>
          <w:b w:val="0"/>
          <w:bCs w:val="0"/>
          <w:color w:val="auto"/>
          <w:sz w:val="32"/>
          <w:szCs w:val="32"/>
          <w:highlight w:val="none"/>
          <w:lang w:val="en-US" w:eastAsia="zh-CN"/>
        </w:rPr>
        <w:t>实289</w:t>
      </w:r>
      <w:r>
        <w:rPr>
          <w:rFonts w:hint="eastAsia" w:ascii="仿宋_GB2312" w:hAnsi="仿宋_GB2312" w:eastAsia="仿宋_GB2312" w:cs="仿宋_GB2312"/>
          <w:b w:val="0"/>
          <w:bCs w:val="0"/>
          <w:color w:val="auto"/>
          <w:sz w:val="32"/>
          <w:szCs w:val="32"/>
          <w:highlight w:val="none"/>
          <w:lang w:val="en-US" w:eastAsia="zh-CN"/>
        </w:rPr>
        <w:t>件，持续推进</w:t>
      </w:r>
      <w:r>
        <w:rPr>
          <w:rFonts w:hint="eastAsia" w:ascii="Times New Roman" w:hAnsi="Times New Roman" w:eastAsia="仿宋_GB2312" w:cs="Times New Roman"/>
          <w:b w:val="0"/>
          <w:bCs w:val="0"/>
          <w:color w:val="auto"/>
          <w:sz w:val="32"/>
          <w:szCs w:val="32"/>
          <w:highlight w:val="none"/>
          <w:lang w:val="en-US" w:eastAsia="zh-CN"/>
        </w:rPr>
        <w:t>46</w:t>
      </w:r>
      <w:r>
        <w:rPr>
          <w:rFonts w:hint="eastAsia" w:ascii="仿宋_GB2312" w:hAnsi="仿宋_GB2312" w:eastAsia="仿宋_GB2312" w:cs="仿宋_GB2312"/>
          <w:b w:val="0"/>
          <w:bCs w:val="0"/>
          <w:color w:val="auto"/>
          <w:sz w:val="32"/>
          <w:szCs w:val="32"/>
          <w:highlight w:val="none"/>
          <w:lang w:val="en-US" w:eastAsia="zh-CN"/>
        </w:rPr>
        <w:t>件，确保了中央、省委、市委、区委重大决策部署事项和各级领导重要指示批示精神在昭化落地生根。</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把准工作时序重点，扎实</w:t>
      </w:r>
      <w:r>
        <w:rPr>
          <w:rFonts w:hint="eastAsia" w:ascii="仿宋_GB2312" w:hAnsi="仿宋_GB2312" w:eastAsia="仿宋_GB2312" w:cs="仿宋_GB2312"/>
          <w:b w:val="0"/>
          <w:bCs w:val="0"/>
          <w:color w:val="auto"/>
          <w:sz w:val="32"/>
          <w:szCs w:val="32"/>
          <w:highlight w:val="none"/>
        </w:rPr>
        <w:t>开展</w:t>
      </w:r>
      <w:r>
        <w:rPr>
          <w:rFonts w:hint="eastAsia" w:ascii="仿宋_GB2312" w:hAnsi="仿宋_GB2312" w:eastAsia="仿宋_GB2312" w:cs="仿宋_GB2312"/>
          <w:b w:val="0"/>
          <w:bCs w:val="0"/>
          <w:color w:val="auto"/>
          <w:sz w:val="32"/>
          <w:szCs w:val="32"/>
          <w:highlight w:val="none"/>
          <w:lang w:eastAsia="zh-CN"/>
        </w:rPr>
        <w:t>政务督查。</w:t>
      </w:r>
      <w:r>
        <w:rPr>
          <w:rFonts w:hint="eastAsia" w:ascii="仿宋_GB2312" w:hAnsi="仿宋_GB2312" w:eastAsia="仿宋_GB2312" w:cs="仿宋_GB2312"/>
          <w:b w:val="0"/>
          <w:bCs w:val="0"/>
          <w:color w:val="auto"/>
          <w:sz w:val="32"/>
          <w:szCs w:val="32"/>
          <w:highlight w:val="none"/>
          <w:lang w:val="en-US" w:eastAsia="zh-CN"/>
        </w:rPr>
        <w:t>一是围绕重点工作开展政务督查。今年以来，督促办理</w:t>
      </w:r>
      <w:r>
        <w:rPr>
          <w:rFonts w:hint="eastAsia" w:ascii="Times New Roman" w:hAnsi="Times New Roman" w:eastAsia="仿宋_GB2312" w:cs="Times New Roman"/>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lang w:val="en-US" w:eastAsia="zh-CN"/>
        </w:rPr>
        <w:t>年政府工作报告任务</w:t>
      </w:r>
      <w:r>
        <w:rPr>
          <w:rFonts w:hint="eastAsia" w:ascii="Times New Roman" w:hAnsi="Times New Roman" w:eastAsia="仿宋_GB2312" w:cs="Times New Roman"/>
          <w:b w:val="0"/>
          <w:bCs w:val="0"/>
          <w:color w:val="auto"/>
          <w:sz w:val="32"/>
          <w:szCs w:val="32"/>
          <w:highlight w:val="none"/>
          <w:lang w:val="en-US" w:eastAsia="zh-CN"/>
        </w:rPr>
        <w:t>133</w:t>
      </w:r>
      <w:r>
        <w:rPr>
          <w:rFonts w:hint="eastAsia" w:ascii="仿宋_GB2312" w:hAnsi="仿宋_GB2312" w:eastAsia="仿宋_GB2312" w:cs="仿宋_GB2312"/>
          <w:b w:val="0"/>
          <w:bCs w:val="0"/>
          <w:color w:val="auto"/>
          <w:sz w:val="32"/>
          <w:szCs w:val="32"/>
          <w:highlight w:val="none"/>
          <w:lang w:val="en-US" w:eastAsia="zh-CN"/>
        </w:rPr>
        <w:t>件、区政府常务会议议定事项</w:t>
      </w:r>
      <w:r>
        <w:rPr>
          <w:rFonts w:hint="eastAsia" w:ascii="Times New Roman" w:hAnsi="Times New Roman" w:eastAsia="仿宋_GB2312" w:cs="Times New Roman"/>
          <w:b w:val="0"/>
          <w:bCs w:val="0"/>
          <w:color w:val="auto"/>
          <w:sz w:val="32"/>
          <w:szCs w:val="32"/>
          <w:highlight w:val="none"/>
          <w:lang w:val="en-US" w:eastAsia="zh-CN"/>
        </w:rPr>
        <w:t>177</w:t>
      </w:r>
      <w:r>
        <w:rPr>
          <w:rFonts w:hint="eastAsia" w:ascii="仿宋_GB2312" w:hAnsi="仿宋_GB2312" w:eastAsia="仿宋_GB2312" w:cs="仿宋_GB2312"/>
          <w:b w:val="0"/>
          <w:bCs w:val="0"/>
          <w:color w:val="auto"/>
          <w:sz w:val="32"/>
          <w:szCs w:val="32"/>
          <w:highlight w:val="none"/>
          <w:lang w:val="en-US" w:eastAsia="zh-CN"/>
        </w:rPr>
        <w:t>件、区政府重要会议部署事项</w:t>
      </w:r>
      <w:r>
        <w:rPr>
          <w:rFonts w:hint="eastAsia" w:ascii="Times New Roman" w:hAnsi="Times New Roman" w:eastAsia="仿宋_GB2312" w:cs="Times New Roman"/>
          <w:b w:val="0"/>
          <w:bCs w:val="0"/>
          <w:color w:val="auto"/>
          <w:sz w:val="32"/>
          <w:szCs w:val="32"/>
          <w:highlight w:val="none"/>
          <w:lang w:val="en-US" w:eastAsia="zh-CN"/>
        </w:rPr>
        <w:t>76</w:t>
      </w:r>
      <w:r>
        <w:rPr>
          <w:rFonts w:hint="eastAsia" w:ascii="仿宋_GB2312" w:hAnsi="仿宋_GB2312" w:eastAsia="仿宋_GB2312" w:cs="仿宋_GB2312"/>
          <w:b w:val="0"/>
          <w:bCs w:val="0"/>
          <w:color w:val="auto"/>
          <w:sz w:val="32"/>
          <w:szCs w:val="32"/>
          <w:highlight w:val="none"/>
          <w:lang w:val="en-US" w:eastAsia="zh-CN"/>
        </w:rPr>
        <w:t>件、重要签批文件</w:t>
      </w:r>
      <w:r>
        <w:rPr>
          <w:rFonts w:hint="eastAsia" w:ascii="Times New Roman" w:hAnsi="Times New Roman" w:eastAsia="仿宋_GB2312" w:cs="Times New Roman"/>
          <w:b w:val="0"/>
          <w:bCs w:val="0"/>
          <w:color w:val="auto"/>
          <w:sz w:val="32"/>
          <w:szCs w:val="32"/>
          <w:highlight w:val="none"/>
          <w:lang w:val="en-US" w:eastAsia="zh-CN"/>
        </w:rPr>
        <w:t>55</w:t>
      </w:r>
      <w:r>
        <w:rPr>
          <w:rFonts w:hint="eastAsia" w:ascii="仿宋_GB2312" w:hAnsi="仿宋_GB2312" w:eastAsia="仿宋_GB2312" w:cs="仿宋_GB2312"/>
          <w:b w:val="0"/>
          <w:bCs w:val="0"/>
          <w:color w:val="auto"/>
          <w:sz w:val="32"/>
          <w:szCs w:val="32"/>
          <w:highlight w:val="none"/>
          <w:lang w:val="en-US" w:eastAsia="zh-CN"/>
        </w:rPr>
        <w:t>件，对国务院第八次大督查反馈问题整改、文明城市创建、党的二十大安保维稳、省级乡村振兴成效显著县及省级五星级现代农业园区创建等</w:t>
      </w:r>
      <w:r>
        <w:rPr>
          <w:rFonts w:hint="eastAsia" w:ascii="Times New Roman" w:hAnsi="Times New Roman" w:eastAsia="仿宋_GB2312" w:cs="Times New Roman"/>
          <w:b w:val="0"/>
          <w:bCs w:val="0"/>
          <w:color w:val="auto"/>
          <w:sz w:val="32"/>
          <w:szCs w:val="32"/>
          <w:highlight w:val="none"/>
          <w:lang w:val="en-US" w:eastAsia="zh-CN"/>
        </w:rPr>
        <w:t>15</w:t>
      </w:r>
      <w:r>
        <w:rPr>
          <w:rFonts w:hint="eastAsia" w:ascii="仿宋_GB2312" w:hAnsi="仿宋_GB2312" w:eastAsia="仿宋_GB2312" w:cs="仿宋_GB2312"/>
          <w:b w:val="0"/>
          <w:bCs w:val="0"/>
          <w:color w:val="auto"/>
          <w:sz w:val="32"/>
          <w:szCs w:val="32"/>
          <w:highlight w:val="none"/>
          <w:lang w:val="en-US" w:eastAsia="zh-CN"/>
        </w:rPr>
        <w:t>项重点工作进行专项督查督办，印发通报</w:t>
      </w:r>
      <w:r>
        <w:rPr>
          <w:rFonts w:hint="eastAsia" w:ascii="Times New Roman" w:hAnsi="Times New Roman" w:eastAsia="仿宋_GB2312" w:cs="Times New Roman"/>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lang w:val="en-US" w:eastAsia="zh-CN"/>
        </w:rPr>
        <w:t>期，累计通报整改问题</w:t>
      </w:r>
      <w:r>
        <w:rPr>
          <w:rFonts w:hint="eastAsia" w:ascii="Times New Roman" w:hAnsi="Times New Roman" w:eastAsia="仿宋_GB2312" w:cs="Times New Roman"/>
          <w:b w:val="0"/>
          <w:bCs w:val="0"/>
          <w:color w:val="auto"/>
          <w:sz w:val="32"/>
          <w:szCs w:val="32"/>
          <w:highlight w:val="none"/>
          <w:lang w:val="en-US" w:eastAsia="zh-CN"/>
        </w:rPr>
        <w:t>110</w:t>
      </w:r>
      <w:r>
        <w:rPr>
          <w:rFonts w:hint="eastAsia" w:ascii="仿宋_GB2312" w:hAnsi="仿宋_GB2312" w:eastAsia="仿宋_GB2312" w:cs="仿宋_GB2312"/>
          <w:b w:val="0"/>
          <w:bCs w:val="0"/>
          <w:color w:val="auto"/>
          <w:sz w:val="32"/>
          <w:szCs w:val="32"/>
          <w:highlight w:val="none"/>
          <w:lang w:val="en-US" w:eastAsia="zh-CN"/>
        </w:rPr>
        <w:t>余个。二是围绕民生诉求开展政务督查。始终将广大群众最关心、最现实的热点难点问题作为政务督查的着力点，及时开展督查督办，做到件件有着落、事事有回音。今年以来，共督办国务院办公厅“互联网+督查”反映问题</w:t>
      </w:r>
      <w:r>
        <w:rPr>
          <w:rFonts w:hint="eastAsia" w:ascii="Times New Roman" w:hAnsi="Times New Roman" w:eastAsia="仿宋_GB2312" w:cs="Times New Roman"/>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个、人大建议和政协提</w:t>
      </w:r>
      <w:r>
        <w:rPr>
          <w:rFonts w:hint="eastAsia" w:ascii="Times New Roman" w:hAnsi="Times New Roman" w:eastAsia="仿宋_GB2312" w:cs="Times New Roman"/>
          <w:b w:val="0"/>
          <w:bCs w:val="0"/>
          <w:color w:val="auto"/>
          <w:sz w:val="32"/>
          <w:szCs w:val="32"/>
          <w:highlight w:val="none"/>
          <w:lang w:val="en-US" w:eastAsia="zh-CN"/>
        </w:rPr>
        <w:t>案188</w:t>
      </w:r>
      <w:r>
        <w:rPr>
          <w:rFonts w:hint="eastAsia" w:ascii="仿宋_GB2312" w:hAnsi="仿宋_GB2312" w:eastAsia="仿宋_GB2312" w:cs="仿宋_GB2312"/>
          <w:b w:val="0"/>
          <w:bCs w:val="0"/>
          <w:color w:val="auto"/>
          <w:sz w:val="32"/>
          <w:szCs w:val="32"/>
          <w:highlight w:val="none"/>
          <w:lang w:val="en-US" w:eastAsia="zh-CN"/>
        </w:rPr>
        <w:t>件，完成率</w:t>
      </w:r>
      <w:r>
        <w:rPr>
          <w:rFonts w:hint="eastAsia" w:ascii="Times New Roman" w:hAnsi="Times New Roman" w:eastAsia="仿宋_GB2312" w:cs="Times New Roman"/>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lang w:val="en-US" w:eastAsia="zh-CN"/>
        </w:rPr>
        <w:t>、满意率</w:t>
      </w:r>
      <w:r>
        <w:rPr>
          <w:rFonts w:hint="eastAsia" w:ascii="Times New Roman" w:hAnsi="Times New Roman" w:eastAsia="仿宋_GB2312" w:cs="Times New Roman"/>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lang w:val="en-US" w:eastAsia="zh-CN"/>
        </w:rPr>
        <w:t>。三是围绕安全底线开展政务督查。始终坚持人民至上、生命至上的工作理念，将安全生产作为政务督查不可突破的底线，紧盯重要时期和重点领域，开展专项督促，全力以赴保安全、促稳定、压事故。今年以来，共开展多轮森林防灭火、防汛减灾、城镇燃气和自建房安全等专项督查</w:t>
      </w:r>
      <w:r>
        <w:rPr>
          <w:rFonts w:hint="eastAsia" w:ascii="Times New Roman" w:hAnsi="Times New Roman" w:eastAsia="仿宋_GB2312" w:cs="Times New Roman"/>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lang w:val="en-US" w:eastAsia="zh-CN"/>
        </w:rPr>
        <w:t>次，印发通报</w:t>
      </w:r>
      <w:r>
        <w:rPr>
          <w:rFonts w:hint="eastAsia" w:ascii="Times New Roman" w:hAnsi="Times New Roman" w:eastAsia="仿宋_GB2312" w:cs="Times New Roman"/>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val="en-US" w:eastAsia="zh-CN"/>
        </w:rPr>
        <w:t>期、累计通报整改问题</w:t>
      </w:r>
      <w:r>
        <w:rPr>
          <w:rFonts w:hint="eastAsia" w:ascii="Times New Roman" w:hAnsi="Times New Roman" w:eastAsia="仿宋_GB2312" w:cs="Times New Roman"/>
          <w:b w:val="0"/>
          <w:bCs w:val="0"/>
          <w:color w:val="auto"/>
          <w:sz w:val="32"/>
          <w:szCs w:val="32"/>
          <w:highlight w:val="none"/>
          <w:lang w:val="en-US" w:eastAsia="zh-CN"/>
        </w:rPr>
        <w:t>76</w:t>
      </w:r>
      <w:r>
        <w:rPr>
          <w:rFonts w:hint="eastAsia" w:ascii="仿宋_GB2312" w:hAnsi="仿宋_GB2312" w:eastAsia="仿宋_GB2312" w:cs="仿宋_GB2312"/>
          <w:b w:val="0"/>
          <w:bCs w:val="0"/>
          <w:color w:val="auto"/>
          <w:sz w:val="32"/>
          <w:szCs w:val="32"/>
          <w:highlight w:val="none"/>
          <w:lang w:val="en-US" w:eastAsia="zh-CN"/>
        </w:rPr>
        <w:t>个。</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加快推进民生实事</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不断</w:t>
      </w:r>
      <w:r>
        <w:rPr>
          <w:rFonts w:hint="eastAsia" w:ascii="仿宋_GB2312" w:hAnsi="仿宋_GB2312" w:eastAsia="仿宋_GB2312" w:cs="仿宋_GB2312"/>
          <w:b w:val="0"/>
          <w:bCs w:val="0"/>
          <w:color w:val="auto"/>
          <w:sz w:val="32"/>
          <w:szCs w:val="32"/>
          <w:highlight w:val="none"/>
        </w:rPr>
        <w:t>凝聚经济发展强大合力</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一是坚持科学编制方案。严格按照区委、区政府要求，在省市下达我区</w:t>
      </w:r>
      <w:r>
        <w:rPr>
          <w:rFonts w:hint="eastAsia" w:ascii="Times New Roman" w:hAnsi="Times New Roman" w:eastAsia="仿宋_GB2312" w:cs="Times New Roman"/>
          <w:b w:val="0"/>
          <w:bCs w:val="0"/>
          <w:color w:val="auto"/>
          <w:sz w:val="32"/>
          <w:szCs w:val="32"/>
          <w:highlight w:val="none"/>
          <w:lang w:val="en-US" w:eastAsia="zh-CN"/>
        </w:rPr>
        <w:t>23</w:t>
      </w:r>
      <w:r>
        <w:rPr>
          <w:rFonts w:hint="eastAsia" w:ascii="仿宋_GB2312" w:hAnsi="仿宋_GB2312" w:eastAsia="仿宋_GB2312" w:cs="仿宋_GB2312"/>
          <w:b w:val="0"/>
          <w:bCs w:val="0"/>
          <w:color w:val="auto"/>
          <w:sz w:val="32"/>
          <w:szCs w:val="32"/>
          <w:highlight w:val="none"/>
          <w:lang w:val="en-US" w:eastAsia="zh-CN"/>
        </w:rPr>
        <w:t>件民生实事任务基础上，统筹区八届人大二次会议票决</w:t>
      </w:r>
      <w:r>
        <w:rPr>
          <w:rFonts w:hint="eastAsia" w:ascii="Times New Roman" w:hAnsi="Times New Roman" w:eastAsia="仿宋_GB2312" w:cs="Times New Roman"/>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val="en-US" w:eastAsia="zh-CN"/>
        </w:rPr>
        <w:t>件民生实事，形成《</w:t>
      </w:r>
      <w:r>
        <w:rPr>
          <w:rFonts w:hint="eastAsia" w:ascii="Times New Roman" w:hAnsi="Times New Roman" w:eastAsia="仿宋_GB2312" w:cs="Times New Roman"/>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lang w:val="en-US" w:eastAsia="zh-CN"/>
        </w:rPr>
        <w:t>年全区</w:t>
      </w:r>
      <w:r>
        <w:rPr>
          <w:rFonts w:hint="eastAsia" w:ascii="Times New Roman" w:hAnsi="Times New Roman" w:eastAsia="仿宋_GB2312" w:cs="Times New Roman"/>
          <w:b w:val="0"/>
          <w:bCs w:val="0"/>
          <w:color w:val="auto"/>
          <w:sz w:val="32"/>
          <w:szCs w:val="32"/>
          <w:highlight w:val="none"/>
          <w:lang w:val="en-US" w:eastAsia="zh-CN"/>
        </w:rPr>
        <w:t>30</w:t>
      </w:r>
      <w:r>
        <w:rPr>
          <w:rFonts w:hint="eastAsia" w:ascii="仿宋_GB2312" w:hAnsi="仿宋_GB2312" w:eastAsia="仿宋_GB2312" w:cs="仿宋_GB2312"/>
          <w:b w:val="0"/>
          <w:bCs w:val="0"/>
          <w:color w:val="auto"/>
          <w:sz w:val="32"/>
          <w:szCs w:val="32"/>
          <w:highlight w:val="none"/>
          <w:lang w:val="en-US" w:eastAsia="zh-CN"/>
        </w:rPr>
        <w:t>件民生实事实施方案》，</w:t>
      </w:r>
      <w:r>
        <w:rPr>
          <w:rFonts w:hint="eastAsia" w:ascii="仿宋_GB2312" w:hAnsi="仿宋_GB2312" w:eastAsia="仿宋_GB2312" w:cs="仿宋_GB2312"/>
          <w:b w:val="0"/>
          <w:bCs w:val="0"/>
          <w:color w:val="auto"/>
          <w:sz w:val="32"/>
          <w:szCs w:val="32"/>
          <w:highlight w:val="none"/>
          <w:lang w:eastAsia="zh-CN"/>
        </w:rPr>
        <w:t>并将目标任务逐项分解到具体牵头县级领导、区级责任部门，明确时间表、路线图</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二是坚持认真组织实施。将</w:t>
      </w:r>
      <w:r>
        <w:rPr>
          <w:rFonts w:hint="eastAsia" w:ascii="Times New Roman" w:hAnsi="Times New Roman" w:eastAsia="仿宋_GB2312" w:cs="Times New Roman"/>
          <w:b w:val="0"/>
          <w:bCs w:val="0"/>
          <w:color w:val="auto"/>
          <w:sz w:val="32"/>
          <w:szCs w:val="32"/>
          <w:highlight w:val="none"/>
          <w:lang w:val="en-US" w:eastAsia="zh-CN"/>
        </w:rPr>
        <w:t>30</w:t>
      </w:r>
      <w:r>
        <w:rPr>
          <w:rFonts w:hint="eastAsia" w:ascii="仿宋_GB2312" w:hAnsi="仿宋_GB2312" w:eastAsia="仿宋_GB2312" w:cs="仿宋_GB2312"/>
          <w:b w:val="0"/>
          <w:bCs w:val="0"/>
          <w:color w:val="auto"/>
          <w:sz w:val="32"/>
          <w:szCs w:val="32"/>
          <w:highlight w:val="none"/>
          <w:lang w:val="en-US" w:eastAsia="zh-CN"/>
        </w:rPr>
        <w:t>件民生实事细化分解为</w:t>
      </w:r>
      <w:r>
        <w:rPr>
          <w:rFonts w:hint="eastAsia" w:ascii="Times New Roman" w:hAnsi="Times New Roman" w:eastAsia="仿宋_GB2312" w:cs="Times New Roman"/>
          <w:b w:val="0"/>
          <w:bCs w:val="0"/>
          <w:color w:val="auto"/>
          <w:sz w:val="32"/>
          <w:szCs w:val="32"/>
          <w:highlight w:val="none"/>
          <w:lang w:val="en-US" w:eastAsia="zh-CN"/>
        </w:rPr>
        <w:t>58</w:t>
      </w:r>
      <w:r>
        <w:rPr>
          <w:rFonts w:hint="eastAsia" w:ascii="仿宋_GB2312" w:hAnsi="仿宋_GB2312" w:eastAsia="仿宋_GB2312" w:cs="仿宋_GB2312"/>
          <w:b w:val="0"/>
          <w:bCs w:val="0"/>
          <w:color w:val="auto"/>
          <w:sz w:val="32"/>
          <w:szCs w:val="32"/>
          <w:highlight w:val="none"/>
          <w:lang w:val="en-US" w:eastAsia="zh-CN"/>
        </w:rPr>
        <w:t>个小项具体任务，逐一明确责任单位和时间节点，狠抓落实、落小、落细；同时，全面开展宣传，在广元市目标绩效公众号、广元日报等平台宣传民生实事推进情况，刊载民生实事宣传稿件</w:t>
      </w:r>
      <w:r>
        <w:rPr>
          <w:rFonts w:hint="eastAsia" w:ascii="Times New Roman" w:hAnsi="Times New Roman" w:eastAsia="仿宋_GB2312" w:cs="Times New Roman"/>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val="en-US" w:eastAsia="zh-CN"/>
        </w:rPr>
        <w:t>条。三是坚持持续跟踪督办。综合运用“定期会商+调度通报+暗访督查+协调解决”的方式，全过程掌握民生实事推进进度，组织相关责任单位集中会商</w:t>
      </w:r>
      <w:r>
        <w:rPr>
          <w:rFonts w:hint="eastAsia" w:ascii="Times New Roman" w:hAnsi="Times New Roman" w:eastAsia="仿宋_GB2312" w:cs="Times New Roman"/>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val="en-US" w:eastAsia="zh-CN"/>
        </w:rPr>
        <w:t>次，开展专项调度督查</w:t>
      </w:r>
      <w:r>
        <w:rPr>
          <w:rFonts w:hint="eastAsia" w:ascii="Times New Roman" w:hAnsi="Times New Roman" w:eastAsia="仿宋_GB2312" w:cs="Times New Roman"/>
          <w:b w:val="0"/>
          <w:bCs w:val="0"/>
          <w:color w:val="auto"/>
          <w:sz w:val="32"/>
          <w:szCs w:val="32"/>
          <w:highlight w:val="none"/>
          <w:lang w:val="en-US" w:eastAsia="zh-CN"/>
        </w:rPr>
        <w:t>15</w:t>
      </w:r>
      <w:r>
        <w:rPr>
          <w:rFonts w:hint="eastAsia" w:ascii="仿宋_GB2312" w:hAnsi="仿宋_GB2312" w:eastAsia="仿宋_GB2312" w:cs="仿宋_GB2312"/>
          <w:b w:val="0"/>
          <w:bCs w:val="0"/>
          <w:color w:val="auto"/>
          <w:sz w:val="32"/>
          <w:szCs w:val="32"/>
          <w:highlight w:val="none"/>
          <w:lang w:val="en-US" w:eastAsia="zh-CN"/>
        </w:rPr>
        <w:t>次、印发督查通报</w:t>
      </w:r>
      <w:r>
        <w:rPr>
          <w:rFonts w:hint="eastAsia" w:ascii="Times New Roman" w:hAnsi="Times New Roman" w:eastAsia="仿宋_GB2312" w:cs="Times New Roman"/>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val="en-US" w:eastAsia="zh-CN"/>
        </w:rPr>
        <w:t>期，协调民生实事推进过程中各类困难问题</w:t>
      </w:r>
      <w:r>
        <w:rPr>
          <w:rFonts w:hint="eastAsia" w:ascii="Times New Roman" w:hAnsi="Times New Roman" w:eastAsia="仿宋_GB2312" w:cs="Times New Roman"/>
          <w:b w:val="0"/>
          <w:bCs w:val="0"/>
          <w:color w:val="auto"/>
          <w:sz w:val="32"/>
          <w:szCs w:val="32"/>
          <w:highlight w:val="none"/>
          <w:lang w:val="en-US" w:eastAsia="zh-CN"/>
        </w:rPr>
        <w:t>13</w:t>
      </w:r>
      <w:r>
        <w:rPr>
          <w:rFonts w:hint="eastAsia" w:ascii="仿宋_GB2312" w:hAnsi="仿宋_GB2312" w:eastAsia="仿宋_GB2312" w:cs="仿宋_GB2312"/>
          <w:b w:val="0"/>
          <w:bCs w:val="0"/>
          <w:color w:val="auto"/>
          <w:sz w:val="32"/>
          <w:szCs w:val="32"/>
          <w:highlight w:val="none"/>
          <w:lang w:val="en-US" w:eastAsia="zh-CN"/>
        </w:rPr>
        <w:t>个。截至</w:t>
      </w:r>
      <w:r>
        <w:rPr>
          <w:rFonts w:hint="eastAsia" w:ascii="Times New Roman" w:hAnsi="Times New Roman" w:eastAsia="仿宋_GB2312" w:cs="Times New Roman"/>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31</w:t>
      </w:r>
      <w:r>
        <w:rPr>
          <w:rFonts w:hint="eastAsia" w:ascii="仿宋_GB2312" w:hAnsi="仿宋_GB2312" w:eastAsia="仿宋_GB2312" w:cs="仿宋_GB2312"/>
          <w:b w:val="0"/>
          <w:bCs w:val="0"/>
          <w:color w:val="auto"/>
          <w:sz w:val="32"/>
          <w:szCs w:val="32"/>
          <w:highlight w:val="none"/>
          <w:lang w:val="en-US" w:eastAsia="zh-CN"/>
        </w:rPr>
        <w:t>日，全区</w:t>
      </w:r>
      <w:r>
        <w:rPr>
          <w:rFonts w:hint="eastAsia" w:ascii="Times New Roman" w:hAnsi="Times New Roman" w:eastAsia="仿宋_GB2312" w:cs="Times New Roman"/>
          <w:b w:val="0"/>
          <w:bCs w:val="0"/>
          <w:color w:val="auto"/>
          <w:sz w:val="32"/>
          <w:szCs w:val="32"/>
          <w:highlight w:val="none"/>
          <w:lang w:val="en-US" w:eastAsia="zh-CN"/>
        </w:rPr>
        <w:t>30</w:t>
      </w:r>
      <w:r>
        <w:rPr>
          <w:rFonts w:hint="eastAsia" w:ascii="仿宋_GB2312" w:hAnsi="仿宋_GB2312" w:eastAsia="仿宋_GB2312" w:cs="仿宋_GB2312"/>
          <w:b w:val="0"/>
          <w:bCs w:val="0"/>
          <w:color w:val="auto"/>
          <w:sz w:val="32"/>
          <w:szCs w:val="32"/>
          <w:highlight w:val="none"/>
          <w:lang w:val="en-US" w:eastAsia="zh-CN"/>
        </w:rPr>
        <w:t>件民生实事</w:t>
      </w:r>
      <w:r>
        <w:rPr>
          <w:rFonts w:hint="eastAsia" w:ascii="Times New Roman" w:hAnsi="Times New Roman" w:eastAsia="仿宋_GB2312" w:cs="Times New Roman"/>
          <w:b w:val="0"/>
          <w:bCs w:val="0"/>
          <w:color w:val="auto"/>
          <w:sz w:val="32"/>
          <w:szCs w:val="32"/>
          <w:highlight w:val="none"/>
          <w:lang w:val="en-US" w:eastAsia="zh-CN"/>
        </w:rPr>
        <w:t>58</w:t>
      </w:r>
      <w:r>
        <w:rPr>
          <w:rFonts w:hint="eastAsia" w:ascii="仿宋_GB2312" w:hAnsi="仿宋_GB2312" w:eastAsia="仿宋_GB2312" w:cs="仿宋_GB2312"/>
          <w:b w:val="0"/>
          <w:bCs w:val="0"/>
          <w:color w:val="auto"/>
          <w:sz w:val="32"/>
          <w:szCs w:val="32"/>
          <w:highlight w:val="none"/>
          <w:lang w:val="en-US" w:eastAsia="zh-CN"/>
        </w:rPr>
        <w:t>个小项中超过或按计划推进的有</w:t>
      </w:r>
      <w:r>
        <w:rPr>
          <w:rFonts w:hint="eastAsia" w:ascii="Times New Roman" w:hAnsi="Times New Roman" w:eastAsia="仿宋_GB2312" w:cs="Times New Roman"/>
          <w:b w:val="0"/>
          <w:bCs w:val="0"/>
          <w:color w:val="auto"/>
          <w:sz w:val="32"/>
          <w:szCs w:val="32"/>
          <w:highlight w:val="none"/>
          <w:lang w:val="en-US" w:eastAsia="zh-CN"/>
        </w:rPr>
        <w:t>55</w:t>
      </w:r>
      <w:r>
        <w:rPr>
          <w:rFonts w:hint="eastAsia" w:ascii="仿宋_GB2312" w:hAnsi="仿宋_GB2312" w:eastAsia="仿宋_GB2312" w:cs="仿宋_GB2312"/>
          <w:b w:val="0"/>
          <w:bCs w:val="0"/>
          <w:color w:val="auto"/>
          <w:sz w:val="32"/>
          <w:szCs w:val="32"/>
          <w:highlight w:val="none"/>
          <w:lang w:val="en-US" w:eastAsia="zh-CN"/>
        </w:rPr>
        <w:t>项、占</w:t>
      </w:r>
      <w:r>
        <w:rPr>
          <w:rFonts w:hint="eastAsia" w:ascii="Times New Roman" w:hAnsi="Times New Roman" w:eastAsia="仿宋_GB2312" w:cs="Times New Roman"/>
          <w:b w:val="0"/>
          <w:bCs w:val="0"/>
          <w:color w:val="auto"/>
          <w:sz w:val="32"/>
          <w:szCs w:val="32"/>
          <w:highlight w:val="none"/>
          <w:lang w:val="en-US" w:eastAsia="zh-CN"/>
        </w:rPr>
        <w:t>95%</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聚焦疫情形势变化，科学精准做好防控督办工作</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一是聚焦政策变化，全面深学深悟。坚持把精准吃透疫情防控各项政策作为正确开展督查督办的先决条件，运用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网络共享”的方式，及时传达学习《新型冠状病毒</w:t>
      </w:r>
      <w:r>
        <w:rPr>
          <w:rFonts w:hint="eastAsia" w:ascii="仿宋_GB2312" w:hAnsi="仿宋_GB2312" w:eastAsia="仿宋_GB2312" w:cs="仿宋_GB2312"/>
          <w:b w:val="0"/>
          <w:bCs w:val="0"/>
          <w:color w:val="auto"/>
          <w:sz w:val="32"/>
          <w:szCs w:val="32"/>
          <w:highlight w:val="none"/>
          <w:lang w:eastAsia="zh-CN"/>
        </w:rPr>
        <w:t>感染</w:t>
      </w:r>
      <w:r>
        <w:rPr>
          <w:rFonts w:hint="eastAsia" w:ascii="仿宋_GB2312" w:hAnsi="仿宋_GB2312" w:eastAsia="仿宋_GB2312" w:cs="仿宋_GB2312"/>
          <w:b w:val="0"/>
          <w:bCs w:val="0"/>
          <w:color w:val="auto"/>
          <w:sz w:val="32"/>
          <w:szCs w:val="32"/>
          <w:highlight w:val="none"/>
        </w:rPr>
        <w:t>防控方案（第九版）</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关于进一步优化新型冠状疫情防控措施科学精准做好防控工作的通知》等文件精神。今年以来，通过</w:t>
      </w:r>
      <w:r>
        <w:rPr>
          <w:rFonts w:hint="eastAsia" w:ascii="仿宋_GB2312" w:hAnsi="仿宋_GB2312" w:eastAsia="仿宋_GB2312" w:cs="仿宋_GB2312"/>
          <w:b w:val="0"/>
          <w:bCs w:val="0"/>
          <w:color w:val="auto"/>
          <w:sz w:val="32"/>
          <w:szCs w:val="32"/>
          <w:highlight w:val="none"/>
          <w:lang w:eastAsia="zh-CN"/>
        </w:rPr>
        <w:t>职工会</w:t>
      </w:r>
      <w:r>
        <w:rPr>
          <w:rFonts w:hint="eastAsia" w:ascii="仿宋_GB2312" w:hAnsi="仿宋_GB2312" w:eastAsia="仿宋_GB2312" w:cs="仿宋_GB2312"/>
          <w:b w:val="0"/>
          <w:bCs w:val="0"/>
          <w:color w:val="auto"/>
          <w:sz w:val="32"/>
          <w:szCs w:val="32"/>
          <w:highlight w:val="none"/>
        </w:rPr>
        <w:t>向</w:t>
      </w:r>
      <w:r>
        <w:rPr>
          <w:rFonts w:hint="eastAsia" w:ascii="仿宋_GB2312" w:hAnsi="仿宋_GB2312" w:eastAsia="仿宋_GB2312" w:cs="仿宋_GB2312"/>
          <w:b w:val="0"/>
          <w:bCs w:val="0"/>
          <w:color w:val="auto"/>
          <w:sz w:val="32"/>
          <w:szCs w:val="32"/>
          <w:highlight w:val="none"/>
          <w:lang w:eastAsia="zh-CN"/>
        </w:rPr>
        <w:t>我中心</w:t>
      </w:r>
      <w:r>
        <w:rPr>
          <w:rFonts w:hint="eastAsia" w:ascii="仿宋_GB2312" w:hAnsi="仿宋_GB2312" w:eastAsia="仿宋_GB2312" w:cs="仿宋_GB2312"/>
          <w:b w:val="0"/>
          <w:bCs w:val="0"/>
          <w:color w:val="auto"/>
          <w:sz w:val="32"/>
          <w:szCs w:val="32"/>
          <w:highlight w:val="none"/>
        </w:rPr>
        <w:t>干部职工传达疫情防控政策</w:t>
      </w:r>
      <w:r>
        <w:rPr>
          <w:rFonts w:hint="eastAsia" w:ascii="Times New Roman" w:hAnsi="Times New Roman" w:eastAsia="仿宋_GB2312" w:cs="Times New Roman"/>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次，在疫情防控工作交流群等平台共享疫情防控即时资料</w:t>
      </w:r>
      <w:r>
        <w:rPr>
          <w:rFonts w:hint="eastAsia" w:ascii="Times New Roman" w:hAnsi="Times New Roman" w:eastAsia="仿宋_GB2312" w:cs="Times New Roman"/>
          <w:b w:val="0"/>
          <w:bCs w:val="0"/>
          <w:color w:val="auto"/>
          <w:sz w:val="32"/>
          <w:szCs w:val="32"/>
          <w:highlight w:val="none"/>
          <w:lang w:val="en-US" w:eastAsia="zh-CN"/>
        </w:rPr>
        <w:t>50</w:t>
      </w:r>
      <w:r>
        <w:rPr>
          <w:rFonts w:hint="eastAsia" w:ascii="仿宋_GB2312" w:hAnsi="仿宋_GB2312" w:eastAsia="仿宋_GB2312" w:cs="仿宋_GB2312"/>
          <w:b w:val="0"/>
          <w:bCs w:val="0"/>
          <w:color w:val="auto"/>
          <w:sz w:val="32"/>
          <w:szCs w:val="32"/>
          <w:highlight w:val="none"/>
        </w:rPr>
        <w:t>份，</w:t>
      </w:r>
      <w:r>
        <w:rPr>
          <w:rFonts w:hint="eastAsia" w:ascii="仿宋_GB2312" w:hAnsi="仿宋_GB2312" w:eastAsia="仿宋_GB2312" w:cs="仿宋_GB2312"/>
          <w:b w:val="0"/>
          <w:bCs w:val="0"/>
          <w:color w:val="auto"/>
          <w:sz w:val="32"/>
          <w:szCs w:val="32"/>
          <w:highlight w:val="none"/>
          <w:lang w:eastAsia="zh-CN"/>
        </w:rPr>
        <w:t>让督查员</w:t>
      </w:r>
      <w:r>
        <w:rPr>
          <w:rFonts w:hint="eastAsia" w:ascii="仿宋_GB2312" w:hAnsi="仿宋_GB2312" w:eastAsia="仿宋_GB2312" w:cs="仿宋_GB2312"/>
          <w:b w:val="0"/>
          <w:bCs w:val="0"/>
          <w:color w:val="auto"/>
          <w:sz w:val="32"/>
          <w:szCs w:val="32"/>
          <w:highlight w:val="none"/>
        </w:rPr>
        <w:t>精准督查的能力明显提升。二是聚焦重点变化，做到深督实查。</w:t>
      </w:r>
      <w:r>
        <w:rPr>
          <w:rFonts w:hint="eastAsia" w:ascii="仿宋_GB2312" w:hAnsi="仿宋_GB2312" w:eastAsia="仿宋_GB2312" w:cs="仿宋_GB2312"/>
          <w:b w:val="0"/>
          <w:bCs w:val="0"/>
          <w:color w:val="auto"/>
          <w:sz w:val="32"/>
          <w:szCs w:val="32"/>
          <w:highlight w:val="none"/>
          <w:lang w:val="en-US" w:eastAsia="zh-CN"/>
        </w:rPr>
        <w:t>全面把握疫情防控各阶段的形势变化，先后选取交通卡口“入川即检”、方舱隔离点建设、“十类”重点公共场所等领域，部署开展疫情防控专项督查，聚焦春节、五一、十一等重要时间节点部署开展疫情防控综合督查，有效推动补齐疫情防控短板漏洞。截至</w:t>
      </w:r>
      <w:r>
        <w:rPr>
          <w:rFonts w:hint="eastAsia" w:ascii="Times New Roman" w:hAnsi="Times New Roman" w:eastAsia="仿宋_GB2312" w:cs="Times New Roman"/>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15</w:t>
      </w:r>
      <w:r>
        <w:rPr>
          <w:rFonts w:hint="eastAsia" w:ascii="仿宋_GB2312" w:hAnsi="仿宋_GB2312" w:eastAsia="仿宋_GB2312" w:cs="仿宋_GB2312"/>
          <w:b w:val="0"/>
          <w:bCs w:val="0"/>
          <w:color w:val="auto"/>
          <w:sz w:val="32"/>
          <w:szCs w:val="32"/>
          <w:highlight w:val="none"/>
          <w:lang w:val="en-US" w:eastAsia="zh-CN"/>
        </w:rPr>
        <w:t>日，先后组织开展综合督查</w:t>
      </w:r>
      <w:r>
        <w:rPr>
          <w:rFonts w:hint="eastAsia" w:ascii="Times New Roman" w:hAnsi="Times New Roman" w:eastAsia="仿宋_GB2312" w:cs="Times New Roman"/>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val="en-US" w:eastAsia="zh-CN"/>
        </w:rPr>
        <w:t>次、专项督查</w:t>
      </w:r>
      <w:r>
        <w:rPr>
          <w:rFonts w:hint="eastAsia" w:ascii="Times New Roman" w:hAnsi="Times New Roman" w:eastAsia="仿宋_GB2312" w:cs="Times New Roman"/>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val="en-US" w:eastAsia="zh-CN"/>
        </w:rPr>
        <w:t>次，发现并督促整改各类问题</w:t>
      </w:r>
      <w:r>
        <w:rPr>
          <w:rFonts w:hint="eastAsia" w:ascii="Times New Roman" w:hAnsi="Times New Roman" w:eastAsia="仿宋_GB2312" w:cs="Times New Roman"/>
          <w:b w:val="0"/>
          <w:bCs w:val="0"/>
          <w:color w:val="auto"/>
          <w:sz w:val="32"/>
          <w:szCs w:val="32"/>
          <w:highlight w:val="none"/>
          <w:lang w:val="en-US" w:eastAsia="zh-CN"/>
        </w:rPr>
        <w:t>118</w:t>
      </w:r>
      <w:r>
        <w:rPr>
          <w:rFonts w:hint="eastAsia" w:ascii="仿宋_GB2312" w:hAnsi="仿宋_GB2312" w:eastAsia="仿宋_GB2312" w:cs="仿宋_GB2312"/>
          <w:b w:val="0"/>
          <w:bCs w:val="0"/>
          <w:color w:val="auto"/>
          <w:sz w:val="32"/>
          <w:szCs w:val="32"/>
          <w:highlight w:val="none"/>
          <w:lang w:val="en-US" w:eastAsia="zh-CN"/>
        </w:rPr>
        <w:t>个。</w:t>
      </w:r>
      <w:r>
        <w:rPr>
          <w:rFonts w:hint="eastAsia" w:ascii="仿宋_GB2312" w:hAnsi="仿宋_GB2312" w:eastAsia="仿宋_GB2312" w:cs="仿宋_GB2312"/>
          <w:b w:val="0"/>
          <w:bCs w:val="0"/>
          <w:color w:val="auto"/>
          <w:sz w:val="32"/>
          <w:szCs w:val="32"/>
          <w:highlight w:val="none"/>
        </w:rPr>
        <w:t>三是聚焦形势变化，狠抓队伍建设。坚持以</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应急指挥部督查督办组为基础，延伸拓展构建起</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级</w:t>
      </w:r>
      <w:r>
        <w:rPr>
          <w:rFonts w:hint="eastAsia" w:ascii="仿宋_GB2312" w:hAnsi="仿宋_GB2312" w:eastAsia="仿宋_GB2312" w:cs="仿宋_GB2312"/>
          <w:b w:val="0"/>
          <w:bCs w:val="0"/>
          <w:color w:val="auto"/>
          <w:sz w:val="32"/>
          <w:szCs w:val="32"/>
          <w:highlight w:val="none"/>
          <w:lang w:eastAsia="zh-CN"/>
        </w:rPr>
        <w:t>各</w:t>
      </w:r>
      <w:r>
        <w:rPr>
          <w:rFonts w:hint="eastAsia" w:ascii="仿宋_GB2312" w:hAnsi="仿宋_GB2312" w:eastAsia="仿宋_GB2312" w:cs="仿宋_GB2312"/>
          <w:b w:val="0"/>
          <w:bCs w:val="0"/>
          <w:color w:val="auto"/>
          <w:sz w:val="32"/>
          <w:szCs w:val="32"/>
          <w:highlight w:val="none"/>
        </w:rPr>
        <w:t>行业部门督查督办</w:t>
      </w:r>
      <w:r>
        <w:rPr>
          <w:rFonts w:hint="eastAsia" w:ascii="仿宋_GB2312" w:hAnsi="仿宋_GB2312" w:eastAsia="仿宋_GB2312" w:cs="仿宋_GB2312"/>
          <w:b w:val="0"/>
          <w:bCs w:val="0"/>
          <w:color w:val="auto"/>
          <w:sz w:val="32"/>
          <w:szCs w:val="32"/>
          <w:highlight w:val="none"/>
          <w:lang w:eastAsia="zh-CN"/>
        </w:rPr>
        <w:t>专班</w:t>
      </w:r>
      <w:r>
        <w:rPr>
          <w:rFonts w:hint="eastAsia" w:ascii="仿宋_GB2312" w:hAnsi="仿宋_GB2312" w:eastAsia="仿宋_GB2312" w:cs="仿宋_GB2312"/>
          <w:b w:val="0"/>
          <w:bCs w:val="0"/>
          <w:color w:val="auto"/>
          <w:sz w:val="32"/>
          <w:szCs w:val="32"/>
          <w:highlight w:val="none"/>
        </w:rPr>
        <w:t>为补充的督查队伍。</w:t>
      </w:r>
      <w:r>
        <w:rPr>
          <w:rFonts w:hint="eastAsia" w:ascii="仿宋_GB2312" w:hAnsi="仿宋_GB2312" w:eastAsia="仿宋_GB2312" w:cs="仿宋_GB2312"/>
          <w:b w:val="0"/>
          <w:bCs w:val="0"/>
          <w:color w:val="auto"/>
          <w:sz w:val="32"/>
          <w:szCs w:val="32"/>
          <w:highlight w:val="none"/>
          <w:lang w:val="en-US" w:eastAsia="zh-CN"/>
        </w:rPr>
        <w:t>今年以来，累计派出疫情防控督查督办力量</w:t>
      </w:r>
      <w:r>
        <w:rPr>
          <w:rFonts w:hint="eastAsia" w:ascii="Times New Roman" w:hAnsi="Times New Roman" w:eastAsia="仿宋_GB2312" w:cs="Times New Roman"/>
          <w:b w:val="0"/>
          <w:bCs w:val="0"/>
          <w:color w:val="auto"/>
          <w:sz w:val="32"/>
          <w:szCs w:val="32"/>
          <w:highlight w:val="none"/>
          <w:lang w:val="en-US" w:eastAsia="zh-CN"/>
        </w:rPr>
        <w:t>980</w:t>
      </w:r>
      <w:r>
        <w:rPr>
          <w:rFonts w:hint="eastAsia" w:ascii="仿宋_GB2312" w:hAnsi="仿宋_GB2312" w:eastAsia="仿宋_GB2312" w:cs="仿宋_GB2312"/>
          <w:b w:val="0"/>
          <w:bCs w:val="0"/>
          <w:color w:val="auto"/>
          <w:sz w:val="32"/>
          <w:szCs w:val="32"/>
          <w:highlight w:val="none"/>
          <w:lang w:val="en-US" w:eastAsia="zh-CN"/>
        </w:rPr>
        <w:t>余人次，全领域多角度检视了疫情防控工作。</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5.全力抓好专项整治，切实提升减负工作实效质效。一是认真履行牵头协调职能。</w:t>
      </w:r>
      <w:r>
        <w:rPr>
          <w:rFonts w:hint="eastAsia" w:ascii="仿宋_GB2312" w:hAnsi="仿宋_GB2312" w:eastAsia="仿宋_GB2312" w:cs="仿宋_GB2312"/>
          <w:b w:val="0"/>
          <w:bCs w:val="0"/>
          <w:color w:val="auto"/>
          <w:sz w:val="32"/>
          <w:szCs w:val="32"/>
          <w:highlight w:val="none"/>
          <w:lang w:eastAsia="zh-CN"/>
        </w:rPr>
        <w:t>制发</w:t>
      </w:r>
      <w:r>
        <w:rPr>
          <w:rFonts w:hint="eastAsia" w:ascii="仿宋_GB2312" w:hAnsi="仿宋_GB2312" w:eastAsia="仿宋_GB2312" w:cs="仿宋_GB2312"/>
          <w:b w:val="0"/>
          <w:bCs w:val="0"/>
          <w:color w:val="auto"/>
          <w:sz w:val="32"/>
          <w:szCs w:val="32"/>
          <w:highlight w:val="none"/>
        </w:rPr>
        <w:t>《昭化区</w:t>
      </w:r>
      <w:r>
        <w:rPr>
          <w:rFonts w:hint="eastAsia" w:ascii="仿宋_GB2312" w:hAnsi="仿宋_GB2312" w:eastAsia="仿宋_GB2312" w:cs="仿宋_GB2312"/>
          <w:b w:val="0"/>
          <w:bCs w:val="0"/>
          <w:color w:val="auto"/>
          <w:sz w:val="32"/>
          <w:szCs w:val="32"/>
          <w:highlight w:val="none"/>
          <w:lang w:eastAsia="zh-CN"/>
        </w:rPr>
        <w:t>整治</w:t>
      </w:r>
      <w:r>
        <w:rPr>
          <w:rFonts w:hint="eastAsia" w:ascii="仿宋_GB2312" w:hAnsi="仿宋_GB2312" w:eastAsia="仿宋_GB2312" w:cs="仿宋_GB2312"/>
          <w:b w:val="0"/>
          <w:bCs w:val="0"/>
          <w:color w:val="auto"/>
          <w:sz w:val="32"/>
          <w:szCs w:val="32"/>
          <w:highlight w:val="none"/>
        </w:rPr>
        <w:t>形式主义</w:t>
      </w:r>
      <w:r>
        <w:rPr>
          <w:rFonts w:hint="eastAsia" w:ascii="仿宋_GB2312" w:hAnsi="仿宋_GB2312" w:eastAsia="仿宋_GB2312" w:cs="仿宋_GB2312"/>
          <w:b w:val="0"/>
          <w:bCs w:val="0"/>
          <w:color w:val="auto"/>
          <w:sz w:val="32"/>
          <w:szCs w:val="32"/>
          <w:highlight w:val="none"/>
          <w:lang w:eastAsia="zh-CN"/>
        </w:rPr>
        <w:t>为</w:t>
      </w:r>
      <w:r>
        <w:rPr>
          <w:rFonts w:hint="eastAsia" w:ascii="仿宋_GB2312" w:hAnsi="仿宋_GB2312" w:eastAsia="仿宋_GB2312" w:cs="仿宋_GB2312"/>
          <w:b w:val="0"/>
          <w:bCs w:val="0"/>
          <w:color w:val="auto"/>
          <w:sz w:val="32"/>
          <w:szCs w:val="32"/>
          <w:highlight w:val="none"/>
        </w:rPr>
        <w:t>基层减负</w:t>
      </w:r>
      <w:r>
        <w:rPr>
          <w:rFonts w:hint="eastAsia" w:ascii="仿宋_GB2312" w:hAnsi="仿宋_GB2312" w:eastAsia="仿宋_GB2312" w:cs="仿宋_GB2312"/>
          <w:b w:val="0"/>
          <w:bCs w:val="0"/>
          <w:color w:val="auto"/>
          <w:sz w:val="32"/>
          <w:szCs w:val="32"/>
          <w:highlight w:val="none"/>
          <w:lang w:eastAsia="zh-CN"/>
        </w:rPr>
        <w:t>专项</w:t>
      </w:r>
      <w:r>
        <w:rPr>
          <w:rFonts w:hint="eastAsia" w:ascii="仿宋_GB2312" w:hAnsi="仿宋_GB2312" w:eastAsia="仿宋_GB2312" w:cs="仿宋_GB2312"/>
          <w:b w:val="0"/>
          <w:bCs w:val="0"/>
          <w:color w:val="auto"/>
          <w:sz w:val="32"/>
          <w:szCs w:val="32"/>
          <w:highlight w:val="none"/>
        </w:rPr>
        <w:t>工作</w:t>
      </w:r>
      <w:r>
        <w:rPr>
          <w:rFonts w:hint="eastAsia" w:ascii="仿宋_GB2312" w:hAnsi="仿宋_GB2312" w:eastAsia="仿宋_GB2312" w:cs="仿宋_GB2312"/>
          <w:b w:val="0"/>
          <w:bCs w:val="0"/>
          <w:color w:val="auto"/>
          <w:sz w:val="32"/>
          <w:szCs w:val="32"/>
          <w:highlight w:val="none"/>
          <w:lang w:eastAsia="zh-CN"/>
        </w:rPr>
        <w:t>机制</w:t>
      </w:r>
      <w:r>
        <w:rPr>
          <w:rFonts w:hint="eastAsia" w:ascii="Times New Roman" w:hAnsi="Times New Roman" w:eastAsia="仿宋_GB2312" w:cs="Times New Roman"/>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lang w:val="en-US" w:eastAsia="zh-CN"/>
        </w:rPr>
        <w:t>年工作措施及</w:t>
      </w:r>
      <w:r>
        <w:rPr>
          <w:rFonts w:hint="eastAsia" w:ascii="仿宋_GB2312" w:hAnsi="仿宋_GB2312" w:eastAsia="仿宋_GB2312" w:cs="仿宋_GB2312"/>
          <w:b w:val="0"/>
          <w:bCs w:val="0"/>
          <w:color w:val="auto"/>
          <w:sz w:val="32"/>
          <w:szCs w:val="32"/>
          <w:highlight w:val="none"/>
        </w:rPr>
        <w:t>责任分工方案》，明确</w:t>
      </w:r>
      <w:r>
        <w:rPr>
          <w:rFonts w:hint="eastAsia" w:ascii="Times New Roman" w:hAnsi="Times New Roman" w:eastAsia="仿宋_GB2312" w:cs="Times New Roman"/>
          <w:b w:val="0"/>
          <w:bCs w:val="0"/>
          <w:color w:val="auto"/>
          <w:sz w:val="32"/>
          <w:szCs w:val="32"/>
          <w:highlight w:val="none"/>
          <w:lang w:val="en-US" w:eastAsia="zh-CN"/>
        </w:rPr>
        <w:t>30</w:t>
      </w:r>
      <w:r>
        <w:rPr>
          <w:rFonts w:hint="eastAsia" w:ascii="仿宋_GB2312" w:hAnsi="仿宋_GB2312" w:eastAsia="仿宋_GB2312" w:cs="仿宋_GB2312"/>
          <w:b w:val="0"/>
          <w:bCs w:val="0"/>
          <w:color w:val="auto"/>
          <w:sz w:val="32"/>
          <w:szCs w:val="32"/>
          <w:highlight w:val="none"/>
        </w:rPr>
        <w:t>项具体任务</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rPr>
        <w:t>时间表、路线图、责任人</w:t>
      </w:r>
      <w:r>
        <w:rPr>
          <w:rFonts w:hint="eastAsia" w:ascii="仿宋_GB2312" w:hAnsi="仿宋_GB2312" w:eastAsia="仿宋_GB2312" w:cs="仿宋_GB2312"/>
          <w:b w:val="0"/>
          <w:bCs w:val="0"/>
          <w:color w:val="auto"/>
          <w:sz w:val="32"/>
          <w:szCs w:val="32"/>
          <w:highlight w:val="none"/>
          <w:lang w:eastAsia="zh-CN"/>
        </w:rPr>
        <w:t>，同时</w:t>
      </w:r>
      <w:r>
        <w:rPr>
          <w:rFonts w:hint="eastAsia" w:ascii="仿宋_GB2312" w:hAnsi="仿宋_GB2312" w:eastAsia="仿宋_GB2312" w:cs="仿宋_GB2312"/>
          <w:b w:val="0"/>
          <w:bCs w:val="0"/>
          <w:color w:val="auto"/>
          <w:sz w:val="32"/>
          <w:szCs w:val="32"/>
          <w:highlight w:val="none"/>
        </w:rPr>
        <w:t>健全整治形式主义为基层减负专项工作机制，</w:t>
      </w:r>
      <w:r>
        <w:rPr>
          <w:rFonts w:hint="eastAsia" w:ascii="仿宋_GB2312" w:hAnsi="仿宋_GB2312" w:eastAsia="仿宋_GB2312" w:cs="仿宋_GB2312"/>
          <w:b w:val="0"/>
          <w:bCs w:val="0"/>
          <w:color w:val="auto"/>
          <w:sz w:val="32"/>
          <w:szCs w:val="32"/>
          <w:highlight w:val="none"/>
          <w:lang w:eastAsia="zh-CN"/>
        </w:rPr>
        <w:t>向市专项机制报告工作情况</w:t>
      </w:r>
      <w:r>
        <w:rPr>
          <w:rFonts w:hint="eastAsia" w:ascii="Times New Roman" w:hAnsi="Times New Roman" w:eastAsia="仿宋_GB2312" w:cs="Times New Roman"/>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次，</w:t>
      </w:r>
      <w:r>
        <w:rPr>
          <w:rFonts w:hint="eastAsia" w:ascii="仿宋_GB2312" w:hAnsi="仿宋_GB2312" w:eastAsia="仿宋_GB2312" w:cs="仿宋_GB2312"/>
          <w:b w:val="0"/>
          <w:bCs w:val="0"/>
          <w:color w:val="auto"/>
          <w:sz w:val="32"/>
          <w:szCs w:val="32"/>
          <w:highlight w:val="none"/>
        </w:rPr>
        <w:t>调度</w:t>
      </w:r>
      <w:r>
        <w:rPr>
          <w:rFonts w:hint="eastAsia" w:ascii="仿宋_GB2312" w:hAnsi="仿宋_GB2312" w:eastAsia="仿宋_GB2312" w:cs="仿宋_GB2312"/>
          <w:b w:val="0"/>
          <w:bCs w:val="0"/>
          <w:color w:val="auto"/>
          <w:sz w:val="32"/>
          <w:szCs w:val="32"/>
          <w:highlight w:val="none"/>
          <w:lang w:eastAsia="zh-CN"/>
        </w:rPr>
        <w:t>重点任务牵头部门工作情况</w:t>
      </w:r>
      <w:r>
        <w:rPr>
          <w:rFonts w:hint="eastAsia" w:ascii="Times New Roman" w:hAnsi="Times New Roman" w:eastAsia="仿宋_GB2312" w:cs="Times New Roman"/>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val="en-US" w:eastAsia="zh-CN"/>
        </w:rPr>
        <w:t>次</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动态管理责任清单，督促</w:t>
      </w:r>
      <w:r>
        <w:rPr>
          <w:rFonts w:hint="eastAsia" w:ascii="仿宋_GB2312" w:hAnsi="仿宋_GB2312" w:eastAsia="仿宋_GB2312" w:cs="仿宋_GB2312"/>
          <w:b w:val="0"/>
          <w:bCs w:val="0"/>
          <w:color w:val="auto"/>
          <w:sz w:val="32"/>
          <w:szCs w:val="32"/>
          <w:highlight w:val="none"/>
        </w:rPr>
        <w:t>各职能部门分工负责推进，确保基层减负各项措施全面落实</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二是统筹规范督查检查考核。印发《严格落实统筹规范督查检查考核七条措施》《</w:t>
      </w:r>
      <w:r>
        <w:rPr>
          <w:rFonts w:hint="eastAsia" w:ascii="Times New Roman" w:hAnsi="Times New Roman" w:eastAsia="仿宋_GB2312" w:cs="Times New Roman"/>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lang w:val="en-US" w:eastAsia="zh-CN"/>
        </w:rPr>
        <w:t>年区级督查检查考核计划》，统筹规范年度区级督查检查考核</w:t>
      </w:r>
      <w:r>
        <w:rPr>
          <w:rFonts w:hint="eastAsia" w:ascii="仿宋_GB2312" w:hAnsi="仿宋_GB2312" w:eastAsia="仿宋_GB2312" w:cs="仿宋_GB2312"/>
          <w:b w:val="0"/>
          <w:bCs w:val="0"/>
          <w:color w:val="auto"/>
          <w:sz w:val="32"/>
          <w:szCs w:val="32"/>
          <w:highlight w:val="none"/>
        </w:rPr>
        <w:t>事项</w:t>
      </w:r>
      <w:r>
        <w:rPr>
          <w:rFonts w:hint="eastAsia" w:ascii="Times New Roman" w:hAnsi="Times New Roman" w:eastAsia="仿宋_GB2312" w:cs="Times New Roman"/>
          <w:b w:val="0"/>
          <w:bCs w:val="0"/>
          <w:color w:val="auto"/>
          <w:sz w:val="32"/>
          <w:szCs w:val="32"/>
          <w:highlight w:val="none"/>
          <w:lang w:val="en-US" w:eastAsia="zh-CN"/>
        </w:rPr>
        <w:t>26</w:t>
      </w:r>
      <w:r>
        <w:rPr>
          <w:rFonts w:hint="eastAsia" w:ascii="仿宋_GB2312" w:hAnsi="仿宋_GB2312" w:eastAsia="仿宋_GB2312" w:cs="仿宋_GB2312"/>
          <w:b w:val="0"/>
          <w:bCs w:val="0"/>
          <w:color w:val="auto"/>
          <w:sz w:val="32"/>
          <w:szCs w:val="32"/>
          <w:highlight w:val="none"/>
        </w:rPr>
        <w:t>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进一步强化对“督检考”计划的审核把关和规范实施，</w:t>
      </w:r>
      <w:r>
        <w:rPr>
          <w:rFonts w:hint="eastAsia" w:ascii="仿宋_GB2312" w:hAnsi="仿宋_GB2312" w:eastAsia="仿宋_GB2312" w:cs="仿宋_GB2312"/>
          <w:b w:val="0"/>
          <w:bCs w:val="0"/>
          <w:color w:val="auto"/>
          <w:sz w:val="32"/>
          <w:szCs w:val="32"/>
          <w:highlight w:val="none"/>
        </w:rPr>
        <w:t>坚持“一月一对账、一季一调账、年底算总账”，定期调度督查检查考核情况，</w:t>
      </w:r>
      <w:r>
        <w:rPr>
          <w:rFonts w:hint="eastAsia" w:ascii="仿宋_GB2312" w:hAnsi="仿宋_GB2312" w:eastAsia="仿宋_GB2312" w:cs="仿宋_GB2312"/>
          <w:b w:val="0"/>
          <w:bCs w:val="0"/>
          <w:color w:val="auto"/>
          <w:sz w:val="32"/>
          <w:szCs w:val="32"/>
          <w:highlight w:val="none"/>
          <w:lang w:val="en-US" w:eastAsia="zh-CN"/>
        </w:rPr>
        <w:t>避免“督检考”集中扎堆、重复多头开展。三是强化减负工作氛围营造。扎实开展整治形式主义为基层减负工作宣传，督促指导相关单位利用</w:t>
      </w:r>
      <w:r>
        <w:rPr>
          <w:rFonts w:hint="eastAsia" w:ascii="Times New Roman" w:hAnsi="Times New Roman" w:eastAsia="仿宋_GB2312" w:cs="Times New Roman"/>
          <w:b w:val="0"/>
          <w:bCs w:val="0"/>
          <w:color w:val="auto"/>
          <w:sz w:val="32"/>
          <w:szCs w:val="32"/>
          <w:highlight w:val="none"/>
          <w:lang w:val="en-US" w:eastAsia="zh-CN"/>
        </w:rPr>
        <w:t>LED</w:t>
      </w:r>
      <w:r>
        <w:rPr>
          <w:rFonts w:hint="eastAsia" w:ascii="仿宋_GB2312" w:hAnsi="仿宋_GB2312" w:eastAsia="仿宋_GB2312" w:cs="仿宋_GB2312"/>
          <w:b w:val="0"/>
          <w:bCs w:val="0"/>
          <w:color w:val="auto"/>
          <w:sz w:val="32"/>
          <w:szCs w:val="32"/>
          <w:highlight w:val="none"/>
          <w:lang w:val="en-US" w:eastAsia="zh-CN"/>
        </w:rPr>
        <w:t>屏刊播相关宣传信息</w:t>
      </w:r>
      <w:r>
        <w:rPr>
          <w:rFonts w:hint="eastAsia" w:ascii="Times New Roman" w:hAnsi="Times New Roman" w:eastAsia="仿宋_GB2312" w:cs="Times New Roman"/>
          <w:b w:val="0"/>
          <w:bCs w:val="0"/>
          <w:color w:val="auto"/>
          <w:sz w:val="32"/>
          <w:szCs w:val="32"/>
          <w:highlight w:val="none"/>
          <w:lang w:val="en-US" w:eastAsia="zh-CN"/>
        </w:rPr>
        <w:t>500</w:t>
      </w:r>
      <w:r>
        <w:rPr>
          <w:rFonts w:hint="eastAsia" w:ascii="仿宋_GB2312" w:hAnsi="仿宋_GB2312" w:eastAsia="仿宋_GB2312" w:cs="仿宋_GB2312"/>
          <w:b w:val="0"/>
          <w:bCs w:val="0"/>
          <w:color w:val="auto"/>
          <w:sz w:val="32"/>
          <w:szCs w:val="32"/>
          <w:highlight w:val="none"/>
          <w:lang w:val="en-US" w:eastAsia="zh-CN"/>
        </w:rPr>
        <w:t>余幅次，利用电视、网络、微信等媒体发布《昭化区建立五大机制为基层减负赋能》《昭化区四“聚力”推动教育减负提质》等多条重头稿件，</w:t>
      </w:r>
      <w:r>
        <w:rPr>
          <w:rFonts w:hint="eastAsia" w:ascii="仿宋_GB2312" w:hAnsi="仿宋_GB2312" w:eastAsia="仿宋_GB2312" w:cs="仿宋_GB2312"/>
          <w:b w:val="0"/>
          <w:bCs w:val="0"/>
          <w:color w:val="auto"/>
          <w:sz w:val="32"/>
          <w:szCs w:val="32"/>
          <w:highlight w:val="none"/>
        </w:rPr>
        <w:t>推动</w:t>
      </w:r>
      <w:r>
        <w:rPr>
          <w:rFonts w:hint="eastAsia" w:ascii="仿宋_GB2312" w:hAnsi="仿宋_GB2312" w:eastAsia="仿宋_GB2312" w:cs="仿宋_GB2312"/>
          <w:b w:val="0"/>
          <w:bCs w:val="0"/>
          <w:color w:val="auto"/>
          <w:sz w:val="32"/>
          <w:szCs w:val="32"/>
          <w:highlight w:val="none"/>
          <w:lang w:eastAsia="zh-CN"/>
        </w:rPr>
        <w:t>形成干事创业良好风气</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6.持续发力久久为功，不断巩固巡视整改工作成果。一是持续深化思想认识。</w:t>
      </w:r>
      <w:r>
        <w:rPr>
          <w:rFonts w:hint="eastAsia" w:ascii="仿宋_GB2312" w:hAnsi="仿宋_GB2312" w:eastAsia="仿宋_GB2312" w:cs="仿宋_GB2312"/>
          <w:b w:val="0"/>
          <w:bCs w:val="0"/>
          <w:color w:val="auto"/>
          <w:sz w:val="32"/>
          <w:szCs w:val="32"/>
          <w:highlight w:val="none"/>
          <w:lang w:eastAsia="zh-CN"/>
        </w:rPr>
        <w:t>在</w:t>
      </w:r>
      <w:r>
        <w:rPr>
          <w:rFonts w:hint="eastAsia" w:ascii="仿宋_GB2312" w:hAnsi="仿宋_GB2312" w:eastAsia="仿宋_GB2312" w:cs="仿宋_GB2312"/>
          <w:b w:val="0"/>
          <w:bCs w:val="0"/>
          <w:color w:val="auto"/>
          <w:sz w:val="32"/>
          <w:szCs w:val="32"/>
          <w:highlight w:val="none"/>
        </w:rPr>
        <w:t>区委常委会会议</w:t>
      </w:r>
      <w:r>
        <w:rPr>
          <w:rFonts w:hint="eastAsia" w:ascii="仿宋_GB2312" w:hAnsi="仿宋_GB2312" w:eastAsia="仿宋_GB2312" w:cs="仿宋_GB2312"/>
          <w:b w:val="0"/>
          <w:bCs w:val="0"/>
          <w:color w:val="auto"/>
          <w:sz w:val="32"/>
          <w:szCs w:val="32"/>
          <w:highlight w:val="none"/>
          <w:lang w:eastAsia="zh-CN"/>
        </w:rPr>
        <w:t>、领导小组会议上传达</w:t>
      </w:r>
      <w:r>
        <w:rPr>
          <w:rFonts w:hint="eastAsia" w:ascii="仿宋_GB2312" w:hAnsi="仿宋_GB2312" w:eastAsia="仿宋_GB2312" w:cs="仿宋_GB2312"/>
          <w:b w:val="0"/>
          <w:bCs w:val="0"/>
          <w:color w:val="auto"/>
          <w:sz w:val="32"/>
          <w:szCs w:val="32"/>
          <w:highlight w:val="none"/>
        </w:rPr>
        <w:t>学习习近平总书记关于巡视工作的重要</w:t>
      </w:r>
      <w:r>
        <w:rPr>
          <w:rFonts w:hint="eastAsia" w:ascii="仿宋_GB2312" w:hAnsi="仿宋_GB2312" w:eastAsia="仿宋_GB2312" w:cs="仿宋_GB2312"/>
          <w:b w:val="0"/>
          <w:bCs w:val="0"/>
          <w:color w:val="auto"/>
          <w:sz w:val="32"/>
          <w:szCs w:val="32"/>
          <w:highlight w:val="none"/>
          <w:lang w:eastAsia="zh-CN"/>
        </w:rPr>
        <w:t>论述和中共中央办公厅</w:t>
      </w:r>
      <w:r>
        <w:rPr>
          <w:rFonts w:hint="eastAsia" w:ascii="仿宋_GB2312" w:hAnsi="仿宋_GB2312" w:eastAsia="仿宋_GB2312" w:cs="仿宋_GB2312"/>
          <w:b w:val="0"/>
          <w:bCs w:val="0"/>
          <w:color w:val="auto"/>
          <w:sz w:val="32"/>
          <w:szCs w:val="32"/>
          <w:highlight w:val="none"/>
        </w:rPr>
        <w:t>《关于加强巡视整改和成果运用的意见》《关于加强巡视巡察上下联动的实施意见》等文件精神</w:t>
      </w:r>
      <w:r>
        <w:rPr>
          <w:rFonts w:hint="eastAsia" w:ascii="Times New Roman" w:hAnsi="Times New Roman" w:eastAsia="仿宋_GB2312" w:cs="Times New Roman"/>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val="en-US" w:eastAsia="zh-CN"/>
        </w:rPr>
        <w:t>批次</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进一步提高深化巡视整改工作认识，不断</w:t>
      </w:r>
      <w:r>
        <w:rPr>
          <w:rFonts w:hint="eastAsia" w:ascii="仿宋_GB2312" w:hAnsi="仿宋_GB2312" w:eastAsia="仿宋_GB2312" w:cs="仿宋_GB2312"/>
          <w:b w:val="0"/>
          <w:bCs w:val="0"/>
          <w:color w:val="auto"/>
          <w:sz w:val="32"/>
          <w:szCs w:val="32"/>
          <w:highlight w:val="none"/>
        </w:rPr>
        <w:t>增强抓好巡视</w:t>
      </w:r>
      <w:r>
        <w:rPr>
          <w:rFonts w:hint="eastAsia" w:ascii="仿宋_GB2312" w:hAnsi="仿宋_GB2312" w:eastAsia="仿宋_GB2312" w:cs="仿宋_GB2312"/>
          <w:b w:val="0"/>
          <w:bCs w:val="0"/>
          <w:color w:val="auto"/>
          <w:sz w:val="32"/>
          <w:szCs w:val="32"/>
          <w:highlight w:val="none"/>
          <w:lang w:eastAsia="zh-CN"/>
        </w:rPr>
        <w:t>“后半篇文章”</w:t>
      </w:r>
      <w:r>
        <w:rPr>
          <w:rFonts w:hint="eastAsia" w:ascii="仿宋_GB2312" w:hAnsi="仿宋_GB2312" w:eastAsia="仿宋_GB2312" w:cs="仿宋_GB2312"/>
          <w:b w:val="0"/>
          <w:bCs w:val="0"/>
          <w:color w:val="auto"/>
          <w:sz w:val="32"/>
          <w:szCs w:val="32"/>
          <w:highlight w:val="none"/>
        </w:rPr>
        <w:t>的思想自觉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政治自觉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行动自觉。</w:t>
      </w:r>
      <w:r>
        <w:rPr>
          <w:rFonts w:hint="eastAsia" w:ascii="仿宋_GB2312" w:hAnsi="仿宋_GB2312" w:eastAsia="仿宋_GB2312" w:cs="仿宋_GB2312"/>
          <w:b w:val="0"/>
          <w:bCs w:val="0"/>
          <w:color w:val="auto"/>
          <w:sz w:val="32"/>
          <w:szCs w:val="32"/>
          <w:highlight w:val="none"/>
          <w:lang w:val="en-US" w:eastAsia="zh-CN"/>
        </w:rPr>
        <w:t>二是加强日常督导督查。</w:t>
      </w:r>
      <w:r>
        <w:rPr>
          <w:rFonts w:hint="eastAsia" w:ascii="仿宋_GB2312" w:hAnsi="仿宋_GB2312" w:eastAsia="仿宋_GB2312" w:cs="仿宋_GB2312"/>
          <w:b w:val="0"/>
          <w:bCs w:val="0"/>
          <w:color w:val="auto"/>
          <w:sz w:val="32"/>
          <w:szCs w:val="32"/>
          <w:highlight w:val="none"/>
          <w:lang w:eastAsia="zh-CN"/>
        </w:rPr>
        <w:t>坚持“季调度”制度，对未完成整改事项推进情况定期一收集、一梳理，督促责任领导和责任单位先后</w:t>
      </w:r>
      <w:r>
        <w:rPr>
          <w:rFonts w:hint="eastAsia" w:ascii="Times New Roman" w:hAnsi="Times New Roman" w:eastAsia="仿宋_GB2312" w:cs="Times New Roman"/>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val="en-US" w:eastAsia="zh-CN"/>
        </w:rPr>
        <w:t>次召开会商会议</w:t>
      </w:r>
      <w:r>
        <w:rPr>
          <w:rFonts w:hint="eastAsia" w:ascii="仿宋_GB2312" w:hAnsi="仿宋_GB2312" w:eastAsia="仿宋_GB2312" w:cs="仿宋_GB2312"/>
          <w:b w:val="0"/>
          <w:bCs w:val="0"/>
          <w:color w:val="auto"/>
          <w:sz w:val="32"/>
          <w:szCs w:val="32"/>
          <w:highlight w:val="none"/>
          <w:lang w:eastAsia="zh-CN"/>
        </w:rPr>
        <w:t>研究部署走访、化解、稳控等工作。并</w:t>
      </w:r>
      <w:r>
        <w:rPr>
          <w:rFonts w:hint="eastAsia" w:ascii="仿宋_GB2312" w:hAnsi="仿宋_GB2312" w:eastAsia="仿宋_GB2312" w:cs="仿宋_GB2312"/>
          <w:b w:val="0"/>
          <w:bCs w:val="0"/>
          <w:color w:val="auto"/>
          <w:sz w:val="32"/>
          <w:szCs w:val="32"/>
          <w:highlight w:val="none"/>
          <w:lang w:val="en-US" w:eastAsia="zh-CN"/>
        </w:rPr>
        <w:t>将化解工作纳入重点督办事项，每月督查调度化解工作推进情况，督促属地党委政府做好集资参与人思想工作并协助办理相关抵偿手续，定时向省市上报年度工作开展情况。</w:t>
      </w:r>
      <w:r>
        <w:rPr>
          <w:rFonts w:hint="eastAsia" w:ascii="仿宋_GB2312" w:hAnsi="仿宋_GB2312" w:eastAsia="仿宋_GB2312" w:cs="仿宋_GB2312"/>
          <w:b w:val="0"/>
          <w:bCs w:val="0"/>
          <w:color w:val="auto"/>
          <w:sz w:val="32"/>
          <w:szCs w:val="32"/>
          <w:highlight w:val="none"/>
          <w:lang w:eastAsia="zh-CN"/>
        </w:rPr>
        <w:t>三是全力推动标本兼治。印发《关于做好省委巡视反馈意见整改“回头看”工作的通知》，督促指导</w:t>
      </w:r>
      <w:r>
        <w:rPr>
          <w:rFonts w:hint="eastAsia" w:ascii="仿宋_GB2312" w:hAnsi="仿宋_GB2312" w:eastAsia="仿宋_GB2312" w:cs="仿宋_GB2312"/>
          <w:b w:val="0"/>
          <w:bCs w:val="0"/>
          <w:color w:val="auto"/>
          <w:sz w:val="32"/>
          <w:szCs w:val="32"/>
          <w:highlight w:val="none"/>
          <w:lang w:val="en-US" w:eastAsia="zh-CN"/>
        </w:rPr>
        <w:t>整改责任</w:t>
      </w:r>
      <w:r>
        <w:rPr>
          <w:rFonts w:hint="eastAsia" w:ascii="仿宋_GB2312" w:hAnsi="仿宋_GB2312" w:eastAsia="仿宋_GB2312" w:cs="仿宋_GB2312"/>
          <w:b w:val="0"/>
          <w:bCs w:val="0"/>
          <w:color w:val="auto"/>
          <w:sz w:val="32"/>
          <w:szCs w:val="32"/>
          <w:highlight w:val="none"/>
          <w:lang w:eastAsia="zh-CN"/>
        </w:rPr>
        <w:t>单位检视各项整改措施的落实和成效以及举一反三等后续整改情况，并始终坚持把制度建设贯穿巡视整改工作全过程，今年以来，围绕党的政治建设、思想建设、组织建设、作风纪律建设等方面，建立健全制度</w:t>
      </w:r>
      <w:r>
        <w:rPr>
          <w:rFonts w:hint="eastAsia" w:ascii="Times New Roman" w:hAnsi="Times New Roman" w:eastAsia="仿宋_GB2312" w:cs="Times New Roman"/>
          <w:b w:val="0"/>
          <w:bCs w:val="0"/>
          <w:color w:val="auto"/>
          <w:sz w:val="32"/>
          <w:szCs w:val="32"/>
          <w:highlight w:val="none"/>
          <w:lang w:val="en-US" w:eastAsia="zh-CN"/>
        </w:rPr>
        <w:t>28</w:t>
      </w:r>
      <w:r>
        <w:rPr>
          <w:rFonts w:hint="eastAsia" w:ascii="仿宋_GB2312" w:hAnsi="仿宋_GB2312" w:eastAsia="仿宋_GB2312" w:cs="仿宋_GB2312"/>
          <w:b w:val="0"/>
          <w:bCs w:val="0"/>
          <w:color w:val="auto"/>
          <w:sz w:val="32"/>
          <w:szCs w:val="32"/>
          <w:highlight w:val="none"/>
          <w:lang w:val="en-US" w:eastAsia="zh-CN"/>
        </w:rPr>
        <w:t>项</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（二）</w:t>
      </w:r>
      <w:r>
        <w:rPr>
          <w:rFonts w:hint="eastAsia" w:ascii="楷体_GB2312" w:hAnsi="楷体_GB2312" w:eastAsia="楷体_GB2312" w:cs="楷体_GB2312"/>
          <w:b w:val="0"/>
          <w:bCs w:val="0"/>
          <w:color w:val="auto"/>
          <w:sz w:val="32"/>
          <w:szCs w:val="32"/>
          <w:highlight w:val="none"/>
        </w:rPr>
        <w:t>预算</w:t>
      </w:r>
      <w:r>
        <w:rPr>
          <w:rFonts w:hint="eastAsia" w:ascii="楷体_GB2312" w:hAnsi="楷体_GB2312" w:eastAsia="楷体_GB2312" w:cs="楷体_GB2312"/>
          <w:b w:val="0"/>
          <w:bCs w:val="0"/>
          <w:color w:val="auto"/>
          <w:sz w:val="32"/>
          <w:szCs w:val="32"/>
          <w:highlight w:val="none"/>
          <w:lang w:eastAsia="zh-CN"/>
        </w:rPr>
        <w:t>、决算编制</w:t>
      </w:r>
    </w:p>
    <w:p>
      <w:pPr>
        <w:keepNext w:val="0"/>
        <w:keepLines w:val="0"/>
        <w:pageBreakBefore w:val="0"/>
        <w:widowControl w:val="0"/>
        <w:kinsoku/>
        <w:wordWrap/>
        <w:overflowPunct/>
        <w:topLinePunct w:val="0"/>
        <w:autoSpaceDE/>
        <w:autoSpaceDN/>
        <w:bidi w:val="0"/>
        <w:spacing w:line="576" w:lineRule="exact"/>
        <w:ind w:left="0" w:leftChars="0" w:right="0" w:firstLine="960" w:firstLineChars="300"/>
        <w:jc w:val="left"/>
        <w:textAlignment w:val="auto"/>
        <w:outlineLvl w:val="1"/>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编制内容</w:t>
      </w:r>
      <w:r>
        <w:rPr>
          <w:rFonts w:hint="eastAsia" w:ascii="仿宋_GB2312" w:hAnsi="仿宋_GB2312" w:eastAsia="仿宋_GB2312" w:cs="仿宋_GB2312"/>
          <w:b w:val="0"/>
          <w:bCs w:val="0"/>
          <w:color w:val="auto"/>
          <w:sz w:val="32"/>
          <w:szCs w:val="32"/>
          <w:highlight w:val="none"/>
          <w:lang w:eastAsia="zh-CN"/>
        </w:rPr>
        <w:t>真实、</w:t>
      </w:r>
      <w:r>
        <w:rPr>
          <w:rFonts w:hint="eastAsia" w:ascii="仿宋_GB2312" w:hAnsi="仿宋_GB2312" w:eastAsia="仿宋_GB2312" w:cs="仿宋_GB2312"/>
          <w:b w:val="0"/>
          <w:bCs w:val="0"/>
          <w:color w:val="auto"/>
          <w:sz w:val="32"/>
          <w:szCs w:val="32"/>
          <w:highlight w:val="none"/>
        </w:rPr>
        <w:t>完整、准确</w:t>
      </w:r>
      <w:r>
        <w:rPr>
          <w:rFonts w:hint="eastAsia" w:ascii="仿宋_GB2312" w:hAnsi="仿宋_GB2312" w:eastAsia="仿宋_GB2312" w:cs="仿宋_GB2312"/>
          <w:b w:val="0"/>
          <w:bCs w:val="0"/>
          <w:color w:val="auto"/>
          <w:sz w:val="32"/>
          <w:szCs w:val="32"/>
          <w:highlight w:val="none"/>
          <w:lang w:eastAsia="zh-CN"/>
        </w:rPr>
        <w:t>情况</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（1）预算内容真实准确完整：</w:t>
      </w:r>
      <w:r>
        <w:rPr>
          <w:rFonts w:hint="eastAsia" w:ascii="仿宋_GB2312" w:hAnsi="仿宋_GB2312" w:eastAsia="仿宋_GB2312" w:cs="仿宋_GB2312"/>
          <w:b w:val="0"/>
          <w:bCs w:val="0"/>
          <w:color w:val="auto"/>
          <w:sz w:val="32"/>
          <w:szCs w:val="32"/>
          <w:highlight w:val="none"/>
        </w:rPr>
        <w:t>按规定编制收入预算、支出预算、三公经费预算、政府采购预算。部门预算编制准确，正确使用功能科目、准确编列资金性质和资金级次、按政府审定的方案规范编制项目支出，没有少报、错报收支项目。</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决算内容真实准确完整：决算账表一致、准确反映部门收支情况。按规定的口径填列，表内表间数据衔接一致，上下年度衔接一致，部门决算与其他上报报表一致，资金结转清晰、科目填报准确合理。表格完整封面印章齐全装订整洁，欠拨表、银行对账单、科目余额表、决算说明、决算分析资料完整。</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.区目标绩效中心</w:t>
      </w:r>
      <w:r>
        <w:rPr>
          <w:rFonts w:hint="eastAsia" w:ascii="仿宋_GB2312" w:hAnsi="仿宋_GB2312" w:eastAsia="仿宋_GB2312" w:cs="仿宋_GB2312"/>
          <w:b w:val="0"/>
          <w:bCs w:val="0"/>
          <w:color w:val="auto"/>
          <w:sz w:val="32"/>
          <w:szCs w:val="32"/>
          <w:highlight w:val="none"/>
        </w:rPr>
        <w:t>目标编制完整、合理，</w:t>
      </w:r>
      <w:r>
        <w:rPr>
          <w:rFonts w:hint="eastAsia" w:ascii="Times New Roman" w:hAnsi="Times New Roman" w:eastAsia="仿宋_GB2312" w:cs="Times New Roman"/>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lang w:val="en-US" w:eastAsia="zh-CN"/>
        </w:rPr>
        <w:t>年</w:t>
      </w:r>
      <w:r>
        <w:rPr>
          <w:rFonts w:hint="eastAsia" w:ascii="仿宋_GB2312" w:hAnsi="仿宋_GB2312" w:eastAsia="仿宋_GB2312" w:cs="仿宋_GB2312"/>
          <w:b w:val="0"/>
          <w:bCs w:val="0"/>
          <w:color w:val="auto"/>
          <w:sz w:val="32"/>
          <w:szCs w:val="32"/>
          <w:highlight w:val="none"/>
          <w:lang w:eastAsia="zh-CN"/>
        </w:rPr>
        <w:t>年初对</w:t>
      </w:r>
      <w:r>
        <w:rPr>
          <w:rFonts w:hint="eastAsia" w:ascii="仿宋_GB2312" w:hAnsi="仿宋_GB2312" w:eastAsia="仿宋_GB2312" w:cs="仿宋_GB2312"/>
          <w:b w:val="0"/>
          <w:bCs w:val="0"/>
          <w:color w:val="auto"/>
          <w:sz w:val="32"/>
          <w:szCs w:val="32"/>
          <w:highlight w:val="none"/>
        </w:rPr>
        <w:t>项目支出绩效目标</w:t>
      </w:r>
      <w:r>
        <w:rPr>
          <w:rFonts w:hint="eastAsia" w:ascii="仿宋_GB2312" w:hAnsi="仿宋_GB2312" w:eastAsia="仿宋_GB2312" w:cs="仿宋_GB2312"/>
          <w:b w:val="0"/>
          <w:bCs w:val="0"/>
          <w:color w:val="auto"/>
          <w:sz w:val="32"/>
          <w:szCs w:val="32"/>
          <w:highlight w:val="none"/>
          <w:lang w:eastAsia="zh-CN"/>
        </w:rPr>
        <w:t>进行自评</w:t>
      </w:r>
      <w:r>
        <w:rPr>
          <w:rFonts w:hint="eastAsia" w:ascii="仿宋_GB2312" w:hAnsi="仿宋_GB2312" w:eastAsia="仿宋_GB2312" w:cs="仿宋_GB2312"/>
          <w:b w:val="0"/>
          <w:bCs w:val="0"/>
          <w:color w:val="auto"/>
          <w:sz w:val="32"/>
          <w:szCs w:val="32"/>
          <w:highlight w:val="none"/>
        </w:rPr>
        <w:t>量化</w:t>
      </w:r>
      <w:r>
        <w:rPr>
          <w:rFonts w:hint="eastAsia" w:ascii="仿宋_GB2312" w:hAnsi="仿宋_GB2312" w:eastAsia="仿宋_GB2312" w:cs="仿宋_GB2312"/>
          <w:b w:val="0"/>
          <w:bCs w:val="0"/>
          <w:color w:val="auto"/>
          <w:sz w:val="32"/>
          <w:szCs w:val="32"/>
          <w:highlight w:val="none"/>
          <w:lang w:eastAsia="zh-CN"/>
        </w:rPr>
        <w:t>，事中进行绩效监控考核，事后进行绩效评价并总结。</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3.报送及时</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按要求的时间报送部门预算及部门预算编制说明；报送后发现有错、漏及时修改完善。决算：按规定日期报送决算。</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eastAsia="zh-CN"/>
        </w:rPr>
        <w:t>三</w:t>
      </w:r>
      <w:r>
        <w:rPr>
          <w:rFonts w:hint="eastAsia" w:ascii="楷体_GB2312" w:hAnsi="楷体_GB2312" w:eastAsia="楷体_GB2312" w:cs="楷体_GB2312"/>
          <w:b w:val="0"/>
          <w:bCs w:val="0"/>
          <w:color w:val="auto"/>
          <w:sz w:val="32"/>
          <w:szCs w:val="32"/>
          <w:highlight w:val="none"/>
        </w:rPr>
        <w:t>）预算执行</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1.单位收支执行进度、部门整体绩效目标完成情况。</w:t>
      </w:r>
    </w:p>
    <w:p>
      <w:pPr>
        <w:keepNext w:val="0"/>
        <w:keepLines w:val="0"/>
        <w:pageBreakBefore w:val="0"/>
        <w:widowControl w:val="0"/>
        <w:kinsoku/>
        <w:wordWrap/>
        <w:overflowPunct/>
        <w:topLinePunct w:val="0"/>
        <w:autoSpaceDE/>
        <w:autoSpaceDN/>
        <w:bidi w:val="0"/>
        <w:spacing w:line="576" w:lineRule="exact"/>
        <w:ind w:left="0" w:leftChars="0" w:right="0" w:firstLine="0" w:firstLineChars="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收支进度严格按照时间进度执行。部门整体绩效完成情况：</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人员工资及时发放。完成在职</w:t>
      </w:r>
      <w:r>
        <w:rPr>
          <w:rFonts w:hint="eastAsia" w:ascii="Times New Roman" w:hAnsi="Times New Roman" w:eastAsia="仿宋_GB2312" w:cs="Times New Roman"/>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人全年工资发放及保险缴纳。</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在资金的使用上都做到财政统管、专户储存、专账管理、专人负责。积极配合财政部门与发放金融机构之间建立良好的合作关系，确保了资金专款专用、安全运行和及时足额发放，切实保障了干部职工工资、保险等待遇，保证了机关正常运行，提高了工作效率。</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支付管理。</w:t>
      </w:r>
      <w:r>
        <w:rPr>
          <w:rFonts w:hint="eastAsia" w:ascii="仿宋_GB2312" w:hAnsi="仿宋_GB2312" w:eastAsia="仿宋_GB2312" w:cs="仿宋_GB2312"/>
          <w:b w:val="0"/>
          <w:bCs w:val="0"/>
          <w:color w:val="auto"/>
          <w:sz w:val="32"/>
          <w:szCs w:val="32"/>
          <w:highlight w:val="none"/>
        </w:rPr>
        <w:t>现金支付、</w:t>
      </w:r>
      <w:r>
        <w:rPr>
          <w:rFonts w:hint="eastAsia" w:ascii="仿宋_GB2312" w:hAnsi="仿宋_GB2312" w:eastAsia="仿宋_GB2312" w:cs="仿宋_GB2312"/>
          <w:b w:val="0"/>
          <w:bCs w:val="0"/>
          <w:color w:val="auto"/>
          <w:sz w:val="32"/>
          <w:szCs w:val="32"/>
          <w:highlight w:val="none"/>
          <w:lang w:eastAsia="zh-CN"/>
        </w:rPr>
        <w:t>公务卡管理</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现金支付</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严格控制现金支付，</w:t>
      </w:r>
      <w:r>
        <w:rPr>
          <w:rFonts w:hint="eastAsia" w:ascii="Times New Roman" w:hAnsi="Times New Roman" w:eastAsia="仿宋_GB2312" w:cs="Times New Roman"/>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lang w:val="en-US" w:eastAsia="zh-CN"/>
        </w:rPr>
        <w:t>年</w:t>
      </w:r>
      <w:r>
        <w:rPr>
          <w:rFonts w:hint="eastAsia" w:ascii="仿宋_GB2312" w:hAnsi="仿宋_GB2312" w:eastAsia="仿宋_GB2312" w:cs="仿宋_GB2312"/>
          <w:b w:val="0"/>
          <w:bCs w:val="0"/>
          <w:color w:val="auto"/>
          <w:sz w:val="32"/>
          <w:szCs w:val="32"/>
          <w:highlight w:val="none"/>
        </w:rPr>
        <w:t>现金支付</w:t>
      </w:r>
      <w:r>
        <w:rPr>
          <w:rFonts w:hint="eastAsia" w:ascii="仿宋_GB2312" w:hAnsi="仿宋_GB2312" w:eastAsia="仿宋_GB2312" w:cs="仿宋_GB2312"/>
          <w:b w:val="0"/>
          <w:bCs w:val="0"/>
          <w:color w:val="auto"/>
          <w:sz w:val="32"/>
          <w:szCs w:val="32"/>
          <w:highlight w:val="none"/>
          <w:lang w:val="en-US" w:eastAsia="zh-CN"/>
        </w:rPr>
        <w:t>大幅减少。</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公务卡管理：</w:t>
      </w:r>
      <w:r>
        <w:rPr>
          <w:rFonts w:hint="eastAsia" w:ascii="仿宋_GB2312" w:hAnsi="仿宋_GB2312" w:eastAsia="仿宋_GB2312" w:cs="仿宋_GB2312"/>
          <w:b w:val="0"/>
          <w:bCs w:val="0"/>
          <w:color w:val="auto"/>
          <w:sz w:val="32"/>
          <w:szCs w:val="32"/>
          <w:highlight w:val="none"/>
          <w:lang w:eastAsia="zh-CN"/>
        </w:rPr>
        <w:t>我单位大部分职工办理了公务卡，目的是在业务发生时便于使用公务卡支付差旅费、会议费、招待费和零星购买支出等费用，可以不再预借现金，而是持公务卡先行刷卡支付，并取得发票及刷卡凭证，出差回来后向单位财务申请报销，单位财务审核无误后将报销金额直接转入该工作人员公务卡账户中。对公务卡强制结算目录中的，严格实行公务卡结算。</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黑体" w:hAnsi="黑体" w:eastAsia="黑体" w:cs="黑体"/>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动态监控：</w:t>
      </w:r>
      <w:r>
        <w:rPr>
          <w:rFonts w:hint="eastAsia" w:ascii="Times New Roman" w:hAnsi="Times New Roman" w:eastAsia="仿宋_GB2312" w:cs="Times New Roman"/>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lang w:val="en-US" w:eastAsia="zh-CN"/>
        </w:rPr>
        <w:t>年严格按照规定和要求</w:t>
      </w:r>
      <w:r>
        <w:rPr>
          <w:rFonts w:hint="eastAsia" w:ascii="仿宋_GB2312" w:hAnsi="仿宋_GB2312" w:eastAsia="仿宋_GB2312" w:cs="仿宋_GB2312"/>
          <w:b w:val="0"/>
          <w:bCs w:val="0"/>
          <w:color w:val="auto"/>
          <w:sz w:val="32"/>
          <w:szCs w:val="32"/>
          <w:highlight w:val="none"/>
        </w:rPr>
        <w:t>在“大平台”系统中按规定使用财政资金。</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借款管理</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区目标绩效中心</w:t>
      </w:r>
      <w:r>
        <w:rPr>
          <w:rFonts w:hint="eastAsia" w:ascii="仿宋_GB2312" w:hAnsi="仿宋_GB2312" w:eastAsia="仿宋_GB2312" w:cs="仿宋_GB2312"/>
          <w:b w:val="0"/>
          <w:bCs w:val="0"/>
          <w:color w:val="auto"/>
          <w:sz w:val="32"/>
          <w:szCs w:val="32"/>
          <w:highlight w:val="none"/>
        </w:rPr>
        <w:t>规范借款，没有新增财政借款。</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4.账户管理</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账户年检：</w:t>
      </w:r>
      <w:r>
        <w:rPr>
          <w:rFonts w:hint="eastAsia" w:ascii="仿宋_GB2312" w:hAnsi="仿宋_GB2312" w:eastAsia="仿宋_GB2312" w:cs="仿宋_GB2312"/>
          <w:b w:val="0"/>
          <w:bCs w:val="0"/>
          <w:color w:val="auto"/>
          <w:sz w:val="32"/>
          <w:szCs w:val="32"/>
          <w:highlight w:val="none"/>
          <w:lang w:eastAsia="zh-CN"/>
        </w:rPr>
        <w:t>区目标绩效中心</w:t>
      </w:r>
      <w:r>
        <w:rPr>
          <w:rFonts w:hint="eastAsia" w:ascii="仿宋_GB2312" w:hAnsi="仿宋_GB2312" w:eastAsia="仿宋_GB2312" w:cs="仿宋_GB2312"/>
          <w:b w:val="0"/>
          <w:bCs w:val="0"/>
          <w:color w:val="auto"/>
          <w:sz w:val="32"/>
          <w:szCs w:val="32"/>
          <w:highlight w:val="none"/>
        </w:rPr>
        <w:t>每年按时对账户进行年检。</w:t>
      </w:r>
      <w:r>
        <w:rPr>
          <w:rFonts w:hint="eastAsia" w:ascii="仿宋_GB2312" w:hAnsi="仿宋_GB2312" w:eastAsia="仿宋_GB2312" w:cs="仿宋_GB2312"/>
          <w:b w:val="0"/>
          <w:bCs w:val="0"/>
          <w:color w:val="auto"/>
          <w:sz w:val="32"/>
          <w:szCs w:val="32"/>
          <w:highlight w:val="none"/>
          <w:lang w:eastAsia="zh-CN"/>
        </w:rPr>
        <w:t>单位</w:t>
      </w:r>
      <w:r>
        <w:rPr>
          <w:rFonts w:hint="eastAsia" w:ascii="仿宋_GB2312" w:hAnsi="仿宋_GB2312" w:eastAsia="仿宋_GB2312" w:cs="仿宋_GB2312"/>
          <w:b w:val="0"/>
          <w:bCs w:val="0"/>
          <w:color w:val="auto"/>
          <w:sz w:val="32"/>
          <w:szCs w:val="32"/>
          <w:highlight w:val="none"/>
        </w:rPr>
        <w:t>所有账户均纳入“大平台”管理，没有出借账户的现象。</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（四）综合管理情况</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会计机构和会计人员</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按照规定设置独立的会计机构，配备会计</w:t>
      </w:r>
      <w:r>
        <w:rPr>
          <w:rFonts w:hint="eastAsia" w:ascii="Times New Roman" w:hAnsi="Times New Roman" w:eastAsia="仿宋_GB2312" w:cs="Times New Roman"/>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人，出纳</w:t>
      </w:r>
      <w:r>
        <w:rPr>
          <w:rFonts w:hint="eastAsia" w:ascii="Times New Roman" w:hAnsi="Times New Roman" w:eastAsia="仿宋_GB2312" w:cs="Times New Roman"/>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人。</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会计核算</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会计核算按《行政单位财务》财务会计制度及预算编制的经济分类科目核算，严格执行预算。</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债务管理。</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严格控制债务，无新增债务发生。</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政府采购管理。</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lang w:val="en-US" w:eastAsia="zh-CN"/>
        </w:rPr>
        <w:t>年我单位</w:t>
      </w:r>
      <w:r>
        <w:rPr>
          <w:rFonts w:hint="eastAsia" w:ascii="仿宋_GB2312" w:hAnsi="仿宋_GB2312" w:eastAsia="仿宋_GB2312" w:cs="仿宋_GB2312"/>
          <w:b w:val="0"/>
          <w:bCs w:val="0"/>
          <w:color w:val="auto"/>
          <w:sz w:val="32"/>
          <w:szCs w:val="32"/>
          <w:highlight w:val="none"/>
          <w:lang w:eastAsia="zh-CN"/>
        </w:rPr>
        <w:t>严格执行政府采购相关规定，所有采购均按照采购要求提供需求论证，按我区管理规定按程序签字审批，按照审批采购方式进行采购，在项目采购结束后及时在四川政府采购网及中国政府采购网上及时公示。</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资产管理。</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黑体" w:hAnsi="黑体" w:eastAsia="黑体" w:cs="黑体"/>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lang w:val="en-US" w:eastAsia="zh-CN"/>
        </w:rPr>
        <w:t>年区目标绩效中心</w:t>
      </w:r>
      <w:r>
        <w:rPr>
          <w:rFonts w:hint="eastAsia" w:ascii="仿宋_GB2312" w:hAnsi="仿宋_GB2312" w:eastAsia="仿宋_GB2312" w:cs="仿宋_GB2312"/>
          <w:b w:val="0"/>
          <w:bCs w:val="0"/>
          <w:color w:val="auto"/>
          <w:sz w:val="32"/>
          <w:szCs w:val="32"/>
          <w:highlight w:val="none"/>
          <w:lang w:eastAsia="zh-CN"/>
        </w:rPr>
        <w:t>加强固定资产的验收、保管、使用工作。对新购固定资产，做好验收工作；各部门使用的固定资产，领用及保管落实了使用责任人。固定资产变更使用管理部门，必须经中心办公室同意并整理相关手续。固定资产的减少变动（调出、变卖、盘亏、报废、丢失、损坏）按规定履行报批手续。</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内控制度管理。</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黑体" w:hAnsi="黑体" w:eastAsia="黑体" w:cs="黑体"/>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en-US" w:eastAsia="zh-CN"/>
        </w:rPr>
        <w:t>为加强机关财务管理，规范财务行为，我中心建立了《机关单位内部管理制度》《内部控制制度》等财务制度，对单位的基本支出、政府采购业务、资金使用及报销程序等进行了明确规定，严格执行公务卡结算管理要求，提高公务卡使用率。</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7.信息公开。</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按照规定在</w:t>
      </w:r>
      <w:r>
        <w:rPr>
          <w:rFonts w:hint="eastAsia" w:ascii="仿宋_GB2312" w:hAnsi="仿宋_GB2312" w:eastAsia="仿宋_GB2312" w:cs="仿宋_GB2312"/>
          <w:b w:val="0"/>
          <w:bCs w:val="0"/>
          <w:color w:val="auto"/>
          <w:sz w:val="32"/>
          <w:szCs w:val="32"/>
          <w:highlight w:val="none"/>
        </w:rPr>
        <w:t>财政局批复二十日内向社会公开本部门的预算、决算（含所有财政资金安排的“三公”经费、机关运行经费的安排、使用情况等）</w:t>
      </w:r>
      <w:r>
        <w:rPr>
          <w:rFonts w:hint="eastAsia" w:ascii="仿宋_GB2312" w:hAnsi="仿宋_GB2312" w:eastAsia="仿宋_GB2312" w:cs="仿宋_GB2312"/>
          <w:b w:val="0"/>
          <w:bCs w:val="0"/>
          <w:color w:val="auto"/>
          <w:sz w:val="32"/>
          <w:szCs w:val="32"/>
          <w:highlight w:val="none"/>
          <w:lang w:eastAsia="zh-CN"/>
        </w:rPr>
        <w:t>，接受群众监督。</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厉行节约</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按照公共财政管理的基本要求，严格加强了对因公出国（境）经费、公务接待、中心公费等经费支出的管理，所有支出均实行事前审批，建立了厉行节约、反对奢靡浪费的长效机制。</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9.财经纪律</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据实核算单位账务，积极接受审计、绩效评价、项目检查等，严格按照预算资金进度安排工作，不超额度拨付资金。</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四</w:t>
      </w:r>
      <w:r>
        <w:rPr>
          <w:rFonts w:hint="eastAsia" w:ascii="黑体" w:hAnsi="黑体" w:eastAsia="黑体" w:cs="黑体"/>
          <w:b w:val="0"/>
          <w:bCs w:val="0"/>
          <w:color w:val="auto"/>
          <w:sz w:val="32"/>
          <w:szCs w:val="32"/>
          <w:highlight w:val="none"/>
        </w:rPr>
        <w:t>、评价结论及建议</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w:t>
      </w:r>
      <w:r>
        <w:rPr>
          <w:rFonts w:hint="eastAsia" w:ascii="楷体_GB2312" w:hAnsi="楷体_GB2312" w:eastAsia="楷体_GB2312" w:cs="楷体_GB2312"/>
          <w:b w:val="0"/>
          <w:bCs w:val="0"/>
          <w:color w:val="auto"/>
          <w:sz w:val="32"/>
          <w:szCs w:val="32"/>
          <w:highlight w:val="none"/>
          <w:lang w:eastAsia="zh-CN"/>
        </w:rPr>
        <w:t>自评</w:t>
      </w:r>
      <w:r>
        <w:rPr>
          <w:rFonts w:hint="eastAsia" w:ascii="楷体_GB2312" w:hAnsi="楷体_GB2312" w:eastAsia="楷体_GB2312" w:cs="楷体_GB2312"/>
          <w:b w:val="0"/>
          <w:bCs w:val="0"/>
          <w:color w:val="auto"/>
          <w:sz w:val="32"/>
          <w:szCs w:val="32"/>
          <w:highlight w:val="none"/>
        </w:rPr>
        <w:t>结论</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黑体" w:hAnsi="黑体" w:eastAsia="黑体" w:cs="黑体"/>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lang w:val="en-US" w:eastAsia="zh-CN"/>
        </w:rPr>
        <w:t>年通过各项经费的使用，保障了干部职工的基本利益，提高了干部职工的工作积极性和责任心，保障了各项工作的高效进行，为单位高效运转提供了坚定保障，实现了年初制定的目标任务。从完成效果来看，较好地达到了预期目标。</w:t>
      </w:r>
      <w:r>
        <w:rPr>
          <w:rFonts w:hint="eastAsia" w:ascii="仿宋_GB2312" w:hAnsi="仿宋_GB2312" w:eastAsia="仿宋_GB2312" w:cs="仿宋_GB2312"/>
          <w:b w:val="0"/>
          <w:bCs w:val="0"/>
          <w:color w:val="auto"/>
          <w:sz w:val="32"/>
          <w:szCs w:val="32"/>
          <w:highlight w:val="none"/>
        </w:rPr>
        <w:t>因此，从项目决策、项目管理、项目完成和项目效果来看，都较好地达到了预期的效果。经自评，</w:t>
      </w:r>
      <w:r>
        <w:rPr>
          <w:rFonts w:hint="eastAsia" w:ascii="仿宋_GB2312" w:hAnsi="仿宋_GB2312" w:eastAsia="仿宋_GB2312" w:cs="仿宋_GB2312"/>
          <w:b w:val="0"/>
          <w:bCs w:val="0"/>
          <w:color w:val="auto"/>
          <w:sz w:val="32"/>
          <w:szCs w:val="32"/>
          <w:highlight w:val="none"/>
          <w:lang w:eastAsia="zh-CN"/>
        </w:rPr>
        <w:t>我单位</w:t>
      </w:r>
      <w:r>
        <w:rPr>
          <w:rFonts w:hint="eastAsia" w:ascii="Times New Roman" w:hAnsi="Times New Roman" w:eastAsia="仿宋_GB2312" w:cs="Times New Roman"/>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lang w:val="en-US" w:eastAsia="zh-CN"/>
        </w:rPr>
        <w:t>年</w:t>
      </w:r>
      <w:r>
        <w:rPr>
          <w:rFonts w:hint="eastAsia" w:ascii="仿宋_GB2312" w:hAnsi="仿宋_GB2312" w:eastAsia="仿宋_GB2312" w:cs="仿宋_GB2312"/>
          <w:b w:val="0"/>
          <w:bCs w:val="0"/>
          <w:color w:val="auto"/>
          <w:sz w:val="32"/>
          <w:szCs w:val="32"/>
          <w:highlight w:val="none"/>
        </w:rPr>
        <w:t>部门整体支出绩效评价得分为</w:t>
      </w:r>
      <w:r>
        <w:rPr>
          <w:rFonts w:hint="eastAsia" w:ascii="Times New Roman" w:hAnsi="Times New Roman" w:eastAsia="仿宋_GB2312" w:cs="Times New Roman"/>
          <w:b w:val="0"/>
          <w:bCs w:val="0"/>
          <w:color w:val="auto"/>
          <w:sz w:val="32"/>
          <w:szCs w:val="32"/>
          <w:highlight w:val="none"/>
          <w:lang w:val="en-US" w:eastAsia="zh-CN"/>
        </w:rPr>
        <w:t>95</w:t>
      </w:r>
      <w:r>
        <w:rPr>
          <w:rFonts w:hint="eastAsia" w:ascii="仿宋_GB2312" w:hAnsi="仿宋_GB2312" w:eastAsia="仿宋_GB2312" w:cs="仿宋_GB2312"/>
          <w:b w:val="0"/>
          <w:bCs w:val="0"/>
          <w:color w:val="auto"/>
          <w:sz w:val="32"/>
          <w:szCs w:val="32"/>
          <w:highlight w:val="none"/>
        </w:rPr>
        <w:t>分，根据（昭府</w:t>
      </w:r>
      <w:r>
        <w:rPr>
          <w:rFonts w:hint="eastAsia" w:ascii="仿宋_GB2312" w:hAnsi="仿宋_GB2312" w:eastAsia="仿宋_GB2312" w:cs="仿宋_GB2312"/>
          <w:b w:val="0"/>
          <w:bCs w:val="0"/>
          <w:color w:val="auto"/>
          <w:sz w:val="32"/>
          <w:szCs w:val="32"/>
          <w:highlight w:val="none"/>
          <w:lang w:eastAsia="zh-CN"/>
        </w:rPr>
        <w:t>办</w:t>
      </w:r>
      <w:r>
        <w:rPr>
          <w:rFonts w:hint="eastAsia" w:ascii="仿宋_GB2312" w:hAnsi="仿宋_GB2312" w:eastAsia="仿宋_GB2312" w:cs="仿宋_GB2312"/>
          <w:b w:val="0"/>
          <w:bCs w:val="0"/>
          <w:color w:val="auto"/>
          <w:sz w:val="32"/>
          <w:szCs w:val="32"/>
          <w:highlight w:val="none"/>
        </w:rPr>
        <w:t>函〔</w:t>
      </w:r>
      <w:r>
        <w:rPr>
          <w:rFonts w:hint="eastAsia" w:ascii="Times New Roman" w:hAnsi="Times New Roman" w:eastAsia="仿宋_GB2312" w:cs="Times New Roman"/>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37</w:t>
      </w:r>
      <w:r>
        <w:rPr>
          <w:rFonts w:hint="eastAsia" w:ascii="仿宋_GB2312" w:hAnsi="仿宋_GB2312" w:eastAsia="仿宋_GB2312" w:cs="仿宋_GB2312"/>
          <w:b w:val="0"/>
          <w:bCs w:val="0"/>
          <w:color w:val="auto"/>
          <w:sz w:val="32"/>
          <w:szCs w:val="32"/>
          <w:highlight w:val="none"/>
        </w:rPr>
        <w:t>号）文件规定，考核得分在</w:t>
      </w:r>
      <w:r>
        <w:rPr>
          <w:rFonts w:hint="eastAsia" w:ascii="Times New Roman" w:hAnsi="Times New Roman" w:eastAsia="仿宋_GB2312" w:cs="Times New Roman"/>
          <w:b w:val="0"/>
          <w:bCs w:val="0"/>
          <w:color w:val="auto"/>
          <w:sz w:val="32"/>
          <w:szCs w:val="32"/>
          <w:highlight w:val="none"/>
          <w:lang w:val="en-US" w:eastAsia="zh-CN"/>
        </w:rPr>
        <w:t>90</w:t>
      </w:r>
      <w:r>
        <w:rPr>
          <w:rFonts w:hint="eastAsia" w:ascii="仿宋_GB2312" w:hAnsi="仿宋_GB2312" w:eastAsia="仿宋_GB2312" w:cs="仿宋_GB2312"/>
          <w:b w:val="0"/>
          <w:bCs w:val="0"/>
          <w:color w:val="auto"/>
          <w:sz w:val="32"/>
          <w:szCs w:val="32"/>
          <w:highlight w:val="none"/>
        </w:rPr>
        <w:t>分至</w:t>
      </w:r>
      <w:r>
        <w:rPr>
          <w:rFonts w:hint="eastAsia" w:ascii="Times New Roman" w:hAnsi="Times New Roman" w:eastAsia="仿宋_GB2312" w:cs="Times New Roman"/>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分的为优），因此我单位</w:t>
      </w:r>
      <w:r>
        <w:rPr>
          <w:rFonts w:hint="eastAsia" w:ascii="Times New Roman" w:hAnsi="Times New Roman" w:eastAsia="仿宋_GB2312" w:cs="Times New Roman"/>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年部门整体支出绩效评价为优秀。</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lang w:eastAsia="zh-CN"/>
        </w:rPr>
        <w:t>（二）</w:t>
      </w:r>
      <w:r>
        <w:rPr>
          <w:rFonts w:hint="eastAsia" w:ascii="楷体_GB2312" w:hAnsi="楷体_GB2312" w:eastAsia="楷体_GB2312" w:cs="楷体_GB2312"/>
          <w:b w:val="0"/>
          <w:bCs w:val="0"/>
          <w:color w:val="auto"/>
          <w:sz w:val="32"/>
          <w:szCs w:val="32"/>
          <w:highlight w:val="none"/>
        </w:rPr>
        <w:t>存在问题</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黑体" w:hAnsi="黑体" w:eastAsia="黑体" w:cs="黑体"/>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预算编制精准性还有待进一步提高。在预算编制过程中与业务股室沟通不够，造成在开展过程中应急性时间较多，造成预算与实际支出费用存在偏差，在支出时也还存在申报计划</w:t>
      </w:r>
      <w:r>
        <w:rPr>
          <w:rFonts w:hint="eastAsia" w:ascii="仿宋_GB2312" w:hAnsi="仿宋_GB2312" w:eastAsia="仿宋_GB2312" w:cs="仿宋_GB2312"/>
          <w:b w:val="0"/>
          <w:bCs w:val="0"/>
          <w:color w:val="auto"/>
          <w:sz w:val="32"/>
          <w:szCs w:val="32"/>
          <w:highlight w:val="none"/>
          <w:lang w:eastAsia="zh-CN"/>
        </w:rPr>
        <w:t>时</w:t>
      </w:r>
      <w:r>
        <w:rPr>
          <w:rFonts w:hint="eastAsia" w:ascii="仿宋_GB2312" w:hAnsi="仿宋_GB2312" w:eastAsia="仿宋_GB2312" w:cs="仿宋_GB2312"/>
          <w:b w:val="0"/>
          <w:bCs w:val="0"/>
          <w:color w:val="auto"/>
          <w:sz w:val="32"/>
          <w:szCs w:val="32"/>
          <w:highlight w:val="none"/>
        </w:rPr>
        <w:t>功能科目与实际支出不一致的情况，从而造成预算编制不够精确。</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lang w:eastAsia="zh-CN"/>
        </w:rPr>
        <w:t>（三）</w:t>
      </w:r>
      <w:r>
        <w:rPr>
          <w:rFonts w:hint="eastAsia" w:ascii="楷体_GB2312" w:hAnsi="楷体_GB2312" w:eastAsia="楷体_GB2312" w:cs="楷体_GB2312"/>
          <w:b w:val="0"/>
          <w:bCs w:val="0"/>
          <w:color w:val="auto"/>
          <w:sz w:val="32"/>
          <w:szCs w:val="32"/>
          <w:highlight w:val="none"/>
        </w:rPr>
        <w:t>改进建议</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一是加强财务管理。</w:t>
      </w:r>
      <w:r>
        <w:rPr>
          <w:rFonts w:hint="eastAsia" w:ascii="仿宋_GB2312" w:hAnsi="仿宋_GB2312" w:eastAsia="仿宋_GB2312" w:cs="仿宋_GB2312"/>
          <w:b w:val="0"/>
          <w:bCs w:val="0"/>
          <w:color w:val="auto"/>
          <w:sz w:val="32"/>
          <w:szCs w:val="32"/>
          <w:highlight w:val="none"/>
          <w:lang w:eastAsia="zh-CN"/>
        </w:rPr>
        <w:t>二是强化预算执行。三是优化绩效管理。四是确保</w:t>
      </w:r>
      <w:r>
        <w:rPr>
          <w:rFonts w:hint="eastAsia" w:ascii="仿宋_GB2312" w:hAnsi="仿宋_GB2312" w:eastAsia="仿宋_GB2312" w:cs="仿宋_GB2312"/>
          <w:b w:val="0"/>
          <w:bCs w:val="0"/>
          <w:color w:val="auto"/>
          <w:sz w:val="32"/>
          <w:szCs w:val="32"/>
          <w:highlight w:val="none"/>
        </w:rPr>
        <w:t>绩效目标</w:t>
      </w:r>
      <w:r>
        <w:rPr>
          <w:rFonts w:hint="eastAsia" w:ascii="仿宋_GB2312" w:hAnsi="仿宋_GB2312" w:eastAsia="仿宋_GB2312" w:cs="仿宋_GB2312"/>
          <w:b w:val="0"/>
          <w:bCs w:val="0"/>
          <w:color w:val="auto"/>
          <w:sz w:val="32"/>
          <w:szCs w:val="32"/>
          <w:highlight w:val="none"/>
          <w:lang w:eastAsia="zh-CN"/>
        </w:rPr>
        <w:t>。五是保障</w:t>
      </w:r>
      <w:r>
        <w:rPr>
          <w:rFonts w:hint="eastAsia" w:ascii="仿宋_GB2312" w:hAnsi="仿宋_GB2312" w:eastAsia="仿宋_GB2312" w:cs="仿宋_GB2312"/>
          <w:b w:val="0"/>
          <w:bCs w:val="0"/>
          <w:color w:val="auto"/>
          <w:sz w:val="32"/>
          <w:szCs w:val="32"/>
          <w:highlight w:val="none"/>
        </w:rPr>
        <w:t>资金安全。</w:t>
      </w:r>
    </w:p>
    <w:p>
      <w:pPr>
        <w:keepNext w:val="0"/>
        <w:keepLines w:val="0"/>
        <w:pageBreakBefore w:val="0"/>
        <w:widowControl w:val="0"/>
        <w:kinsoku/>
        <w:wordWrap/>
        <w:overflowPunct/>
        <w:topLinePunct w:val="0"/>
        <w:autoSpaceDE/>
        <w:autoSpaceDN/>
        <w:bidi w:val="0"/>
        <w:spacing w:line="576" w:lineRule="exact"/>
        <w:ind w:left="0" w:leftChars="0" w:right="0" w:firstLine="0" w:firstLineChars="0"/>
        <w:jc w:val="left"/>
        <w:textAlignment w:val="auto"/>
        <w:outlineLvl w:val="1"/>
        <w:rPr>
          <w:rFonts w:hint="eastAsia" w:ascii="黑体" w:hAnsi="黑体" w:eastAsia="黑体" w:cs="黑体"/>
          <w:b w:val="0"/>
          <w:bCs w:val="0"/>
          <w:color w:val="auto"/>
          <w:sz w:val="32"/>
          <w:szCs w:val="32"/>
          <w:highlight w:val="none"/>
          <w:lang w:eastAsia="zh-CN"/>
        </w:rPr>
      </w:pP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left"/>
        <w:textAlignment w:val="auto"/>
        <w:outlineLvl w:val="1"/>
        <w:rPr>
          <w:rFonts w:hint="eastAsia"/>
        </w:rPr>
      </w:pPr>
      <w:r>
        <w:rPr>
          <w:rFonts w:hint="eastAsia" w:ascii="仿宋_GB2312" w:hAnsi="仿宋_GB2312" w:eastAsia="仿宋_GB2312" w:cs="仿宋_GB2312"/>
          <w:b w:val="0"/>
          <w:bCs w:val="0"/>
          <w:color w:val="auto"/>
          <w:sz w:val="32"/>
          <w:szCs w:val="32"/>
          <w:highlight w:val="none"/>
          <w:lang w:eastAsia="zh-CN"/>
        </w:rPr>
        <w:t>附件：广元市昭化区目标绩效事务中心</w:t>
      </w:r>
      <w:r>
        <w:rPr>
          <w:rFonts w:hint="eastAsia" w:ascii="Times New Roman" w:hAnsi="Times New Roman" w:eastAsia="仿宋_GB2312" w:cs="Times New Roman"/>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lang w:val="en-US" w:eastAsia="zh-CN"/>
        </w:rPr>
        <w:t>年</w:t>
      </w:r>
      <w:r>
        <w:rPr>
          <w:rFonts w:hint="eastAsia" w:ascii="仿宋_GB2312" w:hAnsi="仿宋_GB2312" w:eastAsia="仿宋_GB2312" w:cs="仿宋_GB2312"/>
          <w:b w:val="0"/>
          <w:bCs w:val="0"/>
          <w:color w:val="auto"/>
          <w:sz w:val="32"/>
          <w:szCs w:val="32"/>
          <w:highlight w:val="none"/>
          <w:lang w:eastAsia="zh-CN"/>
        </w:rPr>
        <w:t>部门整体支出绩效目标自评表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left"/>
        <w:textAlignment w:val="auto"/>
        <w:outlineLvl w:val="1"/>
        <w:rPr>
          <w:rFonts w:hint="eastAsia" w:ascii="宋体" w:hAnsi="宋体" w:cs="宋体"/>
          <w:b w:val="0"/>
          <w:bCs w:val="0"/>
          <w:i w:val="0"/>
          <w:color w:val="auto"/>
          <w:sz w:val="36"/>
          <w:szCs w:val="36"/>
          <w:highlight w:val="none"/>
          <w:u w:val="none"/>
          <w:lang w:val="en-US" w:eastAsia="zh-CN"/>
        </w:rPr>
      </w:pPr>
      <w:r>
        <w:rPr>
          <w:rFonts w:hint="eastAsia" w:ascii="黑体" w:hAnsi="黑体" w:eastAsia="黑体" w:cs="黑体"/>
          <w:b w:val="0"/>
          <w:bCs w:val="0"/>
          <w:color w:val="auto"/>
          <w:sz w:val="32"/>
          <w:szCs w:val="32"/>
          <w:highlight w:val="none"/>
        </w:rPr>
        <w:t>附件</w:t>
      </w:r>
      <w:bookmarkEnd w:id="71"/>
      <w:bookmarkStart w:id="72" w:name="_Toc15524"/>
    </w:p>
    <w:tbl>
      <w:tblPr>
        <w:tblStyle w:val="19"/>
        <w:tblW w:w="9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708"/>
        <w:gridCol w:w="937"/>
        <w:gridCol w:w="725"/>
        <w:gridCol w:w="2439"/>
        <w:gridCol w:w="1196"/>
        <w:gridCol w:w="1751"/>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trPr>
        <w:tc>
          <w:tcPr>
            <w:tcW w:w="982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广元市昭化区部门整体支出绩效目标自评表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820" w:type="dxa"/>
            <w:gridSpan w:val="8"/>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30"/>
                <w:szCs w:val="30"/>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主管部门</w:t>
            </w:r>
          </w:p>
        </w:tc>
        <w:tc>
          <w:tcPr>
            <w:tcW w:w="41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广元市昭化区目标绩效事务中心</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广元市昭化区目标绩效事务中心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367"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项目（政策）资金（万元）</w:t>
            </w:r>
          </w:p>
        </w:tc>
        <w:tc>
          <w:tcPr>
            <w:tcW w:w="1662"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4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年初预算数</w:t>
            </w:r>
          </w:p>
        </w:tc>
        <w:tc>
          <w:tcPr>
            <w:tcW w:w="11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全年</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w:t>
            </w:r>
          </w:p>
        </w:tc>
        <w:tc>
          <w:tcPr>
            <w:tcW w:w="17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全年执行数</w:t>
            </w:r>
          </w:p>
        </w:tc>
        <w:tc>
          <w:tcPr>
            <w:tcW w:w="14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36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年度资金总额</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cs="宋体"/>
                <w:b w:val="0"/>
                <w:bCs w:val="0"/>
                <w:i w:val="0"/>
                <w:iCs w:val="0"/>
                <w:color w:val="000000"/>
                <w:kern w:val="0"/>
                <w:sz w:val="21"/>
                <w:szCs w:val="21"/>
                <w:u w:val="none"/>
                <w:lang w:val="en-US" w:eastAsia="zh-CN" w:bidi="ar"/>
              </w:rPr>
              <w:t>132.75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145.07</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cs="宋体"/>
                <w:b w:val="0"/>
                <w:bCs w:val="0"/>
                <w:i w:val="0"/>
                <w:iCs w:val="0"/>
                <w:color w:val="000000"/>
                <w:kern w:val="0"/>
                <w:sz w:val="21"/>
                <w:szCs w:val="21"/>
                <w:u w:val="none"/>
                <w:lang w:val="en-US" w:eastAsia="zh-CN" w:bidi="ar"/>
              </w:rPr>
              <w:t>144.98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cs="宋体"/>
                <w:b w:val="0"/>
                <w:bCs w:val="0"/>
                <w:i w:val="0"/>
                <w:iCs w:val="0"/>
                <w:color w:val="000000"/>
                <w:kern w:val="0"/>
                <w:sz w:val="21"/>
                <w:szCs w:val="21"/>
                <w:u w:val="none"/>
                <w:lang w:val="en-US" w:eastAsia="zh-CN" w:bidi="ar"/>
              </w:rPr>
              <w:t>99.94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36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630" w:hanging="630" w:hangingChars="30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（一）财政拨款小计</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cs="宋体"/>
                <w:b w:val="0"/>
                <w:bCs w:val="0"/>
                <w:i w:val="0"/>
                <w:iCs w:val="0"/>
                <w:color w:val="000000"/>
                <w:kern w:val="0"/>
                <w:sz w:val="21"/>
                <w:szCs w:val="21"/>
                <w:u w:val="none"/>
                <w:lang w:val="en-US" w:eastAsia="zh-CN" w:bidi="ar"/>
              </w:rPr>
              <w:t>132.75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cs="宋体"/>
                <w:b w:val="0"/>
                <w:bCs w:val="0"/>
                <w:i w:val="0"/>
                <w:iCs w:val="0"/>
                <w:color w:val="000000"/>
                <w:kern w:val="0"/>
                <w:sz w:val="21"/>
                <w:szCs w:val="21"/>
                <w:u w:val="none"/>
                <w:lang w:val="en-US" w:eastAsia="zh-CN" w:bidi="ar"/>
              </w:rPr>
              <w:t>145.07</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cs="宋体"/>
                <w:b w:val="0"/>
                <w:bCs w:val="0"/>
                <w:i w:val="0"/>
                <w:iCs w:val="0"/>
                <w:color w:val="000000"/>
                <w:kern w:val="0"/>
                <w:sz w:val="21"/>
                <w:szCs w:val="21"/>
                <w:u w:val="none"/>
                <w:lang w:val="en-US" w:eastAsia="zh-CN" w:bidi="ar"/>
              </w:rPr>
              <w:t>144.98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cs="宋体"/>
                <w:b w:val="0"/>
                <w:bCs w:val="0"/>
                <w:i w:val="0"/>
                <w:iCs w:val="0"/>
                <w:color w:val="000000"/>
                <w:kern w:val="0"/>
                <w:sz w:val="21"/>
                <w:szCs w:val="21"/>
                <w:u w:val="none"/>
                <w:lang w:val="en-US" w:eastAsia="zh-CN" w:bidi="ar"/>
              </w:rPr>
              <w:t>99.94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6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630" w:hanging="630" w:hangingChars="30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1.一般公共预算</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132.75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145.07</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144.98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99.94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36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hanging="420" w:hangingChars="20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2.政府性基金</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36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hanging="420" w:hangingChars="20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3.国有资本经营预算</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36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4.社保基金</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36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（二）其他资金</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75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40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整体</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目标</w:t>
            </w:r>
          </w:p>
        </w:tc>
        <w:tc>
          <w:tcPr>
            <w:tcW w:w="6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年度目标</w:t>
            </w: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6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保障日常运行。落实中央、省、市、区各项决策，紧贴区委区政府中心工作，扎实开展疫情防控常态化、民生实事等事项督查，以区委常委会议定事项，区政府常务会议定事项，全区重（难）点事项和区委区政府主要领导批示件办理事项为主要内容，对全区区级各部门、各镇进行督查检查考核。开展区级目标绩效管理学习，全年召开全区目标绩效管理工作会议4次，全年培训200人次，适时开展目标调度，做好市对区目标考评工作、重点工作运行，完成年度综合目标考核等工作。</w:t>
            </w: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2022年绩效指标按照要求完成全年任务内容。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7"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部门整体绩效指标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一级</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年度指标值</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实际完成值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0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产出</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w:t>
            </w:r>
          </w:p>
        </w:tc>
        <w:tc>
          <w:tcPr>
            <w:tcW w:w="93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指标1：</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目标管理会议次数</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≥4次</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5次</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eastAsia="zh-CN"/>
              </w:rPr>
            </w:pPr>
            <w:r>
              <w:rPr>
                <w:rFonts w:hint="eastAsia" w:ascii="宋体" w:hAnsi="宋体" w:cs="宋体"/>
                <w:b w:val="0"/>
                <w:bCs w:val="0"/>
                <w:i w:val="0"/>
                <w:iCs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93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指标2：</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目标管理会议培训人次</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≥200次</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200次</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93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指标3：</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在职职工人数</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6人</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6人</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93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指标1：</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督查事项执行率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93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指标2：</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目标管理事项执行率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9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指标1：</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督查、目标管理各项业务完成的时间、效率情况</w:t>
            </w:r>
          </w:p>
        </w:tc>
        <w:tc>
          <w:tcPr>
            <w:tcW w:w="11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定性:优良中低差</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优</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成本指标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指标1：</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督查工作经费</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≤45万元</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45万元</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指标2：</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目标管理工作经费</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≤10万元</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10万元</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指标3：</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人员工资、保险</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69.36万元</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69.36万元</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指标4：</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人员工作经费，主要用于下乡补贴、办公经费、督查会议费等</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≤8.4万元</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8.4万元</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效益</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w:t>
            </w:r>
          </w:p>
        </w:tc>
        <w:tc>
          <w:tcPr>
            <w:tcW w:w="93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社会效益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指标1：</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督查事项整改落实率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93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指标2：</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目标管理、督查事项检查结果公开度</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可持续影响指标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指标1：</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长期督查考核、目标绩效管理</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定性：优良中差</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优</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指标</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指标1：</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被督导单位满意度</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eastAsia="zh-CN"/>
              </w:rPr>
              <w:t>无</w:t>
            </w:r>
          </w:p>
        </w:tc>
      </w:tr>
      <w:bookmarkEnd w:id="72"/>
    </w:tbl>
    <w:p>
      <w:pPr>
        <w:rPr>
          <w:rStyle w:val="32"/>
          <w:rFonts w:hint="eastAsia" w:ascii="黑体" w:hAnsi="黑体" w:eastAsia="黑体" w:cstheme="minorBidi"/>
          <w:b w:val="0"/>
          <w:color w:val="auto"/>
          <w:sz w:val="28"/>
          <w:szCs w:val="28"/>
          <w:highlight w:val="none"/>
          <w:lang w:val="en-US" w:eastAsia="zh-CN"/>
        </w:rPr>
      </w:pPr>
      <w:bookmarkStart w:id="73" w:name="_Toc15396618"/>
      <w:bookmarkStart w:id="74" w:name="_Toc22"/>
      <w:r>
        <w:rPr>
          <w:rStyle w:val="32"/>
          <w:rFonts w:hint="eastAsia" w:ascii="黑体" w:hAnsi="黑体" w:eastAsia="黑体" w:cstheme="minorBidi"/>
          <w:b w:val="0"/>
          <w:color w:val="auto"/>
          <w:sz w:val="28"/>
          <w:szCs w:val="28"/>
          <w:highlight w:val="none"/>
          <w:lang w:eastAsia="zh-CN"/>
        </w:rPr>
        <w:t>附件</w:t>
      </w:r>
      <w:r>
        <w:rPr>
          <w:rStyle w:val="32"/>
          <w:rFonts w:hint="eastAsia" w:ascii="黑体" w:hAnsi="黑体" w:eastAsia="黑体" w:cstheme="minorBidi"/>
          <w:b w:val="0"/>
          <w:color w:val="auto"/>
          <w:sz w:val="28"/>
          <w:szCs w:val="28"/>
          <w:highlight w:val="none"/>
          <w:lang w:val="en-US" w:eastAsia="zh-CN"/>
        </w:rPr>
        <w:t>2</w:t>
      </w:r>
    </w:p>
    <w:p>
      <w:pPr>
        <w:wordWrap w:val="0"/>
        <w:topLinePunct/>
        <w:spacing w:line="530" w:lineRule="exact"/>
        <w:jc w:val="center"/>
        <w:rPr>
          <w:rFonts w:hint="eastAsia" w:ascii="黑体" w:hAnsi="黑体" w:eastAsia="黑体" w:cs="黑体"/>
          <w:sz w:val="44"/>
          <w:szCs w:val="44"/>
        </w:rPr>
      </w:pPr>
    </w:p>
    <w:p>
      <w:pPr>
        <w:wordWrap w:val="0"/>
        <w:topLinePunct/>
        <w:spacing w:line="530" w:lineRule="exact"/>
        <w:jc w:val="center"/>
        <w:rPr>
          <w:rFonts w:hint="eastAsia" w:ascii="黑体" w:hAnsi="黑体" w:eastAsia="黑体" w:cs="黑体"/>
          <w:sz w:val="44"/>
          <w:szCs w:val="44"/>
          <w:lang w:eastAsia="zh-CN"/>
        </w:rPr>
      </w:pPr>
      <w:r>
        <w:rPr>
          <w:rFonts w:hint="eastAsia" w:ascii="黑体" w:hAnsi="黑体" w:eastAsia="黑体" w:cs="黑体"/>
          <w:sz w:val="44"/>
          <w:szCs w:val="44"/>
        </w:rPr>
        <w:t>广元市昭化区</w:t>
      </w:r>
      <w:r>
        <w:rPr>
          <w:rFonts w:hint="eastAsia" w:ascii="黑体" w:hAnsi="黑体" w:eastAsia="黑体" w:cs="黑体"/>
          <w:sz w:val="44"/>
          <w:szCs w:val="44"/>
          <w:lang w:eastAsia="zh-CN"/>
        </w:rPr>
        <w:t>目标绩效事务中心</w:t>
      </w:r>
    </w:p>
    <w:p>
      <w:pPr>
        <w:wordWrap w:val="0"/>
        <w:topLinePunct/>
        <w:spacing w:line="530" w:lineRule="exact"/>
        <w:jc w:val="center"/>
        <w:rPr>
          <w:rFonts w:hint="eastAsia" w:ascii="黑体" w:hAnsi="黑体" w:eastAsia="黑体" w:cs="黑体"/>
          <w:bCs/>
          <w:sz w:val="44"/>
          <w:szCs w:val="44"/>
        </w:rPr>
      </w:pPr>
      <w:r>
        <w:rPr>
          <w:rFonts w:hint="eastAsia" w:ascii="黑体" w:hAnsi="黑体" w:eastAsia="黑体" w:cs="黑体"/>
          <w:bCs/>
          <w:sz w:val="44"/>
          <w:szCs w:val="44"/>
        </w:rPr>
        <w:t>关于2022年</w:t>
      </w:r>
      <w:r>
        <w:rPr>
          <w:rFonts w:hint="eastAsia" w:ascii="黑体" w:hAnsi="黑体" w:eastAsia="黑体" w:cs="黑体"/>
          <w:bCs/>
          <w:sz w:val="44"/>
          <w:szCs w:val="44"/>
          <w:lang w:eastAsia="zh-CN"/>
        </w:rPr>
        <w:t>督查</w:t>
      </w:r>
      <w:r>
        <w:rPr>
          <w:rFonts w:hint="eastAsia" w:ascii="黑体" w:hAnsi="黑体" w:eastAsia="黑体" w:cs="黑体"/>
          <w:bCs/>
          <w:sz w:val="44"/>
          <w:szCs w:val="44"/>
        </w:rPr>
        <w:t>等项目支出绩效自评</w:t>
      </w:r>
    </w:p>
    <w:p>
      <w:pPr>
        <w:wordWrap w:val="0"/>
        <w:topLinePunct/>
        <w:spacing w:line="530" w:lineRule="exact"/>
        <w:jc w:val="center"/>
        <w:rPr>
          <w:rFonts w:hint="eastAsia" w:ascii="黑体" w:hAnsi="黑体" w:eastAsia="黑体" w:cs="黑体"/>
          <w:bCs/>
          <w:sz w:val="44"/>
          <w:szCs w:val="44"/>
        </w:rPr>
      </w:pPr>
      <w:r>
        <w:rPr>
          <w:rFonts w:hint="eastAsia" w:ascii="黑体" w:hAnsi="黑体" w:eastAsia="黑体" w:cs="黑体"/>
          <w:bCs/>
          <w:sz w:val="44"/>
          <w:szCs w:val="44"/>
        </w:rPr>
        <w:t>报   告</w:t>
      </w:r>
    </w:p>
    <w:p>
      <w:pPr>
        <w:wordWrap w:val="0"/>
        <w:topLinePunct/>
        <w:spacing w:line="530" w:lineRule="exact"/>
        <w:rPr>
          <w:rFonts w:eastAsia="仿宋"/>
          <w:sz w:val="32"/>
          <w:szCs w:val="32"/>
        </w:rPr>
      </w:pPr>
    </w:p>
    <w:p>
      <w:pPr>
        <w:wordWrap w:val="0"/>
        <w:topLinePunct/>
        <w:spacing w:line="530" w:lineRule="exact"/>
        <w:rPr>
          <w:rFonts w:eastAsia="仿宋"/>
          <w:sz w:val="32"/>
          <w:szCs w:val="32"/>
        </w:rPr>
      </w:pPr>
      <w:r>
        <w:rPr>
          <w:rFonts w:hAnsi="仿宋_GB2312" w:eastAsia="仿宋_GB2312"/>
          <w:sz w:val="32"/>
          <w:szCs w:val="32"/>
        </w:rPr>
        <w:t>区财政局：</w:t>
      </w:r>
    </w:p>
    <w:p>
      <w:pPr>
        <w:wordWrap w:val="0"/>
        <w:topLinePunct/>
        <w:spacing w:line="530" w:lineRule="exact"/>
        <w:ind w:firstLine="640" w:firstLineChars="200"/>
        <w:rPr>
          <w:rFonts w:eastAsia="仿宋"/>
          <w:sz w:val="32"/>
        </w:rPr>
      </w:pPr>
      <w:r>
        <w:rPr>
          <w:rFonts w:eastAsia="仿宋_GB2312"/>
          <w:sz w:val="32"/>
          <w:szCs w:val="32"/>
        </w:rPr>
        <w:t>为了进一步加强部门项目监管，提高项目资金使用效益，根据广元市昭化区财政局</w:t>
      </w:r>
      <w:r>
        <w:rPr>
          <w:rFonts w:eastAsia="仿宋"/>
          <w:sz w:val="32"/>
        </w:rPr>
        <w:t>《关于开展2023年部门、政策和项目支出绩效评价工作的通知》</w:t>
      </w:r>
      <w:r>
        <w:rPr>
          <w:rFonts w:hint="eastAsia" w:eastAsia="仿宋"/>
          <w:sz w:val="32"/>
          <w:lang w:eastAsia="zh-CN"/>
        </w:rPr>
        <w:t>（</w:t>
      </w:r>
      <w:r>
        <w:rPr>
          <w:rFonts w:eastAsia="仿宋"/>
          <w:sz w:val="32"/>
        </w:rPr>
        <w:t>昭财发〔2023〕12号</w:t>
      </w:r>
      <w:r>
        <w:rPr>
          <w:rFonts w:hint="eastAsia" w:eastAsia="仿宋"/>
          <w:sz w:val="32"/>
          <w:lang w:eastAsia="zh-CN"/>
        </w:rPr>
        <w:t>）</w:t>
      </w:r>
      <w:r>
        <w:rPr>
          <w:rFonts w:eastAsia="仿宋"/>
          <w:sz w:val="32"/>
        </w:rPr>
        <w:t>的要求，结合我单位项目实施情况，现将我单位2022年开展</w:t>
      </w:r>
      <w:r>
        <w:rPr>
          <w:rFonts w:hint="eastAsia" w:eastAsia="仿宋"/>
          <w:sz w:val="32"/>
          <w:lang w:eastAsia="zh-CN"/>
        </w:rPr>
        <w:t>督查、目标管理</w:t>
      </w:r>
      <w:r>
        <w:rPr>
          <w:rFonts w:eastAsia="仿宋"/>
          <w:sz w:val="32"/>
        </w:rPr>
        <w:t>等</w:t>
      </w:r>
      <w:r>
        <w:rPr>
          <w:rFonts w:hint="eastAsia" w:eastAsia="仿宋"/>
          <w:sz w:val="32"/>
          <w:lang w:val="en-US" w:eastAsia="zh-CN"/>
        </w:rPr>
        <w:t>2</w:t>
      </w:r>
      <w:r>
        <w:rPr>
          <w:rFonts w:eastAsia="仿宋"/>
          <w:sz w:val="32"/>
        </w:rPr>
        <w:t>个项目支出绩效自评报告如下：</w:t>
      </w:r>
    </w:p>
    <w:p>
      <w:pPr>
        <w:wordWrap w:val="0"/>
        <w:topLinePunct/>
        <w:spacing w:line="530" w:lineRule="exact"/>
        <w:ind w:firstLine="640" w:firstLineChars="200"/>
        <w:rPr>
          <w:rFonts w:eastAsia="黑体"/>
          <w:bCs/>
          <w:sz w:val="32"/>
          <w:szCs w:val="32"/>
        </w:rPr>
      </w:pPr>
      <w:r>
        <w:rPr>
          <w:rFonts w:hAnsi="黑体" w:eastAsia="黑体"/>
          <w:bCs/>
          <w:sz w:val="32"/>
          <w:szCs w:val="32"/>
        </w:rPr>
        <w:t>一、项目概况</w:t>
      </w:r>
    </w:p>
    <w:p>
      <w:pPr>
        <w:wordWrap w:val="0"/>
        <w:topLinePunct/>
        <w:spacing w:line="530" w:lineRule="exact"/>
        <w:ind w:firstLine="640" w:firstLineChars="200"/>
        <w:rPr>
          <w:rFonts w:hint="eastAsia" w:eastAsia="仿宋_GB2312"/>
          <w:sz w:val="32"/>
          <w:szCs w:val="32"/>
          <w:lang w:eastAsia="zh-CN"/>
        </w:rPr>
      </w:pPr>
      <w:r>
        <w:rPr>
          <w:rFonts w:hint="eastAsia" w:ascii="楷体_GB2312" w:hAnsi="楷体_GB2312" w:eastAsia="楷体_GB2312" w:cs="楷体_GB2312"/>
          <w:sz w:val="32"/>
          <w:szCs w:val="32"/>
        </w:rPr>
        <w:t>（一）项目资金申报及批复情况。</w:t>
      </w:r>
      <w:r>
        <w:rPr>
          <w:rFonts w:hAnsi="仿宋_GB2312" w:eastAsia="仿宋_GB2312"/>
          <w:sz w:val="32"/>
          <w:szCs w:val="32"/>
        </w:rPr>
        <w:t>我</w:t>
      </w:r>
      <w:r>
        <w:rPr>
          <w:rFonts w:hint="eastAsia" w:hAnsi="仿宋_GB2312" w:eastAsia="仿宋_GB2312"/>
          <w:sz w:val="32"/>
          <w:szCs w:val="32"/>
          <w:lang w:eastAsia="zh-CN"/>
        </w:rPr>
        <w:t>中心</w:t>
      </w:r>
      <w:r>
        <w:rPr>
          <w:rFonts w:eastAsia="仿宋_GB2312"/>
          <w:sz w:val="32"/>
          <w:szCs w:val="32"/>
        </w:rPr>
        <w:t>2022</w:t>
      </w:r>
      <w:r>
        <w:rPr>
          <w:rFonts w:hAnsi="仿宋_GB2312" w:eastAsia="仿宋_GB2312"/>
          <w:sz w:val="32"/>
          <w:szCs w:val="32"/>
        </w:rPr>
        <w:t>年度区财政局本级预算</w:t>
      </w:r>
      <w:r>
        <w:rPr>
          <w:rFonts w:hint="eastAsia" w:hAnsi="仿宋_GB2312" w:eastAsia="仿宋_GB2312"/>
          <w:sz w:val="32"/>
          <w:szCs w:val="32"/>
          <w:lang w:eastAsia="zh-CN"/>
        </w:rPr>
        <w:t>督查</w:t>
      </w:r>
      <w:r>
        <w:rPr>
          <w:rFonts w:hAnsi="仿宋_GB2312" w:eastAsia="仿宋_GB2312"/>
          <w:sz w:val="32"/>
          <w:szCs w:val="32"/>
        </w:rPr>
        <w:t>经费项目资金</w:t>
      </w:r>
      <w:r>
        <w:rPr>
          <w:rFonts w:hint="eastAsia" w:hAnsi="仿宋_GB2312" w:eastAsia="仿宋_GB2312"/>
          <w:sz w:val="32"/>
          <w:szCs w:val="32"/>
          <w:lang w:val="en-US" w:eastAsia="zh-CN"/>
        </w:rPr>
        <w:t>4</w:t>
      </w:r>
      <w:r>
        <w:rPr>
          <w:rFonts w:eastAsia="仿宋_GB2312"/>
          <w:sz w:val="32"/>
          <w:szCs w:val="32"/>
        </w:rPr>
        <w:t>5</w:t>
      </w:r>
      <w:r>
        <w:rPr>
          <w:rFonts w:hAnsi="仿宋_GB2312" w:eastAsia="仿宋_GB2312"/>
          <w:sz w:val="32"/>
          <w:szCs w:val="32"/>
        </w:rPr>
        <w:t>万元，</w:t>
      </w:r>
      <w:r>
        <w:rPr>
          <w:rFonts w:eastAsia="仿宋_GB2312"/>
          <w:sz w:val="32"/>
          <w:szCs w:val="32"/>
        </w:rPr>
        <w:t>2022</w:t>
      </w:r>
      <w:r>
        <w:rPr>
          <w:rFonts w:hAnsi="仿宋_GB2312" w:eastAsia="仿宋_GB2312"/>
          <w:sz w:val="32"/>
          <w:szCs w:val="32"/>
        </w:rPr>
        <w:t>年</w:t>
      </w:r>
      <w:r>
        <w:rPr>
          <w:rFonts w:hint="eastAsia" w:hAnsi="仿宋_GB2312" w:eastAsia="仿宋_GB2312"/>
          <w:sz w:val="32"/>
          <w:szCs w:val="32"/>
          <w:lang w:eastAsia="zh-CN"/>
        </w:rPr>
        <w:t>目标</w:t>
      </w:r>
      <w:r>
        <w:rPr>
          <w:rFonts w:hint="eastAsia" w:hAnsi="仿宋_GB2312" w:eastAsia="仿宋_GB2312"/>
          <w:sz w:val="32"/>
          <w:szCs w:val="32"/>
          <w:lang w:val="en-US" w:eastAsia="zh-CN"/>
        </w:rPr>
        <w:t>管理经费</w:t>
      </w:r>
      <w:r>
        <w:rPr>
          <w:rFonts w:eastAsia="仿宋_GB2312"/>
          <w:sz w:val="32"/>
          <w:szCs w:val="32"/>
        </w:rPr>
        <w:t>10</w:t>
      </w:r>
      <w:r>
        <w:rPr>
          <w:rFonts w:hAnsi="仿宋_GB2312" w:eastAsia="仿宋_GB2312"/>
          <w:sz w:val="32"/>
          <w:szCs w:val="32"/>
        </w:rPr>
        <w:t>万元</w:t>
      </w:r>
      <w:r>
        <w:rPr>
          <w:rFonts w:hint="eastAsia" w:hAnsi="仿宋_GB2312" w:eastAsia="仿宋_GB2312"/>
          <w:sz w:val="32"/>
          <w:szCs w:val="32"/>
          <w:lang w:eastAsia="zh-CN"/>
        </w:rPr>
        <w:t>。</w:t>
      </w:r>
    </w:p>
    <w:p>
      <w:pPr>
        <w:adjustRightInd w:val="0"/>
        <w:snapToGrid w:val="0"/>
        <w:spacing w:line="520" w:lineRule="exact"/>
        <w:ind w:firstLine="640" w:firstLineChars="200"/>
        <w:rPr>
          <w:rFonts w:hint="eastAsia" w:ascii="仿宋_GB2312" w:hAnsi="宋体" w:eastAsia="仿宋_GB2312"/>
          <w:b/>
          <w:bCs/>
          <w:sz w:val="32"/>
          <w:szCs w:val="32"/>
          <w:lang w:eastAsia="zh-CN"/>
        </w:rPr>
      </w:pPr>
      <w:r>
        <w:rPr>
          <w:rFonts w:hint="eastAsia" w:ascii="楷体_GB2312" w:hAnsi="楷体_GB2312" w:eastAsia="楷体_GB2312" w:cs="楷体_GB2312"/>
          <w:sz w:val="32"/>
          <w:szCs w:val="32"/>
        </w:rPr>
        <w:t>（二）项目绩效目标。</w:t>
      </w:r>
      <w:r>
        <w:rPr>
          <w:rFonts w:hAnsi="仿宋_GB2312" w:eastAsia="仿宋_GB2312"/>
          <w:sz w:val="32"/>
          <w:szCs w:val="32"/>
        </w:rPr>
        <w:t>根据全年工作安排，</w:t>
      </w:r>
      <w:r>
        <w:rPr>
          <w:rFonts w:hint="eastAsia" w:hAnsi="仿宋_GB2312" w:eastAsia="仿宋_GB2312"/>
          <w:sz w:val="32"/>
          <w:szCs w:val="32"/>
          <w:lang w:eastAsia="zh-CN"/>
        </w:rPr>
        <w:t>落实</w:t>
      </w:r>
      <w:r>
        <w:rPr>
          <w:rFonts w:hint="eastAsia" w:ascii="仿宋_GB2312" w:hAnsi="仿宋_GB2312" w:eastAsia="仿宋_GB2312" w:cs="仿宋_GB2312"/>
          <w:color w:val="000000"/>
          <w:sz w:val="32"/>
          <w:szCs w:val="32"/>
          <w:lang w:val="zh-CN" w:eastAsia="zh-CN"/>
        </w:rPr>
        <w:t>中央、省、市、区各项决策，扎实开展督查和目标绩效管理，紧贴区委区政府中心工作开展督促检查，以区委常委会议定事项、区政府常务会议事项、全区重（难）点事项和区委区政府主要领导重要批示办事事项为主要内容，对全区区级各部门、各镇党委进行督查及绩效考评，抽检覆盖率达到</w:t>
      </w:r>
      <w:r>
        <w:rPr>
          <w:rFonts w:hint="default" w:ascii="Times New Roman" w:hAnsi="Times New Roman" w:eastAsia="仿宋_GB2312" w:cs="Times New Roman"/>
          <w:color w:val="000000"/>
          <w:sz w:val="32"/>
          <w:szCs w:val="32"/>
          <w:lang w:val="zh-CN" w:eastAsia="zh-CN"/>
        </w:rPr>
        <w:t>90%</w:t>
      </w:r>
      <w:r>
        <w:rPr>
          <w:rFonts w:hint="eastAsia" w:ascii="仿宋_GB2312" w:hAnsi="仿宋_GB2312" w:eastAsia="仿宋_GB2312" w:cs="仿宋_GB2312"/>
          <w:color w:val="000000"/>
          <w:sz w:val="32"/>
          <w:szCs w:val="32"/>
          <w:lang w:val="zh-CN" w:eastAsia="zh-CN"/>
        </w:rPr>
        <w:t>；根据中央、省、市、区各项决策，及对民生实事目标任务进行细化分解，实行跟踪督办，每月随机抽查，检查频次达到</w:t>
      </w:r>
      <w:r>
        <w:rPr>
          <w:rFonts w:hint="eastAsia" w:ascii="Times New Roman" w:hAnsi="Times New Roman" w:eastAsia="仿宋_GB2312" w:cs="Times New Roman"/>
          <w:color w:val="000000"/>
          <w:sz w:val="32"/>
          <w:szCs w:val="32"/>
          <w:lang w:val="zh-CN" w:eastAsia="zh-CN"/>
        </w:rPr>
        <w:t>90%</w:t>
      </w:r>
      <w:r>
        <w:rPr>
          <w:rFonts w:hint="eastAsia" w:ascii="仿宋_GB2312" w:hAnsi="仿宋_GB2312" w:eastAsia="仿宋_GB2312" w:cs="仿宋_GB2312"/>
          <w:color w:val="000000"/>
          <w:sz w:val="32"/>
          <w:szCs w:val="32"/>
          <w:lang w:val="zh-CN" w:eastAsia="zh-CN"/>
        </w:rPr>
        <w:t>；扎实做好市对区目标考评工作，结合全年目标任务，以责任制+清单制形式分解目标任务，实时跟踪分析目标运行情况，督促各承担市对区考核任务的行业主管部门强化责任目标。受惠群众满意度达</w:t>
      </w:r>
      <w:r>
        <w:rPr>
          <w:rFonts w:hint="eastAsia" w:ascii="Times New Roman" w:hAnsi="Times New Roman" w:eastAsia="仿宋_GB2312" w:cs="Times New Roman"/>
          <w:color w:val="000000"/>
          <w:sz w:val="32"/>
          <w:szCs w:val="32"/>
          <w:lang w:val="zh-CN" w:eastAsia="zh-CN"/>
        </w:rPr>
        <w:t>90%</w:t>
      </w:r>
      <w:r>
        <w:rPr>
          <w:rFonts w:hint="eastAsia" w:ascii="仿宋_GB2312" w:hAnsi="仿宋_GB2312" w:eastAsia="仿宋_GB2312" w:cs="仿宋_GB2312"/>
          <w:color w:val="000000"/>
          <w:sz w:val="32"/>
          <w:szCs w:val="32"/>
          <w:lang w:val="zh-CN" w:eastAsia="zh-CN"/>
        </w:rPr>
        <w:t>。</w:t>
      </w:r>
    </w:p>
    <w:p>
      <w:pPr>
        <w:wordWrap w:val="0"/>
        <w:topLinePunct/>
        <w:spacing w:line="530" w:lineRule="exact"/>
        <w:ind w:firstLine="640" w:firstLineChars="200"/>
        <w:rPr>
          <w:rFonts w:eastAsia="仿宋_GB2312"/>
          <w:sz w:val="32"/>
          <w:szCs w:val="32"/>
        </w:rPr>
      </w:pPr>
      <w:r>
        <w:rPr>
          <w:rFonts w:hint="eastAsia" w:ascii="楷体_GB2312" w:hAnsi="仿宋_GB2312" w:eastAsia="楷体_GB2312"/>
          <w:sz w:val="32"/>
          <w:szCs w:val="32"/>
        </w:rPr>
        <w:t>（三）项目资金申报相符性</w:t>
      </w:r>
      <w:r>
        <w:rPr>
          <w:rFonts w:hAnsi="仿宋_GB2312" w:eastAsia="仿宋_GB2312"/>
          <w:sz w:val="32"/>
          <w:szCs w:val="32"/>
        </w:rPr>
        <w:t>。资金申报完全按照项目实施内容及年度内计划方案实施，资金申报合理，操作性强，可行性高。我</w:t>
      </w:r>
      <w:r>
        <w:rPr>
          <w:rFonts w:hint="eastAsia" w:hAnsi="仿宋_GB2312" w:eastAsia="仿宋_GB2312"/>
          <w:sz w:val="32"/>
          <w:szCs w:val="32"/>
          <w:lang w:eastAsia="zh-CN"/>
        </w:rPr>
        <w:t>中心</w:t>
      </w:r>
      <w:r>
        <w:rPr>
          <w:rFonts w:hAnsi="仿宋_GB2312" w:eastAsia="仿宋_GB2312"/>
          <w:sz w:val="32"/>
          <w:szCs w:val="32"/>
        </w:rPr>
        <w:t>结合资金性质及用途，有预见性、前瞻性地开展工作，有效发挥了资金效益。</w:t>
      </w:r>
    </w:p>
    <w:p>
      <w:pPr>
        <w:wordWrap w:val="0"/>
        <w:topLinePunct/>
        <w:spacing w:line="530" w:lineRule="exact"/>
        <w:ind w:firstLine="640" w:firstLineChars="200"/>
        <w:rPr>
          <w:rFonts w:eastAsia="黑体"/>
          <w:bCs/>
          <w:sz w:val="32"/>
          <w:szCs w:val="32"/>
        </w:rPr>
      </w:pPr>
      <w:r>
        <w:rPr>
          <w:rFonts w:hAnsi="黑体" w:eastAsia="黑体"/>
          <w:bCs/>
          <w:sz w:val="32"/>
          <w:szCs w:val="32"/>
        </w:rPr>
        <w:t>二、项目实施及管理情况</w:t>
      </w:r>
    </w:p>
    <w:p>
      <w:pPr>
        <w:wordWrap w:val="0"/>
        <w:topLinePunct/>
        <w:spacing w:line="530" w:lineRule="exact"/>
        <w:ind w:firstLine="640" w:firstLineChars="200"/>
        <w:rPr>
          <w:rFonts w:eastAsia="仿宋_GB2312"/>
          <w:sz w:val="32"/>
          <w:szCs w:val="32"/>
        </w:rPr>
      </w:pPr>
      <w:r>
        <w:rPr>
          <w:rFonts w:ascii="楷体_GB2312" w:hAnsi="仿宋_GB2312" w:eastAsia="楷体_GB2312"/>
          <w:sz w:val="32"/>
          <w:szCs w:val="32"/>
        </w:rPr>
        <w:t>（一）资金计划、到位及使用情况</w:t>
      </w:r>
      <w:r>
        <w:rPr>
          <w:rFonts w:hAnsi="仿宋_GB2312" w:eastAsia="仿宋_GB2312"/>
          <w:sz w:val="32"/>
          <w:szCs w:val="32"/>
        </w:rPr>
        <w:t>。</w:t>
      </w:r>
      <w:r>
        <w:rPr>
          <w:rFonts w:eastAsia="仿宋_GB2312"/>
          <w:sz w:val="32"/>
          <w:szCs w:val="32"/>
        </w:rPr>
        <w:t>2022</w:t>
      </w:r>
      <w:r>
        <w:rPr>
          <w:rFonts w:hAnsi="仿宋_GB2312" w:eastAsia="仿宋_GB2312"/>
          <w:sz w:val="32"/>
          <w:szCs w:val="32"/>
        </w:rPr>
        <w:t>年</w:t>
      </w:r>
      <w:r>
        <w:rPr>
          <w:rFonts w:hint="eastAsia" w:hAnsi="仿宋_GB2312" w:eastAsia="仿宋_GB2312"/>
          <w:sz w:val="32"/>
          <w:szCs w:val="32"/>
          <w:lang w:eastAsia="zh-CN"/>
        </w:rPr>
        <w:t>督查</w:t>
      </w:r>
      <w:r>
        <w:rPr>
          <w:rFonts w:hAnsi="仿宋_GB2312" w:eastAsia="仿宋_GB2312"/>
          <w:sz w:val="32"/>
          <w:szCs w:val="32"/>
        </w:rPr>
        <w:t>等项目资金计划安排及时，资金拨付能按时到位，我</w:t>
      </w:r>
      <w:r>
        <w:rPr>
          <w:rFonts w:hint="eastAsia" w:hAnsi="仿宋_GB2312" w:eastAsia="仿宋_GB2312"/>
          <w:sz w:val="32"/>
          <w:szCs w:val="32"/>
          <w:lang w:eastAsia="zh-CN"/>
        </w:rPr>
        <w:t>中心</w:t>
      </w:r>
      <w:r>
        <w:rPr>
          <w:rFonts w:hAnsi="仿宋_GB2312" w:eastAsia="仿宋_GB2312"/>
          <w:sz w:val="32"/>
          <w:szCs w:val="32"/>
        </w:rPr>
        <w:t>严格按照各类项目资金使用要求支出，落实专款专用，无任何违规使用的情况。</w:t>
      </w:r>
    </w:p>
    <w:p>
      <w:pPr>
        <w:wordWrap w:val="0"/>
        <w:topLinePunct/>
        <w:spacing w:line="530" w:lineRule="exact"/>
        <w:ind w:firstLine="640" w:firstLineChars="200"/>
        <w:rPr>
          <w:rFonts w:eastAsia="仿宋_GB2312"/>
          <w:sz w:val="32"/>
          <w:szCs w:val="32"/>
        </w:rPr>
      </w:pPr>
      <w:r>
        <w:rPr>
          <w:rFonts w:eastAsia="仿宋_GB2312"/>
          <w:bCs/>
          <w:sz w:val="32"/>
          <w:szCs w:val="32"/>
        </w:rPr>
        <w:t>1.</w:t>
      </w:r>
      <w:r>
        <w:rPr>
          <w:rFonts w:hAnsi="仿宋_GB2312" w:eastAsia="仿宋_GB2312"/>
          <w:bCs/>
          <w:sz w:val="32"/>
          <w:szCs w:val="32"/>
        </w:rPr>
        <w:t>资金计划和到位及时。</w:t>
      </w:r>
      <w:r>
        <w:rPr>
          <w:rFonts w:eastAsia="仿宋_GB2312"/>
          <w:sz w:val="32"/>
          <w:szCs w:val="32"/>
        </w:rPr>
        <w:t>2022</w:t>
      </w:r>
      <w:r>
        <w:rPr>
          <w:rFonts w:hAnsi="仿宋_GB2312" w:eastAsia="仿宋_GB2312"/>
          <w:sz w:val="32"/>
          <w:szCs w:val="32"/>
        </w:rPr>
        <w:t>年度区财政局在有效时限内将</w:t>
      </w:r>
      <w:r>
        <w:rPr>
          <w:rFonts w:hint="eastAsia" w:hAnsi="仿宋_GB2312" w:eastAsia="仿宋_GB2312"/>
          <w:sz w:val="32"/>
          <w:szCs w:val="32"/>
          <w:lang w:eastAsia="zh-CN"/>
        </w:rPr>
        <w:t>督查</w:t>
      </w:r>
      <w:r>
        <w:rPr>
          <w:rFonts w:hAnsi="仿宋_GB2312" w:eastAsia="仿宋_GB2312"/>
          <w:sz w:val="32"/>
          <w:szCs w:val="32"/>
        </w:rPr>
        <w:t>等项目资金指标下达我</w:t>
      </w:r>
      <w:r>
        <w:rPr>
          <w:rFonts w:hint="eastAsia" w:hAnsi="仿宋_GB2312" w:eastAsia="仿宋_GB2312"/>
          <w:sz w:val="32"/>
          <w:szCs w:val="32"/>
          <w:lang w:eastAsia="zh-CN"/>
        </w:rPr>
        <w:t>中心</w:t>
      </w:r>
      <w:r>
        <w:rPr>
          <w:rFonts w:hAnsi="仿宋_GB2312" w:eastAsia="仿宋_GB2312"/>
          <w:sz w:val="32"/>
          <w:szCs w:val="32"/>
        </w:rPr>
        <w:t>，我</w:t>
      </w:r>
      <w:r>
        <w:rPr>
          <w:rFonts w:hint="eastAsia" w:hAnsi="仿宋_GB2312" w:eastAsia="仿宋_GB2312"/>
          <w:sz w:val="32"/>
          <w:szCs w:val="32"/>
          <w:lang w:eastAsia="zh-CN"/>
        </w:rPr>
        <w:t>中心</w:t>
      </w:r>
      <w:r>
        <w:rPr>
          <w:rFonts w:hAnsi="仿宋_GB2312" w:eastAsia="仿宋_GB2312"/>
          <w:sz w:val="32"/>
          <w:szCs w:val="32"/>
        </w:rPr>
        <w:t>根据资金用途制定了详细的项目实施方案及资金使用计划。</w:t>
      </w:r>
    </w:p>
    <w:p>
      <w:pPr>
        <w:wordWrap w:val="0"/>
        <w:topLinePunct/>
        <w:spacing w:line="530" w:lineRule="exact"/>
        <w:ind w:firstLine="640" w:firstLineChars="200"/>
        <w:rPr>
          <w:rFonts w:eastAsia="仿宋_GB2312"/>
          <w:sz w:val="32"/>
          <w:szCs w:val="32"/>
        </w:rPr>
      </w:pPr>
      <w:r>
        <w:rPr>
          <w:rFonts w:eastAsia="仿宋_GB2312"/>
          <w:bCs/>
          <w:sz w:val="32"/>
          <w:szCs w:val="32"/>
        </w:rPr>
        <w:t>2.</w:t>
      </w:r>
      <w:r>
        <w:rPr>
          <w:rFonts w:hAnsi="仿宋_GB2312" w:eastAsia="仿宋_GB2312"/>
          <w:bCs/>
          <w:sz w:val="32"/>
          <w:szCs w:val="32"/>
        </w:rPr>
        <w:t>资金使用符合要求。</w:t>
      </w:r>
      <w:r>
        <w:rPr>
          <w:rFonts w:hAnsi="仿宋_GB2312" w:eastAsia="仿宋_GB2312"/>
          <w:sz w:val="32"/>
          <w:szCs w:val="32"/>
        </w:rPr>
        <w:t>我</w:t>
      </w:r>
      <w:r>
        <w:rPr>
          <w:rFonts w:hint="eastAsia" w:hAnsi="仿宋_GB2312" w:eastAsia="仿宋_GB2312"/>
          <w:sz w:val="32"/>
          <w:szCs w:val="32"/>
          <w:lang w:eastAsia="zh-CN"/>
        </w:rPr>
        <w:t>中心</w:t>
      </w:r>
      <w:r>
        <w:rPr>
          <w:rFonts w:hAnsi="仿宋_GB2312" w:eastAsia="仿宋_GB2312"/>
          <w:sz w:val="32"/>
          <w:szCs w:val="32"/>
        </w:rPr>
        <w:t>项目资金的实际支出完全符合资金开支范围、标准及支付要求，支付依据合规合法，资金支付与预算相符。</w:t>
      </w:r>
    </w:p>
    <w:p>
      <w:pPr>
        <w:wordWrap w:val="0"/>
        <w:topLinePunct/>
        <w:spacing w:line="530" w:lineRule="exact"/>
        <w:ind w:firstLine="640" w:firstLineChars="200"/>
        <w:rPr>
          <w:rFonts w:eastAsia="仿宋_GB2312"/>
          <w:sz w:val="32"/>
          <w:szCs w:val="32"/>
        </w:rPr>
      </w:pPr>
      <w:r>
        <w:rPr>
          <w:rFonts w:ascii="楷体_GB2312" w:hAnsi="仿宋_GB2312" w:eastAsia="楷体_GB2312"/>
          <w:sz w:val="32"/>
          <w:szCs w:val="32"/>
        </w:rPr>
        <w:t>（二）项目财务管理情况</w:t>
      </w:r>
      <w:r>
        <w:rPr>
          <w:rFonts w:hAnsi="仿宋_GB2312" w:eastAsia="仿宋_GB2312"/>
          <w:sz w:val="32"/>
          <w:szCs w:val="32"/>
        </w:rPr>
        <w:t>。为强化专项资金管理，发挥资金的最大使用绩效，我</w:t>
      </w:r>
      <w:r>
        <w:rPr>
          <w:rFonts w:hint="eastAsia" w:hAnsi="仿宋_GB2312" w:eastAsia="仿宋_GB2312"/>
          <w:sz w:val="32"/>
          <w:szCs w:val="32"/>
          <w:lang w:eastAsia="zh-CN"/>
        </w:rPr>
        <w:t>中心</w:t>
      </w:r>
      <w:r>
        <w:rPr>
          <w:rFonts w:hAnsi="仿宋_GB2312" w:eastAsia="仿宋_GB2312"/>
          <w:sz w:val="32"/>
          <w:szCs w:val="32"/>
        </w:rPr>
        <w:t>按照</w:t>
      </w:r>
      <w:r>
        <w:rPr>
          <w:rFonts w:eastAsia="仿宋_GB2312"/>
          <w:sz w:val="32"/>
          <w:szCs w:val="32"/>
        </w:rPr>
        <w:t>“</w:t>
      </w:r>
      <w:r>
        <w:rPr>
          <w:rFonts w:hAnsi="仿宋_GB2312" w:eastAsia="仿宋_GB2312"/>
          <w:sz w:val="32"/>
          <w:szCs w:val="32"/>
        </w:rPr>
        <w:t>统筹兼顾、突出重点、促进发展、专款专用、注重绩效</w:t>
      </w:r>
      <w:r>
        <w:rPr>
          <w:rFonts w:eastAsia="仿宋_GB2312"/>
          <w:sz w:val="32"/>
          <w:szCs w:val="32"/>
        </w:rPr>
        <w:t>”</w:t>
      </w:r>
      <w:r>
        <w:rPr>
          <w:rFonts w:hAnsi="仿宋_GB2312" w:eastAsia="仿宋_GB2312"/>
          <w:sz w:val="32"/>
          <w:szCs w:val="32"/>
        </w:rPr>
        <w:t>的原则，制定了专项资金使用实施方案、项目资金管理办法及内控管理制度等，规范了项目资金的核算及账务处理相关内容，进一步强化监督管理，严格按照各项管理办法、制度执行，充分发挥了资金使用效益。</w:t>
      </w:r>
    </w:p>
    <w:p>
      <w:pPr>
        <w:wordWrap w:val="0"/>
        <w:topLinePunct/>
        <w:spacing w:line="530" w:lineRule="exact"/>
        <w:ind w:firstLine="640" w:firstLineChars="200"/>
        <w:rPr>
          <w:rFonts w:eastAsia="仿宋_GB2312"/>
          <w:sz w:val="32"/>
          <w:szCs w:val="32"/>
        </w:rPr>
      </w:pPr>
      <w:r>
        <w:rPr>
          <w:rFonts w:ascii="楷体_GB2312" w:hAnsi="仿宋_GB2312" w:eastAsia="楷体_GB2312"/>
          <w:sz w:val="32"/>
          <w:szCs w:val="32"/>
        </w:rPr>
        <w:t>（三）项目组织实施情况</w:t>
      </w:r>
      <w:r>
        <w:rPr>
          <w:rFonts w:hAnsi="仿宋_GB2312" w:eastAsia="仿宋_GB2312"/>
          <w:sz w:val="32"/>
          <w:szCs w:val="32"/>
        </w:rPr>
        <w:t>。</w:t>
      </w:r>
      <w:r>
        <w:rPr>
          <w:rFonts w:hint="eastAsia" w:hAnsi="仿宋_GB2312" w:eastAsia="仿宋_GB2312"/>
          <w:sz w:val="32"/>
          <w:szCs w:val="32"/>
          <w:lang w:eastAsia="zh-CN"/>
        </w:rPr>
        <w:t>我中心</w:t>
      </w:r>
      <w:r>
        <w:rPr>
          <w:rFonts w:hAnsi="仿宋_GB2312" w:eastAsia="仿宋_GB2312"/>
          <w:sz w:val="32"/>
          <w:szCs w:val="32"/>
        </w:rPr>
        <w:t>制定了切实可行的工作实施方案，为专项资金的使用提供了坚强的组织保障。严格按照程序化、制度化、公开化、透明化实施。</w:t>
      </w:r>
    </w:p>
    <w:p>
      <w:pPr>
        <w:wordWrap w:val="0"/>
        <w:topLinePunct/>
        <w:spacing w:line="530" w:lineRule="exact"/>
        <w:ind w:firstLine="640" w:firstLineChars="200"/>
        <w:rPr>
          <w:rFonts w:eastAsia="黑体"/>
          <w:b/>
          <w:sz w:val="32"/>
          <w:szCs w:val="32"/>
        </w:rPr>
      </w:pPr>
      <w:r>
        <w:rPr>
          <w:rFonts w:hAnsi="黑体" w:eastAsia="黑体"/>
          <w:bCs/>
          <w:sz w:val="32"/>
          <w:szCs w:val="32"/>
        </w:rPr>
        <w:t>三、项目绩效情况</w:t>
      </w:r>
    </w:p>
    <w:p>
      <w:pPr>
        <w:wordWrap w:val="0"/>
        <w:topLinePunct/>
        <w:spacing w:line="530" w:lineRule="exact"/>
        <w:ind w:firstLine="640" w:firstLineChars="200"/>
        <w:rPr>
          <w:rFonts w:hAnsi="仿宋_GB2312" w:eastAsia="仿宋_GB2312"/>
          <w:sz w:val="32"/>
          <w:szCs w:val="32"/>
        </w:rPr>
      </w:pPr>
      <w:r>
        <w:rPr>
          <w:rFonts w:eastAsia="仿宋_GB2312"/>
          <w:sz w:val="32"/>
          <w:szCs w:val="32"/>
        </w:rPr>
        <w:t>2022</w:t>
      </w:r>
      <w:r>
        <w:rPr>
          <w:rFonts w:hAnsi="仿宋_GB2312" w:eastAsia="仿宋_GB2312"/>
          <w:sz w:val="32"/>
          <w:szCs w:val="32"/>
        </w:rPr>
        <w:t>年度</w:t>
      </w:r>
      <w:r>
        <w:rPr>
          <w:rFonts w:hint="eastAsia" w:hAnsi="仿宋_GB2312" w:eastAsia="仿宋_GB2312"/>
          <w:sz w:val="32"/>
          <w:szCs w:val="32"/>
          <w:lang w:eastAsia="zh-CN"/>
        </w:rPr>
        <w:t>督查</w:t>
      </w:r>
      <w:r>
        <w:rPr>
          <w:rFonts w:hAnsi="仿宋_GB2312" w:eastAsia="仿宋_GB2312"/>
          <w:sz w:val="32"/>
          <w:szCs w:val="32"/>
        </w:rPr>
        <w:t>工作，我</w:t>
      </w:r>
      <w:r>
        <w:rPr>
          <w:rFonts w:hint="eastAsia" w:hAnsi="仿宋_GB2312" w:eastAsia="仿宋_GB2312"/>
          <w:sz w:val="32"/>
          <w:szCs w:val="32"/>
          <w:lang w:eastAsia="zh-CN"/>
        </w:rPr>
        <w:t>中心</w:t>
      </w:r>
      <w:r>
        <w:rPr>
          <w:rFonts w:hAnsi="仿宋_GB2312" w:eastAsia="仿宋_GB2312"/>
          <w:sz w:val="32"/>
          <w:szCs w:val="32"/>
        </w:rPr>
        <w:t>做到了资金与项目方案相符，严格按照方案要求</w:t>
      </w:r>
      <w:r>
        <w:rPr>
          <w:rFonts w:hint="eastAsia" w:hAnsi="仿宋_GB2312" w:eastAsia="仿宋_GB2312"/>
          <w:sz w:val="32"/>
          <w:szCs w:val="32"/>
          <w:lang w:eastAsia="zh-CN"/>
        </w:rPr>
        <w:t>实施</w:t>
      </w:r>
      <w:r>
        <w:rPr>
          <w:rFonts w:hAnsi="仿宋_GB2312" w:eastAsia="仿宋_GB2312"/>
          <w:sz w:val="32"/>
          <w:szCs w:val="32"/>
        </w:rPr>
        <w:t>，加强了资金管理，做到了专款专用，确保了资金的安全，提高了资金使用效率。</w:t>
      </w:r>
    </w:p>
    <w:p>
      <w:pPr>
        <w:wordWrap w:val="0"/>
        <w:topLinePunct/>
        <w:spacing w:line="530" w:lineRule="exact"/>
        <w:ind w:firstLine="640" w:firstLineChars="200"/>
        <w:rPr>
          <w:rFonts w:eastAsia="黑体"/>
          <w:bCs/>
          <w:sz w:val="32"/>
          <w:szCs w:val="32"/>
        </w:rPr>
      </w:pPr>
      <w:r>
        <w:rPr>
          <w:rFonts w:eastAsia="黑体"/>
          <w:bCs/>
          <w:sz w:val="32"/>
          <w:szCs w:val="32"/>
        </w:rPr>
        <w:t>四、评价结论及建议</w:t>
      </w:r>
    </w:p>
    <w:p>
      <w:pPr>
        <w:wordWrap w:val="0"/>
        <w:topLinePunct/>
        <w:spacing w:line="530" w:lineRule="exact"/>
        <w:ind w:firstLine="640" w:firstLineChars="200"/>
        <w:rPr>
          <w:rFonts w:eastAsia="楷体"/>
          <w:sz w:val="32"/>
        </w:rPr>
      </w:pPr>
      <w:r>
        <w:rPr>
          <w:rFonts w:hAnsi="楷体" w:eastAsia="楷体"/>
          <w:sz w:val="32"/>
        </w:rPr>
        <w:t>（一）评价结论</w:t>
      </w:r>
    </w:p>
    <w:p>
      <w:pPr>
        <w:wordWrap w:val="0"/>
        <w:topLinePunct/>
        <w:spacing w:line="53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区</w:t>
      </w:r>
      <w:r>
        <w:rPr>
          <w:rFonts w:hint="eastAsia" w:ascii="仿宋_GB2312" w:hAnsi="仿宋_GB2312" w:eastAsia="仿宋_GB2312" w:cs="仿宋_GB2312"/>
          <w:sz w:val="32"/>
          <w:lang w:eastAsia="zh-CN"/>
        </w:rPr>
        <w:t>目标绩效事务中心</w:t>
      </w:r>
      <w:r>
        <w:rPr>
          <w:rFonts w:eastAsia="仿宋"/>
          <w:sz w:val="32"/>
        </w:rPr>
        <w:t>2022</w:t>
      </w:r>
      <w:r>
        <w:rPr>
          <w:rFonts w:hint="eastAsia" w:ascii="仿宋_GB2312" w:hAnsi="仿宋_GB2312" w:eastAsia="仿宋_GB2312" w:cs="仿宋_GB2312"/>
          <w:sz w:val="32"/>
        </w:rPr>
        <w:t>年度</w:t>
      </w:r>
      <w:r>
        <w:rPr>
          <w:rFonts w:hint="eastAsia" w:ascii="仿宋_GB2312" w:hAnsi="仿宋_GB2312" w:eastAsia="仿宋_GB2312" w:cs="仿宋_GB2312"/>
          <w:sz w:val="32"/>
          <w:lang w:eastAsia="zh-CN"/>
        </w:rPr>
        <w:t>督查</w:t>
      </w:r>
      <w:r>
        <w:rPr>
          <w:rFonts w:hint="eastAsia" w:ascii="仿宋_GB2312" w:hAnsi="仿宋_GB2312" w:eastAsia="仿宋_GB2312" w:cs="仿宋_GB2312"/>
          <w:sz w:val="32"/>
        </w:rPr>
        <w:t>等项目资金支出合规合法，较好</w:t>
      </w:r>
      <w:r>
        <w:rPr>
          <w:rFonts w:hint="eastAsia" w:ascii="仿宋_GB2312" w:hAnsi="仿宋_GB2312" w:eastAsia="仿宋_GB2312" w:cs="仿宋_GB2312"/>
          <w:sz w:val="32"/>
          <w:lang w:eastAsia="zh-CN"/>
        </w:rPr>
        <w:t>地</w:t>
      </w:r>
      <w:r>
        <w:rPr>
          <w:rFonts w:hint="eastAsia" w:ascii="仿宋_GB2312" w:hAnsi="仿宋_GB2312" w:eastAsia="仿宋_GB2312" w:cs="仿宋_GB2312"/>
          <w:sz w:val="32"/>
        </w:rPr>
        <w:t>完成了年度目标绩效任务，对标项目支出绩效评价指标体系，我单位对本项目进行总体自评，评价结果为：优，得分</w:t>
      </w:r>
      <w:r>
        <w:rPr>
          <w:rFonts w:eastAsia="仿宋"/>
          <w:sz w:val="32"/>
        </w:rPr>
        <w:t>9</w:t>
      </w:r>
      <w:r>
        <w:rPr>
          <w:rFonts w:hint="eastAsia" w:eastAsia="仿宋"/>
          <w:sz w:val="32"/>
          <w:lang w:val="en-US" w:eastAsia="zh-CN"/>
        </w:rPr>
        <w:t>5</w:t>
      </w:r>
      <w:r>
        <w:rPr>
          <w:rFonts w:hint="eastAsia" w:ascii="仿宋_GB2312" w:hAnsi="仿宋_GB2312" w:eastAsia="仿宋_GB2312" w:cs="仿宋_GB2312"/>
          <w:sz w:val="32"/>
        </w:rPr>
        <w:t>分。</w:t>
      </w:r>
    </w:p>
    <w:p>
      <w:pPr>
        <w:wordWrap w:val="0"/>
        <w:topLinePunct/>
        <w:spacing w:line="530" w:lineRule="exact"/>
        <w:ind w:firstLine="640" w:firstLineChars="200"/>
        <w:rPr>
          <w:rFonts w:eastAsia="楷体"/>
          <w:sz w:val="32"/>
        </w:rPr>
      </w:pPr>
      <w:r>
        <w:rPr>
          <w:rFonts w:hAnsi="楷体" w:eastAsia="楷体"/>
          <w:sz w:val="32"/>
        </w:rPr>
        <w:t>（二）存在的问题</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default" w:ascii="Times New Roman" w:hAnsi="Times New Roman" w:eastAsia="仿宋_GB2312" w:cs="Times New Roman"/>
          <w:spacing w:val="0"/>
          <w:w w:val="100"/>
          <w:sz w:val="32"/>
          <w:szCs w:val="32"/>
          <w:lang w:eastAsia="zh-CN"/>
        </w:rPr>
      </w:pPr>
      <w:r>
        <w:rPr>
          <w:rFonts w:hint="default" w:ascii="仿宋_GB2312" w:hAnsi="仿宋_GB2312" w:eastAsia="仿宋_GB2312" w:cs="仿宋_GB2312"/>
          <w:kern w:val="2"/>
          <w:sz w:val="32"/>
          <w:szCs w:val="24"/>
          <w:lang w:val="en-US" w:eastAsia="zh-CN" w:bidi="ar-SA"/>
        </w:rPr>
        <w:t>绩效目标编制</w:t>
      </w:r>
      <w:r>
        <w:rPr>
          <w:rFonts w:hint="eastAsia" w:ascii="仿宋_GB2312" w:hAnsi="仿宋_GB2312" w:eastAsia="仿宋_GB2312" w:cs="仿宋_GB2312"/>
          <w:kern w:val="2"/>
          <w:sz w:val="32"/>
          <w:szCs w:val="24"/>
          <w:lang w:val="en-US" w:eastAsia="zh-CN" w:bidi="ar-SA"/>
        </w:rPr>
        <w:t>质量</w:t>
      </w:r>
      <w:r>
        <w:rPr>
          <w:rFonts w:hint="default" w:ascii="仿宋_GB2312" w:hAnsi="仿宋_GB2312" w:eastAsia="仿宋_GB2312" w:cs="仿宋_GB2312"/>
          <w:kern w:val="2"/>
          <w:sz w:val="32"/>
          <w:szCs w:val="24"/>
          <w:lang w:val="en-US" w:eastAsia="zh-CN" w:bidi="ar-SA"/>
        </w:rPr>
        <w:t>有待进一步</w:t>
      </w:r>
      <w:r>
        <w:rPr>
          <w:rFonts w:hint="eastAsia" w:ascii="仿宋_GB2312" w:hAnsi="仿宋_GB2312" w:eastAsia="仿宋_GB2312" w:cs="仿宋_GB2312"/>
          <w:kern w:val="2"/>
          <w:sz w:val="32"/>
          <w:szCs w:val="24"/>
          <w:lang w:val="en-US" w:eastAsia="zh-CN" w:bidi="ar-SA"/>
        </w:rPr>
        <w:t>提高。</w:t>
      </w:r>
    </w:p>
    <w:p>
      <w:pPr>
        <w:wordWrap w:val="0"/>
        <w:topLinePunct/>
        <w:spacing w:line="530" w:lineRule="exact"/>
        <w:ind w:firstLine="640" w:firstLineChars="200"/>
        <w:rPr>
          <w:rFonts w:eastAsia="楷体"/>
          <w:sz w:val="32"/>
        </w:rPr>
      </w:pPr>
      <w:r>
        <w:rPr>
          <w:rFonts w:hAnsi="楷体" w:eastAsia="楷体"/>
          <w:sz w:val="32"/>
        </w:rPr>
        <w:t>（三）相关建议</w:t>
      </w:r>
    </w:p>
    <w:p>
      <w:pPr>
        <w:wordWrap w:val="0"/>
        <w:topLinePunct/>
        <w:spacing w:line="530" w:lineRule="exact"/>
        <w:ind w:firstLine="640" w:firstLineChars="200"/>
        <w:rPr>
          <w:rFonts w:eastAsia="仿宋"/>
          <w:sz w:val="32"/>
        </w:rPr>
      </w:pPr>
      <w:r>
        <w:rPr>
          <w:rFonts w:hint="eastAsia" w:ascii="Times New Roman" w:hAnsi="Times New Roman" w:eastAsia="仿宋_GB2312" w:cs="Times New Roman"/>
          <w:spacing w:val="0"/>
          <w:w w:val="100"/>
          <w:sz w:val="32"/>
          <w:szCs w:val="32"/>
          <w:lang w:eastAsia="zh-CN"/>
        </w:rPr>
        <w:t>建议</w:t>
      </w:r>
      <w:r>
        <w:rPr>
          <w:rFonts w:hint="eastAsia" w:ascii="Times New Roman" w:hAnsi="Times New Roman" w:eastAsia="仿宋_GB2312" w:cs="Times New Roman"/>
          <w:spacing w:val="0"/>
          <w:w w:val="100"/>
          <w:sz w:val="32"/>
          <w:szCs w:val="32"/>
        </w:rPr>
        <w:t>加强对项目绩效评价工作的指导和培训，使项目编制更加符合绩效评价相关要求。</w:t>
      </w:r>
    </w:p>
    <w:p>
      <w:pPr>
        <w:wordWrap w:val="0"/>
        <w:topLinePunct/>
        <w:spacing w:line="530" w:lineRule="exact"/>
        <w:ind w:firstLine="640" w:firstLineChars="200"/>
        <w:rPr>
          <w:rFonts w:eastAsia="仿宋"/>
          <w:sz w:val="32"/>
        </w:rPr>
      </w:pPr>
    </w:p>
    <w:p>
      <w:pPr>
        <w:wordWrap w:val="0"/>
        <w:topLinePunct/>
        <w:spacing w:line="53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附件：区</w:t>
      </w:r>
      <w:r>
        <w:rPr>
          <w:rFonts w:hint="eastAsia" w:ascii="仿宋_GB2312" w:hAnsi="仿宋_GB2312" w:eastAsia="仿宋_GB2312" w:cs="仿宋_GB2312"/>
          <w:sz w:val="32"/>
          <w:lang w:eastAsia="zh-CN"/>
        </w:rPr>
        <w:t>目标绩效事务中心督查</w:t>
      </w:r>
      <w:r>
        <w:rPr>
          <w:rFonts w:hint="eastAsia" w:ascii="仿宋_GB2312" w:hAnsi="仿宋_GB2312" w:eastAsia="仿宋_GB2312" w:cs="仿宋_GB2312"/>
          <w:sz w:val="32"/>
        </w:rPr>
        <w:t>等项目支出绩效自评表</w:t>
      </w:r>
    </w:p>
    <w:p>
      <w:pPr>
        <w:pStyle w:val="30"/>
        <w:wordWrap w:val="0"/>
        <w:topLinePunct/>
        <w:autoSpaceDE/>
        <w:autoSpaceDN/>
        <w:spacing w:line="530" w:lineRule="exact"/>
        <w:ind w:left="5220" w:leftChars="200" w:hanging="4800" w:hangingChars="1500"/>
        <w:rPr>
          <w:rFonts w:ascii="Times New Roman" w:hAnsi="Times New Roman" w:cs="Times New Roman"/>
          <w:sz w:val="32"/>
        </w:rPr>
      </w:pPr>
    </w:p>
    <w:p>
      <w:pPr>
        <w:pStyle w:val="30"/>
        <w:wordWrap w:val="0"/>
        <w:topLinePunct/>
        <w:autoSpaceDE/>
        <w:autoSpaceDN/>
        <w:spacing w:line="530" w:lineRule="exact"/>
        <w:ind w:left="5220" w:leftChars="200" w:hanging="4800" w:hangingChars="1500"/>
        <w:rPr>
          <w:rFonts w:ascii="Times New Roman" w:hAnsi="Times New Roman" w:cs="Times New Roman"/>
          <w:sz w:val="32"/>
        </w:rPr>
      </w:pPr>
    </w:p>
    <w:p>
      <w:pPr>
        <w:wordWrap w:val="0"/>
        <w:topLinePunct/>
        <w:spacing w:before="132" w:line="240" w:lineRule="atLeast"/>
        <w:rPr>
          <w:rFonts w:eastAsia="黑体"/>
          <w:sz w:val="32"/>
          <w:szCs w:val="32"/>
        </w:rPr>
      </w:pPr>
      <w:r>
        <w:rPr>
          <w:rFonts w:hAnsi="黑体" w:eastAsia="黑体"/>
          <w:spacing w:val="-25"/>
          <w:sz w:val="34"/>
          <w:szCs w:val="34"/>
        </w:rPr>
        <w:br w:type="page"/>
      </w:r>
      <w:r>
        <w:rPr>
          <w:rFonts w:hint="eastAsia" w:ascii="黑体" w:hAnsi="黑体" w:eastAsia="黑体" w:cs="黑体"/>
          <w:b w:val="0"/>
          <w:bCs w:val="0"/>
          <w:spacing w:val="-25"/>
          <w:sz w:val="32"/>
          <w:szCs w:val="32"/>
        </w:rPr>
        <w:t>附件</w:t>
      </w:r>
    </w:p>
    <w:p>
      <w:pPr>
        <w:wordWrap w:val="0"/>
        <w:topLinePunct/>
        <w:jc w:val="center"/>
        <w:rPr>
          <w:rFonts w:hint="eastAsia" w:ascii="黑体" w:hAnsi="黑体" w:eastAsia="黑体" w:cs="黑体"/>
          <w:bCs/>
          <w:spacing w:val="28"/>
          <w:sz w:val="40"/>
          <w:szCs w:val="40"/>
        </w:rPr>
      </w:pPr>
      <w:r>
        <w:rPr>
          <w:rFonts w:hint="eastAsia" w:ascii="黑体" w:hAnsi="黑体" w:eastAsia="黑体" w:cs="黑体"/>
          <w:bCs/>
          <w:spacing w:val="28"/>
          <w:sz w:val="40"/>
          <w:szCs w:val="40"/>
        </w:rPr>
        <w:t>广元市昭化区财政项目支出绩效自评表</w:t>
      </w:r>
    </w:p>
    <w:p>
      <w:pPr>
        <w:wordWrap w:val="0"/>
        <w:topLinePunct/>
        <w:spacing w:before="86" w:line="240" w:lineRule="atLeast"/>
        <w:ind w:left="3894"/>
        <w:rPr>
          <w:sz w:val="22"/>
        </w:rPr>
      </w:pPr>
      <w:r>
        <w:rPr>
          <w:spacing w:val="-14"/>
          <w:sz w:val="22"/>
        </w:rPr>
        <w:t>(</w:t>
      </w:r>
      <w:r>
        <w:rPr>
          <w:spacing w:val="32"/>
          <w:sz w:val="22"/>
        </w:rPr>
        <w:t>2022</w:t>
      </w:r>
      <w:r>
        <w:rPr>
          <w:rFonts w:hAnsi="宋体"/>
          <w:spacing w:val="-14"/>
          <w:sz w:val="22"/>
        </w:rPr>
        <w:t>年度</w:t>
      </w:r>
      <w:r>
        <w:rPr>
          <w:rFonts w:hint="eastAsia" w:hAnsi="宋体"/>
          <w:spacing w:val="-14"/>
          <w:sz w:val="22"/>
          <w:lang w:eastAsia="zh-CN"/>
        </w:rPr>
        <w:t>）</w:t>
      </w:r>
    </w:p>
    <w:tbl>
      <w:tblPr>
        <w:tblStyle w:val="19"/>
        <w:tblpPr w:leftFromText="180" w:rightFromText="180" w:vertAnchor="text" w:horzAnchor="page" w:tblpXSpec="center" w:tblpY="273"/>
        <w:tblOverlap w:val="never"/>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762"/>
        <w:gridCol w:w="1242"/>
        <w:gridCol w:w="792"/>
        <w:gridCol w:w="1183"/>
        <w:gridCol w:w="1084"/>
        <w:gridCol w:w="1715"/>
        <w:gridCol w:w="2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599"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项目名称</w:t>
            </w:r>
          </w:p>
        </w:tc>
        <w:tc>
          <w:tcPr>
            <w:tcW w:w="8040" w:type="dxa"/>
            <w:gridSpan w:val="6"/>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eastAsia="zh-CN"/>
              </w:rPr>
              <w:t>督查经费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99"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5"/>
                <w:szCs w:val="21"/>
              </w:rPr>
              <w:t>主管部门</w:t>
            </w:r>
          </w:p>
        </w:tc>
        <w:tc>
          <w:tcPr>
            <w:tcW w:w="3217" w:type="dxa"/>
            <w:gridSpan w:val="3"/>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kern w:val="0"/>
                <w:szCs w:val="21"/>
                <w:lang w:eastAsia="zh-CN"/>
              </w:rPr>
              <w:t>广元市昭化区目标绩效事务中心</w:t>
            </w:r>
          </w:p>
        </w:tc>
        <w:tc>
          <w:tcPr>
            <w:tcW w:w="1084" w:type="dxa"/>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3"/>
                <w:szCs w:val="21"/>
              </w:rPr>
              <w:t>实施单位</w:t>
            </w:r>
          </w:p>
        </w:tc>
        <w:tc>
          <w:tcPr>
            <w:tcW w:w="3739"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kern w:val="0"/>
                <w:szCs w:val="21"/>
                <w:lang w:eastAsia="zh-CN"/>
              </w:rPr>
              <w:t>广元市昭化区目标绩效事务中心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599" w:type="dxa"/>
            <w:gridSpan w:val="2"/>
            <w:vMerge w:val="restart"/>
            <w:tcBorders>
              <w:top w:val="single" w:color="000000" w:sz="2" w:space="0"/>
              <w:bottom w:val="nil"/>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项目资金</w:t>
            </w:r>
            <w:r>
              <w:rPr>
                <w:rFonts w:hint="eastAsia" w:ascii="宋体" w:hAnsi="宋体" w:eastAsia="宋体" w:cs="宋体"/>
                <w:color w:val="000000"/>
                <w:spacing w:val="6"/>
                <w:szCs w:val="21"/>
              </w:rPr>
              <w:t xml:space="preserve"> </w:t>
            </w:r>
            <w:r>
              <w:rPr>
                <w:rFonts w:hint="eastAsia" w:ascii="宋体" w:hAnsi="宋体" w:eastAsia="宋体" w:cs="宋体"/>
                <w:color w:val="000000"/>
                <w:spacing w:val="6"/>
                <w:szCs w:val="21"/>
                <w:lang w:eastAsia="zh-CN"/>
              </w:rPr>
              <w:t>（</w:t>
            </w:r>
            <w:r>
              <w:rPr>
                <w:rFonts w:hint="eastAsia" w:ascii="宋体" w:hAnsi="宋体" w:eastAsia="宋体" w:cs="宋体"/>
                <w:color w:val="000000"/>
                <w:spacing w:val="9"/>
                <w:szCs w:val="21"/>
              </w:rPr>
              <w:t>万元</w:t>
            </w:r>
            <w:r>
              <w:rPr>
                <w:rFonts w:hint="eastAsia" w:ascii="宋体" w:hAnsi="宋体" w:eastAsia="宋体" w:cs="宋体"/>
                <w:color w:val="000000"/>
                <w:spacing w:val="9"/>
                <w:szCs w:val="21"/>
                <w:lang w:eastAsia="zh-CN"/>
              </w:rPr>
              <w:t>）</w:t>
            </w:r>
          </w:p>
        </w:tc>
        <w:tc>
          <w:tcPr>
            <w:tcW w:w="2034"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p>
        </w:tc>
        <w:tc>
          <w:tcPr>
            <w:tcW w:w="2267"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全年预算数</w:t>
            </w:r>
          </w:p>
        </w:tc>
        <w:tc>
          <w:tcPr>
            <w:tcW w:w="1715" w:type="dxa"/>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全年执行数</w:t>
            </w:r>
          </w:p>
        </w:tc>
        <w:tc>
          <w:tcPr>
            <w:tcW w:w="2024" w:type="dxa"/>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执行率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599" w:type="dxa"/>
            <w:gridSpan w:val="2"/>
            <w:vMerge w:val="continue"/>
            <w:tcBorders>
              <w:top w:val="nil"/>
              <w:bottom w:val="nil"/>
            </w:tcBorders>
            <w:vAlign w:val="center"/>
          </w:tcPr>
          <w:p>
            <w:pPr>
              <w:wordWrap w:val="0"/>
              <w:topLinePunct/>
              <w:jc w:val="center"/>
              <w:rPr>
                <w:rFonts w:hint="eastAsia" w:ascii="宋体" w:hAnsi="宋体" w:eastAsia="宋体" w:cs="宋体"/>
                <w:color w:val="000000"/>
                <w:szCs w:val="21"/>
              </w:rPr>
            </w:pPr>
          </w:p>
        </w:tc>
        <w:tc>
          <w:tcPr>
            <w:tcW w:w="2034"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年度资金总额</w:t>
            </w:r>
          </w:p>
        </w:tc>
        <w:tc>
          <w:tcPr>
            <w:tcW w:w="2267" w:type="dxa"/>
            <w:gridSpan w:val="2"/>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45</w:t>
            </w:r>
          </w:p>
        </w:tc>
        <w:tc>
          <w:tcPr>
            <w:tcW w:w="1715"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45</w:t>
            </w:r>
          </w:p>
        </w:tc>
        <w:tc>
          <w:tcPr>
            <w:tcW w:w="2024"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99" w:type="dxa"/>
            <w:gridSpan w:val="2"/>
            <w:vMerge w:val="continue"/>
            <w:tcBorders>
              <w:top w:val="nil"/>
              <w:bottom w:val="nil"/>
            </w:tcBorders>
            <w:vAlign w:val="center"/>
          </w:tcPr>
          <w:p>
            <w:pPr>
              <w:wordWrap w:val="0"/>
              <w:topLinePunct/>
              <w:jc w:val="center"/>
              <w:rPr>
                <w:rFonts w:hint="eastAsia" w:ascii="宋体" w:hAnsi="宋体" w:eastAsia="宋体" w:cs="宋体"/>
                <w:color w:val="000000"/>
                <w:szCs w:val="21"/>
              </w:rPr>
            </w:pPr>
          </w:p>
        </w:tc>
        <w:tc>
          <w:tcPr>
            <w:tcW w:w="2034"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rPr>
              <w:t>一</w:t>
            </w:r>
            <w:r>
              <w:rPr>
                <w:rFonts w:hint="eastAsia" w:ascii="宋体" w:hAnsi="宋体" w:eastAsia="宋体" w:cs="宋体"/>
                <w:color w:val="000000"/>
                <w:szCs w:val="21"/>
                <w:lang w:eastAsia="zh-CN"/>
              </w:rPr>
              <w:t>）</w:t>
            </w:r>
            <w:r>
              <w:rPr>
                <w:rFonts w:hint="eastAsia" w:ascii="宋体" w:hAnsi="宋体" w:eastAsia="宋体" w:cs="宋体"/>
                <w:color w:val="000000"/>
                <w:szCs w:val="21"/>
              </w:rPr>
              <w:t>财政拨款小计</w:t>
            </w:r>
          </w:p>
        </w:tc>
        <w:tc>
          <w:tcPr>
            <w:tcW w:w="2267" w:type="dxa"/>
            <w:gridSpan w:val="2"/>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45</w:t>
            </w:r>
          </w:p>
        </w:tc>
        <w:tc>
          <w:tcPr>
            <w:tcW w:w="1715"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45</w:t>
            </w:r>
          </w:p>
        </w:tc>
        <w:tc>
          <w:tcPr>
            <w:tcW w:w="2024"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599" w:type="dxa"/>
            <w:gridSpan w:val="2"/>
            <w:vMerge w:val="continue"/>
            <w:tcBorders>
              <w:top w:val="nil"/>
              <w:bottom w:val="nil"/>
            </w:tcBorders>
            <w:vAlign w:val="center"/>
          </w:tcPr>
          <w:p>
            <w:pPr>
              <w:wordWrap w:val="0"/>
              <w:topLinePunct/>
              <w:jc w:val="center"/>
              <w:rPr>
                <w:rFonts w:hint="eastAsia" w:ascii="宋体" w:hAnsi="宋体" w:eastAsia="宋体" w:cs="宋体"/>
                <w:color w:val="000000"/>
                <w:szCs w:val="21"/>
              </w:rPr>
            </w:pPr>
          </w:p>
        </w:tc>
        <w:tc>
          <w:tcPr>
            <w:tcW w:w="2034"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1"/>
                <w:szCs w:val="21"/>
              </w:rPr>
              <w:t>1.一般公共预算</w:t>
            </w:r>
          </w:p>
        </w:tc>
        <w:tc>
          <w:tcPr>
            <w:tcW w:w="2267" w:type="dxa"/>
            <w:gridSpan w:val="2"/>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45</w:t>
            </w:r>
          </w:p>
        </w:tc>
        <w:tc>
          <w:tcPr>
            <w:tcW w:w="1715"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45</w:t>
            </w:r>
          </w:p>
        </w:tc>
        <w:tc>
          <w:tcPr>
            <w:tcW w:w="2024"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599" w:type="dxa"/>
            <w:gridSpan w:val="2"/>
            <w:vMerge w:val="continue"/>
            <w:tcBorders>
              <w:top w:val="nil"/>
              <w:bottom w:val="nil"/>
            </w:tcBorders>
            <w:vAlign w:val="center"/>
          </w:tcPr>
          <w:p>
            <w:pPr>
              <w:wordWrap w:val="0"/>
              <w:topLinePunct/>
              <w:jc w:val="center"/>
              <w:rPr>
                <w:rFonts w:hint="eastAsia" w:ascii="宋体" w:hAnsi="宋体" w:eastAsia="宋体" w:cs="宋体"/>
                <w:color w:val="000000"/>
                <w:szCs w:val="21"/>
              </w:rPr>
            </w:pPr>
          </w:p>
        </w:tc>
        <w:tc>
          <w:tcPr>
            <w:tcW w:w="2034"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2.政府性基金</w:t>
            </w:r>
          </w:p>
        </w:tc>
        <w:tc>
          <w:tcPr>
            <w:tcW w:w="2267" w:type="dxa"/>
            <w:gridSpan w:val="2"/>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c>
          <w:tcPr>
            <w:tcW w:w="1715"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c>
          <w:tcPr>
            <w:tcW w:w="2024"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599" w:type="dxa"/>
            <w:gridSpan w:val="2"/>
            <w:vMerge w:val="continue"/>
            <w:tcBorders>
              <w:top w:val="nil"/>
              <w:bottom w:val="nil"/>
            </w:tcBorders>
            <w:vAlign w:val="center"/>
          </w:tcPr>
          <w:p>
            <w:pPr>
              <w:wordWrap w:val="0"/>
              <w:topLinePunct/>
              <w:jc w:val="center"/>
              <w:rPr>
                <w:rFonts w:hint="eastAsia" w:ascii="宋体" w:hAnsi="宋体" w:eastAsia="宋体" w:cs="宋体"/>
                <w:color w:val="000000"/>
                <w:szCs w:val="21"/>
              </w:rPr>
            </w:pPr>
          </w:p>
        </w:tc>
        <w:tc>
          <w:tcPr>
            <w:tcW w:w="2034"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1"/>
                <w:szCs w:val="21"/>
              </w:rPr>
              <w:t>3.国有资本经营预算</w:t>
            </w:r>
          </w:p>
        </w:tc>
        <w:tc>
          <w:tcPr>
            <w:tcW w:w="2267" w:type="dxa"/>
            <w:gridSpan w:val="2"/>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c>
          <w:tcPr>
            <w:tcW w:w="1715"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c>
          <w:tcPr>
            <w:tcW w:w="2024"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599" w:type="dxa"/>
            <w:gridSpan w:val="2"/>
            <w:vMerge w:val="continue"/>
            <w:tcBorders>
              <w:top w:val="nil"/>
              <w:bottom w:val="nil"/>
            </w:tcBorders>
            <w:vAlign w:val="center"/>
          </w:tcPr>
          <w:p>
            <w:pPr>
              <w:wordWrap w:val="0"/>
              <w:topLinePunct/>
              <w:jc w:val="center"/>
              <w:rPr>
                <w:rFonts w:hint="eastAsia" w:ascii="宋体" w:hAnsi="宋体" w:eastAsia="宋体" w:cs="宋体"/>
                <w:color w:val="000000"/>
                <w:szCs w:val="21"/>
              </w:rPr>
            </w:pPr>
          </w:p>
        </w:tc>
        <w:tc>
          <w:tcPr>
            <w:tcW w:w="2034"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1"/>
                <w:szCs w:val="21"/>
              </w:rPr>
              <w:t>4.社保基金</w:t>
            </w:r>
          </w:p>
        </w:tc>
        <w:tc>
          <w:tcPr>
            <w:tcW w:w="2267" w:type="dxa"/>
            <w:gridSpan w:val="2"/>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c>
          <w:tcPr>
            <w:tcW w:w="1715"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c>
          <w:tcPr>
            <w:tcW w:w="2024"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599" w:type="dxa"/>
            <w:gridSpan w:val="2"/>
            <w:vMerge w:val="continue"/>
            <w:tcBorders>
              <w:top w:val="nil"/>
              <w:bottom w:val="single" w:color="000000" w:sz="2" w:space="0"/>
            </w:tcBorders>
            <w:vAlign w:val="center"/>
          </w:tcPr>
          <w:p>
            <w:pPr>
              <w:wordWrap w:val="0"/>
              <w:topLinePunct/>
              <w:jc w:val="center"/>
              <w:rPr>
                <w:rFonts w:hint="eastAsia" w:ascii="宋体" w:hAnsi="宋体" w:eastAsia="宋体" w:cs="宋体"/>
                <w:color w:val="000000"/>
                <w:szCs w:val="21"/>
              </w:rPr>
            </w:pPr>
          </w:p>
        </w:tc>
        <w:tc>
          <w:tcPr>
            <w:tcW w:w="2034"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1"/>
                <w:szCs w:val="21"/>
                <w:lang w:eastAsia="zh-CN"/>
              </w:rPr>
              <w:t>（</w:t>
            </w:r>
            <w:r>
              <w:rPr>
                <w:rFonts w:hint="eastAsia" w:ascii="宋体" w:hAnsi="宋体" w:eastAsia="宋体" w:cs="宋体"/>
                <w:color w:val="000000"/>
                <w:spacing w:val="1"/>
                <w:szCs w:val="21"/>
              </w:rPr>
              <w:t>二</w:t>
            </w:r>
            <w:r>
              <w:rPr>
                <w:rFonts w:hint="eastAsia" w:ascii="宋体" w:hAnsi="宋体" w:eastAsia="宋体" w:cs="宋体"/>
                <w:color w:val="000000"/>
                <w:spacing w:val="1"/>
                <w:szCs w:val="21"/>
                <w:lang w:eastAsia="zh-CN"/>
              </w:rPr>
              <w:t>）</w:t>
            </w:r>
            <w:r>
              <w:rPr>
                <w:rFonts w:hint="eastAsia" w:ascii="宋体" w:hAnsi="宋体" w:eastAsia="宋体" w:cs="宋体"/>
                <w:color w:val="000000"/>
                <w:spacing w:val="1"/>
                <w:szCs w:val="21"/>
              </w:rPr>
              <w:t>其他资金</w:t>
            </w:r>
          </w:p>
        </w:tc>
        <w:tc>
          <w:tcPr>
            <w:tcW w:w="2267" w:type="dxa"/>
            <w:gridSpan w:val="2"/>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c>
          <w:tcPr>
            <w:tcW w:w="1715"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c>
          <w:tcPr>
            <w:tcW w:w="2024"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837" w:type="dxa"/>
            <w:vMerge w:val="restart"/>
            <w:tcBorders>
              <w:top w:val="single" w:color="000000" w:sz="2" w:space="0"/>
              <w:bottom w:val="nil"/>
            </w:tcBorders>
            <w:vAlign w:val="center"/>
          </w:tcPr>
          <w:p>
            <w:pPr>
              <w:wordWrap w:val="0"/>
              <w:topLinePunct/>
              <w:jc w:val="center"/>
              <w:rPr>
                <w:rFonts w:hint="eastAsia" w:ascii="宋体" w:hAnsi="宋体" w:eastAsia="宋体" w:cs="宋体"/>
                <w:color w:val="000000"/>
                <w:spacing w:val="-2"/>
                <w:szCs w:val="21"/>
              </w:rPr>
            </w:pPr>
            <w:r>
              <w:rPr>
                <w:rFonts w:hint="eastAsia" w:ascii="宋体" w:hAnsi="宋体" w:eastAsia="宋体" w:cs="宋体"/>
                <w:color w:val="000000"/>
                <w:spacing w:val="-2"/>
                <w:szCs w:val="21"/>
              </w:rPr>
              <w:t>年度总体</w:t>
            </w:r>
          </w:p>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目标</w:t>
            </w:r>
          </w:p>
        </w:tc>
        <w:tc>
          <w:tcPr>
            <w:tcW w:w="5063" w:type="dxa"/>
            <w:gridSpan w:val="5"/>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预期目标</w:t>
            </w:r>
          </w:p>
        </w:tc>
        <w:tc>
          <w:tcPr>
            <w:tcW w:w="3739"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837" w:type="dxa"/>
            <w:vMerge w:val="continue"/>
            <w:tcBorders>
              <w:top w:val="nil"/>
              <w:bottom w:val="single" w:color="auto" w:sz="4" w:space="0"/>
            </w:tcBorders>
            <w:vAlign w:val="center"/>
          </w:tcPr>
          <w:p>
            <w:pPr>
              <w:wordWrap w:val="0"/>
              <w:topLinePunct/>
              <w:jc w:val="center"/>
              <w:rPr>
                <w:rFonts w:hint="eastAsia" w:ascii="宋体" w:hAnsi="宋体" w:eastAsia="宋体" w:cs="宋体"/>
                <w:color w:val="000000"/>
                <w:szCs w:val="21"/>
              </w:rPr>
            </w:pPr>
          </w:p>
        </w:tc>
        <w:tc>
          <w:tcPr>
            <w:tcW w:w="5063" w:type="dxa"/>
            <w:gridSpan w:val="5"/>
            <w:tcBorders>
              <w:top w:val="single" w:color="000000" w:sz="2" w:space="0"/>
              <w:bottom w:val="single" w:color="auto" w:sz="4" w:space="0"/>
            </w:tcBorders>
            <w:vAlign w:val="center"/>
          </w:tcPr>
          <w:p>
            <w:pPr>
              <w:wordWrap w:val="0"/>
              <w:topLinePunct/>
              <w:ind w:firstLine="416" w:firstLineChars="200"/>
              <w:jc w:val="left"/>
              <w:rPr>
                <w:rFonts w:hint="eastAsia" w:ascii="宋体" w:hAnsi="宋体" w:eastAsia="宋体" w:cs="宋体"/>
                <w:color w:val="000000"/>
                <w:szCs w:val="21"/>
                <w:lang w:eastAsia="zh-CN"/>
              </w:rPr>
            </w:pPr>
            <w:r>
              <w:rPr>
                <w:rFonts w:hint="eastAsia" w:ascii="宋体" w:hAnsi="宋体" w:eastAsia="宋体" w:cs="宋体"/>
                <w:color w:val="000000"/>
                <w:spacing w:val="-1"/>
                <w:szCs w:val="21"/>
                <w:lang w:eastAsia="zh-CN"/>
              </w:rPr>
              <w:t>对于长期督查的工作和单位，通过定期督查，促进完成目标任务。</w:t>
            </w:r>
          </w:p>
        </w:tc>
        <w:tc>
          <w:tcPr>
            <w:tcW w:w="3739" w:type="dxa"/>
            <w:gridSpan w:val="2"/>
            <w:tcBorders>
              <w:top w:val="single" w:color="000000" w:sz="2" w:space="0"/>
              <w:bottom w:val="single" w:color="auto" w:sz="4" w:space="0"/>
            </w:tcBorders>
            <w:vAlign w:val="center"/>
          </w:tcPr>
          <w:p>
            <w:pPr>
              <w:wordWrap w:val="0"/>
              <w:topLinePun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全面完成年度目标任务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837"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pacing w:val="-2"/>
                <w:szCs w:val="21"/>
              </w:rPr>
            </w:pPr>
            <w:r>
              <w:rPr>
                <w:rFonts w:hint="eastAsia" w:ascii="宋体" w:hAnsi="宋体" w:eastAsia="宋体" w:cs="宋体"/>
                <w:spacing w:val="-2"/>
                <w:szCs w:val="21"/>
              </w:rPr>
              <w:t>绩</w:t>
            </w:r>
          </w:p>
          <w:p>
            <w:pPr>
              <w:wordWrap w:val="0"/>
              <w:topLinePunct/>
              <w:jc w:val="center"/>
              <w:rPr>
                <w:rFonts w:hint="eastAsia" w:ascii="宋体" w:hAnsi="宋体" w:eastAsia="宋体" w:cs="宋体"/>
                <w:spacing w:val="-2"/>
                <w:szCs w:val="21"/>
              </w:rPr>
            </w:pPr>
            <w:r>
              <w:rPr>
                <w:rFonts w:hint="eastAsia" w:ascii="宋体" w:hAnsi="宋体" w:eastAsia="宋体" w:cs="宋体"/>
                <w:spacing w:val="-2"/>
                <w:szCs w:val="21"/>
              </w:rPr>
              <w:t>效</w:t>
            </w:r>
          </w:p>
          <w:p>
            <w:pPr>
              <w:wordWrap w:val="0"/>
              <w:topLinePunct/>
              <w:jc w:val="center"/>
              <w:rPr>
                <w:rFonts w:hint="eastAsia" w:ascii="宋体" w:hAnsi="宋体" w:eastAsia="宋体" w:cs="宋体"/>
                <w:spacing w:val="-2"/>
                <w:szCs w:val="21"/>
              </w:rPr>
            </w:pPr>
            <w:r>
              <w:rPr>
                <w:rFonts w:hint="eastAsia" w:ascii="宋体" w:hAnsi="宋体" w:eastAsia="宋体" w:cs="宋体"/>
                <w:spacing w:val="-2"/>
                <w:szCs w:val="21"/>
              </w:rPr>
              <w:t>指</w:t>
            </w:r>
          </w:p>
          <w:p>
            <w:pPr>
              <w:wordWrap w:val="0"/>
              <w:topLinePunct/>
              <w:jc w:val="center"/>
              <w:rPr>
                <w:rFonts w:hint="eastAsia" w:ascii="宋体" w:hAnsi="宋体" w:eastAsia="宋体" w:cs="宋体"/>
                <w:szCs w:val="21"/>
              </w:rPr>
            </w:pPr>
            <w:r>
              <w:rPr>
                <w:rFonts w:hint="eastAsia" w:ascii="宋体" w:hAnsi="宋体" w:eastAsia="宋体" w:cs="宋体"/>
                <w:spacing w:val="-2"/>
                <w:szCs w:val="21"/>
              </w:rPr>
              <w:t>标</w:t>
            </w:r>
          </w:p>
        </w:tc>
        <w:tc>
          <w:tcPr>
            <w:tcW w:w="762"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5"/>
                <w:szCs w:val="21"/>
              </w:rPr>
              <w:t>一级</w:t>
            </w:r>
          </w:p>
          <w:p>
            <w:pPr>
              <w:wordWrap w:val="0"/>
              <w:topLinePunct/>
              <w:jc w:val="center"/>
              <w:rPr>
                <w:rFonts w:hint="eastAsia" w:ascii="宋体" w:hAnsi="宋体" w:eastAsia="宋体" w:cs="宋体"/>
                <w:szCs w:val="21"/>
              </w:rPr>
            </w:pPr>
            <w:r>
              <w:rPr>
                <w:rFonts w:hint="eastAsia" w:ascii="宋体" w:hAnsi="宋体" w:eastAsia="宋体" w:cs="宋体"/>
                <w:spacing w:val="-3"/>
                <w:szCs w:val="21"/>
              </w:rPr>
              <w:t>指标</w:t>
            </w:r>
          </w:p>
        </w:tc>
        <w:tc>
          <w:tcPr>
            <w:tcW w:w="1242"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2"/>
                <w:szCs w:val="21"/>
              </w:rPr>
              <w:t>二级指标</w:t>
            </w:r>
          </w:p>
        </w:tc>
        <w:tc>
          <w:tcPr>
            <w:tcW w:w="1975" w:type="dxa"/>
            <w:gridSpan w:val="2"/>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2"/>
                <w:szCs w:val="21"/>
              </w:rPr>
              <w:t>三级指标</w:t>
            </w:r>
          </w:p>
        </w:tc>
        <w:tc>
          <w:tcPr>
            <w:tcW w:w="1084"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2"/>
                <w:szCs w:val="21"/>
              </w:rPr>
              <w:t>年度指标值</w:t>
            </w:r>
          </w:p>
        </w:tc>
        <w:tc>
          <w:tcPr>
            <w:tcW w:w="171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2"/>
                <w:szCs w:val="21"/>
              </w:rPr>
              <w:t>实际完成值</w:t>
            </w:r>
          </w:p>
        </w:tc>
        <w:tc>
          <w:tcPr>
            <w:tcW w:w="2024"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4"/>
                <w:szCs w:val="21"/>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837"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762" w:type="dxa"/>
            <w:vMerge w:val="restart"/>
            <w:tcBorders>
              <w:top w:val="single" w:color="auto" w:sz="4" w:space="0"/>
              <w:left w:val="single" w:color="auto" w:sz="4" w:space="0"/>
              <w:right w:val="single" w:color="auto" w:sz="4" w:space="0"/>
            </w:tcBorders>
            <w:vAlign w:val="center"/>
          </w:tcPr>
          <w:p>
            <w:pPr>
              <w:wordWrap w:val="0"/>
              <w:topLinePunct/>
              <w:jc w:val="center"/>
              <w:rPr>
                <w:rFonts w:hint="eastAsia" w:ascii="宋体" w:hAnsi="宋体" w:eastAsia="宋体" w:cs="宋体"/>
                <w:szCs w:val="21"/>
              </w:rPr>
            </w:pPr>
          </w:p>
          <w:p>
            <w:pPr>
              <w:wordWrap w:val="0"/>
              <w:topLinePunct/>
              <w:jc w:val="center"/>
              <w:rPr>
                <w:rFonts w:hint="eastAsia" w:ascii="宋体" w:hAnsi="宋体" w:eastAsia="宋体" w:cs="宋体"/>
                <w:szCs w:val="21"/>
              </w:rPr>
            </w:pPr>
            <w:r>
              <w:rPr>
                <w:rFonts w:hint="eastAsia" w:ascii="宋体" w:hAnsi="宋体" w:eastAsia="宋体" w:cs="宋体"/>
                <w:spacing w:val="10"/>
                <w:szCs w:val="21"/>
              </w:rPr>
              <w:t>产出</w:t>
            </w:r>
          </w:p>
          <w:p>
            <w:pPr>
              <w:wordWrap w:val="0"/>
              <w:topLinePunct/>
              <w:jc w:val="center"/>
              <w:rPr>
                <w:rFonts w:hint="eastAsia" w:ascii="宋体" w:hAnsi="宋体" w:eastAsia="宋体" w:cs="宋体"/>
                <w:szCs w:val="21"/>
              </w:rPr>
            </w:pPr>
            <w:r>
              <w:rPr>
                <w:rFonts w:hint="eastAsia" w:ascii="宋体" w:hAnsi="宋体" w:eastAsia="宋体" w:cs="宋体"/>
                <w:spacing w:val="-3"/>
                <w:szCs w:val="21"/>
              </w:rPr>
              <w:t>指标</w:t>
            </w:r>
          </w:p>
        </w:tc>
        <w:tc>
          <w:tcPr>
            <w:tcW w:w="1242" w:type="dxa"/>
            <w:tcBorders>
              <w:top w:val="single" w:color="auto" w:sz="4" w:space="0"/>
              <w:left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2"/>
                <w:szCs w:val="21"/>
              </w:rPr>
              <w:t>数量指标</w:t>
            </w:r>
          </w:p>
        </w:tc>
        <w:tc>
          <w:tcPr>
            <w:tcW w:w="1975" w:type="dxa"/>
            <w:gridSpan w:val="2"/>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lang w:eastAsia="zh-CN"/>
              </w:rPr>
              <w:t>抽查覆盖率</w:t>
            </w:r>
          </w:p>
        </w:tc>
        <w:tc>
          <w:tcPr>
            <w:tcW w:w="1084"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90</w:t>
            </w:r>
          </w:p>
        </w:tc>
        <w:tc>
          <w:tcPr>
            <w:tcW w:w="1715" w:type="dxa"/>
            <w:tcBorders>
              <w:top w:val="single" w:color="auto" w:sz="4" w:space="0"/>
              <w:left w:val="single" w:color="auto" w:sz="4" w:space="0"/>
              <w:bottom w:val="single" w:color="auto" w:sz="4" w:space="0"/>
              <w:right w:val="single" w:color="auto" w:sz="4" w:space="0"/>
            </w:tcBorders>
            <w:vAlign w:val="center"/>
          </w:tcPr>
          <w:p>
            <w:pPr>
              <w:wordWrap w:val="0"/>
              <w:topLinePunct/>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100%</w:t>
            </w:r>
          </w:p>
        </w:tc>
        <w:tc>
          <w:tcPr>
            <w:tcW w:w="2024"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37"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762" w:type="dxa"/>
            <w:vMerge w:val="continue"/>
            <w:tcBorders>
              <w:left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2"/>
                <w:szCs w:val="21"/>
              </w:rPr>
              <w:t>质量指标</w:t>
            </w:r>
          </w:p>
        </w:tc>
        <w:tc>
          <w:tcPr>
            <w:tcW w:w="1975" w:type="dxa"/>
            <w:gridSpan w:val="2"/>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eastAsia="zh-CN"/>
              </w:rPr>
            </w:pPr>
            <w:r>
              <w:rPr>
                <w:rFonts w:hint="eastAsia" w:ascii="宋体" w:hAnsi="宋体" w:eastAsia="宋体" w:cs="宋体"/>
                <w:szCs w:val="21"/>
                <w:lang w:eastAsia="zh-CN"/>
              </w:rPr>
              <w:t>检查频次</w:t>
            </w:r>
          </w:p>
        </w:tc>
        <w:tc>
          <w:tcPr>
            <w:tcW w:w="1084"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90</w:t>
            </w:r>
          </w:p>
        </w:tc>
        <w:tc>
          <w:tcPr>
            <w:tcW w:w="171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100%</w:t>
            </w:r>
          </w:p>
        </w:tc>
        <w:tc>
          <w:tcPr>
            <w:tcW w:w="2024"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37"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762" w:type="dxa"/>
            <w:vMerge w:val="continue"/>
            <w:tcBorders>
              <w:left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1"/>
                <w:szCs w:val="21"/>
              </w:rPr>
              <w:t>时效指标</w:t>
            </w:r>
          </w:p>
        </w:tc>
        <w:tc>
          <w:tcPr>
            <w:tcW w:w="1975" w:type="dxa"/>
            <w:gridSpan w:val="2"/>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eastAsia="zh-CN"/>
              </w:rPr>
            </w:pPr>
            <w:r>
              <w:rPr>
                <w:rFonts w:hint="eastAsia" w:ascii="宋体" w:hAnsi="宋体" w:eastAsia="宋体" w:cs="宋体"/>
                <w:szCs w:val="21"/>
                <w:lang w:eastAsia="zh-CN"/>
              </w:rPr>
              <w:t>整改率</w:t>
            </w:r>
          </w:p>
        </w:tc>
        <w:tc>
          <w:tcPr>
            <w:tcW w:w="1084"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90</w:t>
            </w:r>
          </w:p>
        </w:tc>
        <w:tc>
          <w:tcPr>
            <w:tcW w:w="171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100</w:t>
            </w:r>
            <w:r>
              <w:rPr>
                <w:rFonts w:hint="eastAsia" w:ascii="宋体" w:hAnsi="宋体" w:eastAsia="宋体" w:cs="宋体"/>
                <w:szCs w:val="21"/>
              </w:rPr>
              <w:t>%</w:t>
            </w:r>
          </w:p>
        </w:tc>
        <w:tc>
          <w:tcPr>
            <w:tcW w:w="2024"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762" w:type="dxa"/>
            <w:vMerge w:val="continue"/>
            <w:tcBorders>
              <w:left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2"/>
                <w:szCs w:val="21"/>
              </w:rPr>
              <w:t>成本指标</w:t>
            </w:r>
          </w:p>
        </w:tc>
        <w:tc>
          <w:tcPr>
            <w:tcW w:w="1975" w:type="dxa"/>
            <w:gridSpan w:val="2"/>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eastAsia="zh-CN"/>
              </w:rPr>
            </w:pPr>
            <w:r>
              <w:rPr>
                <w:rFonts w:hint="eastAsia" w:ascii="宋体" w:hAnsi="宋体" w:eastAsia="宋体" w:cs="宋体"/>
                <w:szCs w:val="21"/>
                <w:lang w:eastAsia="zh-CN"/>
              </w:rPr>
              <w:t>资金到位率</w:t>
            </w:r>
          </w:p>
        </w:tc>
        <w:tc>
          <w:tcPr>
            <w:tcW w:w="1084"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lang w:val="en-US" w:eastAsia="zh-CN"/>
              </w:rPr>
              <w:t>=45</w:t>
            </w:r>
            <w:r>
              <w:rPr>
                <w:rFonts w:hint="eastAsia" w:ascii="宋体" w:hAnsi="宋体" w:eastAsia="宋体" w:cs="宋体"/>
                <w:color w:val="000000"/>
                <w:kern w:val="0"/>
                <w:szCs w:val="21"/>
              </w:rPr>
              <w:t>万元</w:t>
            </w:r>
          </w:p>
        </w:tc>
        <w:tc>
          <w:tcPr>
            <w:tcW w:w="171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color w:val="000000"/>
                <w:kern w:val="0"/>
                <w:szCs w:val="21"/>
                <w:lang w:val="en-US" w:eastAsia="zh-CN"/>
              </w:rPr>
              <w:t>45</w:t>
            </w:r>
            <w:r>
              <w:rPr>
                <w:rFonts w:hint="eastAsia" w:ascii="宋体" w:hAnsi="宋体" w:eastAsia="宋体" w:cs="宋体"/>
                <w:color w:val="000000"/>
                <w:kern w:val="0"/>
                <w:szCs w:val="21"/>
              </w:rPr>
              <w:t>万元</w:t>
            </w:r>
          </w:p>
        </w:tc>
        <w:tc>
          <w:tcPr>
            <w:tcW w:w="2024"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37"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762" w:type="dxa"/>
            <w:tcBorders>
              <w:top w:val="single" w:color="auto" w:sz="4" w:space="0"/>
              <w:left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3"/>
                <w:szCs w:val="21"/>
              </w:rPr>
              <w:t>效益</w:t>
            </w:r>
          </w:p>
          <w:p>
            <w:pPr>
              <w:wordWrap w:val="0"/>
              <w:topLinePunct/>
              <w:jc w:val="center"/>
              <w:rPr>
                <w:rFonts w:hint="eastAsia" w:ascii="宋体" w:hAnsi="宋体" w:eastAsia="宋体" w:cs="宋体"/>
                <w:szCs w:val="21"/>
              </w:rPr>
            </w:pPr>
            <w:r>
              <w:rPr>
                <w:rFonts w:hint="eastAsia" w:ascii="宋体" w:hAnsi="宋体" w:eastAsia="宋体" w:cs="宋体"/>
                <w:spacing w:val="-3"/>
                <w:szCs w:val="21"/>
              </w:rPr>
              <w:t>指标</w:t>
            </w:r>
          </w:p>
        </w:tc>
        <w:tc>
          <w:tcPr>
            <w:tcW w:w="1242"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3"/>
                <w:szCs w:val="21"/>
              </w:rPr>
              <w:t>社会效益指标</w:t>
            </w:r>
          </w:p>
        </w:tc>
        <w:tc>
          <w:tcPr>
            <w:tcW w:w="1975" w:type="dxa"/>
            <w:gridSpan w:val="2"/>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eastAsia="zh-CN"/>
              </w:rPr>
            </w:pPr>
            <w:r>
              <w:rPr>
                <w:rFonts w:hint="eastAsia" w:ascii="宋体" w:hAnsi="宋体" w:eastAsia="宋体" w:cs="宋体"/>
                <w:szCs w:val="21"/>
                <w:lang w:eastAsia="zh-CN"/>
              </w:rPr>
              <w:t>整改落实率</w:t>
            </w:r>
          </w:p>
        </w:tc>
        <w:tc>
          <w:tcPr>
            <w:tcW w:w="1084"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95</w:t>
            </w:r>
          </w:p>
        </w:tc>
        <w:tc>
          <w:tcPr>
            <w:tcW w:w="171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lang w:val="en-US"/>
              </w:rPr>
            </w:pPr>
            <w:r>
              <w:rPr>
                <w:rFonts w:hint="eastAsia" w:ascii="宋体" w:hAnsi="宋体" w:eastAsia="宋体" w:cs="宋体"/>
                <w:lang w:val="en-US" w:eastAsia="zh-CN"/>
              </w:rPr>
              <w:t>95%</w:t>
            </w:r>
          </w:p>
        </w:tc>
        <w:tc>
          <w:tcPr>
            <w:tcW w:w="2024"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37"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3"/>
                <w:szCs w:val="21"/>
              </w:rPr>
              <w:t>满意度</w:t>
            </w:r>
            <w:r>
              <w:rPr>
                <w:rFonts w:hint="eastAsia" w:ascii="宋体" w:hAnsi="宋体" w:eastAsia="宋体" w:cs="宋体"/>
                <w:spacing w:val="1"/>
                <w:w w:val="101"/>
                <w:szCs w:val="21"/>
              </w:rPr>
              <w:t xml:space="preserve"> </w:t>
            </w:r>
            <w:r>
              <w:rPr>
                <w:rFonts w:hint="eastAsia" w:ascii="宋体" w:hAnsi="宋体" w:eastAsia="宋体" w:cs="宋体"/>
                <w:spacing w:val="-3"/>
                <w:szCs w:val="21"/>
              </w:rPr>
              <w:t>指标</w:t>
            </w:r>
          </w:p>
        </w:tc>
        <w:tc>
          <w:tcPr>
            <w:tcW w:w="1242"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2"/>
                <w:szCs w:val="21"/>
              </w:rPr>
              <w:t>服务对象满</w:t>
            </w:r>
            <w:r>
              <w:rPr>
                <w:rFonts w:hint="eastAsia" w:ascii="宋体" w:hAnsi="宋体" w:eastAsia="宋体" w:cs="宋体"/>
                <w:spacing w:val="-3"/>
                <w:szCs w:val="21"/>
              </w:rPr>
              <w:t>意度指标</w:t>
            </w:r>
          </w:p>
        </w:tc>
        <w:tc>
          <w:tcPr>
            <w:tcW w:w="1975" w:type="dxa"/>
            <w:gridSpan w:val="2"/>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eastAsia="zh-CN"/>
              </w:rPr>
            </w:pPr>
            <w:r>
              <w:rPr>
                <w:rFonts w:hint="eastAsia" w:ascii="宋体" w:hAnsi="宋体" w:eastAsia="宋体" w:cs="宋体"/>
                <w:szCs w:val="21"/>
                <w:lang w:eastAsia="zh-CN"/>
              </w:rPr>
              <w:t>受惠群众满意度</w:t>
            </w:r>
          </w:p>
        </w:tc>
        <w:tc>
          <w:tcPr>
            <w:tcW w:w="1084"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eastAsia="zh-CN"/>
              </w:rPr>
            </w:pPr>
            <w:r>
              <w:rPr>
                <w:rFonts w:hint="eastAsia" w:ascii="宋体" w:hAnsi="宋体" w:eastAsia="宋体" w:cs="宋体"/>
                <w:szCs w:val="21"/>
              </w:rPr>
              <w:t>≥9</w:t>
            </w:r>
            <w:r>
              <w:rPr>
                <w:rFonts w:hint="eastAsia" w:ascii="宋体" w:hAnsi="宋体" w:eastAsia="宋体" w:cs="宋体"/>
                <w:szCs w:val="21"/>
                <w:lang w:val="en-US" w:eastAsia="zh-CN"/>
              </w:rPr>
              <w:t>5</w:t>
            </w:r>
          </w:p>
        </w:tc>
        <w:tc>
          <w:tcPr>
            <w:tcW w:w="171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95%</w:t>
            </w:r>
          </w:p>
        </w:tc>
        <w:tc>
          <w:tcPr>
            <w:tcW w:w="2024"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无</w:t>
            </w:r>
          </w:p>
        </w:tc>
      </w:tr>
    </w:tbl>
    <w:p>
      <w:pPr>
        <w:wordWrap w:val="0"/>
        <w:topLinePunct/>
        <w:jc w:val="left"/>
        <w:rPr>
          <w:rFonts w:hint="eastAsia" w:ascii="Arial Unicode MS" w:hAnsi="宋体" w:eastAsia="Arial Unicode MS"/>
          <w:bCs/>
          <w:spacing w:val="28"/>
          <w:sz w:val="28"/>
          <w:szCs w:val="28"/>
          <w:lang w:eastAsia="zh-CN"/>
        </w:rPr>
      </w:pPr>
    </w:p>
    <w:p>
      <w:pPr>
        <w:wordWrap w:val="0"/>
        <w:topLinePunct/>
        <w:jc w:val="center"/>
        <w:rPr>
          <w:rFonts w:hint="eastAsia" w:ascii="黑体" w:hAnsi="黑体" w:eastAsia="黑体" w:cs="黑体"/>
          <w:bCs/>
          <w:spacing w:val="28"/>
          <w:sz w:val="40"/>
          <w:szCs w:val="40"/>
        </w:rPr>
      </w:pPr>
      <w:r>
        <w:rPr>
          <w:rFonts w:hint="eastAsia" w:ascii="黑体" w:hAnsi="黑体" w:eastAsia="黑体" w:cs="黑体"/>
          <w:bCs/>
          <w:spacing w:val="28"/>
          <w:sz w:val="40"/>
          <w:szCs w:val="40"/>
        </w:rPr>
        <w:t>广元市昭化区财政项目支出绩效自评表</w:t>
      </w:r>
    </w:p>
    <w:p>
      <w:pPr>
        <w:wordWrap w:val="0"/>
        <w:topLinePunct/>
        <w:jc w:val="center"/>
        <w:rPr>
          <w:sz w:val="22"/>
        </w:rPr>
      </w:pPr>
      <w:r>
        <w:rPr>
          <w:spacing w:val="-14"/>
          <w:sz w:val="22"/>
        </w:rPr>
        <w:t>(</w:t>
      </w:r>
      <w:r>
        <w:rPr>
          <w:spacing w:val="32"/>
          <w:sz w:val="22"/>
        </w:rPr>
        <w:t>2022</w:t>
      </w:r>
      <w:r>
        <w:rPr>
          <w:rFonts w:hAnsi="宋体"/>
          <w:spacing w:val="-14"/>
          <w:sz w:val="22"/>
        </w:rPr>
        <w:t>年度</w:t>
      </w:r>
      <w:r>
        <w:rPr>
          <w:rFonts w:hint="eastAsia" w:hAnsi="宋体"/>
          <w:spacing w:val="-14"/>
          <w:sz w:val="22"/>
          <w:lang w:eastAsia="zh-CN"/>
        </w:rPr>
        <w:t>）</w:t>
      </w:r>
    </w:p>
    <w:tbl>
      <w:tblPr>
        <w:tblStyle w:val="19"/>
        <w:tblpPr w:leftFromText="180" w:rightFromText="180" w:vertAnchor="text" w:horzAnchor="page" w:tblpXSpec="center" w:tblpY="273"/>
        <w:tblOverlap w:val="never"/>
        <w:tblW w:w="95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0"/>
        <w:gridCol w:w="755"/>
        <w:gridCol w:w="1231"/>
        <w:gridCol w:w="786"/>
        <w:gridCol w:w="1173"/>
        <w:gridCol w:w="1075"/>
        <w:gridCol w:w="1700"/>
        <w:gridCol w:w="2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585"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项目名称</w:t>
            </w:r>
          </w:p>
        </w:tc>
        <w:tc>
          <w:tcPr>
            <w:tcW w:w="7974" w:type="dxa"/>
            <w:gridSpan w:val="6"/>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eastAsia="zh-CN"/>
              </w:rPr>
              <w:t>目标管理经费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585"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5"/>
                <w:szCs w:val="21"/>
              </w:rPr>
              <w:t>主管部门</w:t>
            </w:r>
          </w:p>
        </w:tc>
        <w:tc>
          <w:tcPr>
            <w:tcW w:w="3190" w:type="dxa"/>
            <w:gridSpan w:val="3"/>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eastAsia="zh-CN"/>
              </w:rPr>
              <w:t>广元市昭化区目标绩效事务中心</w:t>
            </w:r>
          </w:p>
        </w:tc>
        <w:tc>
          <w:tcPr>
            <w:tcW w:w="1075" w:type="dxa"/>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3"/>
                <w:szCs w:val="21"/>
              </w:rPr>
              <w:t>实施单位</w:t>
            </w:r>
          </w:p>
        </w:tc>
        <w:tc>
          <w:tcPr>
            <w:tcW w:w="3709"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kern w:val="0"/>
                <w:szCs w:val="21"/>
                <w:lang w:eastAsia="zh-CN"/>
              </w:rPr>
              <w:t>广元市昭化区目标绩效事务中心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585" w:type="dxa"/>
            <w:gridSpan w:val="2"/>
            <w:vMerge w:val="restart"/>
            <w:tcBorders>
              <w:top w:val="single" w:color="000000" w:sz="2" w:space="0"/>
              <w:bottom w:val="nil"/>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项目资金</w:t>
            </w:r>
            <w:r>
              <w:rPr>
                <w:rFonts w:hint="eastAsia" w:ascii="宋体" w:hAnsi="宋体" w:eastAsia="宋体" w:cs="宋体"/>
                <w:color w:val="000000"/>
                <w:spacing w:val="6"/>
                <w:szCs w:val="21"/>
              </w:rPr>
              <w:t xml:space="preserve"> </w:t>
            </w:r>
            <w:r>
              <w:rPr>
                <w:rFonts w:hint="eastAsia" w:ascii="宋体" w:hAnsi="宋体" w:eastAsia="宋体" w:cs="宋体"/>
                <w:color w:val="000000"/>
                <w:spacing w:val="6"/>
                <w:szCs w:val="21"/>
                <w:lang w:eastAsia="zh-CN"/>
              </w:rPr>
              <w:t>（</w:t>
            </w:r>
            <w:r>
              <w:rPr>
                <w:rFonts w:hint="eastAsia" w:ascii="宋体" w:hAnsi="宋体" w:eastAsia="宋体" w:cs="宋体"/>
                <w:color w:val="000000"/>
                <w:spacing w:val="9"/>
                <w:szCs w:val="21"/>
              </w:rPr>
              <w:t>万元</w:t>
            </w:r>
            <w:r>
              <w:rPr>
                <w:rFonts w:hint="eastAsia" w:ascii="宋体" w:hAnsi="宋体" w:eastAsia="宋体" w:cs="宋体"/>
                <w:color w:val="000000"/>
                <w:spacing w:val="9"/>
                <w:szCs w:val="21"/>
                <w:lang w:eastAsia="zh-CN"/>
              </w:rPr>
              <w:t>）</w:t>
            </w:r>
          </w:p>
        </w:tc>
        <w:tc>
          <w:tcPr>
            <w:tcW w:w="2017"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p>
        </w:tc>
        <w:tc>
          <w:tcPr>
            <w:tcW w:w="2248"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全年预算数</w:t>
            </w:r>
          </w:p>
        </w:tc>
        <w:tc>
          <w:tcPr>
            <w:tcW w:w="1700" w:type="dxa"/>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全年执行数</w:t>
            </w:r>
          </w:p>
        </w:tc>
        <w:tc>
          <w:tcPr>
            <w:tcW w:w="2009" w:type="dxa"/>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执行率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585" w:type="dxa"/>
            <w:gridSpan w:val="2"/>
            <w:vMerge w:val="continue"/>
            <w:tcBorders>
              <w:top w:val="nil"/>
              <w:bottom w:val="nil"/>
            </w:tcBorders>
            <w:vAlign w:val="center"/>
          </w:tcPr>
          <w:p>
            <w:pPr>
              <w:wordWrap w:val="0"/>
              <w:topLinePunct/>
              <w:jc w:val="center"/>
              <w:rPr>
                <w:rFonts w:hint="eastAsia" w:ascii="宋体" w:hAnsi="宋体" w:eastAsia="宋体" w:cs="宋体"/>
                <w:color w:val="000000"/>
                <w:szCs w:val="21"/>
              </w:rPr>
            </w:pPr>
          </w:p>
        </w:tc>
        <w:tc>
          <w:tcPr>
            <w:tcW w:w="2017"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年度资金总额</w:t>
            </w:r>
          </w:p>
        </w:tc>
        <w:tc>
          <w:tcPr>
            <w:tcW w:w="2248" w:type="dxa"/>
            <w:gridSpan w:val="2"/>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10</w:t>
            </w:r>
          </w:p>
        </w:tc>
        <w:tc>
          <w:tcPr>
            <w:tcW w:w="1700"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10</w:t>
            </w:r>
          </w:p>
        </w:tc>
        <w:tc>
          <w:tcPr>
            <w:tcW w:w="2009"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585" w:type="dxa"/>
            <w:gridSpan w:val="2"/>
            <w:vMerge w:val="continue"/>
            <w:tcBorders>
              <w:top w:val="nil"/>
              <w:bottom w:val="nil"/>
            </w:tcBorders>
            <w:vAlign w:val="center"/>
          </w:tcPr>
          <w:p>
            <w:pPr>
              <w:wordWrap w:val="0"/>
              <w:topLinePunct/>
              <w:jc w:val="center"/>
              <w:rPr>
                <w:rFonts w:hint="eastAsia" w:ascii="宋体" w:hAnsi="宋体" w:eastAsia="宋体" w:cs="宋体"/>
                <w:color w:val="000000"/>
                <w:szCs w:val="21"/>
              </w:rPr>
            </w:pPr>
          </w:p>
        </w:tc>
        <w:tc>
          <w:tcPr>
            <w:tcW w:w="2017"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rPr>
              <w:t>一</w:t>
            </w:r>
            <w:r>
              <w:rPr>
                <w:rFonts w:hint="eastAsia" w:ascii="宋体" w:hAnsi="宋体" w:eastAsia="宋体" w:cs="宋体"/>
                <w:color w:val="000000"/>
                <w:szCs w:val="21"/>
                <w:lang w:eastAsia="zh-CN"/>
              </w:rPr>
              <w:t>）</w:t>
            </w:r>
            <w:r>
              <w:rPr>
                <w:rFonts w:hint="eastAsia" w:ascii="宋体" w:hAnsi="宋体" w:eastAsia="宋体" w:cs="宋体"/>
                <w:color w:val="000000"/>
                <w:szCs w:val="21"/>
              </w:rPr>
              <w:t>财政拨款小计</w:t>
            </w:r>
          </w:p>
        </w:tc>
        <w:tc>
          <w:tcPr>
            <w:tcW w:w="2248" w:type="dxa"/>
            <w:gridSpan w:val="2"/>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10</w:t>
            </w:r>
          </w:p>
        </w:tc>
        <w:tc>
          <w:tcPr>
            <w:tcW w:w="1700"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10</w:t>
            </w:r>
          </w:p>
        </w:tc>
        <w:tc>
          <w:tcPr>
            <w:tcW w:w="2009"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585" w:type="dxa"/>
            <w:gridSpan w:val="2"/>
            <w:vMerge w:val="continue"/>
            <w:tcBorders>
              <w:top w:val="nil"/>
              <w:bottom w:val="nil"/>
            </w:tcBorders>
            <w:vAlign w:val="center"/>
          </w:tcPr>
          <w:p>
            <w:pPr>
              <w:wordWrap w:val="0"/>
              <w:topLinePunct/>
              <w:jc w:val="center"/>
              <w:rPr>
                <w:rFonts w:hint="eastAsia" w:ascii="宋体" w:hAnsi="宋体" w:eastAsia="宋体" w:cs="宋体"/>
                <w:color w:val="000000"/>
                <w:szCs w:val="21"/>
              </w:rPr>
            </w:pPr>
          </w:p>
        </w:tc>
        <w:tc>
          <w:tcPr>
            <w:tcW w:w="2017"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1"/>
                <w:szCs w:val="21"/>
              </w:rPr>
              <w:t>1.一般公共预算</w:t>
            </w:r>
          </w:p>
        </w:tc>
        <w:tc>
          <w:tcPr>
            <w:tcW w:w="2248" w:type="dxa"/>
            <w:gridSpan w:val="2"/>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10</w:t>
            </w:r>
          </w:p>
        </w:tc>
        <w:tc>
          <w:tcPr>
            <w:tcW w:w="1700"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10</w:t>
            </w:r>
          </w:p>
        </w:tc>
        <w:tc>
          <w:tcPr>
            <w:tcW w:w="2009"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585" w:type="dxa"/>
            <w:gridSpan w:val="2"/>
            <w:vMerge w:val="continue"/>
            <w:tcBorders>
              <w:top w:val="nil"/>
              <w:bottom w:val="nil"/>
            </w:tcBorders>
            <w:vAlign w:val="center"/>
          </w:tcPr>
          <w:p>
            <w:pPr>
              <w:wordWrap w:val="0"/>
              <w:topLinePunct/>
              <w:jc w:val="center"/>
              <w:rPr>
                <w:rFonts w:hint="eastAsia" w:ascii="宋体" w:hAnsi="宋体" w:eastAsia="宋体" w:cs="宋体"/>
                <w:color w:val="000000"/>
                <w:szCs w:val="21"/>
              </w:rPr>
            </w:pPr>
          </w:p>
        </w:tc>
        <w:tc>
          <w:tcPr>
            <w:tcW w:w="2017"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2.政府性基金</w:t>
            </w:r>
          </w:p>
        </w:tc>
        <w:tc>
          <w:tcPr>
            <w:tcW w:w="2248" w:type="dxa"/>
            <w:gridSpan w:val="2"/>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c>
          <w:tcPr>
            <w:tcW w:w="1700"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c>
          <w:tcPr>
            <w:tcW w:w="2009"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585" w:type="dxa"/>
            <w:gridSpan w:val="2"/>
            <w:vMerge w:val="continue"/>
            <w:tcBorders>
              <w:top w:val="nil"/>
              <w:bottom w:val="nil"/>
            </w:tcBorders>
            <w:vAlign w:val="center"/>
          </w:tcPr>
          <w:p>
            <w:pPr>
              <w:wordWrap w:val="0"/>
              <w:topLinePunct/>
              <w:jc w:val="center"/>
              <w:rPr>
                <w:rFonts w:hint="eastAsia" w:ascii="宋体" w:hAnsi="宋体" w:eastAsia="宋体" w:cs="宋体"/>
                <w:color w:val="000000"/>
                <w:szCs w:val="21"/>
              </w:rPr>
            </w:pPr>
          </w:p>
        </w:tc>
        <w:tc>
          <w:tcPr>
            <w:tcW w:w="2017"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1"/>
                <w:szCs w:val="21"/>
              </w:rPr>
              <w:t>3.国有资本经营预算</w:t>
            </w:r>
          </w:p>
        </w:tc>
        <w:tc>
          <w:tcPr>
            <w:tcW w:w="2248" w:type="dxa"/>
            <w:gridSpan w:val="2"/>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c>
          <w:tcPr>
            <w:tcW w:w="1700"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c>
          <w:tcPr>
            <w:tcW w:w="2009"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585" w:type="dxa"/>
            <w:gridSpan w:val="2"/>
            <w:vMerge w:val="continue"/>
            <w:tcBorders>
              <w:top w:val="nil"/>
              <w:bottom w:val="nil"/>
            </w:tcBorders>
            <w:vAlign w:val="center"/>
          </w:tcPr>
          <w:p>
            <w:pPr>
              <w:wordWrap w:val="0"/>
              <w:topLinePunct/>
              <w:jc w:val="center"/>
              <w:rPr>
                <w:rFonts w:hint="eastAsia" w:ascii="宋体" w:hAnsi="宋体" w:eastAsia="宋体" w:cs="宋体"/>
                <w:color w:val="000000"/>
                <w:szCs w:val="21"/>
              </w:rPr>
            </w:pPr>
          </w:p>
        </w:tc>
        <w:tc>
          <w:tcPr>
            <w:tcW w:w="2017"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1"/>
                <w:szCs w:val="21"/>
              </w:rPr>
              <w:t>4.社保基金</w:t>
            </w:r>
          </w:p>
        </w:tc>
        <w:tc>
          <w:tcPr>
            <w:tcW w:w="2248" w:type="dxa"/>
            <w:gridSpan w:val="2"/>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c>
          <w:tcPr>
            <w:tcW w:w="1700"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c>
          <w:tcPr>
            <w:tcW w:w="2009"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85" w:type="dxa"/>
            <w:gridSpan w:val="2"/>
            <w:vMerge w:val="continue"/>
            <w:tcBorders>
              <w:top w:val="nil"/>
              <w:bottom w:val="single" w:color="000000" w:sz="2" w:space="0"/>
            </w:tcBorders>
            <w:vAlign w:val="center"/>
          </w:tcPr>
          <w:p>
            <w:pPr>
              <w:wordWrap w:val="0"/>
              <w:topLinePunct/>
              <w:jc w:val="center"/>
              <w:rPr>
                <w:rFonts w:hint="eastAsia" w:ascii="宋体" w:hAnsi="宋体" w:eastAsia="宋体" w:cs="宋体"/>
                <w:color w:val="000000"/>
                <w:szCs w:val="21"/>
              </w:rPr>
            </w:pPr>
          </w:p>
        </w:tc>
        <w:tc>
          <w:tcPr>
            <w:tcW w:w="2017"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1"/>
                <w:szCs w:val="21"/>
                <w:lang w:eastAsia="zh-CN"/>
              </w:rPr>
              <w:t>（</w:t>
            </w:r>
            <w:r>
              <w:rPr>
                <w:rFonts w:hint="eastAsia" w:ascii="宋体" w:hAnsi="宋体" w:eastAsia="宋体" w:cs="宋体"/>
                <w:color w:val="000000"/>
                <w:spacing w:val="1"/>
                <w:szCs w:val="21"/>
              </w:rPr>
              <w:t>二</w:t>
            </w:r>
            <w:r>
              <w:rPr>
                <w:rFonts w:hint="eastAsia" w:ascii="宋体" w:hAnsi="宋体" w:eastAsia="宋体" w:cs="宋体"/>
                <w:color w:val="000000"/>
                <w:spacing w:val="1"/>
                <w:szCs w:val="21"/>
                <w:lang w:eastAsia="zh-CN"/>
              </w:rPr>
              <w:t>）</w:t>
            </w:r>
            <w:r>
              <w:rPr>
                <w:rFonts w:hint="eastAsia" w:ascii="宋体" w:hAnsi="宋体" w:eastAsia="宋体" w:cs="宋体"/>
                <w:color w:val="000000"/>
                <w:spacing w:val="1"/>
                <w:szCs w:val="21"/>
              </w:rPr>
              <w:t>其他资金</w:t>
            </w:r>
          </w:p>
        </w:tc>
        <w:tc>
          <w:tcPr>
            <w:tcW w:w="2248" w:type="dxa"/>
            <w:gridSpan w:val="2"/>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c>
          <w:tcPr>
            <w:tcW w:w="1700"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c>
          <w:tcPr>
            <w:tcW w:w="2009" w:type="dxa"/>
            <w:tcBorders>
              <w:top w:val="single" w:color="000000" w:sz="2" w:space="0"/>
              <w:bottom w:val="single" w:color="000000" w:sz="2" w:space="0"/>
            </w:tcBorders>
            <w:vAlign w:val="center"/>
          </w:tcPr>
          <w:p>
            <w:pPr>
              <w:wordWrap w:val="0"/>
              <w:topLinePun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30" w:type="dxa"/>
            <w:vMerge w:val="restart"/>
            <w:tcBorders>
              <w:top w:val="single" w:color="000000" w:sz="2" w:space="0"/>
              <w:bottom w:val="nil"/>
            </w:tcBorders>
            <w:vAlign w:val="center"/>
          </w:tcPr>
          <w:p>
            <w:pPr>
              <w:wordWrap w:val="0"/>
              <w:topLinePunct/>
              <w:jc w:val="center"/>
              <w:rPr>
                <w:rFonts w:hint="eastAsia" w:ascii="宋体" w:hAnsi="宋体" w:eastAsia="宋体" w:cs="宋体"/>
                <w:color w:val="000000"/>
                <w:spacing w:val="-2"/>
                <w:szCs w:val="21"/>
              </w:rPr>
            </w:pPr>
            <w:r>
              <w:rPr>
                <w:rFonts w:hint="eastAsia" w:ascii="宋体" w:hAnsi="宋体" w:eastAsia="宋体" w:cs="宋体"/>
                <w:color w:val="000000"/>
                <w:spacing w:val="-2"/>
                <w:szCs w:val="21"/>
              </w:rPr>
              <w:t>年度总体</w:t>
            </w:r>
          </w:p>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目标</w:t>
            </w:r>
          </w:p>
        </w:tc>
        <w:tc>
          <w:tcPr>
            <w:tcW w:w="5020" w:type="dxa"/>
            <w:gridSpan w:val="5"/>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预期目标</w:t>
            </w:r>
          </w:p>
        </w:tc>
        <w:tc>
          <w:tcPr>
            <w:tcW w:w="3709" w:type="dxa"/>
            <w:gridSpan w:val="2"/>
            <w:tcBorders>
              <w:top w:val="single" w:color="000000" w:sz="2" w:space="0"/>
              <w:bottom w:val="single" w:color="000000" w:sz="2" w:space="0"/>
            </w:tcBorders>
            <w:vAlign w:val="center"/>
          </w:tcPr>
          <w:p>
            <w:pPr>
              <w:wordWrap w:val="0"/>
              <w:topLinePunct/>
              <w:jc w:val="center"/>
              <w:rPr>
                <w:rFonts w:hint="eastAsia" w:ascii="宋体" w:hAnsi="宋体" w:eastAsia="宋体" w:cs="宋体"/>
                <w:color w:val="000000"/>
                <w:szCs w:val="21"/>
              </w:rPr>
            </w:pPr>
            <w:r>
              <w:rPr>
                <w:rFonts w:hint="eastAsia" w:ascii="宋体" w:hAnsi="宋体" w:eastAsia="宋体" w:cs="宋体"/>
                <w:color w:val="000000"/>
                <w:spacing w:val="-2"/>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8" w:hRule="atLeast"/>
        </w:trPr>
        <w:tc>
          <w:tcPr>
            <w:tcW w:w="830" w:type="dxa"/>
            <w:vMerge w:val="continue"/>
            <w:tcBorders>
              <w:top w:val="nil"/>
              <w:bottom w:val="single" w:color="auto" w:sz="4" w:space="0"/>
            </w:tcBorders>
            <w:vAlign w:val="center"/>
          </w:tcPr>
          <w:p>
            <w:pPr>
              <w:wordWrap w:val="0"/>
              <w:topLinePunct/>
              <w:jc w:val="center"/>
              <w:rPr>
                <w:rFonts w:hint="eastAsia" w:ascii="宋体" w:hAnsi="宋体" w:eastAsia="宋体" w:cs="宋体"/>
                <w:color w:val="000000"/>
                <w:szCs w:val="21"/>
              </w:rPr>
            </w:pPr>
          </w:p>
        </w:tc>
        <w:tc>
          <w:tcPr>
            <w:tcW w:w="5020" w:type="dxa"/>
            <w:gridSpan w:val="5"/>
            <w:tcBorders>
              <w:top w:val="single" w:color="000000" w:sz="2" w:space="0"/>
              <w:bottom w:val="single" w:color="auto" w:sz="4" w:space="0"/>
            </w:tcBorders>
            <w:vAlign w:val="center"/>
          </w:tcPr>
          <w:p>
            <w:pPr>
              <w:wordWrap w:val="0"/>
              <w:topLinePun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做好全区开展目标绩效管理学习，全年召开全区目标绩效管理工作会议4次，全年培训人次大于等于200人次，财政资金到位率100%，全年资金支出率达95%。适时开展目标调度。做好市对区目标考评工作、重点工作运行，及时跟进了解年度目标任务、考评细则和综合目标情况。结合各镇发展定位和各部门工作实际，进一步提升差异化考核力度，确定考评重点，科学下达目标绩效管理责任单位综合工作目标。   </w:t>
            </w:r>
          </w:p>
        </w:tc>
        <w:tc>
          <w:tcPr>
            <w:tcW w:w="3709" w:type="dxa"/>
            <w:gridSpan w:val="2"/>
            <w:tcBorders>
              <w:top w:val="single" w:color="000000" w:sz="2" w:space="0"/>
              <w:bottom w:val="single" w:color="auto" w:sz="4" w:space="0"/>
            </w:tcBorders>
            <w:vAlign w:val="center"/>
          </w:tcPr>
          <w:p>
            <w:pPr>
              <w:wordWrap w:val="0"/>
              <w:topLinePun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按照全年的目标任务，已全面完成。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83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pacing w:val="-2"/>
                <w:szCs w:val="21"/>
              </w:rPr>
            </w:pPr>
            <w:r>
              <w:rPr>
                <w:rFonts w:hint="eastAsia" w:ascii="宋体" w:hAnsi="宋体" w:eastAsia="宋体" w:cs="宋体"/>
                <w:spacing w:val="-2"/>
                <w:szCs w:val="21"/>
              </w:rPr>
              <w:t>绩</w:t>
            </w:r>
          </w:p>
          <w:p>
            <w:pPr>
              <w:wordWrap w:val="0"/>
              <w:topLinePunct/>
              <w:jc w:val="center"/>
              <w:rPr>
                <w:rFonts w:hint="eastAsia" w:ascii="宋体" w:hAnsi="宋体" w:eastAsia="宋体" w:cs="宋体"/>
                <w:spacing w:val="-2"/>
                <w:szCs w:val="21"/>
              </w:rPr>
            </w:pPr>
            <w:r>
              <w:rPr>
                <w:rFonts w:hint="eastAsia" w:ascii="宋体" w:hAnsi="宋体" w:eastAsia="宋体" w:cs="宋体"/>
                <w:spacing w:val="-2"/>
                <w:szCs w:val="21"/>
              </w:rPr>
              <w:t>效</w:t>
            </w:r>
          </w:p>
          <w:p>
            <w:pPr>
              <w:wordWrap w:val="0"/>
              <w:topLinePunct/>
              <w:jc w:val="center"/>
              <w:rPr>
                <w:rFonts w:hint="eastAsia" w:ascii="宋体" w:hAnsi="宋体" w:eastAsia="宋体" w:cs="宋体"/>
                <w:spacing w:val="-2"/>
                <w:szCs w:val="21"/>
              </w:rPr>
            </w:pPr>
            <w:r>
              <w:rPr>
                <w:rFonts w:hint="eastAsia" w:ascii="宋体" w:hAnsi="宋体" w:eastAsia="宋体" w:cs="宋体"/>
                <w:spacing w:val="-2"/>
                <w:szCs w:val="21"/>
              </w:rPr>
              <w:t>指</w:t>
            </w:r>
          </w:p>
          <w:p>
            <w:pPr>
              <w:wordWrap w:val="0"/>
              <w:topLinePunct/>
              <w:jc w:val="center"/>
              <w:rPr>
                <w:rFonts w:hint="eastAsia" w:ascii="宋体" w:hAnsi="宋体" w:eastAsia="宋体" w:cs="宋体"/>
                <w:szCs w:val="21"/>
              </w:rPr>
            </w:pPr>
            <w:r>
              <w:rPr>
                <w:rFonts w:hint="eastAsia" w:ascii="宋体" w:hAnsi="宋体" w:eastAsia="宋体" w:cs="宋体"/>
                <w:spacing w:val="-2"/>
                <w:szCs w:val="21"/>
              </w:rPr>
              <w:t>标</w:t>
            </w:r>
          </w:p>
        </w:tc>
        <w:tc>
          <w:tcPr>
            <w:tcW w:w="75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5"/>
                <w:szCs w:val="21"/>
              </w:rPr>
              <w:t>一级</w:t>
            </w:r>
          </w:p>
          <w:p>
            <w:pPr>
              <w:wordWrap w:val="0"/>
              <w:topLinePunct/>
              <w:jc w:val="center"/>
              <w:rPr>
                <w:rFonts w:hint="eastAsia" w:ascii="宋体" w:hAnsi="宋体" w:eastAsia="宋体" w:cs="宋体"/>
                <w:szCs w:val="21"/>
              </w:rPr>
            </w:pPr>
            <w:r>
              <w:rPr>
                <w:rFonts w:hint="eastAsia" w:ascii="宋体" w:hAnsi="宋体" w:eastAsia="宋体" w:cs="宋体"/>
                <w:spacing w:val="-3"/>
                <w:szCs w:val="21"/>
              </w:rPr>
              <w:t>指标</w:t>
            </w:r>
          </w:p>
        </w:tc>
        <w:tc>
          <w:tcPr>
            <w:tcW w:w="1231"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2"/>
                <w:szCs w:val="21"/>
              </w:rPr>
              <w:t>二级指标</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2"/>
                <w:szCs w:val="21"/>
              </w:rPr>
              <w:t>三级指标</w:t>
            </w:r>
          </w:p>
        </w:tc>
        <w:tc>
          <w:tcPr>
            <w:tcW w:w="107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2"/>
                <w:szCs w:val="21"/>
              </w:rPr>
              <w:t>年度指标值</w:t>
            </w:r>
          </w:p>
        </w:tc>
        <w:tc>
          <w:tcPr>
            <w:tcW w:w="1700"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2"/>
                <w:szCs w:val="21"/>
              </w:rPr>
              <w:t>实际完成值</w:t>
            </w:r>
          </w:p>
        </w:tc>
        <w:tc>
          <w:tcPr>
            <w:tcW w:w="2009"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4"/>
                <w:szCs w:val="21"/>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30"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755" w:type="dxa"/>
            <w:vMerge w:val="restart"/>
            <w:tcBorders>
              <w:top w:val="single" w:color="auto" w:sz="4" w:space="0"/>
              <w:left w:val="single" w:color="auto" w:sz="4" w:space="0"/>
              <w:right w:val="single" w:color="auto" w:sz="4" w:space="0"/>
            </w:tcBorders>
            <w:vAlign w:val="center"/>
          </w:tcPr>
          <w:p>
            <w:pPr>
              <w:wordWrap w:val="0"/>
              <w:topLinePunct/>
              <w:jc w:val="center"/>
              <w:rPr>
                <w:rFonts w:hint="eastAsia" w:ascii="宋体" w:hAnsi="宋体" w:eastAsia="宋体" w:cs="宋体"/>
                <w:szCs w:val="21"/>
              </w:rPr>
            </w:pPr>
          </w:p>
          <w:p>
            <w:pPr>
              <w:wordWrap w:val="0"/>
              <w:topLinePunct/>
              <w:jc w:val="center"/>
              <w:rPr>
                <w:rFonts w:hint="eastAsia" w:ascii="宋体" w:hAnsi="宋体" w:eastAsia="宋体" w:cs="宋体"/>
                <w:szCs w:val="21"/>
              </w:rPr>
            </w:pPr>
            <w:r>
              <w:rPr>
                <w:rFonts w:hint="eastAsia" w:ascii="宋体" w:hAnsi="宋体" w:eastAsia="宋体" w:cs="宋体"/>
                <w:spacing w:val="10"/>
                <w:szCs w:val="21"/>
              </w:rPr>
              <w:t>产出</w:t>
            </w:r>
          </w:p>
          <w:p>
            <w:pPr>
              <w:wordWrap w:val="0"/>
              <w:topLinePunct/>
              <w:jc w:val="center"/>
              <w:rPr>
                <w:rFonts w:hint="eastAsia" w:ascii="宋体" w:hAnsi="宋体" w:eastAsia="宋体" w:cs="宋体"/>
                <w:szCs w:val="21"/>
              </w:rPr>
            </w:pPr>
            <w:r>
              <w:rPr>
                <w:rFonts w:hint="eastAsia" w:ascii="宋体" w:hAnsi="宋体" w:eastAsia="宋体" w:cs="宋体"/>
                <w:spacing w:val="-3"/>
                <w:szCs w:val="21"/>
              </w:rPr>
              <w:t>指标</w:t>
            </w:r>
          </w:p>
        </w:tc>
        <w:tc>
          <w:tcPr>
            <w:tcW w:w="1231" w:type="dxa"/>
            <w:tcBorders>
              <w:top w:val="single" w:color="auto" w:sz="4" w:space="0"/>
              <w:left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2"/>
                <w:szCs w:val="21"/>
              </w:rPr>
              <w:t>数量指标</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抽查覆盖率</w:t>
            </w:r>
          </w:p>
        </w:tc>
        <w:tc>
          <w:tcPr>
            <w:tcW w:w="107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95</w:t>
            </w:r>
          </w:p>
        </w:tc>
        <w:tc>
          <w:tcPr>
            <w:tcW w:w="1700" w:type="dxa"/>
            <w:tcBorders>
              <w:top w:val="single" w:color="auto" w:sz="4" w:space="0"/>
              <w:left w:val="single" w:color="auto" w:sz="4" w:space="0"/>
              <w:bottom w:val="single" w:color="auto" w:sz="4" w:space="0"/>
              <w:right w:val="single" w:color="auto" w:sz="4" w:space="0"/>
            </w:tcBorders>
            <w:vAlign w:val="center"/>
          </w:tcPr>
          <w:p>
            <w:pPr>
              <w:wordWrap w:val="0"/>
              <w:topLinePunct/>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95%</w:t>
            </w:r>
          </w:p>
        </w:tc>
        <w:tc>
          <w:tcPr>
            <w:tcW w:w="2009"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30"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755" w:type="dxa"/>
            <w:vMerge w:val="continue"/>
            <w:tcBorders>
              <w:left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1231"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2"/>
                <w:szCs w:val="21"/>
              </w:rPr>
              <w:t>质量指标</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各镇目标任务完成率</w:t>
            </w:r>
          </w:p>
        </w:tc>
        <w:tc>
          <w:tcPr>
            <w:tcW w:w="107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90</w:t>
            </w:r>
          </w:p>
        </w:tc>
        <w:tc>
          <w:tcPr>
            <w:tcW w:w="1700"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val="en-US"/>
              </w:rPr>
            </w:pPr>
            <w:r>
              <w:rPr>
                <w:rFonts w:hint="eastAsia" w:ascii="宋体" w:hAnsi="宋体" w:eastAsia="宋体" w:cs="宋体"/>
                <w:szCs w:val="21"/>
                <w:lang w:val="en-US" w:eastAsia="zh-CN"/>
              </w:rPr>
              <w:t>90%</w:t>
            </w:r>
          </w:p>
        </w:tc>
        <w:tc>
          <w:tcPr>
            <w:tcW w:w="2009"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30"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755" w:type="dxa"/>
            <w:vMerge w:val="continue"/>
            <w:tcBorders>
              <w:left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1231"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1"/>
                <w:szCs w:val="21"/>
              </w:rPr>
              <w:t>时效指标</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及时反馈目标运行</w:t>
            </w:r>
          </w:p>
        </w:tc>
        <w:tc>
          <w:tcPr>
            <w:tcW w:w="107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=10天</w:t>
            </w:r>
          </w:p>
        </w:tc>
        <w:tc>
          <w:tcPr>
            <w:tcW w:w="1700"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100%</w:t>
            </w:r>
          </w:p>
        </w:tc>
        <w:tc>
          <w:tcPr>
            <w:tcW w:w="2009"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30"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755" w:type="dxa"/>
            <w:vMerge w:val="continue"/>
            <w:tcBorders>
              <w:left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1231"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2"/>
                <w:szCs w:val="21"/>
              </w:rPr>
              <w:t>成本指标</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经费控制额</w:t>
            </w:r>
          </w:p>
        </w:tc>
        <w:tc>
          <w:tcPr>
            <w:tcW w:w="107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10万元</w:t>
            </w:r>
          </w:p>
        </w:tc>
        <w:tc>
          <w:tcPr>
            <w:tcW w:w="1700"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10万元</w:t>
            </w:r>
          </w:p>
        </w:tc>
        <w:tc>
          <w:tcPr>
            <w:tcW w:w="2009"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830"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755" w:type="dxa"/>
            <w:tcBorders>
              <w:top w:val="single" w:color="auto" w:sz="4" w:space="0"/>
              <w:left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3"/>
                <w:szCs w:val="21"/>
              </w:rPr>
              <w:t>效益</w:t>
            </w:r>
          </w:p>
          <w:p>
            <w:pPr>
              <w:wordWrap w:val="0"/>
              <w:topLinePunct/>
              <w:jc w:val="center"/>
              <w:rPr>
                <w:rFonts w:hint="eastAsia" w:ascii="宋体" w:hAnsi="宋体" w:eastAsia="宋体" w:cs="宋体"/>
                <w:szCs w:val="21"/>
              </w:rPr>
            </w:pPr>
            <w:r>
              <w:rPr>
                <w:rFonts w:hint="eastAsia" w:ascii="宋体" w:hAnsi="宋体" w:eastAsia="宋体" w:cs="宋体"/>
                <w:spacing w:val="-3"/>
                <w:szCs w:val="21"/>
              </w:rPr>
              <w:t>指标</w:t>
            </w:r>
          </w:p>
        </w:tc>
        <w:tc>
          <w:tcPr>
            <w:tcW w:w="1231"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3"/>
                <w:szCs w:val="21"/>
              </w:rPr>
              <w:t>社会效益指标</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被检查单位公开数除以检查单位公开总数</w:t>
            </w:r>
          </w:p>
        </w:tc>
        <w:tc>
          <w:tcPr>
            <w:tcW w:w="107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=100</w:t>
            </w:r>
          </w:p>
        </w:tc>
        <w:tc>
          <w:tcPr>
            <w:tcW w:w="1700"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lang w:val="en-US" w:eastAsia="zh-CN"/>
              </w:rPr>
              <w:t>100%</w:t>
            </w:r>
          </w:p>
        </w:tc>
        <w:tc>
          <w:tcPr>
            <w:tcW w:w="2009"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830"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p>
        </w:tc>
        <w:tc>
          <w:tcPr>
            <w:tcW w:w="75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3"/>
                <w:szCs w:val="21"/>
              </w:rPr>
              <w:t>满意度</w:t>
            </w:r>
            <w:r>
              <w:rPr>
                <w:rFonts w:hint="eastAsia" w:ascii="宋体" w:hAnsi="宋体" w:eastAsia="宋体" w:cs="宋体"/>
                <w:spacing w:val="1"/>
                <w:w w:val="101"/>
                <w:szCs w:val="21"/>
              </w:rPr>
              <w:t xml:space="preserve"> </w:t>
            </w:r>
            <w:r>
              <w:rPr>
                <w:rFonts w:hint="eastAsia" w:ascii="宋体" w:hAnsi="宋体" w:eastAsia="宋体" w:cs="宋体"/>
                <w:spacing w:val="-3"/>
                <w:szCs w:val="21"/>
              </w:rPr>
              <w:t>指标</w:t>
            </w:r>
          </w:p>
        </w:tc>
        <w:tc>
          <w:tcPr>
            <w:tcW w:w="1231"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pacing w:val="-2"/>
                <w:szCs w:val="21"/>
              </w:rPr>
              <w:t>服务对象满</w:t>
            </w:r>
            <w:r>
              <w:rPr>
                <w:rFonts w:hint="eastAsia" w:ascii="宋体" w:hAnsi="宋体" w:eastAsia="宋体" w:cs="宋体"/>
                <w:spacing w:val="-3"/>
                <w:szCs w:val="21"/>
              </w:rPr>
              <w:t>意度指标</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val="en-US" w:eastAsia="zh-CN"/>
              </w:rPr>
            </w:pPr>
            <w:r>
              <w:rPr>
                <w:rFonts w:hint="eastAsia" w:ascii="宋体" w:hAnsi="宋体" w:eastAsia="宋体" w:cs="宋体"/>
                <w:szCs w:val="21"/>
                <w:lang w:eastAsia="zh-CN"/>
              </w:rPr>
              <w:t>受惠群众满意度</w:t>
            </w:r>
          </w:p>
        </w:tc>
        <w:tc>
          <w:tcPr>
            <w:tcW w:w="107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lang w:eastAsia="zh-CN"/>
              </w:rPr>
            </w:pPr>
            <w:r>
              <w:rPr>
                <w:rFonts w:hint="eastAsia" w:ascii="宋体" w:hAnsi="宋体" w:eastAsia="宋体" w:cs="宋体"/>
                <w:szCs w:val="21"/>
              </w:rPr>
              <w:t>≥9</w:t>
            </w:r>
            <w:r>
              <w:rPr>
                <w:rFonts w:hint="eastAsia" w:ascii="宋体" w:hAnsi="宋体" w:eastAsia="宋体" w:cs="宋体"/>
                <w:szCs w:val="21"/>
                <w:lang w:val="en-US" w:eastAsia="zh-CN"/>
              </w:rPr>
              <w:t>5</w:t>
            </w:r>
          </w:p>
        </w:tc>
        <w:tc>
          <w:tcPr>
            <w:tcW w:w="1700"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95%</w:t>
            </w:r>
          </w:p>
        </w:tc>
        <w:tc>
          <w:tcPr>
            <w:tcW w:w="2009"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eastAsia="宋体" w:cs="宋体"/>
                <w:szCs w:val="21"/>
              </w:rPr>
            </w:pPr>
            <w:r>
              <w:rPr>
                <w:rFonts w:hint="eastAsia" w:ascii="宋体" w:hAnsi="宋体" w:eastAsia="宋体" w:cs="宋体"/>
                <w:szCs w:val="21"/>
              </w:rPr>
              <w:t>无</w:t>
            </w:r>
          </w:p>
        </w:tc>
      </w:tr>
    </w:tbl>
    <w:p>
      <w:pPr>
        <w:pStyle w:val="7"/>
        <w:rPr>
          <w:rFonts w:hint="eastAsia"/>
        </w:rPr>
      </w:pPr>
    </w:p>
    <w:p>
      <w:pPr>
        <w:keepNext w:val="0"/>
        <w:keepLines w:val="0"/>
        <w:pageBreakBefore w:val="0"/>
        <w:widowControl w:val="0"/>
        <w:kinsoku/>
        <w:wordWrap/>
        <w:overflowPunct/>
        <w:topLinePunct w:val="0"/>
        <w:autoSpaceDE/>
        <w:autoSpaceDN/>
        <w:bidi w:val="0"/>
        <w:adjustRightInd/>
        <w:snapToGrid/>
        <w:spacing w:line="600" w:lineRule="auto"/>
        <w:ind w:left="0" w:leftChars="0" w:right="0" w:firstLine="0" w:firstLineChars="0"/>
        <w:jc w:val="center"/>
        <w:textAlignment w:val="auto"/>
        <w:outlineLvl w:val="0"/>
        <w:rPr>
          <w:rFonts w:hint="eastAsia" w:ascii="仿宋" w:hAnsi="仿宋" w:eastAsia="仿宋"/>
          <w:b w:val="0"/>
          <w:bCs w:val="0"/>
          <w:color w:val="auto"/>
          <w:highlight w:val="none"/>
        </w:rPr>
      </w:pPr>
      <w:r>
        <w:rPr>
          <w:rStyle w:val="32"/>
          <w:rFonts w:hint="eastAsia" w:ascii="黑体" w:hAnsi="黑体" w:eastAsia="黑体" w:cstheme="minorBidi"/>
          <w:b w:val="0"/>
          <w:color w:val="auto"/>
          <w:highlight w:val="none"/>
        </w:rPr>
        <w:t>第五部分</w:t>
      </w:r>
      <w:r>
        <w:rPr>
          <w:rStyle w:val="32"/>
          <w:rFonts w:hint="eastAsia" w:ascii="黑体" w:hAnsi="黑体" w:eastAsia="黑体" w:cstheme="minorBidi"/>
          <w:b w:val="0"/>
          <w:color w:val="auto"/>
          <w:highlight w:val="none"/>
          <w:lang w:eastAsia="zh-CN"/>
        </w:rPr>
        <w:t>　</w:t>
      </w:r>
      <w:r>
        <w:rPr>
          <w:rStyle w:val="32"/>
          <w:rFonts w:hint="eastAsia" w:ascii="黑体" w:hAnsi="黑体" w:eastAsia="黑体" w:cstheme="minorBidi"/>
          <w:b w:val="0"/>
          <w:color w:val="auto"/>
          <w:highlight w:val="none"/>
        </w:rPr>
        <w:t>附表</w:t>
      </w:r>
      <w:bookmarkEnd w:id="69"/>
      <w:bookmarkEnd w:id="73"/>
      <w:bookmarkEnd w:id="74"/>
      <w:bookmarkStart w:id="75" w:name="_Toc15396619"/>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outlineLvl w:val="9"/>
        <w:rPr>
          <w:rFonts w:hint="eastAsia" w:ascii="仿宋" w:hAnsi="仿宋" w:eastAsia="仿宋"/>
          <w:b w:val="0"/>
          <w:bCs w:val="0"/>
          <w:color w:val="auto"/>
          <w:highlight w:val="none"/>
        </w:rPr>
      </w:pPr>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76" w:name="_Toc17839"/>
      <w:r>
        <w:rPr>
          <w:rFonts w:hint="eastAsia" w:ascii="仿宋" w:hAnsi="仿宋" w:eastAsia="仿宋"/>
          <w:b w:val="0"/>
          <w:bCs w:val="0"/>
          <w:color w:val="auto"/>
          <w:highlight w:val="none"/>
        </w:rPr>
        <w:t>一、收</w:t>
      </w:r>
      <w:r>
        <w:rPr>
          <w:rStyle w:val="33"/>
          <w:rFonts w:hint="eastAsia" w:ascii="仿宋" w:hAnsi="仿宋" w:eastAsia="仿宋"/>
          <w:b w:val="0"/>
          <w:bCs w:val="0"/>
          <w:color w:val="auto"/>
          <w:highlight w:val="none"/>
        </w:rPr>
        <w:t>入支出决算总表</w:t>
      </w:r>
      <w:bookmarkEnd w:id="75"/>
      <w:bookmarkEnd w:id="76"/>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77" w:name="_Toc15396620"/>
      <w:bookmarkStart w:id="78" w:name="_Toc19336"/>
      <w:r>
        <w:rPr>
          <w:rFonts w:hint="eastAsia" w:ascii="仿宋" w:hAnsi="仿宋" w:eastAsia="仿宋"/>
          <w:b w:val="0"/>
          <w:bCs w:val="0"/>
          <w:color w:val="auto"/>
          <w:highlight w:val="none"/>
        </w:rPr>
        <w:t>二、收</w:t>
      </w:r>
      <w:r>
        <w:rPr>
          <w:rStyle w:val="33"/>
          <w:rFonts w:hint="eastAsia" w:ascii="仿宋" w:hAnsi="仿宋" w:eastAsia="仿宋"/>
          <w:b w:val="0"/>
          <w:bCs w:val="0"/>
          <w:color w:val="auto"/>
          <w:highlight w:val="none"/>
        </w:rPr>
        <w:t>入决算表</w:t>
      </w:r>
      <w:bookmarkEnd w:id="77"/>
      <w:bookmarkEnd w:id="78"/>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79" w:name="_Toc15396621"/>
      <w:bookmarkStart w:id="80" w:name="_Toc25281"/>
      <w:r>
        <w:rPr>
          <w:rStyle w:val="33"/>
          <w:rFonts w:hint="eastAsia" w:ascii="仿宋" w:hAnsi="仿宋" w:eastAsia="仿宋"/>
          <w:b w:val="0"/>
          <w:bCs w:val="0"/>
          <w:color w:val="auto"/>
          <w:highlight w:val="none"/>
        </w:rPr>
        <w:t>三、</w:t>
      </w:r>
      <w:r>
        <w:rPr>
          <w:rFonts w:hint="eastAsia" w:ascii="仿宋" w:hAnsi="仿宋" w:eastAsia="仿宋"/>
          <w:b w:val="0"/>
          <w:bCs w:val="0"/>
          <w:color w:val="auto"/>
          <w:highlight w:val="none"/>
        </w:rPr>
        <w:t>支</w:t>
      </w:r>
      <w:r>
        <w:rPr>
          <w:rStyle w:val="33"/>
          <w:rFonts w:hint="eastAsia" w:ascii="仿宋" w:hAnsi="仿宋" w:eastAsia="仿宋"/>
          <w:b w:val="0"/>
          <w:bCs w:val="0"/>
          <w:color w:val="auto"/>
          <w:highlight w:val="none"/>
        </w:rPr>
        <w:t>出决算表</w:t>
      </w:r>
      <w:bookmarkEnd w:id="79"/>
      <w:bookmarkEnd w:id="80"/>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81" w:name="_Toc23733"/>
      <w:bookmarkStart w:id="82" w:name="_Toc15396622"/>
      <w:r>
        <w:rPr>
          <w:rStyle w:val="33"/>
          <w:rFonts w:hint="eastAsia" w:ascii="仿宋" w:hAnsi="仿宋" w:eastAsia="仿宋"/>
          <w:b w:val="0"/>
          <w:bCs w:val="0"/>
          <w:color w:val="auto"/>
          <w:highlight w:val="none"/>
        </w:rPr>
        <w:t>四、</w:t>
      </w:r>
      <w:r>
        <w:rPr>
          <w:rFonts w:hint="eastAsia" w:ascii="仿宋" w:hAnsi="仿宋" w:eastAsia="仿宋"/>
          <w:b w:val="0"/>
          <w:bCs w:val="0"/>
          <w:color w:val="auto"/>
          <w:highlight w:val="none"/>
        </w:rPr>
        <w:t>财</w:t>
      </w:r>
      <w:r>
        <w:rPr>
          <w:rStyle w:val="33"/>
          <w:rFonts w:hint="eastAsia" w:ascii="仿宋" w:hAnsi="仿宋" w:eastAsia="仿宋"/>
          <w:b w:val="0"/>
          <w:bCs w:val="0"/>
          <w:color w:val="auto"/>
          <w:highlight w:val="none"/>
        </w:rPr>
        <w:t>政拨款收入支出决算总表</w:t>
      </w:r>
      <w:bookmarkEnd w:id="81"/>
      <w:bookmarkEnd w:id="82"/>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Style w:val="33"/>
          <w:rFonts w:ascii="仿宋" w:hAnsi="仿宋" w:eastAsia="仿宋"/>
          <w:b w:val="0"/>
          <w:bCs w:val="0"/>
          <w:color w:val="auto"/>
          <w:highlight w:val="none"/>
        </w:rPr>
      </w:pPr>
      <w:bookmarkStart w:id="83" w:name="_Toc16940"/>
      <w:bookmarkStart w:id="84" w:name="_Toc15396623"/>
      <w:r>
        <w:rPr>
          <w:rStyle w:val="33"/>
          <w:rFonts w:hint="eastAsia" w:ascii="仿宋" w:hAnsi="仿宋" w:eastAsia="仿宋"/>
          <w:b w:val="0"/>
          <w:bCs w:val="0"/>
          <w:color w:val="auto"/>
          <w:highlight w:val="none"/>
        </w:rPr>
        <w:t>五、</w:t>
      </w:r>
      <w:r>
        <w:rPr>
          <w:rFonts w:hint="eastAsia" w:ascii="仿宋" w:hAnsi="仿宋" w:eastAsia="仿宋"/>
          <w:b w:val="0"/>
          <w:bCs w:val="0"/>
          <w:color w:val="auto"/>
          <w:highlight w:val="none"/>
        </w:rPr>
        <w:t>财</w:t>
      </w:r>
      <w:r>
        <w:rPr>
          <w:rStyle w:val="33"/>
          <w:rFonts w:hint="eastAsia" w:ascii="仿宋" w:hAnsi="仿宋" w:eastAsia="仿宋"/>
          <w:b w:val="0"/>
          <w:bCs w:val="0"/>
          <w:color w:val="auto"/>
          <w:highlight w:val="none"/>
        </w:rPr>
        <w:t>政拨款支出决算明细表</w:t>
      </w:r>
      <w:bookmarkEnd w:id="83"/>
      <w:bookmarkEnd w:id="84"/>
      <w:bookmarkStart w:id="85" w:name="_Toc15396624"/>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86" w:name="_Toc8508"/>
      <w:r>
        <w:rPr>
          <w:rStyle w:val="33"/>
          <w:rFonts w:hint="eastAsia" w:ascii="仿宋" w:hAnsi="仿宋" w:eastAsia="仿宋"/>
          <w:b w:val="0"/>
          <w:bCs w:val="0"/>
          <w:color w:val="auto"/>
          <w:highlight w:val="none"/>
        </w:rPr>
        <w:t>六、</w:t>
      </w:r>
      <w:r>
        <w:rPr>
          <w:rFonts w:hint="eastAsia" w:ascii="仿宋" w:hAnsi="仿宋" w:eastAsia="仿宋"/>
          <w:b w:val="0"/>
          <w:bCs w:val="0"/>
          <w:color w:val="auto"/>
          <w:highlight w:val="none"/>
        </w:rPr>
        <w:t>一</w:t>
      </w:r>
      <w:r>
        <w:rPr>
          <w:rStyle w:val="33"/>
          <w:rFonts w:hint="eastAsia" w:ascii="仿宋" w:hAnsi="仿宋" w:eastAsia="仿宋"/>
          <w:b w:val="0"/>
          <w:bCs w:val="0"/>
          <w:color w:val="auto"/>
          <w:highlight w:val="none"/>
        </w:rPr>
        <w:t>般公共预算财政拨款支出决算表</w:t>
      </w:r>
      <w:bookmarkEnd w:id="85"/>
      <w:bookmarkEnd w:id="86"/>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87" w:name="_Toc31069"/>
      <w:bookmarkStart w:id="88" w:name="_Toc15396625"/>
      <w:r>
        <w:rPr>
          <w:rStyle w:val="33"/>
          <w:rFonts w:hint="eastAsia" w:ascii="仿宋" w:hAnsi="仿宋" w:eastAsia="仿宋"/>
          <w:b w:val="0"/>
          <w:bCs w:val="0"/>
          <w:color w:val="auto"/>
          <w:highlight w:val="none"/>
        </w:rPr>
        <w:t>七、</w:t>
      </w:r>
      <w:r>
        <w:rPr>
          <w:rFonts w:hint="eastAsia" w:ascii="仿宋" w:hAnsi="仿宋" w:eastAsia="仿宋"/>
          <w:b w:val="0"/>
          <w:bCs w:val="0"/>
          <w:color w:val="auto"/>
          <w:highlight w:val="none"/>
        </w:rPr>
        <w:t>一</w:t>
      </w:r>
      <w:r>
        <w:rPr>
          <w:rStyle w:val="33"/>
          <w:rFonts w:hint="eastAsia" w:ascii="仿宋" w:hAnsi="仿宋" w:eastAsia="仿宋"/>
          <w:b w:val="0"/>
          <w:bCs w:val="0"/>
          <w:color w:val="auto"/>
          <w:highlight w:val="none"/>
        </w:rPr>
        <w:t>般公共预算财政拨款支出决算明细表</w:t>
      </w:r>
      <w:bookmarkEnd w:id="87"/>
      <w:bookmarkEnd w:id="88"/>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89" w:name="_Toc26104"/>
      <w:bookmarkStart w:id="90" w:name="_Toc15396626"/>
      <w:r>
        <w:rPr>
          <w:rStyle w:val="33"/>
          <w:rFonts w:hint="eastAsia" w:ascii="仿宋" w:hAnsi="仿宋" w:eastAsia="仿宋"/>
          <w:b w:val="0"/>
          <w:bCs w:val="0"/>
          <w:color w:val="auto"/>
          <w:highlight w:val="none"/>
        </w:rPr>
        <w:t>八、</w:t>
      </w:r>
      <w:r>
        <w:rPr>
          <w:rFonts w:hint="eastAsia" w:ascii="仿宋" w:hAnsi="仿宋" w:eastAsia="仿宋"/>
          <w:b w:val="0"/>
          <w:bCs w:val="0"/>
          <w:color w:val="auto"/>
          <w:highlight w:val="none"/>
        </w:rPr>
        <w:t>一</w:t>
      </w:r>
      <w:r>
        <w:rPr>
          <w:rStyle w:val="33"/>
          <w:rFonts w:hint="eastAsia" w:ascii="仿宋" w:hAnsi="仿宋" w:eastAsia="仿宋"/>
          <w:b w:val="0"/>
          <w:bCs w:val="0"/>
          <w:color w:val="auto"/>
          <w:highlight w:val="none"/>
        </w:rPr>
        <w:t>般公共预算财政拨款基本支出决算表</w:t>
      </w:r>
      <w:bookmarkEnd w:id="89"/>
      <w:bookmarkEnd w:id="90"/>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91" w:name="_Toc604"/>
      <w:bookmarkStart w:id="92" w:name="_Toc15396627"/>
      <w:r>
        <w:rPr>
          <w:rStyle w:val="33"/>
          <w:rFonts w:hint="eastAsia" w:ascii="仿宋" w:hAnsi="仿宋" w:eastAsia="仿宋"/>
          <w:b w:val="0"/>
          <w:bCs w:val="0"/>
          <w:color w:val="auto"/>
          <w:highlight w:val="none"/>
        </w:rPr>
        <w:t>九、</w:t>
      </w:r>
      <w:r>
        <w:rPr>
          <w:rFonts w:hint="eastAsia" w:ascii="仿宋" w:hAnsi="仿宋" w:eastAsia="仿宋"/>
          <w:b w:val="0"/>
          <w:bCs w:val="0"/>
          <w:color w:val="auto"/>
          <w:highlight w:val="none"/>
        </w:rPr>
        <w:t>一</w:t>
      </w:r>
      <w:r>
        <w:rPr>
          <w:rStyle w:val="33"/>
          <w:rFonts w:hint="eastAsia" w:ascii="仿宋" w:hAnsi="仿宋" w:eastAsia="仿宋"/>
          <w:b w:val="0"/>
          <w:bCs w:val="0"/>
          <w:color w:val="auto"/>
          <w:highlight w:val="none"/>
        </w:rPr>
        <w:t>般公共预算财政拨款项目支出决算表</w:t>
      </w:r>
      <w:bookmarkEnd w:id="91"/>
      <w:bookmarkEnd w:id="92"/>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93" w:name="_Toc772"/>
      <w:bookmarkStart w:id="94" w:name="_Toc15396628"/>
      <w:r>
        <w:rPr>
          <w:rStyle w:val="33"/>
          <w:rFonts w:hint="eastAsia" w:ascii="仿宋" w:hAnsi="仿宋" w:eastAsia="仿宋"/>
          <w:b w:val="0"/>
          <w:bCs w:val="0"/>
          <w:color w:val="auto"/>
          <w:highlight w:val="none"/>
        </w:rPr>
        <w:t>十、</w:t>
      </w:r>
      <w:r>
        <w:rPr>
          <w:rFonts w:hint="eastAsia" w:ascii="仿宋" w:hAnsi="仿宋" w:eastAsia="仿宋"/>
          <w:b w:val="0"/>
          <w:bCs w:val="0"/>
          <w:color w:val="auto"/>
          <w:highlight w:val="none"/>
        </w:rPr>
        <w:t>政</w:t>
      </w:r>
      <w:r>
        <w:rPr>
          <w:rStyle w:val="33"/>
          <w:rFonts w:hint="eastAsia" w:ascii="仿宋" w:hAnsi="仿宋" w:eastAsia="仿宋"/>
          <w:b w:val="0"/>
          <w:bCs w:val="0"/>
          <w:color w:val="auto"/>
          <w:highlight w:val="none"/>
        </w:rPr>
        <w:t>府性基金预算财政拨款收入支出决算表</w:t>
      </w:r>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Style w:val="33"/>
          <w:rFonts w:hint="eastAsia" w:ascii="仿宋" w:hAnsi="仿宋" w:eastAsia="仿宋"/>
          <w:b w:val="0"/>
          <w:bCs w:val="0"/>
          <w:color w:val="auto"/>
          <w:highlight w:val="none"/>
        </w:rPr>
      </w:pPr>
      <w:r>
        <w:rPr>
          <w:rStyle w:val="33"/>
          <w:rFonts w:hint="eastAsia" w:ascii="仿宋" w:hAnsi="仿宋" w:eastAsia="仿宋"/>
          <w:b w:val="0"/>
          <w:bCs w:val="0"/>
          <w:color w:val="auto"/>
          <w:highlight w:val="none"/>
        </w:rPr>
        <w:t>十</w:t>
      </w:r>
      <w:r>
        <w:rPr>
          <w:rStyle w:val="33"/>
          <w:rFonts w:hint="eastAsia" w:ascii="仿宋" w:hAnsi="仿宋" w:eastAsia="仿宋"/>
          <w:b w:val="0"/>
          <w:bCs w:val="0"/>
          <w:color w:val="auto"/>
          <w:highlight w:val="none"/>
          <w:lang w:eastAsia="zh-CN"/>
        </w:rPr>
        <w:t>一</w:t>
      </w:r>
      <w:r>
        <w:rPr>
          <w:rStyle w:val="33"/>
          <w:rFonts w:hint="eastAsia" w:ascii="仿宋" w:hAnsi="仿宋" w:eastAsia="仿宋"/>
          <w:b w:val="0"/>
          <w:bCs w:val="0"/>
          <w:color w:val="auto"/>
          <w:highlight w:val="none"/>
        </w:rPr>
        <w:t>、</w:t>
      </w:r>
      <w:r>
        <w:rPr>
          <w:rFonts w:hint="eastAsia" w:ascii="仿宋" w:hAnsi="仿宋" w:eastAsia="仿宋"/>
          <w:b w:val="0"/>
          <w:bCs w:val="0"/>
          <w:color w:val="auto"/>
          <w:highlight w:val="none"/>
        </w:rPr>
        <w:t>国</w:t>
      </w:r>
      <w:r>
        <w:rPr>
          <w:rStyle w:val="33"/>
          <w:rFonts w:hint="eastAsia" w:ascii="仿宋" w:hAnsi="仿宋" w:eastAsia="仿宋"/>
          <w:b w:val="0"/>
          <w:bCs w:val="0"/>
          <w:color w:val="auto"/>
          <w:highlight w:val="none"/>
        </w:rPr>
        <w:t>有资本经营预算</w:t>
      </w:r>
      <w:r>
        <w:rPr>
          <w:rStyle w:val="33"/>
          <w:rFonts w:hint="eastAsia" w:ascii="仿宋" w:hAnsi="仿宋" w:eastAsia="仿宋"/>
          <w:b w:val="0"/>
          <w:bCs w:val="0"/>
          <w:color w:val="auto"/>
          <w:highlight w:val="none"/>
          <w:lang w:eastAsia="zh-CN"/>
        </w:rPr>
        <w:t>财政拨款收入</w:t>
      </w:r>
      <w:r>
        <w:rPr>
          <w:rStyle w:val="33"/>
          <w:rFonts w:hint="eastAsia" w:ascii="仿宋" w:hAnsi="仿宋" w:eastAsia="仿宋"/>
          <w:b w:val="0"/>
          <w:bCs w:val="0"/>
          <w:color w:val="auto"/>
          <w:highlight w:val="none"/>
        </w:rPr>
        <w:t>支出决算表</w:t>
      </w:r>
    </w:p>
    <w:p>
      <w:pPr>
        <w:keepNext w:val="0"/>
        <w:keepLines w:val="0"/>
        <w:pageBreakBefore w:val="0"/>
        <w:widowControl w:val="0"/>
        <w:kinsoku/>
        <w:wordWrap/>
        <w:overflowPunct/>
        <w:topLinePunct w:val="0"/>
        <w:autoSpaceDE/>
        <w:autoSpaceDN/>
        <w:bidi w:val="0"/>
        <w:adjustRightInd/>
        <w:snapToGrid/>
        <w:spacing w:line="600" w:lineRule="auto"/>
        <w:ind w:left="0" w:leftChars="0" w:right="0" w:firstLine="0" w:firstLineChars="0"/>
        <w:textAlignment w:val="auto"/>
        <w:rPr>
          <w:rFonts w:hint="eastAsia" w:eastAsia="仿宋"/>
          <w:b w:val="0"/>
          <w:bCs w:val="0"/>
          <w:color w:val="auto"/>
          <w:highlight w:val="none"/>
          <w:lang w:eastAsia="zh-CN"/>
        </w:rPr>
      </w:pPr>
      <w:r>
        <w:rPr>
          <w:rStyle w:val="33"/>
          <w:rFonts w:hint="eastAsia" w:ascii="仿宋" w:hAnsi="仿宋" w:eastAsia="仿宋"/>
          <w:b w:val="0"/>
          <w:bCs w:val="0"/>
          <w:color w:val="auto"/>
          <w:highlight w:val="none"/>
          <w:lang w:eastAsia="zh-CN"/>
        </w:rPr>
        <w:t>十二、国有资本经营预算财政拨款支出决算表</w:t>
      </w:r>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r>
        <w:rPr>
          <w:rStyle w:val="33"/>
          <w:rFonts w:hint="eastAsia" w:ascii="仿宋" w:hAnsi="仿宋" w:eastAsia="仿宋"/>
          <w:b w:val="0"/>
          <w:bCs w:val="0"/>
          <w:color w:val="auto"/>
          <w:highlight w:val="none"/>
        </w:rPr>
        <w:t>十</w:t>
      </w:r>
      <w:r>
        <w:rPr>
          <w:rStyle w:val="33"/>
          <w:rFonts w:hint="eastAsia" w:ascii="仿宋" w:hAnsi="仿宋" w:eastAsia="仿宋"/>
          <w:b w:val="0"/>
          <w:bCs w:val="0"/>
          <w:color w:val="auto"/>
          <w:highlight w:val="none"/>
          <w:lang w:eastAsia="zh-CN"/>
        </w:rPr>
        <w:t>三</w:t>
      </w:r>
      <w:r>
        <w:rPr>
          <w:rStyle w:val="33"/>
          <w:rFonts w:hint="eastAsia" w:ascii="仿宋" w:hAnsi="仿宋" w:eastAsia="仿宋"/>
          <w:b w:val="0"/>
          <w:bCs w:val="0"/>
          <w:color w:val="auto"/>
          <w:highlight w:val="none"/>
        </w:rPr>
        <w:t>、财政拨款“三公”经费支出决算表</w:t>
      </w:r>
      <w:bookmarkEnd w:id="93"/>
      <w:bookmarkEnd w:id="94"/>
    </w:p>
    <w:p>
      <w:pPr>
        <w:pStyle w:val="14"/>
        <w:ind w:leftChars="0" w:firstLine="0" w:firstLineChars="0"/>
        <w:rPr>
          <w:rFonts w:hint="eastAsia"/>
          <w:lang w:eastAsia="zh-CN"/>
        </w:rPr>
      </w:pPr>
    </w:p>
    <w:sectPr>
      <w:headerReference r:id="rId3" w:type="default"/>
      <w:footerReference r:id="rId4" w:type="default"/>
      <w:pgSz w:w="11906" w:h="16838"/>
      <w:pgMar w:top="2098" w:right="1474" w:bottom="1984" w:left="1587" w:header="850" w:footer="1587" w:gutter="0"/>
      <w:pgBorders>
        <w:top w:val="none" w:sz="0" w:space="0"/>
        <w:left w:val="none" w:sz="0" w:space="0"/>
        <w:bottom w:val="none" w:sz="0" w:space="0"/>
        <w:right w:val="none" w:sz="0" w:space="0"/>
      </w:pgBorders>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B72845-D647-4011-B8AE-7E2908E48C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CD34E6E-2039-4F2E-BD9D-14C5A189B9A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3" w:fontKey="{95DF31C8-8FFB-4021-8E5A-52FC6503B912}"/>
  </w:font>
  <w:font w:name="仿宋_GB2312">
    <w:panose1 w:val="02010609030101010101"/>
    <w:charset w:val="86"/>
    <w:family w:val="auto"/>
    <w:pitch w:val="default"/>
    <w:sig w:usb0="00000001" w:usb1="080E0000" w:usb2="00000000" w:usb3="00000000" w:csb0="00040000" w:csb1="00000000"/>
    <w:embedRegular r:id="rId4" w:fontKey="{9A821B0E-EB5E-413B-BFA6-1716CD8607B1}"/>
  </w:font>
  <w:font w:name="Arial Unicode MS">
    <w:panose1 w:val="020B0604020202020204"/>
    <w:charset w:val="86"/>
    <w:family w:val="auto"/>
    <w:pitch w:val="default"/>
    <w:sig w:usb0="FFFFFFFF" w:usb1="E9FFFFFF" w:usb2="0000003F" w:usb3="00000000" w:csb0="603F01FF" w:csb1="FFFF0000"/>
    <w:embedRegular r:id="rId5" w:fontKey="{436A23EF-2EA4-41A8-BC78-EA2059507469}"/>
  </w:font>
  <w:font w:name="楷体_GB2312">
    <w:panose1 w:val="02010609030101010101"/>
    <w:charset w:val="86"/>
    <w:family w:val="auto"/>
    <w:pitch w:val="default"/>
    <w:sig w:usb0="00000001" w:usb1="080E0000" w:usb2="00000000" w:usb3="00000000" w:csb0="00040000" w:csb1="00000000"/>
    <w:embedRegular r:id="rId6" w:fontKey="{8460C937-280F-4D34-9848-D0E4BE2EAA6D}"/>
  </w:font>
  <w:font w:name="方正楷体_GBK">
    <w:panose1 w:val="02000000000000000000"/>
    <w:charset w:val="86"/>
    <w:family w:val="auto"/>
    <w:pitch w:val="default"/>
    <w:sig w:usb0="800002BF" w:usb1="38CF7CFA" w:usb2="00000016" w:usb3="00000000" w:csb0="00040000" w:csb1="00000000"/>
    <w:embedRegular r:id="rId7" w:fontKey="{9DEC1EAC-76A4-4865-AE1C-262E3F5D077E}"/>
  </w:font>
  <w:font w:name="楷体">
    <w:panose1 w:val="02010609060101010101"/>
    <w:charset w:val="86"/>
    <w:family w:val="modern"/>
    <w:pitch w:val="default"/>
    <w:sig w:usb0="800002BF" w:usb1="38CF7CFA" w:usb2="00000016" w:usb3="00000000" w:csb0="00040001" w:csb1="00000000"/>
    <w:embedRegular r:id="rId8" w:fontKey="{D2BF2CAB-F362-402D-82EE-45785F19D65A}"/>
  </w:font>
  <w:font w:name="Arial">
    <w:panose1 w:val="020B0604020202020204"/>
    <w:charset w:val="00"/>
    <w:family w:val="auto"/>
    <w:pitch w:val="default"/>
    <w:sig w:usb0="E0002AFF" w:usb1="C0007843" w:usb2="00000009" w:usb3="00000000" w:csb0="400001FF" w:csb1="FFFF0000"/>
    <w:embedRegular r:id="rId9" w:fontKey="{99E8E277-DFD1-4A1F-B1A4-D183916261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1"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12"/>
                            <w:keepNext w:val="0"/>
                            <w:keepLines w:val="0"/>
                            <w:pageBreakBefore w:val="0"/>
                            <w:widowControl w:val="0"/>
                            <w:kinsoku/>
                            <w:wordWrap/>
                            <w:overflowPunct/>
                            <w:topLinePunct w:val="0"/>
                            <w:autoSpaceDE/>
                            <w:autoSpaceDN/>
                            <w:bidi w:val="0"/>
                            <w:adjustRightInd/>
                            <w:snapToGrid w:val="0"/>
                            <w:ind w:left="210" w:leftChars="100" w:right="210" w:rightChars="1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5zf4dwICAAALBAAADgAAAAAAAAABACAAAAAfAQAAZHJzL2Uyb0Rv&#10;Yy54bWxQSwUGAAAAAAYABgBZAQAAkwUAAAAA&#10;">
              <v:fill on="f" focussize="0,0"/>
              <v:stroke on="f"/>
              <v:imagedata o:title=""/>
              <o:lock v:ext="edit" aspectratio="f"/>
              <v:textbox inset="0mm,0mm,0mm,0mm" style="mso-fit-shape-to-text:t;">
                <w:txbxContent>
                  <w:p>
                    <w:pPr>
                      <w:pStyle w:val="12"/>
                      <w:keepNext w:val="0"/>
                      <w:keepLines w:val="0"/>
                      <w:pageBreakBefore w:val="0"/>
                      <w:widowControl w:val="0"/>
                      <w:kinsoku/>
                      <w:wordWrap/>
                      <w:overflowPunct/>
                      <w:topLinePunct w:val="0"/>
                      <w:autoSpaceDE/>
                      <w:autoSpaceDN/>
                      <w:bidi w:val="0"/>
                      <w:adjustRightInd/>
                      <w:snapToGrid w:val="0"/>
                      <w:ind w:left="210" w:leftChars="100" w:right="210" w:rightChars="1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mFhOTE5MWJlODRkODc5YzM2ZjkzNjQ5NWMxYjMifQ=="/>
  </w:docVars>
  <w:rsids>
    <w:rsidRoot w:val="00000000"/>
    <w:rsid w:val="002B06D1"/>
    <w:rsid w:val="00C91C98"/>
    <w:rsid w:val="01113D6B"/>
    <w:rsid w:val="012D2227"/>
    <w:rsid w:val="02223D56"/>
    <w:rsid w:val="02C80459"/>
    <w:rsid w:val="03732AAC"/>
    <w:rsid w:val="037B196F"/>
    <w:rsid w:val="037B54CB"/>
    <w:rsid w:val="03BD5AE4"/>
    <w:rsid w:val="0425032D"/>
    <w:rsid w:val="044A30F0"/>
    <w:rsid w:val="055406E4"/>
    <w:rsid w:val="06361B7E"/>
    <w:rsid w:val="065839C6"/>
    <w:rsid w:val="066A7A79"/>
    <w:rsid w:val="06990F64"/>
    <w:rsid w:val="06FD08ED"/>
    <w:rsid w:val="072916E2"/>
    <w:rsid w:val="07554285"/>
    <w:rsid w:val="07862DCD"/>
    <w:rsid w:val="07D1069B"/>
    <w:rsid w:val="07E15B19"/>
    <w:rsid w:val="0825634E"/>
    <w:rsid w:val="08892439"/>
    <w:rsid w:val="08D77648"/>
    <w:rsid w:val="08D86F1C"/>
    <w:rsid w:val="0946032A"/>
    <w:rsid w:val="0B5A0EA1"/>
    <w:rsid w:val="0B664A5B"/>
    <w:rsid w:val="0B725406"/>
    <w:rsid w:val="0BAC34D6"/>
    <w:rsid w:val="0BAD4690"/>
    <w:rsid w:val="0BB05F2E"/>
    <w:rsid w:val="0CCA3020"/>
    <w:rsid w:val="0D6E2FFE"/>
    <w:rsid w:val="0D7336B7"/>
    <w:rsid w:val="0DAF0B93"/>
    <w:rsid w:val="0DC42165"/>
    <w:rsid w:val="0E19600D"/>
    <w:rsid w:val="0E8D2557"/>
    <w:rsid w:val="0E963B01"/>
    <w:rsid w:val="0F67724C"/>
    <w:rsid w:val="0F8B2857"/>
    <w:rsid w:val="0FE32D76"/>
    <w:rsid w:val="1191235E"/>
    <w:rsid w:val="11BC387F"/>
    <w:rsid w:val="11F8418B"/>
    <w:rsid w:val="11FC3C7B"/>
    <w:rsid w:val="12435D4E"/>
    <w:rsid w:val="124B4C03"/>
    <w:rsid w:val="1250234B"/>
    <w:rsid w:val="12F31522"/>
    <w:rsid w:val="14357918"/>
    <w:rsid w:val="14952165"/>
    <w:rsid w:val="14AD0E7A"/>
    <w:rsid w:val="1525173B"/>
    <w:rsid w:val="15673B02"/>
    <w:rsid w:val="15D31197"/>
    <w:rsid w:val="16027CCE"/>
    <w:rsid w:val="16E97408"/>
    <w:rsid w:val="18847640"/>
    <w:rsid w:val="18E90CD1"/>
    <w:rsid w:val="18EB67F8"/>
    <w:rsid w:val="18FF4051"/>
    <w:rsid w:val="19153875"/>
    <w:rsid w:val="19D92AF4"/>
    <w:rsid w:val="19E33051"/>
    <w:rsid w:val="1A554870"/>
    <w:rsid w:val="1A9F03FB"/>
    <w:rsid w:val="1B661B3D"/>
    <w:rsid w:val="1BFC2ACA"/>
    <w:rsid w:val="1C387FA6"/>
    <w:rsid w:val="1D38542C"/>
    <w:rsid w:val="1E796654"/>
    <w:rsid w:val="1EBB33DB"/>
    <w:rsid w:val="1F0B3750"/>
    <w:rsid w:val="204C4020"/>
    <w:rsid w:val="206F41B2"/>
    <w:rsid w:val="208C6B12"/>
    <w:rsid w:val="20C4005A"/>
    <w:rsid w:val="20CC5161"/>
    <w:rsid w:val="21157435"/>
    <w:rsid w:val="211865F8"/>
    <w:rsid w:val="225D5224"/>
    <w:rsid w:val="226B2757"/>
    <w:rsid w:val="228F71D1"/>
    <w:rsid w:val="22B20386"/>
    <w:rsid w:val="232142F5"/>
    <w:rsid w:val="23533917"/>
    <w:rsid w:val="237F470C"/>
    <w:rsid w:val="23A45F21"/>
    <w:rsid w:val="23B75C54"/>
    <w:rsid w:val="23C91E2B"/>
    <w:rsid w:val="23CD5478"/>
    <w:rsid w:val="247753E3"/>
    <w:rsid w:val="24E32A79"/>
    <w:rsid w:val="25551BC9"/>
    <w:rsid w:val="25757B75"/>
    <w:rsid w:val="2661459D"/>
    <w:rsid w:val="26A5448A"/>
    <w:rsid w:val="28551EE0"/>
    <w:rsid w:val="292D0766"/>
    <w:rsid w:val="29534671"/>
    <w:rsid w:val="296D5306"/>
    <w:rsid w:val="2A1C6D34"/>
    <w:rsid w:val="2A777BFB"/>
    <w:rsid w:val="2B0D4CF3"/>
    <w:rsid w:val="2B285689"/>
    <w:rsid w:val="2B85488A"/>
    <w:rsid w:val="2BBB02AC"/>
    <w:rsid w:val="2CFE2B46"/>
    <w:rsid w:val="2D202ABC"/>
    <w:rsid w:val="2D5E1836"/>
    <w:rsid w:val="2E7F1A64"/>
    <w:rsid w:val="2F397E65"/>
    <w:rsid w:val="305D7B83"/>
    <w:rsid w:val="323D1A1A"/>
    <w:rsid w:val="32B141B6"/>
    <w:rsid w:val="32BD2B5B"/>
    <w:rsid w:val="33010C9A"/>
    <w:rsid w:val="336B6A5B"/>
    <w:rsid w:val="34264730"/>
    <w:rsid w:val="34EE34A0"/>
    <w:rsid w:val="35305866"/>
    <w:rsid w:val="35DE52C2"/>
    <w:rsid w:val="35FC7755"/>
    <w:rsid w:val="360B1E2F"/>
    <w:rsid w:val="36280F22"/>
    <w:rsid w:val="368F480F"/>
    <w:rsid w:val="37623CD1"/>
    <w:rsid w:val="37C16C4A"/>
    <w:rsid w:val="381256F7"/>
    <w:rsid w:val="393D2C48"/>
    <w:rsid w:val="39F33306"/>
    <w:rsid w:val="3A3E5767"/>
    <w:rsid w:val="3AB6680E"/>
    <w:rsid w:val="3ACD3B57"/>
    <w:rsid w:val="3AF17846"/>
    <w:rsid w:val="3B824942"/>
    <w:rsid w:val="3BD258C9"/>
    <w:rsid w:val="3BE455FD"/>
    <w:rsid w:val="3C687FDC"/>
    <w:rsid w:val="3CAD59EE"/>
    <w:rsid w:val="3D8175A7"/>
    <w:rsid w:val="3DC70D32"/>
    <w:rsid w:val="3DC96858"/>
    <w:rsid w:val="3E2D328B"/>
    <w:rsid w:val="3EB13581"/>
    <w:rsid w:val="3F2F6B8F"/>
    <w:rsid w:val="3F5A27C7"/>
    <w:rsid w:val="3FD11A8E"/>
    <w:rsid w:val="40C003E6"/>
    <w:rsid w:val="413466DE"/>
    <w:rsid w:val="4170341C"/>
    <w:rsid w:val="41BD2B78"/>
    <w:rsid w:val="42207EC8"/>
    <w:rsid w:val="42F97BDF"/>
    <w:rsid w:val="43E20674"/>
    <w:rsid w:val="44CF7A97"/>
    <w:rsid w:val="453E3FCF"/>
    <w:rsid w:val="4554734F"/>
    <w:rsid w:val="45594965"/>
    <w:rsid w:val="45667082"/>
    <w:rsid w:val="45684BA8"/>
    <w:rsid w:val="45717DCF"/>
    <w:rsid w:val="46116FEE"/>
    <w:rsid w:val="46492C2C"/>
    <w:rsid w:val="464E3D9E"/>
    <w:rsid w:val="46B1257F"/>
    <w:rsid w:val="472E597E"/>
    <w:rsid w:val="47721D0E"/>
    <w:rsid w:val="477261B2"/>
    <w:rsid w:val="47AD0F98"/>
    <w:rsid w:val="47CD163B"/>
    <w:rsid w:val="484511D1"/>
    <w:rsid w:val="489101ED"/>
    <w:rsid w:val="48961A2D"/>
    <w:rsid w:val="491D03E7"/>
    <w:rsid w:val="49C34AA3"/>
    <w:rsid w:val="49E50EBD"/>
    <w:rsid w:val="4A0B1FA6"/>
    <w:rsid w:val="4A3B288C"/>
    <w:rsid w:val="4B7F0E9E"/>
    <w:rsid w:val="4C287D2A"/>
    <w:rsid w:val="4D5048A0"/>
    <w:rsid w:val="4DD3727F"/>
    <w:rsid w:val="4E3F66C2"/>
    <w:rsid w:val="4E4F4DA0"/>
    <w:rsid w:val="4E6600F3"/>
    <w:rsid w:val="4F255F02"/>
    <w:rsid w:val="4F894099"/>
    <w:rsid w:val="4FD80B7D"/>
    <w:rsid w:val="502142D2"/>
    <w:rsid w:val="503033FC"/>
    <w:rsid w:val="517843C5"/>
    <w:rsid w:val="526A6404"/>
    <w:rsid w:val="52E635B0"/>
    <w:rsid w:val="53876B42"/>
    <w:rsid w:val="53A96AB8"/>
    <w:rsid w:val="53DA3115"/>
    <w:rsid w:val="53E21FCA"/>
    <w:rsid w:val="54330A77"/>
    <w:rsid w:val="54CF07A0"/>
    <w:rsid w:val="55DA73FC"/>
    <w:rsid w:val="55FC3D36"/>
    <w:rsid w:val="56617B1E"/>
    <w:rsid w:val="56893B9D"/>
    <w:rsid w:val="56BF4844"/>
    <w:rsid w:val="579D2DD8"/>
    <w:rsid w:val="57F95B34"/>
    <w:rsid w:val="58296419"/>
    <w:rsid w:val="583628E4"/>
    <w:rsid w:val="588E2720"/>
    <w:rsid w:val="589917F1"/>
    <w:rsid w:val="58C223CA"/>
    <w:rsid w:val="58CB127E"/>
    <w:rsid w:val="59C97EB4"/>
    <w:rsid w:val="59CC706B"/>
    <w:rsid w:val="59E955E7"/>
    <w:rsid w:val="5B265E74"/>
    <w:rsid w:val="5B31425D"/>
    <w:rsid w:val="5BF53843"/>
    <w:rsid w:val="5C036F81"/>
    <w:rsid w:val="5C7D31D8"/>
    <w:rsid w:val="5CCC6B20"/>
    <w:rsid w:val="5D10145F"/>
    <w:rsid w:val="5D3715D8"/>
    <w:rsid w:val="5DEC23C3"/>
    <w:rsid w:val="5E127950"/>
    <w:rsid w:val="5E800D5D"/>
    <w:rsid w:val="5E954808"/>
    <w:rsid w:val="5E996D57"/>
    <w:rsid w:val="5EDA66BF"/>
    <w:rsid w:val="5F0059FA"/>
    <w:rsid w:val="601B2AEB"/>
    <w:rsid w:val="60C70EC5"/>
    <w:rsid w:val="613D088A"/>
    <w:rsid w:val="616441E1"/>
    <w:rsid w:val="624520A2"/>
    <w:rsid w:val="62BE1E54"/>
    <w:rsid w:val="62F04EE0"/>
    <w:rsid w:val="631C3A98"/>
    <w:rsid w:val="636649C5"/>
    <w:rsid w:val="63A172F5"/>
    <w:rsid w:val="63CC234F"/>
    <w:rsid w:val="63FC0E86"/>
    <w:rsid w:val="65110961"/>
    <w:rsid w:val="65956E9C"/>
    <w:rsid w:val="667016B7"/>
    <w:rsid w:val="6787315C"/>
    <w:rsid w:val="67AB0BF9"/>
    <w:rsid w:val="67BA0E3C"/>
    <w:rsid w:val="67EB5499"/>
    <w:rsid w:val="688128E0"/>
    <w:rsid w:val="68A8338A"/>
    <w:rsid w:val="68C33D20"/>
    <w:rsid w:val="68F93BE6"/>
    <w:rsid w:val="69D34437"/>
    <w:rsid w:val="69E2467A"/>
    <w:rsid w:val="6A0942FC"/>
    <w:rsid w:val="6A246A40"/>
    <w:rsid w:val="6A464C09"/>
    <w:rsid w:val="6A4E61B3"/>
    <w:rsid w:val="6A576E16"/>
    <w:rsid w:val="6A6E23B2"/>
    <w:rsid w:val="6A9C0CCD"/>
    <w:rsid w:val="6ABE0C43"/>
    <w:rsid w:val="6B2C2051"/>
    <w:rsid w:val="6BB56427"/>
    <w:rsid w:val="6C53185F"/>
    <w:rsid w:val="6C9F4AA4"/>
    <w:rsid w:val="6CC8224D"/>
    <w:rsid w:val="6E3D4575"/>
    <w:rsid w:val="6EB4515F"/>
    <w:rsid w:val="6F4A6F49"/>
    <w:rsid w:val="6F7044D6"/>
    <w:rsid w:val="7025763E"/>
    <w:rsid w:val="712B4B58"/>
    <w:rsid w:val="71865B23"/>
    <w:rsid w:val="71C546DD"/>
    <w:rsid w:val="71ED1E0E"/>
    <w:rsid w:val="71FC02A3"/>
    <w:rsid w:val="72266E1E"/>
    <w:rsid w:val="725B321B"/>
    <w:rsid w:val="73025D8D"/>
    <w:rsid w:val="73781BAB"/>
    <w:rsid w:val="738B18DE"/>
    <w:rsid w:val="73B2330F"/>
    <w:rsid w:val="73C66DBA"/>
    <w:rsid w:val="742E508B"/>
    <w:rsid w:val="747D391D"/>
    <w:rsid w:val="74850A24"/>
    <w:rsid w:val="749B3DA3"/>
    <w:rsid w:val="7541494A"/>
    <w:rsid w:val="7671125F"/>
    <w:rsid w:val="775546DD"/>
    <w:rsid w:val="781A6722"/>
    <w:rsid w:val="7899684C"/>
    <w:rsid w:val="794F3403"/>
    <w:rsid w:val="798B6ADC"/>
    <w:rsid w:val="79B849F8"/>
    <w:rsid w:val="7A100D8F"/>
    <w:rsid w:val="7A903C7E"/>
    <w:rsid w:val="7B25086A"/>
    <w:rsid w:val="7C745605"/>
    <w:rsid w:val="7C8B294F"/>
    <w:rsid w:val="7D480840"/>
    <w:rsid w:val="7D58573F"/>
    <w:rsid w:val="7DBA7990"/>
    <w:rsid w:val="7DDD71DA"/>
    <w:rsid w:val="7E0806FB"/>
    <w:rsid w:val="7E8F2BCB"/>
    <w:rsid w:val="7EAB72D9"/>
    <w:rsid w:val="7EB937A4"/>
    <w:rsid w:val="7ECA59B1"/>
    <w:rsid w:val="7EFE4B6D"/>
    <w:rsid w:val="7FE231C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annotation text"/>
    <w:basedOn w:val="1"/>
    <w:semiHidden/>
    <w:unhideWhenUsed/>
    <w:qFormat/>
    <w:uiPriority w:val="99"/>
    <w:pPr>
      <w:jc w:val="left"/>
    </w:pPr>
  </w:style>
  <w:style w:type="paragraph" w:styleId="7">
    <w:name w:val="Body Text"/>
    <w:basedOn w:val="1"/>
    <w:next w:val="1"/>
    <w:link w:val="29"/>
    <w:qFormat/>
    <w:uiPriority w:val="99"/>
    <w:pPr>
      <w:spacing w:beforeLines="30"/>
    </w:pPr>
    <w:rPr>
      <w:rFonts w:ascii="仿宋_GB2312" w:eastAsia="仿宋_GB2312"/>
      <w:kern w:val="0"/>
      <w:sz w:val="30"/>
    </w:rPr>
  </w:style>
  <w:style w:type="paragraph" w:styleId="8">
    <w:name w:val="Body Text Indent"/>
    <w:basedOn w:val="1"/>
    <w:next w:val="9"/>
    <w:qFormat/>
    <w:uiPriority w:val="99"/>
    <w:pPr>
      <w:ind w:firstLine="630"/>
      <w:jc w:val="left"/>
    </w:pPr>
    <w:rPr>
      <w:rFonts w:eastAsia="黑体"/>
      <w:sz w:val="32"/>
      <w:szCs w:val="32"/>
    </w:rPr>
  </w:style>
  <w:style w:type="paragraph" w:styleId="9">
    <w:name w:val="Body Text Indent 2"/>
    <w:basedOn w:val="1"/>
    <w:qFormat/>
    <w:uiPriority w:val="0"/>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able of figures"/>
    <w:basedOn w:val="1"/>
    <w:next w:val="1"/>
    <w:semiHidden/>
    <w:qFormat/>
    <w:uiPriority w:val="0"/>
    <w:pPr>
      <w:ind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next w:val="17"/>
    <w:unhideWhenUsed/>
    <w:qFormat/>
    <w:uiPriority w:val="99"/>
    <w:pPr>
      <w:widowControl/>
      <w:spacing w:before="100" w:beforeAutospacing="1" w:after="100" w:afterAutospacing="1" w:line="360" w:lineRule="auto"/>
      <w:jc w:val="left"/>
    </w:pPr>
    <w:rPr>
      <w:rFonts w:ascii="宋体" w:hAnsi="宋体" w:eastAsia="宋体" w:cs="宋体"/>
      <w:kern w:val="0"/>
      <w:sz w:val="24"/>
    </w:rPr>
  </w:style>
  <w:style w:type="paragraph" w:styleId="17">
    <w:name w:val="Body Text First Indent"/>
    <w:basedOn w:val="7"/>
    <w:qFormat/>
    <w:uiPriority w:val="0"/>
    <w:pPr>
      <w:ind w:firstLine="420" w:firstLineChars="100"/>
    </w:pPr>
  </w:style>
  <w:style w:type="paragraph" w:styleId="18">
    <w:name w:val="Body Text First Indent 2"/>
    <w:basedOn w:val="8"/>
    <w:next w:val="1"/>
    <w:qFormat/>
    <w:uiPriority w:val="99"/>
    <w:pPr>
      <w:spacing w:after="120"/>
      <w:ind w:left="420" w:leftChars="200" w:firstLine="420"/>
    </w:pPr>
  </w:style>
  <w:style w:type="table" w:styleId="2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customStyle="1" w:styleId="24">
    <w:name w:val="Header Char"/>
    <w:basedOn w:val="21"/>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21"/>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21"/>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1"/>
    <w:link w:val="3"/>
    <w:qFormat/>
    <w:uiPriority w:val="9"/>
    <w:rPr>
      <w:rFonts w:ascii="Times New Roman" w:hAnsi="Times New Roman"/>
      <w:b/>
      <w:bCs/>
      <w:kern w:val="44"/>
      <w:sz w:val="44"/>
      <w:szCs w:val="44"/>
    </w:rPr>
  </w:style>
  <w:style w:type="character" w:customStyle="1" w:styleId="33">
    <w:name w:val="标题 2 Char"/>
    <w:basedOn w:val="21"/>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1"/>
    <w:link w:val="11"/>
    <w:semiHidden/>
    <w:qFormat/>
    <w:uiPriority w:val="99"/>
    <w:rPr>
      <w:rFonts w:ascii="Times New Roman" w:hAnsi="Times New Roman"/>
      <w:kern w:val="2"/>
      <w:sz w:val="18"/>
      <w:szCs w:val="18"/>
    </w:rPr>
  </w:style>
  <w:style w:type="character" w:customStyle="1" w:styleId="36">
    <w:name w:val="标题 3 Char"/>
    <w:basedOn w:val="21"/>
    <w:link w:val="5"/>
    <w:qFormat/>
    <w:uiPriority w:val="9"/>
    <w:rPr>
      <w:rFonts w:ascii="Times New Roman" w:hAnsi="Times New Roman"/>
      <w:b/>
      <w:bCs/>
      <w:kern w:val="2"/>
      <w:sz w:val="32"/>
      <w:szCs w:val="32"/>
    </w:r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p0"/>
    <w:basedOn w:val="1"/>
    <w:qFormat/>
    <w:uiPriority w:val="0"/>
    <w:pPr>
      <w:widowControl/>
    </w:pPr>
    <w:rPr>
      <w:kern w:val="0"/>
    </w:rPr>
  </w:style>
  <w:style w:type="character" w:customStyle="1" w:styleId="39">
    <w:name w:val=" Char Char6"/>
    <w:basedOn w:val="21"/>
    <w:link w:val="3"/>
    <w:qFormat/>
    <w:locked/>
    <w:uiPriority w:val="9"/>
    <w:rPr>
      <w:rFonts w:ascii="Times New Roman" w:hAnsi="Times New Roman" w:cs="Times New Roman"/>
      <w:b/>
      <w:bCs/>
      <w:kern w:val="44"/>
      <w:sz w:val="44"/>
      <w:szCs w:val="44"/>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paragraph" w:customStyle="1" w:styleId="42">
    <w:name w:val="UserStyle_0"/>
    <w:qFormat/>
    <w:uiPriority w:val="0"/>
    <w:pPr>
      <w:spacing w:after="160" w:line="259" w:lineRule="auto"/>
      <w:textAlignment w:val="baseline"/>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F:\&#25105;&#30340;&#25991;&#26723;\Desktop\&#26032;&#24314;%20XLS%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5105;&#30340;&#25991;&#26723;\Desktop\&#26032;&#24314;%20XLS%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5105;&#30340;&#25991;&#26723;\Desktop\&#26032;&#24314;%20XLS%20&#24037;&#20316;&#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5105;&#30340;&#25991;&#26723;\Desktop\&#26032;&#24314;%20XLS%20&#24037;&#20316;&#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5105;&#30340;&#25991;&#26723;\Desktop\&#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5105;&#30340;&#25991;&#26723;\Desktop\&#26032;&#24314;%20XLS%20&#24037;&#20316;&#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25105;&#30340;&#25991;&#26723;\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'[新建 XLS 工作表.xls]Sheet1'!$IA$13</c:f>
              <c:strCache>
                <c:ptCount val="1"/>
                <c:pt idx="0">
                  <c:v>收入</c:v>
                </c:pt>
              </c:strCache>
            </c:strRef>
          </c:tx>
          <c:spPr>
            <a:gradFill>
              <a:gsLst>
                <a:gs pos="0">
                  <a:schemeClr val="accent1">
                    <a:lumMod val="60000"/>
                    <a:lumOff val="40000"/>
                  </a:schemeClr>
                </a:gs>
                <a:gs pos="15000">
                  <a:schemeClr val="accent1"/>
                </a:gs>
                <a:gs pos="75000">
                  <a:schemeClr val="accent1"/>
                </a:gs>
                <a:gs pos="76000">
                  <a:schemeClr val="accent1">
                    <a:lumMod val="75000"/>
                  </a:schemeClr>
                </a:gs>
                <a:gs pos="100000">
                  <a:schemeClr val="accent1">
                    <a:lumMod val="75000"/>
                  </a:schemeClr>
                </a:gs>
              </a:gsLst>
              <a:lin ang="0" scaled="0"/>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'[新建 XLS 工作表.xls]Sheet1'!$IB$12:$IC$12</c:f>
              <c:numCache>
                <c:formatCode>General</c:formatCode>
                <c:ptCount val="2"/>
                <c:pt idx="0">
                  <c:v>2021</c:v>
                </c:pt>
                <c:pt idx="1">
                  <c:v>2022</c:v>
                </c:pt>
              </c:numCache>
            </c:numRef>
          </c:cat>
          <c:val>
            <c:numRef>
              <c:f>'[新建 XLS 工作表.xls]Sheet1'!$IB$13:$IC$13</c:f>
              <c:numCache>
                <c:formatCode>General</c:formatCode>
                <c:ptCount val="2"/>
                <c:pt idx="0">
                  <c:v>124.53</c:v>
                </c:pt>
                <c:pt idx="1">
                  <c:v>145.07</c:v>
                </c:pt>
              </c:numCache>
            </c:numRef>
          </c:val>
        </c:ser>
        <c:ser>
          <c:idx val="1"/>
          <c:order val="1"/>
          <c:tx>
            <c:strRef>
              <c:f>'[新建 XLS 工作表.xls]Sheet1'!$IA$14</c:f>
              <c:strCache>
                <c:ptCount val="1"/>
                <c:pt idx="0">
                  <c:v>支出</c:v>
                </c:pt>
              </c:strCache>
            </c:strRef>
          </c:tx>
          <c:spPr>
            <a:gradFill>
              <a:gsLst>
                <a:gs pos="0">
                  <a:schemeClr val="accent2">
                    <a:lumMod val="60000"/>
                    <a:lumOff val="40000"/>
                  </a:schemeClr>
                </a:gs>
                <a:gs pos="15000">
                  <a:schemeClr val="accent2"/>
                </a:gs>
                <a:gs pos="75000">
                  <a:schemeClr val="accent2"/>
                </a:gs>
                <a:gs pos="76000">
                  <a:schemeClr val="accent2">
                    <a:lumMod val="75000"/>
                  </a:schemeClr>
                </a:gs>
                <a:gs pos="100000">
                  <a:schemeClr val="accent2">
                    <a:lumMod val="75000"/>
                  </a:schemeClr>
                </a:gs>
              </a:gsLst>
              <a:lin ang="0" scaled="0"/>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'[新建 XLS 工作表.xls]Sheet1'!$IB$12:$IC$12</c:f>
              <c:numCache>
                <c:formatCode>General</c:formatCode>
                <c:ptCount val="2"/>
                <c:pt idx="0">
                  <c:v>2021</c:v>
                </c:pt>
                <c:pt idx="1">
                  <c:v>2022</c:v>
                </c:pt>
              </c:numCache>
            </c:numRef>
          </c:cat>
          <c:val>
            <c:numRef>
              <c:f>'[新建 XLS 工作表.xls]Sheet1'!$IB$14:$IC$14</c:f>
              <c:numCache>
                <c:formatCode>General</c:formatCode>
                <c:ptCount val="2"/>
                <c:pt idx="0">
                  <c:v>124.53</c:v>
                </c:pt>
                <c:pt idx="1">
                  <c:v>145.07</c:v>
                </c:pt>
              </c:numCache>
            </c:numRef>
          </c:val>
        </c:ser>
        <c:dLbls>
          <c:showLegendKey val="0"/>
          <c:showVal val="1"/>
          <c:showCatName val="0"/>
          <c:showSerName val="0"/>
          <c:showPercent val="0"/>
          <c:showBubbleSize val="0"/>
        </c:dLbls>
        <c:gapWidth val="163"/>
        <c:overlap val="-10"/>
        <c:axId val="550273284"/>
        <c:axId val="910475525"/>
      </c:barChart>
      <c:catAx>
        <c:axId val="5502732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910475525"/>
        <c:crosses val="autoZero"/>
        <c:auto val="1"/>
        <c:lblAlgn val="ctr"/>
        <c:lblOffset val="100"/>
        <c:noMultiLvlLbl val="0"/>
      </c:catAx>
      <c:valAx>
        <c:axId val="910475525"/>
        <c:scaling>
          <c:orientation val="minMax"/>
        </c:scaling>
        <c:delete val="0"/>
        <c:axPos val="l"/>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5502732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'[新建 XLS 工作表.xls]Sheet1'!$IB$13</c:f>
              <c:strCache>
                <c:ptCount val="1"/>
                <c:pt idx="0">
                  <c:v>占比</c:v>
                </c:pt>
              </c:strCache>
            </c:strRef>
          </c:tx>
          <c:spPr>
            <a:ln w="15875">
              <a:solidFill>
                <a:schemeClr val="bg1"/>
              </a:solidFill>
            </a:ln>
            <a:effectLst>
              <a:outerShdw blurRad="63500" sx="102000" sy="102000" algn="ctr" rotWithShape="0">
                <a:schemeClr val="tx1">
                  <a:lumMod val="50000"/>
                  <a:lumOff val="50000"/>
                  <a:alpha val="40000"/>
                </a:schemeClr>
              </a:outerShdw>
            </a:effectLst>
            <a:sp3d contourW="15875"/>
          </c:spPr>
          <c:explosion val="0"/>
          <c:dPt>
            <c:idx val="0"/>
            <c:bubble3D val="0"/>
            <c:spPr>
              <a:pattFill prst="dkUpDiag">
                <a:fgClr>
                  <a:schemeClr val="accent3"/>
                </a:fgClr>
                <a:bgClr>
                  <a:schemeClr val="accent3">
                    <a:lumMod val="60000"/>
                    <a:lumOff val="40000"/>
                  </a:schemeClr>
                </a:bgClr>
              </a:pattFill>
              <a:ln w="15875">
                <a:solidFill>
                  <a:schemeClr val="bg1"/>
                </a:solidFill>
              </a:ln>
              <a:effectLst>
                <a:outerShdw blurRad="63500" sx="102000" sy="102000" algn="ctr" rotWithShape="0">
                  <a:schemeClr val="tx1">
                    <a:lumMod val="50000"/>
                    <a:lumOff val="50000"/>
                    <a:alpha val="40000"/>
                  </a:schemeClr>
                </a:outerShdw>
              </a:effectLst>
              <a:sp3d contourW="15875"/>
            </c:spPr>
          </c:dPt>
          <c:dLbls>
            <c:dLbl>
              <c:idx val="0"/>
              <c:layout/>
              <c:numFmt formatCode="General" sourceLinked="1"/>
              <c:spPr>
                <a:solidFill>
                  <a:schemeClr val="lt1"/>
                </a:solidFill>
                <a:ln>
                  <a:solidFill>
                    <a:schemeClr val="accent3"/>
                  </a:solidFill>
                </a:ln>
                <a:effectLst>
                  <a:outerShdw blurRad="63500" sx="102000" sy="102000" algn="ctr" rotWithShape="0">
                    <a:schemeClr val="accent3">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3">
                          <a:lumMod val="75000"/>
                          <a:alpha val="8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solidFill>
                <a:schemeClr val="lt1"/>
              </a:solidFill>
              <a:ln>
                <a:solidFill>
                  <a:schemeClr val="dk1">
                    <a:lumMod val="25000"/>
                    <a:lumOff val="75000"/>
                  </a:schemeClr>
                </a:solidFill>
              </a:ln>
              <a:effectLst>
                <a:outerShdw blurRad="63500" sx="102000" sy="102000" algn="ctr" rotWithShape="0">
                  <a:prstClr val="black">
                    <a:alpha val="40000"/>
                  </a:prstClr>
                </a:outerShdw>
              </a:effectLst>
            </c:spPr>
            <c:txPr>
              <a:bodyPr rot="0" spcFirstLastPara="0" vertOverflow="clip" horzOverflow="clip" vert="horz" wrap="square" lIns="36576" tIns="18288" rIns="36576" bIns="18288" anchor="ctr" anchorCtr="1" forceAA="0">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 工作表.xls]Sheet1'!$IA$14</c:f>
              <c:strCache>
                <c:ptCount val="1"/>
                <c:pt idx="0">
                  <c:v>一般公共预算财政拨款收入</c:v>
                </c:pt>
              </c:strCache>
            </c:strRef>
          </c:cat>
          <c:val>
            <c:numRef>
              <c:f>'[新建 XLS 工作表.xls]Sheet1'!$IB$14</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支出决算结构图</a:t>
            </a:r>
          </a:p>
        </c:rich>
      </c:tx>
      <c:layout>
        <c:manualLayout>
          <c:xMode val="edge"/>
          <c:yMode val="edge"/>
          <c:x val="0.308194444444444"/>
          <c:y val="0.03125"/>
        </c:manualLayout>
      </c:layout>
      <c:overlay val="0"/>
      <c:spPr>
        <a:noFill/>
        <a:ln>
          <a:noFill/>
        </a:ln>
        <a:effectLst/>
      </c:spPr>
    </c:title>
    <c:autoTitleDeleted val="0"/>
    <c:plotArea>
      <c:layout>
        <c:manualLayout>
          <c:layoutTarget val="inner"/>
          <c:xMode val="edge"/>
          <c:yMode val="edge"/>
          <c:x val="0.225594444444444"/>
          <c:y val="0.229694444444444"/>
          <c:w val="0.407977777777778"/>
          <c:h val="0.679962962962963"/>
        </c:manualLayout>
      </c:layout>
      <c:pieChart>
        <c:varyColors val="1"/>
        <c:ser>
          <c:idx val="0"/>
          <c:order val="0"/>
          <c:tx>
            <c:strRef>
              <c:f>'[新建 XLS 工作表.xls]Sheet1'!#REF!</c:f>
              <c:strCache>
                <c:ptCount val="1"/>
                <c:pt idx="0">
                  <c:v/>
                </c:pt>
              </c:strCache>
            </c:strRef>
          </c:tx>
          <c:spPr>
            <a:ln w="12700" cmpd="sng">
              <a:solidFill>
                <a:schemeClr val="bg1"/>
              </a:solidFill>
              <a:prstDash val="solid"/>
            </a:ln>
            <a:effectLst>
              <a:outerShdw blurRad="50800" dist="38100" dir="2700000" algn="tl" rotWithShape="0">
                <a:prstClr val="black">
                  <a:alpha val="40000"/>
                </a:prstClr>
              </a:outerShdw>
            </a:effectLst>
            <a:sp3d contourW="12700"/>
          </c:spPr>
          <c:explosion val="0"/>
          <c:dPt>
            <c:idx val="0"/>
            <c:bubble3D val="0"/>
            <c:spPr>
              <a:gradFill>
                <a:gsLst>
                  <a:gs pos="0">
                    <a:schemeClr val="accent1">
                      <a:lumMod val="60000"/>
                      <a:lumOff val="40000"/>
                    </a:schemeClr>
                  </a:gs>
                  <a:gs pos="50000">
                    <a:schemeClr val="accent1"/>
                  </a:gs>
                </a:gsLst>
                <a:lin ang="2700000" scaled="0"/>
              </a:gradFill>
              <a:ln w="12700" cmpd="sng">
                <a:solidFill>
                  <a:schemeClr val="bg1"/>
                </a:solidFill>
                <a:prstDash val="solid"/>
              </a:ln>
              <a:effectLst>
                <a:outerShdw blurRad="50800" dist="38100" dir="2700000" algn="tl" rotWithShape="0">
                  <a:prstClr val="black">
                    <a:alpha val="40000"/>
                  </a:prstClr>
                </a:outerShdw>
              </a:effectLst>
              <a:sp3d contourW="12700"/>
            </c:spPr>
          </c:dPt>
          <c:dLbls>
            <c:dLbl>
              <c:idx val="0"/>
              <c:layout>
                <c:manualLayout>
                  <c:x val="-0.0041666666666667"/>
                  <c:y val="-0.0868055555555558"/>
                </c:manualLayout>
              </c:layout>
              <c:numFmt formatCode="General" sourceLinked="1"/>
              <c:spPr>
                <a:solidFill>
                  <a:schemeClr val="accent1"/>
                </a:solidFill>
                <a:ln>
                  <a:solidFill>
                    <a:schemeClr val="accent1">
                      <a:lumMod val="75000"/>
                      <a:alpha val="80000"/>
                    </a:schemeClr>
                  </a:solidFill>
                </a:ln>
                <a:effectLst/>
              </c:spPr>
              <c:txPr>
                <a:bodyPr rot="0" spcFirstLastPara="0" vertOverflow="clip" horzOverflow="clip" vert="horz" wrap="square" lIns="36576" tIns="18288" rIns="36576" bIns="18288" anchor="ctr" anchorCtr="1" forceAA="0">
                  <a:spAutoFit/>
                </a:bodyPr>
                <a:lstStyle/>
                <a:p>
                  <a:pPr>
                    <a:defRPr lang="zh-CN" sz="900" b="0" i="0" u="none" strike="noStrike" kern="1200" baseline="0">
                      <a:solidFill>
                        <a:schemeClr val="bg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General" sourceLinked="1"/>
            <c:spPr>
              <a:solidFill>
                <a:schemeClr val="accent1"/>
              </a:solidFill>
              <a:ln>
                <a:solidFill>
                  <a:schemeClr val="accent1">
                    <a:lumMod val="75000"/>
                    <a:alpha val="80000"/>
                  </a:schemeClr>
                </a:solidFill>
              </a:ln>
              <a:effectLst/>
            </c:spPr>
            <c:txPr>
              <a:bodyPr rot="0" spcFirstLastPara="0" vertOverflow="clip" horzOverflow="clip" vert="horz" wrap="square" lIns="36576" tIns="18288" rIns="36576" bIns="18288" anchor="ctr" anchorCtr="1" forceAA="0">
                <a:spAutoFit/>
              </a:bodyPr>
              <a:lstStyle/>
              <a:p>
                <a:pPr>
                  <a:defRPr lang="zh-CN" sz="900" b="0" i="0" u="none" strike="noStrike" kern="1200" baseline="0">
                    <a:solidFill>
                      <a:schemeClr val="bg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spPr xmlns:c15="http://schemas.microsoft.com/office/drawing/2012/chart">
                  <a:prstGeom prst="wedgeEllipseCallout">
                    <a:avLst/>
                  </a:prstGeom>
                  <a:noFill/>
                  <a:ln>
                    <a:noFill/>
                  </a:ln>
                </c15:spPr>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 工作表.xls]Sheet1'!$IA$13</c:f>
              <c:strCache>
                <c:ptCount val="1"/>
                <c:pt idx="0">
                  <c:v>基本支出</c:v>
                </c:pt>
              </c:strCache>
            </c:strRef>
          </c:cat>
          <c:val>
            <c:numRef>
              <c:f>'[新建 XLS 工作表.xls]Sheet1'!$IA$14</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'[新建 XLS 工作表.xls]Sheet1'!$IA$13</c:f>
              <c:strCache>
                <c:ptCount val="1"/>
                <c:pt idx="0">
                  <c:v>收入</c:v>
                </c:pt>
              </c:strCache>
            </c:strRef>
          </c:tx>
          <c:spPr>
            <a:gradFill>
              <a:gsLst>
                <a:gs pos="0">
                  <a:schemeClr val="accent1">
                    <a:lumMod val="60000"/>
                    <a:lumOff val="40000"/>
                  </a:schemeClr>
                </a:gs>
                <a:gs pos="15000">
                  <a:schemeClr val="accent1"/>
                </a:gs>
                <a:gs pos="75000">
                  <a:schemeClr val="accent1"/>
                </a:gs>
                <a:gs pos="76000">
                  <a:schemeClr val="accent1">
                    <a:lumMod val="75000"/>
                  </a:schemeClr>
                </a:gs>
                <a:gs pos="100000">
                  <a:schemeClr val="accent1">
                    <a:lumMod val="75000"/>
                  </a:schemeClr>
                </a:gs>
              </a:gsLst>
              <a:lin ang="0" scaled="0"/>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'[新建 XLS 工作表.xls]Sheet1'!$IB$12:$IC$12</c:f>
              <c:numCache>
                <c:formatCode>General</c:formatCode>
                <c:ptCount val="2"/>
                <c:pt idx="0">
                  <c:v>2021</c:v>
                </c:pt>
                <c:pt idx="1">
                  <c:v>2022</c:v>
                </c:pt>
              </c:numCache>
            </c:numRef>
          </c:cat>
          <c:val>
            <c:numRef>
              <c:f>'[新建 XLS 工作表.xls]Sheet1'!$IB$13:$IC$13</c:f>
              <c:numCache>
                <c:formatCode>General</c:formatCode>
                <c:ptCount val="2"/>
                <c:pt idx="0">
                  <c:v>124.53</c:v>
                </c:pt>
                <c:pt idx="1">
                  <c:v>145.07</c:v>
                </c:pt>
              </c:numCache>
            </c:numRef>
          </c:val>
        </c:ser>
        <c:ser>
          <c:idx val="1"/>
          <c:order val="1"/>
          <c:tx>
            <c:strRef>
              <c:f>'[新建 XLS 工作表.xls]Sheet1'!$IA$14</c:f>
              <c:strCache>
                <c:ptCount val="1"/>
                <c:pt idx="0">
                  <c:v>支出</c:v>
                </c:pt>
              </c:strCache>
            </c:strRef>
          </c:tx>
          <c:spPr>
            <a:gradFill>
              <a:gsLst>
                <a:gs pos="0">
                  <a:schemeClr val="accent2">
                    <a:lumMod val="60000"/>
                    <a:lumOff val="40000"/>
                  </a:schemeClr>
                </a:gs>
                <a:gs pos="15000">
                  <a:schemeClr val="accent2"/>
                </a:gs>
                <a:gs pos="75000">
                  <a:schemeClr val="accent2"/>
                </a:gs>
                <a:gs pos="76000">
                  <a:schemeClr val="accent2">
                    <a:lumMod val="75000"/>
                  </a:schemeClr>
                </a:gs>
                <a:gs pos="100000">
                  <a:schemeClr val="accent2">
                    <a:lumMod val="75000"/>
                  </a:schemeClr>
                </a:gs>
              </a:gsLst>
              <a:lin ang="0" scaled="0"/>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'[新建 XLS 工作表.xls]Sheet1'!$IB$12:$IC$12</c:f>
              <c:numCache>
                <c:formatCode>General</c:formatCode>
                <c:ptCount val="2"/>
                <c:pt idx="0">
                  <c:v>2021</c:v>
                </c:pt>
                <c:pt idx="1">
                  <c:v>2022</c:v>
                </c:pt>
              </c:numCache>
            </c:numRef>
          </c:cat>
          <c:val>
            <c:numRef>
              <c:f>'[新建 XLS 工作表.xls]Sheet1'!$IB$14:$IC$14</c:f>
              <c:numCache>
                <c:formatCode>General</c:formatCode>
                <c:ptCount val="2"/>
                <c:pt idx="0">
                  <c:v>124.53</c:v>
                </c:pt>
                <c:pt idx="1">
                  <c:v>145.07</c:v>
                </c:pt>
              </c:numCache>
            </c:numRef>
          </c:val>
        </c:ser>
        <c:dLbls>
          <c:showLegendKey val="0"/>
          <c:showVal val="1"/>
          <c:showCatName val="0"/>
          <c:showSerName val="0"/>
          <c:showPercent val="0"/>
          <c:showBubbleSize val="0"/>
        </c:dLbls>
        <c:gapWidth val="163"/>
        <c:overlap val="-10"/>
        <c:axId val="550273284"/>
        <c:axId val="910475525"/>
      </c:barChart>
      <c:catAx>
        <c:axId val="5502732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910475525"/>
        <c:crosses val="autoZero"/>
        <c:auto val="1"/>
        <c:lblAlgn val="ctr"/>
        <c:lblOffset val="100"/>
        <c:noMultiLvlLbl val="0"/>
      </c:catAx>
      <c:valAx>
        <c:axId val="910475525"/>
        <c:scaling>
          <c:orientation val="minMax"/>
        </c:scaling>
        <c:delete val="0"/>
        <c:axPos val="l"/>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5502732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'[新建 XLS 工作表.xls]Sheet1'!$IA$13</c:f>
              <c:strCache>
                <c:ptCount val="1"/>
                <c:pt idx="0">
                  <c:v>一般公共预算财政拨款支出决算变动情况</c:v>
                </c:pt>
              </c:strCache>
            </c:strRef>
          </c:tx>
          <c:spPr>
            <a:gradFill>
              <a:gsLst>
                <a:gs pos="0">
                  <a:schemeClr val="accent1">
                    <a:lumMod val="60000"/>
                    <a:lumOff val="40000"/>
                  </a:schemeClr>
                </a:gs>
                <a:gs pos="15000">
                  <a:schemeClr val="accent1"/>
                </a:gs>
                <a:gs pos="75000">
                  <a:schemeClr val="accent1"/>
                </a:gs>
                <a:gs pos="76000">
                  <a:schemeClr val="accent1">
                    <a:lumMod val="75000"/>
                  </a:schemeClr>
                </a:gs>
                <a:gs pos="100000">
                  <a:schemeClr val="accent1">
                    <a:lumMod val="75000"/>
                  </a:schemeClr>
                </a:gs>
              </a:gsLst>
              <a:lin ang="0" scaled="0"/>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'[新建 XLS 工作表.xls]Sheet1'!$IB$12:$IC$12</c:f>
              <c:numCache>
                <c:formatCode>General</c:formatCode>
                <c:ptCount val="2"/>
                <c:pt idx="0">
                  <c:v>2021</c:v>
                </c:pt>
                <c:pt idx="1">
                  <c:v>2022</c:v>
                </c:pt>
              </c:numCache>
            </c:numRef>
          </c:cat>
          <c:val>
            <c:numRef>
              <c:f>'[新建 XLS 工作表.xls]Sheet1'!$IB$13:$IC$13</c:f>
              <c:numCache>
                <c:formatCode>General</c:formatCode>
                <c:ptCount val="2"/>
                <c:pt idx="0">
                  <c:v>124.53</c:v>
                </c:pt>
                <c:pt idx="1">
                  <c:v>144.98</c:v>
                </c:pt>
              </c:numCache>
            </c:numRef>
          </c:val>
        </c:ser>
        <c:dLbls>
          <c:showLegendKey val="0"/>
          <c:showVal val="1"/>
          <c:showCatName val="0"/>
          <c:showSerName val="0"/>
          <c:showPercent val="0"/>
          <c:showBubbleSize val="0"/>
        </c:dLbls>
        <c:gapWidth val="163"/>
        <c:overlap val="-10"/>
        <c:axId val="367711731"/>
        <c:axId val="767220003"/>
      </c:barChart>
      <c:catAx>
        <c:axId val="3677117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767220003"/>
        <c:crosses val="autoZero"/>
        <c:auto val="1"/>
        <c:lblAlgn val="ctr"/>
        <c:lblOffset val="100"/>
        <c:noMultiLvlLbl val="0"/>
      </c:catAx>
      <c:valAx>
        <c:axId val="767220003"/>
        <c:scaling>
          <c:orientation val="minMax"/>
        </c:scaling>
        <c:delete val="0"/>
        <c:axPos val="l"/>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3677117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rPr altLang="en-US"/>
              <a:t>一般公共预算财政拨款支出决算结构图</a:t>
            </a:r>
            <a:endParaRPr altLang="en-US"/>
          </a:p>
        </c:rich>
      </c:tx>
      <c:layout>
        <c:manualLayout>
          <c:xMode val="edge"/>
          <c:yMode val="edge"/>
          <c:x val="0.235946125993158"/>
          <c:y val="0.0396450106850694"/>
        </c:manualLayout>
      </c:layout>
      <c:overlay val="0"/>
      <c:spPr>
        <a:noFill/>
        <a:ln>
          <a:noFill/>
        </a:ln>
        <a:effectLst/>
      </c:spPr>
    </c:title>
    <c:autoTitleDeleted val="0"/>
    <c:plotArea>
      <c:layout/>
      <c:pieChart>
        <c:varyColors val="1"/>
        <c:ser>
          <c:idx val="0"/>
          <c:order val="0"/>
          <c:tx>
            <c:strRef>
              <c:f>'[新建 XLS 工作表.xls]Sheet1'!$IB$12</c:f>
              <c:strCache>
                <c:ptCount val="1"/>
                <c:pt idx="0">
                  <c:v>占比</c:v>
                </c:pt>
              </c:strCache>
            </c:strRef>
          </c:tx>
          <c:explosion val="0"/>
          <c:dPt>
            <c:idx val="0"/>
            <c:bubble3D val="0"/>
            <c:spPr>
              <a:gradFill>
                <a:gsLst>
                  <a:gs pos="70000">
                    <a:schemeClr val="accent1"/>
                  </a:gs>
                  <a:gs pos="0">
                    <a:schemeClr val="accent1">
                      <a:lumMod val="60000"/>
                      <a:lumOff val="40000"/>
                    </a:schemeClr>
                  </a:gs>
                </a:gsLst>
                <a:lin ang="5400000"/>
              </a:gradFill>
              <a:ln w="19050">
                <a:noFill/>
              </a:ln>
              <a:effectLst>
                <a:outerShdw blurRad="63500" sx="102000" sy="102000" algn="ctr" rotWithShape="0">
                  <a:prstClr val="black">
                    <a:alpha val="25000"/>
                  </a:prstClr>
                </a:outerShdw>
              </a:effectLst>
            </c:spPr>
          </c:dPt>
          <c:dPt>
            <c:idx val="1"/>
            <c:bubble3D val="0"/>
            <c:spPr>
              <a:gradFill>
                <a:gsLst>
                  <a:gs pos="70000">
                    <a:schemeClr val="accent2"/>
                  </a:gs>
                  <a:gs pos="0">
                    <a:schemeClr val="accent2">
                      <a:lumMod val="60000"/>
                      <a:lumOff val="40000"/>
                    </a:schemeClr>
                  </a:gs>
                </a:gsLst>
                <a:lin ang="5400000" scaled="0"/>
              </a:gradFill>
              <a:ln w="19050">
                <a:noFill/>
              </a:ln>
              <a:effectLst>
                <a:outerShdw blurRad="63500" sx="102000" sy="102000" algn="ctr" rotWithShape="0">
                  <a:prstClr val="black">
                    <a:alpha val="25000"/>
                  </a:prstClr>
                </a:outerShdw>
              </a:effectLst>
            </c:spPr>
          </c:dPt>
          <c:dPt>
            <c:idx val="2"/>
            <c:bubble3D val="0"/>
            <c:spPr>
              <a:gradFill>
                <a:gsLst>
                  <a:gs pos="70000">
                    <a:schemeClr val="accent3"/>
                  </a:gs>
                  <a:gs pos="0">
                    <a:schemeClr val="accent3">
                      <a:lumMod val="60000"/>
                      <a:lumOff val="40000"/>
                    </a:schemeClr>
                  </a:gs>
                </a:gsLst>
                <a:lin ang="5400000" scaled="0"/>
              </a:gradFill>
              <a:ln w="88900">
                <a:noFill/>
                <a:miter lim="800000"/>
              </a:ln>
              <a:effectLst>
                <a:outerShdw blurRad="63500" sx="102000" sy="102000" algn="ctr" rotWithShape="0">
                  <a:prstClr val="black">
                    <a:alpha val="25000"/>
                  </a:prstClr>
                </a:outerShdw>
              </a:effectLst>
            </c:spPr>
          </c:dPt>
          <c:dPt>
            <c:idx val="3"/>
            <c:bubble3D val="0"/>
            <c:spPr>
              <a:gradFill>
                <a:gsLst>
                  <a:gs pos="70000">
                    <a:schemeClr val="accent4"/>
                  </a:gs>
                  <a:gs pos="0">
                    <a:schemeClr val="accent4">
                      <a:lumMod val="60000"/>
                      <a:lumOff val="40000"/>
                    </a:schemeClr>
                  </a:gs>
                </a:gsLst>
                <a:lin ang="5400000" scaled="0"/>
              </a:gradFill>
              <a:ln w="19050">
                <a:noFill/>
              </a:ln>
              <a:effectLst>
                <a:outerShdw blurRad="63500" sx="102000" sy="102000" algn="ctr" rotWithShape="0">
                  <a:prstClr val="black">
                    <a:alpha val="25000"/>
                  </a:prstClr>
                </a:outerShdw>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100" b="0" i="0" u="none" strike="noStrike" kern="1200" baseline="0">
                    <a:solidFill>
                      <a:schemeClr val="bg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 工作表.xls]Sheet1'!$IA$13:$IA$16</c:f>
              <c:strCache>
                <c:ptCount val="4"/>
                <c:pt idx="0">
                  <c:v>一般公共服务（类）</c:v>
                </c:pt>
                <c:pt idx="1">
                  <c:v>社会保障和就业（类）</c:v>
                </c:pt>
                <c:pt idx="2">
                  <c:v>卫生健康</c:v>
                </c:pt>
                <c:pt idx="3">
                  <c:v>住房保障支出</c:v>
                </c:pt>
              </c:strCache>
            </c:strRef>
          </c:cat>
          <c:val>
            <c:numRef>
              <c:f>'[新建 XLS 工作表.xls]Sheet1'!$IB$13:$IB$16</c:f>
              <c:numCache>
                <c:formatCode>0%</c:formatCode>
                <c:ptCount val="4"/>
                <c:pt idx="0">
                  <c:v>0.87</c:v>
                </c:pt>
                <c:pt idx="1">
                  <c:v>0.06</c:v>
                </c:pt>
                <c:pt idx="2">
                  <c:v>0.03</c:v>
                </c:pt>
                <c:pt idx="3">
                  <c:v>0.04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a:lstStyle/>
    <a:p>
      <a:pPr>
        <a:defRPr lang="zh-CN" sz="11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“三公”经费财政拨款支出决算结构图</a:t>
            </a:r>
          </a:p>
        </c:rich>
      </c:tx>
      <c:layout>
        <c:manualLayout>
          <c:xMode val="edge"/>
          <c:yMode val="edge"/>
          <c:x val="0.149861111111111"/>
          <c:y val="0.0243055555555556"/>
        </c:manualLayout>
      </c:layout>
      <c:overlay val="0"/>
      <c:spPr>
        <a:noFill/>
        <a:ln>
          <a:noFill/>
        </a:ln>
        <a:effectLst/>
      </c:spPr>
    </c:title>
    <c:autoTitleDeleted val="0"/>
    <c:plotArea>
      <c:layout/>
      <c:pieChart>
        <c:varyColors val="1"/>
        <c:ser>
          <c:idx val="0"/>
          <c:order val="0"/>
          <c:spPr>
            <a:ln w="15875">
              <a:solidFill>
                <a:schemeClr val="bg1"/>
              </a:solidFill>
            </a:ln>
            <a:effectLst>
              <a:outerShdw blurRad="63500" sx="102000" sy="102000" algn="ctr" rotWithShape="0">
                <a:schemeClr val="bg1">
                  <a:lumMod val="50000"/>
                  <a:alpha val="40000"/>
                </a:schemeClr>
              </a:outerShdw>
            </a:effectLst>
            <a:sp3d contourW="15875"/>
          </c:spPr>
          <c:explosion val="0"/>
          <c:dPt>
            <c:idx val="0"/>
            <c:bubble3D val="0"/>
            <c:spPr>
              <a:solidFill>
                <a:schemeClr val="accent1"/>
              </a:solidFill>
              <a:ln w="15875">
                <a:solidFill>
                  <a:schemeClr val="bg1"/>
                </a:solidFill>
              </a:ln>
              <a:effectLst>
                <a:outerShdw blurRad="63500" sx="102000" sy="102000" algn="ctr" rotWithShape="0">
                  <a:schemeClr val="bg1">
                    <a:lumMod val="50000"/>
                    <a:alpha val="40000"/>
                  </a:schemeClr>
                </a:outerShdw>
              </a:effectLst>
              <a:sp3d contourW="15875"/>
            </c:spPr>
          </c:dPt>
          <c:dPt>
            <c:idx val="1"/>
            <c:bubble3D val="0"/>
            <c:spPr>
              <a:solidFill>
                <a:schemeClr val="accent2"/>
              </a:solidFill>
              <a:ln w="15875">
                <a:solidFill>
                  <a:schemeClr val="bg1"/>
                </a:solidFill>
              </a:ln>
              <a:effectLst>
                <a:outerShdw blurRad="63500" sx="102000" sy="102000" algn="ctr" rotWithShape="0">
                  <a:schemeClr val="bg1">
                    <a:lumMod val="50000"/>
                    <a:alpha val="40000"/>
                  </a:schemeClr>
                </a:outerShdw>
              </a:effectLst>
              <a:sp3d contourW="15875"/>
            </c:spPr>
          </c:dPt>
          <c:dPt>
            <c:idx val="2"/>
            <c:bubble3D val="0"/>
            <c:spPr>
              <a:solidFill>
                <a:schemeClr val="accent3"/>
              </a:solidFill>
              <a:ln w="19050">
                <a:solidFill>
                  <a:schemeClr val="bg1"/>
                </a:solidFill>
              </a:ln>
              <a:effectLst>
                <a:outerShdw blurRad="63500" sx="102000" sy="102000" algn="ctr" rotWithShape="0">
                  <a:schemeClr val="bg1">
                    <a:lumMod val="50000"/>
                    <a:alpha val="40000"/>
                  </a:schemeClr>
                </a:outerShdw>
              </a:effectLst>
              <a:sp3d contourW="19050"/>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schemeClr val="accent1">
                            <a:lumMod val="50000"/>
                            <a:alpha val="70000"/>
                          </a:schemeClr>
                        </a:outerShdw>
                      </a:effectLst>
                      <a:latin typeface="+mn-lt"/>
                      <a:ea typeface="+mn-ea"/>
                      <a:cs typeface="+mn-cs"/>
                    </a:defRPr>
                  </a:pPr>
                </a:p>
              </c:txPr>
              <c:dLblPos val="in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schemeClr val="accent2">
                            <a:lumMod val="50000"/>
                            <a:alpha val="70000"/>
                          </a:schemeClr>
                        </a:outerShdw>
                      </a:effectLst>
                      <a:latin typeface="+mn-lt"/>
                      <a:ea typeface="+mn-ea"/>
                      <a:cs typeface="+mn-cs"/>
                    </a:defRPr>
                  </a:pPr>
                </a:p>
              </c:txPr>
              <c:dLblPos val="inEnd"/>
              <c:showLegendKey val="0"/>
              <c:showVal val="0"/>
              <c:showCatName val="0"/>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schemeClr val="accent3">
                            <a:lumMod val="50000"/>
                            <a:alpha val="70000"/>
                          </a:schemeClr>
                        </a:outerShdw>
                      </a:effectLst>
                      <a:latin typeface="+mn-lt"/>
                      <a:ea typeface="+mn-ea"/>
                      <a:cs typeface="+mn-cs"/>
                    </a:defRPr>
                  </a:pPr>
                </a:p>
              </c:txPr>
              <c:dLblPos val="inEnd"/>
              <c:showLegendKey val="0"/>
              <c:showVal val="0"/>
              <c:showCatName val="0"/>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 工作表.xls]Sheet1'!$IA$14:$IA$16</c:f>
              <c:strCache>
                <c:ptCount val="3"/>
                <c:pt idx="0">
                  <c:v>公出国（境）经费支出决算</c:v>
                </c:pt>
                <c:pt idx="1">
                  <c:v>公务用车购置及运行维护费支出决算</c:v>
                </c:pt>
                <c:pt idx="2">
                  <c:v>公务接待费支出决算</c:v>
                </c:pt>
              </c:strCache>
            </c:strRef>
          </c:cat>
          <c:val>
            <c:numRef>
              <c:f>'[新建 XLS 工作表.xls]Sheet1'!$IB$14:$IB$16</c:f>
              <c:numCache>
                <c:formatCode>0%</c:formatCode>
                <c:ptCount val="3"/>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ysClr val="window" lastClr="FFFFFF"/>
    </a:solidFill>
    <a:ln w="9525" cap="flat" cmpd="sng" algn="ctr">
      <a:solidFill>
        <a:schemeClr val="bg1">
          <a:lumMod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A11EAD2BF8B24894A483891D83973BDE_13</vt:lpwstr>
  </property>
</Properties>
</file>

<file path=customXml/item3.xml><?xml version="1.0" encoding="utf-8"?>
<Properties xmlns="http://schemas.openxmlformats.org/officeDocument/2006/extended-properties" xmlns:vt="http://schemas.openxmlformats.org/officeDocument/2006/docPropsVTypes">
  <Template>Normal.dotm</Template>
  <Company>四川省财政厅</Company>
  <Pages>34</Pages>
  <Words>13659</Words>
  <Characters>14344</Characters>
  <Lines>61</Lines>
  <Paragraphs>17</Paragraphs>
  <TotalTime>12</TotalTime>
  <ScaleCrop>false</ScaleCrop>
  <LinksUpToDate>false</LinksUpToDate>
  <CharactersWithSpaces>14467</CharactersWithSpaces>
  <Application>WPS Office_11.1.0.14309_F1E327BC-269C-435d-A152-05C5408002CA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C</cp:lastModifiedBy>
  <cp:lastPrinted>2023-09-19T09:41:00Z</cp:lastPrinted>
  <dcterms:modified xsi:type="dcterms:W3CDTF">2023-09-25T08:43:18Z</dcterms:modified>
  <dc:title>四川省***</dc:title>
  <cp:revision>32</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1bb581-bba4-467d-b4d7-70570fe60771}">
  <ds:schemaRefs/>
</ds:datastoreItem>
</file>

<file path=customXml/itemProps3.xml><?xml version="1.0" encoding="utf-8"?>
<ds:datastoreItem xmlns:ds="http://schemas.openxmlformats.org/officeDocument/2006/customXml" ds:itemID="{e884e2f0-8a1e-4f53-aa55-7566da379b95}">
  <ds:schemaRefs/>
</ds:datastoreItem>
</file>

<file path=customXml/itemProps4.xml><?xml version="1.0" encoding="utf-8"?>
<ds:datastoreItem xmlns:ds="http://schemas.openxmlformats.org/officeDocument/2006/customXml" ds:itemID="{b579634f-d35a-4105-a3a6-9c6024181787}">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14864</Words>
  <Characters>15735</Characters>
  <Lines>61</Lines>
  <Paragraphs>17</Paragraphs>
  <TotalTime>12</TotalTime>
  <ScaleCrop>false</ScaleCrop>
  <LinksUpToDate>false</LinksUpToDate>
  <CharactersWithSpaces>16516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C</cp:lastModifiedBy>
  <cp:lastPrinted>2023-09-26T07:24:00Z</cp:lastPrinted>
  <dcterms:modified xsi:type="dcterms:W3CDTF">2023-09-28T07:43:36Z</dcterms:modified>
  <dc:title>四川省_x002A__x002A__x002A_</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A11EAD2BF8B24894A483891D83973BDE_13</vt:lpwstr>
  </property>
</Properties>
</file>