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c15377193"/>
      <w:bookmarkStart w:id="1" w:name="_Toc15378441"/>
      <w:bookmarkStart w:id="2" w:name="_Toc15396475"/>
      <w:bookmarkStart w:id="3" w:name="_Toc15396597"/>
      <w:bookmarkStart w:id="4" w:name="_Toc15377425"/>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sz w:val="72"/>
          <w:szCs w:val="72"/>
        </w:rPr>
      </w:pPr>
      <w:bookmarkStart w:id="6" w:name="_Toc26454"/>
      <w:r>
        <w:rPr>
          <w:rFonts w:hint="eastAsia" w:ascii="方正小标宋简体" w:hAnsi="方正小标宋简体" w:eastAsia="方正小标宋简体" w:cs="方正小标宋简体"/>
          <w:sz w:val="72"/>
          <w:szCs w:val="72"/>
        </w:rPr>
        <w:t>20</w:t>
      </w:r>
      <w:r>
        <w:rPr>
          <w:rFonts w:hint="eastAsia" w:ascii="方正小标宋简体" w:hAnsi="方正小标宋简体" w:eastAsia="方正小标宋简体" w:cs="方正小标宋简体"/>
          <w:sz w:val="72"/>
          <w:szCs w:val="72"/>
          <w:lang w:val="en-US" w:eastAsia="zh-CN"/>
        </w:rPr>
        <w:t>22</w:t>
      </w:r>
      <w:r>
        <w:rPr>
          <w:rFonts w:hint="eastAsia" w:ascii="方正小标宋简体" w:hAnsi="方正小标宋简体" w:eastAsia="方正小标宋简体" w:cs="方正小标宋简体"/>
          <w:sz w:val="72"/>
          <w:szCs w:val="72"/>
        </w:rPr>
        <w:t>年度</w:t>
      </w:r>
      <w:bookmarkEnd w:id="0"/>
      <w:bookmarkEnd w:id="1"/>
      <w:bookmarkEnd w:id="2"/>
      <w:bookmarkEnd w:id="3"/>
      <w:bookmarkEnd w:id="4"/>
      <w:bookmarkEnd w:id="6"/>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sz w:val="72"/>
          <w:szCs w:val="72"/>
          <w:lang w:val="en-US" w:eastAsia="zh-CN"/>
        </w:rPr>
      </w:pPr>
      <w:bookmarkStart w:id="7" w:name="_Toc5144"/>
      <w:bookmarkStart w:id="8" w:name="_Toc15377194"/>
      <w:bookmarkStart w:id="9" w:name="_Toc15377426"/>
      <w:bookmarkStart w:id="10" w:name="_Toc15378442"/>
      <w:bookmarkStart w:id="11" w:name="_Toc15396476"/>
      <w:bookmarkStart w:id="12" w:name="_Toc15396598"/>
      <w:r>
        <w:rPr>
          <w:rFonts w:hint="eastAsia" w:ascii="方正小标宋简体" w:hAnsi="方正小标宋简体" w:eastAsia="方正小标宋简体" w:cs="方正小标宋简体"/>
          <w:sz w:val="72"/>
          <w:szCs w:val="72"/>
        </w:rPr>
        <w:t>四川省</w:t>
      </w:r>
      <w:bookmarkEnd w:id="5"/>
      <w:bookmarkStart w:id="13" w:name="_Toc15306268"/>
      <w:r>
        <w:rPr>
          <w:rFonts w:hint="eastAsia" w:ascii="方正小标宋简体" w:hAnsi="方正小标宋简体" w:eastAsia="方正小标宋简体" w:cs="方正小标宋简体"/>
          <w:sz w:val="72"/>
          <w:szCs w:val="72"/>
          <w:lang w:val="en-US" w:eastAsia="zh-CN"/>
        </w:rPr>
        <w:t>广元市昭化区</w:t>
      </w:r>
      <w:bookmarkEnd w:id="7"/>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sz w:val="72"/>
          <w:szCs w:val="72"/>
        </w:rPr>
      </w:pPr>
      <w:bookmarkStart w:id="14" w:name="_Toc17607"/>
      <w:r>
        <w:rPr>
          <w:rFonts w:hint="eastAsia" w:ascii="方正小标宋简体" w:hAnsi="方正小标宋简体" w:eastAsia="方正小标宋简体" w:cs="方正小标宋简体"/>
          <w:sz w:val="72"/>
          <w:szCs w:val="72"/>
          <w:lang w:val="en-US" w:eastAsia="zh-CN"/>
        </w:rPr>
        <w:t>供销合作社联合社</w:t>
      </w:r>
      <w:r>
        <w:rPr>
          <w:rFonts w:hint="eastAsia" w:ascii="方正小标宋简体" w:hAnsi="方正小标宋简体" w:eastAsia="方正小标宋简体" w:cs="方正小标宋简体"/>
          <w:sz w:val="72"/>
          <w:szCs w:val="72"/>
        </w:rPr>
        <w:t>部门决算</w:t>
      </w:r>
      <w:bookmarkEnd w:id="8"/>
      <w:bookmarkEnd w:id="9"/>
      <w:bookmarkEnd w:id="10"/>
      <w:bookmarkEnd w:id="11"/>
      <w:bookmarkEnd w:id="12"/>
      <w:bookmarkEnd w:id="13"/>
      <w:bookmarkEnd w:id="14"/>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方正小标宋简体" w:hAnsi="宋体" w:eastAsia="方正小标宋简体"/>
          <w:color w:val="auto"/>
          <w:sz w:val="36"/>
          <w:szCs w:val="36"/>
          <w:highlight w:val="none"/>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方正小标宋简体" w:hAnsi="宋体" w:eastAsia="方正小标宋简体"/>
          <w:color w:val="auto"/>
          <w:sz w:val="36"/>
          <w:szCs w:val="36"/>
          <w:highlight w:val="none"/>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方正小标宋简体" w:hAnsi="宋体" w:eastAsia="方正小标宋简体"/>
          <w:color w:val="auto"/>
          <w:sz w:val="36"/>
          <w:szCs w:val="36"/>
          <w:highlight w:val="none"/>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方正小标宋简体" w:hAnsi="宋体" w:eastAsia="方正小标宋简体"/>
          <w:color w:val="auto"/>
          <w:sz w:val="36"/>
          <w:szCs w:val="36"/>
          <w:highlight w:val="none"/>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方正小标宋简体" w:hAnsi="宋体" w:eastAsia="方正小标宋简体"/>
          <w:color w:val="auto"/>
          <w:sz w:val="36"/>
          <w:szCs w:val="36"/>
          <w:highlight w:val="none"/>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方正小标宋简体" w:hAnsi="宋体" w:eastAsia="方正小标宋简体"/>
          <w:color w:val="auto"/>
          <w:sz w:val="36"/>
          <w:szCs w:val="36"/>
          <w:highlight w:val="none"/>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方正小标宋简体" w:hAnsi="宋体" w:eastAsia="方正小标宋简体"/>
          <w:color w:val="auto"/>
          <w:sz w:val="36"/>
          <w:szCs w:val="36"/>
          <w:highlight w:val="none"/>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方正小标宋简体" w:hAnsi="宋体" w:eastAsia="方正小标宋简体"/>
          <w:color w:val="auto"/>
          <w:sz w:val="36"/>
          <w:szCs w:val="36"/>
          <w:highlight w:val="none"/>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方正小标宋简体" w:hAnsi="宋体" w:eastAsia="方正小标宋简体"/>
          <w:color w:val="auto"/>
          <w:sz w:val="36"/>
          <w:szCs w:val="36"/>
          <w:highlight w:val="none"/>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olor w:val="auto"/>
          <w:sz w:val="48"/>
          <w:szCs w:val="48"/>
          <w:highlight w:val="none"/>
        </w:rPr>
        <w:sectPr>
          <w:headerReference r:id="rId6" w:type="first"/>
          <w:footerReference r:id="rId8" w:type="first"/>
          <w:headerReference r:id="rId5" w:type="default"/>
          <w:footerReference r:id="rId7" w:type="default"/>
          <w:pgSz w:w="11906" w:h="16838"/>
          <w:pgMar w:top="2098" w:right="1474" w:bottom="1984" w:left="1587" w:header="851" w:footer="680" w:gutter="0"/>
          <w:pgNumType w:fmt="decimal" w:start="1"/>
          <w:cols w:space="0" w:num="1"/>
          <w:rtlGutter w:val="0"/>
          <w:docGrid w:type="lines" w:linePitch="312" w:charSpace="0"/>
        </w:sectPr>
      </w:pPr>
    </w:p>
    <w:p>
      <w:pPr>
        <w:pStyle w:val="2"/>
        <w:ind w:left="0" w:leftChars="0" w:firstLine="0" w:firstLineChars="0"/>
        <w:rPr>
          <w:rFonts w:hint="eastAsia"/>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2"/>
        <w:keepNext w:val="0"/>
        <w:keepLines w:val="0"/>
        <w:pageBreakBefore w:val="0"/>
        <w:widowControl w:val="0"/>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27</w:t>
      </w:r>
      <w:r>
        <w:rPr>
          <w:rFonts w:hint="eastAsia"/>
          <w:color w:val="auto"/>
          <w:highlight w:val="none"/>
        </w:rPr>
        <w:t>日</w:t>
      </w:r>
    </w:p>
    <w:p>
      <w:pPr>
        <w:rPr>
          <w:color w:val="auto"/>
          <w:highlight w:val="none"/>
        </w:rPr>
      </w:pPr>
    </w:p>
    <w:p>
      <w:pPr>
        <w:pStyle w:val="12"/>
        <w:tabs>
          <w:tab w:val="right" w:leader="dot" w:pos="8845"/>
          <w:tab w:val="clear" w:pos="8296"/>
        </w:tabs>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TOC \o "1-2" \u</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第一部分 部门概况</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_Toc8143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rPr>
        <w:fldChar w:fldCharType="end"/>
      </w:r>
    </w:p>
    <w:p>
      <w:pPr>
        <w:pStyle w:val="13"/>
        <w:tabs>
          <w:tab w:val="right" w:leader="dot" w:pos="8845"/>
          <w:tab w:val="clear" w:pos="8296"/>
        </w:tabs>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一、</w:t>
      </w:r>
      <w:r>
        <w:rPr>
          <w:rFonts w:hint="eastAsia" w:ascii="Times New Roman" w:hAnsi="Times New Roman" w:eastAsia="仿宋_GB2312" w:cs="仿宋_GB2312"/>
          <w:sz w:val="32"/>
          <w:szCs w:val="32"/>
          <w:lang w:eastAsia="zh-CN"/>
        </w:rPr>
        <w:t>部门职责</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_Toc15982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rPr>
        <w:fldChar w:fldCharType="end"/>
      </w:r>
    </w:p>
    <w:p>
      <w:pPr>
        <w:pStyle w:val="13"/>
        <w:tabs>
          <w:tab w:val="right" w:leader="dot" w:pos="8845"/>
          <w:tab w:val="clear" w:pos="8296"/>
        </w:tabs>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二、机构设置</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_Toc7072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rPr>
        <w:fldChar w:fldCharType="end"/>
      </w:r>
    </w:p>
    <w:p>
      <w:pPr>
        <w:pStyle w:val="12"/>
        <w:tabs>
          <w:tab w:val="right" w:leader="dot" w:pos="8845"/>
          <w:tab w:val="clear" w:pos="8296"/>
        </w:tabs>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第二部分 </w:t>
      </w:r>
      <w:r>
        <w:rPr>
          <w:rFonts w:hint="eastAsia" w:ascii="Times New Roman" w:hAnsi="Times New Roman" w:eastAsia="仿宋_GB2312" w:cs="仿宋_GB2312"/>
          <w:sz w:val="32"/>
          <w:szCs w:val="32"/>
          <w:lang w:val="en-US" w:eastAsia="zh-CN"/>
        </w:rPr>
        <w:t>2022年度</w:t>
      </w:r>
      <w:r>
        <w:rPr>
          <w:rFonts w:hint="eastAsia" w:ascii="Times New Roman" w:hAnsi="Times New Roman" w:eastAsia="仿宋_GB2312" w:cs="仿宋_GB2312"/>
          <w:sz w:val="32"/>
          <w:szCs w:val="32"/>
        </w:rPr>
        <w:t>部门决算情况说明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_Toc15695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rPr>
        <w:fldChar w:fldCharType="end"/>
      </w:r>
    </w:p>
    <w:p>
      <w:pPr>
        <w:pStyle w:val="13"/>
        <w:tabs>
          <w:tab w:val="right" w:leader="dot" w:pos="8845"/>
          <w:tab w:val="clear" w:pos="8296"/>
        </w:tabs>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一、</w:t>
      </w:r>
      <w:r>
        <w:rPr>
          <w:rFonts w:hint="eastAsia" w:ascii="Times New Roman" w:hAnsi="Times New Roman" w:eastAsia="仿宋_GB2312" w:cs="仿宋_GB2312"/>
          <w:sz w:val="32"/>
          <w:szCs w:val="32"/>
        </w:rPr>
        <w:t>收入支出决算总体情况说明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_Toc16162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rPr>
        <w:fldChar w:fldCharType="end"/>
      </w:r>
    </w:p>
    <w:p>
      <w:pPr>
        <w:pStyle w:val="13"/>
        <w:tabs>
          <w:tab w:val="right" w:leader="dot" w:pos="8845"/>
          <w:tab w:val="clear" w:pos="8296"/>
        </w:tabs>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rPr>
        <w:t>收入决算情况说明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_Toc3317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rPr>
        <w:fldChar w:fldCharType="end"/>
      </w:r>
    </w:p>
    <w:p>
      <w:pPr>
        <w:pStyle w:val="13"/>
        <w:tabs>
          <w:tab w:val="right" w:leader="dot" w:pos="8845"/>
          <w:tab w:val="clear" w:pos="8296"/>
        </w:tabs>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仿宋_GB2312"/>
          <w:sz w:val="32"/>
          <w:szCs w:val="32"/>
        </w:rPr>
        <w:t>支出决算情况说明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_Toc16355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rPr>
        <w:fldChar w:fldCharType="end"/>
      </w:r>
    </w:p>
    <w:p>
      <w:pPr>
        <w:pStyle w:val="13"/>
        <w:tabs>
          <w:tab w:val="right" w:leader="dot" w:pos="8845"/>
          <w:tab w:val="clear" w:pos="8296"/>
        </w:tabs>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四、财政拨款收入支出决算总体情况说明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_Toc10640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rPr>
        <w:fldChar w:fldCharType="end"/>
      </w:r>
    </w:p>
    <w:p>
      <w:pPr>
        <w:pStyle w:val="13"/>
        <w:tabs>
          <w:tab w:val="right" w:leader="dot" w:pos="8845"/>
          <w:tab w:val="clear" w:pos="8296"/>
        </w:tabs>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五、一般公共预算财政拨款支出决算情况说明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_Toc21356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rPr>
        <w:fldChar w:fldCharType="end"/>
      </w:r>
    </w:p>
    <w:p>
      <w:pPr>
        <w:pStyle w:val="13"/>
        <w:tabs>
          <w:tab w:val="right" w:leader="dot" w:pos="8845"/>
          <w:tab w:val="clear" w:pos="8296"/>
        </w:tabs>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六、一般公共预算财政拨款基本支出决算情况说明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_Toc22621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6</w:t>
      </w:r>
      <w:r>
        <w:rPr>
          <w:rFonts w:hint="eastAsia" w:ascii="Times New Roman" w:hAnsi="Times New Roman" w:eastAsia="仿宋_GB2312" w:cs="仿宋_GB2312"/>
          <w:sz w:val="32"/>
          <w:szCs w:val="32"/>
        </w:rPr>
        <w:fldChar w:fldCharType="end"/>
      </w:r>
    </w:p>
    <w:p>
      <w:pPr>
        <w:pStyle w:val="13"/>
        <w:tabs>
          <w:tab w:val="right" w:leader="dot" w:pos="8845"/>
          <w:tab w:val="clear" w:pos="8296"/>
        </w:tabs>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七、财政拨款“三公”经费支出决算情况说明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_Toc23663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7</w:t>
      </w:r>
      <w:r>
        <w:rPr>
          <w:rFonts w:hint="eastAsia" w:ascii="Times New Roman" w:hAnsi="Times New Roman" w:eastAsia="仿宋_GB2312" w:cs="仿宋_GB2312"/>
          <w:sz w:val="32"/>
          <w:szCs w:val="32"/>
        </w:rPr>
        <w:fldChar w:fldCharType="end"/>
      </w:r>
    </w:p>
    <w:p>
      <w:pPr>
        <w:pStyle w:val="13"/>
        <w:tabs>
          <w:tab w:val="right" w:leader="dot" w:pos="8845"/>
          <w:tab w:val="clear" w:pos="8296"/>
        </w:tabs>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八、政府性基金预算支出决算情况说明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_Toc2107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8</w:t>
      </w:r>
      <w:r>
        <w:rPr>
          <w:rFonts w:hint="eastAsia" w:ascii="Times New Roman" w:hAnsi="Times New Roman" w:eastAsia="仿宋_GB2312" w:cs="仿宋_GB2312"/>
          <w:sz w:val="32"/>
          <w:szCs w:val="32"/>
        </w:rPr>
        <w:fldChar w:fldCharType="end"/>
      </w:r>
    </w:p>
    <w:p>
      <w:pPr>
        <w:pStyle w:val="13"/>
        <w:tabs>
          <w:tab w:val="right" w:leader="dot" w:pos="8845"/>
          <w:tab w:val="clear" w:pos="8296"/>
        </w:tabs>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九、</w:t>
      </w:r>
      <w:r>
        <w:rPr>
          <w:rFonts w:hint="eastAsia" w:ascii="Times New Roman" w:hAnsi="Times New Roman" w:eastAsia="仿宋_GB2312" w:cs="仿宋_GB2312"/>
          <w:sz w:val="32"/>
          <w:szCs w:val="32"/>
        </w:rPr>
        <w:t>国有资本经营预算支出决算情况说明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_Toc19135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8</w:t>
      </w:r>
      <w:r>
        <w:rPr>
          <w:rFonts w:hint="eastAsia" w:ascii="Times New Roman" w:hAnsi="Times New Roman" w:eastAsia="仿宋_GB2312" w:cs="仿宋_GB2312"/>
          <w:sz w:val="32"/>
          <w:szCs w:val="32"/>
        </w:rPr>
        <w:fldChar w:fldCharType="end"/>
      </w:r>
    </w:p>
    <w:p>
      <w:pPr>
        <w:pStyle w:val="13"/>
        <w:tabs>
          <w:tab w:val="right" w:leader="dot" w:pos="8845"/>
          <w:tab w:val="clear" w:pos="8296"/>
        </w:tabs>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十、</w:t>
      </w:r>
      <w:r>
        <w:rPr>
          <w:rFonts w:hint="eastAsia" w:ascii="Times New Roman" w:hAnsi="Times New Roman" w:eastAsia="仿宋_GB2312" w:cs="仿宋_GB2312"/>
          <w:sz w:val="32"/>
          <w:szCs w:val="32"/>
        </w:rPr>
        <w:t>其他重要事项的情况说明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_Toc10155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8</w:t>
      </w:r>
      <w:r>
        <w:rPr>
          <w:rFonts w:hint="eastAsia" w:ascii="Times New Roman" w:hAnsi="Times New Roman" w:eastAsia="仿宋_GB2312" w:cs="仿宋_GB2312"/>
          <w:sz w:val="32"/>
          <w:szCs w:val="32"/>
        </w:rPr>
        <w:fldChar w:fldCharType="end"/>
      </w:r>
    </w:p>
    <w:p>
      <w:pPr>
        <w:pStyle w:val="12"/>
        <w:tabs>
          <w:tab w:val="right" w:leader="dot" w:pos="8845"/>
          <w:tab w:val="clear" w:pos="8296"/>
        </w:tabs>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第三部分</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名词解释</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_Toc237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11</w:t>
      </w:r>
      <w:r>
        <w:rPr>
          <w:rFonts w:hint="eastAsia" w:ascii="Times New Roman" w:hAnsi="Times New Roman" w:eastAsia="仿宋_GB2312" w:cs="仿宋_GB2312"/>
          <w:sz w:val="32"/>
          <w:szCs w:val="32"/>
        </w:rPr>
        <w:fldChar w:fldCharType="end"/>
      </w:r>
    </w:p>
    <w:p>
      <w:pPr>
        <w:pStyle w:val="12"/>
        <w:tabs>
          <w:tab w:val="right" w:leader="dot" w:pos="8845"/>
          <w:tab w:val="clear" w:pos="8296"/>
        </w:tabs>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第四部分 附件</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_Toc19653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14</w:t>
      </w:r>
      <w:r>
        <w:rPr>
          <w:rFonts w:hint="eastAsia" w:ascii="Times New Roman" w:hAnsi="Times New Roman" w:eastAsia="仿宋_GB2312" w:cs="仿宋_GB2312"/>
          <w:sz w:val="32"/>
          <w:szCs w:val="32"/>
        </w:rPr>
        <w:fldChar w:fldCharType="end"/>
      </w:r>
    </w:p>
    <w:p>
      <w:pPr>
        <w:pStyle w:val="12"/>
        <w:tabs>
          <w:tab w:val="right" w:leader="dot" w:pos="8845"/>
          <w:tab w:val="clear" w:pos="8296"/>
        </w:tabs>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第五部分 附表</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_Toc11093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30</w:t>
      </w:r>
      <w:r>
        <w:rPr>
          <w:rFonts w:hint="eastAsia" w:ascii="Times New Roman" w:hAnsi="Times New Roman" w:eastAsia="仿宋_GB2312" w:cs="仿宋_GB2312"/>
          <w:sz w:val="32"/>
          <w:szCs w:val="32"/>
        </w:rPr>
        <w:fldChar w:fldCharType="end"/>
      </w:r>
    </w:p>
    <w:p>
      <w:pPr>
        <w:rPr>
          <w:rFonts w:ascii="Times New Roman" w:hAnsi="Times New Roman" w:eastAsia="仿宋_GB2312"/>
          <w:sz w:val="32"/>
        </w:rPr>
      </w:pPr>
      <w:r>
        <w:rPr>
          <w:rFonts w:hint="eastAsia" w:ascii="Times New Roman" w:hAnsi="Times New Roman" w:eastAsia="仿宋_GB2312" w:cs="仿宋_GB2312"/>
          <w:sz w:val="32"/>
          <w:szCs w:val="32"/>
        </w:rPr>
        <w:fldChar w:fldCharType="end"/>
      </w:r>
    </w:p>
    <w:p>
      <w:pPr>
        <w:pStyle w:val="3"/>
        <w:bidi w:val="0"/>
        <w:rPr>
          <w:rFonts w:hint="eastAsia"/>
        </w:rPr>
        <w:sectPr>
          <w:footerReference r:id="rId9" w:type="default"/>
          <w:pgSz w:w="11906" w:h="16838"/>
          <w:pgMar w:top="2098" w:right="1474" w:bottom="1984" w:left="1587" w:header="851" w:footer="680" w:gutter="0"/>
          <w:pgNumType w:fmt="decimal"/>
          <w:cols w:space="0" w:num="1"/>
          <w:rtlGutter w:val="0"/>
          <w:docGrid w:type="lines" w:linePitch="312" w:charSpace="0"/>
        </w:sectPr>
      </w:pPr>
      <w:bookmarkStart w:id="15" w:name="_Toc15377196"/>
      <w:bookmarkStart w:id="16" w:name="_Toc15396599"/>
    </w:p>
    <w:p>
      <w:pPr>
        <w:pStyle w:val="3"/>
        <w:bidi w:val="0"/>
      </w:pPr>
      <w:bookmarkStart w:id="17" w:name="_Toc8143"/>
      <w:r>
        <w:rPr>
          <w:rFonts w:hint="eastAsia"/>
        </w:rPr>
        <w:t>第一部分 部门概况</w:t>
      </w:r>
      <w:bookmarkEnd w:id="15"/>
      <w:bookmarkEnd w:id="16"/>
      <w:bookmarkEnd w:id="17"/>
    </w:p>
    <w:p>
      <w:pPr>
        <w:widowControl/>
        <w:jc w:val="left"/>
        <w:rPr>
          <w:rFonts w:ascii="黑体" w:eastAsia="黑体"/>
          <w:color w:val="auto"/>
          <w:sz w:val="32"/>
          <w:szCs w:val="32"/>
          <w:highlight w:val="none"/>
        </w:rPr>
      </w:pPr>
    </w:p>
    <w:p>
      <w:pPr>
        <w:pStyle w:val="4"/>
        <w:bidi w:val="0"/>
        <w:rPr>
          <w:rFonts w:hint="eastAsia"/>
          <w:lang w:eastAsia="zh-CN"/>
        </w:rPr>
      </w:pPr>
      <w:bookmarkStart w:id="18" w:name="_Toc15982"/>
      <w:r>
        <w:rPr>
          <w:rFonts w:hint="eastAsia"/>
          <w:lang w:val="en-US" w:eastAsia="zh-CN"/>
        </w:rPr>
        <w:t>一、</w:t>
      </w:r>
      <w:r>
        <w:rPr>
          <w:rFonts w:hint="eastAsia"/>
          <w:lang w:eastAsia="zh-CN"/>
        </w:rPr>
        <w:t>部门职责</w:t>
      </w:r>
      <w:bookmarkEnd w:id="18"/>
      <w:bookmarkStart w:id="19" w:name="_Toc15378445"/>
      <w:bookmarkStart w:id="20" w:name="_Toc15377198"/>
    </w:p>
    <w:p>
      <w:pPr>
        <w:bidi w:val="0"/>
        <w:rPr>
          <w:rFonts w:hint="default"/>
          <w:lang w:val="en-US" w:eastAsia="zh-CN"/>
        </w:rPr>
      </w:pPr>
      <w:r>
        <w:rPr>
          <w:rFonts w:hint="default"/>
          <w:lang w:val="en-US" w:eastAsia="zh-CN"/>
        </w:rPr>
        <w:t>（1）履行全区合作经济组织管理、指导、协调、监督、服务、教育培训职能；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（2）宣传贯彻党中央、国务院、省委、省政府和市委、市政府有关农村经济工作的方针政策以及区委、区政府的决策部署；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（3）负责研究制订全区合作经济的发展战略和发展规划，指导全区供销合作社的改革和发展；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加强市场流通体系建设，推进传统供销与电子商务相融的农村流通现代化；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组织、引导、指导、扶持服务农民合作经济组织发展，强化合作经济组织属性；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加强农村和城镇社区社会化服务功能和体系建设；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按照政府授权对重要农业生产资料、农副产品、再生资源回收、烟花爆竹经营进行组织、协调、管理、储备；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参与农业产业化经营、农业综合开发等工作；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行使本级供销合作社社有资产出资人代表职责，加强社有企业监管，确保社有资产保值增值；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承办区委、区政府交办的其他事项。</w:t>
      </w:r>
      <w:bookmarkEnd w:id="19"/>
      <w:bookmarkEnd w:id="20"/>
    </w:p>
    <w:p>
      <w:pPr>
        <w:numPr>
          <w:ilvl w:val="0"/>
          <w:numId w:val="0"/>
        </w:numPr>
        <w:rPr>
          <w:rFonts w:hint="eastAsia"/>
          <w:lang w:eastAsia="zh-CN"/>
        </w:rPr>
      </w:pPr>
    </w:p>
    <w:p>
      <w:pPr>
        <w:pStyle w:val="4"/>
        <w:bidi w:val="0"/>
      </w:pPr>
      <w:bookmarkStart w:id="21" w:name="_Toc15377200"/>
      <w:bookmarkStart w:id="22" w:name="_Toc7072"/>
      <w:bookmarkStart w:id="23" w:name="_Toc15396601"/>
      <w:r>
        <w:rPr>
          <w:rFonts w:hint="eastAsia"/>
        </w:rPr>
        <w:t>二、机构设置</w:t>
      </w:r>
      <w:bookmarkEnd w:id="21"/>
      <w:bookmarkEnd w:id="22"/>
      <w:bookmarkEnd w:id="23"/>
    </w:p>
    <w:p>
      <w:pPr>
        <w:pStyle w:val="2"/>
        <w:rPr>
          <w:rFonts w:hint="default"/>
          <w:lang w:val="en-US"/>
        </w:rPr>
      </w:pPr>
      <w:r>
        <w:rPr>
          <w:rFonts w:hint="default" w:ascii="Times New Roman" w:hAnsi="Times New Roman" w:eastAsia="仿宋_GB2312" w:cs="Times New Roman"/>
          <w:sz w:val="32"/>
          <w:szCs w:val="32"/>
          <w:lang w:val="en-US" w:eastAsia="zh-CN"/>
        </w:rPr>
        <w:t>广元市昭化区供销合作社联合社</w:t>
      </w:r>
      <w:r>
        <w:rPr>
          <w:rFonts w:hint="default" w:ascii="Times New Roman" w:hAnsi="Times New Roman" w:eastAsia="仿宋_GB2312" w:cs="Times New Roman"/>
          <w:sz w:val="32"/>
          <w:szCs w:val="32"/>
          <w:lang w:eastAsia="zh-CN"/>
        </w:rPr>
        <w:t>无</w:t>
      </w:r>
      <w:r>
        <w:rPr>
          <w:rFonts w:hint="eastAsia" w:ascii="Times New Roman" w:cs="Times New Roman"/>
          <w:sz w:val="32"/>
          <w:szCs w:val="32"/>
          <w:lang w:val="en-US" w:eastAsia="zh-CN"/>
        </w:rPr>
        <w:t>部门下属的</w:t>
      </w:r>
      <w:r>
        <w:rPr>
          <w:rFonts w:hint="default" w:ascii="Times New Roman" w:hAnsi="Times New Roman" w:eastAsia="仿宋_GB2312" w:cs="Times New Roman"/>
          <w:sz w:val="32"/>
          <w:szCs w:val="32"/>
          <w:lang w:eastAsia="zh-CN"/>
        </w:rPr>
        <w:t>二级预算</w:t>
      </w:r>
      <w:r>
        <w:rPr>
          <w:rFonts w:hint="eastAsia" w:ascii="Times New Roman" w:cs="Times New Roman"/>
          <w:sz w:val="32"/>
          <w:szCs w:val="32"/>
          <w:lang w:val="en-US" w:eastAsia="zh-CN"/>
        </w:rPr>
        <w:t>单位</w:t>
      </w:r>
      <w:r>
        <w:rPr>
          <w:rFonts w:hint="eastAsia" w:ascii="Times New Roman" w:cs="Times New Roman"/>
          <w:sz w:val="32"/>
          <w:szCs w:val="32"/>
          <w:lang w:eastAsia="zh-CN"/>
        </w:rPr>
        <w:t>，</w:t>
      </w:r>
      <w:r>
        <w:rPr>
          <w:rFonts w:hint="eastAsia" w:ascii="Times New Roman" w:cs="Times New Roman"/>
          <w:sz w:val="32"/>
          <w:szCs w:val="32"/>
          <w:lang w:val="en-US" w:eastAsia="zh-CN"/>
        </w:rPr>
        <w:t>下设独立编制机构0个，其中行政机构0个，参照公务员法管理的事业机构0个，其他事业机构0个。</w:t>
      </w:r>
    </w:p>
    <w:p>
      <w:pPr>
        <w:pStyle w:val="3"/>
        <w:bidi w:val="0"/>
        <w:ind w:firstLine="440" w:firstLineChars="100"/>
        <w:jc w:val="both"/>
        <w:rPr>
          <w:rFonts w:hint="eastAsia"/>
        </w:rPr>
      </w:pPr>
      <w:bookmarkStart w:id="24" w:name="_Toc15377204"/>
      <w:bookmarkStart w:id="25" w:name="_Toc15396602"/>
      <w:bookmarkStart w:id="26" w:name="_Toc15695"/>
    </w:p>
    <w:p>
      <w:pPr>
        <w:pStyle w:val="3"/>
        <w:bidi w:val="0"/>
        <w:ind w:firstLine="440" w:firstLineChars="100"/>
        <w:jc w:val="center"/>
        <w:rPr>
          <w:rFonts w:hint="eastAsia" w:ascii="黑体" w:hAnsi="黑体" w:eastAsia="黑体" w:cs="黑体"/>
        </w:rPr>
      </w:pPr>
      <w:r>
        <w:rPr>
          <w:rFonts w:hint="eastAsia" w:ascii="黑体" w:hAnsi="黑体" w:eastAsia="黑体" w:cs="黑体"/>
        </w:rPr>
        <w:t xml:space="preserve">第二部分 </w:t>
      </w:r>
      <w:r>
        <w:rPr>
          <w:rFonts w:hint="eastAsia" w:ascii="黑体" w:hAnsi="黑体" w:eastAsia="黑体" w:cs="黑体"/>
          <w:lang w:val="en-US" w:eastAsia="zh-CN"/>
        </w:rPr>
        <w:t>2022年度</w:t>
      </w:r>
      <w:r>
        <w:rPr>
          <w:rFonts w:hint="eastAsia" w:ascii="黑体" w:hAnsi="黑体" w:eastAsia="黑体" w:cs="黑体"/>
        </w:rPr>
        <w:t>部门决算情况说明</w:t>
      </w:r>
      <w:bookmarkEnd w:id="24"/>
      <w:bookmarkEnd w:id="25"/>
      <w:bookmarkEnd w:id="26"/>
    </w:p>
    <w:p>
      <w:pPr>
        <w:pStyle w:val="4"/>
        <w:bidi w:val="0"/>
        <w:ind w:left="0" w:leftChars="0" w:firstLine="320" w:firstLineChars="100"/>
        <w:rPr>
          <w:rFonts w:hint="eastAsia"/>
          <w:lang w:val="en-US" w:eastAsia="zh-CN"/>
        </w:rPr>
      </w:pPr>
      <w:bookmarkStart w:id="27" w:name="_Toc16162"/>
      <w:bookmarkStart w:id="28" w:name="_Toc15396603"/>
      <w:bookmarkStart w:id="29" w:name="_Toc15377205"/>
    </w:p>
    <w:p>
      <w:pPr>
        <w:pStyle w:val="4"/>
        <w:bidi w:val="0"/>
        <w:ind w:left="0" w:leftChars="0" w:firstLine="640" w:firstLineChars="200"/>
      </w:pPr>
      <w:r>
        <w:rPr>
          <w:rFonts w:hint="eastAsia"/>
          <w:lang w:val="en-US" w:eastAsia="zh-CN"/>
        </w:rPr>
        <w:t>一、</w:t>
      </w:r>
      <w:r>
        <w:rPr>
          <w:rFonts w:hint="eastAsia"/>
        </w:rPr>
        <w:t>收入支出决算总体情况说明</w:t>
      </w:r>
      <w:bookmarkEnd w:id="27"/>
      <w:bookmarkEnd w:id="28"/>
      <w:bookmarkEnd w:id="29"/>
    </w:p>
    <w:p>
      <w:pPr>
        <w:bidi w:val="0"/>
        <w:rPr>
          <w:rFonts w:hint="default"/>
          <w:lang w:eastAsia="zh-CN"/>
        </w:rPr>
      </w:pPr>
      <w:r>
        <w:rPr>
          <w:rFonts w:hint="eastAsia"/>
        </w:rPr>
        <w:t>20</w:t>
      </w:r>
      <w:r>
        <w:rPr>
          <w:rFonts w:hint="eastAsia"/>
          <w:lang w:val="en-US" w:eastAsia="zh-CN"/>
        </w:rPr>
        <w:t>22</w:t>
      </w:r>
      <w:r>
        <w:rPr>
          <w:rFonts w:hint="eastAsia"/>
        </w:rPr>
        <w:t>年度收、支总计</w:t>
      </w:r>
      <w:r>
        <w:rPr>
          <w:rFonts w:hint="eastAsia"/>
          <w:lang w:val="en-US" w:eastAsia="zh-CN"/>
        </w:rPr>
        <w:t>各243.57</w:t>
      </w:r>
      <w:r>
        <w:rPr>
          <w:rFonts w:hint="eastAsia"/>
        </w:rPr>
        <w:t>万元。与20</w:t>
      </w:r>
      <w:r>
        <w:rPr>
          <w:rFonts w:hint="eastAsia"/>
          <w:lang w:val="en-US" w:eastAsia="zh-CN"/>
        </w:rPr>
        <w:t>21</w:t>
      </w:r>
      <w:r>
        <w:rPr>
          <w:rFonts w:hint="eastAsia"/>
        </w:rPr>
        <w:t>年相比，收、支总计各增加</w:t>
      </w:r>
      <w:r>
        <w:rPr>
          <w:rFonts w:hint="eastAsia"/>
          <w:lang w:val="en-US" w:eastAsia="zh-CN"/>
        </w:rPr>
        <w:t>10.55</w:t>
      </w:r>
      <w:r>
        <w:rPr>
          <w:rFonts w:hint="eastAsia"/>
        </w:rPr>
        <w:t>万元，增长</w:t>
      </w:r>
      <w:r>
        <w:rPr>
          <w:rFonts w:hint="eastAsia"/>
          <w:lang w:val="en-US" w:eastAsia="zh-CN"/>
        </w:rPr>
        <w:t>4.53</w:t>
      </w:r>
      <w:r>
        <w:t>%</w:t>
      </w:r>
      <w:r>
        <w:rPr>
          <w:rFonts w:hint="eastAsia"/>
        </w:rPr>
        <w:t>。主要变动原因是</w:t>
      </w:r>
      <w:r>
        <w:rPr>
          <w:rFonts w:hint="eastAsia"/>
          <w:lang w:eastAsia="zh-CN"/>
        </w:rPr>
        <w:t>：一是人员增加和机关工作人员工资增长；二是</w:t>
      </w:r>
      <w:r>
        <w:rPr>
          <w:rFonts w:hint="eastAsia"/>
          <w:lang w:val="en-US" w:eastAsia="zh-CN"/>
        </w:rPr>
        <w:t>省级供销社综合改革及发展专项资金指标纳入</w:t>
      </w:r>
      <w:r>
        <w:rPr>
          <w:rFonts w:hint="default"/>
          <w:lang w:eastAsia="zh-CN"/>
        </w:rPr>
        <w:t>。</w:t>
      </w:r>
    </w:p>
    <w:p>
      <w:pPr>
        <w:pStyle w:val="2"/>
        <w:rPr>
          <w:rFonts w:hint="eastAsia"/>
          <w:lang w:eastAsia="zh-CN"/>
        </w:rPr>
      </w:pPr>
      <w:r>
        <w:rPr>
          <w:rFonts w:hint="eastAsia" w:ascii="仿宋" w:hAnsi="仿宋" w:eastAsia="仿宋"/>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718820</wp:posOffset>
            </wp:positionH>
            <wp:positionV relativeFrom="paragraph">
              <wp:posOffset>360680</wp:posOffset>
            </wp:positionV>
            <wp:extent cx="4119880" cy="2096770"/>
            <wp:effectExtent l="4445" t="5080" r="5715" b="16510"/>
            <wp:wrapNone/>
            <wp:docPr id="83"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firstLineChars="200"/>
        <w:rPr>
          <w:rFonts w:hint="eastAsia" w:ascii="仿宋" w:hAnsi="仿宋" w:eastAsia="仿宋"/>
          <w:color w:val="auto"/>
          <w:sz w:val="32"/>
          <w:szCs w:val="32"/>
          <w:highlight w:val="none"/>
          <w:lang w:eastAsia="zh-CN"/>
        </w:rPr>
      </w:pPr>
    </w:p>
    <w:p>
      <w:pPr>
        <w:spacing w:line="600" w:lineRule="exact"/>
        <w:ind w:firstLine="640" w:firstLineChars="200"/>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p>
    <w:p>
      <w:pPr>
        <w:bidi w:val="0"/>
        <w:ind w:left="0" w:leftChars="0" w:firstLine="640" w:firstLineChars="200"/>
      </w:pPr>
      <w:r>
        <w:rPr>
          <w:rFonts w:hint="eastAsia" w:ascii="仿宋" w:hAnsi="仿宋" w:eastAsia="仿宋"/>
          <w:color w:val="auto"/>
          <w:sz w:val="32"/>
          <w:szCs w:val="32"/>
          <w:highlight w:val="none"/>
        </w:rPr>
        <w:t>（图1：收、支决算总计变动情况图）（柱状图）</w:t>
      </w:r>
    </w:p>
    <w:p>
      <w:pPr>
        <w:pStyle w:val="4"/>
        <w:bidi w:val="0"/>
        <w:rPr>
          <w:rFonts w:hint="eastAsia"/>
          <w:lang w:val="en-US" w:eastAsia="zh-CN"/>
        </w:rPr>
      </w:pPr>
      <w:bookmarkStart w:id="30" w:name="_Toc3317"/>
      <w:bookmarkStart w:id="31" w:name="_Toc15396604"/>
      <w:bookmarkStart w:id="32" w:name="_Toc15377206"/>
    </w:p>
    <w:p>
      <w:pPr>
        <w:pStyle w:val="4"/>
        <w:bidi w:val="0"/>
      </w:pPr>
      <w:r>
        <w:rPr>
          <w:rFonts w:hint="eastAsia"/>
          <w:lang w:val="en-US" w:eastAsia="zh-CN"/>
        </w:rPr>
        <w:t>二、</w:t>
      </w:r>
      <w:r>
        <w:rPr>
          <w:rFonts w:hint="eastAsia"/>
        </w:rPr>
        <w:t>收入决算情况说明</w:t>
      </w:r>
      <w:bookmarkEnd w:id="30"/>
      <w:bookmarkEnd w:id="31"/>
      <w:bookmarkEnd w:id="32"/>
    </w:p>
    <w:p>
      <w:pPr>
        <w:bidi w:val="0"/>
        <w:rPr>
          <w:rFonts w:hint="eastAsia" w:ascii="仿宋" w:hAnsi="仿宋" w:eastAsia="仿宋"/>
          <w:b/>
          <w:color w:val="auto"/>
          <w:sz w:val="32"/>
          <w:szCs w:val="32"/>
          <w:highlight w:val="none"/>
          <w:lang w:eastAsia="zh-CN"/>
        </w:rPr>
      </w:pPr>
      <w:r>
        <w:t>20</w:t>
      </w:r>
      <w:r>
        <w:rPr>
          <w:rFonts w:hint="eastAsia"/>
          <w:lang w:val="en-US" w:eastAsia="zh-CN"/>
        </w:rPr>
        <w:t>22</w:t>
      </w:r>
      <w:r>
        <w:rPr>
          <w:rFonts w:hint="eastAsia"/>
        </w:rPr>
        <w:t>年本年收入合计</w:t>
      </w:r>
      <w:r>
        <w:rPr>
          <w:rFonts w:hint="eastAsia"/>
          <w:lang w:val="en-US" w:eastAsia="zh-CN"/>
        </w:rPr>
        <w:t>243.57</w:t>
      </w:r>
      <w:r>
        <w:rPr>
          <w:rFonts w:hint="eastAsia"/>
        </w:rPr>
        <w:t>万元，其中：一般公共预算财政拨款收入</w:t>
      </w:r>
      <w:r>
        <w:rPr>
          <w:rFonts w:hint="eastAsia"/>
          <w:lang w:val="en-US" w:eastAsia="zh-CN"/>
        </w:rPr>
        <w:t>243.57</w:t>
      </w:r>
      <w:r>
        <w:rPr>
          <w:rFonts w:hint="eastAsia"/>
        </w:rPr>
        <w:t>万元，占</w:t>
      </w:r>
      <w:r>
        <w:rPr>
          <w:rFonts w:hint="eastAsia"/>
          <w:lang w:val="en-US" w:eastAsia="zh-CN"/>
        </w:rPr>
        <w:t>100</w:t>
      </w:r>
      <w:r>
        <w:t>%</w:t>
      </w:r>
      <w:r>
        <w:rPr>
          <w:rFonts w:hint="eastAsia"/>
          <w:lang w:eastAsia="zh-CN"/>
        </w:rPr>
        <w:t>。</w:t>
      </w:r>
    </w:p>
    <w:p>
      <w:pPr>
        <w:spacing w:line="600" w:lineRule="exact"/>
        <w:ind w:firstLine="643" w:firstLineChars="200"/>
        <w:outlineLvl w:val="1"/>
        <w:rPr>
          <w:rFonts w:ascii="仿宋" w:hAnsi="仿宋" w:eastAsia="仿宋"/>
          <w:b/>
          <w:color w:val="auto"/>
          <w:sz w:val="32"/>
          <w:szCs w:val="32"/>
          <w:highlight w:val="none"/>
        </w:rPr>
      </w:pPr>
      <w:r>
        <w:rPr>
          <w:rFonts w:hint="eastAsia" w:ascii="仿宋" w:hAnsi="仿宋" w:eastAsia="仿宋"/>
          <w:b/>
          <w:color w:val="auto"/>
          <w:sz w:val="32"/>
          <w:szCs w:val="32"/>
          <w:highlight w:val="none"/>
          <w:lang w:eastAsia="zh-CN"/>
        </w:rPr>
        <w:drawing>
          <wp:anchor distT="0" distB="0" distL="114300" distR="114300" simplePos="0" relativeHeight="251660288" behindDoc="1" locked="0" layoutInCell="1" allowOverlap="1">
            <wp:simplePos x="0" y="0"/>
            <wp:positionH relativeFrom="column">
              <wp:posOffset>349885</wp:posOffset>
            </wp:positionH>
            <wp:positionV relativeFrom="paragraph">
              <wp:posOffset>122555</wp:posOffset>
            </wp:positionV>
            <wp:extent cx="4646930" cy="2258060"/>
            <wp:effectExtent l="4445" t="5080" r="12065" b="7620"/>
            <wp:wrapNone/>
            <wp:docPr id="84"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3" w:firstLineChars="200"/>
        <w:outlineLvl w:val="1"/>
        <w:rPr>
          <w:rFonts w:ascii="仿宋" w:hAnsi="仿宋" w:eastAsia="仿宋"/>
          <w:b/>
          <w:color w:val="auto"/>
          <w:sz w:val="32"/>
          <w:szCs w:val="32"/>
          <w:highlight w:val="none"/>
        </w:rPr>
      </w:pPr>
    </w:p>
    <w:p>
      <w:pPr>
        <w:spacing w:line="600" w:lineRule="exact"/>
        <w:ind w:firstLine="643" w:firstLineChars="200"/>
        <w:outlineLvl w:val="1"/>
        <w:rPr>
          <w:rFonts w:ascii="仿宋" w:hAnsi="仿宋" w:eastAsia="仿宋"/>
          <w:b/>
          <w:color w:val="auto"/>
          <w:sz w:val="32"/>
          <w:szCs w:val="32"/>
          <w:highlight w:val="none"/>
        </w:rPr>
      </w:pPr>
    </w:p>
    <w:p>
      <w:pPr>
        <w:spacing w:line="600" w:lineRule="exact"/>
        <w:ind w:firstLine="643" w:firstLineChars="200"/>
        <w:outlineLvl w:val="1"/>
        <w:rPr>
          <w:rFonts w:ascii="仿宋" w:hAnsi="仿宋" w:eastAsia="仿宋"/>
          <w:b/>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pStyle w:val="4"/>
        <w:bidi w:val="0"/>
        <w:rPr>
          <w:rFonts w:hint="eastAsia"/>
          <w:lang w:val="en-US" w:eastAsia="zh-CN"/>
        </w:rPr>
      </w:pPr>
      <w:bookmarkStart w:id="33" w:name="_Toc15396605"/>
      <w:bookmarkStart w:id="34" w:name="_Toc16355"/>
      <w:bookmarkStart w:id="35" w:name="_Toc15377207"/>
    </w:p>
    <w:p>
      <w:pPr>
        <w:pStyle w:val="4"/>
        <w:bidi w:val="0"/>
      </w:pPr>
      <w:r>
        <w:rPr>
          <w:rFonts w:hint="eastAsia"/>
          <w:lang w:val="en-US" w:eastAsia="zh-CN"/>
        </w:rPr>
        <w:t>三、</w:t>
      </w:r>
      <w:r>
        <w:rPr>
          <w:rFonts w:hint="eastAsia"/>
        </w:rPr>
        <w:t>支出决算情况说明</w:t>
      </w:r>
      <w:bookmarkEnd w:id="33"/>
      <w:bookmarkEnd w:id="34"/>
      <w:bookmarkEnd w:id="35"/>
    </w:p>
    <w:p>
      <w:pPr>
        <w:bidi w:val="0"/>
        <w:rPr>
          <w:rFonts w:hint="eastAsia"/>
          <w:lang w:eastAsia="zh-CN"/>
        </w:rPr>
      </w:pPr>
      <w:r>
        <w:t>20</w:t>
      </w:r>
      <w:r>
        <w:rPr>
          <w:rFonts w:hint="eastAsia"/>
          <w:lang w:val="en-US" w:eastAsia="zh-CN"/>
        </w:rPr>
        <w:t>22</w:t>
      </w:r>
      <w:r>
        <w:rPr>
          <w:rFonts w:hint="eastAsia"/>
        </w:rPr>
        <w:t>年本年支出合计</w:t>
      </w:r>
      <w:r>
        <w:rPr>
          <w:rFonts w:hint="eastAsia"/>
          <w:lang w:val="en-US" w:eastAsia="zh-CN"/>
        </w:rPr>
        <w:t>243.57</w:t>
      </w:r>
      <w:r>
        <w:rPr>
          <w:rFonts w:hint="eastAsia"/>
        </w:rPr>
        <w:t>万元，其中：基本支出</w:t>
      </w:r>
      <w:r>
        <w:rPr>
          <w:rFonts w:hint="eastAsia"/>
          <w:lang w:val="en-US" w:eastAsia="zh-CN"/>
        </w:rPr>
        <w:t>228.57</w:t>
      </w:r>
      <w:r>
        <w:rPr>
          <w:rFonts w:hint="eastAsia"/>
        </w:rPr>
        <w:t>万元，占</w:t>
      </w:r>
      <w:r>
        <w:rPr>
          <w:rFonts w:hint="eastAsia"/>
          <w:lang w:val="en-US" w:eastAsia="zh-CN"/>
        </w:rPr>
        <w:t>93.84</w:t>
      </w:r>
      <w:r>
        <w:t>%</w:t>
      </w:r>
      <w:r>
        <w:rPr>
          <w:rFonts w:hint="eastAsia"/>
        </w:rPr>
        <w:t>；项目支出</w:t>
      </w:r>
      <w:r>
        <w:rPr>
          <w:rFonts w:hint="eastAsia"/>
          <w:lang w:val="en-US" w:eastAsia="zh-CN"/>
        </w:rPr>
        <w:t>15</w:t>
      </w:r>
      <w:r>
        <w:rPr>
          <w:rFonts w:hint="eastAsia"/>
        </w:rPr>
        <w:t>万元，占</w:t>
      </w:r>
      <w:r>
        <w:rPr>
          <w:rFonts w:hint="eastAsia"/>
          <w:lang w:val="en-US" w:eastAsia="zh-CN"/>
        </w:rPr>
        <w:t>6.16</w:t>
      </w:r>
      <w:r>
        <w:t>%</w:t>
      </w:r>
      <w:r>
        <w:rPr>
          <w:rFonts w:hint="eastAsia"/>
          <w:lang w:eastAsia="zh-CN"/>
        </w:rPr>
        <w:t>。</w:t>
      </w:r>
    </w:p>
    <w:p>
      <w:pPr>
        <w:pStyle w:val="2"/>
      </w:pPr>
      <w:r>
        <w:rPr>
          <w:rFonts w:hint="eastAsia" w:ascii="仿宋" w:hAnsi="仿宋" w:eastAsia="仿宋"/>
          <w:b/>
          <w:color w:val="auto"/>
          <w:sz w:val="32"/>
          <w:szCs w:val="32"/>
          <w:highlight w:val="none"/>
          <w:lang w:eastAsia="zh-CN"/>
        </w:rPr>
        <w:drawing>
          <wp:anchor distT="0" distB="0" distL="114300" distR="114300" simplePos="0" relativeHeight="251661312" behindDoc="1" locked="0" layoutInCell="1" allowOverlap="1">
            <wp:simplePos x="0" y="0"/>
            <wp:positionH relativeFrom="column">
              <wp:posOffset>859790</wp:posOffset>
            </wp:positionH>
            <wp:positionV relativeFrom="paragraph">
              <wp:posOffset>188595</wp:posOffset>
            </wp:positionV>
            <wp:extent cx="3824605" cy="1816735"/>
            <wp:effectExtent l="4445" t="4445" r="11430" b="7620"/>
            <wp:wrapNone/>
            <wp:docPr id="85"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rPr>
          <w:rFonts w:ascii="仿宋" w:hAnsi="仿宋" w:eastAsia="仿宋"/>
          <w:color w:val="auto"/>
          <w:sz w:val="32"/>
          <w:szCs w:val="32"/>
          <w:highlight w:val="none"/>
          <w:shd w:val="pct10" w:color="auto" w:fill="FFFFFF"/>
        </w:rPr>
      </w:pPr>
    </w:p>
    <w:p>
      <w:pPr>
        <w:spacing w:line="600" w:lineRule="exact"/>
        <w:rPr>
          <w:rFonts w:hint="eastAsia" w:ascii="仿宋" w:hAnsi="仿宋" w:eastAsia="仿宋"/>
          <w:color w:val="auto"/>
          <w:sz w:val="32"/>
          <w:szCs w:val="32"/>
          <w:highlight w:val="none"/>
          <w:shd w:val="pct10" w:color="auto" w:fill="FFFFFF"/>
          <w:lang w:val="en-US" w:eastAsia="zh-CN"/>
        </w:rPr>
      </w:pPr>
    </w:p>
    <w:p>
      <w:pPr>
        <w:spacing w:line="600" w:lineRule="exact"/>
        <w:ind w:firstLine="640"/>
        <w:rPr>
          <w:rFonts w:ascii="仿宋" w:hAnsi="仿宋" w:eastAsia="仿宋"/>
          <w:color w:val="auto"/>
          <w:sz w:val="32"/>
          <w:szCs w:val="32"/>
          <w:highlight w:val="none"/>
          <w:shd w:val="pct10" w:color="auto" w:fill="FFFFFF"/>
        </w:rPr>
      </w:pPr>
    </w:p>
    <w:p>
      <w:pPr>
        <w:spacing w:line="600" w:lineRule="exact"/>
        <w:ind w:left="0" w:leftChars="0" w:firstLine="0" w:firstLineChars="0"/>
        <w:rPr>
          <w:rFonts w:hint="eastAsia" w:ascii="仿宋" w:hAnsi="仿宋" w:eastAsia="仿宋"/>
          <w:color w:val="auto"/>
          <w:sz w:val="32"/>
          <w:szCs w:val="32"/>
          <w:highlight w:val="none"/>
        </w:rPr>
      </w:pPr>
    </w:p>
    <w:p>
      <w:pPr>
        <w:spacing w:line="600" w:lineRule="exact"/>
        <w:ind w:left="0" w:leftChars="0" w:firstLine="0" w:firstLineChars="0"/>
        <w:rPr>
          <w:rFonts w:hint="eastAsia" w:ascii="仿宋" w:hAnsi="仿宋" w:eastAsia="仿宋"/>
          <w:color w:val="auto"/>
          <w:sz w:val="32"/>
          <w:szCs w:val="32"/>
          <w:highlight w:val="none"/>
        </w:rPr>
      </w:pPr>
    </w:p>
    <w:p>
      <w:pPr>
        <w:spacing w:line="600" w:lineRule="exact"/>
        <w:ind w:left="0" w:leftChars="0"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pStyle w:val="4"/>
        <w:bidi w:val="0"/>
        <w:ind w:left="0" w:leftChars="0" w:firstLine="0" w:firstLineChars="0"/>
        <w:rPr>
          <w:rFonts w:hint="eastAsia"/>
        </w:rPr>
      </w:pPr>
      <w:bookmarkStart w:id="36" w:name="_Toc10640"/>
      <w:bookmarkStart w:id="37" w:name="_Toc15396606"/>
      <w:bookmarkStart w:id="38" w:name="_Toc15377208"/>
    </w:p>
    <w:p>
      <w:pPr>
        <w:pStyle w:val="4"/>
        <w:bidi w:val="0"/>
        <w:ind w:left="0" w:leftChars="0" w:firstLine="640" w:firstLineChars="200"/>
      </w:pPr>
      <w:r>
        <w:rPr>
          <w:rFonts w:hint="eastAsia"/>
        </w:rPr>
        <w:t>四、财政拨款收入支出决算总体情况说明</w:t>
      </w:r>
      <w:bookmarkEnd w:id="36"/>
      <w:bookmarkEnd w:id="37"/>
      <w:bookmarkEnd w:id="38"/>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szCs w:val="32"/>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各243.57</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10.55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4.53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default" w:ascii="Times New Roman" w:hAnsi="Times New Roman" w:eastAsia="仿宋_GB2312" w:cs="Times New Roman"/>
          <w:color w:val="000000"/>
          <w:sz w:val="32"/>
          <w:szCs w:val="32"/>
        </w:rPr>
        <w:t>主要变动原因</w:t>
      </w:r>
      <w:r>
        <w:rPr>
          <w:rFonts w:hint="eastAsia" w:eastAsia="仿宋_GB2312" w:cs="Times New Roman"/>
          <w:color w:val="000000"/>
          <w:sz w:val="32"/>
          <w:szCs w:val="32"/>
          <w:lang w:eastAsia="zh-CN"/>
        </w:rPr>
        <w:t>：人员增加和机关工作人员工资增长</w:t>
      </w:r>
      <w:r>
        <w:rPr>
          <w:rFonts w:hint="default" w:ascii="Times New Roman" w:hAnsi="Times New Roman" w:eastAsia="仿宋_GB2312" w:cs="Times New Roman"/>
          <w:color w:val="auto"/>
          <w:sz w:val="32"/>
          <w:szCs w:val="32"/>
          <w:lang w:eastAsia="zh-CN"/>
        </w:rPr>
        <w:t>。</w:t>
      </w:r>
    </w:p>
    <w:p>
      <w:pPr>
        <w:pStyle w:val="2"/>
        <w:rPr>
          <w:rFonts w:ascii="仿宋" w:hAnsi="仿宋" w:eastAsia="仿宋"/>
          <w:b/>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0288" behindDoc="1" locked="0" layoutInCell="1" allowOverlap="1">
            <wp:simplePos x="0" y="0"/>
            <wp:positionH relativeFrom="column">
              <wp:posOffset>972185</wp:posOffset>
            </wp:positionH>
            <wp:positionV relativeFrom="paragraph">
              <wp:posOffset>276225</wp:posOffset>
            </wp:positionV>
            <wp:extent cx="3487420" cy="1700530"/>
            <wp:effectExtent l="4445" t="4445" r="13335" b="17145"/>
            <wp:wrapNone/>
            <wp:docPr id="86"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pStyle w:val="2"/>
        <w:rPr>
          <w:rFonts w:ascii="仿宋" w:hAnsi="仿宋" w:eastAsia="仿宋"/>
          <w:b/>
          <w:color w:val="auto"/>
          <w:sz w:val="32"/>
          <w:szCs w:val="32"/>
          <w:highlight w:val="none"/>
        </w:rPr>
      </w:pPr>
    </w:p>
    <w:p>
      <w:pPr>
        <w:spacing w:line="600" w:lineRule="exact"/>
        <w:rPr>
          <w:rFonts w:ascii="仿宋" w:hAnsi="仿宋" w:eastAsia="仿宋"/>
          <w:color w:val="auto"/>
          <w:sz w:val="32"/>
          <w:szCs w:val="32"/>
          <w:highlight w:val="none"/>
        </w:rPr>
      </w:pPr>
    </w:p>
    <w:p>
      <w:pPr>
        <w:spacing w:line="600" w:lineRule="exact"/>
        <w:rPr>
          <w:rFonts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lang w:eastAsia="zh-CN"/>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pStyle w:val="4"/>
        <w:bidi w:val="0"/>
        <w:rPr>
          <w:rFonts w:hint="eastAsia"/>
        </w:rPr>
      </w:pPr>
      <w:bookmarkStart w:id="39" w:name="_Toc21356"/>
      <w:bookmarkStart w:id="40" w:name="_Toc15377209"/>
      <w:bookmarkStart w:id="41" w:name="_Toc15396607"/>
    </w:p>
    <w:p>
      <w:pPr>
        <w:pStyle w:val="4"/>
        <w:bidi w:val="0"/>
      </w:pPr>
      <w:r>
        <w:rPr>
          <w:rFonts w:hint="eastAsia"/>
        </w:rPr>
        <w:t>五、一般公共预算财政拨款支出决算情况说明</w:t>
      </w:r>
      <w:bookmarkEnd w:id="39"/>
      <w:bookmarkEnd w:id="40"/>
      <w:bookmarkEnd w:id="41"/>
    </w:p>
    <w:p>
      <w:pPr>
        <w:spacing w:line="600" w:lineRule="exact"/>
        <w:ind w:firstLine="640" w:firstLineChars="200"/>
        <w:outlineLvl w:val="2"/>
        <w:rPr>
          <w:rFonts w:hint="eastAsia" w:ascii="楷体" w:hAnsi="楷体" w:eastAsia="楷体" w:cs="楷体"/>
          <w:b w:val="0"/>
          <w:bCs/>
          <w:color w:val="auto"/>
          <w:sz w:val="32"/>
          <w:szCs w:val="32"/>
          <w:highlight w:val="none"/>
        </w:rPr>
      </w:pPr>
      <w:bookmarkStart w:id="42" w:name="_Toc15377210"/>
      <w:r>
        <w:rPr>
          <w:rFonts w:hint="eastAsia" w:ascii="楷体" w:hAnsi="楷体" w:eastAsia="楷体" w:cs="楷体"/>
          <w:b w:val="0"/>
          <w:bCs/>
          <w:color w:val="auto"/>
          <w:sz w:val="32"/>
          <w:szCs w:val="32"/>
          <w:highlight w:val="none"/>
        </w:rPr>
        <w:t>（一）一般公共预算财政拨款支出决算总体情况</w:t>
      </w:r>
      <w:bookmarkEnd w:id="42"/>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243.57</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10.55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4.53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eastAsia="仿宋_GB2312" w:cs="Times New Roman"/>
          <w:color w:val="000000"/>
          <w:sz w:val="32"/>
          <w:szCs w:val="32"/>
          <w:lang w:eastAsia="zh-CN"/>
        </w:rPr>
        <w:t>人员增加和机关工作人员工资增长。</w:t>
      </w:r>
    </w:p>
    <w:p>
      <w:pPr>
        <w:spacing w:line="600" w:lineRule="exact"/>
        <w:ind w:firstLine="640" w:firstLineChars="200"/>
        <w:rPr>
          <w:rFonts w:hint="eastAsia" w:ascii="仿宋" w:hAnsi="仿宋" w:eastAsia="仿宋"/>
          <w:color w:val="auto"/>
          <w:sz w:val="32"/>
          <w:szCs w:val="32"/>
          <w:highlight w:val="none"/>
          <w:lang w:eastAsia="zh-CN"/>
        </w:rPr>
      </w:pPr>
    </w:p>
    <w:p>
      <w:pPr>
        <w:spacing w:line="600" w:lineRule="exact"/>
        <w:ind w:firstLine="640" w:firstLineChars="200"/>
        <w:rPr>
          <w:rFonts w:hint="eastAsia" w:ascii="仿宋" w:hAnsi="仿宋" w:eastAsia="仿宋"/>
          <w:color w:val="auto"/>
          <w:sz w:val="32"/>
          <w:szCs w:val="32"/>
          <w:highlight w:val="none"/>
          <w:lang w:eastAsia="zh-CN"/>
        </w:rPr>
      </w:pPr>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0288" behindDoc="1" locked="0" layoutInCell="1" allowOverlap="1">
            <wp:simplePos x="0" y="0"/>
            <wp:positionH relativeFrom="column">
              <wp:posOffset>1125855</wp:posOffset>
            </wp:positionH>
            <wp:positionV relativeFrom="paragraph">
              <wp:posOffset>309245</wp:posOffset>
            </wp:positionV>
            <wp:extent cx="3176270" cy="1602105"/>
            <wp:effectExtent l="4445" t="4445" r="19685" b="8890"/>
            <wp:wrapNone/>
            <wp:docPr id="87" name="图表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spacing w:line="600" w:lineRule="exact"/>
        <w:ind w:firstLine="640" w:firstLineChars="200"/>
        <w:rPr>
          <w:rFonts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p>
    <w:p>
      <w:pPr>
        <w:spacing w:line="600" w:lineRule="exact"/>
        <w:ind w:left="0" w:leftChars="0" w:firstLine="0" w:firstLineChars="0"/>
        <w:rPr>
          <w:rFonts w:hint="eastAsia" w:ascii="仿宋" w:hAnsi="仿宋" w:eastAsia="仿宋"/>
          <w:color w:val="auto"/>
          <w:sz w:val="32"/>
          <w:szCs w:val="32"/>
          <w:highlight w:val="none"/>
        </w:rPr>
      </w:pPr>
    </w:p>
    <w:p>
      <w:pPr>
        <w:spacing w:line="600" w:lineRule="exact"/>
        <w:ind w:left="0" w:leftChars="0" w:firstLine="320" w:firstLineChars="1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43" w:name="_Toc15377211"/>
      <w:r>
        <w:rPr>
          <w:rFonts w:hint="eastAsia" w:ascii="楷体_GB2312" w:hAnsi="楷体_GB2312" w:eastAsia="楷体_GB2312" w:cs="楷体_GB2312"/>
          <w:b w:val="0"/>
          <w:bCs/>
          <w:color w:val="auto"/>
          <w:sz w:val="32"/>
          <w:szCs w:val="32"/>
          <w:highlight w:val="none"/>
        </w:rPr>
        <w:t>（二）一般公共预算财政拨款支出决算结构情况</w:t>
      </w:r>
      <w:bookmarkEnd w:id="43"/>
    </w:p>
    <w:p>
      <w:pPr>
        <w:spacing w:line="600" w:lineRule="exact"/>
        <w:ind w:firstLine="640"/>
        <w:rPr>
          <w:color w:val="0000FF"/>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243.57</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27.73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11.38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7.01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2.88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10.11万元，占4.15%；</w:t>
      </w:r>
      <w:r>
        <w:rPr>
          <w:rFonts w:hint="default" w:ascii="仿宋" w:hAnsi="仿宋" w:eastAsia="仿宋"/>
          <w:b/>
          <w:bCs/>
          <w:color w:val="auto"/>
          <w:sz w:val="32"/>
          <w:szCs w:val="32"/>
          <w:highlight w:val="none"/>
          <w:lang w:eastAsia="zh-CN"/>
        </w:rPr>
        <w:t>商业服务业等（类）支出</w:t>
      </w:r>
      <w:r>
        <w:rPr>
          <w:rFonts w:hint="eastAsia" w:ascii="仿宋" w:hAnsi="仿宋" w:eastAsia="仿宋"/>
          <w:color w:val="auto"/>
          <w:sz w:val="32"/>
          <w:szCs w:val="32"/>
          <w:highlight w:val="none"/>
          <w:lang w:val="en-US" w:eastAsia="zh-CN"/>
        </w:rPr>
        <w:t>198.72万元</w:t>
      </w:r>
      <w:r>
        <w:rPr>
          <w:rFonts w:hint="default" w:ascii="仿宋" w:hAnsi="仿宋" w:eastAsia="仿宋"/>
          <w:color w:val="auto"/>
          <w:sz w:val="32"/>
          <w:szCs w:val="32"/>
          <w:highlight w:val="none"/>
          <w:lang w:val="en-US" w:eastAsia="zh-CN"/>
        </w:rPr>
        <w:t>，占</w:t>
      </w:r>
      <w:r>
        <w:rPr>
          <w:rFonts w:hint="eastAsia" w:ascii="仿宋" w:hAnsi="仿宋" w:eastAsia="仿宋"/>
          <w:color w:val="auto"/>
          <w:sz w:val="32"/>
          <w:szCs w:val="32"/>
          <w:highlight w:val="none"/>
          <w:lang w:val="en-US" w:eastAsia="zh-CN"/>
        </w:rPr>
        <w:t>81.59</w:t>
      </w:r>
      <w:r>
        <w:rPr>
          <w:rFonts w:hint="default" w:ascii="仿宋" w:hAnsi="仿宋" w:eastAsia="仿宋"/>
          <w:color w:val="auto"/>
          <w:sz w:val="32"/>
          <w:szCs w:val="32"/>
          <w:highlight w:val="none"/>
          <w:lang w:val="en-US" w:eastAsia="zh-CN"/>
        </w:rPr>
        <w:t>%</w:t>
      </w:r>
      <w:r>
        <w:rPr>
          <w:rFonts w:hint="eastAsia" w:ascii="仿宋" w:hAnsi="仿宋" w:eastAsia="仿宋"/>
          <w:color w:val="0000FF"/>
          <w:sz w:val="32"/>
          <w:szCs w:val="32"/>
          <w:highlight w:val="none"/>
        </w:rPr>
        <w:t>。</w:t>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0288" behindDoc="1" locked="0" layoutInCell="1" allowOverlap="1">
            <wp:simplePos x="0" y="0"/>
            <wp:positionH relativeFrom="column">
              <wp:posOffset>875665</wp:posOffset>
            </wp:positionH>
            <wp:positionV relativeFrom="paragraph">
              <wp:posOffset>285115</wp:posOffset>
            </wp:positionV>
            <wp:extent cx="3297555" cy="1875790"/>
            <wp:effectExtent l="4445" t="4445" r="5080" b="9525"/>
            <wp:wrapNone/>
            <wp:docPr id="88" name="图表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spacing w:line="600" w:lineRule="exact"/>
        <w:ind w:firstLine="4806" w:firstLineChars="1502"/>
        <w:rPr>
          <w:rFonts w:hint="eastAsia" w:ascii="仿宋" w:hAnsi="仿宋" w:eastAsia="仿宋"/>
          <w:color w:val="auto"/>
          <w:sz w:val="32"/>
          <w:szCs w:val="32"/>
          <w:highlight w:val="none"/>
          <w:lang w:eastAsia="zh-CN"/>
        </w:rPr>
      </w:pPr>
    </w:p>
    <w:p>
      <w:pPr>
        <w:spacing w:line="600" w:lineRule="exact"/>
        <w:ind w:firstLine="640"/>
        <w:rPr>
          <w:rFonts w:ascii="仿宋" w:hAnsi="仿宋" w:eastAsia="仿宋"/>
          <w:color w:val="auto"/>
          <w:sz w:val="32"/>
          <w:szCs w:val="32"/>
          <w:highlight w:val="none"/>
        </w:rPr>
      </w:pPr>
    </w:p>
    <w:p>
      <w:pPr>
        <w:spacing w:line="600" w:lineRule="exact"/>
        <w:ind w:firstLine="640"/>
        <w:rPr>
          <w:rFonts w:ascii="仿宋" w:hAnsi="仿宋" w:eastAsia="仿宋"/>
          <w:color w:val="auto"/>
          <w:sz w:val="32"/>
          <w:szCs w:val="32"/>
          <w:highlight w:val="none"/>
        </w:rPr>
      </w:pPr>
    </w:p>
    <w:p>
      <w:pPr>
        <w:spacing w:line="600" w:lineRule="exact"/>
        <w:ind w:firstLine="640"/>
        <w:rPr>
          <w:rFonts w:ascii="仿宋" w:hAnsi="仿宋" w:eastAsia="仿宋"/>
          <w:color w:val="auto"/>
          <w:sz w:val="32"/>
          <w:szCs w:val="32"/>
          <w:highlight w:val="none"/>
        </w:rPr>
      </w:pPr>
    </w:p>
    <w:p>
      <w:pPr>
        <w:spacing w:line="600" w:lineRule="exact"/>
        <w:ind w:firstLine="640"/>
        <w:rPr>
          <w:rFonts w:ascii="仿宋" w:hAnsi="仿宋" w:eastAsia="仿宋"/>
          <w:color w:val="auto"/>
          <w:sz w:val="32"/>
          <w:szCs w:val="32"/>
          <w:highlight w:val="none"/>
        </w:rPr>
      </w:pPr>
    </w:p>
    <w:p>
      <w:pPr>
        <w:spacing w:line="600" w:lineRule="exact"/>
        <w:ind w:left="0" w:leftChars="0"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44" w:name="_Toc15377212"/>
      <w:r>
        <w:rPr>
          <w:rFonts w:hint="eastAsia" w:ascii="楷体_GB2312" w:hAnsi="楷体_GB2312" w:eastAsia="楷体_GB2312" w:cs="楷体_GB2312"/>
          <w:b w:val="0"/>
          <w:bCs/>
          <w:color w:val="auto"/>
          <w:sz w:val="32"/>
          <w:szCs w:val="32"/>
          <w:highlight w:val="none"/>
        </w:rPr>
        <w:t>（三）一般公共预算财政拨款支出决算具体情况</w:t>
      </w:r>
      <w:bookmarkEnd w:id="44"/>
    </w:p>
    <w:p>
      <w:pPr>
        <w:bidi w:val="0"/>
      </w:pPr>
      <w:bookmarkStart w:id="45" w:name="_Toc15377444"/>
      <w:bookmarkStart w:id="46" w:name="_Toc15377213"/>
      <w:bookmarkStart w:id="47" w:name="_Toc15378460"/>
      <w:r>
        <w:rPr>
          <w:rFonts w:hint="eastAsia"/>
        </w:rPr>
        <w:t>20</w:t>
      </w:r>
      <w:r>
        <w:rPr>
          <w:rFonts w:hint="eastAsia"/>
          <w:lang w:val="en-US" w:eastAsia="zh-CN"/>
        </w:rPr>
        <w:t>22</w:t>
      </w:r>
      <w:r>
        <w:rPr>
          <w:rFonts w:hint="eastAsia"/>
        </w:rPr>
        <w:t>年</w:t>
      </w:r>
      <w:r>
        <w:rPr>
          <w:rFonts w:hint="eastAsia"/>
          <w:lang w:eastAsia="zh-CN"/>
        </w:rPr>
        <w:t>一</w:t>
      </w:r>
      <w:r>
        <w:rPr>
          <w:rFonts w:hint="eastAsia"/>
        </w:rPr>
        <w:t>般公共预算支出决算数为</w:t>
      </w:r>
      <w:r>
        <w:rPr>
          <w:rFonts w:hint="eastAsia"/>
          <w:lang w:val="en-US" w:eastAsia="zh-CN"/>
        </w:rPr>
        <w:t>243.57万元</w:t>
      </w:r>
      <w:r>
        <w:rPr>
          <w:rFonts w:hint="eastAsia"/>
        </w:rPr>
        <w:t>，完成预算</w:t>
      </w:r>
      <w:r>
        <w:rPr>
          <w:rFonts w:hint="eastAsia"/>
          <w:lang w:val="en-US" w:eastAsia="zh-CN"/>
        </w:rPr>
        <w:t>100</w:t>
      </w:r>
      <w:r>
        <w:t>%</w:t>
      </w:r>
      <w:r>
        <w:rPr>
          <w:rFonts w:hint="eastAsia"/>
        </w:rPr>
        <w:t>。其中：</w:t>
      </w:r>
      <w:bookmarkEnd w:id="45"/>
      <w:bookmarkEnd w:id="46"/>
      <w:bookmarkEnd w:id="47"/>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rPr>
      </w:pPr>
      <w:r>
        <w:rPr>
          <w:rFonts w:hint="eastAsia"/>
          <w:lang w:val="en-US" w:eastAsia="zh-CN"/>
        </w:rPr>
        <w:t>1</w:t>
      </w:r>
      <w:r>
        <w:rPr>
          <w:rFonts w:hint="default"/>
        </w:rPr>
        <w:t>.社会保障和就业（</w:t>
      </w:r>
      <w:r>
        <w:rPr>
          <w:rFonts w:hint="default"/>
          <w:lang w:val="en-US" w:eastAsia="zh-CN"/>
        </w:rPr>
        <w:t>208</w:t>
      </w:r>
      <w:r>
        <w:rPr>
          <w:rFonts w:hint="default"/>
        </w:rPr>
        <w:t>类）</w:t>
      </w:r>
      <w:r>
        <w:rPr>
          <w:rFonts w:hint="default"/>
          <w:lang w:val="en-US" w:eastAsia="zh-CN"/>
        </w:rPr>
        <w:t>行政事业单位离退休</w:t>
      </w:r>
      <w:r>
        <w:rPr>
          <w:rFonts w:hint="default"/>
        </w:rPr>
        <w:t>（</w:t>
      </w:r>
      <w:r>
        <w:rPr>
          <w:rFonts w:hint="default"/>
          <w:lang w:val="en-US" w:eastAsia="zh-CN"/>
        </w:rPr>
        <w:t>05</w:t>
      </w:r>
      <w:r>
        <w:rPr>
          <w:rFonts w:hint="default"/>
        </w:rPr>
        <w:t>款）</w:t>
      </w:r>
      <w:r>
        <w:rPr>
          <w:rFonts w:hint="default"/>
          <w:lang w:val="en-US" w:eastAsia="zh-CN"/>
        </w:rPr>
        <w:t>机关事业单位基本养老保险缴费支出</w:t>
      </w:r>
      <w:r>
        <w:rPr>
          <w:rFonts w:hint="default"/>
        </w:rPr>
        <w:t>（</w:t>
      </w:r>
      <w:r>
        <w:rPr>
          <w:rFonts w:hint="default"/>
          <w:lang w:val="en-US" w:eastAsia="zh-CN"/>
        </w:rPr>
        <w:t>05</w:t>
      </w:r>
      <w:r>
        <w:rPr>
          <w:rFonts w:hint="default"/>
        </w:rPr>
        <w:t>项）:支出决算为</w:t>
      </w:r>
      <w:r>
        <w:rPr>
          <w:rFonts w:hint="eastAsia"/>
          <w:lang w:val="en-US" w:eastAsia="zh-CN"/>
        </w:rPr>
        <w:t>27.73</w:t>
      </w:r>
      <w:r>
        <w:rPr>
          <w:rFonts w:hint="default"/>
        </w:rPr>
        <w:t>万元，完成预算</w:t>
      </w:r>
      <w:r>
        <w:rPr>
          <w:rFonts w:hint="default"/>
          <w:lang w:val="en-US" w:eastAsia="zh-CN"/>
        </w:rPr>
        <w:t>100</w:t>
      </w:r>
      <w:r>
        <w:rPr>
          <w:rFonts w:hint="default"/>
        </w:rPr>
        <w:t>%，决算数</w:t>
      </w:r>
      <w:r>
        <w:rPr>
          <w:rFonts w:hint="default"/>
          <w:lang w:eastAsia="zh-CN"/>
        </w:rPr>
        <w:t>等于</w:t>
      </w:r>
      <w:r>
        <w:rPr>
          <w:rFonts w:hint="default"/>
        </w:rPr>
        <w:t>预算数。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Style w:val="18"/>
          <w:rFonts w:hint="default" w:ascii="Times New Roman" w:hAnsi="Times New Roman" w:eastAsia="仿宋_GB2312" w:cs="Times New Roman"/>
          <w:b w:val="0"/>
          <w:bCs/>
          <w:color w:val="0000FF"/>
          <w:sz w:val="32"/>
          <w:szCs w:val="32"/>
        </w:rPr>
      </w:pPr>
      <w:r>
        <w:rPr>
          <w:rFonts w:hint="eastAsia"/>
          <w:lang w:val="en-US" w:eastAsia="zh-CN"/>
        </w:rPr>
        <w:t>2</w:t>
      </w:r>
      <w:r>
        <w:rPr>
          <w:rFonts w:hint="default"/>
        </w:rPr>
        <w:t>.卫生健康（</w:t>
      </w:r>
      <w:r>
        <w:rPr>
          <w:rFonts w:hint="default"/>
          <w:lang w:val="en-US" w:eastAsia="zh-CN"/>
        </w:rPr>
        <w:t>210</w:t>
      </w:r>
      <w:r>
        <w:rPr>
          <w:rFonts w:hint="default"/>
        </w:rPr>
        <w:t>类）</w:t>
      </w:r>
      <w:r>
        <w:rPr>
          <w:rFonts w:hint="default"/>
          <w:lang w:eastAsia="zh-CN"/>
        </w:rPr>
        <w:t>行政事业单位医疗</w:t>
      </w:r>
      <w:r>
        <w:rPr>
          <w:rFonts w:hint="default"/>
        </w:rPr>
        <w:t>（</w:t>
      </w:r>
      <w:r>
        <w:rPr>
          <w:rFonts w:hint="default"/>
          <w:lang w:val="en-US" w:eastAsia="zh-CN"/>
        </w:rPr>
        <w:t>11</w:t>
      </w:r>
      <w:r>
        <w:rPr>
          <w:rFonts w:hint="default"/>
        </w:rPr>
        <w:t>款）</w:t>
      </w:r>
      <w:r>
        <w:rPr>
          <w:rFonts w:hint="default"/>
          <w:lang w:eastAsia="zh-CN"/>
        </w:rPr>
        <w:t>事业单位医疗</w:t>
      </w:r>
      <w:r>
        <w:rPr>
          <w:rFonts w:hint="default"/>
        </w:rPr>
        <w:t>（</w:t>
      </w:r>
      <w:r>
        <w:rPr>
          <w:rFonts w:hint="default"/>
          <w:lang w:val="en-US" w:eastAsia="zh-CN"/>
        </w:rPr>
        <w:t>02</w:t>
      </w:r>
      <w:r>
        <w:rPr>
          <w:rFonts w:hint="default"/>
        </w:rPr>
        <w:t>项）:支出决算为</w:t>
      </w:r>
      <w:r>
        <w:rPr>
          <w:rFonts w:hint="eastAsia"/>
          <w:lang w:val="en-US" w:eastAsia="zh-CN"/>
        </w:rPr>
        <w:t>7.01</w:t>
      </w:r>
      <w:r>
        <w:rPr>
          <w:rFonts w:hint="default"/>
        </w:rPr>
        <w:t>万元，完成预算</w:t>
      </w:r>
      <w:r>
        <w:rPr>
          <w:rFonts w:hint="default"/>
          <w:lang w:val="en-US" w:eastAsia="zh-CN"/>
        </w:rPr>
        <w:t>100</w:t>
      </w:r>
      <w:r>
        <w:rPr>
          <w:rFonts w:hint="default"/>
        </w:rPr>
        <w:t>%，决算数</w:t>
      </w:r>
      <w:r>
        <w:rPr>
          <w:rFonts w:hint="default"/>
          <w:lang w:eastAsia="zh-CN"/>
        </w:rPr>
        <w:t>等于</w:t>
      </w:r>
      <w:r>
        <w:rPr>
          <w:rFonts w:hint="default"/>
        </w:rPr>
        <w:t>预算数。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lang w:val="en-US" w:eastAsia="zh-CN"/>
        </w:rPr>
      </w:pPr>
      <w:r>
        <w:rPr>
          <w:rFonts w:hint="eastAsia"/>
          <w:lang w:val="en-US" w:eastAsia="zh-CN"/>
        </w:rPr>
        <w:t>3</w:t>
      </w:r>
      <w:r>
        <w:rPr>
          <w:rFonts w:hint="default"/>
          <w:lang w:val="en-US" w:eastAsia="zh-CN"/>
        </w:rPr>
        <w:t>.商业服务业（216类）商业服务业（02款）行政运行(01项)：支出决算数为</w:t>
      </w:r>
      <w:r>
        <w:rPr>
          <w:rFonts w:hint="eastAsia"/>
          <w:lang w:val="en-US" w:eastAsia="zh-CN"/>
        </w:rPr>
        <w:t>198.72</w:t>
      </w:r>
      <w:r>
        <w:rPr>
          <w:rFonts w:hint="default"/>
          <w:lang w:val="en-US" w:eastAsia="zh-CN"/>
        </w:rPr>
        <w:t>万元，完成预算100%，决算数等于预算数。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lang w:val="en-US" w:eastAsia="zh-CN"/>
        </w:rPr>
      </w:pPr>
      <w:r>
        <w:rPr>
          <w:rFonts w:hint="eastAsia"/>
          <w:lang w:val="en-US" w:eastAsia="zh-CN"/>
        </w:rPr>
        <w:t>4</w:t>
      </w:r>
      <w:r>
        <w:rPr>
          <w:rFonts w:hint="default"/>
          <w:lang w:val="en-US" w:eastAsia="zh-CN"/>
        </w:rPr>
        <w:t>.住房保障（221类）住房改革（02款）住房公积金（01项）:支出决算为</w:t>
      </w:r>
      <w:r>
        <w:rPr>
          <w:rFonts w:hint="eastAsia"/>
          <w:lang w:val="en-US" w:eastAsia="zh-CN"/>
        </w:rPr>
        <w:t>10.11</w:t>
      </w:r>
      <w:r>
        <w:rPr>
          <w:rFonts w:hint="default"/>
          <w:lang w:val="en-US" w:eastAsia="zh-CN"/>
        </w:rPr>
        <w:t>万元，完成预算100%，决算数等于预算数。</w:t>
      </w:r>
    </w:p>
    <w:p>
      <w:pPr>
        <w:pStyle w:val="4"/>
        <w:bidi w:val="0"/>
        <w:ind w:left="0" w:leftChars="0" w:firstLine="320" w:firstLineChars="100"/>
        <w:rPr>
          <w:rFonts w:hint="eastAsia"/>
        </w:rPr>
      </w:pPr>
      <w:bookmarkStart w:id="48" w:name="_Toc15377214"/>
      <w:bookmarkStart w:id="49" w:name="_Toc15396608"/>
      <w:bookmarkStart w:id="50" w:name="_Toc22621"/>
    </w:p>
    <w:p>
      <w:pPr>
        <w:pStyle w:val="4"/>
        <w:bidi w:val="0"/>
        <w:ind w:left="0" w:leftChars="0" w:firstLine="320" w:firstLineChars="100"/>
      </w:pPr>
      <w:r>
        <w:rPr>
          <w:rFonts w:hint="eastAsia"/>
        </w:rPr>
        <w:t>六、一般公共预算财政拨款基本支出决算情况说明</w:t>
      </w:r>
      <w:bookmarkEnd w:id="48"/>
      <w:bookmarkEnd w:id="49"/>
      <w:bookmarkEnd w:id="50"/>
      <w:r>
        <w:tab/>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lang w:val="en-US" w:eastAsia="zh-CN"/>
        </w:rPr>
      </w:pPr>
      <w:r>
        <w:rPr>
          <w:rFonts w:hint="default"/>
          <w:lang w:val="en-US" w:eastAsia="zh-CN"/>
        </w:rPr>
        <w:t>20</w:t>
      </w:r>
      <w:r>
        <w:rPr>
          <w:rFonts w:hint="eastAsia"/>
          <w:lang w:val="en-US" w:eastAsia="zh-CN"/>
        </w:rPr>
        <w:t>22年一般公共预算财政拨款基本支出228.57万元，其中：</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lang w:val="en-US" w:eastAsia="zh-CN"/>
        </w:rPr>
      </w:pPr>
      <w:r>
        <w:rPr>
          <w:rFonts w:hint="eastAsia"/>
          <w:lang w:val="en-US" w:eastAsia="zh-CN"/>
        </w:rPr>
        <w:t>人员经费186.04万元，主要包括：基本工资、津贴补贴、奖金、机关事业单位基本养老保险缴费、职工基本医疗保险缴费、其他社会保障缴费、住房公积金、其他工资福利支出、对个人和家庭的补助支出、生活补助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color w:val="0000FF"/>
        </w:rPr>
      </w:pPr>
      <w:r>
        <w:rPr>
          <w:rFonts w:hint="eastAsia"/>
          <w:lang w:val="en-US" w:eastAsia="zh-CN"/>
        </w:rPr>
        <w:t>公用经费42.53万元，主要包括：办公费、印刷费、咨询费、手续费、水费、电费、邮电费、物业管理费、差旅费、维修（护）费、会议费、培训费、公务接待费、工会经费、其他交通费等。</w:t>
      </w:r>
    </w:p>
    <w:p>
      <w:pPr>
        <w:pStyle w:val="2"/>
      </w:pPr>
    </w:p>
    <w:p>
      <w:pPr>
        <w:pStyle w:val="4"/>
        <w:bidi w:val="0"/>
      </w:pPr>
      <w:bookmarkStart w:id="51" w:name="_Toc15377215"/>
      <w:bookmarkStart w:id="52" w:name="_Toc15396609"/>
      <w:bookmarkStart w:id="53" w:name="_Toc23663"/>
      <w:r>
        <w:rPr>
          <w:rFonts w:hint="eastAsia"/>
        </w:rPr>
        <w:t>七、财政拨款“三公”经费支出决算情况说明</w:t>
      </w:r>
      <w:bookmarkEnd w:id="51"/>
      <w:bookmarkEnd w:id="52"/>
      <w:bookmarkEnd w:id="53"/>
    </w:p>
    <w:p>
      <w:pPr>
        <w:spacing w:line="600" w:lineRule="exact"/>
        <w:ind w:firstLine="640"/>
        <w:outlineLvl w:val="2"/>
        <w:rPr>
          <w:rFonts w:hint="eastAsia" w:ascii="楷体_GB2312" w:hAnsi="楷体_GB2312" w:eastAsia="楷体_GB2312" w:cs="楷体_GB2312"/>
          <w:b w:val="0"/>
          <w:bCs/>
          <w:color w:val="auto"/>
          <w:sz w:val="32"/>
          <w:szCs w:val="32"/>
          <w:highlight w:val="none"/>
        </w:rPr>
      </w:pPr>
      <w:bookmarkStart w:id="54" w:name="_Toc15377216"/>
      <w:r>
        <w:rPr>
          <w:rFonts w:hint="eastAsia" w:ascii="楷体_GB2312" w:hAnsi="楷体_GB2312" w:eastAsia="楷体_GB2312" w:cs="楷体_GB2312"/>
          <w:b w:val="0"/>
          <w:bCs/>
          <w:color w:val="auto"/>
          <w:sz w:val="32"/>
          <w:szCs w:val="32"/>
          <w:highlight w:val="none"/>
        </w:rPr>
        <w:t>（一）“三公”经费财政拨款支出决算总体情况说明</w:t>
      </w:r>
      <w:bookmarkEnd w:id="54"/>
    </w:p>
    <w:p>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0.5</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83.33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较上年增加</w:t>
      </w:r>
      <w:r>
        <w:rPr>
          <w:rFonts w:hint="eastAsia" w:ascii="仿宋" w:hAnsi="仿宋" w:eastAsia="仿宋"/>
          <w:color w:val="auto"/>
          <w:sz w:val="32"/>
          <w:szCs w:val="32"/>
          <w:highlight w:val="none"/>
          <w:lang w:val="en-US" w:eastAsia="zh-CN"/>
        </w:rPr>
        <w:t>0.21万元，增长72.41%。</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val="en-US" w:eastAsia="zh-CN"/>
        </w:rPr>
        <w:t>严格控制三公经费支出</w:t>
      </w:r>
      <w:r>
        <w:rPr>
          <w:rFonts w:hint="eastAsia" w:ascii="仿宋" w:hAnsi="仿宋" w:eastAsia="仿宋"/>
          <w:color w:val="auto"/>
          <w:sz w:val="32"/>
          <w:szCs w:val="32"/>
          <w:highlight w:val="none"/>
        </w:rPr>
        <w:t>。</w:t>
      </w:r>
    </w:p>
    <w:p>
      <w:pPr>
        <w:spacing w:line="600" w:lineRule="exact"/>
        <w:ind w:firstLine="640"/>
        <w:outlineLvl w:val="2"/>
        <w:rPr>
          <w:rFonts w:hint="eastAsia" w:ascii="楷体_GB2312" w:hAnsi="楷体_GB2312" w:eastAsia="楷体_GB2312" w:cs="楷体_GB2312"/>
          <w:b w:val="0"/>
          <w:bCs/>
          <w:color w:val="auto"/>
          <w:sz w:val="32"/>
          <w:szCs w:val="32"/>
          <w:highlight w:val="none"/>
        </w:rPr>
      </w:pPr>
      <w:bookmarkStart w:id="55" w:name="_Toc15377217"/>
      <w:r>
        <w:rPr>
          <w:rFonts w:hint="eastAsia" w:ascii="楷体_GB2312" w:hAnsi="楷体_GB2312" w:eastAsia="楷体_GB2312" w:cs="楷体_GB2312"/>
          <w:b w:val="0"/>
          <w:bCs/>
          <w:color w:val="auto"/>
          <w:sz w:val="32"/>
          <w:szCs w:val="32"/>
          <w:highlight w:val="none"/>
        </w:rPr>
        <w:t>（二）“三公”经费财政拨款支出决算具体情况说明</w:t>
      </w:r>
      <w:bookmarkEnd w:id="55"/>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年初未安排预算</w:t>
      </w:r>
      <w:r>
        <w:rPr>
          <w:rFonts w:hint="eastAsia" w:ascii="仿宋" w:hAnsi="仿宋" w:eastAsia="仿宋"/>
          <w:color w:val="auto"/>
          <w:sz w:val="32"/>
          <w:szCs w:val="32"/>
          <w:highlight w:val="none"/>
        </w:rPr>
        <w:t>；</w:t>
      </w:r>
      <w:r>
        <w:rPr>
          <w:rFonts w:hint="default" w:ascii="Times New Roman" w:hAnsi="Times New Roman" w:eastAsia="仿宋_GB2312" w:cs="Times New Roman"/>
          <w:color w:val="000000"/>
          <w:sz w:val="32"/>
          <w:szCs w:val="32"/>
        </w:rPr>
        <w:t>公务用车购置及运行维护费支出</w:t>
      </w:r>
      <w:r>
        <w:rPr>
          <w:rFonts w:hint="eastAsia" w:cs="Times New Roman"/>
          <w:color w:val="000000"/>
          <w:sz w:val="32"/>
          <w:szCs w:val="32"/>
          <w:lang w:eastAsia="zh-CN"/>
        </w:rPr>
        <w:t>，</w:t>
      </w:r>
      <w:r>
        <w:rPr>
          <w:rFonts w:hint="eastAsia" w:ascii="仿宋" w:hAnsi="仿宋" w:eastAsia="仿宋"/>
          <w:color w:val="auto"/>
          <w:sz w:val="32"/>
          <w:szCs w:val="32"/>
          <w:highlight w:val="none"/>
          <w:lang w:val="en-US" w:eastAsia="zh-CN"/>
        </w:rPr>
        <w:t>年初未安排预算</w:t>
      </w:r>
      <w:r>
        <w:rPr>
          <w:rFonts w:hint="default" w:ascii="Times New Roman" w:hAnsi="Times New Roman" w:eastAsia="仿宋_GB2312" w:cs="Times New Roman"/>
          <w:color w:val="000000"/>
          <w:sz w:val="32"/>
          <w:szCs w:val="32"/>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drawing>
          <wp:anchor distT="0" distB="0" distL="114300" distR="114300" simplePos="0" relativeHeight="251660288" behindDoc="1" locked="0" layoutInCell="1" allowOverlap="1">
            <wp:simplePos x="0" y="0"/>
            <wp:positionH relativeFrom="column">
              <wp:posOffset>1147445</wp:posOffset>
            </wp:positionH>
            <wp:positionV relativeFrom="paragraph">
              <wp:posOffset>330200</wp:posOffset>
            </wp:positionV>
            <wp:extent cx="2840990" cy="1959610"/>
            <wp:effectExtent l="4445" t="4445" r="19685" b="17145"/>
            <wp:wrapNone/>
            <wp:docPr id="89" name="图表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spacing w:line="600" w:lineRule="exact"/>
        <w:ind w:firstLine="640"/>
        <w:rPr>
          <w:rFonts w:hint="eastAsia" w:ascii="仿宋" w:hAnsi="仿宋" w:eastAsia="仿宋"/>
          <w:color w:val="auto"/>
          <w:sz w:val="32"/>
          <w:szCs w:val="32"/>
          <w:highlight w:val="none"/>
        </w:rPr>
      </w:pPr>
    </w:p>
    <w:p>
      <w:pPr>
        <w:spacing w:line="600" w:lineRule="exact"/>
        <w:ind w:firstLine="640"/>
        <w:rPr>
          <w:rFonts w:hint="eastAsia" w:ascii="仿宋" w:hAnsi="仿宋" w:eastAsia="仿宋"/>
          <w:color w:val="auto"/>
          <w:sz w:val="32"/>
          <w:szCs w:val="32"/>
          <w:highlight w:val="none"/>
        </w:rPr>
      </w:pPr>
    </w:p>
    <w:p>
      <w:pPr>
        <w:spacing w:line="600" w:lineRule="exact"/>
        <w:ind w:firstLine="640"/>
        <w:rPr>
          <w:rFonts w:hint="eastAsia" w:ascii="仿宋" w:hAnsi="仿宋" w:eastAsia="仿宋"/>
          <w:color w:val="auto"/>
          <w:sz w:val="32"/>
          <w:szCs w:val="32"/>
          <w:highlight w:val="none"/>
        </w:rPr>
      </w:pPr>
    </w:p>
    <w:p>
      <w:pPr>
        <w:spacing w:line="600" w:lineRule="exact"/>
        <w:ind w:firstLine="640"/>
        <w:rPr>
          <w:rFonts w:hint="eastAsia" w:ascii="仿宋" w:hAnsi="仿宋" w:eastAsia="仿宋"/>
          <w:color w:val="auto"/>
          <w:sz w:val="32"/>
          <w:szCs w:val="32"/>
          <w:highlight w:val="none"/>
        </w:rPr>
      </w:pPr>
    </w:p>
    <w:p>
      <w:pPr>
        <w:spacing w:line="600" w:lineRule="exact"/>
        <w:ind w:firstLine="640"/>
        <w:rPr>
          <w:rFonts w:hint="eastAsia" w:ascii="仿宋" w:hAnsi="仿宋" w:eastAsia="仿宋"/>
          <w:color w:val="auto"/>
          <w:sz w:val="32"/>
          <w:szCs w:val="32"/>
          <w:highlight w:val="none"/>
        </w:rPr>
      </w:pPr>
    </w:p>
    <w:p>
      <w:pPr>
        <w:spacing w:line="600" w:lineRule="exact"/>
        <w:ind w:firstLine="640"/>
        <w:rPr>
          <w:rFonts w:hint="eastAsia" w:ascii="仿宋" w:hAnsi="仿宋" w:eastAsia="仿宋"/>
          <w:color w:val="auto"/>
          <w:sz w:val="32"/>
          <w:szCs w:val="32"/>
          <w:highlight w:val="none"/>
        </w:rPr>
      </w:pP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left="0" w:leftChars="0" w:firstLine="643" w:firstLineChars="200"/>
        <w:rPr>
          <w:rFonts w:ascii="仿宋_GB2312" w:eastAsia="仿宋_GB2312"/>
          <w:b/>
          <w:color w:val="auto"/>
          <w:sz w:val="32"/>
          <w:szCs w:val="32"/>
          <w:highlight w:val="none"/>
        </w:rPr>
      </w:pPr>
    </w:p>
    <w:p>
      <w:pPr>
        <w:spacing w:line="600" w:lineRule="exact"/>
        <w:ind w:left="0" w:leftChars="0" w:firstLine="643" w:firstLineChars="200"/>
        <w:rPr>
          <w:rFonts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lang w:val="en-US" w:eastAsia="zh-CN"/>
        </w:rPr>
        <w:t>因公出国</w:t>
      </w:r>
      <w:r>
        <w:rPr>
          <w:rFonts w:hint="eastAsia" w:ascii="仿宋_GB2312" w:eastAsia="仿宋_GB2312"/>
          <w:b/>
          <w:color w:val="auto"/>
          <w:sz w:val="32"/>
          <w:szCs w:val="32"/>
          <w:highlight w:val="none"/>
        </w:rPr>
        <w:t>（境）</w:t>
      </w:r>
      <w:r>
        <w:rPr>
          <w:rFonts w:hint="eastAsia" w:ascii="仿宋_GB2312" w:eastAsia="仿宋_GB2312"/>
          <w:b/>
          <w:color w:val="auto"/>
          <w:sz w:val="32"/>
          <w:szCs w:val="32"/>
          <w:highlight w:val="none"/>
          <w:lang w:val="en-US" w:eastAsia="zh-CN"/>
        </w:rPr>
        <w:t>经费支出</w:t>
      </w:r>
      <w:r>
        <w:rPr>
          <w:rFonts w:hint="eastAsia" w:ascii="仿宋_GB2312" w:eastAsia="仿宋_GB2312"/>
          <w:sz w:val="32"/>
          <w:szCs w:val="32"/>
          <w:highlight w:val="none"/>
          <w:lang w:val="en-US" w:eastAsia="zh-CN"/>
        </w:rPr>
        <w:t>0万元，年初未安排预算</w:t>
      </w:r>
      <w:r>
        <w:rPr>
          <w:rFonts w:hint="eastAsia" w:ascii="仿宋_GB2312"/>
          <w:sz w:val="32"/>
          <w:szCs w:val="32"/>
          <w:highlight w:val="none"/>
          <w:lang w:val="en-US" w:eastAsia="zh-CN"/>
        </w:rPr>
        <w:t>。</w:t>
      </w:r>
    </w:p>
    <w:p>
      <w:pPr>
        <w:spacing w:line="600" w:lineRule="exact"/>
        <w:ind w:firstLine="640"/>
        <w:rPr>
          <w:rFonts w:hint="eastAsia" w:ascii="仿宋_GB2312"/>
          <w:sz w:val="32"/>
          <w:szCs w:val="32"/>
          <w:highlight w:val="none"/>
          <w:lang w:val="en-US" w:eastAsia="zh-CN"/>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sz w:val="32"/>
          <w:szCs w:val="32"/>
          <w:highlight w:val="none"/>
          <w:lang w:val="en-US" w:eastAsia="zh-CN"/>
        </w:rPr>
        <w:t>年初未安排预算</w:t>
      </w:r>
      <w:r>
        <w:rPr>
          <w:rFonts w:hint="eastAsia" w:ascii="仿宋_GB2312"/>
          <w:sz w:val="32"/>
          <w:szCs w:val="32"/>
          <w:highlight w:val="none"/>
          <w:lang w:val="en-US" w:eastAsia="zh-CN"/>
        </w:rPr>
        <w:t>。</w:t>
      </w:r>
    </w:p>
    <w:p>
      <w:pPr>
        <w:spacing w:line="600" w:lineRule="exact"/>
        <w:ind w:firstLine="640" w:firstLineChars="200"/>
        <w:rPr>
          <w:rFonts w:ascii="仿宋_GB2312" w:eastAsia="仿宋_GB2312"/>
          <w:b/>
          <w:color w:val="0000FF"/>
          <w:sz w:val="32"/>
          <w:szCs w:val="32"/>
          <w:highlight w:val="none"/>
        </w:rPr>
      </w:pPr>
      <w:r>
        <w:rPr>
          <w:rStyle w:val="18"/>
          <w:rFonts w:hint="eastAsia" w:ascii="仿宋" w:hAnsi="仿宋" w:eastAsia="仿宋" w:cs="Times New Roman"/>
          <w:b w:val="0"/>
          <w:bCs/>
          <w:color w:val="auto"/>
          <w:kern w:val="2"/>
          <w:sz w:val="32"/>
          <w:szCs w:val="32"/>
          <w:highlight w:val="none"/>
          <w:lang w:val="en-US" w:eastAsia="zh-CN" w:bidi="ar-SA"/>
        </w:rPr>
        <w:t>其中：</w:t>
      </w:r>
      <w:r>
        <w:rPr>
          <w:rFonts w:hint="eastAsia" w:ascii="仿宋_GB2312" w:eastAsia="仿宋_GB2312"/>
          <w:b/>
          <w:color w:val="auto"/>
          <w:sz w:val="32"/>
          <w:szCs w:val="32"/>
          <w:highlight w:val="none"/>
        </w:rPr>
        <w:t>公务用车购置支出</w:t>
      </w:r>
      <w:r>
        <w:rPr>
          <w:rStyle w:val="18"/>
          <w:rFonts w:hint="eastAsia" w:ascii="仿宋" w:hAnsi="仿宋" w:eastAsia="仿宋"/>
          <w:b w:val="0"/>
          <w:bCs/>
          <w:color w:val="auto"/>
          <w:sz w:val="32"/>
          <w:szCs w:val="32"/>
          <w:highlight w:val="none"/>
          <w:lang w:val="en-US" w:eastAsia="zh-CN"/>
        </w:rPr>
        <w:t>0</w:t>
      </w:r>
      <w:r>
        <w:rPr>
          <w:rStyle w:val="18"/>
          <w:rFonts w:hint="eastAsia" w:ascii="仿宋" w:hAnsi="仿宋" w:eastAsia="仿宋"/>
          <w:b w:val="0"/>
          <w:bCs/>
          <w:color w:val="auto"/>
          <w:sz w:val="32"/>
          <w:szCs w:val="32"/>
          <w:highlight w:val="none"/>
        </w:rPr>
        <w:t>万元。</w:t>
      </w:r>
    </w:p>
    <w:p>
      <w:pPr>
        <w:pStyle w:val="2"/>
        <w:ind w:firstLine="1606" w:firstLineChars="500"/>
        <w:rPr>
          <w:rFonts w:hint="default"/>
          <w:color w:val="0000FF"/>
          <w:lang w:val="en-US"/>
        </w:rPr>
      </w:pPr>
      <w:r>
        <w:rPr>
          <w:rFonts w:hint="eastAsia" w:ascii="仿宋_GB2312" w:hAnsi="Times New Roman" w:eastAsia="仿宋_GB2312" w:cs="Times New Roman"/>
          <w:b/>
          <w:color w:val="auto"/>
          <w:kern w:val="2"/>
          <w:sz w:val="32"/>
          <w:szCs w:val="32"/>
          <w:highlight w:val="none"/>
          <w:lang w:val="en-US" w:eastAsia="zh-CN" w:bidi="ar-SA"/>
        </w:rPr>
        <w:t>公务用车运行维护费支出</w:t>
      </w:r>
      <w:r>
        <w:rPr>
          <w:rStyle w:val="18"/>
          <w:rFonts w:hint="eastAsia" w:ascii="仿宋" w:hAnsi="仿宋" w:eastAsia="仿宋" w:cs="Times New Roman"/>
          <w:b w:val="0"/>
          <w:bCs/>
          <w:color w:val="auto"/>
          <w:kern w:val="2"/>
          <w:sz w:val="32"/>
          <w:szCs w:val="32"/>
          <w:highlight w:val="none"/>
          <w:lang w:val="en-US" w:eastAsia="zh-CN" w:bidi="ar-SA"/>
        </w:rPr>
        <w:t>0万元。</w:t>
      </w:r>
    </w:p>
    <w:p>
      <w:pPr>
        <w:spacing w:line="600" w:lineRule="exact"/>
        <w:ind w:firstLine="640"/>
        <w:rPr>
          <w:rFonts w:hint="default" w:ascii="仿宋_GB2312" w:eastAsia="仿宋_GB2312"/>
          <w:color w:val="auto"/>
          <w:sz w:val="32"/>
          <w:szCs w:val="32"/>
          <w:highlight w:val="none"/>
          <w:lang w:val="en-US" w:eastAsia="zh-CN"/>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0.5</w:t>
      </w:r>
      <w:r>
        <w:rPr>
          <w:rFonts w:hint="eastAsia" w:ascii="仿宋_GB2312" w:eastAsia="仿宋_GB2312"/>
          <w:color w:val="auto"/>
          <w:sz w:val="32"/>
          <w:szCs w:val="32"/>
          <w:highlight w:val="none"/>
        </w:rPr>
        <w:t>万元</w:t>
      </w:r>
      <w:r>
        <w:rPr>
          <w:rFonts w:hint="eastAsia" w:ascii="仿宋_GB2312"/>
          <w:color w:val="auto"/>
          <w:sz w:val="32"/>
          <w:szCs w:val="32"/>
          <w:highlight w:val="none"/>
          <w:lang w:eastAsia="zh-CN"/>
        </w:rPr>
        <w:t>，</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83.33</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0.21</w:t>
      </w:r>
      <w:r>
        <w:rPr>
          <w:rFonts w:hint="eastAsia" w:ascii="仿宋_GB2312" w:eastAsia="仿宋_GB2312"/>
          <w:color w:val="auto"/>
          <w:sz w:val="32"/>
          <w:szCs w:val="32"/>
          <w:highlight w:val="none"/>
        </w:rPr>
        <w:t>万元，增长</w:t>
      </w:r>
      <w:r>
        <w:rPr>
          <w:rFonts w:hint="eastAsia" w:ascii="仿宋_GB2312"/>
          <w:color w:val="auto"/>
          <w:sz w:val="32"/>
          <w:szCs w:val="32"/>
          <w:highlight w:val="none"/>
          <w:lang w:val="en-US" w:eastAsia="zh-CN"/>
        </w:rPr>
        <w:t>72.41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招商引资和接待市级、省级领导调研。</w:t>
      </w:r>
    </w:p>
    <w:p>
      <w:pPr>
        <w:spacing w:line="600" w:lineRule="exact"/>
        <w:ind w:firstLine="640"/>
        <w:rPr>
          <w:rFonts w:hint="eastAsia" w:ascii="仿宋_GB2312"/>
          <w:color w:val="auto"/>
          <w:sz w:val="32"/>
          <w:szCs w:val="32"/>
          <w:highlight w:val="none"/>
          <w:lang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0.5</w:t>
      </w:r>
      <w:r>
        <w:rPr>
          <w:rFonts w:hint="eastAsia" w:ascii="仿宋_GB2312" w:eastAsia="仿宋_GB2312"/>
          <w:color w:val="auto"/>
          <w:sz w:val="32"/>
          <w:szCs w:val="32"/>
          <w:highlight w:val="none"/>
        </w:rPr>
        <w:t>万元，主要用于执行公务、开展业务活动开支的交通费、住宿费、用餐费等。国内公务接待</w:t>
      </w:r>
      <w:r>
        <w:rPr>
          <w:rFonts w:hint="eastAsia" w:ascii="仿宋_GB2312"/>
          <w:color w:val="auto"/>
          <w:sz w:val="32"/>
          <w:szCs w:val="32"/>
          <w:highlight w:val="none"/>
          <w:lang w:val="en-US" w:eastAsia="zh-CN"/>
        </w:rPr>
        <w:t>2</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40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0.5</w:t>
      </w:r>
      <w:r>
        <w:rPr>
          <w:rFonts w:hint="eastAsia" w:ascii="仿宋_GB2312" w:eastAsia="仿宋_GB2312"/>
          <w:color w:val="auto"/>
          <w:sz w:val="32"/>
          <w:szCs w:val="32"/>
          <w:highlight w:val="none"/>
        </w:rPr>
        <w:t>万元</w:t>
      </w:r>
      <w:r>
        <w:rPr>
          <w:rFonts w:hint="eastAsia" w:ascii="仿宋_GB2312"/>
          <w:color w:val="auto"/>
          <w:sz w:val="32"/>
          <w:szCs w:val="32"/>
          <w:highlight w:val="none"/>
          <w:lang w:eastAsia="zh-CN"/>
        </w:rPr>
        <w:t>。</w:t>
      </w:r>
    </w:p>
    <w:p>
      <w:pPr>
        <w:spacing w:line="600" w:lineRule="exact"/>
        <w:ind w:firstLine="640"/>
        <w:rPr>
          <w:rFonts w:hint="eastAsia" w:ascii="仿宋_GB2312" w:eastAsia="仿宋_GB2312"/>
          <w:color w:val="auto"/>
          <w:sz w:val="32"/>
          <w:szCs w:val="32"/>
          <w:highlight w:val="none"/>
          <w:lang w:eastAsia="zh-CN"/>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color w:val="auto"/>
          <w:sz w:val="32"/>
          <w:szCs w:val="32"/>
          <w:highlight w:val="none"/>
          <w:lang w:eastAsia="zh-CN"/>
        </w:rPr>
        <w:t>。</w:t>
      </w:r>
    </w:p>
    <w:p>
      <w:pPr>
        <w:spacing w:line="600" w:lineRule="exact"/>
        <w:ind w:firstLine="640"/>
        <w:outlineLvl w:val="1"/>
        <w:rPr>
          <w:rFonts w:ascii="黑体" w:eastAsia="黑体"/>
          <w:color w:val="auto"/>
          <w:sz w:val="32"/>
          <w:szCs w:val="32"/>
          <w:highlight w:val="none"/>
        </w:rPr>
      </w:pPr>
      <w:bookmarkStart w:id="56" w:name="_Toc15396610"/>
      <w:bookmarkStart w:id="57" w:name="_Toc15377218"/>
    </w:p>
    <w:p>
      <w:pPr>
        <w:pStyle w:val="4"/>
        <w:bidi w:val="0"/>
      </w:pPr>
      <w:bookmarkStart w:id="58" w:name="_Toc2107"/>
      <w:r>
        <w:rPr>
          <w:rFonts w:hint="eastAsia"/>
        </w:rPr>
        <w:t>八、政府性基金预算支出决算情况说明</w:t>
      </w:r>
      <w:bookmarkEnd w:id="56"/>
      <w:bookmarkEnd w:id="57"/>
      <w:bookmarkEnd w:id="58"/>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bidi w:val="0"/>
      </w:pPr>
    </w:p>
    <w:p>
      <w:pPr>
        <w:pStyle w:val="4"/>
        <w:bidi w:val="0"/>
      </w:pPr>
      <w:bookmarkStart w:id="59" w:name="_Toc19135"/>
      <w:bookmarkStart w:id="60" w:name="_Toc15377219"/>
      <w:bookmarkStart w:id="61" w:name="_Toc15396611"/>
      <w:r>
        <w:rPr>
          <w:rFonts w:hint="eastAsia"/>
          <w:lang w:val="en-US" w:eastAsia="zh-CN"/>
        </w:rPr>
        <w:t>九、</w:t>
      </w:r>
      <w:r>
        <w:rPr>
          <w:rFonts w:hint="eastAsia"/>
        </w:rPr>
        <w:t>国有资本经营预算支出决算情况说明</w:t>
      </w:r>
      <w:bookmarkEnd w:id="59"/>
      <w:bookmarkEnd w:id="60"/>
      <w:bookmarkEnd w:id="6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bidi w:val="0"/>
      </w:pPr>
    </w:p>
    <w:p>
      <w:pPr>
        <w:pStyle w:val="4"/>
        <w:bidi w:val="0"/>
        <w:rPr>
          <w:rFonts w:hint="eastAsia"/>
        </w:rPr>
      </w:pPr>
      <w:bookmarkStart w:id="62" w:name="_Toc15377221"/>
      <w:bookmarkStart w:id="63" w:name="_Toc15396612"/>
      <w:bookmarkStart w:id="64" w:name="_Toc10155"/>
      <w:r>
        <w:rPr>
          <w:rFonts w:hint="eastAsia"/>
          <w:lang w:val="en-US" w:eastAsia="zh-CN"/>
        </w:rPr>
        <w:t>十、</w:t>
      </w:r>
      <w:r>
        <w:rPr>
          <w:rFonts w:hint="eastAsia"/>
        </w:rPr>
        <w:t>其他重要事项的情况说明</w:t>
      </w:r>
      <w:bookmarkEnd w:id="62"/>
      <w:bookmarkEnd w:id="63"/>
      <w:bookmarkEnd w:id="64"/>
    </w:p>
    <w:p>
      <w:pP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65" w:name="_Toc15377222"/>
      <w:r>
        <w:rPr>
          <w:rFonts w:hint="eastAsia" w:ascii="楷体_GB2312" w:hAnsi="楷体_GB2312" w:eastAsia="楷体_GB2312" w:cs="楷体_GB2312"/>
          <w:b w:val="0"/>
          <w:bCs/>
          <w:color w:val="auto"/>
          <w:sz w:val="32"/>
          <w:szCs w:val="32"/>
          <w:highlight w:val="none"/>
        </w:rPr>
        <w:t>（一）机关运行经费支出情况</w:t>
      </w:r>
      <w:bookmarkEnd w:id="65"/>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,区供销联社</w:t>
      </w:r>
      <w:r>
        <w:rPr>
          <w:rFonts w:hint="eastAsia" w:ascii="仿宋_GB2312" w:eastAsia="仿宋_GB2312"/>
          <w:color w:val="auto"/>
          <w:sz w:val="32"/>
          <w:szCs w:val="32"/>
          <w:highlight w:val="none"/>
        </w:rPr>
        <w:t>机关运行经费支出</w:t>
      </w:r>
      <w:r>
        <w:rPr>
          <w:rFonts w:hint="eastAsia" w:ascii="仿宋_GB2312"/>
          <w:color w:val="auto"/>
          <w:sz w:val="32"/>
          <w:szCs w:val="32"/>
          <w:highlight w:val="none"/>
          <w:lang w:val="en-US" w:eastAsia="zh-CN"/>
        </w:rPr>
        <w:t>42.53</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color w:val="auto"/>
          <w:sz w:val="32"/>
          <w:szCs w:val="32"/>
          <w:highlight w:val="none"/>
          <w:lang w:val="en-US" w:eastAsia="zh-CN"/>
        </w:rPr>
        <w:t>12.98</w:t>
      </w:r>
      <w:r>
        <w:rPr>
          <w:rFonts w:hint="eastAsia" w:ascii="仿宋_GB2312" w:eastAsia="仿宋_GB2312"/>
          <w:color w:val="auto"/>
          <w:sz w:val="32"/>
          <w:szCs w:val="32"/>
          <w:highlight w:val="none"/>
        </w:rPr>
        <w:t>万元，增长</w:t>
      </w:r>
      <w:r>
        <w:rPr>
          <w:rFonts w:hint="eastAsia" w:ascii="仿宋_GB2312"/>
          <w:color w:val="auto"/>
          <w:sz w:val="32"/>
          <w:szCs w:val="32"/>
          <w:highlight w:val="none"/>
          <w:lang w:val="en-US" w:eastAsia="zh-CN"/>
        </w:rPr>
        <w:t>43.93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color w:val="auto"/>
          <w:sz w:val="32"/>
          <w:szCs w:val="32"/>
          <w:highlight w:val="none"/>
          <w:lang w:val="en-US" w:eastAsia="zh-CN"/>
        </w:rPr>
        <w:t>物价上涨、人员增加、各项费用增加</w:t>
      </w:r>
      <w:r>
        <w:rPr>
          <w:rFonts w:hint="eastAsia" w:ascii="仿宋_GB2312" w:eastAsia="仿宋_GB2312"/>
          <w:color w:val="auto"/>
          <w:sz w:val="32"/>
          <w:szCs w:val="32"/>
          <w:highlight w:val="none"/>
          <w:lang w:eastAsia="zh-CN"/>
        </w:rPr>
        <w:t>。</w:t>
      </w:r>
    </w:p>
    <w:p>
      <w:pP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66" w:name="_Toc15377223"/>
      <w:r>
        <w:rPr>
          <w:rFonts w:hint="eastAsia" w:ascii="楷体_GB2312" w:hAnsi="楷体_GB2312" w:eastAsia="楷体_GB2312" w:cs="楷体_GB2312"/>
          <w:b w:val="0"/>
          <w:bCs/>
          <w:color w:val="auto"/>
          <w:sz w:val="32"/>
          <w:szCs w:val="32"/>
          <w:highlight w:val="none"/>
        </w:rPr>
        <w:t>（二）政府采购支出情况</w:t>
      </w:r>
      <w:bookmarkEnd w:id="66"/>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我单位</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67" w:name="_Toc15377224"/>
      <w:r>
        <w:rPr>
          <w:rFonts w:hint="eastAsia" w:ascii="楷体_GB2312" w:hAnsi="楷体_GB2312" w:eastAsia="楷体_GB2312" w:cs="楷体_GB2312"/>
          <w:b w:val="0"/>
          <w:bCs/>
          <w:color w:val="auto"/>
          <w:sz w:val="32"/>
          <w:szCs w:val="32"/>
          <w:highlight w:val="none"/>
        </w:rPr>
        <w:t>（三）国有资产占有使用情况</w:t>
      </w:r>
      <w:bookmarkEnd w:id="67"/>
    </w:p>
    <w:p>
      <w:pPr>
        <w:autoSpaceDE w:val="0"/>
        <w:autoSpaceDN w:val="0"/>
        <w:adjustRightInd w:val="0"/>
        <w:spacing w:line="600" w:lineRule="exact"/>
        <w:ind w:firstLine="640" w:firstLineChars="200"/>
        <w:jc w:val="left"/>
        <w:rPr>
          <w:rFonts w:ascii="仿宋" w:hAnsi="仿宋" w:eastAsia="仿宋"/>
          <w:b/>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我单位</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w:t>
      </w:r>
      <w:r>
        <w:rPr>
          <w:rFonts w:hint="eastAsia" w:ascii="仿宋_GB2312" w:hAnsi="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年度预算编制阶段，组织对废弃农膜收购补贴项目</w:t>
      </w:r>
      <w:r>
        <w:rPr>
          <w:rFonts w:hint="eastAsia" w:ascii="仿宋_GB2312" w:hAnsi="仿宋_GB2312" w:eastAsia="仿宋_GB2312" w:cs="仿宋_GB2312"/>
          <w:color w:val="auto"/>
          <w:sz w:val="32"/>
          <w:szCs w:val="32"/>
          <w:highlight w:val="none"/>
          <w:lang w:eastAsia="zh-CN"/>
        </w:rPr>
        <w:t>、网络体系建设</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w:t>
      </w:r>
    </w:p>
    <w:p>
      <w:pPr>
        <w:widowControl/>
        <w:ind w:firstLine="640" w:firstLineChars="200"/>
        <w:jc w:val="left"/>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val="en-US" w:eastAsia="zh-CN"/>
        </w:rPr>
        <w:t>2022年</w:t>
      </w:r>
      <w:r>
        <w:rPr>
          <w:rFonts w:hint="eastAsia" w:ascii="仿宋_GB2312" w:hAnsi="仿宋_GB2312" w:eastAsia="仿宋_GB2312" w:cs="仿宋_GB2312"/>
          <w:color w:val="auto"/>
          <w:sz w:val="32"/>
          <w:szCs w:val="32"/>
          <w:highlight w:val="none"/>
        </w:rPr>
        <w:t>部门整体</w:t>
      </w:r>
      <w:r>
        <w:rPr>
          <w:rFonts w:hint="eastAsia" w:ascii="仿宋_GB2312" w:hAnsi="仿宋_GB2312" w:eastAsia="仿宋_GB2312" w:cs="仿宋_GB2312"/>
          <w:color w:val="auto"/>
          <w:sz w:val="32"/>
          <w:szCs w:val="32"/>
          <w:highlight w:val="none"/>
          <w:lang w:val="en-US" w:eastAsia="zh-CN"/>
        </w:rPr>
        <w:t>支出</w:t>
      </w:r>
      <w:r>
        <w:rPr>
          <w:rFonts w:hint="eastAsia" w:ascii="仿宋_GB2312" w:hAnsi="仿宋_GB2312" w:eastAsia="仿宋_GB2312" w:cs="仿宋_GB2312"/>
          <w:color w:val="auto"/>
          <w:sz w:val="32"/>
          <w:szCs w:val="32"/>
          <w:highlight w:val="none"/>
        </w:rPr>
        <w:t>绩效自评报告、</w:t>
      </w:r>
      <w:r>
        <w:rPr>
          <w:rFonts w:hint="eastAsia" w:ascii="仿宋_GB2312" w:hAnsi="仿宋_GB2312" w:eastAsia="仿宋_GB2312" w:cs="仿宋_GB2312"/>
          <w:color w:val="auto"/>
          <w:sz w:val="32"/>
          <w:szCs w:val="32"/>
          <w:highlight w:val="none"/>
          <w:lang w:val="en-US" w:eastAsia="zh-CN"/>
        </w:rPr>
        <w:t>2022年网络体系建设项目和废弃农膜收购补贴项目支出</w:t>
      </w:r>
      <w:r>
        <w:rPr>
          <w:rFonts w:hint="eastAsia" w:ascii="仿宋_GB2312" w:hAnsi="仿宋_GB2312" w:eastAsia="仿宋_GB2312" w:cs="仿宋_GB2312"/>
          <w:color w:val="auto"/>
          <w:sz w:val="32"/>
          <w:szCs w:val="32"/>
          <w:highlight w:val="none"/>
        </w:rPr>
        <w:t>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color w:val="auto"/>
          <w:sz w:val="32"/>
          <w:szCs w:val="32"/>
          <w:highlight w:val="none"/>
          <w:lang w:val="en-US" w:eastAsia="zh-CN"/>
        </w:rPr>
        <w:t>2022年</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99</w:t>
      </w:r>
      <w:r>
        <w:rPr>
          <w:rFonts w:hint="eastAsia" w:ascii="仿宋_GB2312" w:hAnsi="仿宋_GB2312" w:eastAsia="仿宋_GB2312" w:cs="仿宋_GB2312"/>
          <w:color w:val="auto"/>
          <w:sz w:val="32"/>
          <w:szCs w:val="32"/>
          <w:highlight w:val="none"/>
        </w:rPr>
        <w:t>分，绩效自评综述：</w:t>
      </w:r>
      <w:r>
        <w:rPr>
          <w:rFonts w:hint="default" w:ascii="Times New Roman" w:hAnsi="Times New Roman" w:eastAsia="仿宋_GB2312" w:cs="Times New Roman"/>
          <w:color w:val="auto"/>
          <w:sz w:val="32"/>
          <w:szCs w:val="32"/>
          <w:highlight w:val="none"/>
          <w:lang w:eastAsia="zh-CN"/>
        </w:rPr>
        <w:t>全年基本支出保证了部门的正常运行和日常工作正常开展，项目支出保障了重点工作的开展，绩效目标得到较好实现，支出规范合理，做到了按时间进度拨款，总体“量入为出”，无新增债务</w:t>
      </w:r>
      <w:r>
        <w:rPr>
          <w:rFonts w:hint="eastAsia" w:eastAsia="仿宋_GB2312" w:cs="Times New Roman"/>
          <w:color w:val="auto"/>
          <w:sz w:val="32"/>
          <w:szCs w:val="32"/>
          <w:highlight w:val="none"/>
          <w:lang w:eastAsia="zh-CN"/>
        </w:rPr>
        <w:t>。</w:t>
      </w:r>
      <w:r>
        <w:rPr>
          <w:rFonts w:hint="eastAsia" w:ascii="仿宋_GB2312" w:hAnsi="仿宋_GB2312" w:eastAsia="仿宋_GB2312" w:cs="仿宋_GB2312"/>
          <w:color w:val="auto"/>
          <w:sz w:val="32"/>
          <w:szCs w:val="32"/>
          <w:highlight w:val="none"/>
        </w:rPr>
        <w:t>绩效自评报告详见附件。</w:t>
      </w:r>
    </w:p>
    <w:p>
      <w:pPr>
        <w:pStyle w:val="3"/>
        <w:bidi w:val="0"/>
        <w:rPr>
          <w:rFonts w:hint="eastAsia"/>
          <w:lang w:eastAsia="zh-CN"/>
        </w:rPr>
        <w:sectPr>
          <w:footerReference r:id="rId10" w:type="default"/>
          <w:pgSz w:w="11906" w:h="16838"/>
          <w:pgMar w:top="2098" w:right="1474" w:bottom="1984" w:left="1587" w:header="851" w:footer="680" w:gutter="0"/>
          <w:pgNumType w:fmt="decimal" w:start="1"/>
          <w:cols w:space="0" w:num="1"/>
          <w:rtlGutter w:val="0"/>
          <w:docGrid w:type="lines" w:linePitch="312" w:charSpace="0"/>
        </w:sectPr>
      </w:pPr>
      <w:bookmarkStart w:id="68" w:name="_Toc15396613"/>
      <w:bookmarkStart w:id="69" w:name="_Toc15377225"/>
      <w:bookmarkStart w:id="70" w:name="_Toc27116"/>
      <w:bookmarkStart w:id="71" w:name="_Toc19373"/>
    </w:p>
    <w:p>
      <w:pPr>
        <w:pStyle w:val="3"/>
        <w:bidi w:val="0"/>
        <w:rPr>
          <w:rFonts w:hint="eastAsia"/>
        </w:rPr>
      </w:pPr>
      <w:bookmarkStart w:id="72" w:name="_Toc237"/>
      <w:r>
        <w:rPr>
          <w:rFonts w:hint="eastAsia"/>
          <w:lang w:eastAsia="zh-CN"/>
        </w:rPr>
        <w:t>第三部分</w:t>
      </w:r>
      <w:r>
        <w:rPr>
          <w:rFonts w:hint="eastAsia"/>
          <w:lang w:val="en-US" w:eastAsia="zh-CN"/>
        </w:rPr>
        <w:t xml:space="preserve"> </w:t>
      </w:r>
      <w:r>
        <w:rPr>
          <w:rFonts w:hint="eastAsia"/>
        </w:rPr>
        <w:t>名词解释</w:t>
      </w:r>
      <w:bookmarkEnd w:id="68"/>
      <w:bookmarkEnd w:id="69"/>
      <w:bookmarkEnd w:id="70"/>
      <w:bookmarkEnd w:id="71"/>
      <w:bookmarkEnd w:id="72"/>
    </w:p>
    <w:p>
      <w:pPr>
        <w:keepNext w:val="0"/>
        <w:keepLines w:val="0"/>
        <w:pageBreakBefore w:val="0"/>
        <w:widowControl w:val="0"/>
        <w:numPr>
          <w:ilvl w:val="0"/>
          <w:numId w:val="0"/>
        </w:numPr>
        <w:kinsoku/>
        <w:wordWrap/>
        <w:overflowPunct/>
        <w:topLinePunct w:val="0"/>
        <w:bidi w:val="0"/>
        <w:snapToGrid/>
        <w:spacing w:before="159" w:beforeLines="50" w:after="159" w:afterLines="50" w:line="570" w:lineRule="exact"/>
        <w:jc w:val="center"/>
        <w:textAlignment w:val="auto"/>
        <w:outlineLvl w:val="0"/>
        <w:rPr>
          <w:rStyle w:val="29"/>
          <w:rFonts w:hint="eastAsia" w:ascii="方正黑体简体" w:hAnsi="方正黑体简体" w:eastAsia="方正黑体简体" w:cs="方正黑体简体"/>
          <w:b w:val="0"/>
          <w:sz w:val="32"/>
          <w:szCs w:val="32"/>
        </w:rPr>
      </w:pPr>
    </w:p>
    <w:p>
      <w:pPr>
        <w:pStyle w:val="27"/>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1.财政拨款收入</w:t>
      </w:r>
      <w:r>
        <w:rPr>
          <w:rFonts w:hint="default" w:ascii="Times New Roman" w:hAnsi="Times New Roman" w:eastAsia="仿宋_GB2312" w:cs="Times New Roman"/>
          <w:color w:val="auto"/>
          <w:sz w:val="32"/>
          <w:szCs w:val="32"/>
        </w:rPr>
        <w:t>：指单位从同级财政部门取得的财政预算资金。</w:t>
      </w:r>
    </w:p>
    <w:p>
      <w:pPr>
        <w:pStyle w:val="27"/>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2.事业收入：</w:t>
      </w:r>
      <w:r>
        <w:rPr>
          <w:rFonts w:hint="default" w:ascii="Times New Roman" w:hAnsi="Times New Roman" w:eastAsia="仿宋_GB2312" w:cs="Times New Roman"/>
          <w:color w:val="auto"/>
          <w:sz w:val="32"/>
          <w:szCs w:val="32"/>
          <w:highlight w:val="none"/>
        </w:rPr>
        <w:t>指事业单位开展专业业务活动及辅助活动取得的收入。</w:t>
      </w:r>
    </w:p>
    <w:p>
      <w:pPr>
        <w:pStyle w:val="27"/>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3.经营收入：</w:t>
      </w:r>
      <w:r>
        <w:rPr>
          <w:rFonts w:hint="default" w:ascii="Times New Roman" w:hAnsi="Times New Roman" w:eastAsia="仿宋_GB2312" w:cs="Times New Roman"/>
          <w:sz w:val="32"/>
          <w:szCs w:val="32"/>
          <w:highlight w:val="none"/>
        </w:rPr>
        <w:t>指事业单位在专业业务活动及其辅助活动之外开展非独立核算经营活动取得的收入。</w:t>
      </w:r>
    </w:p>
    <w:p>
      <w:pPr>
        <w:pStyle w:val="27"/>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4.其他收入：</w:t>
      </w:r>
      <w:r>
        <w:rPr>
          <w:rFonts w:hint="default" w:ascii="Times New Roman" w:hAnsi="Times New Roman" w:eastAsia="仿宋_GB2312" w:cs="Times New Roman"/>
          <w:sz w:val="32"/>
          <w:szCs w:val="32"/>
          <w:highlight w:val="none"/>
        </w:rPr>
        <w:t>指单位取得的除上述收入以外的各项收入。</w:t>
      </w:r>
    </w:p>
    <w:p>
      <w:pPr>
        <w:pStyle w:val="27"/>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5.用事业基金弥补收支差额：</w:t>
      </w:r>
      <w:r>
        <w:rPr>
          <w:rFonts w:hint="default" w:ascii="Times New Roman" w:hAnsi="Times New Roman" w:eastAsia="仿宋_GB2312" w:cs="Times New Roman"/>
          <w:sz w:val="32"/>
          <w:szCs w:val="32"/>
          <w:highlight w:val="none"/>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7"/>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6.年初结转和结余：</w:t>
      </w:r>
      <w:r>
        <w:rPr>
          <w:rFonts w:hint="default" w:ascii="Times New Roman" w:hAnsi="Times New Roman" w:eastAsia="仿宋_GB2312" w:cs="Times New Roman"/>
          <w:sz w:val="32"/>
          <w:szCs w:val="32"/>
          <w:highlight w:val="none"/>
        </w:rPr>
        <w:t xml:space="preserve">指以前年度尚未完成、结转到本年按有关规定继续使用的资金。 </w:t>
      </w:r>
    </w:p>
    <w:p>
      <w:pPr>
        <w:pStyle w:val="27"/>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7.结余分配：</w:t>
      </w:r>
      <w:r>
        <w:rPr>
          <w:rFonts w:hint="default" w:ascii="Times New Roman" w:hAnsi="Times New Roman" w:eastAsia="仿宋_GB2312" w:cs="Times New Roman"/>
          <w:sz w:val="32"/>
          <w:szCs w:val="32"/>
          <w:highlight w:val="none"/>
        </w:rPr>
        <w:t>指事业单位按照事业单位会计制度的规定从非财政补助结余中分配的事业基金和职工福利基金等。</w:t>
      </w:r>
    </w:p>
    <w:p>
      <w:pPr>
        <w:pStyle w:val="27"/>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8、年末结转和结余：</w:t>
      </w:r>
      <w:r>
        <w:rPr>
          <w:rFonts w:hint="default" w:ascii="Times New Roman" w:hAnsi="Times New Roman" w:eastAsia="仿宋_GB2312" w:cs="Times New Roman"/>
          <w:sz w:val="32"/>
          <w:szCs w:val="32"/>
          <w:highlight w:val="none"/>
        </w:rPr>
        <w:t>指单位按有关规定结转到下年或以后年度继续使用的资金。</w:t>
      </w:r>
    </w:p>
    <w:p>
      <w:pPr>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b/>
          <w:bCs/>
          <w:color w:val="auto"/>
          <w:sz w:val="32"/>
          <w:szCs w:val="32"/>
          <w:highlight w:val="none"/>
          <w:lang w:val="en-US" w:eastAsia="zh-CN"/>
        </w:rPr>
        <w:t>9</w:t>
      </w:r>
      <w:r>
        <w:rPr>
          <w:rFonts w:hint="default" w:ascii="Times New Roman" w:hAnsi="Times New Roman" w:eastAsia="仿宋_GB2312" w:cs="Times New Roman"/>
          <w:b/>
          <w:bCs/>
          <w:color w:val="auto"/>
          <w:sz w:val="32"/>
          <w:szCs w:val="32"/>
          <w:highlight w:val="none"/>
        </w:rPr>
        <w:t>.社会保障和就业（</w:t>
      </w:r>
      <w:r>
        <w:rPr>
          <w:rFonts w:hint="default" w:ascii="Times New Roman" w:hAnsi="Times New Roman" w:eastAsia="仿宋_GB2312" w:cs="Times New Roman"/>
          <w:b/>
          <w:bCs/>
          <w:color w:val="auto"/>
          <w:sz w:val="32"/>
          <w:szCs w:val="32"/>
          <w:highlight w:val="none"/>
          <w:lang w:val="en-US" w:eastAsia="zh-CN"/>
        </w:rPr>
        <w:t>208</w:t>
      </w:r>
      <w:r>
        <w:rPr>
          <w:rFonts w:hint="default" w:ascii="Times New Roman" w:hAnsi="Times New Roman" w:eastAsia="仿宋_GB2312" w:cs="Times New Roman"/>
          <w:b/>
          <w:bCs/>
          <w:color w:val="auto"/>
          <w:sz w:val="32"/>
          <w:szCs w:val="32"/>
          <w:highlight w:val="none"/>
        </w:rPr>
        <w:t>类）</w:t>
      </w:r>
      <w:r>
        <w:rPr>
          <w:rFonts w:hint="default" w:ascii="Times New Roman" w:hAnsi="Times New Roman" w:eastAsia="仿宋_GB2312" w:cs="Times New Roman"/>
          <w:b/>
          <w:bCs/>
          <w:color w:val="auto"/>
          <w:sz w:val="32"/>
          <w:szCs w:val="32"/>
          <w:highlight w:val="none"/>
          <w:lang w:eastAsia="zh-CN"/>
        </w:rPr>
        <w:t>行政事业单位离退休</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05</w:t>
      </w:r>
      <w:r>
        <w:rPr>
          <w:rFonts w:hint="default" w:ascii="Times New Roman" w:hAnsi="Times New Roman" w:eastAsia="仿宋_GB2312" w:cs="Times New Roman"/>
          <w:b/>
          <w:bCs/>
          <w:color w:val="auto"/>
          <w:sz w:val="32"/>
          <w:szCs w:val="32"/>
          <w:highlight w:val="none"/>
        </w:rPr>
        <w:t>款）</w:t>
      </w:r>
      <w:r>
        <w:rPr>
          <w:rFonts w:hint="default" w:ascii="Times New Roman" w:hAnsi="Times New Roman" w:eastAsia="仿宋_GB2312" w:cs="Times New Roman"/>
          <w:b/>
          <w:bCs/>
          <w:color w:val="auto"/>
          <w:sz w:val="32"/>
          <w:szCs w:val="32"/>
          <w:highlight w:val="none"/>
          <w:lang w:eastAsia="zh-CN"/>
        </w:rPr>
        <w:t>机关事业单位基本养老保险缴费支出</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05</w:t>
      </w:r>
      <w:r>
        <w:rPr>
          <w:rFonts w:hint="default" w:ascii="Times New Roman" w:hAnsi="Times New Roman" w:eastAsia="仿宋_GB2312" w:cs="Times New Roman"/>
          <w:b/>
          <w:bCs/>
          <w:color w:val="auto"/>
          <w:sz w:val="32"/>
          <w:szCs w:val="32"/>
          <w:highlight w:val="none"/>
        </w:rPr>
        <w:t>项）</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auto"/>
          <w:sz w:val="32"/>
          <w:szCs w:val="32"/>
          <w:highlight w:val="none"/>
          <w:lang w:eastAsia="zh-CN"/>
        </w:rPr>
        <w:t>单位职工养老保险缴费单位部分支出</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auto"/>
          <w:sz w:val="32"/>
          <w:szCs w:val="32"/>
          <w:highlight w:val="none"/>
        </w:rPr>
        <w:t>1</w:t>
      </w:r>
      <w:r>
        <w:rPr>
          <w:rFonts w:hint="eastAsia" w:eastAsia="仿宋_GB2312" w:cs="Times New Roman"/>
          <w:b/>
          <w:bCs/>
          <w:color w:val="auto"/>
          <w:sz w:val="32"/>
          <w:szCs w:val="32"/>
          <w:highlight w:val="none"/>
          <w:lang w:val="en-US" w:eastAsia="zh-CN"/>
        </w:rPr>
        <w:t>0</w:t>
      </w:r>
      <w:r>
        <w:rPr>
          <w:rFonts w:hint="default" w:ascii="Times New Roman" w:hAnsi="Times New Roman" w:eastAsia="仿宋_GB2312" w:cs="Times New Roman"/>
          <w:b/>
          <w:bCs/>
          <w:color w:val="auto"/>
          <w:sz w:val="32"/>
          <w:szCs w:val="32"/>
          <w:highlight w:val="none"/>
        </w:rPr>
        <w:t>.医疗卫生与计划生育（</w:t>
      </w:r>
      <w:r>
        <w:rPr>
          <w:rFonts w:hint="default" w:ascii="Times New Roman" w:hAnsi="Times New Roman" w:eastAsia="仿宋_GB2312" w:cs="Times New Roman"/>
          <w:b/>
          <w:bCs/>
          <w:color w:val="auto"/>
          <w:sz w:val="32"/>
          <w:szCs w:val="32"/>
          <w:highlight w:val="none"/>
          <w:lang w:val="en-US" w:eastAsia="zh-CN"/>
        </w:rPr>
        <w:t>210</w:t>
      </w:r>
      <w:r>
        <w:rPr>
          <w:rFonts w:hint="default" w:ascii="Times New Roman" w:hAnsi="Times New Roman" w:eastAsia="仿宋_GB2312" w:cs="Times New Roman"/>
          <w:b/>
          <w:bCs/>
          <w:color w:val="auto"/>
          <w:sz w:val="32"/>
          <w:szCs w:val="32"/>
          <w:highlight w:val="none"/>
        </w:rPr>
        <w:t>类）</w:t>
      </w:r>
      <w:r>
        <w:rPr>
          <w:rFonts w:hint="default" w:ascii="Times New Roman" w:hAnsi="Times New Roman" w:eastAsia="仿宋_GB2312" w:cs="Times New Roman"/>
          <w:b/>
          <w:bCs/>
          <w:color w:val="auto"/>
          <w:sz w:val="32"/>
          <w:szCs w:val="32"/>
          <w:highlight w:val="none"/>
          <w:lang w:eastAsia="zh-CN"/>
        </w:rPr>
        <w:t>行政事业单位医疗</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11</w:t>
      </w:r>
      <w:r>
        <w:rPr>
          <w:rFonts w:hint="default" w:ascii="Times New Roman" w:hAnsi="Times New Roman" w:eastAsia="仿宋_GB2312" w:cs="Times New Roman"/>
          <w:b/>
          <w:bCs/>
          <w:color w:val="auto"/>
          <w:sz w:val="32"/>
          <w:szCs w:val="32"/>
          <w:highlight w:val="none"/>
        </w:rPr>
        <w:t>款）</w:t>
      </w:r>
      <w:r>
        <w:rPr>
          <w:rFonts w:hint="default" w:ascii="Times New Roman" w:hAnsi="Times New Roman" w:eastAsia="仿宋_GB2312" w:cs="Times New Roman"/>
          <w:b/>
          <w:bCs/>
          <w:color w:val="auto"/>
          <w:sz w:val="32"/>
          <w:szCs w:val="32"/>
          <w:highlight w:val="none"/>
          <w:lang w:eastAsia="zh-CN"/>
        </w:rPr>
        <w:t>事业单位医疗</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02</w:t>
      </w:r>
      <w:r>
        <w:rPr>
          <w:rFonts w:hint="default" w:ascii="Times New Roman" w:hAnsi="Times New Roman" w:eastAsia="仿宋_GB2312" w:cs="Times New Roman"/>
          <w:b/>
          <w:bCs/>
          <w:color w:val="auto"/>
          <w:sz w:val="32"/>
          <w:szCs w:val="32"/>
          <w:highlight w:val="none"/>
        </w:rPr>
        <w:t>项）</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auto"/>
          <w:sz w:val="32"/>
          <w:szCs w:val="32"/>
          <w:highlight w:val="none"/>
          <w:lang w:eastAsia="zh-CN"/>
        </w:rPr>
        <w:t>单位职工医疗保险缴费单位部分支出</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color w:val="000000"/>
          <w:sz w:val="32"/>
          <w:szCs w:val="32"/>
          <w:highlight w:val="none"/>
        </w:rPr>
      </w:pPr>
      <w:r>
        <w:rPr>
          <w:rFonts w:hint="eastAsia" w:eastAsia="仿宋_GB2312" w:cs="Times New Roman"/>
          <w:b/>
          <w:bCs/>
          <w:color w:val="auto"/>
          <w:sz w:val="32"/>
          <w:szCs w:val="32"/>
          <w:highlight w:val="none"/>
          <w:lang w:val="en-US" w:eastAsia="zh-CN"/>
        </w:rPr>
        <w:t>11</w:t>
      </w:r>
      <w:r>
        <w:rPr>
          <w:rFonts w:hint="default" w:ascii="Times New Roman" w:hAnsi="Times New Roman" w:eastAsia="仿宋_GB2312" w:cs="Times New Roman"/>
          <w:b/>
          <w:bCs/>
          <w:color w:val="auto"/>
          <w:sz w:val="32"/>
          <w:szCs w:val="32"/>
          <w:highlight w:val="none"/>
        </w:rPr>
        <w:t>.商业服务业（</w:t>
      </w:r>
      <w:r>
        <w:rPr>
          <w:rFonts w:hint="default" w:ascii="Times New Roman" w:hAnsi="Times New Roman" w:eastAsia="仿宋_GB2312" w:cs="Times New Roman"/>
          <w:b/>
          <w:bCs/>
          <w:color w:val="auto"/>
          <w:sz w:val="32"/>
          <w:szCs w:val="32"/>
          <w:highlight w:val="none"/>
          <w:lang w:val="en-US" w:eastAsia="zh-CN"/>
        </w:rPr>
        <w:t>216</w:t>
      </w:r>
      <w:r>
        <w:rPr>
          <w:rFonts w:hint="default" w:ascii="Times New Roman" w:hAnsi="Times New Roman" w:eastAsia="仿宋_GB2312" w:cs="Times New Roman"/>
          <w:b/>
          <w:bCs/>
          <w:color w:val="auto"/>
          <w:sz w:val="32"/>
          <w:szCs w:val="32"/>
          <w:highlight w:val="none"/>
        </w:rPr>
        <w:t>类）</w:t>
      </w:r>
      <w:r>
        <w:rPr>
          <w:rFonts w:hint="default" w:ascii="Times New Roman" w:hAnsi="Times New Roman" w:eastAsia="仿宋_GB2312" w:cs="Times New Roman"/>
          <w:b/>
          <w:bCs/>
          <w:color w:val="auto"/>
          <w:sz w:val="32"/>
          <w:szCs w:val="32"/>
          <w:highlight w:val="none"/>
          <w:lang w:eastAsia="zh-CN"/>
        </w:rPr>
        <w:t>商业流通事务</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02</w:t>
      </w:r>
      <w:r>
        <w:rPr>
          <w:rFonts w:hint="default" w:ascii="Times New Roman" w:hAnsi="Times New Roman" w:eastAsia="仿宋_GB2312" w:cs="Times New Roman"/>
          <w:b/>
          <w:bCs/>
          <w:color w:val="auto"/>
          <w:sz w:val="32"/>
          <w:szCs w:val="32"/>
          <w:highlight w:val="none"/>
        </w:rPr>
        <w:t>款）</w:t>
      </w:r>
      <w:r>
        <w:rPr>
          <w:rFonts w:hint="default" w:ascii="Times New Roman" w:hAnsi="Times New Roman" w:eastAsia="仿宋_GB2312" w:cs="Times New Roman"/>
          <w:b/>
          <w:bCs/>
          <w:color w:val="auto"/>
          <w:sz w:val="32"/>
          <w:szCs w:val="32"/>
          <w:highlight w:val="none"/>
          <w:lang w:val="en-US" w:eastAsia="zh-CN"/>
        </w:rPr>
        <w:t>行政运行</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01</w:t>
      </w:r>
      <w:r>
        <w:rPr>
          <w:rFonts w:hint="default" w:ascii="Times New Roman" w:hAnsi="Times New Roman" w:eastAsia="仿宋_GB2312" w:cs="Times New Roman"/>
          <w:b/>
          <w:bCs/>
          <w:color w:val="auto"/>
          <w:sz w:val="32"/>
          <w:szCs w:val="32"/>
          <w:highlight w:val="none"/>
        </w:rPr>
        <w:t>项）</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auto"/>
          <w:sz w:val="32"/>
          <w:szCs w:val="32"/>
          <w:highlight w:val="none"/>
          <w:lang w:eastAsia="zh-CN"/>
        </w:rPr>
        <w:t>我单位行政运行人员和基本公用经费支出</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b/>
          <w:bCs/>
          <w:color w:val="auto"/>
          <w:sz w:val="32"/>
          <w:szCs w:val="32"/>
          <w:highlight w:val="none"/>
          <w:lang w:val="en-US" w:eastAsia="zh-CN"/>
        </w:rPr>
        <w:t>12</w:t>
      </w:r>
      <w:r>
        <w:rPr>
          <w:rFonts w:hint="default" w:ascii="Times New Roman" w:hAnsi="Times New Roman" w:eastAsia="仿宋_GB2312" w:cs="Times New Roman"/>
          <w:b/>
          <w:bCs/>
          <w:color w:val="auto"/>
          <w:sz w:val="32"/>
          <w:szCs w:val="32"/>
          <w:highlight w:val="none"/>
        </w:rPr>
        <w:t>住房保障（</w:t>
      </w:r>
      <w:r>
        <w:rPr>
          <w:rFonts w:hint="default" w:ascii="Times New Roman" w:hAnsi="Times New Roman" w:eastAsia="仿宋_GB2312" w:cs="Times New Roman"/>
          <w:b/>
          <w:bCs/>
          <w:color w:val="auto"/>
          <w:sz w:val="32"/>
          <w:szCs w:val="32"/>
          <w:highlight w:val="none"/>
          <w:lang w:val="en-US" w:eastAsia="zh-CN"/>
        </w:rPr>
        <w:t>221</w:t>
      </w:r>
      <w:r>
        <w:rPr>
          <w:rFonts w:hint="default" w:ascii="Times New Roman" w:hAnsi="Times New Roman" w:eastAsia="仿宋_GB2312" w:cs="Times New Roman"/>
          <w:b/>
          <w:bCs/>
          <w:color w:val="auto"/>
          <w:sz w:val="32"/>
          <w:szCs w:val="32"/>
          <w:highlight w:val="none"/>
        </w:rPr>
        <w:t>类）</w:t>
      </w:r>
      <w:r>
        <w:rPr>
          <w:rFonts w:hint="default" w:ascii="Times New Roman" w:hAnsi="Times New Roman" w:eastAsia="仿宋_GB2312" w:cs="Times New Roman"/>
          <w:b/>
          <w:bCs/>
          <w:color w:val="auto"/>
          <w:sz w:val="32"/>
          <w:szCs w:val="32"/>
          <w:highlight w:val="none"/>
          <w:lang w:eastAsia="zh-CN"/>
        </w:rPr>
        <w:t>住房改革支出</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02</w:t>
      </w:r>
      <w:r>
        <w:rPr>
          <w:rFonts w:hint="default" w:ascii="Times New Roman" w:hAnsi="Times New Roman" w:eastAsia="仿宋_GB2312" w:cs="Times New Roman"/>
          <w:b/>
          <w:bCs/>
          <w:color w:val="auto"/>
          <w:sz w:val="32"/>
          <w:szCs w:val="32"/>
          <w:highlight w:val="none"/>
        </w:rPr>
        <w:t>款）</w:t>
      </w:r>
      <w:r>
        <w:rPr>
          <w:rFonts w:hint="default" w:ascii="Times New Roman" w:hAnsi="Times New Roman" w:eastAsia="仿宋_GB2312" w:cs="Times New Roman"/>
          <w:b/>
          <w:bCs/>
          <w:color w:val="auto"/>
          <w:sz w:val="32"/>
          <w:szCs w:val="32"/>
          <w:highlight w:val="none"/>
          <w:lang w:eastAsia="zh-CN"/>
        </w:rPr>
        <w:t>住房公积金</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01</w:t>
      </w:r>
      <w:r>
        <w:rPr>
          <w:rFonts w:hint="default" w:ascii="Times New Roman" w:hAnsi="Times New Roman" w:eastAsia="仿宋_GB2312" w:cs="Times New Roman"/>
          <w:b/>
          <w:bCs/>
          <w:color w:val="auto"/>
          <w:sz w:val="32"/>
          <w:szCs w:val="32"/>
          <w:highlight w:val="none"/>
        </w:rPr>
        <w:t>项）</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auto"/>
          <w:sz w:val="32"/>
          <w:szCs w:val="32"/>
          <w:highlight w:val="none"/>
          <w:lang w:eastAsia="zh-CN"/>
        </w:rPr>
        <w:t>单位职工住房公积金单位部分支出</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color w:val="auto"/>
          <w:sz w:val="32"/>
          <w:szCs w:val="32"/>
        </w:rPr>
      </w:pPr>
      <w:r>
        <w:rPr>
          <w:rFonts w:hint="eastAsia" w:eastAsia="仿宋_GB2312" w:cs="Times New Roman"/>
          <w:b/>
          <w:bCs/>
          <w:color w:val="auto"/>
          <w:sz w:val="32"/>
          <w:szCs w:val="32"/>
          <w:lang w:val="en-US" w:eastAsia="zh-CN"/>
        </w:rPr>
        <w:t>13</w:t>
      </w:r>
      <w:r>
        <w:rPr>
          <w:rFonts w:hint="default" w:ascii="Times New Roman" w:hAnsi="Times New Roman" w:eastAsia="仿宋_GB2312" w:cs="Times New Roman"/>
          <w:b/>
          <w:bCs/>
          <w:color w:val="auto"/>
          <w:sz w:val="32"/>
          <w:szCs w:val="32"/>
        </w:rPr>
        <w:t>.基本支出：</w:t>
      </w:r>
      <w:r>
        <w:rPr>
          <w:rFonts w:hint="default" w:ascii="Times New Roman" w:hAnsi="Times New Roman" w:eastAsia="仿宋_GB2312" w:cs="Times New Roman"/>
          <w:color w:val="auto"/>
          <w:sz w:val="32"/>
          <w:szCs w:val="32"/>
        </w:rPr>
        <w:t>指为保障机构正常运转、完成日常工作任务而发生的人员支出和公用支出。</w:t>
      </w:r>
    </w:p>
    <w:p>
      <w:pPr>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color w:val="000000"/>
          <w:sz w:val="32"/>
          <w:szCs w:val="32"/>
        </w:rPr>
      </w:pPr>
      <w:r>
        <w:rPr>
          <w:rFonts w:hint="eastAsia" w:eastAsia="仿宋_GB2312" w:cs="Times New Roman"/>
          <w:b/>
          <w:bCs/>
          <w:color w:val="000000"/>
          <w:sz w:val="32"/>
          <w:szCs w:val="32"/>
          <w:lang w:val="en-US" w:eastAsia="zh-CN"/>
        </w:rPr>
        <w:t>14</w:t>
      </w:r>
      <w:r>
        <w:rPr>
          <w:rFonts w:hint="default" w:ascii="Times New Roman" w:hAnsi="Times New Roman" w:eastAsia="仿宋_GB2312" w:cs="Times New Roman"/>
          <w:b/>
          <w:bCs/>
          <w:color w:val="000000"/>
          <w:sz w:val="32"/>
          <w:szCs w:val="32"/>
        </w:rPr>
        <w:t>项目支出：</w:t>
      </w:r>
      <w:r>
        <w:rPr>
          <w:rFonts w:hint="default" w:ascii="Times New Roman" w:hAnsi="Times New Roman" w:eastAsia="仿宋_GB2312" w:cs="Times New Roman"/>
          <w:color w:val="000000"/>
          <w:sz w:val="32"/>
          <w:szCs w:val="32"/>
        </w:rPr>
        <w:t xml:space="preserve">指在基本支出之外为完成特定行政任务和事业发展目标所发生的支出。 </w:t>
      </w:r>
    </w:p>
    <w:p>
      <w:pPr>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color w:val="000000"/>
          <w:sz w:val="32"/>
          <w:szCs w:val="32"/>
        </w:rPr>
      </w:pPr>
      <w:r>
        <w:rPr>
          <w:rFonts w:hint="eastAsia" w:eastAsia="仿宋_GB2312" w:cs="Times New Roman"/>
          <w:b/>
          <w:bCs/>
          <w:color w:val="000000"/>
          <w:sz w:val="32"/>
          <w:szCs w:val="32"/>
          <w:lang w:val="en-US" w:eastAsia="zh-CN"/>
        </w:rPr>
        <w:t>15</w:t>
      </w:r>
      <w:r>
        <w:rPr>
          <w:rFonts w:hint="default" w:ascii="Times New Roman" w:hAnsi="Times New Roman" w:eastAsia="仿宋_GB2312" w:cs="Times New Roman"/>
          <w:b/>
          <w:bCs/>
          <w:color w:val="000000"/>
          <w:sz w:val="32"/>
          <w:szCs w:val="32"/>
        </w:rPr>
        <w:t>.经营支出：</w:t>
      </w:r>
      <w:r>
        <w:rPr>
          <w:rFonts w:hint="default" w:ascii="Times New Roman" w:hAnsi="Times New Roman" w:eastAsia="仿宋_GB2312" w:cs="Times New Roman"/>
          <w:color w:val="000000"/>
          <w:sz w:val="32"/>
          <w:szCs w:val="32"/>
        </w:rPr>
        <w:t>指事业单位在专业业务活动及其辅助活动之外开展非独立核算经营活动发生的支出。</w:t>
      </w:r>
    </w:p>
    <w:p>
      <w:pPr>
        <w:pStyle w:val="27"/>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16</w:t>
      </w:r>
      <w:r>
        <w:rPr>
          <w:rFonts w:hint="default" w:ascii="Times New Roman" w:hAnsi="Times New Roman" w:eastAsia="仿宋_GB2312" w:cs="Times New Roman"/>
          <w:b/>
          <w:bCs/>
          <w:color w:val="auto"/>
          <w:sz w:val="32"/>
          <w:szCs w:val="32"/>
        </w:rPr>
        <w:t>.“三公”经费：指部门用财政拨款安排的因公出国（境）费、公务用车购置及运行费和公务接待费</w:t>
      </w:r>
      <w:r>
        <w:rPr>
          <w:rFonts w:hint="default" w:ascii="Times New Roman" w:hAnsi="Times New Roman" w:eastAsia="仿宋_GB2312" w:cs="Times New Roman"/>
          <w:color w:val="auto"/>
          <w:sz w:val="32"/>
          <w:szCs w:val="32"/>
        </w:rPr>
        <w:t>。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3" w:firstLineChars="200"/>
        <w:rPr>
          <w:rFonts w:ascii="仿宋" w:hAnsi="仿宋" w:eastAsia="仿宋"/>
          <w:b/>
          <w:color w:val="auto"/>
          <w:sz w:val="32"/>
          <w:szCs w:val="32"/>
          <w:highlight w:val="none"/>
        </w:rPr>
      </w:pPr>
      <w:r>
        <w:rPr>
          <w:rFonts w:hint="eastAsia" w:ascii="Times New Roman" w:hAnsi="Times New Roman" w:eastAsia="仿宋_GB2312" w:cs="Times New Roman"/>
          <w:b/>
          <w:bCs/>
          <w:color w:val="auto"/>
          <w:sz w:val="32"/>
          <w:szCs w:val="32"/>
          <w:lang w:val="en-US" w:eastAsia="zh-CN"/>
        </w:rPr>
        <w:t>17</w:t>
      </w:r>
      <w:r>
        <w:rPr>
          <w:rFonts w:hint="default" w:ascii="Times New Roman" w:hAnsi="Times New Roman" w:eastAsia="仿宋_GB2312" w:cs="Times New Roman"/>
          <w:b/>
          <w:bCs/>
          <w:color w:val="auto"/>
          <w:sz w:val="32"/>
          <w:szCs w:val="32"/>
        </w:rPr>
        <w:t>.机关运行经费：</w:t>
      </w:r>
      <w:r>
        <w:rPr>
          <w:rFonts w:hint="default" w:ascii="Times New Roman" w:hAnsi="Times New Roman" w:eastAsia="仿宋_GB2312" w:cs="Times New Roman"/>
          <w:color w:val="auto"/>
          <w:sz w:val="32"/>
          <w:szCs w:val="32"/>
        </w:rPr>
        <w:t>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Style w:val="29"/>
          <w:rFonts w:hint="eastAsia"/>
        </w:rPr>
        <w:sectPr>
          <w:pgSz w:w="11906" w:h="16838"/>
          <w:pgMar w:top="2098" w:right="1474" w:bottom="1984" w:left="1587" w:header="851" w:footer="680" w:gutter="0"/>
          <w:pgNumType w:fmt="decimal"/>
          <w:cols w:space="0" w:num="1"/>
          <w:rtlGutter w:val="0"/>
          <w:docGrid w:type="lines" w:linePitch="312" w:charSpace="0"/>
        </w:sectPr>
      </w:pPr>
      <w:bookmarkStart w:id="73" w:name="_Toc15396614"/>
      <w:bookmarkStart w:id="74" w:name="_Toc15377226"/>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Style w:val="29"/>
          <w:rFonts w:hint="eastAsia" w:ascii="黑体" w:hAnsi="黑体" w:eastAsia="黑体"/>
          <w:b w:val="0"/>
          <w:color w:val="auto"/>
          <w:highlight w:val="none"/>
          <w:lang w:eastAsia="zh-CN"/>
        </w:rPr>
      </w:pPr>
      <w:bookmarkStart w:id="75" w:name="_Toc19653"/>
      <w:r>
        <w:rPr>
          <w:rStyle w:val="29"/>
          <w:rFonts w:hint="eastAsia"/>
        </w:rPr>
        <w:t>第四部分 附件</w:t>
      </w:r>
      <w:bookmarkEnd w:id="73"/>
      <w:bookmarkEnd w:id="75"/>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rPr>
        <w:t>附件</w:t>
      </w:r>
      <w:r>
        <w:rPr>
          <w:rFonts w:hint="eastAsia"/>
          <w:lang w:val="en-US" w:eastAsia="zh-CN"/>
        </w:rPr>
        <w:t>1</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方正小标宋简体" w:hAnsi="方正小标宋简体" w:eastAsia="方正小标宋简体" w:cs="方正小标宋简体"/>
          <w:b w:val="0"/>
          <w:bCs/>
          <w:color w:val="auto"/>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方正小标宋简体" w:hAnsi="方正小标宋简体" w:eastAsia="方正小标宋简体" w:cs="方正小标宋简体"/>
          <w:b w:val="0"/>
          <w:bCs/>
          <w:color w:val="auto"/>
          <w:sz w:val="44"/>
          <w:szCs w:val="44"/>
          <w:highlight w:val="none"/>
          <w:shd w:val="clear" w:color="auto" w:fill="FFFFFF"/>
        </w:rPr>
      </w:pPr>
      <w:r>
        <w:rPr>
          <w:rFonts w:hint="eastAsia" w:ascii="方正小标宋简体" w:hAnsi="方正小标宋简体" w:eastAsia="方正小标宋简体" w:cs="方正小标宋简体"/>
          <w:b w:val="0"/>
          <w:bCs/>
          <w:color w:val="auto"/>
          <w:sz w:val="44"/>
          <w:szCs w:val="44"/>
          <w:highlight w:val="none"/>
          <w:shd w:val="clear" w:color="auto" w:fill="FFFFFF"/>
        </w:rPr>
        <w:t>20</w:t>
      </w:r>
      <w:r>
        <w:rPr>
          <w:rFonts w:hint="eastAsia" w:ascii="方正小标宋简体" w:hAnsi="方正小标宋简体" w:eastAsia="方正小标宋简体" w:cs="方正小标宋简体"/>
          <w:b w:val="0"/>
          <w:bCs/>
          <w:color w:val="auto"/>
          <w:sz w:val="44"/>
          <w:szCs w:val="44"/>
          <w:highlight w:val="none"/>
          <w:shd w:val="clear" w:color="auto" w:fill="FFFFFF"/>
          <w:lang w:val="en-US" w:eastAsia="zh-CN"/>
        </w:rPr>
        <w:t>22</w:t>
      </w:r>
      <w:r>
        <w:rPr>
          <w:rFonts w:hint="eastAsia" w:ascii="方正小标宋简体" w:hAnsi="方正小标宋简体" w:eastAsia="方正小标宋简体" w:cs="方正小标宋简体"/>
          <w:b w:val="0"/>
          <w:bCs/>
          <w:color w:val="auto"/>
          <w:sz w:val="44"/>
          <w:szCs w:val="44"/>
          <w:highlight w:val="none"/>
          <w:shd w:val="clear" w:color="auto" w:fill="FFFFFF"/>
        </w:rPr>
        <w:t>年部门整体绩效评价报告</w:t>
      </w:r>
    </w:p>
    <w:p>
      <w:pPr>
        <w:pStyle w:val="2"/>
        <w:rPr>
          <w:rFonts w:hint="eastAsia"/>
        </w:rPr>
      </w:pPr>
    </w:p>
    <w:p>
      <w:pPr>
        <w:keepNext w:val="0"/>
        <w:keepLines w:val="0"/>
        <w:pageBreakBefore w:val="0"/>
        <w:widowControl w:val="0"/>
        <w:shd w:val="clear" w:color="auto" w:fill="auto"/>
        <w:kinsoku/>
        <w:wordWrap/>
        <w:overflowPunct/>
        <w:topLinePunct w:val="0"/>
        <w:autoSpaceDE/>
        <w:autoSpaceDN/>
        <w:bidi w:val="0"/>
        <w:adjustRightInd/>
        <w:snapToGrid w:val="0"/>
        <w:spacing w:line="576" w:lineRule="exact"/>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根据</w:t>
      </w:r>
      <w:r>
        <w:rPr>
          <w:rFonts w:hint="default" w:ascii="Times New Roman" w:hAnsi="Times New Roman" w:eastAsia="仿宋_GB2312" w:cs="Times New Roman"/>
          <w:b w:val="0"/>
          <w:bCs w:val="0"/>
          <w:sz w:val="32"/>
          <w:szCs w:val="32"/>
          <w:lang w:eastAsia="zh-CN"/>
        </w:rPr>
        <w:t>昭财</w:t>
      </w:r>
      <w:r>
        <w:rPr>
          <w:rFonts w:hint="default" w:ascii="Times New Roman" w:hAnsi="Times New Roman" w:eastAsia="仿宋_GB2312" w:cs="Times New Roman"/>
          <w:b w:val="0"/>
          <w:bCs w:val="0"/>
          <w:sz w:val="32"/>
          <w:szCs w:val="32"/>
          <w:lang w:val="en-US" w:eastAsia="zh-CN"/>
        </w:rPr>
        <w:t>发</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202</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12</w:t>
      </w:r>
      <w:r>
        <w:rPr>
          <w:rFonts w:hint="default" w:ascii="Times New Roman" w:hAnsi="Times New Roman" w:eastAsia="仿宋_GB2312" w:cs="Times New Roman"/>
          <w:b w:val="0"/>
          <w:bCs w:val="0"/>
          <w:sz w:val="32"/>
          <w:szCs w:val="32"/>
          <w:lang w:val="en-US" w:eastAsia="zh-CN"/>
        </w:rPr>
        <w:t>号文件精神，</w:t>
      </w:r>
      <w:r>
        <w:rPr>
          <w:rFonts w:hint="default" w:ascii="Times New Roman" w:hAnsi="Times New Roman" w:eastAsia="仿宋_GB2312" w:cs="Times New Roman"/>
          <w:b w:val="0"/>
          <w:bCs w:val="0"/>
          <w:sz w:val="32"/>
          <w:szCs w:val="32"/>
          <w:lang w:eastAsia="zh-CN"/>
        </w:rPr>
        <w:t>我社积极组织对</w:t>
      </w:r>
      <w:r>
        <w:rPr>
          <w:rFonts w:hint="default" w:ascii="Times New Roman" w:hAnsi="Times New Roman" w:eastAsia="仿宋_GB2312" w:cs="Times New Roman"/>
          <w:b w:val="0"/>
          <w:bCs w:val="0"/>
          <w:sz w:val="32"/>
          <w:szCs w:val="32"/>
          <w:lang w:val="en-US" w:eastAsia="zh-CN"/>
        </w:rPr>
        <w:t>202</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年度部门</w:t>
      </w:r>
      <w:r>
        <w:rPr>
          <w:rFonts w:hint="eastAsia" w:ascii="Times New Roman" w:hAnsi="Times New Roman" w:eastAsia="仿宋_GB2312" w:cs="Times New Roman"/>
          <w:b w:val="0"/>
          <w:bCs w:val="0"/>
          <w:sz w:val="32"/>
          <w:szCs w:val="32"/>
          <w:lang w:val="en-US" w:eastAsia="zh-CN"/>
        </w:rPr>
        <w:t>整体支出</w:t>
      </w:r>
      <w:r>
        <w:rPr>
          <w:rFonts w:hint="default" w:ascii="Times New Roman" w:hAnsi="Times New Roman" w:eastAsia="仿宋_GB2312" w:cs="Times New Roman"/>
          <w:b w:val="0"/>
          <w:bCs w:val="0"/>
          <w:sz w:val="32"/>
          <w:szCs w:val="32"/>
        </w:rPr>
        <w:t>绩效</w:t>
      </w:r>
      <w:r>
        <w:rPr>
          <w:rFonts w:hint="eastAsia" w:ascii="Times New Roman" w:hAnsi="Times New Roman" w:eastAsia="仿宋_GB2312" w:cs="Times New Roman"/>
          <w:b w:val="0"/>
          <w:bCs w:val="0"/>
          <w:sz w:val="32"/>
          <w:szCs w:val="32"/>
          <w:lang w:eastAsia="zh-CN"/>
        </w:rPr>
        <w:t>自</w:t>
      </w:r>
      <w:r>
        <w:rPr>
          <w:rFonts w:hint="default" w:ascii="Times New Roman" w:hAnsi="Times New Roman" w:eastAsia="仿宋_GB2312" w:cs="Times New Roman"/>
          <w:b w:val="0"/>
          <w:bCs w:val="0"/>
          <w:sz w:val="32"/>
          <w:szCs w:val="32"/>
        </w:rPr>
        <w:t>评。通过对部门财务管理所涉及的部门预算、部门决算、收入、支出、</w:t>
      </w:r>
      <w:r>
        <w:rPr>
          <w:rFonts w:hint="eastAsia" w:ascii="Times New Roman" w:hAnsi="Times New Roman" w:eastAsia="仿宋_GB2312" w:cs="Times New Roman"/>
          <w:b w:val="0"/>
          <w:bCs w:val="0"/>
          <w:sz w:val="32"/>
          <w:szCs w:val="32"/>
          <w:lang w:val="en-US" w:eastAsia="zh-CN"/>
        </w:rPr>
        <w:t>部门整体预算绩效管理情况</w:t>
      </w:r>
      <w:r>
        <w:rPr>
          <w:rFonts w:hint="default" w:ascii="Times New Roman" w:hAnsi="Times New Roman" w:eastAsia="仿宋_GB2312" w:cs="Times New Roman"/>
          <w:b w:val="0"/>
          <w:bCs w:val="0"/>
          <w:sz w:val="32"/>
          <w:szCs w:val="32"/>
        </w:rPr>
        <w:t>等资料进行检查、整理、分析，现将</w:t>
      </w:r>
      <w:r>
        <w:rPr>
          <w:rFonts w:hint="default" w:ascii="Times New Roman" w:hAnsi="Times New Roman" w:eastAsia="仿宋_GB2312" w:cs="Times New Roman"/>
          <w:b w:val="0"/>
          <w:bCs w:val="0"/>
          <w:sz w:val="32"/>
          <w:szCs w:val="32"/>
          <w:lang w:eastAsia="zh-CN"/>
        </w:rPr>
        <w:t>我社</w:t>
      </w:r>
      <w:r>
        <w:rPr>
          <w:rFonts w:hint="default" w:ascii="Times New Roman" w:hAnsi="Times New Roman" w:eastAsia="仿宋_GB2312" w:cs="Times New Roman"/>
          <w:b w:val="0"/>
          <w:bCs w:val="0"/>
          <w:sz w:val="32"/>
          <w:szCs w:val="32"/>
        </w:rPr>
        <w:t>20</w:t>
      </w:r>
      <w:r>
        <w:rPr>
          <w:rFonts w:hint="default" w:ascii="Times New Roman" w:hAnsi="Times New Roman" w:eastAsia="仿宋_GB2312" w:cs="Times New Roman"/>
          <w:b w:val="0"/>
          <w:bCs w:val="0"/>
          <w:sz w:val="32"/>
          <w:szCs w:val="32"/>
          <w:lang w:val="en-US" w:eastAsia="zh-CN"/>
        </w:rPr>
        <w:t>2</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年度部门</w:t>
      </w:r>
      <w:r>
        <w:rPr>
          <w:rFonts w:hint="eastAsia" w:ascii="Times New Roman" w:hAnsi="Times New Roman" w:eastAsia="仿宋_GB2312" w:cs="Times New Roman"/>
          <w:b w:val="0"/>
          <w:bCs w:val="0"/>
          <w:sz w:val="32"/>
          <w:szCs w:val="32"/>
          <w:lang w:eastAsia="zh-CN"/>
        </w:rPr>
        <w:t>整体支出</w:t>
      </w:r>
      <w:r>
        <w:rPr>
          <w:rFonts w:hint="default" w:ascii="Times New Roman" w:hAnsi="Times New Roman" w:eastAsia="仿宋_GB2312" w:cs="Times New Roman"/>
          <w:b w:val="0"/>
          <w:bCs w:val="0"/>
          <w:sz w:val="32"/>
          <w:szCs w:val="32"/>
        </w:rPr>
        <w:t>绩效</w:t>
      </w:r>
      <w:r>
        <w:rPr>
          <w:rFonts w:hint="default" w:ascii="Times New Roman" w:hAnsi="Times New Roman" w:eastAsia="仿宋_GB2312" w:cs="Times New Roman"/>
          <w:b w:val="0"/>
          <w:bCs w:val="0"/>
          <w:sz w:val="32"/>
          <w:szCs w:val="32"/>
          <w:lang w:eastAsia="zh-CN"/>
        </w:rPr>
        <w:t>自</w:t>
      </w:r>
      <w:r>
        <w:rPr>
          <w:rFonts w:hint="default" w:ascii="Times New Roman" w:hAnsi="Times New Roman" w:eastAsia="仿宋_GB2312" w:cs="Times New Roman"/>
          <w:b w:val="0"/>
          <w:bCs w:val="0"/>
          <w:sz w:val="32"/>
          <w:szCs w:val="32"/>
        </w:rPr>
        <w:t>评情况报告如下：</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6" w:lineRule="exact"/>
        <w:ind w:right="0" w:rightChars="0" w:firstLine="672" w:firstLineChars="200"/>
        <w:textAlignment w:val="auto"/>
        <w:rPr>
          <w:rFonts w:hint="eastAsia" w:ascii="Times New Roman" w:hAnsi="Times New Roman" w:eastAsia="黑体" w:cs="Times New Roman"/>
          <w:b w:val="0"/>
          <w:bCs w:val="0"/>
          <w:i w:val="0"/>
          <w:caps w:val="0"/>
          <w:color w:val="000000"/>
          <w:spacing w:val="8"/>
          <w:sz w:val="32"/>
          <w:szCs w:val="32"/>
          <w:shd w:val="clear" w:color="auto" w:fill="FFFFFF"/>
        </w:rPr>
      </w:pPr>
      <w:r>
        <w:rPr>
          <w:rFonts w:hint="eastAsia" w:ascii="Times New Roman" w:hAnsi="Times New Roman" w:eastAsia="黑体" w:cs="Times New Roman"/>
          <w:b w:val="0"/>
          <w:bCs w:val="0"/>
          <w:i w:val="0"/>
          <w:caps w:val="0"/>
          <w:color w:val="000000"/>
          <w:spacing w:val="8"/>
          <w:sz w:val="32"/>
          <w:szCs w:val="32"/>
          <w:shd w:val="clear" w:color="auto" w:fill="FFFFFF"/>
        </w:rPr>
        <w:t>一、预算单位概况</w:t>
      </w:r>
    </w:p>
    <w:p>
      <w:pPr>
        <w:ind w:firstLine="640" w:firstLineChars="200"/>
        <w:rPr>
          <w:rFonts w:hint="eastAsia" w:ascii="华文楷体" w:hAnsi="华文楷体" w:eastAsia="华文楷体" w:cs="华文楷体"/>
          <w:sz w:val="32"/>
          <w:szCs w:val="32"/>
        </w:rPr>
      </w:pPr>
      <w:r>
        <w:rPr>
          <w:rFonts w:hint="eastAsia" w:ascii="华文楷体" w:hAnsi="华文楷体" w:eastAsia="华文楷体" w:cs="华文楷体"/>
          <w:sz w:val="32"/>
          <w:szCs w:val="32"/>
          <w:lang w:eastAsia="zh-CN"/>
        </w:rPr>
        <w:t>（</w:t>
      </w:r>
      <w:r>
        <w:rPr>
          <w:rFonts w:hint="eastAsia" w:ascii="华文楷体" w:hAnsi="华文楷体" w:eastAsia="华文楷体" w:cs="华文楷体"/>
          <w:sz w:val="32"/>
          <w:szCs w:val="32"/>
          <w:lang w:val="en-US" w:eastAsia="zh-CN"/>
        </w:rPr>
        <w:t>一</w:t>
      </w:r>
      <w:r>
        <w:rPr>
          <w:rFonts w:hint="eastAsia" w:ascii="华文楷体" w:hAnsi="华文楷体" w:eastAsia="华文楷体" w:cs="华文楷体"/>
          <w:sz w:val="32"/>
          <w:szCs w:val="32"/>
          <w:lang w:eastAsia="zh-CN"/>
        </w:rPr>
        <w:t>）</w:t>
      </w:r>
      <w:r>
        <w:rPr>
          <w:rFonts w:hint="eastAsia" w:ascii="华文楷体" w:hAnsi="华文楷体" w:eastAsia="华文楷体" w:cs="华文楷体"/>
          <w:sz w:val="32"/>
          <w:szCs w:val="32"/>
        </w:rPr>
        <w:t>机构组成</w:t>
      </w:r>
    </w:p>
    <w:p>
      <w:pPr>
        <w:ind w:firstLine="640" w:firstLineChars="200"/>
        <w:rPr>
          <w:rFonts w:hint="default" w:ascii="Times New Roman" w:hAnsi="Times New Roman" w:eastAsia="仿宋_GB2312" w:cs="Times New Roman"/>
          <w:b w:val="0"/>
          <w:bCs w:val="0"/>
          <w:color w:val="000000"/>
          <w:sz w:val="32"/>
          <w:szCs w:val="32"/>
          <w:lang w:eastAsia="zh-CN"/>
        </w:rPr>
      </w:pPr>
      <w:r>
        <w:rPr>
          <w:rFonts w:hint="eastAsia" w:ascii="Times New Roman" w:hAnsi="Times New Roman" w:eastAsia="仿宋_GB2312" w:cs="Times New Roman"/>
          <w:b w:val="0"/>
          <w:bCs w:val="0"/>
          <w:color w:val="000000"/>
          <w:sz w:val="32"/>
          <w:szCs w:val="32"/>
          <w:lang w:val="en-US" w:eastAsia="zh-CN"/>
        </w:rPr>
        <w:t>根据《中共广元市昭化区委广元市昭化区人民政府关于印发&lt;广元市昭化区机构改革方案&gt;和&lt;广元市昭化区机构改革方案的实施意见&gt;的通知》（昭委发</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20</w:t>
      </w:r>
      <w:r>
        <w:rPr>
          <w:rFonts w:hint="eastAsia" w:ascii="Times New Roman" w:hAnsi="Times New Roman" w:eastAsia="仿宋_GB2312" w:cs="Times New Roman"/>
          <w:b w:val="0"/>
          <w:bCs w:val="0"/>
          <w:sz w:val="32"/>
          <w:szCs w:val="32"/>
          <w:lang w:val="en-US" w:eastAsia="zh-CN"/>
        </w:rPr>
        <w:t>19</w:t>
      </w: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val="en-US" w:eastAsia="zh-CN"/>
        </w:rPr>
        <w:t>号</w:t>
      </w:r>
      <w:r>
        <w:rPr>
          <w:rFonts w:hint="eastAsia" w:ascii="Times New Roman" w:hAnsi="Times New Roman" w:eastAsia="仿宋_GB2312" w:cs="Times New Roman"/>
          <w:b w:val="0"/>
          <w:bCs w:val="0"/>
          <w:color w:val="000000"/>
          <w:sz w:val="32"/>
          <w:szCs w:val="32"/>
          <w:lang w:val="en-US" w:eastAsia="zh-CN"/>
        </w:rPr>
        <w:t>）精神，制定三定方案，</w:t>
      </w:r>
      <w:r>
        <w:rPr>
          <w:rFonts w:hint="default" w:ascii="Times New Roman" w:hAnsi="Times New Roman" w:eastAsia="仿宋_GB2312" w:cs="Times New Roman"/>
          <w:b w:val="0"/>
          <w:bCs w:val="0"/>
          <w:color w:val="000000"/>
          <w:sz w:val="32"/>
          <w:szCs w:val="32"/>
        </w:rPr>
        <w:t>区供销联社是参照公务员法管理的事业单位，</w:t>
      </w:r>
      <w:r>
        <w:rPr>
          <w:rFonts w:hint="default" w:ascii="Times New Roman" w:hAnsi="Times New Roman" w:eastAsia="仿宋_GB2312" w:cs="Times New Roman"/>
          <w:b w:val="0"/>
          <w:bCs w:val="0"/>
          <w:color w:val="000000"/>
          <w:sz w:val="32"/>
          <w:szCs w:val="32"/>
          <w:lang w:eastAsia="zh-CN"/>
        </w:rPr>
        <w:t>属一级预算单位</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内设机构</w:t>
      </w:r>
      <w:r>
        <w:rPr>
          <w:rFonts w:hint="default" w:ascii="Times New Roman" w:hAnsi="Times New Roman" w:eastAsia="仿宋_GB2312" w:cs="Times New Roman"/>
          <w:b w:val="0"/>
          <w:bCs w:val="0"/>
          <w:color w:val="000000"/>
          <w:sz w:val="32"/>
          <w:szCs w:val="32"/>
          <w:lang w:val="en-US" w:eastAsia="zh-CN"/>
        </w:rPr>
        <w:t>三</w:t>
      </w:r>
      <w:r>
        <w:rPr>
          <w:rFonts w:hint="default" w:ascii="Times New Roman" w:hAnsi="Times New Roman" w:eastAsia="仿宋_GB2312" w:cs="Times New Roman"/>
          <w:b w:val="0"/>
          <w:bCs w:val="0"/>
          <w:color w:val="000000"/>
          <w:sz w:val="32"/>
          <w:szCs w:val="32"/>
        </w:rPr>
        <w:t>股一室</w:t>
      </w:r>
      <w:r>
        <w:rPr>
          <w:rFonts w:hint="default" w:ascii="Times New Roman" w:hAnsi="Times New Roman" w:eastAsia="仿宋_GB2312" w:cs="Times New Roman"/>
          <w:b w:val="0"/>
          <w:bCs w:val="0"/>
          <w:color w:val="000000"/>
          <w:sz w:val="32"/>
          <w:szCs w:val="32"/>
          <w:lang w:eastAsia="zh-CN"/>
        </w:rPr>
        <w:t>（办公室</w:t>
      </w:r>
      <w:r>
        <w:rPr>
          <w:rFonts w:hint="eastAsia" w:ascii="Times New Roman" w:hAnsi="Times New Roman" w:eastAsia="仿宋_GB2312" w:cs="Times New Roman"/>
          <w:b w:val="0"/>
          <w:bCs w:val="0"/>
          <w:color w:val="000000"/>
          <w:sz w:val="32"/>
          <w:szCs w:val="32"/>
          <w:lang w:eastAsia="zh-CN"/>
        </w:rPr>
        <w:t>、</w:t>
      </w:r>
      <w:r>
        <w:rPr>
          <w:rFonts w:hint="eastAsia" w:ascii="Times New Roman" w:hAnsi="Times New Roman" w:eastAsia="仿宋_GB2312" w:cs="Times New Roman"/>
          <w:b w:val="0"/>
          <w:bCs w:val="0"/>
          <w:color w:val="000000"/>
          <w:sz w:val="32"/>
          <w:szCs w:val="32"/>
          <w:lang w:val="en-US" w:eastAsia="zh-CN"/>
        </w:rPr>
        <w:t>经济</w:t>
      </w:r>
      <w:r>
        <w:rPr>
          <w:rFonts w:hint="default" w:ascii="Times New Roman" w:hAnsi="Times New Roman" w:eastAsia="仿宋_GB2312" w:cs="Times New Roman"/>
          <w:b w:val="0"/>
          <w:bCs w:val="0"/>
          <w:color w:val="000000"/>
          <w:sz w:val="32"/>
          <w:szCs w:val="32"/>
          <w:lang w:eastAsia="zh-CN"/>
        </w:rPr>
        <w:t>发展股、财</w:t>
      </w:r>
      <w:r>
        <w:rPr>
          <w:rFonts w:hint="eastAsia" w:ascii="Times New Roman" w:hAnsi="Times New Roman" w:eastAsia="仿宋_GB2312" w:cs="Times New Roman"/>
          <w:b w:val="0"/>
          <w:bCs w:val="0"/>
          <w:color w:val="000000"/>
          <w:sz w:val="32"/>
          <w:szCs w:val="32"/>
          <w:lang w:val="en-US" w:eastAsia="zh-CN"/>
        </w:rPr>
        <w:t>务</w:t>
      </w:r>
      <w:r>
        <w:rPr>
          <w:rFonts w:hint="default" w:ascii="Times New Roman" w:hAnsi="Times New Roman" w:eastAsia="仿宋_GB2312" w:cs="Times New Roman"/>
          <w:b w:val="0"/>
          <w:bCs w:val="0"/>
          <w:color w:val="000000"/>
          <w:sz w:val="32"/>
          <w:szCs w:val="32"/>
          <w:lang w:eastAsia="zh-CN"/>
        </w:rPr>
        <w:t>审计股、</w:t>
      </w:r>
      <w:r>
        <w:rPr>
          <w:rFonts w:hint="eastAsia" w:ascii="Times New Roman" w:hAnsi="Times New Roman" w:eastAsia="仿宋_GB2312" w:cs="Times New Roman"/>
          <w:b w:val="0"/>
          <w:bCs w:val="0"/>
          <w:color w:val="000000"/>
          <w:sz w:val="32"/>
          <w:szCs w:val="32"/>
          <w:lang w:val="en-US" w:eastAsia="zh-CN"/>
        </w:rPr>
        <w:t>社有企业股</w:t>
      </w:r>
      <w:r>
        <w:rPr>
          <w:rFonts w:hint="default" w:ascii="Times New Roman" w:hAnsi="Times New Roman" w:eastAsia="仿宋_GB2312" w:cs="Times New Roman"/>
          <w:b w:val="0"/>
          <w:bCs w:val="0"/>
          <w:color w:val="000000"/>
          <w:sz w:val="32"/>
          <w:szCs w:val="32"/>
          <w:lang w:eastAsia="zh-CN"/>
        </w:rPr>
        <w:t>）。</w:t>
      </w:r>
    </w:p>
    <w:p>
      <w:pPr>
        <w:numPr>
          <w:ilvl w:val="0"/>
          <w:numId w:val="1"/>
        </w:numPr>
        <w:ind w:firstLine="640" w:firstLineChars="200"/>
        <w:rPr>
          <w:rFonts w:hint="eastAsia" w:ascii="华文楷体" w:hAnsi="华文楷体" w:eastAsia="华文楷体" w:cs="华文楷体"/>
          <w:sz w:val="32"/>
          <w:szCs w:val="32"/>
        </w:rPr>
      </w:pPr>
      <w:r>
        <w:rPr>
          <w:rFonts w:hint="eastAsia" w:ascii="华文楷体" w:hAnsi="华文楷体" w:eastAsia="华文楷体" w:cs="华文楷体"/>
          <w:sz w:val="32"/>
          <w:szCs w:val="32"/>
        </w:rPr>
        <w:t>机构职能</w:t>
      </w: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val="en-US" w:eastAsia="zh-CN"/>
        </w:rPr>
        <w:t>1.</w:t>
      </w:r>
      <w:r>
        <w:rPr>
          <w:rFonts w:hint="default" w:ascii="Times New Roman" w:hAnsi="Times New Roman" w:eastAsia="仿宋_GB2312" w:cs="Times New Roman"/>
          <w:b w:val="0"/>
          <w:bCs w:val="0"/>
          <w:color w:val="000000"/>
          <w:sz w:val="32"/>
          <w:szCs w:val="32"/>
          <w:lang w:eastAsia="zh-CN"/>
        </w:rPr>
        <w:t>宣传贯彻党中央、国务院、省委、省政府和市委、市政府有关农村经济工作的方针、政策以及区委、区政府的决策部署。</w:t>
      </w: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lang w:eastAsia="zh-CN"/>
        </w:rPr>
        <w:t>研究制定全区供销合作社的发展战略和规划；有效推进全区供销合作社的综合改革和高效发展，大力探索合作经济在社会主义市场经济条件下的多种实现形式。</w:t>
      </w: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lang w:eastAsia="zh-CN"/>
        </w:rPr>
        <w:t>按照政府授权对全区重要农业生产资料、再生资源回收、农副产品、烟花爆竹进行经营管理；参与组织、储备、调运有关救灾物资工作。</w:t>
      </w: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val="en-US" w:eastAsia="zh-CN"/>
        </w:rPr>
        <w:t>4.</w:t>
      </w:r>
      <w:r>
        <w:rPr>
          <w:rFonts w:hint="default" w:ascii="Times New Roman" w:hAnsi="Times New Roman" w:eastAsia="仿宋_GB2312" w:cs="Times New Roman"/>
          <w:b w:val="0"/>
          <w:bCs w:val="0"/>
          <w:color w:val="000000"/>
          <w:sz w:val="32"/>
          <w:szCs w:val="32"/>
          <w:lang w:eastAsia="zh-CN"/>
        </w:rPr>
        <w:t>加强与政府有关部门、社会组织的协作配合，研究政策建议，了解意见要求，组织、引领、指导农村专业合作经济组织健康发展。</w:t>
      </w: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lang w:eastAsia="zh-CN"/>
        </w:rPr>
        <w:t>指导全区供销系统推进农业农村现代化建设，参与农业产业化经营、农业综合开发，促进一二三产业融合发展；构建农村现代流通体系，推动小农户与现代农业有机衔接；指导农村金融互助、消费、生产、供销等合作社发展，帮助农民提高收入水平。</w:t>
      </w: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val="en-US" w:eastAsia="zh-CN"/>
        </w:rPr>
        <w:t>6.</w:t>
      </w:r>
      <w:r>
        <w:rPr>
          <w:rFonts w:hint="default" w:ascii="Times New Roman" w:hAnsi="Times New Roman" w:eastAsia="仿宋_GB2312" w:cs="Times New Roman"/>
          <w:b w:val="0"/>
          <w:bCs w:val="0"/>
          <w:color w:val="000000"/>
          <w:sz w:val="32"/>
          <w:szCs w:val="32"/>
          <w:lang w:eastAsia="zh-CN"/>
        </w:rPr>
        <w:t>建立和完善农业社会化服务体系，做好“三农”服务工作，指导开展土地托管、电子商务、农村现代物流等新型业务，引导农民发展商品生产，搞活农村商品流通。</w:t>
      </w: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val="en-US" w:eastAsia="zh-CN"/>
        </w:rPr>
        <w:t>7.</w:t>
      </w:r>
      <w:r>
        <w:rPr>
          <w:rFonts w:hint="default" w:ascii="Times New Roman" w:hAnsi="Times New Roman" w:eastAsia="仿宋_GB2312" w:cs="Times New Roman"/>
          <w:b w:val="0"/>
          <w:bCs w:val="0"/>
          <w:color w:val="000000"/>
          <w:sz w:val="32"/>
          <w:szCs w:val="32"/>
          <w:lang w:eastAsia="zh-CN"/>
        </w:rPr>
        <w:t>加强全区供销系统组织建设，不断建立和完善新型基层供销合作社，组织发展农民专业合作社、农村社区综合服务社等农村基层经营服务组织，发挥联合合作优势。</w:t>
      </w: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val="en-US" w:eastAsia="zh-CN"/>
        </w:rPr>
        <w:t>8.</w:t>
      </w:r>
      <w:r>
        <w:rPr>
          <w:rFonts w:hint="default" w:ascii="Times New Roman" w:hAnsi="Times New Roman" w:eastAsia="仿宋_GB2312" w:cs="Times New Roman"/>
          <w:b w:val="0"/>
          <w:bCs w:val="0"/>
          <w:color w:val="000000"/>
          <w:sz w:val="32"/>
          <w:szCs w:val="32"/>
          <w:lang w:eastAsia="zh-CN"/>
        </w:rPr>
        <w:t>履行本级社有资产出资人代表职责，加强对社有资产有效经营的指导和绩效评估，把握社有企业发展方向，优化社有资本布局，促进社有资产保值增值。</w:t>
      </w: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val="en-US" w:eastAsia="zh-CN"/>
        </w:rPr>
        <w:t>9.</w:t>
      </w:r>
      <w:r>
        <w:rPr>
          <w:rFonts w:hint="default" w:ascii="Times New Roman" w:hAnsi="Times New Roman" w:eastAsia="仿宋_GB2312" w:cs="Times New Roman"/>
          <w:b w:val="0"/>
          <w:bCs w:val="0"/>
          <w:color w:val="000000"/>
          <w:sz w:val="32"/>
          <w:szCs w:val="32"/>
          <w:lang w:eastAsia="zh-CN"/>
        </w:rPr>
        <w:t>发挥合作经济组织联合会作用，参与、协调农村合作经济组织技术交流与对外合作工作。</w:t>
      </w: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val="en-US" w:eastAsia="zh-CN"/>
        </w:rPr>
        <w:t>10.</w:t>
      </w:r>
      <w:r>
        <w:rPr>
          <w:rFonts w:hint="default" w:ascii="Times New Roman" w:hAnsi="Times New Roman" w:eastAsia="仿宋_GB2312" w:cs="Times New Roman"/>
          <w:b w:val="0"/>
          <w:bCs w:val="0"/>
          <w:color w:val="000000"/>
          <w:sz w:val="32"/>
          <w:szCs w:val="32"/>
          <w:lang w:eastAsia="zh-CN"/>
        </w:rPr>
        <w:t>完成区委、区政府交办的其他任务。</w:t>
      </w: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left="0" w:firstLine="640" w:firstLineChars="200"/>
        <w:jc w:val="both"/>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lang w:eastAsia="zh-CN"/>
        </w:rPr>
        <w:t>（</w:t>
      </w:r>
      <w:r>
        <w:rPr>
          <w:rFonts w:hint="eastAsia" w:ascii="华文楷体" w:hAnsi="华文楷体" w:eastAsia="华文楷体" w:cs="华文楷体"/>
          <w:sz w:val="32"/>
          <w:szCs w:val="32"/>
          <w:lang w:val="en-US" w:eastAsia="zh-CN"/>
        </w:rPr>
        <w:t>三</w:t>
      </w:r>
      <w:r>
        <w:rPr>
          <w:rFonts w:hint="eastAsia" w:ascii="华文楷体" w:hAnsi="华文楷体" w:eastAsia="华文楷体" w:cs="华文楷体"/>
          <w:sz w:val="32"/>
          <w:szCs w:val="32"/>
          <w:lang w:eastAsia="zh-CN"/>
        </w:rPr>
        <w:t>）</w:t>
      </w:r>
      <w:r>
        <w:rPr>
          <w:rFonts w:hint="eastAsia" w:ascii="华文楷体" w:hAnsi="华文楷体" w:eastAsia="华文楷体" w:cs="华文楷体"/>
          <w:sz w:val="32"/>
          <w:szCs w:val="32"/>
        </w:rPr>
        <w:t>人员概况</w:t>
      </w:r>
    </w:p>
    <w:p>
      <w:pPr>
        <w:keepNext w:val="0"/>
        <w:keepLines w:val="0"/>
        <w:pageBreakBefore w:val="0"/>
        <w:widowControl w:val="0"/>
        <w:shd w:val="clear" w:color="auto" w:fill="auto"/>
        <w:kinsoku/>
        <w:wordWrap/>
        <w:overflowPunct/>
        <w:topLinePunct w:val="0"/>
        <w:autoSpaceDE/>
        <w:autoSpaceDN/>
        <w:bidi w:val="0"/>
        <w:adjustRightInd/>
        <w:snapToGrid/>
        <w:spacing w:line="576" w:lineRule="exact"/>
        <w:ind w:left="0" w:firstLine="640" w:firstLineChars="200"/>
        <w:textAlignment w:val="auto"/>
        <w:rPr>
          <w:rFonts w:hint="eastAsia"/>
        </w:rPr>
      </w:pPr>
      <w:r>
        <w:rPr>
          <w:rFonts w:hint="default" w:ascii="Times New Roman" w:hAnsi="Times New Roman" w:eastAsia="仿宋_GB2312" w:cs="Times New Roman"/>
          <w:b w:val="0"/>
          <w:bCs w:val="0"/>
          <w:color w:val="000000"/>
          <w:sz w:val="32"/>
          <w:szCs w:val="32"/>
        </w:rPr>
        <w:t>区</w:t>
      </w:r>
      <w:r>
        <w:rPr>
          <w:rFonts w:hint="eastAsia" w:cs="Times New Roman"/>
          <w:b w:val="0"/>
          <w:bCs w:val="0"/>
          <w:color w:val="000000"/>
          <w:sz w:val="32"/>
          <w:szCs w:val="32"/>
          <w:lang w:val="en-US" w:eastAsia="zh-CN"/>
        </w:rPr>
        <w:t>委</w:t>
      </w:r>
      <w:r>
        <w:rPr>
          <w:rFonts w:hint="default" w:ascii="Times New Roman" w:hAnsi="Times New Roman" w:eastAsia="仿宋_GB2312" w:cs="Times New Roman"/>
          <w:b w:val="0"/>
          <w:bCs w:val="0"/>
          <w:color w:val="000000"/>
          <w:sz w:val="32"/>
          <w:szCs w:val="32"/>
        </w:rPr>
        <w:t>编办核定编制</w:t>
      </w:r>
      <w:r>
        <w:rPr>
          <w:rFonts w:hint="default" w:ascii="Times New Roman" w:hAnsi="Times New Roman" w:eastAsia="仿宋_GB2312" w:cs="Times New Roman"/>
          <w:b w:val="0"/>
          <w:bCs w:val="0"/>
          <w:color w:val="000000"/>
          <w:sz w:val="32"/>
          <w:szCs w:val="32"/>
          <w:lang w:val="en-US" w:eastAsia="zh-CN"/>
        </w:rPr>
        <w:t>8</w:t>
      </w:r>
      <w:r>
        <w:rPr>
          <w:rFonts w:hint="default" w:ascii="Times New Roman" w:hAnsi="Times New Roman" w:eastAsia="仿宋_GB2312" w:cs="Times New Roman"/>
          <w:b w:val="0"/>
          <w:bCs w:val="0"/>
          <w:color w:val="000000"/>
          <w:sz w:val="32"/>
          <w:szCs w:val="32"/>
        </w:rPr>
        <w:t>个，20</w:t>
      </w:r>
      <w:r>
        <w:rPr>
          <w:rFonts w:hint="default" w:ascii="Times New Roman" w:hAnsi="Times New Roman" w:eastAsia="仿宋_GB2312" w:cs="Times New Roman"/>
          <w:b w:val="0"/>
          <w:bCs w:val="0"/>
          <w:color w:val="000000"/>
          <w:sz w:val="32"/>
          <w:szCs w:val="32"/>
          <w:lang w:val="en-US" w:eastAsia="zh-CN"/>
        </w:rPr>
        <w:t>2</w:t>
      </w:r>
      <w:r>
        <w:rPr>
          <w:rFonts w:hint="eastAsia" w:ascii="Times New Roman" w:hAnsi="Times New Roman" w:eastAsia="仿宋_GB2312" w:cs="Times New Roman"/>
          <w:b w:val="0"/>
          <w:bCs w:val="0"/>
          <w:color w:val="000000"/>
          <w:sz w:val="32"/>
          <w:szCs w:val="32"/>
          <w:lang w:val="en-US" w:eastAsia="zh-CN"/>
        </w:rPr>
        <w:t>2年末</w:t>
      </w:r>
      <w:r>
        <w:rPr>
          <w:rFonts w:hint="default" w:ascii="Times New Roman" w:hAnsi="Times New Roman" w:eastAsia="仿宋_GB2312" w:cs="Times New Roman"/>
          <w:b w:val="0"/>
          <w:bCs w:val="0"/>
          <w:color w:val="000000"/>
          <w:sz w:val="32"/>
          <w:szCs w:val="32"/>
          <w:lang w:eastAsia="zh-CN"/>
        </w:rPr>
        <w:t>预</w:t>
      </w:r>
      <w:r>
        <w:rPr>
          <w:rFonts w:hint="default" w:ascii="Times New Roman" w:hAnsi="Times New Roman" w:eastAsia="仿宋_GB2312" w:cs="Times New Roman"/>
          <w:b w:val="0"/>
          <w:bCs w:val="0"/>
          <w:color w:val="000000"/>
          <w:sz w:val="32"/>
          <w:szCs w:val="32"/>
        </w:rPr>
        <w:t>算实有在职编制内人员</w:t>
      </w:r>
      <w:r>
        <w:rPr>
          <w:rFonts w:hint="eastAsia" w:ascii="Times New Roman" w:hAnsi="Times New Roman" w:eastAsia="仿宋_GB2312" w:cs="Times New Roman"/>
          <w:b w:val="0"/>
          <w:bCs w:val="0"/>
          <w:color w:val="000000"/>
          <w:sz w:val="32"/>
          <w:szCs w:val="32"/>
          <w:lang w:val="en-US" w:eastAsia="zh-CN"/>
        </w:rPr>
        <w:t>10</w:t>
      </w:r>
      <w:r>
        <w:rPr>
          <w:rFonts w:hint="default" w:ascii="Times New Roman" w:hAnsi="Times New Roman" w:eastAsia="仿宋_GB2312" w:cs="Times New Roman"/>
          <w:b w:val="0"/>
          <w:bCs w:val="0"/>
          <w:color w:val="000000"/>
          <w:sz w:val="32"/>
          <w:szCs w:val="32"/>
        </w:rPr>
        <w:t>人，其中：公务员及参公管理人员</w:t>
      </w:r>
      <w:r>
        <w:rPr>
          <w:rFonts w:hint="eastAsia" w:ascii="Times New Roman" w:hAnsi="Times New Roman" w:eastAsia="仿宋_GB2312" w:cs="Times New Roman"/>
          <w:b w:val="0"/>
          <w:bCs w:val="0"/>
          <w:color w:val="000000"/>
          <w:sz w:val="32"/>
          <w:szCs w:val="32"/>
          <w:lang w:val="en-US" w:eastAsia="zh-CN"/>
        </w:rPr>
        <w:t>8</w:t>
      </w:r>
      <w:r>
        <w:rPr>
          <w:rFonts w:hint="default" w:ascii="Times New Roman" w:hAnsi="Times New Roman" w:eastAsia="仿宋_GB2312" w:cs="Times New Roman"/>
          <w:b w:val="0"/>
          <w:bCs w:val="0"/>
          <w:color w:val="000000"/>
          <w:sz w:val="32"/>
          <w:szCs w:val="32"/>
        </w:rPr>
        <w:t>人，</w:t>
      </w:r>
      <w:r>
        <w:rPr>
          <w:rFonts w:hint="default" w:ascii="Times New Roman" w:hAnsi="Times New Roman" w:eastAsia="仿宋_GB2312" w:cs="Times New Roman"/>
          <w:b w:val="0"/>
          <w:bCs w:val="0"/>
          <w:color w:val="000000"/>
          <w:sz w:val="32"/>
          <w:szCs w:val="32"/>
          <w:lang w:eastAsia="zh-CN"/>
        </w:rPr>
        <w:t>机关工勤</w:t>
      </w:r>
      <w:r>
        <w:rPr>
          <w:rFonts w:hint="default" w:ascii="Times New Roman" w:hAnsi="Times New Roman" w:eastAsia="仿宋_GB2312" w:cs="Times New Roman"/>
          <w:b w:val="0"/>
          <w:bCs w:val="0"/>
          <w:color w:val="000000"/>
          <w:sz w:val="32"/>
          <w:szCs w:val="32"/>
        </w:rPr>
        <w:t>2人。</w:t>
      </w:r>
      <w:r>
        <w:rPr>
          <w:rFonts w:hint="default" w:ascii="Times New Roman" w:hAnsi="Times New Roman" w:eastAsia="仿宋_GB2312" w:cs="Times New Roman"/>
          <w:b w:val="0"/>
          <w:bCs w:val="0"/>
          <w:color w:val="000000"/>
          <w:sz w:val="32"/>
          <w:szCs w:val="32"/>
          <w:lang w:eastAsia="zh-CN"/>
        </w:rPr>
        <w:t>退休人员</w:t>
      </w:r>
      <w:r>
        <w:rPr>
          <w:rFonts w:hint="default" w:ascii="Times New Roman" w:hAnsi="Times New Roman" w:eastAsia="仿宋_GB2312" w:cs="Times New Roman"/>
          <w:b w:val="0"/>
          <w:bCs w:val="0"/>
          <w:color w:val="000000"/>
          <w:sz w:val="32"/>
          <w:szCs w:val="32"/>
          <w:lang w:val="en-US" w:eastAsia="zh-CN"/>
        </w:rPr>
        <w:t>8人。遗属补助3人。</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二、预算单位财政支出情况</w:t>
      </w:r>
    </w:p>
    <w:p>
      <w:pPr>
        <w:ind w:firstLine="640" w:firstLineChars="200"/>
        <w:rPr>
          <w:rFonts w:hint="eastAsia"/>
        </w:rPr>
      </w:pPr>
      <w:r>
        <w:rPr>
          <w:rFonts w:hint="eastAsia" w:ascii="华文楷体" w:hAnsi="华文楷体" w:eastAsia="华文楷体" w:cs="华文楷体"/>
          <w:sz w:val="32"/>
          <w:szCs w:val="32"/>
          <w:lang w:eastAsia="zh-CN"/>
        </w:rPr>
        <w:t>（</w:t>
      </w:r>
      <w:r>
        <w:rPr>
          <w:rFonts w:hint="eastAsia" w:ascii="华文楷体" w:hAnsi="华文楷体" w:eastAsia="华文楷体" w:cs="华文楷体"/>
          <w:sz w:val="32"/>
          <w:szCs w:val="32"/>
          <w:lang w:val="en-US" w:eastAsia="zh-CN"/>
        </w:rPr>
        <w:t>一</w:t>
      </w:r>
      <w:r>
        <w:rPr>
          <w:rFonts w:hint="eastAsia" w:ascii="华文楷体" w:hAnsi="华文楷体" w:eastAsia="华文楷体" w:cs="华文楷体"/>
          <w:sz w:val="32"/>
          <w:szCs w:val="32"/>
          <w:lang w:eastAsia="zh-CN"/>
        </w:rPr>
        <w:t>）</w:t>
      </w:r>
      <w:r>
        <w:rPr>
          <w:rFonts w:hint="eastAsia" w:ascii="华文楷体" w:hAnsi="华文楷体" w:eastAsia="华文楷体" w:cs="华文楷体"/>
          <w:sz w:val="32"/>
          <w:szCs w:val="32"/>
        </w:rPr>
        <w:t>单位财政资金收入情况</w:t>
      </w:r>
    </w:p>
    <w:p>
      <w:pPr>
        <w:pStyle w:val="28"/>
        <w:keepNext w:val="0"/>
        <w:keepLines w:val="0"/>
        <w:pageBreakBefore w:val="0"/>
        <w:widowControl w:val="0"/>
        <w:numPr>
          <w:ilvl w:val="0"/>
          <w:numId w:val="0"/>
        </w:numPr>
        <w:shd w:val="clear" w:color="auto" w:fill="auto"/>
        <w:tabs>
          <w:tab w:val="left" w:pos="993"/>
        </w:tabs>
        <w:kinsoku/>
        <w:wordWrap/>
        <w:overflowPunct/>
        <w:topLinePunct w:val="0"/>
        <w:autoSpaceDE/>
        <w:autoSpaceDN/>
        <w:bidi w:val="0"/>
        <w:adjustRightInd/>
        <w:snapToGrid w:val="0"/>
        <w:spacing w:line="576" w:lineRule="exact"/>
        <w:ind w:firstLine="640" w:firstLineChars="200"/>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202</w:t>
      </w:r>
      <w:r>
        <w:rPr>
          <w:rFonts w:hint="eastAsia" w:ascii="Times New Roman" w:hAnsi="Times New Roman" w:eastAsia="仿宋_GB2312" w:cs="Times New Roman"/>
          <w:b w:val="0"/>
          <w:bCs w:val="0"/>
          <w:color w:val="000000"/>
          <w:kern w:val="2"/>
          <w:sz w:val="32"/>
          <w:szCs w:val="32"/>
          <w:lang w:val="en-US" w:eastAsia="zh-CN" w:bidi="ar-SA"/>
        </w:rPr>
        <w:t>2</w:t>
      </w:r>
      <w:r>
        <w:rPr>
          <w:rFonts w:hint="default" w:ascii="Times New Roman" w:hAnsi="Times New Roman" w:eastAsia="仿宋_GB2312" w:cs="Times New Roman"/>
          <w:b w:val="0"/>
          <w:bCs w:val="0"/>
          <w:color w:val="000000"/>
          <w:kern w:val="2"/>
          <w:sz w:val="32"/>
          <w:szCs w:val="32"/>
          <w:lang w:val="en-US" w:eastAsia="zh-CN" w:bidi="ar-SA"/>
        </w:rPr>
        <w:t>年，根据年初工作规划和重点性工作安排，以招商引资、</w:t>
      </w:r>
      <w:r>
        <w:rPr>
          <w:rFonts w:hint="eastAsia" w:ascii="Times New Roman" w:hAnsi="Times New Roman" w:eastAsia="仿宋_GB2312" w:cs="Times New Roman"/>
          <w:b w:val="0"/>
          <w:bCs w:val="0"/>
          <w:color w:val="000000"/>
          <w:kern w:val="2"/>
          <w:sz w:val="32"/>
          <w:szCs w:val="32"/>
          <w:lang w:val="en-US" w:eastAsia="zh-CN" w:bidi="ar-SA"/>
        </w:rPr>
        <w:t>乡村振兴</w:t>
      </w:r>
      <w:r>
        <w:rPr>
          <w:rFonts w:hint="default" w:ascii="Times New Roman" w:hAnsi="Times New Roman" w:eastAsia="仿宋_GB2312" w:cs="Times New Roman"/>
          <w:b w:val="0"/>
          <w:bCs w:val="0"/>
          <w:color w:val="000000"/>
          <w:kern w:val="2"/>
          <w:sz w:val="32"/>
          <w:szCs w:val="32"/>
          <w:lang w:val="en-US" w:eastAsia="zh-CN" w:bidi="ar-SA"/>
        </w:rPr>
        <w:t>、社会服务化体系建设</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强化社有企业管理管</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全面深化供销社改革等方面为重点，有序开展各项工作，全社上下团结一心，迎难而上，加压奋进，锐意进取，各项工作取得了较</w:t>
      </w:r>
      <w:r>
        <w:rPr>
          <w:rFonts w:hint="eastAsia" w:ascii="Times New Roman" w:hAnsi="Times New Roman" w:eastAsia="仿宋_GB2312" w:cs="Times New Roman"/>
          <w:b w:val="0"/>
          <w:bCs w:val="0"/>
          <w:color w:val="000000"/>
          <w:kern w:val="2"/>
          <w:sz w:val="32"/>
          <w:szCs w:val="32"/>
          <w:lang w:val="en-US" w:eastAsia="zh-CN" w:bidi="ar-SA"/>
        </w:rPr>
        <w:t>好的</w:t>
      </w:r>
      <w:r>
        <w:rPr>
          <w:rFonts w:hint="default" w:ascii="Times New Roman" w:hAnsi="Times New Roman" w:eastAsia="仿宋_GB2312" w:cs="Times New Roman"/>
          <w:b w:val="0"/>
          <w:bCs w:val="0"/>
          <w:color w:val="000000"/>
          <w:kern w:val="2"/>
          <w:sz w:val="32"/>
          <w:szCs w:val="32"/>
          <w:lang w:val="en-US" w:eastAsia="zh-CN" w:bidi="ar-SA"/>
        </w:rPr>
        <w:t>成绩，完成了年度工作目标。通过加强预算收支管理，不断建立健全内部管理制度，梳理内部管理流程，部门整体支出管理情况良好。</w:t>
      </w:r>
    </w:p>
    <w:p>
      <w:pPr>
        <w:pStyle w:val="28"/>
        <w:keepNext w:val="0"/>
        <w:keepLines w:val="0"/>
        <w:pageBreakBefore w:val="0"/>
        <w:widowControl w:val="0"/>
        <w:numPr>
          <w:ilvl w:val="0"/>
          <w:numId w:val="0"/>
        </w:numPr>
        <w:shd w:val="clear" w:color="auto" w:fill="auto"/>
        <w:tabs>
          <w:tab w:val="left" w:pos="993"/>
        </w:tabs>
        <w:kinsoku/>
        <w:wordWrap/>
        <w:overflowPunct/>
        <w:topLinePunct w:val="0"/>
        <w:autoSpaceDE/>
        <w:autoSpaceDN/>
        <w:bidi w:val="0"/>
        <w:adjustRightInd/>
        <w:snapToGrid w:val="0"/>
        <w:spacing w:line="576" w:lineRule="exact"/>
        <w:ind w:left="0" w:firstLine="640" w:firstLineChars="200"/>
        <w:textAlignment w:val="auto"/>
        <w:outlineLvl w:val="9"/>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年初预算批复表反映，2022年财政拨款收入174.73万元，其中：当年财政拨款收入174.73万元。</w:t>
      </w:r>
    </w:p>
    <w:p>
      <w:pPr>
        <w:pStyle w:val="28"/>
        <w:keepNext w:val="0"/>
        <w:keepLines w:val="0"/>
        <w:pageBreakBefore w:val="0"/>
        <w:widowControl w:val="0"/>
        <w:numPr>
          <w:ilvl w:val="0"/>
          <w:numId w:val="0"/>
        </w:numPr>
        <w:shd w:val="clear" w:color="auto" w:fill="auto"/>
        <w:tabs>
          <w:tab w:val="left" w:pos="993"/>
        </w:tabs>
        <w:kinsoku/>
        <w:wordWrap/>
        <w:overflowPunct/>
        <w:topLinePunct w:val="0"/>
        <w:autoSpaceDE/>
        <w:autoSpaceDN/>
        <w:bidi w:val="0"/>
        <w:adjustRightInd/>
        <w:snapToGrid w:val="0"/>
        <w:spacing w:line="576" w:lineRule="exact"/>
        <w:ind w:left="0" w:firstLine="640" w:firstLineChars="200"/>
        <w:textAlignment w:val="auto"/>
        <w:outlineLvl w:val="9"/>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决算报表反映，2022年决算收入合计</w:t>
      </w:r>
      <w:r>
        <w:rPr>
          <w:rFonts w:hint="eastAsia" w:ascii="仿宋_GB2312" w:hAnsi="仿宋_GB2312" w:eastAsia="仿宋_GB2312" w:cs="仿宋_GB2312"/>
          <w:b w:val="0"/>
          <w:bCs/>
          <w:color w:val="auto"/>
          <w:sz w:val="32"/>
          <w:szCs w:val="32"/>
          <w:highlight w:val="none"/>
          <w:lang w:val="en-US" w:eastAsia="zh-CN"/>
        </w:rPr>
        <w:t>243.56</w:t>
      </w:r>
      <w:r>
        <w:rPr>
          <w:rFonts w:hint="eastAsia" w:ascii="Times New Roman" w:hAnsi="Times New Roman" w:eastAsia="仿宋_GB2312" w:cs="Times New Roman"/>
          <w:b w:val="0"/>
          <w:bCs w:val="0"/>
          <w:color w:val="000000"/>
          <w:kern w:val="2"/>
          <w:sz w:val="32"/>
          <w:szCs w:val="32"/>
          <w:lang w:val="en-US" w:eastAsia="zh-CN" w:bidi="ar-SA"/>
        </w:rPr>
        <w:t>万元，其中：当年财政拨款收入243.56万元。</w:t>
      </w:r>
    </w:p>
    <w:p>
      <w:pPr>
        <w:numPr>
          <w:ilvl w:val="0"/>
          <w:numId w:val="0"/>
        </w:numPr>
        <w:ind w:firstLine="640" w:firstLineChars="200"/>
        <w:rPr>
          <w:rFonts w:hint="eastAsia" w:ascii="华文楷体" w:hAnsi="华文楷体" w:eastAsia="华文楷体" w:cs="华文楷体"/>
          <w:sz w:val="32"/>
          <w:szCs w:val="32"/>
        </w:rPr>
      </w:pPr>
      <w:r>
        <w:rPr>
          <w:rFonts w:hint="eastAsia" w:ascii="华文楷体" w:hAnsi="华文楷体" w:eastAsia="华文楷体" w:cs="华文楷体"/>
          <w:sz w:val="32"/>
          <w:szCs w:val="32"/>
          <w:lang w:eastAsia="zh-CN"/>
        </w:rPr>
        <w:t>（</w:t>
      </w:r>
      <w:r>
        <w:rPr>
          <w:rFonts w:hint="eastAsia" w:ascii="华文楷体" w:hAnsi="华文楷体" w:eastAsia="华文楷体" w:cs="华文楷体"/>
          <w:sz w:val="32"/>
          <w:szCs w:val="32"/>
          <w:lang w:val="en-US" w:eastAsia="zh-CN"/>
        </w:rPr>
        <w:t>二</w:t>
      </w:r>
      <w:r>
        <w:rPr>
          <w:rFonts w:hint="eastAsia" w:ascii="华文楷体" w:hAnsi="华文楷体" w:eastAsia="华文楷体" w:cs="华文楷体"/>
          <w:sz w:val="32"/>
          <w:szCs w:val="32"/>
          <w:lang w:eastAsia="zh-CN"/>
        </w:rPr>
        <w:t>）</w:t>
      </w:r>
      <w:r>
        <w:rPr>
          <w:rFonts w:hint="eastAsia" w:ascii="华文楷体" w:hAnsi="华文楷体" w:eastAsia="华文楷体" w:cs="华文楷体"/>
          <w:sz w:val="32"/>
          <w:szCs w:val="32"/>
        </w:rPr>
        <w:t>单位财政支出情况</w:t>
      </w:r>
      <w:r>
        <w:rPr>
          <w:rFonts w:hint="eastAsia" w:ascii="华文楷体" w:hAnsi="华文楷体" w:eastAsia="华文楷体" w:cs="华文楷体"/>
          <w:sz w:val="32"/>
          <w:szCs w:val="32"/>
          <w:lang w:val="en-US" w:eastAsia="zh-CN"/>
        </w:rPr>
        <w:t xml:space="preserve">   </w:t>
      </w:r>
    </w:p>
    <w:p>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rPr>
        <w:t>年</w:t>
      </w:r>
      <w:r>
        <w:rPr>
          <w:rFonts w:hint="eastAsia" w:ascii="仿宋_GB2312" w:hAnsi="仿宋_GB2312" w:eastAsia="仿宋_GB2312" w:cs="仿宋_GB2312"/>
          <w:b w:val="0"/>
          <w:bCs/>
          <w:color w:val="auto"/>
          <w:sz w:val="32"/>
          <w:szCs w:val="32"/>
          <w:highlight w:val="none"/>
          <w:lang w:val="en-US" w:eastAsia="zh-CN"/>
        </w:rPr>
        <w:t>初预算批复表反映，预算安排支出174.73万元，其中：基本支出159.89万元，项目支出14.84万元。</w:t>
      </w:r>
    </w:p>
    <w:p>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eastAsia"/>
        </w:rPr>
      </w:pPr>
      <w:r>
        <w:rPr>
          <w:rFonts w:hint="eastAsia" w:ascii="仿宋_GB2312" w:hAnsi="仿宋_GB2312" w:eastAsia="仿宋_GB2312" w:cs="仿宋_GB2312"/>
          <w:b w:val="0"/>
          <w:bCs/>
          <w:color w:val="auto"/>
          <w:sz w:val="32"/>
          <w:szCs w:val="32"/>
          <w:highlight w:val="none"/>
          <w:lang w:val="en-US" w:eastAsia="zh-CN"/>
        </w:rPr>
        <w:t>决算报表反映，2022年财政资金支出243.56万元，其中：基本支出186.72万元，项目支出56.84万元，</w:t>
      </w:r>
      <w:r>
        <w:rPr>
          <w:rFonts w:hint="eastAsia" w:ascii="仿宋_GB2312" w:hAnsi="仿宋_GB2312" w:eastAsia="仿宋_GB2312" w:cs="仿宋_GB2312"/>
          <w:b w:val="0"/>
          <w:bCs/>
          <w:color w:val="auto"/>
          <w:sz w:val="32"/>
          <w:szCs w:val="32"/>
          <w:highlight w:val="none"/>
          <w:lang w:eastAsia="zh-CN"/>
        </w:rPr>
        <w:t>年末财政资金结转和结余</w:t>
      </w:r>
      <w:r>
        <w:rPr>
          <w:rFonts w:hint="eastAsia" w:ascii="仿宋_GB2312" w:hAnsi="仿宋_GB2312" w:eastAsia="仿宋_GB2312" w:cs="仿宋_GB2312"/>
          <w:b w:val="0"/>
          <w:bCs/>
          <w:color w:val="auto"/>
          <w:sz w:val="32"/>
          <w:szCs w:val="32"/>
          <w:highlight w:val="none"/>
          <w:lang w:val="en-US" w:eastAsia="zh-CN"/>
        </w:rPr>
        <w:t>49.5</w:t>
      </w:r>
      <w:r>
        <w:rPr>
          <w:rFonts w:hint="eastAsia" w:ascii="仿宋_GB2312" w:hAnsi="仿宋_GB2312" w:eastAsia="仿宋_GB2312" w:cs="仿宋_GB2312"/>
          <w:b w:val="0"/>
          <w:bCs/>
          <w:color w:val="auto"/>
          <w:sz w:val="32"/>
          <w:szCs w:val="32"/>
          <w:highlight w:val="none"/>
          <w:lang w:eastAsia="zh-CN"/>
        </w:rPr>
        <w:t>万元。</w:t>
      </w:r>
    </w:p>
    <w:p>
      <w:pPr>
        <w:numPr>
          <w:ilvl w:val="0"/>
          <w:numId w:val="0"/>
        </w:numPr>
        <w:ind w:firstLine="640" w:firstLineChars="200"/>
        <w:rPr>
          <w:rFonts w:hint="eastAsia"/>
        </w:rPr>
      </w:pPr>
      <w:r>
        <w:rPr>
          <w:rFonts w:hint="eastAsia" w:ascii="黑体" w:hAnsi="黑体" w:eastAsia="黑体" w:cs="黑体"/>
          <w:sz w:val="32"/>
          <w:szCs w:val="32"/>
        </w:rPr>
        <w:t>三、部门整体预算绩效管理情况</w:t>
      </w:r>
    </w:p>
    <w:p>
      <w:pPr>
        <w:numPr>
          <w:ilvl w:val="0"/>
          <w:numId w:val="0"/>
        </w:numPr>
        <w:ind w:firstLine="640" w:firstLineChars="200"/>
        <w:rPr>
          <w:rFonts w:hint="eastAsia" w:ascii="华文楷体" w:hAnsi="华文楷体" w:eastAsia="华文楷体" w:cs="华文楷体"/>
          <w:sz w:val="32"/>
          <w:szCs w:val="32"/>
        </w:rPr>
      </w:pPr>
      <w:r>
        <w:rPr>
          <w:rFonts w:hint="eastAsia" w:ascii="华文楷体" w:hAnsi="华文楷体" w:eastAsia="华文楷体" w:cs="华文楷体"/>
          <w:sz w:val="32"/>
          <w:szCs w:val="32"/>
          <w:lang w:eastAsia="zh-CN"/>
        </w:rPr>
        <w:t>（</w:t>
      </w:r>
      <w:r>
        <w:rPr>
          <w:rFonts w:hint="eastAsia" w:ascii="华文楷体" w:hAnsi="华文楷体" w:eastAsia="华文楷体" w:cs="华文楷体"/>
          <w:sz w:val="32"/>
          <w:szCs w:val="32"/>
          <w:lang w:val="en-US" w:eastAsia="zh-CN"/>
        </w:rPr>
        <w:t>一</w:t>
      </w:r>
      <w:r>
        <w:rPr>
          <w:rFonts w:hint="eastAsia" w:ascii="华文楷体" w:hAnsi="华文楷体" w:eastAsia="华文楷体" w:cs="华文楷体"/>
          <w:sz w:val="32"/>
          <w:szCs w:val="32"/>
          <w:lang w:eastAsia="zh-CN"/>
        </w:rPr>
        <w:t>）</w:t>
      </w:r>
      <w:r>
        <w:rPr>
          <w:rFonts w:hint="eastAsia" w:ascii="华文楷体" w:hAnsi="华文楷体" w:eastAsia="华文楷体" w:cs="华文楷体"/>
          <w:sz w:val="32"/>
          <w:szCs w:val="32"/>
        </w:rPr>
        <w:t>部门预算项目绩效管理</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rightChars="0" w:firstLine="672" w:firstLineChars="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（1）</w:t>
      </w:r>
      <w:r>
        <w:rPr>
          <w:rFonts w:hint="eastAsia" w:cs="Times New Roman"/>
          <w:b w:val="0"/>
          <w:bCs w:val="0"/>
          <w:i w:val="0"/>
          <w:caps w:val="0"/>
          <w:color w:val="000000"/>
          <w:spacing w:val="8"/>
          <w:sz w:val="32"/>
          <w:szCs w:val="32"/>
          <w:shd w:val="clear" w:color="auto" w:fill="FFFFFF"/>
          <w:lang w:val="en-US" w:eastAsia="zh-CN"/>
        </w:rPr>
        <w:t>目</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标的制定</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rightChars="0" w:firstLine="672" w:firstLineChars="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本</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单</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位在年初编制预</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算</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时,根据</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供销联社</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年度工作计划,制定了</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部门整体绩</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效目标、</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废弃农膜收购补贴绩</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效目标</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、网络体系建设绩效目标</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,在绩效</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目</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标中按数量指标,质量指标、时效指标</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成本</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指</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标等进行了细化和量化,</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其</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预算编制和</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绩效目</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标的制定经全体干部大会讨论通过后上报区财政局</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审</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核</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rightChars="0" w:firstLine="672" w:firstLineChars="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(2)目标的实现</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rightChars="0" w:firstLine="672" w:firstLineChars="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区</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供销联社</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按照工作安排开</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展</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各项工作,全面完成了年初制定的</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人员经费</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、工作经费、</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废弃农膜收购补贴</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工作经费</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、网络体系建设</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工作经费的</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各</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项</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绩效</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目标,各</w:t>
      </w:r>
      <w:r>
        <w:rPr>
          <w:rFonts w:hint="eastAsia" w:cs="Times New Roman"/>
          <w:b w:val="0"/>
          <w:bCs w:val="0"/>
          <w:i w:val="0"/>
          <w:caps w:val="0"/>
          <w:color w:val="000000"/>
          <w:spacing w:val="8"/>
          <w:sz w:val="32"/>
          <w:szCs w:val="32"/>
          <w:shd w:val="clear" w:color="auto" w:fill="FFFFFF"/>
          <w:lang w:val="en-US" w:eastAsia="zh-CN"/>
        </w:rPr>
        <w:t>绩</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效百标的实际实现与预期目标基本稳合,各</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绩效目</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标完成情况详见附件(项</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目</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支出绩效自评表)</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rightChars="0" w:firstLine="672" w:firstLineChars="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(3)支出控制</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rightChars="0" w:firstLine="672" w:firstLineChars="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2022年,区</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供销联社</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严格遵守</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各</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项财经纪律,加强本单位财务管理工作,制定了相关规章制度,加强和细化了预算编制,严格按照预算执行,</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各</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项</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目</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支出均控制在预算内,无超支和超范围支出,全年收支平衡</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6" w:lineRule="exact"/>
        <w:ind w:right="0" w:rightChars="0" w:firstLine="672" w:firstLineChars="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（4）</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及时处置和执行进度</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rightChars="0" w:firstLine="672" w:firstLineChars="200"/>
        <w:textAlignment w:val="auto"/>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pP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2022年,区</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供销联社2</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个项</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目</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在年初编制绩效目标后,各</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绩</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效指标无任何调整,在执行中均是按照年初制定的目标执行,在执行过程事加强了绩效运行监管,对存在问题的及时进行了细化,在各指示执行中都是按照计划进度执行</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 xml:space="preserve">。  </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rightChars="0" w:firstLine="672" w:firstLineChars="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（5）完</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成效率</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rightChars="0" w:firstLine="672"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部门预算按照年初预算</w:t>
      </w:r>
      <w:r>
        <w:rPr>
          <w:rFonts w:hint="default" w:ascii="Times New Roman" w:hAnsi="Times New Roman" w:eastAsia="仿宋_GB2312" w:cs="Times New Roman"/>
          <w:b w:val="0"/>
          <w:bCs w:val="0"/>
          <w:sz w:val="32"/>
          <w:szCs w:val="32"/>
          <w:lang w:val="en-US" w:eastAsia="zh-CN"/>
        </w:rPr>
        <w:t>（含追加项目资金）绩效目标编制完整、合理</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设定的目标任务稳步有序推进，各项目标执行情况与预算编制相匹配，</w:t>
      </w:r>
      <w:r>
        <w:rPr>
          <w:rFonts w:hint="eastAsia" w:ascii="仿宋_GB2312" w:hAnsi="仿宋_GB2312" w:eastAsia="仿宋_GB2312" w:cs="仿宋_GB2312"/>
          <w:b w:val="0"/>
          <w:bCs/>
          <w:color w:val="auto"/>
          <w:sz w:val="32"/>
          <w:szCs w:val="32"/>
          <w:highlight w:val="none"/>
        </w:rPr>
        <w:t>20</w:t>
      </w:r>
      <w:r>
        <w:rPr>
          <w:rFonts w:hint="eastAsia" w:ascii="仿宋_GB2312" w:hAnsi="仿宋_GB2312" w:eastAsia="仿宋_GB2312" w:cs="仿宋_GB2312"/>
          <w:b w:val="0"/>
          <w:bCs/>
          <w:color w:val="auto"/>
          <w:sz w:val="32"/>
          <w:szCs w:val="32"/>
          <w:highlight w:val="none"/>
          <w:lang w:val="en-US" w:eastAsia="zh-CN"/>
        </w:rPr>
        <w:t>22</w:t>
      </w:r>
      <w:r>
        <w:rPr>
          <w:rFonts w:hint="eastAsia" w:ascii="仿宋_GB2312" w:hAnsi="仿宋_GB2312" w:eastAsia="仿宋_GB2312" w:cs="仿宋_GB2312"/>
          <w:b w:val="0"/>
          <w:bCs/>
          <w:color w:val="auto"/>
          <w:sz w:val="32"/>
          <w:szCs w:val="32"/>
          <w:highlight w:val="none"/>
        </w:rPr>
        <w:t>年一般公共预算财政拨款</w:t>
      </w:r>
      <w:r>
        <w:rPr>
          <w:rFonts w:hint="eastAsia" w:ascii="仿宋_GB2312" w:hAnsi="仿宋_GB2312" w:eastAsia="仿宋_GB2312" w:cs="仿宋_GB2312"/>
          <w:b w:val="0"/>
          <w:bCs/>
          <w:color w:val="auto"/>
          <w:sz w:val="32"/>
          <w:szCs w:val="32"/>
          <w:highlight w:val="none"/>
          <w:lang w:val="en-US" w:eastAsia="zh-CN"/>
        </w:rPr>
        <w:t>收入243.56</w:t>
      </w:r>
      <w:r>
        <w:rPr>
          <w:rFonts w:hint="eastAsia" w:ascii="仿宋_GB2312" w:hAnsi="仿宋_GB2312" w:eastAsia="仿宋_GB2312" w:cs="仿宋_GB2312"/>
          <w:b w:val="0"/>
          <w:bCs/>
          <w:color w:val="auto"/>
          <w:sz w:val="32"/>
          <w:szCs w:val="32"/>
          <w:highlight w:val="none"/>
        </w:rPr>
        <w:t>万元</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其中：当年</w:t>
      </w:r>
      <w:r>
        <w:rPr>
          <w:rFonts w:hint="eastAsia" w:ascii="仿宋_GB2312" w:hAnsi="仿宋_GB2312" w:cs="仿宋_GB2312"/>
          <w:b w:val="0"/>
          <w:bCs/>
          <w:color w:val="auto"/>
          <w:sz w:val="32"/>
          <w:szCs w:val="32"/>
          <w:highlight w:val="none"/>
          <w:lang w:val="en-US" w:eastAsia="zh-CN"/>
        </w:rPr>
        <w:t>财政</w:t>
      </w:r>
      <w:r>
        <w:rPr>
          <w:rFonts w:hint="eastAsia" w:ascii="仿宋_GB2312" w:hAnsi="仿宋_GB2312" w:eastAsia="仿宋_GB2312" w:cs="仿宋_GB2312"/>
          <w:b w:val="0"/>
          <w:bCs/>
          <w:color w:val="auto"/>
          <w:sz w:val="32"/>
          <w:szCs w:val="32"/>
          <w:highlight w:val="none"/>
          <w:lang w:val="en-US" w:eastAsia="zh-CN"/>
        </w:rPr>
        <w:t>拨款支出194.06</w:t>
      </w:r>
      <w:r>
        <w:rPr>
          <w:rFonts w:hint="eastAsia" w:ascii="仿宋_GB2312" w:hAnsi="仿宋_GB2312" w:eastAsia="仿宋_GB2312" w:cs="仿宋_GB2312"/>
          <w:b w:val="0"/>
          <w:bCs/>
          <w:color w:val="auto"/>
          <w:sz w:val="32"/>
          <w:szCs w:val="32"/>
          <w:highlight w:val="none"/>
          <w:lang w:eastAsia="zh-CN"/>
        </w:rPr>
        <w:t>万元(人员经费1</w:t>
      </w:r>
      <w:r>
        <w:rPr>
          <w:rFonts w:hint="eastAsia" w:ascii="仿宋_GB2312" w:hAnsi="仿宋_GB2312" w:eastAsia="仿宋_GB2312" w:cs="仿宋_GB2312"/>
          <w:b w:val="0"/>
          <w:bCs/>
          <w:color w:val="auto"/>
          <w:sz w:val="32"/>
          <w:szCs w:val="32"/>
          <w:highlight w:val="none"/>
          <w:lang w:val="en-US" w:eastAsia="zh-CN"/>
        </w:rPr>
        <w:t>66.45</w:t>
      </w:r>
      <w:r>
        <w:rPr>
          <w:rFonts w:hint="eastAsia" w:ascii="仿宋_GB2312" w:hAnsi="仿宋_GB2312" w:eastAsia="仿宋_GB2312" w:cs="仿宋_GB2312"/>
          <w:b w:val="0"/>
          <w:bCs/>
          <w:color w:val="auto"/>
          <w:sz w:val="32"/>
          <w:szCs w:val="32"/>
          <w:highlight w:val="none"/>
          <w:lang w:eastAsia="zh-CN"/>
        </w:rPr>
        <w:t>万元、公用经费</w:t>
      </w:r>
      <w:r>
        <w:rPr>
          <w:rFonts w:hint="eastAsia" w:ascii="仿宋_GB2312" w:hAnsi="仿宋_GB2312" w:eastAsia="仿宋_GB2312" w:cs="仿宋_GB2312"/>
          <w:b w:val="0"/>
          <w:bCs/>
          <w:color w:val="auto"/>
          <w:sz w:val="32"/>
          <w:szCs w:val="32"/>
          <w:highlight w:val="none"/>
          <w:lang w:val="en-US" w:eastAsia="zh-CN"/>
        </w:rPr>
        <w:t>14</w:t>
      </w:r>
      <w:r>
        <w:rPr>
          <w:rFonts w:hint="eastAsia" w:ascii="仿宋_GB2312" w:hAnsi="仿宋_GB2312" w:eastAsia="仿宋_GB2312" w:cs="仿宋_GB2312"/>
          <w:b w:val="0"/>
          <w:bCs/>
          <w:color w:val="auto"/>
          <w:sz w:val="32"/>
          <w:szCs w:val="32"/>
          <w:highlight w:val="none"/>
          <w:lang w:eastAsia="zh-CN"/>
        </w:rPr>
        <w:t>万元、项目支出</w:t>
      </w:r>
      <w:r>
        <w:rPr>
          <w:rFonts w:hint="eastAsia" w:ascii="仿宋_GB2312" w:hAnsi="仿宋_GB2312" w:eastAsia="仿宋_GB2312" w:cs="仿宋_GB2312"/>
          <w:b w:val="0"/>
          <w:bCs/>
          <w:color w:val="auto"/>
          <w:sz w:val="32"/>
          <w:szCs w:val="32"/>
          <w:highlight w:val="none"/>
          <w:lang w:val="en-US" w:eastAsia="zh-CN"/>
        </w:rPr>
        <w:t>56.84</w:t>
      </w:r>
      <w:r>
        <w:rPr>
          <w:rFonts w:hint="eastAsia" w:ascii="仿宋_GB2312" w:hAnsi="仿宋_GB2312" w:eastAsia="仿宋_GB2312" w:cs="仿宋_GB2312"/>
          <w:b w:val="0"/>
          <w:bCs/>
          <w:color w:val="auto"/>
          <w:sz w:val="32"/>
          <w:szCs w:val="32"/>
          <w:highlight w:val="none"/>
          <w:lang w:eastAsia="zh-CN"/>
        </w:rPr>
        <w:t>万元）;年末财政资金结转和结余</w:t>
      </w:r>
      <w:r>
        <w:rPr>
          <w:rFonts w:hint="eastAsia" w:ascii="仿宋_GB2312" w:hAnsi="仿宋_GB2312" w:eastAsia="仿宋_GB2312" w:cs="仿宋_GB2312"/>
          <w:b w:val="0"/>
          <w:bCs/>
          <w:color w:val="auto"/>
          <w:sz w:val="32"/>
          <w:szCs w:val="32"/>
          <w:highlight w:val="none"/>
          <w:lang w:val="en-US" w:eastAsia="zh-CN"/>
        </w:rPr>
        <w:t>49.5</w:t>
      </w:r>
      <w:r>
        <w:rPr>
          <w:rFonts w:hint="eastAsia" w:ascii="仿宋_GB2312" w:hAnsi="仿宋_GB2312" w:eastAsia="仿宋_GB2312" w:cs="仿宋_GB2312"/>
          <w:b w:val="0"/>
          <w:bCs/>
          <w:color w:val="auto"/>
          <w:sz w:val="32"/>
          <w:szCs w:val="32"/>
          <w:highlight w:val="none"/>
          <w:lang w:eastAsia="zh-CN"/>
        </w:rPr>
        <w:t>万元(基本支出结转</w:t>
      </w:r>
      <w:r>
        <w:rPr>
          <w:rFonts w:hint="eastAsia" w:ascii="仿宋_GB2312" w:hAnsi="仿宋_GB2312" w:eastAsia="仿宋_GB2312" w:cs="仿宋_GB2312"/>
          <w:b w:val="0"/>
          <w:bCs/>
          <w:color w:val="auto"/>
          <w:sz w:val="32"/>
          <w:szCs w:val="32"/>
          <w:highlight w:val="none"/>
          <w:lang w:val="en-US" w:eastAsia="zh-CN"/>
        </w:rPr>
        <w:t>6.27</w:t>
      </w:r>
      <w:r>
        <w:rPr>
          <w:rFonts w:hint="eastAsia" w:ascii="仿宋_GB2312" w:hAnsi="仿宋_GB2312" w:eastAsia="仿宋_GB2312" w:cs="仿宋_GB2312"/>
          <w:b w:val="0"/>
          <w:bCs/>
          <w:color w:val="auto"/>
          <w:sz w:val="32"/>
          <w:szCs w:val="32"/>
          <w:highlight w:val="none"/>
          <w:lang w:eastAsia="zh-CN"/>
        </w:rPr>
        <w:t>万元、项目支出结转和结余</w:t>
      </w:r>
      <w:r>
        <w:rPr>
          <w:rFonts w:hint="eastAsia" w:ascii="仿宋_GB2312" w:hAnsi="仿宋_GB2312" w:eastAsia="仿宋_GB2312" w:cs="仿宋_GB2312"/>
          <w:b w:val="0"/>
          <w:bCs/>
          <w:color w:val="auto"/>
          <w:sz w:val="32"/>
          <w:szCs w:val="32"/>
          <w:highlight w:val="none"/>
          <w:lang w:val="en-US" w:eastAsia="zh-CN"/>
        </w:rPr>
        <w:t>43.22</w:t>
      </w:r>
      <w:r>
        <w:rPr>
          <w:rFonts w:hint="eastAsia" w:ascii="仿宋_GB2312" w:hAnsi="仿宋_GB2312" w:eastAsia="仿宋_GB2312" w:cs="仿宋_GB2312"/>
          <w:b w:val="0"/>
          <w:bCs/>
          <w:color w:val="auto"/>
          <w:sz w:val="32"/>
          <w:szCs w:val="32"/>
          <w:highlight w:val="none"/>
          <w:lang w:eastAsia="zh-CN"/>
        </w:rPr>
        <w:t>万元），</w:t>
      </w:r>
      <w:r>
        <w:rPr>
          <w:rFonts w:hint="default" w:ascii="Times New Roman" w:hAnsi="Times New Roman" w:eastAsia="仿宋_GB2312" w:cs="Times New Roman"/>
          <w:b w:val="0"/>
          <w:bCs w:val="0"/>
          <w:color w:val="000000"/>
          <w:sz w:val="32"/>
          <w:szCs w:val="32"/>
        </w:rPr>
        <w:t>正确使用功能科目和经济科目、准确编列资金性质和资金级次、按政府审定的方案规范编制项目支出</w:t>
      </w:r>
      <w:r>
        <w:rPr>
          <w:rFonts w:hint="default" w:ascii="Times New Roman" w:hAnsi="Times New Roman" w:eastAsia="仿宋_GB2312" w:cs="Times New Roman"/>
          <w:b w:val="0"/>
          <w:bCs w:val="0"/>
          <w:color w:val="000000"/>
          <w:sz w:val="32"/>
          <w:szCs w:val="32"/>
          <w:lang w:eastAsia="zh-CN"/>
        </w:rPr>
        <w:t>和部门整体支出绩效</w:t>
      </w:r>
      <w:r>
        <w:rPr>
          <w:rFonts w:hint="default" w:ascii="Times New Roman" w:hAnsi="Times New Roman" w:eastAsia="仿宋_GB2312" w:cs="Times New Roman"/>
          <w:b w:val="0"/>
          <w:bCs w:val="0"/>
          <w:color w:val="000000"/>
          <w:sz w:val="32"/>
          <w:szCs w:val="32"/>
        </w:rPr>
        <w:t>，</w:t>
      </w:r>
      <w:r>
        <w:rPr>
          <w:rFonts w:hint="eastAsia" w:ascii="Times New Roman" w:hAnsi="Times New Roman" w:eastAsia="仿宋_GB2312" w:cs="Times New Roman"/>
          <w:b w:val="0"/>
          <w:bCs w:val="0"/>
          <w:color w:val="000000"/>
          <w:sz w:val="32"/>
          <w:szCs w:val="32"/>
          <w:lang w:val="en-US" w:eastAsia="zh-CN"/>
        </w:rPr>
        <w:t>无违规记录，</w:t>
      </w:r>
      <w:r>
        <w:rPr>
          <w:rFonts w:hint="default" w:ascii="Times New Roman" w:hAnsi="Times New Roman" w:eastAsia="仿宋_GB2312" w:cs="Times New Roman"/>
          <w:b w:val="0"/>
          <w:bCs w:val="0"/>
          <w:color w:val="000000"/>
          <w:sz w:val="32"/>
          <w:szCs w:val="32"/>
        </w:rPr>
        <w:t>不漏报、错报，及时报送区财政局。</w:t>
      </w:r>
    </w:p>
    <w:p>
      <w:pPr>
        <w:pStyle w:val="7"/>
        <w:keepNext w:val="0"/>
        <w:keepLines w:val="0"/>
        <w:pageBreakBefore w:val="0"/>
        <w:widowControl w:val="0"/>
        <w:numPr>
          <w:ilvl w:val="0"/>
          <w:numId w:val="0"/>
        </w:numPr>
        <w:shd w:val="clear" w:color="auto" w:fill="auto"/>
        <w:kinsoku/>
        <w:wordWrap/>
        <w:overflowPunct/>
        <w:topLinePunct w:val="0"/>
        <w:autoSpaceDE/>
        <w:autoSpaceDN/>
        <w:bidi w:val="0"/>
        <w:spacing w:line="576" w:lineRule="exact"/>
        <w:ind w:firstLine="640" w:firstLineChars="200"/>
        <w:textAlignment w:val="auto"/>
        <w:rPr>
          <w:rFonts w:hint="default" w:ascii="华文楷体" w:hAnsi="华文楷体" w:eastAsia="华文楷体" w:cs="华文楷体"/>
          <w:kern w:val="2"/>
          <w:sz w:val="32"/>
          <w:szCs w:val="32"/>
          <w:lang w:val="en-US" w:eastAsia="zh-CN" w:bidi="ar-SA"/>
        </w:rPr>
      </w:pPr>
      <w:r>
        <w:rPr>
          <w:rFonts w:hint="eastAsia" w:ascii="华文楷体" w:hAnsi="华文楷体" w:eastAsia="华文楷体" w:cs="华文楷体"/>
          <w:kern w:val="2"/>
          <w:sz w:val="32"/>
          <w:szCs w:val="32"/>
          <w:lang w:val="en-US" w:eastAsia="zh-CN" w:bidi="ar-SA"/>
        </w:rPr>
        <w:t>（二）结果应用公开情况</w:t>
      </w:r>
    </w:p>
    <w:p>
      <w:pPr>
        <w:pStyle w:val="7"/>
        <w:numPr>
          <w:ilvl w:val="0"/>
          <w:numId w:val="0"/>
        </w:numPr>
        <w:ind w:firstLine="640" w:firstLineChars="200"/>
        <w:rPr>
          <w:rFonts w:hint="eastAsia" w:ascii="Times New Roman" w:hAnsi="Times New Roman" w:eastAsia="仿宋_GB2312" w:cs="Times New Roman"/>
          <w:b w:val="0"/>
          <w:bCs w:val="0"/>
          <w:color w:val="000000"/>
          <w:kern w:val="2"/>
          <w:sz w:val="32"/>
          <w:szCs w:val="32"/>
          <w:lang w:val="en-US" w:eastAsia="zh-CN" w:bidi="ar-SA"/>
        </w:rPr>
      </w:pPr>
      <w:bookmarkStart w:id="76" w:name="_Toc7491"/>
      <w:r>
        <w:rPr>
          <w:rFonts w:hint="eastAsia" w:ascii="Times New Roman" w:cs="Times New Roman"/>
          <w:b w:val="0"/>
          <w:bCs w:val="0"/>
          <w:color w:val="000000"/>
          <w:kern w:val="2"/>
          <w:sz w:val="32"/>
          <w:szCs w:val="32"/>
          <w:lang w:val="en-US" w:eastAsia="zh-CN" w:bidi="ar-SA"/>
        </w:rPr>
        <w:t>根据</w:t>
      </w:r>
      <w:r>
        <w:rPr>
          <w:rFonts w:hint="default" w:ascii="Times New Roman" w:hAnsi="Times New Roman" w:eastAsia="仿宋_GB2312" w:cs="Times New Roman"/>
          <w:b w:val="0"/>
          <w:bCs w:val="0"/>
          <w:color w:val="000000"/>
          <w:kern w:val="2"/>
          <w:sz w:val="32"/>
          <w:szCs w:val="32"/>
          <w:lang w:val="en-US" w:eastAsia="zh-CN" w:bidi="ar-SA"/>
        </w:rPr>
        <w:t>中央和省、市、区的有关规定，建立健全单位各项财务管理制度。包括：预算管理制度、收入管理制度、支出管理制度、政府采购管理制度、资产管理制度等，并下发至各个股室，各股室人员严格执行相关管理制度，在预算、收支管理上更加严格，政府采购程序规范无任何违规情况，加强对差旅费、会议费、培训费管理。依据各项制度，严格落实</w:t>
      </w:r>
      <w:r>
        <w:rPr>
          <w:rFonts w:hint="eastAsia" w:ascii="Times New Roman" w:hAnsi="Times New Roman" w:eastAsia="仿宋_GB2312" w:cs="Times New Roman"/>
          <w:b w:val="0"/>
          <w:bCs w:val="0"/>
          <w:color w:val="000000"/>
          <w:kern w:val="2"/>
          <w:sz w:val="32"/>
          <w:szCs w:val="32"/>
          <w:lang w:val="en-US" w:eastAsia="zh-CN" w:bidi="ar-SA"/>
        </w:rPr>
        <w:t>各环节绩效结果应用，按要求做好绩效信息报告及公开工作，</w:t>
      </w:r>
      <w:r>
        <w:rPr>
          <w:rFonts w:hint="default" w:ascii="Times New Roman" w:hAnsi="Times New Roman" w:eastAsia="仿宋_GB2312" w:cs="Times New Roman"/>
          <w:b w:val="0"/>
          <w:bCs w:val="0"/>
          <w:color w:val="000000"/>
          <w:kern w:val="2"/>
          <w:sz w:val="32"/>
          <w:szCs w:val="32"/>
          <w:lang w:val="en-US" w:eastAsia="zh-CN" w:bidi="ar-SA"/>
        </w:rPr>
        <w:t>202</w:t>
      </w:r>
      <w:r>
        <w:rPr>
          <w:rFonts w:hint="eastAsia" w:ascii="Times New Roman" w:hAnsi="Times New Roman" w:eastAsia="仿宋_GB2312" w:cs="Times New Roman"/>
          <w:b w:val="0"/>
          <w:bCs w:val="0"/>
          <w:color w:val="000000"/>
          <w:kern w:val="2"/>
          <w:sz w:val="32"/>
          <w:szCs w:val="32"/>
          <w:lang w:val="en-US" w:eastAsia="zh-CN" w:bidi="ar-SA"/>
        </w:rPr>
        <w:t>2</w:t>
      </w:r>
      <w:r>
        <w:rPr>
          <w:rFonts w:hint="default" w:ascii="Times New Roman" w:hAnsi="Times New Roman" w:eastAsia="仿宋_GB2312" w:cs="Times New Roman"/>
          <w:b w:val="0"/>
          <w:bCs w:val="0"/>
          <w:color w:val="000000"/>
          <w:kern w:val="2"/>
          <w:sz w:val="32"/>
          <w:szCs w:val="32"/>
          <w:lang w:val="en-US" w:eastAsia="zh-CN" w:bidi="ar-SA"/>
        </w:rPr>
        <w:t>年度预算、决算、绩效目标等信息按照要求已经昭化区政府网站公开。</w:t>
      </w:r>
      <w:r>
        <w:rPr>
          <w:rFonts w:hint="eastAsia" w:ascii="Times New Roman" w:hAnsi="Times New Roman" w:eastAsia="仿宋_GB2312" w:cs="Times New Roman"/>
          <w:b w:val="0"/>
          <w:bCs w:val="0"/>
          <w:color w:val="000000"/>
          <w:kern w:val="2"/>
          <w:sz w:val="32"/>
          <w:szCs w:val="32"/>
          <w:lang w:val="en-US" w:eastAsia="zh-CN" w:bidi="ar-SA"/>
        </w:rPr>
        <w:t>主动接受绩效监督工作，及时整改问题、改进管理、完善政策、调整预算。</w:t>
      </w:r>
      <w:r>
        <w:rPr>
          <w:rFonts w:hint="default"/>
          <w:lang w:val="en-US" w:eastAsia="zh-CN"/>
        </w:rPr>
        <w:t>严格执行财经制度和管理规定，按时完成预算执行进度，严格控制、合理利用各项经费，鼓励合法合规的经费开支，按要求进行预算管理，不断完善资产管理制度。</w:t>
      </w:r>
      <w:bookmarkEnd w:id="76"/>
    </w:p>
    <w:p>
      <w:pPr>
        <w:numPr>
          <w:ilvl w:val="0"/>
          <w:numId w:val="1"/>
        </w:numPr>
        <w:ind w:left="0" w:leftChars="0" w:firstLine="640" w:firstLineChars="200"/>
        <w:rPr>
          <w:rFonts w:hint="eastAsia" w:ascii="华文楷体" w:hAnsi="华文楷体" w:eastAsia="华文楷体" w:cs="华文楷体"/>
          <w:kern w:val="2"/>
          <w:sz w:val="32"/>
          <w:szCs w:val="32"/>
          <w:lang w:val="en-US" w:eastAsia="zh-CN" w:bidi="ar-SA"/>
        </w:rPr>
      </w:pPr>
      <w:r>
        <w:rPr>
          <w:rFonts w:hint="eastAsia" w:ascii="华文楷体" w:hAnsi="华文楷体" w:eastAsia="华文楷体" w:cs="华文楷体"/>
          <w:kern w:val="2"/>
          <w:sz w:val="32"/>
          <w:szCs w:val="32"/>
          <w:lang w:val="en-US" w:eastAsia="zh-CN" w:bidi="ar-SA"/>
        </w:rPr>
        <w:t>自评质量</w:t>
      </w:r>
    </w:p>
    <w:p>
      <w:pPr>
        <w:numPr>
          <w:ilvl w:val="0"/>
          <w:numId w:val="0"/>
        </w:numPr>
        <w:ind w:firstLine="640" w:firstLineChars="200"/>
        <w:rPr>
          <w:rFonts w:hint="eastAsia" w:ascii="仿宋" w:hAnsi="仿宋" w:eastAsia="仿宋" w:cs="仿宋"/>
          <w:i w:val="0"/>
          <w:iCs w:val="0"/>
          <w:caps w:val="0"/>
          <w:color w:val="333333"/>
          <w:spacing w:val="0"/>
          <w:sz w:val="32"/>
          <w:szCs w:val="32"/>
          <w:shd w:val="clear" w:color="auto" w:fill="FFFFFF"/>
        </w:rPr>
      </w:pPr>
      <w:r>
        <w:rPr>
          <w:rFonts w:ascii="仿宋" w:hAnsi="仿宋" w:eastAsia="仿宋" w:cs="仿宋"/>
          <w:i w:val="0"/>
          <w:iCs w:val="0"/>
          <w:caps w:val="0"/>
          <w:color w:val="000000"/>
          <w:spacing w:val="0"/>
          <w:sz w:val="32"/>
          <w:szCs w:val="32"/>
          <w:shd w:val="clear" w:color="auto" w:fill="FFFFFF"/>
        </w:rPr>
        <w:t>我</w:t>
      </w:r>
      <w:r>
        <w:rPr>
          <w:rFonts w:hint="eastAsia" w:ascii="仿宋" w:hAnsi="仿宋" w:eastAsia="仿宋" w:cs="仿宋"/>
          <w:i w:val="0"/>
          <w:iCs w:val="0"/>
          <w:caps w:val="0"/>
          <w:color w:val="000000"/>
          <w:spacing w:val="0"/>
          <w:sz w:val="32"/>
          <w:szCs w:val="32"/>
          <w:shd w:val="clear" w:color="auto" w:fill="FFFFFF"/>
          <w:lang w:val="en-US" w:eastAsia="zh-CN"/>
        </w:rPr>
        <w:t>社</w:t>
      </w:r>
      <w:r>
        <w:rPr>
          <w:rFonts w:ascii="仿宋" w:hAnsi="仿宋" w:eastAsia="仿宋" w:cs="仿宋"/>
          <w:i w:val="0"/>
          <w:iCs w:val="0"/>
          <w:caps w:val="0"/>
          <w:color w:val="000000"/>
          <w:spacing w:val="0"/>
          <w:sz w:val="32"/>
          <w:szCs w:val="32"/>
          <w:shd w:val="clear" w:color="auto" w:fill="FFFFFF"/>
        </w:rPr>
        <w:t>本次自评得分为</w:t>
      </w:r>
      <w:r>
        <w:rPr>
          <w:rFonts w:hint="eastAsia" w:ascii="仿宋" w:hAnsi="仿宋" w:eastAsia="仿宋" w:cs="仿宋"/>
          <w:i w:val="0"/>
          <w:iCs w:val="0"/>
          <w:caps w:val="0"/>
          <w:color w:val="000000"/>
          <w:spacing w:val="0"/>
          <w:sz w:val="32"/>
          <w:szCs w:val="32"/>
          <w:shd w:val="clear" w:color="auto" w:fill="FFFFFF"/>
          <w:lang w:val="en-US" w:eastAsia="zh-CN"/>
        </w:rPr>
        <w:t>99</w:t>
      </w:r>
      <w:r>
        <w:rPr>
          <w:rFonts w:hint="eastAsia" w:ascii="仿宋" w:hAnsi="仿宋" w:eastAsia="仿宋" w:cs="仿宋"/>
          <w:i w:val="0"/>
          <w:iCs w:val="0"/>
          <w:caps w:val="0"/>
          <w:color w:val="000000"/>
          <w:spacing w:val="0"/>
          <w:sz w:val="32"/>
          <w:szCs w:val="32"/>
          <w:shd w:val="clear" w:color="auto" w:fill="FFFFFF"/>
        </w:rPr>
        <w:t>分。通过资料收集、绩效评价、工作总结及撰写报告等几个阶段，认真、准确填写自评数据表，形成详实的自评报告，并在2022年4月2</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rPr>
        <w:t>日之前按时</w:t>
      </w:r>
      <w:r>
        <w:rPr>
          <w:rFonts w:hint="eastAsia" w:ascii="仿宋" w:hAnsi="仿宋" w:eastAsia="仿宋" w:cs="仿宋"/>
          <w:i w:val="0"/>
          <w:iCs w:val="0"/>
          <w:caps w:val="0"/>
          <w:color w:val="333333"/>
          <w:spacing w:val="0"/>
          <w:sz w:val="32"/>
          <w:szCs w:val="32"/>
          <w:shd w:val="clear" w:color="auto" w:fill="FFFFFF"/>
        </w:rPr>
        <w:t>完成自评工作，并对所报送自评材料的真实性、完整性、一致性、规范性负责。</w:t>
      </w:r>
    </w:p>
    <w:p>
      <w:pPr>
        <w:numPr>
          <w:ilvl w:val="0"/>
          <w:numId w:val="0"/>
        </w:numPr>
        <w:ind w:firstLine="640" w:firstLineChars="200"/>
        <w:rPr>
          <w:rFonts w:hint="eastAsia" w:ascii="黑体" w:hAnsi="黑体" w:eastAsia="黑体" w:cs="黑体"/>
          <w:sz w:val="32"/>
          <w:szCs w:val="32"/>
        </w:rPr>
      </w:pPr>
      <w:r>
        <w:rPr>
          <w:rFonts w:hint="eastAsia" w:ascii="黑体" w:hAnsi="黑体" w:eastAsia="黑体" w:cs="黑体"/>
          <w:sz w:val="32"/>
          <w:szCs w:val="32"/>
        </w:rPr>
        <w:t>四、评价结论及建议</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rightChars="0" w:firstLine="672" w:firstLineChars="200"/>
        <w:textAlignment w:val="auto"/>
        <w:rPr>
          <w:rFonts w:hint="default" w:ascii="Times New Roman" w:hAnsi="Times New Roman" w:eastAsia="楷体_GB2312" w:cs="Times New Roman"/>
          <w:b w:val="0"/>
          <w:bCs w:val="0"/>
          <w:i w:val="0"/>
          <w:caps w:val="0"/>
          <w:color w:val="000000"/>
          <w:spacing w:val="8"/>
          <w:sz w:val="32"/>
          <w:szCs w:val="32"/>
          <w:shd w:val="clear" w:color="auto" w:fill="FFFFFF"/>
          <w:lang w:val="en-US" w:eastAsia="zh-CN"/>
        </w:rPr>
      </w:pPr>
      <w:r>
        <w:rPr>
          <w:rFonts w:hint="default" w:ascii="Times New Roman" w:hAnsi="Times New Roman" w:eastAsia="楷体_GB2312" w:cs="Times New Roman"/>
          <w:b w:val="0"/>
          <w:bCs w:val="0"/>
          <w:i w:val="0"/>
          <w:caps w:val="0"/>
          <w:color w:val="000000"/>
          <w:spacing w:val="8"/>
          <w:sz w:val="32"/>
          <w:szCs w:val="32"/>
          <w:shd w:val="clear" w:color="auto" w:fill="FFFFFF"/>
          <w:lang w:val="en-US" w:eastAsia="zh-CN"/>
        </w:rPr>
        <w:t>（一）评价结论</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r>
        <w:rPr>
          <w:rFonts w:hint="default" w:ascii="Times New Roman" w:hAnsi="Times New Roman" w:eastAsia="仿宋_GB2312" w:cs="Times New Roman"/>
          <w:b w:val="0"/>
          <w:bCs w:val="0"/>
          <w:color w:val="000000"/>
          <w:sz w:val="32"/>
          <w:szCs w:val="32"/>
        </w:rPr>
        <w:t>20</w:t>
      </w:r>
      <w:r>
        <w:rPr>
          <w:rFonts w:hint="default" w:ascii="Times New Roman" w:hAnsi="Times New Roman" w:eastAsia="仿宋_GB2312" w:cs="Times New Roman"/>
          <w:b w:val="0"/>
          <w:bCs w:val="0"/>
          <w:color w:val="000000"/>
          <w:sz w:val="32"/>
          <w:szCs w:val="32"/>
          <w:lang w:val="en-US" w:eastAsia="zh-CN"/>
        </w:rPr>
        <w:t>2</w:t>
      </w:r>
      <w:r>
        <w:rPr>
          <w:rFonts w:hint="eastAsia"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rPr>
        <w:t>年，</w:t>
      </w:r>
      <w:r>
        <w:rPr>
          <w:rFonts w:hint="default" w:ascii="Times New Roman" w:hAnsi="Times New Roman" w:eastAsia="仿宋_GB2312" w:cs="Times New Roman"/>
          <w:b w:val="0"/>
          <w:bCs w:val="0"/>
          <w:sz w:val="32"/>
          <w:szCs w:val="32"/>
        </w:rPr>
        <w:t>我单位按照《广元市昭化区人民政府办公室关于印发&lt;关于印发《广元市昭化区财政预算绩效管理办法》《广元市昭化区财政预算事前绩效评估管理暂行办法》《广元市昭化区预算绩效事中运行监控管理暂行办法》《广元市昭化区财政支出事后绩效评价管理办法》的通知&gt;的通知》(昭府办函〔20</w:t>
      </w:r>
      <w:r>
        <w:rPr>
          <w:rFonts w:hint="eastAsia" w:ascii="Times New Roman" w:hAnsi="Times New Roman" w:eastAsia="仿宋_GB2312" w:cs="Times New Roman"/>
          <w:b w:val="0"/>
          <w:bCs w:val="0"/>
          <w:sz w:val="32"/>
          <w:szCs w:val="32"/>
          <w:lang w:val="en-US" w:eastAsia="zh-CN"/>
        </w:rPr>
        <w:t>22</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37</w:t>
      </w:r>
      <w:r>
        <w:rPr>
          <w:rFonts w:hint="default" w:ascii="Times New Roman" w:hAnsi="Times New Roman" w:eastAsia="仿宋_GB2312" w:cs="Times New Roman"/>
          <w:b w:val="0"/>
          <w:bCs w:val="0"/>
          <w:sz w:val="32"/>
          <w:szCs w:val="32"/>
        </w:rPr>
        <w:t>号)绩效评价指标体系开展绩效评价。自评得分为</w:t>
      </w:r>
      <w:r>
        <w:rPr>
          <w:rFonts w:hint="eastAsia" w:ascii="Times New Roman" w:hAnsi="Times New Roman" w:eastAsia="仿宋_GB2312" w:cs="Times New Roman"/>
          <w:b w:val="0"/>
          <w:bCs w:val="0"/>
          <w:sz w:val="32"/>
          <w:szCs w:val="32"/>
          <w:lang w:val="en-US" w:eastAsia="zh-CN"/>
        </w:rPr>
        <w:t>99</w:t>
      </w:r>
      <w:r>
        <w:rPr>
          <w:rFonts w:hint="default" w:ascii="Times New Roman" w:hAnsi="Times New Roman" w:eastAsia="仿宋_GB2312" w:cs="Times New Roman"/>
          <w:b w:val="0"/>
          <w:bCs w:val="0"/>
          <w:sz w:val="32"/>
          <w:szCs w:val="32"/>
        </w:rPr>
        <w:t>分。</w:t>
      </w:r>
      <w:r>
        <w:rPr>
          <w:rFonts w:hint="default" w:ascii="Times New Roman" w:hAnsi="Times New Roman" w:eastAsia="仿宋_GB2312" w:cs="Times New Roman"/>
          <w:b w:val="0"/>
          <w:bCs w:val="0"/>
          <w:color w:val="000000"/>
          <w:sz w:val="32"/>
          <w:szCs w:val="32"/>
        </w:rPr>
        <w:t>认真落实</w:t>
      </w:r>
      <w:r>
        <w:rPr>
          <w:rFonts w:hint="default" w:ascii="Times New Roman" w:hAnsi="Times New Roman" w:eastAsia="仿宋_GB2312" w:cs="Times New Roman"/>
          <w:b w:val="0"/>
          <w:bCs w:val="0"/>
          <w:color w:val="000000"/>
          <w:sz w:val="32"/>
          <w:szCs w:val="32"/>
          <w:lang w:eastAsia="zh-CN"/>
        </w:rPr>
        <w:t>市供销社和</w:t>
      </w:r>
      <w:r>
        <w:rPr>
          <w:rFonts w:hint="default" w:ascii="Times New Roman" w:hAnsi="Times New Roman" w:eastAsia="仿宋_GB2312" w:cs="Times New Roman"/>
          <w:b w:val="0"/>
          <w:bCs w:val="0"/>
          <w:color w:val="000000"/>
          <w:sz w:val="32"/>
          <w:szCs w:val="32"/>
        </w:rPr>
        <w:t>区委</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政府决策部署，按照保进度、重质量、求实效的要求，全面推进各项重点工作，较好地完成了各项目标任务。</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rightChars="0" w:firstLine="672" w:firstLineChars="200"/>
        <w:textAlignment w:val="auto"/>
        <w:rPr>
          <w:rFonts w:hint="default" w:ascii="Times New Roman" w:hAnsi="Times New Roman" w:eastAsia="楷体_GB2312" w:cs="Times New Roman"/>
          <w:b w:val="0"/>
          <w:bCs w:val="0"/>
          <w:i w:val="0"/>
          <w:caps w:val="0"/>
          <w:color w:val="000000"/>
          <w:spacing w:val="8"/>
          <w:sz w:val="32"/>
          <w:szCs w:val="32"/>
          <w:shd w:val="clear" w:color="auto" w:fill="FFFFFF"/>
          <w:lang w:val="en-US" w:eastAsia="zh-CN"/>
        </w:rPr>
      </w:pPr>
      <w:r>
        <w:rPr>
          <w:rFonts w:hint="default" w:ascii="Times New Roman" w:hAnsi="Times New Roman" w:eastAsia="楷体_GB2312" w:cs="Times New Roman"/>
          <w:b w:val="0"/>
          <w:bCs w:val="0"/>
          <w:i w:val="0"/>
          <w:caps w:val="0"/>
          <w:color w:val="000000"/>
          <w:spacing w:val="8"/>
          <w:sz w:val="32"/>
          <w:szCs w:val="32"/>
          <w:shd w:val="clear" w:color="auto" w:fill="FFFFFF"/>
          <w:lang w:val="en-US" w:eastAsia="zh-CN"/>
        </w:rPr>
        <w:t>（二）存在问题</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r>
        <w:rPr>
          <w:rFonts w:hint="default" w:ascii="Times New Roman" w:hAnsi="Times New Roman" w:eastAsia="仿宋_GB2312" w:cs="Times New Roman"/>
          <w:b w:val="0"/>
          <w:bCs w:val="0"/>
          <w:color w:val="000000"/>
          <w:sz w:val="32"/>
          <w:szCs w:val="32"/>
          <w:lang w:eastAsia="zh-CN"/>
        </w:rPr>
        <w:t>因编制</w:t>
      </w:r>
      <w:r>
        <w:rPr>
          <w:rFonts w:hint="default" w:ascii="Times New Roman" w:hAnsi="Times New Roman" w:eastAsia="仿宋_GB2312" w:cs="Times New Roman"/>
          <w:b w:val="0"/>
          <w:bCs w:val="0"/>
          <w:color w:val="000000"/>
          <w:sz w:val="32"/>
          <w:szCs w:val="32"/>
        </w:rPr>
        <w:t>有限</w:t>
      </w:r>
      <w:r>
        <w:rPr>
          <w:rFonts w:hint="default" w:ascii="Times New Roman" w:hAnsi="Times New Roman" w:eastAsia="仿宋_GB2312" w:cs="Times New Roman"/>
          <w:b w:val="0"/>
          <w:bCs w:val="0"/>
          <w:i w:val="0"/>
          <w:caps w:val="0"/>
          <w:color w:val="000000"/>
          <w:spacing w:val="0"/>
          <w:sz w:val="32"/>
          <w:szCs w:val="32"/>
        </w:rPr>
        <w:t>，</w:t>
      </w:r>
      <w:r>
        <w:rPr>
          <w:rFonts w:hint="default" w:ascii="Times New Roman" w:hAnsi="Times New Roman" w:eastAsia="仿宋_GB2312" w:cs="Times New Roman"/>
          <w:b w:val="0"/>
          <w:bCs w:val="0"/>
          <w:color w:val="000000"/>
          <w:sz w:val="32"/>
          <w:szCs w:val="32"/>
        </w:rPr>
        <w:t>工作人员较少，</w:t>
      </w:r>
      <w:r>
        <w:rPr>
          <w:rFonts w:hint="default" w:ascii="Times New Roman" w:hAnsi="Times New Roman" w:eastAsia="仿宋_GB2312" w:cs="Times New Roman"/>
          <w:b w:val="0"/>
          <w:bCs w:val="0"/>
          <w:color w:val="000000"/>
          <w:sz w:val="32"/>
          <w:szCs w:val="32"/>
          <w:lang w:eastAsia="zh-CN"/>
        </w:rPr>
        <w:t>财务人员除财务工作外还负责很多其他业务工作，</w:t>
      </w:r>
      <w:r>
        <w:rPr>
          <w:rFonts w:hint="default" w:ascii="Times New Roman" w:hAnsi="Times New Roman" w:eastAsia="仿宋_GB2312" w:cs="Times New Roman"/>
          <w:b w:val="0"/>
          <w:bCs w:val="0"/>
          <w:color w:val="000000"/>
          <w:sz w:val="32"/>
          <w:szCs w:val="32"/>
        </w:rPr>
        <w:t>影响了有关工作的迅速有效开展及落实</w:t>
      </w:r>
      <w:r>
        <w:rPr>
          <w:rFonts w:hint="default" w:ascii="Times New Roman" w:hAnsi="Times New Roman" w:eastAsia="仿宋_GB2312" w:cs="Times New Roman"/>
          <w:b w:val="0"/>
          <w:bCs w:val="0"/>
          <w:color w:val="000000"/>
          <w:sz w:val="32"/>
          <w:szCs w:val="32"/>
          <w:lang w:eastAsia="zh-CN"/>
        </w:rPr>
        <w:t>。</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rightChars="0" w:firstLine="672" w:firstLineChars="200"/>
        <w:textAlignment w:val="auto"/>
        <w:rPr>
          <w:rFonts w:hint="default" w:ascii="Times New Roman" w:hAnsi="Times New Roman" w:eastAsia="楷体_GB2312" w:cs="Times New Roman"/>
          <w:b w:val="0"/>
          <w:bCs w:val="0"/>
          <w:i w:val="0"/>
          <w:caps w:val="0"/>
          <w:color w:val="000000"/>
          <w:spacing w:val="8"/>
          <w:sz w:val="32"/>
          <w:szCs w:val="32"/>
          <w:shd w:val="clear" w:color="auto" w:fill="FFFFFF"/>
          <w:lang w:val="en-US" w:eastAsia="zh-CN"/>
        </w:rPr>
      </w:pPr>
      <w:r>
        <w:rPr>
          <w:rFonts w:hint="default" w:ascii="Times New Roman" w:hAnsi="Times New Roman" w:eastAsia="楷体_GB2312" w:cs="Times New Roman"/>
          <w:b w:val="0"/>
          <w:bCs w:val="0"/>
          <w:i w:val="0"/>
          <w:caps w:val="0"/>
          <w:color w:val="000000"/>
          <w:spacing w:val="8"/>
          <w:sz w:val="32"/>
          <w:szCs w:val="32"/>
          <w:shd w:val="clear" w:color="auto" w:fill="FFFFFF"/>
          <w:lang w:val="en-US" w:eastAsia="zh-CN"/>
        </w:rPr>
        <w:t>（三）改进建议</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textAlignment w:val="auto"/>
        <w:rPr>
          <w:rFonts w:hint="default" w:ascii="Times New Roman" w:hAnsi="Times New Roman" w:eastAsia="仿宋_GB2312" w:cs="Times New Roman"/>
          <w:b w:val="0"/>
          <w:bCs w:val="0"/>
          <w:i w:val="0"/>
          <w:caps w:val="0"/>
          <w:color w:val="000000"/>
          <w:spacing w:val="0"/>
          <w:sz w:val="32"/>
          <w:szCs w:val="32"/>
          <w:shd w:val="clear" w:color="auto" w:fill="FFFFFF"/>
          <w:lang w:eastAsia="zh-CN"/>
        </w:rPr>
      </w:pPr>
      <w:r>
        <w:rPr>
          <w:rFonts w:hint="default" w:ascii="Times New Roman" w:hAnsi="Times New Roman" w:eastAsia="仿宋_GB2312" w:cs="Times New Roman"/>
          <w:b w:val="0"/>
          <w:bCs w:val="0"/>
          <w:i w:val="0"/>
          <w:caps w:val="0"/>
          <w:color w:val="000000"/>
          <w:spacing w:val="0"/>
          <w:sz w:val="32"/>
          <w:szCs w:val="32"/>
          <w:shd w:val="clear" w:color="auto" w:fill="FFFFFF"/>
        </w:rPr>
        <w:t>1</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严格按照预算编制的相关制度和要求进行预算编制，全面编制预算项目，优先保障固定性的、相对刚性的费用开支项目，尽量压缩变动性的，有控制空间的费用项目，进一步提高预算编制的科学性，严谨性和可控性。</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val="0"/>
          <w:i w:val="0"/>
          <w:caps w:val="0"/>
          <w:color w:val="000000"/>
          <w:spacing w:val="0"/>
          <w:sz w:val="32"/>
          <w:szCs w:val="32"/>
          <w:shd w:val="clear" w:color="auto" w:fill="FFFFFF"/>
        </w:rPr>
      </w:pPr>
      <w:r>
        <w:rPr>
          <w:rFonts w:hint="default" w:ascii="Times New Roman" w:hAnsi="Times New Roman" w:eastAsia="仿宋_GB2312" w:cs="Times New Roman"/>
          <w:b w:val="0"/>
          <w:bCs w:val="0"/>
          <w:i w:val="0"/>
          <w:caps w:val="0"/>
          <w:color w:val="000000"/>
          <w:spacing w:val="0"/>
          <w:sz w:val="32"/>
          <w:szCs w:val="32"/>
          <w:shd w:val="clear" w:color="auto" w:fill="FFFFFF"/>
        </w:rPr>
        <w:t>2</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w:t>
      </w:r>
      <w:r>
        <w:rPr>
          <w:rFonts w:hint="default" w:ascii="Times New Roman" w:hAnsi="Times New Roman" w:eastAsia="仿宋_GB2312" w:cs="Times New Roman"/>
          <w:b w:val="0"/>
          <w:bCs w:val="0"/>
          <w:i w:val="0"/>
          <w:caps w:val="0"/>
          <w:color w:val="000000"/>
          <w:spacing w:val="0"/>
          <w:sz w:val="32"/>
          <w:szCs w:val="32"/>
          <w:shd w:val="clear" w:color="auto" w:fill="FFFFFF"/>
        </w:rPr>
        <w:t>加强单位财务管理，健全单位财务管理制度体系，规范单位财务行为</w:t>
      </w:r>
      <w:r>
        <w:rPr>
          <w:rFonts w:hint="eastAsia" w:ascii="Times New Roman" w:hAnsi="Times New Roman" w:eastAsia="仿宋_GB2312" w:cs="Times New Roman"/>
          <w:b w:val="0"/>
          <w:bCs w:val="0"/>
          <w:i w:val="0"/>
          <w:caps w:val="0"/>
          <w:color w:val="000000"/>
          <w:spacing w:val="0"/>
          <w:sz w:val="32"/>
          <w:szCs w:val="32"/>
          <w:shd w:val="clear" w:color="auto" w:fill="FFFFFF"/>
          <w:lang w:eastAsia="zh-CN"/>
        </w:rPr>
        <w:t>，</w:t>
      </w:r>
      <w:r>
        <w:rPr>
          <w:rFonts w:hint="default" w:ascii="Times New Roman" w:hAnsi="Times New Roman" w:eastAsia="仿宋_GB2312" w:cs="Times New Roman"/>
          <w:b w:val="0"/>
          <w:bCs w:val="0"/>
          <w:i w:val="0"/>
          <w:caps w:val="0"/>
          <w:color w:val="000000"/>
          <w:spacing w:val="0"/>
          <w:sz w:val="32"/>
          <w:szCs w:val="32"/>
          <w:shd w:val="clear" w:color="auto" w:fill="FFFFFF"/>
        </w:rPr>
        <w:t>在费用报账支付时，按照预算规定的费用项目和用途进行资金使用审核、列报支付、财务核算，杜绝超支现象的发生。</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val="0"/>
          <w:i w:val="0"/>
          <w:caps w:val="0"/>
          <w:color w:val="000000"/>
          <w:spacing w:val="0"/>
          <w:sz w:val="32"/>
          <w:szCs w:val="32"/>
          <w:shd w:val="clear" w:color="auto" w:fill="FFFFFF"/>
        </w:rPr>
      </w:pPr>
      <w:r>
        <w:rPr>
          <w:rFonts w:hint="default" w:ascii="Times New Roman" w:hAnsi="Times New Roman" w:eastAsia="仿宋_GB2312" w:cs="Times New Roman"/>
          <w:b w:val="0"/>
          <w:bCs w:val="0"/>
          <w:i w:val="0"/>
          <w:caps w:val="0"/>
          <w:color w:val="000000"/>
          <w:spacing w:val="0"/>
          <w:sz w:val="32"/>
          <w:szCs w:val="32"/>
          <w:shd w:val="clear" w:color="auto" w:fill="FFFFFF"/>
        </w:rPr>
        <w:t>3</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w:t>
      </w:r>
      <w:r>
        <w:rPr>
          <w:rFonts w:hint="default" w:ascii="Times New Roman" w:hAnsi="Times New Roman" w:eastAsia="仿宋_GB2312" w:cs="Times New Roman"/>
          <w:b w:val="0"/>
          <w:bCs w:val="0"/>
          <w:i w:val="0"/>
          <w:caps w:val="0"/>
          <w:color w:val="000000"/>
          <w:spacing w:val="0"/>
          <w:sz w:val="32"/>
          <w:szCs w:val="32"/>
          <w:shd w:val="clear" w:color="auto" w:fill="FFFFFF"/>
        </w:rPr>
        <w:t>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pStyle w:val="2"/>
        <w:ind w:firstLine="320" w:firstLineChars="100"/>
        <w:rPr>
          <w:rFonts w:hint="eastAsia" w:hAnsi="宋体" w:cs="宋体"/>
          <w:color w:val="auto"/>
          <w:kern w:val="0"/>
          <w:sz w:val="32"/>
          <w:szCs w:val="32"/>
          <w:highlight w:val="none"/>
          <w:shd w:val="clear" w:color="auto" w:fill="FFFFFF"/>
          <w:lang w:val="zh-CN"/>
        </w:rPr>
      </w:pPr>
      <w:r>
        <w:rPr>
          <w:rFonts w:hint="default" w:ascii="Times New Roman" w:hAnsi="Times New Roman" w:eastAsia="仿宋_GB2312" w:cs="Times New Roman"/>
          <w:b w:val="0"/>
          <w:bCs w:val="0"/>
          <w:i w:val="0"/>
          <w:caps w:val="0"/>
          <w:color w:val="000000"/>
          <w:spacing w:val="0"/>
          <w:sz w:val="32"/>
          <w:szCs w:val="32"/>
          <w:shd w:val="clear" w:color="auto" w:fill="FFFFFF"/>
        </w:rPr>
        <w:t>4</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w:t>
      </w:r>
      <w:r>
        <w:rPr>
          <w:rFonts w:hint="default" w:ascii="Times New Roman" w:hAnsi="Times New Roman" w:eastAsia="仿宋_GB2312" w:cs="Times New Roman"/>
          <w:b w:val="0"/>
          <w:bCs w:val="0"/>
          <w:i w:val="0"/>
          <w:caps w:val="0"/>
          <w:color w:val="000000"/>
          <w:spacing w:val="0"/>
          <w:sz w:val="32"/>
          <w:szCs w:val="32"/>
          <w:shd w:val="clear" w:color="auto" w:fill="FFFFFF"/>
        </w:rPr>
        <w:t>对相关人员加强培训，特别是针对《</w:t>
      </w:r>
      <w:r>
        <w:t>中华人民共和国预算法</w:t>
      </w:r>
      <w:r>
        <w:rPr>
          <w:rFonts w:hint="default" w:ascii="Times New Roman" w:hAnsi="Times New Roman" w:eastAsia="仿宋_GB2312" w:cs="Times New Roman"/>
          <w:b w:val="0"/>
          <w:bCs w:val="0"/>
          <w:i w:val="0"/>
          <w:caps w:val="0"/>
          <w:color w:val="000000"/>
          <w:spacing w:val="0"/>
          <w:sz w:val="32"/>
          <w:szCs w:val="32"/>
          <w:shd w:val="clear" w:color="auto" w:fill="FFFFFF"/>
        </w:rPr>
        <w:t>》、《行政事业单位会计制度》等学习培训，规范部门预算收支核算，切实提高部门预算收支管理水平。</w:t>
      </w: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ind w:left="0" w:leftChars="0" w:firstLine="0" w:firstLineChars="0"/>
        <w:rPr>
          <w:rFonts w:hint="eastAsia" w:hAnsi="宋体" w:cs="宋体"/>
          <w:color w:val="auto"/>
          <w:kern w:val="0"/>
          <w:sz w:val="32"/>
          <w:szCs w:val="32"/>
          <w:highlight w:val="none"/>
          <w:shd w:val="clear" w:color="auto" w:fill="FFFFFF"/>
          <w:lang w:val="zh-CN"/>
        </w:rPr>
      </w:pPr>
    </w:p>
    <w:p>
      <w:pPr>
        <w:pStyle w:val="2"/>
        <w:ind w:left="0" w:leftChars="0" w:firstLine="0" w:firstLineChars="0"/>
        <w:rPr>
          <w:rFonts w:hint="eastAsia" w:hAnsi="宋体" w:cs="宋体"/>
          <w:color w:val="auto"/>
          <w:kern w:val="0"/>
          <w:sz w:val="32"/>
          <w:szCs w:val="32"/>
          <w:highlight w:val="none"/>
          <w:shd w:val="clear" w:color="auto" w:fill="FFFFFF"/>
          <w:lang w:val="zh-CN"/>
        </w:rPr>
      </w:pPr>
    </w:p>
    <w:p>
      <w:pPr>
        <w:pStyle w:val="2"/>
        <w:ind w:left="0" w:leftChars="0" w:firstLine="0" w:firstLineChars="0"/>
        <w:rPr>
          <w:rFonts w:hint="eastAsia" w:hAnsi="宋体" w:cs="宋体"/>
          <w:color w:val="auto"/>
          <w:kern w:val="0"/>
          <w:sz w:val="32"/>
          <w:szCs w:val="32"/>
          <w:highlight w:val="none"/>
          <w:shd w:val="clear" w:color="auto" w:fill="FFFFFF"/>
          <w:lang w:val="zh-CN"/>
        </w:rPr>
      </w:pPr>
    </w:p>
    <w:p>
      <w:pPr>
        <w:pStyle w:val="2"/>
        <w:ind w:left="0" w:leftChars="0" w:firstLine="0" w:firstLineChars="0"/>
        <w:rPr>
          <w:rFonts w:hint="eastAsia" w:hAnsi="宋体" w:cs="宋体"/>
          <w:color w:val="auto"/>
          <w:kern w:val="0"/>
          <w:sz w:val="32"/>
          <w:szCs w:val="32"/>
          <w:highlight w:val="none"/>
          <w:shd w:val="clear" w:color="auto" w:fill="FFFFFF"/>
          <w:lang w:val="zh-CN"/>
        </w:rPr>
      </w:pPr>
    </w:p>
    <w:p>
      <w:pPr>
        <w:pStyle w:val="2"/>
        <w:ind w:left="0" w:leftChars="0" w:firstLine="0" w:firstLineChars="0"/>
        <w:rPr>
          <w:rFonts w:hint="eastAsia" w:hAnsi="宋体" w:cs="宋体"/>
          <w:color w:val="auto"/>
          <w:kern w:val="0"/>
          <w:sz w:val="32"/>
          <w:szCs w:val="32"/>
          <w:highlight w:val="none"/>
          <w:shd w:val="clear" w:color="auto" w:fill="FFFFFF"/>
          <w:lang w:val="zh-CN"/>
        </w:rPr>
      </w:pPr>
    </w:p>
    <w:p>
      <w:pPr>
        <w:pStyle w:val="2"/>
        <w:ind w:left="0" w:leftChars="0" w:firstLine="0" w:firstLineChars="0"/>
        <w:rPr>
          <w:rFonts w:hint="eastAsia" w:hAnsi="宋体" w:cs="宋体"/>
          <w:color w:val="auto"/>
          <w:kern w:val="0"/>
          <w:sz w:val="32"/>
          <w:szCs w:val="32"/>
          <w:highlight w:val="none"/>
          <w:shd w:val="clear" w:color="auto" w:fill="FFFFFF"/>
          <w:lang w:val="zh-CN"/>
        </w:rPr>
      </w:pPr>
    </w:p>
    <w:p>
      <w:pPr>
        <w:pStyle w:val="2"/>
        <w:ind w:left="0" w:leftChars="0" w:firstLine="0" w:firstLineChars="0"/>
        <w:rPr>
          <w:rFonts w:hint="eastAsia" w:hAnsi="宋体" w:cs="宋体"/>
          <w:color w:val="auto"/>
          <w:kern w:val="0"/>
          <w:sz w:val="32"/>
          <w:szCs w:val="32"/>
          <w:highlight w:val="none"/>
          <w:shd w:val="clear" w:color="auto" w:fill="FFFFFF"/>
          <w:lang w:val="zh-CN"/>
        </w:rPr>
      </w:pPr>
    </w:p>
    <w:tbl>
      <w:tblPr>
        <w:tblStyle w:val="15"/>
        <w:tblW w:w="922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1"/>
        <w:gridCol w:w="852"/>
        <w:gridCol w:w="1140"/>
        <w:gridCol w:w="2099"/>
        <w:gridCol w:w="1409"/>
        <w:gridCol w:w="1409"/>
        <w:gridCol w:w="15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9226"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rPr>
              <w:t>广元市昭化区部门整体支出绩效目标自评表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226" w:type="dxa"/>
            <w:gridSpan w:val="7"/>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3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区供销联社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2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rPr>
              <w:t>区供销联社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643"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项目（政策）资金（万元）</w:t>
            </w:r>
          </w:p>
        </w:tc>
        <w:tc>
          <w:tcPr>
            <w:tcW w:w="11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209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14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14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152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4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年度资金总额</w:t>
            </w: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174.73万元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243.56万元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194.06万元</w:t>
            </w:r>
          </w:p>
        </w:tc>
        <w:tc>
          <w:tcPr>
            <w:tcW w:w="152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64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（一）财政拨款小计</w:t>
            </w: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174.73万元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243.56万元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194.06万元</w:t>
            </w:r>
          </w:p>
        </w:tc>
        <w:tc>
          <w:tcPr>
            <w:tcW w:w="152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64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1.一般公共预算</w:t>
            </w: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174.73万元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243.56万元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194.06万元</w:t>
            </w:r>
          </w:p>
        </w:tc>
        <w:tc>
          <w:tcPr>
            <w:tcW w:w="152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64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2.政府性基金</w:t>
            </w: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152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64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3.国有资本经营预算</w:t>
            </w: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152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64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4.社保基金</w:t>
            </w: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152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64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（二）其他资金</w:t>
            </w:r>
          </w:p>
        </w:tc>
        <w:tc>
          <w:tcPr>
            <w:tcW w:w="209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140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140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152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整体</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w:t>
            </w:r>
          </w:p>
        </w:tc>
        <w:tc>
          <w:tcPr>
            <w:tcW w:w="5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年度目标</w:t>
            </w:r>
          </w:p>
        </w:tc>
        <w:tc>
          <w:tcPr>
            <w:tcW w:w="2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5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切实做好基层供销社发展和社有企业管理，加强社会化服务基层组织建设，服务“三农”，全年新建社会化服务超市5个，农村电子商务服务站5个，维护改造升级五大网络体系服务网点25个；完成废弃农膜回收价格兑付。围绕乡村振兴，为农服务宗旨，促进农村经济发展。</w:t>
            </w:r>
          </w:p>
        </w:tc>
        <w:tc>
          <w:tcPr>
            <w:tcW w:w="2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按时完成工资发放，无拖欠；新建社会化服务超市5个，农村电子商务服务站5个，维护改造升级五大网络体系服务网点25个；完成废弃农膜回收价格兑付。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部门整体绩效指标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209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1526"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发放宣传资料</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8000份</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8000份</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209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废弃农膜回收吨数</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2吨</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2.3吨</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209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新建任务，维护改造升级网点</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25个</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25个</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209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网点正常运作率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100%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209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完成年度工作时限</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年</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年</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209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人员经费、网络体系建设、废弃农膜宣传及价格补贴资金</w:t>
            </w:r>
          </w:p>
        </w:tc>
        <w:tc>
          <w:tcPr>
            <w:tcW w:w="14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174.73万元</w:t>
            </w:r>
          </w:p>
        </w:tc>
        <w:tc>
          <w:tcPr>
            <w:tcW w:w="14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194.06万元</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人员增加，三定方案8个编，实际年末在岗10人；在职人员正常工资晋升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11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经济效益</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209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带动农村经济提升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10%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社会效益</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209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活跃农村市场</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好坏</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好</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生态效益</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209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减少环境污染</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高中低</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高</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可持续影响指标</w:t>
            </w:r>
          </w:p>
        </w:tc>
        <w:tc>
          <w:tcPr>
            <w:tcW w:w="209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人居环境改善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好坏</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好</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209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提升地方经济收入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209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群众满意度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eastAsia" w:ascii="宋体" w:hAnsi="宋体" w:eastAsia="宋体" w:cs="宋体"/>
                <w:i w:val="0"/>
                <w:iCs w:val="0"/>
                <w:color w:val="000000"/>
                <w:sz w:val="18"/>
                <w:szCs w:val="18"/>
                <w:u w:val="none"/>
              </w:rPr>
            </w:pPr>
          </w:p>
        </w:tc>
      </w:tr>
    </w:tbl>
    <w:p>
      <w:pPr>
        <w:pStyle w:val="2"/>
        <w:ind w:left="0" w:leftChars="0" w:firstLine="0" w:firstLineChars="0"/>
        <w:rPr>
          <w:rFonts w:hint="eastAsia" w:hAnsi="宋体" w:cs="宋体"/>
          <w:color w:val="auto"/>
          <w:kern w:val="0"/>
          <w:sz w:val="32"/>
          <w:szCs w:val="32"/>
          <w:highlight w:val="none"/>
          <w:shd w:val="clear" w:color="auto" w:fill="FFFFFF"/>
          <w:lang w:val="zh-CN"/>
        </w:rPr>
      </w:pPr>
    </w:p>
    <w:p>
      <w:pPr>
        <w:pStyle w:val="2"/>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hint="eastAsia" w:eastAsia="仿宋_GB2312"/>
          <w:color w:val="auto"/>
          <w:sz w:val="32"/>
          <w:szCs w:val="32"/>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p>
    <w:p>
      <w:pPr>
        <w:pStyle w:val="2"/>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2022年预算项目绩效自评报告</w:t>
      </w:r>
    </w:p>
    <w:p>
      <w:pPr>
        <w:keepNext w:val="0"/>
        <w:keepLines w:val="0"/>
        <w:pageBreakBefore w:val="0"/>
        <w:shd w:val="clear" w:color="auto" w:fill="auto"/>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网络体系建设项目和废弃农膜补贴项目</w:t>
      </w:r>
      <w:r>
        <w:rPr>
          <w:rFonts w:hint="eastAsia" w:eastAsia="仿宋_GB2312" w:cs="Times New Roman"/>
          <w:b w:val="0"/>
          <w:bCs w:val="0"/>
          <w:color w:val="000000"/>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w w:val="95"/>
          <w:sz w:val="44"/>
          <w:szCs w:val="44"/>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为进一步规范财政资金管理，树立预算绩效理念，强化支出责任，提高财政资金使用效益，结合我社的具体情况，认真组织开展了2022年度供销社项目支出预算绩效自评工作，现将我社项目支出绩效评价情况报告如下：</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6" w:lineRule="exact"/>
        <w:ind w:right="0" w:rightChars="0" w:firstLine="672" w:firstLineChars="200"/>
        <w:textAlignment w:val="auto"/>
        <w:rPr>
          <w:rFonts w:hint="eastAsia" w:ascii="Times New Roman" w:hAnsi="Times New Roman" w:eastAsia="黑体" w:cs="Times New Roman"/>
          <w:b w:val="0"/>
          <w:bCs w:val="0"/>
          <w:i w:val="0"/>
          <w:caps w:val="0"/>
          <w:color w:val="000000"/>
          <w:spacing w:val="8"/>
          <w:sz w:val="32"/>
          <w:szCs w:val="32"/>
          <w:shd w:val="clear" w:color="auto" w:fill="FFFFFF"/>
        </w:rPr>
      </w:pPr>
      <w:r>
        <w:rPr>
          <w:rFonts w:hint="eastAsia" w:ascii="Times New Roman" w:hAnsi="Times New Roman" w:eastAsia="黑体" w:cs="Times New Roman"/>
          <w:b w:val="0"/>
          <w:bCs w:val="0"/>
          <w:i w:val="0"/>
          <w:caps w:val="0"/>
          <w:color w:val="000000"/>
          <w:spacing w:val="8"/>
          <w:sz w:val="32"/>
          <w:szCs w:val="32"/>
          <w:shd w:val="clear" w:color="auto" w:fill="FFFFFF"/>
        </w:rPr>
        <w:t>一、</w:t>
      </w:r>
      <w:r>
        <w:rPr>
          <w:rFonts w:hint="eastAsia" w:ascii="Times New Roman" w:hAnsi="Times New Roman" w:eastAsia="黑体" w:cs="Times New Roman"/>
          <w:b w:val="0"/>
          <w:bCs w:val="0"/>
          <w:i w:val="0"/>
          <w:caps w:val="0"/>
          <w:color w:val="000000"/>
          <w:spacing w:val="8"/>
          <w:sz w:val="32"/>
          <w:szCs w:val="32"/>
          <w:shd w:val="clear" w:color="auto" w:fill="FFFFFF"/>
          <w:lang w:val="en-US" w:eastAsia="zh-CN"/>
        </w:rPr>
        <w:t>项目</w:t>
      </w:r>
      <w:r>
        <w:rPr>
          <w:rFonts w:hint="eastAsia" w:ascii="Times New Roman" w:hAnsi="Times New Roman" w:eastAsia="黑体" w:cs="Times New Roman"/>
          <w:b w:val="0"/>
          <w:bCs w:val="0"/>
          <w:i w:val="0"/>
          <w:caps w:val="0"/>
          <w:color w:val="000000"/>
          <w:spacing w:val="8"/>
          <w:sz w:val="32"/>
          <w:szCs w:val="32"/>
          <w:shd w:val="clear" w:color="auto" w:fill="FFFFFF"/>
        </w:rPr>
        <w:t>概况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项目主管单位：广元市昭化区供销合作社联合社。职能：废弃农膜收购补贴项目，为确保乡镇回收转运站和村级回收站建设强力推进，全面建成我区废弃农膜收集与处理体系，及时兑现扶持政策，提升废弃农膜拾捡回收率。</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eastAsia" w:ascii="Times New Roman" w:hAnsi="Times New Roman" w:eastAsia="仿宋_GB2312" w:cs="Times New Roman"/>
          <w:b w:val="0"/>
          <w:bCs w:val="0"/>
          <w:color w:val="000000"/>
          <w:sz w:val="32"/>
          <w:szCs w:val="32"/>
          <w:lang w:eastAsia="zh-CN"/>
        </w:rPr>
      </w:pPr>
      <w:r>
        <w:rPr>
          <w:rFonts w:hint="eastAsia" w:cs="Times New Roman"/>
          <w:b w:val="0"/>
          <w:bCs w:val="0"/>
          <w:color w:val="000000"/>
          <w:kern w:val="2"/>
          <w:sz w:val="32"/>
          <w:szCs w:val="32"/>
          <w:lang w:val="en-US" w:eastAsia="zh-CN" w:bidi="ar-SA"/>
        </w:rPr>
        <w:t>网络</w:t>
      </w:r>
      <w:r>
        <w:rPr>
          <w:rFonts w:hint="eastAsia" w:ascii="Times New Roman" w:hAnsi="Times New Roman" w:eastAsia="仿宋_GB2312" w:cs="Times New Roman"/>
          <w:b w:val="0"/>
          <w:bCs w:val="0"/>
          <w:color w:val="000000"/>
          <w:kern w:val="2"/>
          <w:sz w:val="32"/>
          <w:szCs w:val="32"/>
          <w:lang w:val="en-US" w:eastAsia="zh-CN" w:bidi="ar-SA"/>
        </w:rPr>
        <w:t>体系建设项目，为</w:t>
      </w:r>
      <w:r>
        <w:rPr>
          <w:rFonts w:hint="default" w:ascii="Times New Roman" w:hAnsi="Times New Roman" w:eastAsia="仿宋_GB2312" w:cs="Times New Roman"/>
          <w:b w:val="0"/>
          <w:bCs w:val="0"/>
          <w:color w:val="000000"/>
          <w:sz w:val="32"/>
          <w:szCs w:val="32"/>
          <w:lang w:eastAsia="zh-CN"/>
        </w:rPr>
        <w:t>加强全区供销系统组织建设，不断建立和完善新型基层供销合作社，组织发展农民专业合作社、农村社区综合服务社等农村基层经营服务组织，发挥联合合作优势</w:t>
      </w:r>
      <w:r>
        <w:rPr>
          <w:rFonts w:hint="eastAsia" w:ascii="Times New Roman" w:hAnsi="Times New Roman" w:eastAsia="仿宋_GB2312" w:cs="Times New Roman"/>
          <w:b w:val="0"/>
          <w:bCs w:val="0"/>
          <w:color w:val="000000"/>
          <w:sz w:val="32"/>
          <w:szCs w:val="32"/>
          <w:lang w:eastAsia="zh-CN"/>
        </w:rPr>
        <w:t>，</w:t>
      </w:r>
      <w:r>
        <w:rPr>
          <w:rFonts w:hint="eastAsia" w:ascii="Times New Roman" w:hAnsi="Times New Roman" w:eastAsia="仿宋_GB2312" w:cs="Times New Roman"/>
          <w:b w:val="0"/>
          <w:bCs w:val="0"/>
          <w:color w:val="000000"/>
          <w:sz w:val="32"/>
          <w:szCs w:val="32"/>
          <w:lang w:val="en-US" w:eastAsia="zh-CN"/>
        </w:rPr>
        <w:t>完成</w:t>
      </w:r>
      <w:r>
        <w:rPr>
          <w:rFonts w:hint="eastAsia" w:ascii="Times New Roman" w:hAnsi="Times New Roman" w:eastAsia="仿宋_GB2312" w:cs="Times New Roman"/>
          <w:b w:val="0"/>
          <w:bCs w:val="0"/>
          <w:color w:val="000000"/>
          <w:sz w:val="32"/>
          <w:szCs w:val="32"/>
          <w:lang w:eastAsia="zh-CN"/>
        </w:rPr>
        <w:t>废弃农膜回收（站）点改造升级、政策宣传</w:t>
      </w:r>
      <w:r>
        <w:rPr>
          <w:rFonts w:hint="eastAsia" w:ascii="Times New Roman" w:hAnsi="Times New Roman" w:eastAsia="仿宋_GB2312" w:cs="Times New Roman"/>
          <w:b w:val="0"/>
          <w:bCs w:val="0"/>
          <w:color w:val="000000"/>
          <w:sz w:val="32"/>
          <w:szCs w:val="32"/>
          <w:lang w:val="en-US" w:eastAsia="zh-CN"/>
        </w:rPr>
        <w:t>及</w:t>
      </w:r>
      <w:r>
        <w:rPr>
          <w:rFonts w:hint="eastAsia" w:ascii="Times New Roman" w:hAnsi="Times New Roman" w:eastAsia="仿宋_GB2312" w:cs="Times New Roman"/>
          <w:b w:val="0"/>
          <w:bCs w:val="0"/>
          <w:color w:val="000000"/>
          <w:sz w:val="32"/>
          <w:szCs w:val="32"/>
          <w:lang w:eastAsia="zh-CN"/>
        </w:rPr>
        <w:t>废弃农膜回收价格补贴。</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华文楷体" w:hAnsi="华文楷体" w:eastAsia="华文楷体" w:cs="华文楷体"/>
          <w:sz w:val="32"/>
          <w:szCs w:val="32"/>
          <w:lang w:val="en-US" w:eastAsia="zh-CN"/>
        </w:rPr>
      </w:pPr>
      <w:r>
        <w:rPr>
          <w:rFonts w:hint="eastAsia" w:ascii="华文楷体" w:hAnsi="华文楷体" w:eastAsia="华文楷体" w:cs="华文楷体"/>
          <w:sz w:val="32"/>
          <w:szCs w:val="32"/>
          <w:lang w:eastAsia="zh-CN"/>
        </w:rPr>
        <w:t>（</w:t>
      </w:r>
      <w:r>
        <w:rPr>
          <w:rFonts w:hint="eastAsia" w:ascii="华文楷体" w:hAnsi="华文楷体" w:eastAsia="华文楷体" w:cs="华文楷体"/>
          <w:sz w:val="32"/>
          <w:szCs w:val="32"/>
          <w:lang w:val="en-US" w:eastAsia="zh-CN"/>
        </w:rPr>
        <w:t>一</w:t>
      </w:r>
      <w:r>
        <w:rPr>
          <w:rFonts w:hint="eastAsia" w:ascii="华文楷体" w:hAnsi="华文楷体" w:eastAsia="华文楷体" w:cs="华文楷体"/>
          <w:sz w:val="32"/>
          <w:szCs w:val="32"/>
          <w:lang w:eastAsia="zh-CN"/>
        </w:rPr>
        <w:t>）</w:t>
      </w:r>
      <w:r>
        <w:rPr>
          <w:rFonts w:hint="eastAsia" w:ascii="华文楷体" w:hAnsi="华文楷体" w:eastAsia="华文楷体" w:cs="华文楷体"/>
          <w:sz w:val="32"/>
          <w:szCs w:val="32"/>
          <w:lang w:val="en-US" w:eastAsia="zh-CN"/>
        </w:rPr>
        <w:t>项目资金申报及批复情况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网络体系建设年初预算资金10万元，年初预算批复调整三公经费，到位资金9.84万元，分别申报累计9.84万元，经财政局批复下达后，全部用于网络体系建设项目。</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废弃农膜收购补贴项目根据《关于解决废弃农膜收集与处理体系建设资金的请示》昭供销</w:t>
      </w:r>
      <w:r>
        <w:rPr>
          <w:rFonts w:hint="eastAsia" w:ascii="宋体" w:hAnsi="宋体" w:eastAsia="宋体" w:cs="宋体"/>
          <w:b w:val="0"/>
          <w:bCs w:val="0"/>
          <w:color w:val="000000"/>
          <w:sz w:val="32"/>
          <w:szCs w:val="32"/>
          <w:lang w:val="en-US" w:eastAsia="zh-CN"/>
        </w:rPr>
        <w:t>〔2017〕</w:t>
      </w:r>
      <w:r>
        <w:rPr>
          <w:rFonts w:hint="eastAsia" w:ascii="Times New Roman" w:hAnsi="Times New Roman" w:eastAsia="仿宋_GB2312" w:cs="Times New Roman"/>
          <w:b w:val="0"/>
          <w:bCs w:val="0"/>
          <w:color w:val="000000"/>
          <w:sz w:val="32"/>
          <w:szCs w:val="32"/>
          <w:lang w:val="en-US" w:eastAsia="zh-CN"/>
        </w:rPr>
        <w:t>39号区政府领导签批件和《广元市昭化区人民政府办公室关于调整废弃农膜回收价格和补贴标准的通知》昭府办函</w:t>
      </w:r>
      <w:r>
        <w:rPr>
          <w:rFonts w:hint="eastAsia" w:ascii="宋体" w:hAnsi="宋体" w:eastAsia="宋体" w:cs="宋体"/>
          <w:b w:val="0"/>
          <w:bCs w:val="0"/>
          <w:color w:val="000000"/>
          <w:sz w:val="32"/>
          <w:szCs w:val="32"/>
          <w:lang w:val="en-US" w:eastAsia="zh-CN"/>
        </w:rPr>
        <w:t>〔2018〕11</w:t>
      </w:r>
      <w:r>
        <w:rPr>
          <w:rFonts w:hint="eastAsia" w:ascii="Times New Roman" w:hAnsi="Times New Roman" w:eastAsia="仿宋_GB2312" w:cs="Times New Roman"/>
          <w:b w:val="0"/>
          <w:bCs w:val="0"/>
          <w:color w:val="000000"/>
          <w:sz w:val="32"/>
          <w:szCs w:val="32"/>
          <w:lang w:val="en-US" w:eastAsia="zh-CN"/>
        </w:rPr>
        <w:t>9号要求，年初预算资金5万元，年初预算批复5万元，分别申报累计5万元，经财政局批复下达后，全部用于废弃农膜收购补贴项目。</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lang w:val="en-US" w:eastAsia="zh-CN"/>
        </w:rPr>
        <w:t>（二）项目绩效目标</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b w:val="0"/>
          <w:bCs w:val="0"/>
          <w:color w:val="000000"/>
          <w:sz w:val="32"/>
          <w:szCs w:val="32"/>
          <w:lang w:eastAsia="zh-CN"/>
        </w:rPr>
      </w:pPr>
      <w:r>
        <w:rPr>
          <w:rFonts w:hint="eastAsia" w:ascii="Times New Roman" w:hAnsi="Times New Roman" w:eastAsia="仿宋_GB2312" w:cs="Times New Roman"/>
          <w:b w:val="0"/>
          <w:bCs w:val="0"/>
          <w:color w:val="000000"/>
          <w:sz w:val="32"/>
          <w:szCs w:val="32"/>
          <w:lang w:val="en-US" w:eastAsia="zh-CN"/>
        </w:rPr>
        <w:t>利用网络体系建设项目资金 9.84 万元，</w:t>
      </w:r>
      <w:r>
        <w:rPr>
          <w:rFonts w:hint="default" w:ascii="Times New Roman" w:hAnsi="Times New Roman" w:eastAsia="仿宋_GB2312" w:cs="Times New Roman"/>
          <w:b w:val="0"/>
          <w:bCs w:val="0"/>
          <w:color w:val="000000"/>
          <w:sz w:val="32"/>
          <w:szCs w:val="32"/>
          <w:lang w:eastAsia="zh-CN"/>
        </w:rPr>
        <w:t>新建社会化服务超市5个，电子商务网点5个，维护升级便民服务超市15个，再生资源回收（站）点10个，农资放心店10个</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eastAsia="zh-CN"/>
        </w:rPr>
        <w:t>服务三农，解决老百姓买难卖难，活跃农村市场，促进农村经济发展，可持续发展，群众满意度90%</w:t>
      </w:r>
      <w:r>
        <w:rPr>
          <w:rFonts w:hint="eastAsia" w:ascii="Times New Roman" w:hAnsi="Times New Roman" w:eastAsia="仿宋_GB2312" w:cs="Times New Roman"/>
          <w:b w:val="0"/>
          <w:bCs w:val="0"/>
          <w:color w:val="000000"/>
          <w:sz w:val="32"/>
          <w:szCs w:val="32"/>
          <w:lang w:eastAsia="zh-CN"/>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利用废弃农膜收购补贴项目5万元，用于废弃农膜回收（站）点改造升级10个和政策宣传，废弃农膜回收价格补贴兑付3万元，使耕地绿色环保，净化土壤，实现土地的可持续发展利用，群众满意度达到100%。</w:t>
      </w:r>
    </w:p>
    <w:p>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华文楷体" w:hAnsi="华文楷体" w:eastAsia="华文楷体" w:cs="华文楷体"/>
          <w:sz w:val="32"/>
          <w:szCs w:val="32"/>
          <w:lang w:val="en-US" w:eastAsia="zh-CN"/>
        </w:rPr>
      </w:pPr>
      <w:r>
        <w:rPr>
          <w:rFonts w:hint="eastAsia" w:ascii="华文楷体" w:hAnsi="华文楷体" w:eastAsia="华文楷体" w:cs="华文楷体"/>
          <w:sz w:val="32"/>
          <w:szCs w:val="32"/>
          <w:lang w:eastAsia="zh-CN"/>
        </w:rPr>
        <w:t>（</w:t>
      </w:r>
      <w:r>
        <w:rPr>
          <w:rFonts w:hint="eastAsia" w:ascii="华文楷体" w:hAnsi="华文楷体" w:eastAsia="华文楷体" w:cs="华文楷体"/>
          <w:sz w:val="32"/>
          <w:szCs w:val="32"/>
          <w:lang w:val="en-US" w:eastAsia="zh-CN"/>
        </w:rPr>
        <w:t>三</w:t>
      </w:r>
      <w:r>
        <w:rPr>
          <w:rFonts w:hint="eastAsia" w:ascii="华文楷体" w:hAnsi="华文楷体" w:eastAsia="华文楷体" w:cs="华文楷体"/>
          <w:sz w:val="32"/>
          <w:szCs w:val="32"/>
          <w:lang w:eastAsia="zh-CN"/>
        </w:rPr>
        <w:t>）</w:t>
      </w:r>
      <w:r>
        <w:rPr>
          <w:rFonts w:hint="eastAsia" w:ascii="华文楷体" w:hAnsi="华文楷体" w:eastAsia="华文楷体" w:cs="华文楷体"/>
          <w:sz w:val="32"/>
          <w:szCs w:val="32"/>
          <w:lang w:val="en-US" w:eastAsia="zh-CN"/>
        </w:rPr>
        <w:t>项目资金申报相符性</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2022年网络体系建设项目、废弃农膜收购补贴项目工作经费严格按照年初项目经费申报要求执行，项目经费申报符合当年本单位工作需要，并达到预期目标。</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华文楷体" w:hAnsi="华文楷体" w:eastAsia="华文楷体" w:cs="华文楷体"/>
          <w:sz w:val="32"/>
          <w:szCs w:val="32"/>
          <w:lang w:val="en-US" w:eastAsia="zh-CN"/>
        </w:rPr>
      </w:pPr>
      <w:r>
        <w:rPr>
          <w:rFonts w:hint="eastAsia" w:ascii="华文楷体" w:hAnsi="华文楷体" w:eastAsia="华文楷体" w:cs="华文楷体"/>
          <w:sz w:val="32"/>
          <w:szCs w:val="32"/>
          <w:lang w:val="en-US" w:eastAsia="zh-CN"/>
        </w:rPr>
        <w:t>（四）自评步骤及方法</w:t>
      </w:r>
    </w:p>
    <w:p>
      <w:pPr>
        <w:pStyle w:val="7"/>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1.前期准备。一是加强组织领导。成立由主要领导任组长、分管领导任副组长，各业务科室负责人为成员的绩效评价领导小组办公室，统一安排部署202</w:t>
      </w:r>
      <w:r>
        <w:rPr>
          <w:rFonts w:hint="eastAsia" w:ascii="Times New Roman" w:hAnsi="Times New Roman" w:cs="Times New Roman"/>
          <w:b w:val="0"/>
          <w:bCs w:val="0"/>
          <w:color w:val="000000"/>
          <w:kern w:val="2"/>
          <w:sz w:val="32"/>
          <w:szCs w:val="32"/>
          <w:lang w:val="en-US" w:eastAsia="zh-CN" w:bidi="ar-SA"/>
        </w:rPr>
        <w:t>2</w:t>
      </w:r>
      <w:r>
        <w:rPr>
          <w:rFonts w:hint="eastAsia" w:ascii="Times New Roman" w:hAnsi="Times New Roman" w:eastAsia="仿宋_GB2312" w:cs="Times New Roman"/>
          <w:b w:val="0"/>
          <w:bCs w:val="0"/>
          <w:color w:val="000000"/>
          <w:kern w:val="2"/>
          <w:sz w:val="32"/>
          <w:szCs w:val="32"/>
          <w:lang w:val="en-US" w:eastAsia="zh-CN" w:bidi="ar-SA"/>
        </w:rPr>
        <w:t>年度绩效评价工作；二是确定评价范围。项目支出绩效评价包括</w:t>
      </w:r>
      <w:r>
        <w:rPr>
          <w:rFonts w:hint="eastAsia" w:ascii="Times New Roman" w:hAnsi="Times New Roman" w:cs="Times New Roman"/>
          <w:b w:val="0"/>
          <w:bCs w:val="0"/>
          <w:color w:val="000000"/>
          <w:kern w:val="2"/>
          <w:sz w:val="32"/>
          <w:szCs w:val="32"/>
          <w:lang w:val="en-US" w:eastAsia="zh-CN" w:bidi="ar-SA"/>
        </w:rPr>
        <w:t>区</w:t>
      </w:r>
      <w:r>
        <w:rPr>
          <w:rFonts w:hint="eastAsia" w:ascii="Times New Roman" w:hAnsi="Times New Roman" w:eastAsia="仿宋_GB2312" w:cs="Times New Roman"/>
          <w:b w:val="0"/>
          <w:bCs w:val="0"/>
          <w:color w:val="000000"/>
          <w:kern w:val="2"/>
          <w:sz w:val="32"/>
          <w:szCs w:val="32"/>
          <w:lang w:val="en-US" w:eastAsia="zh-CN" w:bidi="ar-SA"/>
        </w:rPr>
        <w:t>财政局202</w:t>
      </w:r>
      <w:r>
        <w:rPr>
          <w:rFonts w:hint="eastAsia" w:ascii="Times New Roman" w:hAnsi="Times New Roman" w:cs="Times New Roman"/>
          <w:b w:val="0"/>
          <w:bCs w:val="0"/>
          <w:color w:val="000000"/>
          <w:kern w:val="2"/>
          <w:sz w:val="32"/>
          <w:szCs w:val="32"/>
          <w:lang w:val="en-US" w:eastAsia="zh-CN" w:bidi="ar-SA"/>
        </w:rPr>
        <w:t>2</w:t>
      </w:r>
      <w:r>
        <w:rPr>
          <w:rFonts w:hint="eastAsia" w:ascii="Times New Roman" w:hAnsi="Times New Roman" w:eastAsia="仿宋_GB2312" w:cs="Times New Roman"/>
          <w:b w:val="0"/>
          <w:bCs w:val="0"/>
          <w:color w:val="000000"/>
          <w:kern w:val="2"/>
          <w:sz w:val="32"/>
          <w:szCs w:val="32"/>
          <w:lang w:val="en-US" w:eastAsia="zh-CN" w:bidi="ar-SA"/>
        </w:rPr>
        <w:t>年部门项目支出；三是制定评价指标表。单位围绕202</w:t>
      </w:r>
      <w:r>
        <w:rPr>
          <w:rFonts w:hint="eastAsia" w:ascii="Times New Roman" w:hAnsi="Times New Roman" w:cs="Times New Roman"/>
          <w:b w:val="0"/>
          <w:bCs w:val="0"/>
          <w:color w:val="000000"/>
          <w:kern w:val="2"/>
          <w:sz w:val="32"/>
          <w:szCs w:val="32"/>
          <w:lang w:val="en-US" w:eastAsia="zh-CN" w:bidi="ar-SA"/>
        </w:rPr>
        <w:t>2</w:t>
      </w:r>
      <w:r>
        <w:rPr>
          <w:rFonts w:hint="eastAsia" w:ascii="Times New Roman" w:hAnsi="Times New Roman" w:eastAsia="仿宋_GB2312" w:cs="Times New Roman"/>
          <w:b w:val="0"/>
          <w:bCs w:val="0"/>
          <w:color w:val="000000"/>
          <w:kern w:val="2"/>
          <w:sz w:val="32"/>
          <w:szCs w:val="32"/>
          <w:lang w:val="en-US" w:eastAsia="zh-CN" w:bidi="ar-SA"/>
        </w:rPr>
        <w:t>年年初确定的重点工作目标及</w:t>
      </w:r>
      <w:r>
        <w:rPr>
          <w:rFonts w:hint="eastAsia" w:ascii="Times New Roman" w:hAnsi="Times New Roman" w:cs="Times New Roman"/>
          <w:b w:val="0"/>
          <w:bCs w:val="0"/>
          <w:color w:val="000000"/>
          <w:kern w:val="2"/>
          <w:sz w:val="32"/>
          <w:szCs w:val="32"/>
          <w:lang w:val="en-US" w:eastAsia="zh-CN" w:bidi="ar-SA"/>
        </w:rPr>
        <w:t>区</w:t>
      </w:r>
      <w:r>
        <w:rPr>
          <w:rFonts w:hint="eastAsia" w:ascii="Times New Roman" w:hAnsi="Times New Roman" w:eastAsia="仿宋_GB2312" w:cs="Times New Roman"/>
          <w:b w:val="0"/>
          <w:bCs w:val="0"/>
          <w:color w:val="000000"/>
          <w:kern w:val="2"/>
          <w:sz w:val="32"/>
          <w:szCs w:val="32"/>
          <w:lang w:val="en-US" w:eastAsia="zh-CN" w:bidi="ar-SA"/>
        </w:rPr>
        <w:t>委</w:t>
      </w:r>
      <w:r>
        <w:rPr>
          <w:rFonts w:hint="eastAsia" w:ascii="Times New Roman" w:hAnsi="Times New Roman" w:cs="Times New Roman"/>
          <w:b w:val="0"/>
          <w:bCs w:val="0"/>
          <w:color w:val="000000"/>
          <w:kern w:val="2"/>
          <w:sz w:val="32"/>
          <w:szCs w:val="32"/>
          <w:lang w:val="en-US" w:eastAsia="zh-CN" w:bidi="ar-SA"/>
        </w:rPr>
        <w:t>区</w:t>
      </w:r>
      <w:r>
        <w:rPr>
          <w:rFonts w:hint="eastAsia" w:ascii="Times New Roman" w:hAnsi="Times New Roman" w:eastAsia="仿宋_GB2312" w:cs="Times New Roman"/>
          <w:b w:val="0"/>
          <w:bCs w:val="0"/>
          <w:color w:val="000000"/>
          <w:kern w:val="2"/>
          <w:sz w:val="32"/>
          <w:szCs w:val="32"/>
          <w:lang w:val="en-US" w:eastAsia="zh-CN" w:bidi="ar-SA"/>
        </w:rPr>
        <w:t>政府202</w:t>
      </w:r>
      <w:r>
        <w:rPr>
          <w:rFonts w:hint="eastAsia" w:ascii="Times New Roman" w:hAnsi="Times New Roman" w:cs="Times New Roman"/>
          <w:b w:val="0"/>
          <w:bCs w:val="0"/>
          <w:color w:val="000000"/>
          <w:kern w:val="2"/>
          <w:sz w:val="32"/>
          <w:szCs w:val="32"/>
          <w:lang w:val="en-US" w:eastAsia="zh-CN" w:bidi="ar-SA"/>
        </w:rPr>
        <w:t>2</w:t>
      </w:r>
      <w:r>
        <w:rPr>
          <w:rFonts w:hint="eastAsia" w:ascii="Times New Roman" w:hAnsi="Times New Roman" w:eastAsia="仿宋_GB2312" w:cs="Times New Roman"/>
          <w:b w:val="0"/>
          <w:bCs w:val="0"/>
          <w:color w:val="000000"/>
          <w:kern w:val="2"/>
          <w:sz w:val="32"/>
          <w:szCs w:val="32"/>
          <w:lang w:val="en-US" w:eastAsia="zh-CN" w:bidi="ar-SA"/>
        </w:rPr>
        <w:t>年度综合考核指标要求，梳理了各项工作的完成情况，制定了项目支出绩效评价指标；四是汇总分析单位项目支出绩效情况。查找单位在项目预算执行过程中存在的问题，有针对性的制定整改措施并组织抓好落实。</w:t>
      </w:r>
    </w:p>
    <w:p>
      <w:pPr>
        <w:pStyle w:val="7"/>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2.组织实施。在年度预算执行过程中，由绩效评价领导小组办公室牵头对等项目进行了督促检查工作，要求各项目科室对202</w:t>
      </w:r>
      <w:r>
        <w:rPr>
          <w:rFonts w:hint="eastAsia" w:ascii="Times New Roman" w:hAnsi="Times New Roman" w:cs="Times New Roman"/>
          <w:b w:val="0"/>
          <w:bCs w:val="0"/>
          <w:color w:val="000000"/>
          <w:kern w:val="2"/>
          <w:sz w:val="32"/>
          <w:szCs w:val="32"/>
          <w:lang w:val="en-US" w:eastAsia="zh-CN" w:bidi="ar-SA"/>
        </w:rPr>
        <w:t>2</w:t>
      </w:r>
      <w:r>
        <w:rPr>
          <w:rFonts w:hint="eastAsia" w:ascii="Times New Roman" w:hAnsi="Times New Roman" w:eastAsia="仿宋_GB2312" w:cs="Times New Roman"/>
          <w:b w:val="0"/>
          <w:bCs w:val="0"/>
          <w:color w:val="000000"/>
          <w:kern w:val="2"/>
          <w:sz w:val="32"/>
          <w:szCs w:val="32"/>
          <w:lang w:val="en-US" w:eastAsia="zh-CN" w:bidi="ar-SA"/>
        </w:rPr>
        <w:t>年所有财政支出项目开展自评。</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60" w:lineRule="exact"/>
        <w:ind w:right="0" w:rightChars="0" w:firstLine="672" w:firstLineChars="200"/>
        <w:textAlignment w:val="auto"/>
        <w:rPr>
          <w:rFonts w:hint="eastAsia" w:ascii="Times New Roman" w:hAnsi="Times New Roman" w:eastAsia="黑体" w:cs="Times New Roman"/>
          <w:b w:val="0"/>
          <w:bCs w:val="0"/>
          <w:i w:val="0"/>
          <w:caps w:val="0"/>
          <w:color w:val="000000"/>
          <w:spacing w:val="8"/>
          <w:sz w:val="32"/>
          <w:szCs w:val="32"/>
          <w:shd w:val="clear" w:color="auto" w:fill="FFFFFF"/>
        </w:rPr>
      </w:pPr>
      <w:r>
        <w:rPr>
          <w:rFonts w:hint="eastAsia" w:ascii="Times New Roman" w:hAnsi="Times New Roman" w:eastAsia="黑体" w:cs="Times New Roman"/>
          <w:b w:val="0"/>
          <w:bCs w:val="0"/>
          <w:i w:val="0"/>
          <w:caps w:val="0"/>
          <w:color w:val="000000"/>
          <w:spacing w:val="8"/>
          <w:sz w:val="32"/>
          <w:szCs w:val="32"/>
          <w:shd w:val="clear" w:color="auto" w:fill="FFFFFF"/>
        </w:rPr>
        <w:t>二、</w:t>
      </w:r>
      <w:r>
        <w:rPr>
          <w:rFonts w:hint="eastAsia" w:ascii="Times New Roman" w:hAnsi="Times New Roman" w:eastAsia="黑体" w:cs="Times New Roman"/>
          <w:b w:val="0"/>
          <w:bCs w:val="0"/>
          <w:i w:val="0"/>
          <w:caps w:val="0"/>
          <w:color w:val="000000"/>
          <w:spacing w:val="8"/>
          <w:sz w:val="32"/>
          <w:szCs w:val="32"/>
          <w:shd w:val="clear" w:color="auto" w:fill="FFFFFF"/>
          <w:lang w:val="en-US" w:eastAsia="zh-CN"/>
        </w:rPr>
        <w:t>项目实施及管理情况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华文楷体" w:hAnsi="华文楷体" w:eastAsia="华文楷体" w:cs="华文楷体"/>
          <w:sz w:val="32"/>
          <w:szCs w:val="32"/>
          <w:lang w:val="en-US" w:eastAsia="zh-CN"/>
        </w:rPr>
      </w:pPr>
      <w:r>
        <w:rPr>
          <w:rFonts w:hint="eastAsia" w:ascii="华文楷体" w:hAnsi="华文楷体" w:eastAsia="华文楷体" w:cs="华文楷体"/>
          <w:sz w:val="32"/>
          <w:szCs w:val="32"/>
          <w:lang w:eastAsia="zh-CN"/>
        </w:rPr>
        <w:t>（</w:t>
      </w:r>
      <w:r>
        <w:rPr>
          <w:rFonts w:hint="eastAsia" w:ascii="华文楷体" w:hAnsi="华文楷体" w:eastAsia="华文楷体" w:cs="华文楷体"/>
          <w:sz w:val="32"/>
          <w:szCs w:val="32"/>
          <w:lang w:val="en-US" w:eastAsia="zh-CN"/>
        </w:rPr>
        <w:t>一</w:t>
      </w:r>
      <w:r>
        <w:rPr>
          <w:rFonts w:hint="eastAsia" w:ascii="华文楷体" w:hAnsi="华文楷体" w:eastAsia="华文楷体" w:cs="华文楷体"/>
          <w:sz w:val="32"/>
          <w:szCs w:val="32"/>
          <w:lang w:eastAsia="zh-CN"/>
        </w:rPr>
        <w:t>）</w:t>
      </w:r>
      <w:r>
        <w:rPr>
          <w:rFonts w:hint="eastAsia" w:ascii="华文楷体" w:hAnsi="华文楷体" w:eastAsia="华文楷体" w:cs="华文楷体"/>
          <w:sz w:val="32"/>
          <w:szCs w:val="32"/>
        </w:rPr>
        <w:t>资金</w:t>
      </w:r>
      <w:r>
        <w:rPr>
          <w:rFonts w:hint="eastAsia" w:ascii="华文楷体" w:hAnsi="华文楷体" w:eastAsia="华文楷体" w:cs="华文楷体"/>
          <w:sz w:val="32"/>
          <w:szCs w:val="32"/>
          <w:lang w:val="en-US" w:eastAsia="zh-CN"/>
        </w:rPr>
        <w:t>计划、到位及使用情况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kern w:val="2"/>
          <w:sz w:val="32"/>
          <w:szCs w:val="32"/>
          <w:lang w:val="en-US" w:eastAsia="zh-CN" w:bidi="ar-SA"/>
        </w:rPr>
        <w:t>1.资金计划</w:t>
      </w:r>
      <w:r>
        <w:rPr>
          <w:rFonts w:hint="eastAsia" w:cs="Times New Roman"/>
          <w:b w:val="0"/>
          <w:bCs w:val="0"/>
          <w:color w:val="000000"/>
          <w:kern w:val="2"/>
          <w:sz w:val="32"/>
          <w:szCs w:val="32"/>
          <w:lang w:val="en-US" w:eastAsia="zh-CN" w:bidi="ar-SA"/>
        </w:rPr>
        <w:t>及时</w:t>
      </w:r>
      <w:r>
        <w:rPr>
          <w:rFonts w:hint="eastAsia" w:ascii="Times New Roman" w:hAnsi="Times New Roman" w:eastAsia="仿宋_GB2312" w:cs="Times New Roman"/>
          <w:b w:val="0"/>
          <w:bCs w:val="0"/>
          <w:color w:val="000000"/>
          <w:kern w:val="2"/>
          <w:sz w:val="32"/>
          <w:szCs w:val="32"/>
          <w:lang w:val="en-US" w:eastAsia="zh-CN" w:bidi="ar-SA"/>
        </w:rPr>
        <w:t>到位。2022年网络体系建设项目计划资金9.84万元，区级资金9.84万元</w:t>
      </w:r>
      <w:r>
        <w:rPr>
          <w:rFonts w:hint="eastAsia" w:ascii="Times New Roman" w:hAnsi="Times New Roman" w:eastAsia="仿宋_GB2312" w:cs="Times New Roman"/>
          <w:b w:val="0"/>
          <w:bCs w:val="0"/>
          <w:color w:val="000000"/>
          <w:sz w:val="32"/>
          <w:szCs w:val="32"/>
          <w:lang w:val="en-US" w:eastAsia="zh-CN"/>
        </w:rPr>
        <w:t>、到位资金9.84万元，资金到位率100%；废弃农膜收购补贴</w:t>
      </w:r>
      <w:r>
        <w:rPr>
          <w:rFonts w:hint="eastAsia" w:ascii="Times New Roman" w:hAnsi="Times New Roman" w:eastAsia="仿宋_GB2312" w:cs="Times New Roman"/>
          <w:b w:val="0"/>
          <w:bCs w:val="0"/>
          <w:color w:val="000000"/>
          <w:kern w:val="2"/>
          <w:sz w:val="32"/>
          <w:szCs w:val="32"/>
          <w:lang w:val="en-US" w:eastAsia="zh-CN" w:bidi="ar-SA"/>
        </w:rPr>
        <w:t>项目计划资金5万元，区级资金5万元</w:t>
      </w:r>
      <w:r>
        <w:rPr>
          <w:rFonts w:hint="eastAsia" w:ascii="Times New Roman" w:hAnsi="Times New Roman" w:eastAsia="仿宋_GB2312" w:cs="Times New Roman"/>
          <w:b w:val="0"/>
          <w:bCs w:val="0"/>
          <w:color w:val="000000"/>
          <w:sz w:val="32"/>
          <w:szCs w:val="32"/>
          <w:lang w:val="en-US" w:eastAsia="zh-CN"/>
        </w:rPr>
        <w:t>、到位资金5万元，资金到位率100%。</w:t>
      </w:r>
    </w:p>
    <w:p>
      <w:pPr>
        <w:pStyle w:val="7"/>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2.资金使用。截</w:t>
      </w:r>
      <w:r>
        <w:rPr>
          <w:rFonts w:hint="eastAsia" w:ascii="Times New Roman" w:cs="Times New Roman"/>
          <w:b w:val="0"/>
          <w:bCs w:val="0"/>
          <w:color w:val="000000"/>
          <w:kern w:val="2"/>
          <w:sz w:val="32"/>
          <w:szCs w:val="32"/>
          <w:lang w:val="en-US" w:eastAsia="zh-CN" w:bidi="ar-SA"/>
        </w:rPr>
        <w:t>至</w:t>
      </w:r>
      <w:r>
        <w:rPr>
          <w:rFonts w:hint="eastAsia" w:ascii="Times New Roman" w:hAnsi="Times New Roman" w:eastAsia="仿宋_GB2312" w:cs="Times New Roman"/>
          <w:b w:val="0"/>
          <w:bCs w:val="0"/>
          <w:color w:val="000000"/>
          <w:kern w:val="2"/>
          <w:sz w:val="32"/>
          <w:szCs w:val="32"/>
          <w:lang w:val="en-US" w:eastAsia="zh-CN" w:bidi="ar-SA"/>
        </w:rPr>
        <w:t>2022年底，网络体系建设项目资金支出9.15万元，资金使用范围为网络体系新建站点和网点运行维护，维护新建工作人员差旅及工作经费，严格按照差旅补助标准报销。</w:t>
      </w:r>
    </w:p>
    <w:p>
      <w:pPr>
        <w:pStyle w:val="7"/>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废弃农膜收购补贴项目资金支出4.46万元，资金使用范围为废弃农膜收购价格兑付补贴3万元，执行100%，回收站点升级改造、完成宣传任务、工作经费及差旅费，支付1.46万元，执行73%。</w:t>
      </w:r>
    </w:p>
    <w:p>
      <w:pPr>
        <w:pStyle w:val="7"/>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lang w:eastAsia="zh-CN"/>
        </w:rPr>
        <w:t>（</w:t>
      </w:r>
      <w:r>
        <w:rPr>
          <w:rFonts w:hint="eastAsia" w:ascii="华文楷体" w:hAnsi="华文楷体" w:eastAsia="华文楷体" w:cs="华文楷体"/>
          <w:sz w:val="32"/>
          <w:szCs w:val="32"/>
          <w:lang w:val="en-US" w:eastAsia="zh-CN"/>
        </w:rPr>
        <w:t>二</w:t>
      </w:r>
      <w:r>
        <w:rPr>
          <w:rFonts w:hint="eastAsia" w:ascii="华文楷体" w:hAnsi="华文楷体" w:eastAsia="华文楷体" w:cs="华文楷体"/>
          <w:sz w:val="32"/>
          <w:szCs w:val="32"/>
          <w:lang w:eastAsia="zh-CN"/>
        </w:rPr>
        <w:t>）</w:t>
      </w:r>
      <w:r>
        <w:rPr>
          <w:rFonts w:hint="eastAsia" w:ascii="华文楷体" w:hAnsi="华文楷体" w:eastAsia="华文楷体" w:cs="华文楷体"/>
          <w:sz w:val="32"/>
          <w:szCs w:val="32"/>
          <w:lang w:val="en-US" w:eastAsia="zh-CN"/>
        </w:rPr>
        <w:t>项目财务管理</w:t>
      </w:r>
      <w:r>
        <w:rPr>
          <w:rFonts w:hint="eastAsia" w:ascii="华文楷体" w:hAnsi="华文楷体" w:eastAsia="华文楷体" w:cs="华文楷体"/>
          <w:sz w:val="32"/>
          <w:szCs w:val="32"/>
        </w:rPr>
        <w:t>情况</w:t>
      </w:r>
    </w:p>
    <w:p>
      <w:pPr>
        <w:pStyle w:val="7"/>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有健全的财务制度，资金拨付严格按照财务管理制度进行管理，保证专款专用，资金发放复查由财务人员按照财务制度进行资金的审核、支付和核算，所有支出均以转账方式进行，在具体支付时，具备了资金发票等相关材料，手续完善，不存在虚假会计凭证的情况，会计严格执行财务管理制度，财务处理及时，核算规范。</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华文楷体" w:hAnsi="华文楷体" w:eastAsia="华文楷体" w:cs="华文楷体"/>
          <w:sz w:val="32"/>
          <w:szCs w:val="32"/>
          <w:lang w:val="en-US" w:eastAsia="zh-CN"/>
        </w:rPr>
      </w:pPr>
      <w:r>
        <w:rPr>
          <w:rFonts w:hint="eastAsia" w:ascii="华文楷体" w:hAnsi="华文楷体" w:eastAsia="华文楷体" w:cs="华文楷体"/>
          <w:sz w:val="32"/>
          <w:szCs w:val="32"/>
          <w:lang w:val="en-US" w:eastAsia="zh-CN"/>
        </w:rPr>
        <w:t>（三）项目组织实施及管理情况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1.项目组织架构及实施流程：成立了由分管副主任为组长、各职能股室相关人员为成员的项目工作小组，负责项目的日常实施监督和管理，项目业务股室根据项目申报和经费下达情况进行项目方案编制，及时拨付资金。</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2.项目管理情况：为了规范、合理使用项目资金，提高资金使用效率，确保资金安全，严格按照项目资金管理办法实施，资金拨付程序合规，符合资金批复用途，无超支情况发生。</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3.项目监管情况:业务股室组织人员进行实地抽查维护质量和数量,并对日常巡检和维护资料进行查看，各站点运行正常。</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60" w:lineRule="exact"/>
        <w:ind w:right="0" w:rightChars="0" w:firstLine="672" w:firstLineChars="200"/>
        <w:textAlignment w:val="auto"/>
        <w:rPr>
          <w:rFonts w:hint="eastAsia" w:ascii="Times New Roman" w:hAnsi="Times New Roman" w:eastAsia="黑体" w:cs="Times New Roman"/>
          <w:b w:val="0"/>
          <w:bCs w:val="0"/>
          <w:i w:val="0"/>
          <w:caps w:val="0"/>
          <w:color w:val="000000"/>
          <w:spacing w:val="8"/>
          <w:sz w:val="32"/>
          <w:szCs w:val="32"/>
          <w:shd w:val="clear" w:color="auto" w:fill="FFFFFF"/>
        </w:rPr>
      </w:pPr>
      <w:r>
        <w:rPr>
          <w:rFonts w:hint="eastAsia" w:ascii="Times New Roman" w:hAnsi="Times New Roman" w:eastAsia="黑体" w:cs="Times New Roman"/>
          <w:b w:val="0"/>
          <w:bCs w:val="0"/>
          <w:i w:val="0"/>
          <w:caps w:val="0"/>
          <w:color w:val="000000"/>
          <w:spacing w:val="8"/>
          <w:sz w:val="32"/>
          <w:szCs w:val="32"/>
          <w:shd w:val="clear" w:color="auto" w:fill="FFFFFF"/>
        </w:rPr>
        <w:t>三、</w:t>
      </w:r>
      <w:r>
        <w:rPr>
          <w:rFonts w:hint="eastAsia" w:ascii="Times New Roman" w:hAnsi="Times New Roman" w:eastAsia="黑体" w:cs="Times New Roman"/>
          <w:b w:val="0"/>
          <w:bCs w:val="0"/>
          <w:i w:val="0"/>
          <w:caps w:val="0"/>
          <w:color w:val="000000"/>
          <w:spacing w:val="8"/>
          <w:sz w:val="32"/>
          <w:szCs w:val="32"/>
          <w:shd w:val="clear" w:color="auto" w:fill="FFFFFF"/>
          <w:lang w:val="en-US" w:eastAsia="zh-CN"/>
        </w:rPr>
        <w:t>项目</w:t>
      </w:r>
      <w:r>
        <w:rPr>
          <w:rFonts w:hint="eastAsia" w:ascii="Times New Roman" w:hAnsi="Times New Roman" w:eastAsia="黑体" w:cs="Times New Roman"/>
          <w:b w:val="0"/>
          <w:bCs w:val="0"/>
          <w:i w:val="0"/>
          <w:caps w:val="0"/>
          <w:color w:val="000000"/>
          <w:spacing w:val="8"/>
          <w:sz w:val="32"/>
          <w:szCs w:val="32"/>
          <w:shd w:val="clear" w:color="auto" w:fill="FFFFFF"/>
        </w:rPr>
        <w:t>绩效情况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华文楷体" w:hAnsi="华文楷体" w:eastAsia="华文楷体" w:cs="华文楷体"/>
          <w:sz w:val="32"/>
          <w:szCs w:val="32"/>
          <w:lang w:val="en-US" w:eastAsia="zh-CN"/>
        </w:rPr>
      </w:pPr>
      <w:r>
        <w:rPr>
          <w:rFonts w:hint="eastAsia" w:ascii="华文楷体" w:hAnsi="华文楷体" w:eastAsia="华文楷体" w:cs="华文楷体"/>
          <w:sz w:val="32"/>
          <w:szCs w:val="32"/>
          <w:lang w:val="en-US" w:eastAsia="zh-CN"/>
        </w:rPr>
        <w:t>(一）项目完成情况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网络体系建设项目：</w:t>
      </w:r>
      <w:r>
        <w:rPr>
          <w:rFonts w:hint="eastAsia" w:cs="Times New Roman"/>
          <w:b w:val="0"/>
          <w:bCs w:val="0"/>
          <w:color w:val="000000"/>
          <w:kern w:val="2"/>
          <w:sz w:val="32"/>
          <w:szCs w:val="32"/>
          <w:lang w:val="en-US" w:eastAsia="zh-CN" w:bidi="ar-SA"/>
        </w:rPr>
        <w:t>截至</w:t>
      </w:r>
      <w:r>
        <w:rPr>
          <w:rFonts w:hint="eastAsia" w:ascii="Times New Roman" w:hAnsi="Times New Roman" w:eastAsia="仿宋_GB2312" w:cs="Times New Roman"/>
          <w:b w:val="0"/>
          <w:bCs w:val="0"/>
          <w:color w:val="000000"/>
          <w:kern w:val="2"/>
          <w:sz w:val="32"/>
          <w:szCs w:val="32"/>
          <w:lang w:val="en-US" w:eastAsia="zh-CN" w:bidi="ar-SA"/>
        </w:rPr>
        <w:t>2022年12月31日，</w:t>
      </w:r>
      <w:r>
        <w:rPr>
          <w:rFonts w:hint="default" w:ascii="Times New Roman" w:hAnsi="Times New Roman" w:eastAsia="仿宋_GB2312" w:cs="Times New Roman"/>
          <w:b w:val="0"/>
          <w:bCs w:val="0"/>
          <w:color w:val="000000"/>
          <w:kern w:val="2"/>
          <w:sz w:val="32"/>
          <w:szCs w:val="32"/>
          <w:lang w:val="en-US" w:eastAsia="zh-CN" w:bidi="ar-SA"/>
        </w:rPr>
        <w:t>完成新建社会化服务超市5个，电子商务网点5个，维护升级便民服务超市15个，再生资源回收（站）点10个，农资放心店10个</w:t>
      </w:r>
      <w:r>
        <w:rPr>
          <w:rFonts w:hint="eastAsia" w:ascii="Times New Roman" w:hAnsi="Times New Roman" w:eastAsia="仿宋_GB2312" w:cs="Times New Roman"/>
          <w:b w:val="0"/>
          <w:bCs w:val="0"/>
          <w:color w:val="000000"/>
          <w:kern w:val="2"/>
          <w:sz w:val="32"/>
          <w:szCs w:val="32"/>
          <w:lang w:val="en-US" w:eastAsia="zh-CN" w:bidi="ar-SA"/>
        </w:rPr>
        <w:t>，网点运行正常率100%，使用项目资金9.15万元，执行率93.03%，</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废弃农膜收购补贴项目：</w:t>
      </w:r>
      <w:r>
        <w:rPr>
          <w:rFonts w:hint="eastAsia" w:cs="Times New Roman"/>
          <w:b w:val="0"/>
          <w:bCs w:val="0"/>
          <w:color w:val="000000"/>
          <w:kern w:val="2"/>
          <w:sz w:val="32"/>
          <w:szCs w:val="32"/>
          <w:lang w:val="en-US" w:eastAsia="zh-CN" w:bidi="ar-SA"/>
        </w:rPr>
        <w:t>截至</w:t>
      </w:r>
      <w:r>
        <w:rPr>
          <w:rFonts w:hint="eastAsia" w:ascii="Times New Roman" w:hAnsi="Times New Roman" w:eastAsia="仿宋_GB2312" w:cs="Times New Roman"/>
          <w:b w:val="0"/>
          <w:bCs w:val="0"/>
          <w:color w:val="000000"/>
          <w:kern w:val="2"/>
          <w:sz w:val="32"/>
          <w:szCs w:val="32"/>
          <w:lang w:val="en-US" w:eastAsia="zh-CN" w:bidi="ar-SA"/>
        </w:rPr>
        <w:t>2022年12月31日，完成</w:t>
      </w:r>
      <w:r>
        <w:rPr>
          <w:rFonts w:hint="default" w:ascii="Times New Roman" w:hAnsi="Times New Roman" w:eastAsia="仿宋_GB2312" w:cs="Times New Roman"/>
          <w:b w:val="0"/>
          <w:bCs w:val="0"/>
          <w:color w:val="000000"/>
          <w:kern w:val="2"/>
          <w:sz w:val="32"/>
          <w:szCs w:val="32"/>
          <w:lang w:val="en-US" w:eastAsia="zh-CN" w:bidi="ar-SA"/>
        </w:rPr>
        <w:t>废弃农膜回收（站）点改造升级10个</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政策宣传</w:t>
      </w:r>
      <w:r>
        <w:rPr>
          <w:rFonts w:hint="eastAsia" w:ascii="Times New Roman" w:hAnsi="Times New Roman" w:eastAsia="仿宋_GB2312" w:cs="Times New Roman"/>
          <w:b w:val="0"/>
          <w:bCs w:val="0"/>
          <w:color w:val="000000"/>
          <w:kern w:val="2"/>
          <w:sz w:val="32"/>
          <w:szCs w:val="32"/>
          <w:lang w:val="en-US" w:eastAsia="zh-CN" w:bidi="ar-SA"/>
        </w:rPr>
        <w:t>4场次，</w:t>
      </w:r>
      <w:r>
        <w:rPr>
          <w:rFonts w:hint="default" w:ascii="Times New Roman" w:hAnsi="Times New Roman" w:eastAsia="仿宋_GB2312" w:cs="Times New Roman"/>
          <w:b w:val="0"/>
          <w:bCs w:val="0"/>
          <w:color w:val="000000"/>
          <w:kern w:val="2"/>
          <w:sz w:val="32"/>
          <w:szCs w:val="32"/>
          <w:lang w:val="en-US" w:eastAsia="zh-CN" w:bidi="ar-SA"/>
        </w:rPr>
        <w:t>完成废弃农膜回收价格补贴</w:t>
      </w:r>
      <w:r>
        <w:rPr>
          <w:rFonts w:hint="eastAsia" w:ascii="Times New Roman" w:hAnsi="Times New Roman" w:eastAsia="仿宋_GB2312" w:cs="Times New Roman"/>
          <w:b w:val="0"/>
          <w:bCs w:val="0"/>
          <w:color w:val="000000"/>
          <w:kern w:val="2"/>
          <w:sz w:val="32"/>
          <w:szCs w:val="32"/>
          <w:lang w:val="en-US" w:eastAsia="zh-CN" w:bidi="ar-SA"/>
        </w:rPr>
        <w:t>兑付</w:t>
      </w:r>
      <w:r>
        <w:rPr>
          <w:rFonts w:hint="default" w:ascii="Times New Roman" w:hAnsi="Times New Roman" w:eastAsia="仿宋_GB2312" w:cs="Times New Roman"/>
          <w:b w:val="0"/>
          <w:bCs w:val="0"/>
          <w:color w:val="000000"/>
          <w:kern w:val="2"/>
          <w:sz w:val="32"/>
          <w:szCs w:val="32"/>
          <w:lang w:val="en-US" w:eastAsia="zh-CN" w:bidi="ar-SA"/>
        </w:rPr>
        <w:t>3万元</w:t>
      </w:r>
      <w:r>
        <w:rPr>
          <w:rFonts w:hint="eastAsia" w:ascii="Times New Roman" w:hAnsi="Times New Roman" w:eastAsia="仿宋_GB2312" w:cs="Times New Roman"/>
          <w:b w:val="0"/>
          <w:bCs w:val="0"/>
          <w:color w:val="000000"/>
          <w:kern w:val="2"/>
          <w:sz w:val="32"/>
          <w:szCs w:val="32"/>
          <w:lang w:val="en-US" w:eastAsia="zh-CN" w:bidi="ar-SA"/>
        </w:rPr>
        <w:t>，使用项目资金4.46万元，执行率89.14%。</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华文楷体" w:hAnsi="华文楷体" w:eastAsia="华文楷体" w:cs="华文楷体"/>
          <w:sz w:val="32"/>
          <w:szCs w:val="32"/>
          <w:lang w:val="en-US" w:eastAsia="zh-CN"/>
        </w:rPr>
      </w:pPr>
      <w:r>
        <w:rPr>
          <w:rFonts w:hint="eastAsia" w:ascii="华文楷体" w:hAnsi="华文楷体" w:eastAsia="华文楷体" w:cs="华文楷体"/>
          <w:sz w:val="32"/>
          <w:szCs w:val="32"/>
          <w:lang w:val="en-US" w:eastAsia="zh-CN"/>
        </w:rPr>
        <w:t>（二）项目效益情况</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通过项目实施，活跃农村市场，商户收入提升10%，受益群众满意度90%；废弃农膜收购补贴项目，空气净化率达95%，减少环境污染，群众满意度95%，有效地提高了基层供销社服务“三农”的能力。</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60" w:lineRule="exact"/>
        <w:ind w:right="0" w:rightChars="0" w:firstLine="672" w:firstLineChars="200"/>
        <w:textAlignment w:val="auto"/>
        <w:rPr>
          <w:rFonts w:hint="eastAsia" w:ascii="Times New Roman" w:hAnsi="Times New Roman" w:eastAsia="黑体" w:cs="Times New Roman"/>
          <w:b w:val="0"/>
          <w:bCs w:val="0"/>
          <w:i w:val="0"/>
          <w:caps w:val="0"/>
          <w:color w:val="000000"/>
          <w:spacing w:val="8"/>
          <w:sz w:val="32"/>
          <w:szCs w:val="32"/>
          <w:shd w:val="clear" w:color="auto" w:fill="FFFFFF"/>
          <w:lang w:val="en-US" w:eastAsia="zh-CN"/>
        </w:rPr>
      </w:pPr>
      <w:r>
        <w:rPr>
          <w:rFonts w:hint="eastAsia" w:ascii="Times New Roman" w:hAnsi="Times New Roman" w:eastAsia="黑体" w:cs="Times New Roman"/>
          <w:b w:val="0"/>
          <w:bCs w:val="0"/>
          <w:i w:val="0"/>
          <w:caps w:val="0"/>
          <w:color w:val="000000"/>
          <w:spacing w:val="8"/>
          <w:sz w:val="32"/>
          <w:szCs w:val="32"/>
          <w:shd w:val="clear" w:color="auto" w:fill="FFFFFF"/>
          <w:lang w:val="en-US" w:eastAsia="zh-CN"/>
        </w:rPr>
        <w:t>四、自评结论及建议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420"/>
        <w:textAlignment w:val="auto"/>
        <w:rPr>
          <w:rFonts w:hint="eastAsia" w:ascii="华文楷体" w:hAnsi="华文楷体" w:eastAsia="华文楷体" w:cs="华文楷体"/>
          <w:kern w:val="2"/>
          <w:sz w:val="32"/>
          <w:szCs w:val="32"/>
          <w:lang w:val="en-US" w:eastAsia="zh-CN" w:bidi="ar-SA"/>
        </w:rPr>
      </w:pPr>
      <w:r>
        <w:rPr>
          <w:rFonts w:hint="eastAsia" w:ascii="华文楷体" w:hAnsi="华文楷体" w:eastAsia="华文楷体" w:cs="华文楷体"/>
          <w:kern w:val="2"/>
          <w:sz w:val="32"/>
          <w:szCs w:val="32"/>
          <w:lang w:val="en-US" w:eastAsia="zh-CN" w:bidi="ar-SA"/>
        </w:rPr>
        <w:t>（一）评价结论</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项目决策符合国家政策方针，管理符合相关制度，严格完成改造、维护和回收任务，项目的实施达到了预期的社会效益，受益群众满意度较好，我社自评分数为99分。</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right="0" w:firstLine="640" w:firstLineChars="200"/>
        <w:textAlignment w:val="auto"/>
        <w:rPr>
          <w:rFonts w:hint="eastAsia" w:ascii="华文楷体" w:hAnsi="华文楷体" w:eastAsia="华文楷体" w:cs="华文楷体"/>
          <w:kern w:val="2"/>
          <w:sz w:val="32"/>
          <w:szCs w:val="32"/>
          <w:lang w:val="en-US" w:eastAsia="zh-CN" w:bidi="ar-SA"/>
        </w:rPr>
      </w:pPr>
      <w:r>
        <w:rPr>
          <w:rFonts w:hint="eastAsia" w:ascii="华文楷体" w:hAnsi="华文楷体" w:eastAsia="华文楷体" w:cs="华文楷体"/>
          <w:kern w:val="2"/>
          <w:sz w:val="32"/>
          <w:szCs w:val="32"/>
          <w:lang w:val="en-US" w:eastAsia="zh-CN" w:bidi="ar-SA"/>
        </w:rPr>
        <w:t>（二）存在的问题</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无。</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420"/>
        <w:textAlignment w:val="auto"/>
        <w:rPr>
          <w:rFonts w:hint="default" w:ascii="华文楷体" w:hAnsi="华文楷体" w:eastAsia="华文楷体" w:cs="华文楷体"/>
          <w:kern w:val="2"/>
          <w:sz w:val="32"/>
          <w:szCs w:val="32"/>
          <w:lang w:val="en-US" w:eastAsia="zh-CN" w:bidi="ar-SA"/>
        </w:rPr>
      </w:pPr>
      <w:r>
        <w:rPr>
          <w:rFonts w:hint="eastAsia" w:ascii="华文楷体" w:hAnsi="华文楷体" w:eastAsia="华文楷体" w:cs="华文楷体"/>
          <w:kern w:val="2"/>
          <w:sz w:val="32"/>
          <w:szCs w:val="32"/>
          <w:lang w:val="en-US" w:eastAsia="zh-CN" w:bidi="ar-SA"/>
        </w:rPr>
        <w:t>（三）相关建议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right="0" w:firstLine="672" w:firstLineChars="200"/>
        <w:textAlignment w:val="auto"/>
        <w:rPr>
          <w:rFonts w:hint="eastAsia" w:ascii="Times New Roman" w:hAnsi="Times New Roman" w:eastAsia="仿宋_GB2312" w:cs="Times New Roman"/>
          <w:b w:val="0"/>
          <w:bCs w:val="0"/>
          <w:i w:val="0"/>
          <w:caps w:val="0"/>
          <w:color w:val="000000"/>
          <w:spacing w:val="8"/>
          <w:kern w:val="0"/>
          <w:sz w:val="32"/>
          <w:szCs w:val="32"/>
          <w:shd w:val="clear" w:color="auto" w:fill="FFFFFF"/>
          <w:lang w:val="en-US" w:eastAsia="zh-CN"/>
        </w:rPr>
      </w:pPr>
      <w:r>
        <w:rPr>
          <w:rFonts w:hint="eastAsia" w:ascii="Times New Roman" w:hAnsi="Times New Roman" w:eastAsia="仿宋_GB2312" w:cs="Times New Roman"/>
          <w:b w:val="0"/>
          <w:bCs w:val="0"/>
          <w:i w:val="0"/>
          <w:caps w:val="0"/>
          <w:color w:val="000000"/>
          <w:spacing w:val="8"/>
          <w:kern w:val="0"/>
          <w:sz w:val="32"/>
          <w:szCs w:val="32"/>
          <w:shd w:val="clear" w:color="auto" w:fill="FFFFFF"/>
          <w:lang w:val="en-US" w:eastAsia="zh-CN"/>
        </w:rPr>
        <w:t>无。</w:t>
      </w:r>
    </w:p>
    <w:tbl>
      <w:tblPr>
        <w:tblStyle w:val="15"/>
        <w:tblW w:w="89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0"/>
        <w:gridCol w:w="1027"/>
        <w:gridCol w:w="1382"/>
        <w:gridCol w:w="1027"/>
        <w:gridCol w:w="1204"/>
        <w:gridCol w:w="1382"/>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900"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rPr>
              <w:t>广元市昭化区财政项目支出绩效自评表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8900" w:type="dxa"/>
            <w:gridSpan w:val="7"/>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项目（政策）名称</w:t>
            </w:r>
          </w:p>
        </w:tc>
        <w:tc>
          <w:tcPr>
            <w:tcW w:w="71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废弃农膜收购补贴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4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区供销联社</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143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762"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项目（政策）资金（万元）</w:t>
            </w:r>
          </w:p>
        </w:tc>
        <w:tc>
          <w:tcPr>
            <w:tcW w:w="11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5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17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16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76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年度资金总额</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5万元</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5万元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4.46万元</w:t>
            </w:r>
          </w:p>
        </w:tc>
        <w:tc>
          <w:tcPr>
            <w:tcW w:w="143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76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（一）财政拨款小计</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5万元</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5万元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4.46万元</w:t>
            </w:r>
          </w:p>
        </w:tc>
        <w:tc>
          <w:tcPr>
            <w:tcW w:w="143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76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1.一般公共预算</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5万元</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5万元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4.46万元</w:t>
            </w:r>
          </w:p>
        </w:tc>
        <w:tc>
          <w:tcPr>
            <w:tcW w:w="143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76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2.政府性基金</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76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3.国有资本经营预算</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76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4.社保基金</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76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（二）其他资金</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65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143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一是预算资金2万元用于废弃农膜回收（站）点改造升级10个和政策宣传；二是废弃农膜回收价格补贴3万元。绿色环保，净化土壤，可持续发展，群众满意度100%。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废弃农膜回收（站）点改造升级10个和政策宣传；完成废弃农膜回收价格补贴3万元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废弃农膜回收吨数</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rPr>
              <w:t>2吨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rPr>
              <w:t>2.3吨</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废弃农膜回收站点升级改造个数</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rPr>
              <w:t>10个</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rPr>
              <w:t>10个</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废弃农膜回收率</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rPr>
              <w:t>100%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rPr>
              <w:t>100%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完成宣传任务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rPr>
              <w:t>100%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rPr>
              <w:t>100%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任务完成时间</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rPr>
              <w:t>253个工作日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rPr>
              <w:t>253个工作日</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废弃农膜回收站点升级改造</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rPr>
              <w:t>2万元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rPr>
              <w:t>1.4571万元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因年终决算，</w:t>
            </w:r>
            <w:bookmarkStart w:id="92" w:name="_GoBack"/>
            <w:bookmarkEnd w:id="92"/>
            <w:r>
              <w:rPr>
                <w:rFonts w:hint="eastAsia" w:ascii="宋体" w:hAnsi="宋体" w:eastAsia="宋体" w:cs="宋体"/>
                <w:i w:val="0"/>
                <w:iCs w:val="0"/>
                <w:color w:val="000000"/>
                <w:kern w:val="0"/>
                <w:sz w:val="18"/>
                <w:szCs w:val="18"/>
                <w:u w:val="none"/>
                <w:lang w:val="en-US" w:eastAsia="zh-CN"/>
              </w:rPr>
              <w:t>截至12月底有工作经费还未支付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废弃农膜回收补贴</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rPr>
              <w:t>3万元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rPr>
              <w:t>3万元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11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生态效益</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减少环境污染</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高中低</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rPr>
              <w:t>高</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可持续影响指标</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空气净化率</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rPr>
              <w:t>95%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rPr>
              <w:t>100%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群众满意度</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rPr>
              <w:t>95%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rPr>
              <w:t>100%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bl>
    <w:p>
      <w:pPr>
        <w:widowControl/>
        <w:jc w:val="left"/>
        <w:rPr>
          <w:rStyle w:val="29"/>
          <w:rFonts w:ascii="黑体" w:hAnsi="黑体" w:eastAsia="黑体"/>
          <w:b w:val="0"/>
          <w:color w:val="auto"/>
          <w:highlight w:val="none"/>
        </w:rPr>
      </w:pPr>
      <w:r>
        <w:br w:type="page"/>
      </w:r>
    </w:p>
    <w:tbl>
      <w:tblPr>
        <w:tblStyle w:val="15"/>
        <w:tblW w:w="88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0"/>
        <w:gridCol w:w="1027"/>
        <w:gridCol w:w="1382"/>
        <w:gridCol w:w="1204"/>
        <w:gridCol w:w="1204"/>
        <w:gridCol w:w="1205"/>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20"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rPr>
              <w:t>广元市昭化区财政项目支出绩效自评表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8820" w:type="dxa"/>
            <w:gridSpan w:val="7"/>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项目（政策）名称</w:t>
            </w:r>
          </w:p>
        </w:tc>
        <w:tc>
          <w:tcPr>
            <w:tcW w:w="7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网络体系建设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4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区供销联社</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1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区供销联社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644"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项目（政策）资金（万元）</w:t>
            </w:r>
          </w:p>
        </w:tc>
        <w:tc>
          <w:tcPr>
            <w:tcW w:w="11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1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164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年度资金总额</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9.84万元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9.84万元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9.15万元</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（一）财政拨款小计</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9.84万元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9.84万元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9.15万元</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1.一般公共预算</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9.84万元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9.84万元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9.15万元</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2.政府性基金</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3.国有资本经营预算</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4.社保基金</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（二）其他资金</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66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13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新建社会化服务超市5个，电子商务网点5个，维护升级便民服务超市15个，再生资源回收（站）点10个，农资放心店10个。服务三农，解决老百姓买难卖难，活跃农村市场，促进农村经济发展，可持续发展，群众满意度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完成新建社会化服务超市5个，电子商务网点5个，维护升级便民服务超市15个，再生资源回收（站）点10个，农资放心店10个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129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129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电子商务网点个数</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5个</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5个</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新建超市网点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5个</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5个</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129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商务网点运行正常</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129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任务完成时间</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1年</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129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网点运行费、建设费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9.84万元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9.15万元</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因年终决算，有工作经费还未支付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11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经济效益</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129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商户收入提升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社会效益</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129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活跃农村市场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好坏</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好</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129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群众满意度</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bl>
    <w:p>
      <w:pPr>
        <w:spacing w:line="600" w:lineRule="exact"/>
        <w:jc w:val="both"/>
        <w:outlineLvl w:val="0"/>
        <w:rPr>
          <w:rFonts w:hint="eastAsia" w:ascii="黑体" w:hAnsi="黑体" w:eastAsia="黑体"/>
          <w:color w:val="auto"/>
          <w:sz w:val="44"/>
          <w:szCs w:val="44"/>
          <w:highlight w:val="none"/>
        </w:rPr>
      </w:pPr>
      <w:bookmarkStart w:id="77" w:name="_Toc15396618"/>
    </w:p>
    <w:p>
      <w:pPr>
        <w:pStyle w:val="3"/>
        <w:bidi w:val="0"/>
        <w:rPr>
          <w:rFonts w:hint="eastAsia"/>
        </w:rPr>
      </w:pPr>
      <w:bookmarkStart w:id="78" w:name="_Toc11093"/>
      <w:r>
        <w:rPr>
          <w:rFonts w:hint="eastAsia"/>
        </w:rPr>
        <w:t>第五部分 附表</w:t>
      </w:r>
      <w:bookmarkEnd w:id="74"/>
      <w:bookmarkEnd w:id="77"/>
      <w:bookmarkEnd w:id="78"/>
      <w:bookmarkStart w:id="79" w:name="_Toc15396619"/>
    </w:p>
    <w:p>
      <w:pPr>
        <w:bidi w:val="0"/>
        <w:rPr>
          <w:rFonts w:hint="eastAsia"/>
        </w:rPr>
      </w:pPr>
      <w:r>
        <w:rPr>
          <w:rFonts w:hint="eastAsia"/>
        </w:rPr>
        <w:t>一、收入支出决算总表</w:t>
      </w:r>
      <w:bookmarkEnd w:id="79"/>
    </w:p>
    <w:p>
      <w:pPr>
        <w:bidi w:val="0"/>
        <w:rPr>
          <w:rFonts w:hint="eastAsia"/>
        </w:rPr>
      </w:pPr>
      <w:bookmarkStart w:id="80" w:name="_Toc15396620"/>
      <w:r>
        <w:rPr>
          <w:rFonts w:hint="eastAsia"/>
        </w:rPr>
        <w:t>二、收入决算表</w:t>
      </w:r>
      <w:bookmarkEnd w:id="80"/>
    </w:p>
    <w:p>
      <w:pPr>
        <w:bidi w:val="0"/>
        <w:rPr>
          <w:rFonts w:hint="eastAsia"/>
        </w:rPr>
      </w:pPr>
      <w:bookmarkStart w:id="81" w:name="_Toc15396621"/>
      <w:r>
        <w:rPr>
          <w:rFonts w:hint="eastAsia"/>
        </w:rPr>
        <w:t>三、支出决算表</w:t>
      </w:r>
      <w:bookmarkEnd w:id="81"/>
    </w:p>
    <w:p>
      <w:pPr>
        <w:bidi w:val="0"/>
        <w:rPr>
          <w:rFonts w:hint="eastAsia"/>
        </w:rPr>
      </w:pPr>
      <w:bookmarkStart w:id="82" w:name="_Toc15396622"/>
      <w:r>
        <w:rPr>
          <w:rFonts w:hint="eastAsia"/>
        </w:rPr>
        <w:t>四、财政拨款收入支出决算总表</w:t>
      </w:r>
      <w:bookmarkEnd w:id="82"/>
    </w:p>
    <w:p>
      <w:pPr>
        <w:bidi w:val="0"/>
        <w:rPr>
          <w:rFonts w:hint="eastAsia"/>
        </w:rPr>
      </w:pPr>
      <w:bookmarkStart w:id="83" w:name="_Toc15396623"/>
      <w:r>
        <w:rPr>
          <w:rFonts w:hint="eastAsia"/>
        </w:rPr>
        <w:t>五、财政拨款支出决算明细表</w:t>
      </w:r>
      <w:bookmarkEnd w:id="83"/>
      <w:bookmarkStart w:id="84" w:name="_Toc15396624"/>
    </w:p>
    <w:p>
      <w:pPr>
        <w:bidi w:val="0"/>
        <w:rPr>
          <w:rFonts w:hint="eastAsia"/>
        </w:rPr>
      </w:pPr>
      <w:r>
        <w:rPr>
          <w:rFonts w:hint="eastAsia"/>
        </w:rPr>
        <w:t>六、一般公共预算财政拨款支出决算表</w:t>
      </w:r>
      <w:bookmarkEnd w:id="84"/>
    </w:p>
    <w:p>
      <w:pPr>
        <w:bidi w:val="0"/>
        <w:rPr>
          <w:rFonts w:hint="eastAsia"/>
        </w:rPr>
      </w:pPr>
      <w:bookmarkStart w:id="85" w:name="_Toc15396625"/>
      <w:r>
        <w:rPr>
          <w:rFonts w:hint="eastAsia"/>
        </w:rPr>
        <w:t>七、一般公共预算财政拨款支出决算明细表</w:t>
      </w:r>
      <w:bookmarkEnd w:id="85"/>
    </w:p>
    <w:p>
      <w:pPr>
        <w:bidi w:val="0"/>
        <w:rPr>
          <w:rFonts w:hint="eastAsia"/>
        </w:rPr>
      </w:pPr>
      <w:bookmarkStart w:id="86" w:name="_Toc15396626"/>
      <w:r>
        <w:rPr>
          <w:rFonts w:hint="eastAsia"/>
        </w:rPr>
        <w:t>八、一般公共预算财政拨款基本支出决算表</w:t>
      </w:r>
      <w:bookmarkEnd w:id="86"/>
    </w:p>
    <w:p>
      <w:pPr>
        <w:bidi w:val="0"/>
        <w:rPr>
          <w:rFonts w:hint="eastAsia"/>
        </w:rPr>
      </w:pPr>
      <w:bookmarkStart w:id="87" w:name="_Toc15396627"/>
      <w:r>
        <w:rPr>
          <w:rFonts w:hint="eastAsia"/>
        </w:rPr>
        <w:t>九、一般公共预算财政拨款项目支出决算表</w:t>
      </w:r>
      <w:bookmarkEnd w:id="87"/>
    </w:p>
    <w:p>
      <w:pPr>
        <w:bidi w:val="0"/>
        <w:rPr>
          <w:rFonts w:hint="eastAsia"/>
        </w:rPr>
      </w:pPr>
      <w:bookmarkStart w:id="88" w:name="_Toc15396628"/>
      <w:r>
        <w:rPr>
          <w:rFonts w:hint="eastAsia"/>
        </w:rPr>
        <w:t>十、</w:t>
      </w:r>
      <w:bookmarkEnd w:id="88"/>
      <w:r>
        <w:rPr>
          <w:rFonts w:hint="eastAsia"/>
        </w:rPr>
        <w:t>政府性基金预算财政拨款收入支出决算表</w:t>
      </w:r>
    </w:p>
    <w:p>
      <w:pPr>
        <w:bidi w:val="0"/>
        <w:rPr>
          <w:rFonts w:hint="eastAsia"/>
        </w:rPr>
      </w:pPr>
      <w:bookmarkStart w:id="89" w:name="_Toc15396629"/>
      <w:r>
        <w:rPr>
          <w:rFonts w:hint="eastAsia"/>
        </w:rPr>
        <w:t>十一、</w:t>
      </w:r>
      <w:bookmarkEnd w:id="89"/>
      <w:r>
        <w:rPr>
          <w:rFonts w:hint="eastAsia"/>
        </w:rPr>
        <w:t>国有资本经营预算</w:t>
      </w:r>
      <w:r>
        <w:rPr>
          <w:rFonts w:hint="eastAsia"/>
          <w:lang w:eastAsia="zh-CN"/>
        </w:rPr>
        <w:t>财政拨款收入</w:t>
      </w:r>
      <w:r>
        <w:rPr>
          <w:rFonts w:hint="eastAsia"/>
        </w:rPr>
        <w:t>支出决算表</w:t>
      </w:r>
    </w:p>
    <w:p>
      <w:pPr>
        <w:bidi w:val="0"/>
        <w:rPr>
          <w:rFonts w:hint="eastAsia"/>
        </w:rPr>
      </w:pPr>
      <w:bookmarkStart w:id="90" w:name="_Toc15396630"/>
      <w:r>
        <w:rPr>
          <w:rFonts w:hint="eastAsia"/>
        </w:rPr>
        <w:t>十二、</w:t>
      </w:r>
      <w:bookmarkEnd w:id="90"/>
      <w:r>
        <w:rPr>
          <w:rFonts w:hint="eastAsia"/>
          <w:lang w:eastAsia="zh-CN"/>
        </w:rPr>
        <w:t>国有资本经营预算财政拨款支出决算表</w:t>
      </w:r>
    </w:p>
    <w:p>
      <w:pPr>
        <w:bidi w:val="0"/>
        <w:rPr>
          <w:rFonts w:hint="eastAsia"/>
          <w:lang w:eastAsia="zh-CN"/>
        </w:rPr>
      </w:pPr>
      <w:bookmarkStart w:id="91" w:name="_Toc15396631"/>
      <w:r>
        <w:rPr>
          <w:rFonts w:hint="eastAsia"/>
        </w:rPr>
        <w:t>十三、</w:t>
      </w:r>
      <w:bookmarkEnd w:id="91"/>
      <w:r>
        <w:rPr>
          <w:rFonts w:hint="eastAsia"/>
          <w:lang w:eastAsia="zh-CN"/>
        </w:rPr>
        <w:t>财政拨款“三公”经费支出决算表</w:t>
      </w:r>
    </w:p>
    <w:sectPr>
      <w:pgSz w:w="11906" w:h="16838"/>
      <w:pgMar w:top="2098" w:right="1474" w:bottom="1984" w:left="1587" w:header="851" w:footer="680"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黑体简体">
    <w:altName w:val="黑体"/>
    <w:panose1 w:val="02010601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2"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9"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l1uVLQAAAABQEAAA8AAAAAAAAAAQAgAAAAIgAAAGRycy9kb3ducmV2Lnht&#10;bFBLAQIUABQAAAAIAIdO4kDdrQ7VAQIAAAoEAAAOAAAAAAAAAAEAIAAAAB8BAABkcnMvZTJvRG9j&#10;LnhtbFBLBQYAAAAABgAGAFkBAACSBQAAAAA=&#10;">
              <v:fill on="f" focussize="0,0"/>
              <v:stroke on="f"/>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0"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10"/>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1" o:spid="_x0000_s1026" o:spt="1"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xQs8OwICAAALBAAADgAAAAAAAAABACAAAAAfAQAAZHJzL2Uyb0Rv&#10;Yy54bWxQSwUGAAAAAAYABgBZAQAAkwUAAAAA&#10;">
              <v:fill on="f" focussize="0,0"/>
              <v:stroke on="f"/>
              <v:imagedata o:title=""/>
              <o:lock v:ext="edit" aspectratio="f"/>
              <v:textbox inset="0mm,0mm,0mm,0mm" style="mso-fit-shape-to-text:t;">
                <w:txbxContent>
                  <w:p>
                    <w:pPr>
                      <w:pStyle w:val="10"/>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mMjc5YzdiZmIwNTM4OTkxYjVlMmU5Yjk0YmQ2MjIifQ=="/>
  </w:docVars>
  <w:rsids>
    <w:rsidRoot w:val="00000000"/>
    <w:rsid w:val="0F2D730B"/>
    <w:rsid w:val="7030404B"/>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ind w:firstLine="144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29"/>
    <w:qFormat/>
    <w:uiPriority w:val="9"/>
    <w:pPr>
      <w:keepNext/>
      <w:keepLines/>
      <w:spacing w:line="576" w:lineRule="exact"/>
      <w:ind w:firstLine="0" w:firstLineChars="0"/>
      <w:jc w:val="center"/>
      <w:outlineLvl w:val="0"/>
    </w:pPr>
    <w:rPr>
      <w:rFonts w:eastAsia="黑体"/>
      <w:bCs/>
      <w:kern w:val="44"/>
      <w:sz w:val="44"/>
      <w:szCs w:val="44"/>
    </w:rPr>
  </w:style>
  <w:style w:type="paragraph" w:styleId="4">
    <w:name w:val="heading 2"/>
    <w:basedOn w:val="1"/>
    <w:next w:val="1"/>
    <w:link w:val="30"/>
    <w:unhideWhenUsed/>
    <w:qFormat/>
    <w:uiPriority w:val="9"/>
    <w:pPr>
      <w:keepNext/>
      <w:keepLines/>
      <w:spacing w:line="576" w:lineRule="exact"/>
      <w:ind w:firstLine="1440" w:firstLineChars="200"/>
      <w:outlineLvl w:val="1"/>
    </w:pPr>
    <w:rPr>
      <w:rFonts w:eastAsia="黑体" w:asciiTheme="majorAscii" w:hAnsiTheme="majorAscii" w:cstheme="majorBidi"/>
      <w:bCs/>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next w:val="1"/>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rPr>
  </w:style>
  <w:style w:type="table" w:styleId="1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eastAsia="黑体"/>
      <w:bCs/>
      <w:kern w:val="44"/>
      <w:sz w:val="44"/>
      <w:szCs w:val="44"/>
    </w:rPr>
  </w:style>
  <w:style w:type="character" w:customStyle="1" w:styleId="30">
    <w:name w:val="标题 2 Char"/>
    <w:basedOn w:val="17"/>
    <w:link w:val="4"/>
    <w:qFormat/>
    <w:uiPriority w:val="9"/>
    <w:rPr>
      <w:rFonts w:eastAsia="黑体" w:asciiTheme="majorAscii" w:hAnsiTheme="majorAscii" w:cstheme="majorBidi"/>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Page Number"/>
    <w:basedOn w:val="17"/>
    <w:qFormat/>
    <w:uiPriority w:val="0"/>
  </w:style>
  <w:style w:type="character" w:customStyle="1" w:styleId="37">
    <w:name w:val="font4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4.xml"/><Relationship Id="rId22" Type="http://schemas.openxmlformats.org/officeDocument/2006/relationships/customXml" Target="../customXml/item3.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manualLayout>
          <c:layoutTarget val="inner"/>
          <c:xMode val="edge"/>
          <c:yMode val="edge"/>
          <c:x val="0.109268146370726"/>
          <c:y val="0.212113467927421"/>
          <c:w val="0.88623275344931"/>
          <c:h val="0.565908510094557"/>
        </c:manualLayout>
      </c:layout>
      <c:barChart>
        <c:barDir val="col"/>
        <c:grouping val="clustered"/>
        <c:varyColors val="0"/>
        <c:ser>
          <c:idx val="0"/>
          <c:order val="0"/>
          <c:tx>
            <c:strRef>
              <c:f>Sheet1!$B$1</c:f>
              <c:strCache>
                <c:ptCount val="1"/>
                <c:pt idx="0">
                  <c:v>万元</c:v>
                </c:pt>
              </c:strCache>
            </c:strRef>
          </c:tx>
          <c:spPr>
            <a:solidFill>
              <a:schemeClr val="accent1"/>
            </a:solidFill>
            <a:ln>
              <a:noFill/>
            </a:ln>
            <a:effectLst/>
          </c:spPr>
          <c:invertIfNegative val="0"/>
          <c:dLbls>
            <c:delete val="1"/>
          </c:dLbls>
          <c:cat>
            <c:strRef>
              <c:f>Sheet1!$A$2:$A$5</c:f>
              <c:strCache>
                <c:ptCount val="4"/>
                <c:pt idx="0">
                  <c:v>2021年</c:v>
                </c:pt>
                <c:pt idx="1">
                  <c:v>2022年</c:v>
                </c:pt>
              </c:strCache>
            </c:strRef>
          </c:cat>
          <c:val>
            <c:numRef>
              <c:f>Sheet1!$B$2:$B$5</c:f>
              <c:numCache>
                <c:formatCode>General</c:formatCode>
                <c:ptCount val="4"/>
                <c:pt idx="0">
                  <c:v>233.02</c:v>
                </c:pt>
                <c:pt idx="1">
                  <c:v>243.57</c:v>
                </c:pt>
              </c:numCache>
            </c:numRef>
          </c:val>
        </c:ser>
        <c:dLbls>
          <c:showLegendKey val="0"/>
          <c:showVal val="0"/>
          <c:showCatName val="0"/>
          <c:showSerName val="0"/>
          <c:showPercent val="0"/>
          <c:showBubbleSize val="0"/>
        </c:dLbls>
        <c:gapWidth val="246"/>
        <c:overlap val="-28"/>
        <c:axId val="211507151"/>
        <c:axId val="292890228"/>
      </c:barChart>
      <c:catAx>
        <c:axId val="21150715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2890228"/>
        <c:crosses val="autoZero"/>
        <c:auto val="1"/>
        <c:lblAlgn val="ctr"/>
        <c:lblOffset val="100"/>
        <c:noMultiLvlLbl val="0"/>
      </c:catAx>
      <c:valAx>
        <c:axId val="292890228"/>
        <c:scaling>
          <c:orientation val="minMax"/>
        </c:scaling>
        <c:delete val="0"/>
        <c:axPos val="l"/>
        <c:majorGridlines>
          <c:spPr>
            <a:ln w="9525" cap="flat" cmpd="sng" algn="ctr">
              <a:solidFill>
                <a:schemeClr val="bg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150715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万元</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strCache>
            </c:strRef>
          </c:cat>
          <c:val>
            <c:numRef>
              <c:f>Sheet1!$B$2:$B$3</c:f>
              <c:numCache>
                <c:formatCode>General</c:formatCode>
                <c:ptCount val="2"/>
                <c:pt idx="0">
                  <c:v>243.57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万元</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228.57</c:v>
                </c:pt>
                <c:pt idx="1">
                  <c:v>15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53241077931537"/>
          <c:y val="0.0707470075885693"/>
          <c:w val="0.910773085182534"/>
          <c:h val="0.654863221884499"/>
        </c:manualLayout>
      </c:layout>
      <c:barChart>
        <c:barDir val="col"/>
        <c:grouping val="clustered"/>
        <c:varyColors val="0"/>
        <c:ser>
          <c:idx val="0"/>
          <c:order val="0"/>
          <c:tx>
            <c:strRef>
              <c:f>Sheet1!$B$1</c:f>
              <c:strCache>
                <c:ptCount val="1"/>
                <c:pt idx="0">
                  <c:v>万元</c:v>
                </c:pt>
              </c:strCache>
            </c:strRef>
          </c:tx>
          <c:spPr>
            <a:solidFill>
              <a:schemeClr val="accent1">
                <a:alpha val="69000"/>
              </a:schemeClr>
            </a:solidFill>
            <a:ln>
              <a:noFill/>
            </a:ln>
            <a:effectLst/>
          </c:spPr>
          <c:invertIfNegative val="0"/>
          <c:dLbls>
            <c:delete val="1"/>
          </c:dLbls>
          <c:cat>
            <c:numRef>
              <c:f>Sheet1!$A$2:$A$5</c:f>
              <c:numCache>
                <c:formatCode>General</c:formatCode>
                <c:ptCount val="4"/>
                <c:pt idx="0">
                  <c:v>2021</c:v>
                </c:pt>
                <c:pt idx="1">
                  <c:v>2022</c:v>
                </c:pt>
              </c:numCache>
            </c:numRef>
          </c:cat>
          <c:val>
            <c:numRef>
              <c:f>Sheet1!$B$2:$B$5</c:f>
              <c:numCache>
                <c:formatCode>General</c:formatCode>
                <c:ptCount val="4"/>
                <c:pt idx="0">
                  <c:v>233.02</c:v>
                </c:pt>
                <c:pt idx="1">
                  <c:v>243.57</c:v>
                </c:pt>
              </c:numCache>
            </c:numRef>
          </c:val>
        </c:ser>
        <c:ser>
          <c:idx val="1"/>
          <c:order val="1"/>
          <c:tx>
            <c:strRef>
              <c:f>Sheet1!$C$1</c:f>
              <c:strCache>
                <c:ptCount val="1"/>
                <c:pt idx="0">
                  <c:v/>
                </c:pt>
              </c:strCache>
            </c:strRef>
          </c:tx>
          <c:spPr>
            <a:noFill/>
            <a:ln>
              <a:noFill/>
            </a:ln>
            <a:effectLst/>
          </c:spPr>
          <c:invertIfNegative val="0"/>
          <c:dLbls>
            <c:delete val="1"/>
          </c:dLbls>
          <c:cat>
            <c:numRef>
              <c:f>Sheet1!$A$2:$A$5</c:f>
              <c:numCache>
                <c:formatCode>General</c:formatCode>
                <c:ptCount val="4"/>
                <c:pt idx="0">
                  <c:v>2021</c:v>
                </c:pt>
                <c:pt idx="1">
                  <c:v>2022</c:v>
                </c:pt>
              </c:numCache>
            </c:numRef>
          </c:cat>
          <c:val>
            <c:numRef>
              <c:f>Sheet1!$C$2:$C$5</c:f>
              <c:numCache>
                <c:formatCode>General</c:formatCode>
                <c:ptCount val="4"/>
              </c:numCache>
            </c:numRef>
          </c:val>
        </c:ser>
        <c:ser>
          <c:idx val="2"/>
          <c:order val="2"/>
          <c:tx>
            <c:strRef>
              <c:f>Sheet1!$D$1</c:f>
              <c:strCache>
                <c:ptCount val="1"/>
                <c:pt idx="0">
                  <c:v/>
                </c:pt>
              </c:strCache>
            </c:strRef>
          </c:tx>
          <c:spPr>
            <a:noFill/>
            <a:ln>
              <a:noFill/>
            </a:ln>
            <a:effectLst/>
          </c:spPr>
          <c:invertIfNegative val="0"/>
          <c:dLbls>
            <c:delete val="1"/>
          </c:dLbls>
          <c:cat>
            <c:numRef>
              <c:f>Sheet1!$A$2:$A$5</c:f>
              <c:numCache>
                <c:formatCode>General</c:formatCode>
                <c:ptCount val="4"/>
                <c:pt idx="0">
                  <c:v>2021</c:v>
                </c:pt>
                <c:pt idx="1">
                  <c:v>2022</c:v>
                </c:pt>
              </c:numCache>
            </c:num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721939191"/>
        <c:axId val="600687057"/>
      </c:barChart>
      <c:catAx>
        <c:axId val="72193919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0687057"/>
        <c:crosses val="autoZero"/>
        <c:auto val="1"/>
        <c:lblAlgn val="ctr"/>
        <c:lblOffset val="100"/>
        <c:noMultiLvlLbl val="0"/>
      </c:catAx>
      <c:valAx>
        <c:axId val="60068705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19391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delete val="1"/>
          </c:dLbls>
          <c:cat>
            <c:numRef>
              <c:f>Sheet1!$A$2:$A$5</c:f>
              <c:numCache>
                <c:formatCode>General</c:formatCode>
                <c:ptCount val="4"/>
                <c:pt idx="0">
                  <c:v>2021</c:v>
                </c:pt>
                <c:pt idx="1">
                  <c:v>2022</c:v>
                </c:pt>
              </c:numCache>
            </c:numRef>
          </c:cat>
          <c:val>
            <c:numRef>
              <c:f>Sheet1!$B$2:$B$5</c:f>
              <c:numCache>
                <c:formatCode>General</c:formatCode>
                <c:ptCount val="4"/>
                <c:pt idx="0">
                  <c:v>233.02</c:v>
                </c:pt>
                <c:pt idx="1">
                  <c:v>243.57</c:v>
                </c:pt>
              </c:numCache>
            </c:numRef>
          </c:val>
        </c:ser>
        <c:ser>
          <c:idx val="1"/>
          <c:order val="1"/>
          <c:tx>
            <c:strRef>
              <c:f>Sheet1!$C$1</c:f>
              <c:strCache>
                <c:ptCount val="1"/>
                <c:pt idx="0">
                  <c:v>万元</c:v>
                </c:pt>
              </c:strCache>
            </c:strRef>
          </c:tx>
          <c:spPr>
            <a:solidFill>
              <a:schemeClr val="accent2"/>
            </a:solidFill>
            <a:ln>
              <a:noFill/>
            </a:ln>
            <a:effectLst/>
          </c:spPr>
          <c:invertIfNegative val="0"/>
          <c:dLbls>
            <c:delete val="1"/>
          </c:dLbls>
          <c:cat>
            <c:numRef>
              <c:f>Sheet1!$A$2:$A$5</c:f>
              <c:numCache>
                <c:formatCode>General</c:formatCode>
                <c:ptCount val="4"/>
                <c:pt idx="0">
                  <c:v>2021</c:v>
                </c:pt>
                <c:pt idx="1">
                  <c:v>2022</c:v>
                </c:pt>
              </c:numCache>
            </c:numRef>
          </c:cat>
          <c:val>
            <c:numRef>
              <c:f>Sheet1!$C$2:$C$5</c:f>
              <c:numCache>
                <c:formatCode>General</c:formatCode>
                <c:ptCount val="4"/>
              </c:numCache>
            </c:numRef>
          </c:val>
        </c:ser>
        <c:ser>
          <c:idx val="2"/>
          <c:order val="2"/>
          <c:tx>
            <c:strRef>
              <c:f>Sheet1!$D$1</c:f>
              <c:strCache>
                <c:ptCount val="1"/>
                <c:pt idx="0">
                  <c:v/>
                </c:pt>
              </c:strCache>
            </c:strRef>
          </c:tx>
          <c:spPr>
            <a:noFill/>
            <a:ln>
              <a:noFill/>
            </a:ln>
            <a:effectLst/>
          </c:spPr>
          <c:invertIfNegative val="0"/>
          <c:dLbls>
            <c:delete val="1"/>
          </c:dLbls>
          <c:cat>
            <c:numRef>
              <c:f>Sheet1!$A$2:$A$5</c:f>
              <c:numCache>
                <c:formatCode>General</c:formatCode>
                <c:ptCount val="4"/>
                <c:pt idx="0">
                  <c:v>2021</c:v>
                </c:pt>
                <c:pt idx="1">
                  <c:v>2022</c:v>
                </c:pt>
              </c:numCache>
            </c:num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9189381"/>
        <c:axId val="541098694"/>
      </c:barChart>
      <c:catAx>
        <c:axId val="26918938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1098694"/>
        <c:crosses val="autoZero"/>
        <c:auto val="1"/>
        <c:lblAlgn val="ctr"/>
        <c:lblOffset val="100"/>
        <c:noMultiLvlLbl val="0"/>
      </c:catAx>
      <c:valAx>
        <c:axId val="54109869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918938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63095848282932"/>
          <c:y val="0.0282352941176471"/>
        </c:manualLayout>
      </c:layout>
      <c:overlay val="0"/>
      <c:spPr>
        <a:noFill/>
        <a:ln>
          <a:noFill/>
        </a:ln>
        <a:effectLst/>
      </c:spPr>
      <c:tx>
        <c:rich>
          <a:bodyPr/>
          <a:lstStyle/>
          <a:p>
            <a:pPr>
              <a:defRPr/>
            </a:pPr>
          </a:p>
        </c:rich>
      </c:tx>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社会保障和就业支出</c:v>
                </c:pt>
                <c:pt idx="1">
                  <c:v>卫生健康支出</c:v>
                </c:pt>
                <c:pt idx="2">
                  <c:v>住房保障支出</c:v>
                </c:pt>
                <c:pt idx="3">
                  <c:v>商业服务业等（类）支出</c:v>
                </c:pt>
              </c:strCache>
            </c:strRef>
          </c:cat>
          <c:val>
            <c:numRef>
              <c:f>Sheet1!$B$2:$B$5</c:f>
              <c:numCache>
                <c:formatCode>General</c:formatCode>
                <c:ptCount val="4"/>
                <c:pt idx="0">
                  <c:v>27.73</c:v>
                </c:pt>
                <c:pt idx="1">
                  <c:v>7.01</c:v>
                </c:pt>
                <c:pt idx="2">
                  <c:v>10.11</c:v>
                </c:pt>
                <c:pt idx="3">
                  <c:v>198.72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元</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因公出国</c:v>
                </c:pt>
                <c:pt idx="1">
                  <c:v>公务接待</c:v>
                </c:pt>
                <c:pt idx="2">
                  <c:v>公务用车</c:v>
                </c:pt>
              </c:strCache>
            </c:strRef>
          </c:cat>
          <c:val>
            <c:numRef>
              <c:f>Sheet1!$B$2:$B$4</c:f>
              <c:numCache>
                <c:formatCode>General</c:formatCode>
                <c:ptCount val="3"/>
                <c:pt idx="0">
                  <c:v>0</c:v>
                </c:pt>
                <c:pt idx="1">
                  <c:v>5000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7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7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7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700"/>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倩妹儿</cp:lastModifiedBy>
  <cp:lastPrinted>2023-09-25T09:50:00Z</cp:lastPrinted>
  <dcterms:modified xsi:type="dcterms:W3CDTF">2023-09-27T06:37:22Z</dcterms:modified>
  <dc:title>四川省***</dc:title>
  <cp:revision>32</cp:revision>
</cp:coreProperties>
</file>

<file path=customXml/item3.xml><?xml version="1.0" encoding="utf-8"?>
<Properties xmlns="http://schemas.openxmlformats.org/officeDocument/2006/extended-properties" xmlns:vt="http://schemas.openxmlformats.org/officeDocument/2006/docPropsVTypes">
  <Template>Normal.dotm</Template>
  <Company>四川省财政厅</Company>
  <Pages>33</Pages>
  <Words>11503</Words>
  <Characters>12431</Characters>
  <Lines>61</Lines>
  <Paragraphs>17</Paragraphs>
  <TotalTime>135</TotalTime>
  <ScaleCrop>false</ScaleCrop>
  <LinksUpToDate>false</LinksUpToDate>
  <CharactersWithSpaces>12500</CharactersWithSpaces>
  <Application>WPS Office_12.1.0.15712_F1E327BC-269C-435d-A152-05C5408002CA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2DB34020143A4FEFA1C164AD2E44C987_13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58250d-d40d-4be3-b909-d8d3738fcafc}">
  <ds:schemaRefs/>
</ds:datastoreItem>
</file>

<file path=customXml/itemProps3.xml><?xml version="1.0" encoding="utf-8"?>
<ds:datastoreItem xmlns:ds="http://schemas.openxmlformats.org/officeDocument/2006/customXml" ds:itemID="{51944fc0-8128-40a6-b8e2-640db3cbd597}">
  <ds:schemaRefs/>
</ds:datastoreItem>
</file>

<file path=customXml/itemProps4.xml><?xml version="1.0" encoding="utf-8"?>
<ds:datastoreItem xmlns:ds="http://schemas.openxmlformats.org/officeDocument/2006/customXml" ds:itemID="{80102a6a-3a49-4f4c-8e94-df2c5f540190}">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11505</Words>
  <Characters>12433</Characters>
  <Lines>61</Lines>
  <Paragraphs>17</Paragraphs>
  <TotalTime>3</TotalTime>
  <ScaleCrop>false</ScaleCrop>
  <LinksUpToDate>false</LinksUpToDate>
  <CharactersWithSpaces>12502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倩妹儿</cp:lastModifiedBy>
  <cp:lastPrinted>2023-09-25T09:50:00Z</cp:lastPrinted>
  <dcterms:modified xsi:type="dcterms:W3CDTF">2023-09-28T02:20:38Z</dcterms:modified>
  <dc:title>四川省_x002A__x002A__x002A_</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03362AD8EEF54DA28EA6FC215B18315C_13</vt:lpwstr>
  </property>
</Properties>
</file>