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hint="default" w:ascii="方正小标宋简体" w:hAnsi="宋体" w:eastAsia="方正小标宋简体"/>
          <w:color w:val="auto"/>
          <w:sz w:val="72"/>
          <w:szCs w:val="72"/>
          <w:highlight w:val="none"/>
          <w:lang w:val="en-US" w:eastAsia="zh-CN"/>
        </w:rPr>
      </w:pPr>
      <w:bookmarkStart w:id="0" w:name="_Toc15306267"/>
    </w:p>
    <w:p>
      <w:pPr>
        <w:spacing w:line="600" w:lineRule="exact"/>
        <w:jc w:val="center"/>
        <w:outlineLvl w:val="0"/>
        <w:rPr>
          <w:rFonts w:ascii="方正小标宋简体" w:hAnsi="宋体" w:eastAsia="方正小标宋简体"/>
          <w:color w:val="auto"/>
          <w:sz w:val="72"/>
          <w:szCs w:val="72"/>
          <w:highlight w:val="none"/>
        </w:rPr>
      </w:pPr>
    </w:p>
    <w:p>
      <w:pPr>
        <w:spacing w:line="600" w:lineRule="exact"/>
        <w:jc w:val="center"/>
        <w:outlineLvl w:val="0"/>
        <w:rPr>
          <w:rFonts w:ascii="方正小标宋简体" w:hAnsi="宋体" w:eastAsia="方正小标宋简体"/>
          <w:color w:val="auto"/>
          <w:sz w:val="72"/>
          <w:szCs w:val="72"/>
          <w:highlight w:val="none"/>
        </w:rPr>
      </w:pPr>
    </w:p>
    <w:p>
      <w:pPr>
        <w:spacing w:line="600" w:lineRule="exact"/>
        <w:jc w:val="center"/>
        <w:outlineLvl w:val="0"/>
        <w:rPr>
          <w:rFonts w:ascii="方正小标宋简体" w:hAnsi="宋体" w:eastAsia="方正小标宋简体"/>
          <w:color w:val="auto"/>
          <w:sz w:val="72"/>
          <w:szCs w:val="72"/>
          <w:highlight w:val="none"/>
        </w:rPr>
      </w:pPr>
    </w:p>
    <w:p>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bookmarkStart w:id="1" w:name="_Toc15377425"/>
      <w:bookmarkStart w:id="2" w:name="_Toc15377193"/>
      <w:bookmarkStart w:id="3" w:name="_Toc15378441"/>
      <w:bookmarkStart w:id="4" w:name="_Toc15396475"/>
      <w:bookmarkStart w:id="5" w:name="_Toc15396597"/>
      <w:r>
        <w:rPr>
          <w:rFonts w:hint="eastAsia" w:ascii="方正小标宋简体" w:hAnsi="方正小标宋简体" w:eastAsia="方正小标宋简体" w:cs="方正小标宋简体"/>
          <w:color w:val="auto"/>
          <w:sz w:val="72"/>
          <w:szCs w:val="72"/>
          <w:highlight w:val="none"/>
        </w:rPr>
        <w:t>20</w:t>
      </w:r>
      <w:r>
        <w:rPr>
          <w:rFonts w:hint="eastAsia" w:ascii="方正小标宋简体" w:hAnsi="方正小标宋简体" w:eastAsia="方正小标宋简体" w:cs="方正小标宋简体"/>
          <w:color w:val="auto"/>
          <w:sz w:val="72"/>
          <w:szCs w:val="72"/>
          <w:highlight w:val="none"/>
          <w:lang w:val="en-US" w:eastAsia="zh-CN"/>
        </w:rPr>
        <w:t>22</w:t>
      </w:r>
      <w:r>
        <w:rPr>
          <w:rFonts w:hint="eastAsia" w:ascii="方正小标宋简体" w:hAnsi="方正小标宋简体" w:eastAsia="方正小标宋简体" w:cs="方正小标宋简体"/>
          <w:color w:val="auto"/>
          <w:sz w:val="72"/>
          <w:szCs w:val="72"/>
          <w:highlight w:val="none"/>
        </w:rPr>
        <w:t>年度</w:t>
      </w:r>
      <w:bookmarkEnd w:id="1"/>
      <w:bookmarkEnd w:id="2"/>
      <w:bookmarkEnd w:id="3"/>
      <w:bookmarkEnd w:id="4"/>
      <w:bookmarkEnd w:id="5"/>
    </w:p>
    <w:bookmarkEnd w:id="0"/>
    <w:p>
      <w:pPr>
        <w:adjustRightInd w:val="0"/>
        <w:snapToGrid w:val="0"/>
        <w:spacing w:line="360" w:lineRule="auto"/>
        <w:jc w:val="center"/>
        <w:outlineLvl w:val="0"/>
        <w:rPr>
          <w:rFonts w:hint="eastAsia" w:ascii="方正小标宋简体" w:hAnsi="宋体" w:eastAsia="方正小标宋简体"/>
          <w:b w:val="0"/>
          <w:bCs w:val="0"/>
          <w:color w:val="000000"/>
          <w:sz w:val="56"/>
          <w:szCs w:val="56"/>
          <w:lang w:eastAsia="zh-CN"/>
        </w:rPr>
      </w:pPr>
      <w:r>
        <w:rPr>
          <w:rFonts w:hint="eastAsia" w:ascii="方正小标宋简体" w:hAnsi="宋体" w:eastAsia="方正小标宋简体"/>
          <w:b w:val="0"/>
          <w:bCs w:val="0"/>
          <w:color w:val="000000"/>
          <w:sz w:val="56"/>
          <w:szCs w:val="56"/>
          <w:lang w:eastAsia="zh-CN"/>
        </w:rPr>
        <w:t>中共广元市昭化区委政法委员会</w:t>
      </w:r>
    </w:p>
    <w:p>
      <w:pPr>
        <w:adjustRightInd w:val="0"/>
        <w:snapToGrid w:val="0"/>
        <w:spacing w:line="360" w:lineRule="auto"/>
        <w:jc w:val="center"/>
        <w:outlineLvl w:val="0"/>
        <w:rPr>
          <w:rFonts w:ascii="方正小标宋简体" w:hAnsi="宋体" w:eastAsia="方正小标宋简体"/>
          <w:b w:val="0"/>
          <w:bCs w:val="0"/>
          <w:color w:val="000000"/>
          <w:sz w:val="72"/>
          <w:szCs w:val="72"/>
        </w:rPr>
      </w:pPr>
      <w:bookmarkStart w:id="6" w:name="_Toc15377426"/>
      <w:bookmarkStart w:id="7" w:name="_Toc15396598"/>
      <w:bookmarkStart w:id="8" w:name="_Toc15378442"/>
      <w:bookmarkStart w:id="9" w:name="_Toc15306268"/>
      <w:bookmarkStart w:id="10" w:name="_Toc15377194"/>
      <w:bookmarkStart w:id="11" w:name="_Toc15396476"/>
      <w:r>
        <w:rPr>
          <w:rFonts w:hint="eastAsia" w:ascii="方正小标宋简体" w:hAnsi="宋体" w:eastAsia="方正小标宋简体"/>
          <w:b w:val="0"/>
          <w:bCs w:val="0"/>
          <w:color w:val="000000"/>
          <w:sz w:val="72"/>
          <w:szCs w:val="72"/>
        </w:rPr>
        <w:t>部门决算</w:t>
      </w:r>
      <w:bookmarkEnd w:id="6"/>
      <w:bookmarkEnd w:id="7"/>
      <w:bookmarkEnd w:id="8"/>
      <w:bookmarkEnd w:id="9"/>
      <w:bookmarkEnd w:id="10"/>
      <w:bookmarkEnd w:id="11"/>
    </w:p>
    <w:p>
      <w:pPr>
        <w:widowControl/>
        <w:jc w:val="center"/>
        <w:rPr>
          <w:rFonts w:ascii="黑体" w:hAnsi="黑体" w:eastAsia="黑体"/>
          <w:color w:val="auto"/>
          <w:sz w:val="48"/>
          <w:szCs w:val="48"/>
          <w:highlight w:val="none"/>
        </w:rPr>
      </w:pPr>
      <w:r>
        <w:rPr>
          <w:rFonts w:ascii="方正小标宋简体" w:hAnsi="宋体" w:eastAsia="方正小标宋简体"/>
          <w:color w:val="auto"/>
          <w:sz w:val="36"/>
          <w:szCs w:val="36"/>
          <w:highlight w:val="none"/>
        </w:rPr>
        <w:br w:type="page"/>
      </w:r>
      <w:r>
        <w:rPr>
          <w:rFonts w:hint="eastAsia" w:ascii="黑体" w:hAnsi="黑体" w:eastAsia="黑体"/>
          <w:color w:val="auto"/>
          <w:sz w:val="48"/>
          <w:szCs w:val="48"/>
          <w:highlight w:val="none"/>
        </w:rPr>
        <w:t>目录</w:t>
      </w:r>
    </w:p>
    <w:p>
      <w:pPr>
        <w:rPr>
          <w:color w:val="auto"/>
          <w:highlight w:val="none"/>
        </w:rPr>
      </w:pPr>
    </w:p>
    <w:p>
      <w:pPr>
        <w:pStyle w:val="6"/>
        <w:rPr>
          <w:rFonts w:hint="default" w:eastAsia="仿宋_GB2312"/>
          <w:lang w:val="en-US" w:eastAsia="zh-CN"/>
        </w:rPr>
      </w:pPr>
      <w:r>
        <w:rPr>
          <w:rFonts w:hint="eastAsia"/>
          <w:color w:val="auto"/>
          <w:highlight w:val="none"/>
          <w:lang w:val="en-US" w:eastAsia="zh-CN"/>
        </w:rPr>
        <w:t xml:space="preserve">               公开时间：2023年9月25日</w:t>
      </w:r>
    </w:p>
    <w:p>
      <w:pPr>
        <w:pStyle w:val="13"/>
        <w:adjustRightInd w:val="0"/>
        <w:snapToGrid w:val="0"/>
        <w:spacing w:before="0" w:line="440" w:lineRule="exact"/>
        <w:jc w:val="left"/>
        <w:rPr>
          <w:rFonts w:hint="eastAsia" w:cs="Times New Roman"/>
          <w:color w:val="auto"/>
          <w:sz w:val="24"/>
          <w:highlight w:val="none"/>
        </w:rPr>
      </w:pPr>
    </w:p>
    <w:p>
      <w:pPr>
        <w:pStyle w:val="13"/>
        <w:adjustRightInd w:val="0"/>
        <w:snapToGrid w:val="0"/>
        <w:spacing w:before="0" w:line="440" w:lineRule="exact"/>
        <w:jc w:val="left"/>
        <w:rPr>
          <w:rFonts w:hint="default" w:cs="Times New Roman"/>
          <w:color w:val="auto"/>
          <w:sz w:val="24"/>
          <w:highlight w:val="none"/>
          <w:lang w:val="en-US"/>
        </w:rPr>
      </w:pPr>
      <w:r>
        <w:rPr>
          <w:rFonts w:hint="eastAsia" w:cs="Times New Roman"/>
          <w:color w:val="auto"/>
          <w:sz w:val="24"/>
          <w:highlight w:val="none"/>
        </w:rPr>
        <w:t xml:space="preserve">第一部分 </w:t>
      </w:r>
      <w:r>
        <w:rPr>
          <w:rFonts w:hint="eastAsia" w:cs="Times New Roman"/>
          <w:color w:val="auto"/>
          <w:sz w:val="24"/>
          <w:highlight w:val="none"/>
          <w:lang w:eastAsia="zh-CN"/>
        </w:rPr>
        <w:t>单位</w:t>
      </w:r>
      <w:r>
        <w:rPr>
          <w:rFonts w:hint="eastAsia" w:cs="Times New Roman"/>
          <w:color w:val="auto"/>
          <w:sz w:val="24"/>
          <w:highlight w:val="none"/>
        </w:rPr>
        <w:t>概况</w:t>
      </w:r>
      <w:r>
        <w:rPr>
          <w:rFonts w:hint="eastAsia" w:cs="Times New Roman"/>
          <w:color w:val="auto"/>
          <w:sz w:val="24"/>
          <w:highlight w:val="none"/>
          <w:lang w:val="en-US" w:eastAsia="zh-CN"/>
        </w:rPr>
        <w:t>………………………………………………4</w:t>
      </w:r>
    </w:p>
    <w:p>
      <w:pPr>
        <w:pStyle w:val="14"/>
        <w:adjustRightInd w:val="0"/>
        <w:snapToGrid w:val="0"/>
        <w:spacing w:line="440" w:lineRule="exact"/>
        <w:jc w:val="left"/>
        <w:rPr>
          <w:rFonts w:hint="eastAsia" w:ascii="Times New Roman" w:hAnsi="Times New Roman" w:cs="Times New Roman"/>
          <w:color w:val="auto"/>
          <w:sz w:val="24"/>
          <w:highlight w:val="none"/>
          <w:lang w:val="en-US" w:eastAsia="zh-CN"/>
        </w:rPr>
      </w:pPr>
      <w:r>
        <w:rPr>
          <w:rFonts w:hint="eastAsia" w:ascii="Times New Roman" w:hAnsi="Times New Roman" w:cs="Times New Roman"/>
          <w:color w:val="auto"/>
          <w:sz w:val="24"/>
          <w:highlight w:val="none"/>
        </w:rPr>
        <w:t>一、</w:t>
      </w:r>
      <w:r>
        <w:rPr>
          <w:rFonts w:hint="eastAsia" w:cs="Times New Roman"/>
          <w:color w:val="auto"/>
          <w:sz w:val="24"/>
          <w:highlight w:val="none"/>
          <w:lang w:eastAsia="zh-CN"/>
        </w:rPr>
        <w:t>部门职责</w:t>
      </w:r>
      <w:r>
        <w:rPr>
          <w:rFonts w:hint="eastAsia" w:ascii="Times New Roman" w:hAnsi="Times New Roman" w:cs="Times New Roman"/>
          <w:color w:val="auto"/>
          <w:sz w:val="24"/>
          <w:highlight w:val="none"/>
          <w:lang w:val="en-US" w:eastAsia="zh-CN"/>
        </w:rPr>
        <w:t>…………………………………………………4</w:t>
      </w:r>
    </w:p>
    <w:p>
      <w:pPr>
        <w:pStyle w:val="14"/>
        <w:adjustRightInd w:val="0"/>
        <w:snapToGrid w:val="0"/>
        <w:spacing w:line="440" w:lineRule="exact"/>
        <w:jc w:val="left"/>
        <w:rPr>
          <w:rFonts w:hint="default" w:ascii="Times New Roman" w:hAnsi="Times New Roman" w:cs="Times New Roman"/>
          <w:color w:val="auto"/>
          <w:sz w:val="24"/>
          <w:highlight w:val="none"/>
          <w:lang w:val="en-US" w:eastAsia="zh-CN"/>
        </w:rPr>
      </w:pPr>
      <w:r>
        <w:rPr>
          <w:rFonts w:hint="eastAsia" w:cs="Times New Roman"/>
          <w:color w:val="auto"/>
          <w:sz w:val="24"/>
          <w:highlight w:val="none"/>
          <w:lang w:val="en-US" w:eastAsia="zh-CN"/>
        </w:rPr>
        <w:t>二、机构设置</w:t>
      </w:r>
      <w:r>
        <w:rPr>
          <w:rFonts w:hint="eastAsia" w:ascii="Times New Roman" w:hAnsi="Times New Roman" w:cs="Times New Roman"/>
          <w:color w:val="auto"/>
          <w:sz w:val="24"/>
          <w:highlight w:val="none"/>
          <w:lang w:val="en-US" w:eastAsia="zh-CN"/>
        </w:rPr>
        <w:t>…………………………………………………</w:t>
      </w:r>
      <w:r>
        <w:rPr>
          <w:rFonts w:hint="eastAsia" w:cs="Times New Roman"/>
          <w:color w:val="auto"/>
          <w:sz w:val="24"/>
          <w:highlight w:val="none"/>
          <w:lang w:val="en-US" w:eastAsia="zh-CN"/>
        </w:rPr>
        <w:t>6</w:t>
      </w:r>
    </w:p>
    <w:p>
      <w:pPr>
        <w:pStyle w:val="13"/>
        <w:adjustRightInd w:val="0"/>
        <w:snapToGrid w:val="0"/>
        <w:spacing w:before="0" w:line="440" w:lineRule="exact"/>
        <w:jc w:val="left"/>
        <w:rPr>
          <w:rFonts w:hint="default" w:cs="Times New Roman"/>
          <w:color w:val="auto"/>
          <w:sz w:val="24"/>
          <w:highlight w:val="none"/>
          <w:lang w:val="en-US"/>
        </w:rPr>
      </w:pPr>
      <w:r>
        <w:rPr>
          <w:rFonts w:hint="eastAsia" w:cs="Times New Roman"/>
          <w:color w:val="auto"/>
          <w:sz w:val="24"/>
          <w:highlight w:val="none"/>
        </w:rPr>
        <w:t>第二部分</w:t>
      </w:r>
      <w:r>
        <w:rPr>
          <w:rFonts w:hint="eastAsia" w:cs="Times New Roman"/>
          <w:color w:val="auto"/>
          <w:sz w:val="24"/>
          <w:highlight w:val="none"/>
          <w:lang w:val="en-US" w:eastAsia="zh-CN"/>
        </w:rPr>
        <w:t xml:space="preserve"> 2022年度</w:t>
      </w:r>
      <w:r>
        <w:rPr>
          <w:rFonts w:hint="eastAsia" w:cs="Times New Roman"/>
          <w:color w:val="auto"/>
          <w:sz w:val="24"/>
          <w:highlight w:val="none"/>
          <w:lang w:eastAsia="zh-CN"/>
        </w:rPr>
        <w:t>单位</w:t>
      </w:r>
      <w:r>
        <w:rPr>
          <w:rFonts w:hint="eastAsia" w:cs="Times New Roman"/>
          <w:color w:val="auto"/>
          <w:sz w:val="24"/>
          <w:highlight w:val="none"/>
        </w:rPr>
        <w:t>决算情况说明</w:t>
      </w:r>
      <w:r>
        <w:rPr>
          <w:rFonts w:hint="eastAsia" w:cs="Times New Roman"/>
          <w:color w:val="auto"/>
          <w:sz w:val="24"/>
          <w:highlight w:val="none"/>
          <w:lang w:val="en-US" w:eastAsia="zh-CN"/>
        </w:rPr>
        <w:t>…………………………6</w:t>
      </w:r>
    </w:p>
    <w:p>
      <w:pPr>
        <w:pStyle w:val="14"/>
        <w:adjustRightInd w:val="0"/>
        <w:snapToGrid w:val="0"/>
        <w:spacing w:line="440" w:lineRule="exact"/>
        <w:jc w:val="left"/>
        <w:rPr>
          <w:rFonts w:hint="default" w:ascii="Times New Roman" w:hAnsi="Times New Roman" w:cs="Times New Roman"/>
          <w:color w:val="auto"/>
          <w:sz w:val="24"/>
          <w:highlight w:val="none"/>
          <w:lang w:val="en-US"/>
        </w:rPr>
      </w:pPr>
      <w:r>
        <w:rPr>
          <w:rFonts w:hint="eastAsia" w:cs="Times New Roman"/>
          <w:color w:val="auto"/>
          <w:sz w:val="24"/>
          <w:highlight w:val="none"/>
          <w:lang w:eastAsia="zh-CN"/>
        </w:rPr>
        <w:t>一</w:t>
      </w:r>
      <w:r>
        <w:rPr>
          <w:rFonts w:hint="eastAsia" w:ascii="Times New Roman" w:hAnsi="Times New Roman" w:cs="Times New Roman"/>
          <w:color w:val="auto"/>
          <w:sz w:val="24"/>
          <w:highlight w:val="none"/>
        </w:rPr>
        <w:t>、收入支出决算总体情况说明</w:t>
      </w:r>
      <w:r>
        <w:rPr>
          <w:rFonts w:hint="eastAsia" w:ascii="Times New Roman" w:hAnsi="Times New Roman" w:cs="Times New Roman"/>
          <w:color w:val="auto"/>
          <w:sz w:val="24"/>
          <w:highlight w:val="none"/>
          <w:lang w:val="en-US" w:eastAsia="zh-CN"/>
        </w:rPr>
        <w:t>……………………………</w:t>
      </w:r>
      <w:r>
        <w:rPr>
          <w:rFonts w:hint="eastAsia" w:cs="Times New Roman"/>
          <w:color w:val="auto"/>
          <w:sz w:val="24"/>
          <w:highlight w:val="none"/>
          <w:lang w:val="en-US" w:eastAsia="zh-CN"/>
        </w:rPr>
        <w:t>6</w:t>
      </w:r>
    </w:p>
    <w:p>
      <w:pPr>
        <w:pStyle w:val="14"/>
        <w:adjustRightInd w:val="0"/>
        <w:snapToGrid w:val="0"/>
        <w:spacing w:line="440" w:lineRule="exact"/>
        <w:jc w:val="left"/>
        <w:rPr>
          <w:rFonts w:hint="default" w:ascii="Times New Roman" w:hAnsi="Times New Roman" w:cs="Times New Roman"/>
          <w:color w:val="auto"/>
          <w:sz w:val="24"/>
          <w:highlight w:val="none"/>
          <w:lang w:val="en-US"/>
        </w:rPr>
      </w:pPr>
      <w:r>
        <w:rPr>
          <w:rFonts w:hint="eastAsia" w:cs="Times New Roman"/>
          <w:color w:val="auto"/>
          <w:sz w:val="24"/>
          <w:highlight w:val="none"/>
          <w:lang w:eastAsia="zh-CN"/>
        </w:rPr>
        <w:t>二</w:t>
      </w:r>
      <w:r>
        <w:rPr>
          <w:rFonts w:hint="eastAsia" w:ascii="Times New Roman" w:hAnsi="Times New Roman" w:cs="Times New Roman"/>
          <w:color w:val="auto"/>
          <w:sz w:val="24"/>
          <w:highlight w:val="none"/>
        </w:rPr>
        <w:t>、收入决算情况说明</w:t>
      </w:r>
      <w:r>
        <w:rPr>
          <w:rFonts w:hint="eastAsia" w:ascii="Times New Roman" w:hAnsi="Times New Roman" w:cs="Times New Roman"/>
          <w:color w:val="auto"/>
          <w:sz w:val="24"/>
          <w:highlight w:val="none"/>
          <w:lang w:val="en-US" w:eastAsia="zh-CN"/>
        </w:rPr>
        <w:t>………………………………………</w:t>
      </w:r>
      <w:r>
        <w:rPr>
          <w:rFonts w:hint="eastAsia" w:cs="Times New Roman"/>
          <w:color w:val="auto"/>
          <w:sz w:val="24"/>
          <w:highlight w:val="none"/>
          <w:lang w:val="en-US" w:eastAsia="zh-CN"/>
        </w:rPr>
        <w:t>7</w:t>
      </w:r>
      <w:bookmarkStart w:id="67" w:name="_GoBack"/>
      <w:bookmarkEnd w:id="67"/>
    </w:p>
    <w:p>
      <w:pPr>
        <w:pStyle w:val="14"/>
        <w:adjustRightInd w:val="0"/>
        <w:snapToGrid w:val="0"/>
        <w:spacing w:line="440" w:lineRule="exact"/>
        <w:jc w:val="left"/>
        <w:rPr>
          <w:rFonts w:hint="eastAsia" w:ascii="Times New Roman" w:hAnsi="Times New Roman" w:cs="Times New Roman"/>
          <w:color w:val="auto"/>
          <w:sz w:val="24"/>
          <w:highlight w:val="none"/>
          <w:lang w:val="en-US" w:eastAsia="zh-CN"/>
        </w:rPr>
      </w:pPr>
      <w:r>
        <w:rPr>
          <w:rFonts w:hint="eastAsia" w:cs="Times New Roman"/>
          <w:color w:val="auto"/>
          <w:sz w:val="24"/>
          <w:highlight w:val="none"/>
          <w:lang w:eastAsia="zh-CN"/>
        </w:rPr>
        <w:t>三</w:t>
      </w:r>
      <w:r>
        <w:rPr>
          <w:rFonts w:hint="eastAsia" w:ascii="Times New Roman" w:hAnsi="Times New Roman" w:cs="Times New Roman"/>
          <w:color w:val="auto"/>
          <w:sz w:val="24"/>
          <w:highlight w:val="none"/>
        </w:rPr>
        <w:t>、支出决算情况说明</w:t>
      </w:r>
      <w:r>
        <w:rPr>
          <w:rFonts w:hint="eastAsia" w:ascii="Times New Roman" w:hAnsi="Times New Roman" w:cs="Times New Roman"/>
          <w:color w:val="auto"/>
          <w:sz w:val="24"/>
          <w:highlight w:val="none"/>
          <w:lang w:val="en-US" w:eastAsia="zh-CN"/>
        </w:rPr>
        <w:t>………………………………………</w:t>
      </w:r>
      <w:r>
        <w:rPr>
          <w:rFonts w:hint="eastAsia" w:cs="Times New Roman"/>
          <w:color w:val="auto"/>
          <w:sz w:val="24"/>
          <w:highlight w:val="none"/>
          <w:lang w:val="en-US" w:eastAsia="zh-CN"/>
        </w:rPr>
        <w:t>7</w:t>
      </w:r>
    </w:p>
    <w:p>
      <w:pPr>
        <w:pStyle w:val="14"/>
        <w:adjustRightInd w:val="0"/>
        <w:snapToGrid w:val="0"/>
        <w:spacing w:line="440" w:lineRule="exact"/>
        <w:jc w:val="left"/>
        <w:rPr>
          <w:rFonts w:hint="default" w:ascii="Times New Roman" w:hAnsi="Times New Roman" w:cs="Times New Roman"/>
          <w:color w:val="auto"/>
          <w:sz w:val="24"/>
          <w:highlight w:val="none"/>
          <w:lang w:val="en-US"/>
        </w:rPr>
      </w:pPr>
      <w:r>
        <w:rPr>
          <w:rFonts w:hint="eastAsia" w:cs="Times New Roman"/>
          <w:color w:val="auto"/>
          <w:sz w:val="24"/>
          <w:highlight w:val="none"/>
          <w:lang w:eastAsia="zh-CN"/>
        </w:rPr>
        <w:t>四</w:t>
      </w:r>
      <w:r>
        <w:rPr>
          <w:rFonts w:hint="eastAsia" w:ascii="Times New Roman" w:hAnsi="Times New Roman" w:cs="Times New Roman"/>
          <w:color w:val="auto"/>
          <w:sz w:val="24"/>
          <w:highlight w:val="none"/>
        </w:rPr>
        <w:t>、财政拨款收入支出决算总体情况说明</w:t>
      </w:r>
      <w:r>
        <w:rPr>
          <w:rFonts w:hint="eastAsia" w:ascii="Times New Roman" w:hAnsi="Times New Roman" w:cs="Times New Roman"/>
          <w:color w:val="auto"/>
          <w:sz w:val="24"/>
          <w:highlight w:val="none"/>
          <w:lang w:val="en-US" w:eastAsia="zh-CN"/>
        </w:rPr>
        <w:t>…………………</w:t>
      </w:r>
      <w:r>
        <w:rPr>
          <w:rFonts w:hint="eastAsia" w:cs="Times New Roman"/>
          <w:color w:val="auto"/>
          <w:sz w:val="24"/>
          <w:highlight w:val="none"/>
          <w:lang w:val="en-US" w:eastAsia="zh-CN"/>
        </w:rPr>
        <w:t>7</w:t>
      </w:r>
    </w:p>
    <w:p>
      <w:pPr>
        <w:pStyle w:val="14"/>
        <w:adjustRightInd w:val="0"/>
        <w:snapToGrid w:val="0"/>
        <w:spacing w:line="440" w:lineRule="exact"/>
        <w:jc w:val="left"/>
        <w:rPr>
          <w:rFonts w:hint="default" w:ascii="Times New Roman" w:hAnsi="Times New Roman" w:cs="Times New Roman"/>
          <w:color w:val="auto"/>
          <w:sz w:val="24"/>
          <w:highlight w:val="none"/>
          <w:lang w:val="en-US"/>
        </w:rPr>
      </w:pPr>
      <w:r>
        <w:rPr>
          <w:rFonts w:hint="eastAsia" w:cs="Times New Roman"/>
          <w:color w:val="auto"/>
          <w:sz w:val="24"/>
          <w:highlight w:val="none"/>
          <w:lang w:eastAsia="zh-CN"/>
        </w:rPr>
        <w:t>五</w:t>
      </w:r>
      <w:r>
        <w:rPr>
          <w:rFonts w:hint="eastAsia" w:ascii="Times New Roman" w:hAnsi="Times New Roman" w:cs="Times New Roman"/>
          <w:color w:val="auto"/>
          <w:sz w:val="24"/>
          <w:highlight w:val="none"/>
        </w:rPr>
        <w:t>、一般公共预算财政拨款支出决算情况说明</w:t>
      </w:r>
      <w:r>
        <w:rPr>
          <w:rFonts w:hint="eastAsia" w:ascii="Times New Roman" w:hAnsi="Times New Roman" w:cs="Times New Roman"/>
          <w:color w:val="auto"/>
          <w:sz w:val="24"/>
          <w:highlight w:val="none"/>
          <w:lang w:val="en-US" w:eastAsia="zh-CN"/>
        </w:rPr>
        <w:t>……………</w:t>
      </w:r>
      <w:r>
        <w:rPr>
          <w:rFonts w:hint="eastAsia" w:cs="Times New Roman"/>
          <w:color w:val="auto"/>
          <w:sz w:val="24"/>
          <w:highlight w:val="none"/>
          <w:lang w:val="en-US" w:eastAsia="zh-CN"/>
        </w:rPr>
        <w:t>8</w:t>
      </w:r>
    </w:p>
    <w:p>
      <w:pPr>
        <w:pStyle w:val="14"/>
        <w:adjustRightInd w:val="0"/>
        <w:snapToGrid w:val="0"/>
        <w:spacing w:line="440" w:lineRule="exact"/>
        <w:jc w:val="left"/>
        <w:rPr>
          <w:rFonts w:hint="default" w:ascii="Times New Roman" w:hAnsi="Times New Roman" w:cs="Times New Roman"/>
          <w:color w:val="auto"/>
          <w:sz w:val="24"/>
          <w:highlight w:val="none"/>
          <w:lang w:val="en-US"/>
        </w:rPr>
      </w:pPr>
      <w:r>
        <w:rPr>
          <w:rFonts w:hint="eastAsia" w:cs="Times New Roman"/>
          <w:color w:val="auto"/>
          <w:sz w:val="24"/>
          <w:highlight w:val="none"/>
          <w:lang w:eastAsia="zh-CN"/>
        </w:rPr>
        <w:t>六</w:t>
      </w:r>
      <w:r>
        <w:rPr>
          <w:rFonts w:hint="eastAsia" w:ascii="Times New Roman" w:hAnsi="Times New Roman" w:cs="Times New Roman"/>
          <w:color w:val="auto"/>
          <w:sz w:val="24"/>
          <w:highlight w:val="none"/>
        </w:rPr>
        <w:t>、一般公共预算财政拨款基本支出决算情况说明</w:t>
      </w:r>
      <w:r>
        <w:rPr>
          <w:rFonts w:hint="eastAsia" w:ascii="Times New Roman" w:hAnsi="Times New Roman" w:cs="Times New Roman"/>
          <w:color w:val="auto"/>
          <w:sz w:val="24"/>
          <w:highlight w:val="none"/>
          <w:lang w:val="en-US" w:eastAsia="zh-CN"/>
        </w:rPr>
        <w:t>………</w:t>
      </w:r>
      <w:r>
        <w:rPr>
          <w:rFonts w:hint="eastAsia" w:cs="Times New Roman"/>
          <w:color w:val="auto"/>
          <w:sz w:val="24"/>
          <w:highlight w:val="none"/>
          <w:lang w:val="en-US" w:eastAsia="zh-CN"/>
        </w:rPr>
        <w:t>10</w:t>
      </w:r>
    </w:p>
    <w:p>
      <w:pPr>
        <w:pStyle w:val="14"/>
        <w:adjustRightInd w:val="0"/>
        <w:snapToGrid w:val="0"/>
        <w:spacing w:line="440" w:lineRule="exact"/>
        <w:jc w:val="left"/>
        <w:rPr>
          <w:rFonts w:hint="default" w:ascii="Times New Roman" w:hAnsi="Times New Roman" w:cs="Times New Roman"/>
          <w:color w:val="auto"/>
          <w:sz w:val="24"/>
          <w:highlight w:val="none"/>
          <w:lang w:val="en-US"/>
        </w:rPr>
      </w:pPr>
      <w:r>
        <w:rPr>
          <w:rFonts w:hint="eastAsia" w:cs="Times New Roman"/>
          <w:color w:val="auto"/>
          <w:sz w:val="24"/>
          <w:highlight w:val="none"/>
          <w:lang w:eastAsia="zh-CN"/>
        </w:rPr>
        <w:t>七</w:t>
      </w:r>
      <w:r>
        <w:rPr>
          <w:rFonts w:hint="eastAsia" w:ascii="Times New Roman" w:hAnsi="Times New Roman" w:cs="Times New Roman"/>
          <w:color w:val="auto"/>
          <w:sz w:val="24"/>
          <w:highlight w:val="none"/>
        </w:rPr>
        <w:t>、</w:t>
      </w:r>
      <w:r>
        <w:rPr>
          <w:rFonts w:hint="eastAsia" w:ascii="Times New Roman" w:hAnsi="Times New Roman" w:cs="Times New Roman"/>
          <w:color w:val="auto"/>
          <w:sz w:val="24"/>
          <w:highlight w:val="none"/>
          <w:lang w:eastAsia="zh-CN"/>
        </w:rPr>
        <w:t>“</w:t>
      </w:r>
      <w:r>
        <w:rPr>
          <w:rFonts w:hint="eastAsia" w:ascii="Times New Roman" w:hAnsi="Times New Roman" w:cs="Times New Roman"/>
          <w:color w:val="auto"/>
          <w:sz w:val="24"/>
          <w:highlight w:val="none"/>
        </w:rPr>
        <w:t>三公”经费财政拨款支出决算情况说明</w:t>
      </w:r>
      <w:r>
        <w:rPr>
          <w:rFonts w:hint="eastAsia" w:ascii="Times New Roman" w:hAnsi="Times New Roman" w:cs="Times New Roman"/>
          <w:color w:val="auto"/>
          <w:sz w:val="24"/>
          <w:highlight w:val="none"/>
          <w:lang w:val="en-US" w:eastAsia="zh-CN"/>
        </w:rPr>
        <w:t>……………</w:t>
      </w:r>
      <w:r>
        <w:rPr>
          <w:rFonts w:hint="eastAsia" w:cs="Times New Roman"/>
          <w:color w:val="auto"/>
          <w:sz w:val="24"/>
          <w:highlight w:val="none"/>
          <w:lang w:val="en-US" w:eastAsia="zh-CN"/>
        </w:rPr>
        <w:t>11</w:t>
      </w:r>
    </w:p>
    <w:p>
      <w:pPr>
        <w:pStyle w:val="14"/>
        <w:adjustRightInd w:val="0"/>
        <w:snapToGrid w:val="0"/>
        <w:spacing w:line="440" w:lineRule="exact"/>
        <w:jc w:val="left"/>
        <w:rPr>
          <w:rFonts w:hint="default" w:ascii="Times New Roman" w:hAnsi="Times New Roman" w:cs="Times New Roman"/>
          <w:color w:val="auto"/>
          <w:sz w:val="24"/>
          <w:highlight w:val="none"/>
          <w:lang w:val="en-US"/>
        </w:rPr>
      </w:pPr>
      <w:r>
        <w:rPr>
          <w:rFonts w:hint="eastAsia" w:cs="Times New Roman"/>
          <w:color w:val="auto"/>
          <w:sz w:val="24"/>
          <w:highlight w:val="none"/>
          <w:lang w:eastAsia="zh-CN"/>
        </w:rPr>
        <w:t>八</w:t>
      </w:r>
      <w:r>
        <w:rPr>
          <w:rFonts w:hint="eastAsia" w:ascii="Times New Roman" w:hAnsi="Times New Roman" w:cs="Times New Roman"/>
          <w:color w:val="auto"/>
          <w:sz w:val="24"/>
          <w:highlight w:val="none"/>
        </w:rPr>
        <w:t>、政府性基金预算支出决算情况说明</w:t>
      </w:r>
      <w:r>
        <w:rPr>
          <w:rFonts w:hint="eastAsia" w:ascii="Times New Roman" w:hAnsi="Times New Roman" w:cs="Times New Roman"/>
          <w:color w:val="auto"/>
          <w:sz w:val="24"/>
          <w:highlight w:val="none"/>
          <w:lang w:val="en-US" w:eastAsia="zh-CN"/>
        </w:rPr>
        <w:t>……………………</w:t>
      </w:r>
      <w:r>
        <w:rPr>
          <w:rFonts w:hint="eastAsia" w:cs="Times New Roman"/>
          <w:color w:val="auto"/>
          <w:sz w:val="24"/>
          <w:highlight w:val="none"/>
          <w:lang w:val="en-US" w:eastAsia="zh-CN"/>
        </w:rPr>
        <w:t>13</w:t>
      </w:r>
    </w:p>
    <w:p>
      <w:pPr>
        <w:pStyle w:val="14"/>
        <w:adjustRightInd w:val="0"/>
        <w:snapToGrid w:val="0"/>
        <w:spacing w:line="440" w:lineRule="exact"/>
        <w:jc w:val="left"/>
        <w:rPr>
          <w:rFonts w:hint="default" w:ascii="Times New Roman" w:hAnsi="Times New Roman" w:cs="Times New Roman"/>
          <w:color w:val="auto"/>
          <w:sz w:val="24"/>
          <w:highlight w:val="none"/>
          <w:lang w:val="en-US"/>
        </w:rPr>
      </w:pPr>
      <w:r>
        <w:rPr>
          <w:rFonts w:hint="eastAsia" w:cs="Times New Roman"/>
          <w:color w:val="auto"/>
          <w:sz w:val="24"/>
          <w:highlight w:val="none"/>
          <w:lang w:eastAsia="zh-CN"/>
        </w:rPr>
        <w:t>九</w:t>
      </w:r>
      <w:r>
        <w:rPr>
          <w:rFonts w:hint="eastAsia" w:ascii="Times New Roman" w:hAnsi="Times New Roman" w:cs="Times New Roman"/>
          <w:color w:val="auto"/>
          <w:sz w:val="24"/>
          <w:highlight w:val="none"/>
        </w:rPr>
        <w:t>、国有资本经营预算支出决算情况说明</w:t>
      </w:r>
      <w:r>
        <w:rPr>
          <w:rFonts w:hint="eastAsia" w:ascii="Times New Roman" w:hAnsi="Times New Roman" w:cs="Times New Roman"/>
          <w:color w:val="auto"/>
          <w:sz w:val="24"/>
          <w:highlight w:val="none"/>
          <w:lang w:val="en-US" w:eastAsia="zh-CN"/>
        </w:rPr>
        <w:t>…………………</w:t>
      </w:r>
      <w:r>
        <w:rPr>
          <w:rFonts w:hint="eastAsia" w:cs="Times New Roman"/>
          <w:color w:val="auto"/>
          <w:sz w:val="24"/>
          <w:highlight w:val="none"/>
          <w:lang w:val="en-US" w:eastAsia="zh-CN"/>
        </w:rPr>
        <w:t>13</w:t>
      </w:r>
    </w:p>
    <w:p>
      <w:pPr>
        <w:pStyle w:val="14"/>
        <w:adjustRightInd w:val="0"/>
        <w:snapToGrid w:val="0"/>
        <w:spacing w:line="440" w:lineRule="exact"/>
        <w:jc w:val="left"/>
        <w:rPr>
          <w:rFonts w:hint="default" w:ascii="Times New Roman" w:hAnsi="Times New Roman" w:cs="Times New Roman"/>
          <w:color w:val="auto"/>
          <w:sz w:val="24"/>
          <w:highlight w:val="none"/>
          <w:lang w:val="en-US" w:eastAsia="zh-CN"/>
        </w:rPr>
      </w:pPr>
      <w:r>
        <w:rPr>
          <w:rFonts w:hint="eastAsia" w:ascii="Times New Roman" w:hAnsi="Times New Roman" w:cs="Times New Roman"/>
          <w:color w:val="auto"/>
          <w:sz w:val="24"/>
          <w:highlight w:val="none"/>
        </w:rPr>
        <w:t>十、</w:t>
      </w:r>
      <w:r>
        <w:rPr>
          <w:rFonts w:hint="eastAsia" w:ascii="Times New Roman" w:hAnsi="Times New Roman" w:cs="Times New Roman"/>
          <w:color w:val="auto"/>
          <w:sz w:val="24"/>
          <w:highlight w:val="none"/>
          <w:lang w:val="en-US" w:eastAsia="zh-CN"/>
        </w:rPr>
        <w:t>预算绩效管理情况………………………………………</w:t>
      </w:r>
      <w:r>
        <w:rPr>
          <w:rFonts w:hint="eastAsia" w:cs="Times New Roman"/>
          <w:color w:val="auto"/>
          <w:sz w:val="24"/>
          <w:highlight w:val="none"/>
          <w:lang w:val="en-US" w:eastAsia="zh-CN"/>
        </w:rPr>
        <w:t>13</w:t>
      </w:r>
    </w:p>
    <w:p>
      <w:pPr>
        <w:pStyle w:val="14"/>
        <w:adjustRightInd w:val="0"/>
        <w:snapToGrid w:val="0"/>
        <w:spacing w:line="440" w:lineRule="exact"/>
        <w:jc w:val="left"/>
        <w:rPr>
          <w:rFonts w:hint="default" w:ascii="Times New Roman" w:hAnsi="Times New Roman"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十</w:t>
      </w:r>
      <w:r>
        <w:rPr>
          <w:rFonts w:hint="eastAsia" w:cs="Times New Roman"/>
          <w:color w:val="auto"/>
          <w:sz w:val="24"/>
          <w:highlight w:val="none"/>
          <w:lang w:val="en-US" w:eastAsia="zh-CN"/>
        </w:rPr>
        <w:t>一</w:t>
      </w:r>
      <w:r>
        <w:rPr>
          <w:rFonts w:hint="eastAsia" w:ascii="Times New Roman" w:hAnsi="Times New Roman" w:cs="Times New Roman"/>
          <w:color w:val="auto"/>
          <w:sz w:val="24"/>
          <w:highlight w:val="none"/>
          <w:lang w:val="en-US" w:eastAsia="zh-CN"/>
        </w:rPr>
        <w:t>、</w:t>
      </w:r>
      <w:r>
        <w:rPr>
          <w:rFonts w:hint="eastAsia" w:ascii="Times New Roman" w:hAnsi="Times New Roman" w:cs="Times New Roman"/>
          <w:color w:val="auto"/>
          <w:sz w:val="24"/>
          <w:highlight w:val="none"/>
        </w:rPr>
        <w:t>其他重要事项的情况说明</w:t>
      </w:r>
      <w:r>
        <w:rPr>
          <w:rFonts w:hint="eastAsia" w:ascii="Times New Roman" w:hAnsi="Times New Roman" w:cs="Times New Roman"/>
          <w:color w:val="auto"/>
          <w:sz w:val="24"/>
          <w:highlight w:val="none"/>
          <w:lang w:val="en-US" w:eastAsia="zh-CN"/>
        </w:rPr>
        <w:t>……………………………</w:t>
      </w:r>
      <w:r>
        <w:rPr>
          <w:rFonts w:hint="eastAsia" w:cs="Times New Roman"/>
          <w:color w:val="auto"/>
          <w:sz w:val="24"/>
          <w:highlight w:val="none"/>
          <w:lang w:val="en-US" w:eastAsia="zh-CN"/>
        </w:rPr>
        <w:t>13</w:t>
      </w:r>
    </w:p>
    <w:p>
      <w:pPr>
        <w:pStyle w:val="13"/>
        <w:adjustRightInd w:val="0"/>
        <w:snapToGrid w:val="0"/>
        <w:spacing w:before="0" w:line="440" w:lineRule="exact"/>
        <w:jc w:val="left"/>
        <w:rPr>
          <w:rFonts w:hint="default" w:cs="Times New Roman"/>
          <w:color w:val="auto"/>
          <w:sz w:val="24"/>
          <w:highlight w:val="none"/>
          <w:lang w:val="en-US"/>
        </w:rPr>
      </w:pPr>
      <w:r>
        <w:rPr>
          <w:rFonts w:hint="eastAsia" w:cs="Times New Roman"/>
          <w:color w:val="auto"/>
          <w:sz w:val="24"/>
          <w:highlight w:val="none"/>
        </w:rPr>
        <w:t>第三部分 名词解释</w:t>
      </w:r>
      <w:r>
        <w:rPr>
          <w:rFonts w:hint="eastAsia" w:cs="Times New Roman"/>
          <w:color w:val="auto"/>
          <w:sz w:val="24"/>
          <w:highlight w:val="none"/>
          <w:lang w:val="en-US" w:eastAsia="zh-CN"/>
        </w:rPr>
        <w:t>………………………………………………15</w:t>
      </w:r>
    </w:p>
    <w:p>
      <w:pPr>
        <w:pStyle w:val="13"/>
        <w:adjustRightInd w:val="0"/>
        <w:snapToGrid w:val="0"/>
        <w:spacing w:before="0" w:line="440" w:lineRule="exact"/>
        <w:jc w:val="left"/>
        <w:rPr>
          <w:rFonts w:hint="eastAsia" w:cs="Times New Roman"/>
          <w:color w:val="auto"/>
          <w:sz w:val="24"/>
          <w:highlight w:val="none"/>
          <w:lang w:val="en-US" w:eastAsia="zh-CN"/>
        </w:rPr>
      </w:pPr>
      <w:r>
        <w:rPr>
          <w:rFonts w:hint="eastAsia" w:cs="Times New Roman"/>
          <w:color w:val="auto"/>
          <w:sz w:val="24"/>
          <w:highlight w:val="none"/>
        </w:rPr>
        <w:t>第四部分 附件</w:t>
      </w:r>
      <w:r>
        <w:rPr>
          <w:rFonts w:hint="eastAsia" w:cs="Times New Roman"/>
          <w:color w:val="auto"/>
          <w:sz w:val="24"/>
          <w:highlight w:val="none"/>
          <w:lang w:val="en-US" w:eastAsia="zh-CN"/>
        </w:rPr>
        <w:t>……………………………………………………17-31</w:t>
      </w:r>
    </w:p>
    <w:p>
      <w:pPr>
        <w:pStyle w:val="13"/>
        <w:adjustRightInd w:val="0"/>
        <w:snapToGrid w:val="0"/>
        <w:spacing w:before="0" w:line="440" w:lineRule="exact"/>
        <w:jc w:val="left"/>
        <w:rPr>
          <w:rFonts w:hint="default" w:cs="Times New Roman"/>
          <w:color w:val="auto"/>
          <w:sz w:val="24"/>
          <w:highlight w:val="none"/>
          <w:lang w:val="en-US"/>
        </w:rPr>
      </w:pPr>
      <w:r>
        <w:rPr>
          <w:rFonts w:hint="eastAsia" w:cs="Times New Roman"/>
          <w:color w:val="auto"/>
          <w:sz w:val="24"/>
          <w:highlight w:val="none"/>
        </w:rPr>
        <w:t>第五部分 附表</w:t>
      </w:r>
      <w:r>
        <w:rPr>
          <w:rFonts w:hint="eastAsia" w:cs="Times New Roman"/>
          <w:color w:val="auto"/>
          <w:sz w:val="24"/>
          <w:highlight w:val="none"/>
          <w:lang w:val="en-US" w:eastAsia="zh-CN"/>
        </w:rPr>
        <w:t>……………………………………………………32</w:t>
      </w:r>
    </w:p>
    <w:p>
      <w:pPr>
        <w:pStyle w:val="14"/>
        <w:adjustRightInd w:val="0"/>
        <w:snapToGrid w:val="0"/>
        <w:spacing w:line="440" w:lineRule="exact"/>
        <w:jc w:val="left"/>
        <w:rPr>
          <w:rFonts w:hint="default" w:ascii="Times New Roman" w:hAnsi="Times New Roman" w:cs="Times New Roman"/>
          <w:color w:val="auto"/>
          <w:sz w:val="24"/>
          <w:highlight w:val="none"/>
          <w:lang w:val="en-US"/>
        </w:rPr>
      </w:pPr>
      <w:r>
        <w:rPr>
          <w:rFonts w:hint="eastAsia" w:ascii="Times New Roman" w:hAnsi="Times New Roman" w:cs="Times New Roman"/>
          <w:color w:val="auto"/>
          <w:sz w:val="24"/>
          <w:highlight w:val="none"/>
        </w:rPr>
        <w:t>一、收入支出决算总表</w:t>
      </w:r>
      <w:r>
        <w:rPr>
          <w:rFonts w:hint="eastAsia" w:ascii="Times New Roman" w:hAnsi="Times New Roman" w:cs="Times New Roman"/>
          <w:color w:val="auto"/>
          <w:sz w:val="24"/>
          <w:highlight w:val="none"/>
          <w:lang w:val="en-US" w:eastAsia="zh-CN"/>
        </w:rPr>
        <w:t>………………………………………</w:t>
      </w:r>
      <w:r>
        <w:rPr>
          <w:rFonts w:hint="eastAsia" w:cs="Times New Roman"/>
          <w:color w:val="auto"/>
          <w:sz w:val="24"/>
          <w:highlight w:val="none"/>
          <w:lang w:val="en-US" w:eastAsia="zh-CN"/>
        </w:rPr>
        <w:t>32</w:t>
      </w:r>
    </w:p>
    <w:p>
      <w:pPr>
        <w:pStyle w:val="14"/>
        <w:adjustRightInd w:val="0"/>
        <w:snapToGrid w:val="0"/>
        <w:spacing w:line="440" w:lineRule="exact"/>
        <w:jc w:val="left"/>
        <w:rPr>
          <w:rFonts w:hint="default" w:ascii="Times New Roman" w:hAnsi="Times New Roman" w:cs="Times New Roman"/>
          <w:color w:val="auto"/>
          <w:sz w:val="24"/>
          <w:highlight w:val="none"/>
          <w:lang w:val="en-US"/>
        </w:rPr>
      </w:pPr>
      <w:r>
        <w:rPr>
          <w:rFonts w:hint="eastAsia" w:ascii="Times New Roman" w:hAnsi="Times New Roman" w:cs="Times New Roman"/>
          <w:color w:val="auto"/>
          <w:sz w:val="24"/>
          <w:highlight w:val="none"/>
        </w:rPr>
        <w:t>二、收入决算表</w:t>
      </w:r>
      <w:r>
        <w:rPr>
          <w:rFonts w:hint="eastAsia" w:ascii="Times New Roman" w:hAnsi="Times New Roman" w:cs="Times New Roman"/>
          <w:color w:val="auto"/>
          <w:sz w:val="24"/>
          <w:highlight w:val="none"/>
          <w:lang w:val="en-US" w:eastAsia="zh-CN"/>
        </w:rPr>
        <w:t>………………………………………………</w:t>
      </w:r>
      <w:r>
        <w:rPr>
          <w:rFonts w:hint="eastAsia" w:cs="Times New Roman"/>
          <w:color w:val="auto"/>
          <w:sz w:val="24"/>
          <w:highlight w:val="none"/>
          <w:lang w:val="en-US" w:eastAsia="zh-CN"/>
        </w:rPr>
        <w:t>32</w:t>
      </w:r>
    </w:p>
    <w:p>
      <w:pPr>
        <w:pStyle w:val="14"/>
        <w:adjustRightInd w:val="0"/>
        <w:snapToGrid w:val="0"/>
        <w:spacing w:line="440" w:lineRule="exact"/>
        <w:jc w:val="left"/>
        <w:rPr>
          <w:rFonts w:hint="default" w:ascii="Times New Roman" w:hAnsi="Times New Roman" w:cs="Times New Roman"/>
          <w:color w:val="auto"/>
          <w:sz w:val="24"/>
          <w:highlight w:val="none"/>
          <w:lang w:val="en-US"/>
        </w:rPr>
      </w:pPr>
      <w:r>
        <w:rPr>
          <w:rFonts w:hint="eastAsia" w:ascii="Times New Roman" w:hAnsi="Times New Roman" w:cs="Times New Roman"/>
          <w:color w:val="auto"/>
          <w:sz w:val="24"/>
          <w:highlight w:val="none"/>
        </w:rPr>
        <w:t>三、支出决算表</w:t>
      </w:r>
      <w:r>
        <w:rPr>
          <w:rFonts w:hint="eastAsia" w:ascii="Times New Roman" w:hAnsi="Times New Roman" w:cs="Times New Roman"/>
          <w:color w:val="auto"/>
          <w:sz w:val="24"/>
          <w:highlight w:val="none"/>
          <w:lang w:val="en-US" w:eastAsia="zh-CN"/>
        </w:rPr>
        <w:t>………………………………………………</w:t>
      </w:r>
      <w:r>
        <w:rPr>
          <w:rFonts w:hint="eastAsia" w:cs="Times New Roman"/>
          <w:color w:val="auto"/>
          <w:sz w:val="24"/>
          <w:highlight w:val="none"/>
          <w:lang w:val="en-US" w:eastAsia="zh-CN"/>
        </w:rPr>
        <w:t>32</w:t>
      </w:r>
    </w:p>
    <w:p>
      <w:pPr>
        <w:pStyle w:val="14"/>
        <w:adjustRightInd w:val="0"/>
        <w:snapToGrid w:val="0"/>
        <w:spacing w:line="440" w:lineRule="exact"/>
        <w:jc w:val="left"/>
        <w:rPr>
          <w:rFonts w:hint="default" w:ascii="Times New Roman" w:hAnsi="Times New Roman" w:cs="Times New Roman"/>
          <w:color w:val="auto"/>
          <w:sz w:val="24"/>
          <w:highlight w:val="none"/>
          <w:lang w:val="en-US"/>
        </w:rPr>
      </w:pPr>
      <w:r>
        <w:rPr>
          <w:rFonts w:hint="eastAsia" w:ascii="Times New Roman" w:hAnsi="Times New Roman" w:cs="Times New Roman"/>
          <w:color w:val="auto"/>
          <w:sz w:val="24"/>
          <w:highlight w:val="none"/>
        </w:rPr>
        <w:t>四、财政拨款收入支出决算总表</w:t>
      </w:r>
      <w:r>
        <w:rPr>
          <w:rFonts w:hint="eastAsia" w:ascii="Times New Roman" w:hAnsi="Times New Roman" w:cs="Times New Roman"/>
          <w:color w:val="auto"/>
          <w:sz w:val="24"/>
          <w:highlight w:val="none"/>
          <w:lang w:val="en-US" w:eastAsia="zh-CN"/>
        </w:rPr>
        <w:t>……………………………</w:t>
      </w:r>
      <w:r>
        <w:rPr>
          <w:rFonts w:hint="eastAsia" w:cs="Times New Roman"/>
          <w:color w:val="auto"/>
          <w:sz w:val="24"/>
          <w:highlight w:val="none"/>
          <w:lang w:val="en-US" w:eastAsia="zh-CN"/>
        </w:rPr>
        <w:t>32</w:t>
      </w:r>
    </w:p>
    <w:p>
      <w:pPr>
        <w:pStyle w:val="14"/>
        <w:adjustRightInd w:val="0"/>
        <w:snapToGrid w:val="0"/>
        <w:spacing w:line="440" w:lineRule="exact"/>
        <w:jc w:val="left"/>
        <w:rPr>
          <w:rFonts w:hint="default" w:ascii="Times New Roman" w:hAnsi="Times New Roman" w:cs="Times New Roman"/>
          <w:color w:val="auto"/>
          <w:sz w:val="24"/>
          <w:highlight w:val="none"/>
          <w:lang w:val="en-US"/>
        </w:rPr>
      </w:pPr>
      <w:r>
        <w:rPr>
          <w:rFonts w:hint="eastAsia" w:ascii="Times New Roman" w:hAnsi="Times New Roman" w:cs="Times New Roman"/>
          <w:color w:val="auto"/>
          <w:sz w:val="24"/>
          <w:highlight w:val="none"/>
        </w:rPr>
        <w:t>五、财政拨款支出决算明细表</w:t>
      </w:r>
      <w:r>
        <w:rPr>
          <w:rFonts w:hint="eastAsia" w:ascii="Times New Roman" w:hAnsi="Times New Roman" w:cs="Times New Roman"/>
          <w:color w:val="auto"/>
          <w:sz w:val="24"/>
          <w:highlight w:val="none"/>
          <w:lang w:val="en-US" w:eastAsia="zh-CN"/>
        </w:rPr>
        <w:t>………………………………</w:t>
      </w:r>
      <w:r>
        <w:rPr>
          <w:rFonts w:hint="eastAsia" w:cs="Times New Roman"/>
          <w:color w:val="auto"/>
          <w:sz w:val="24"/>
          <w:highlight w:val="none"/>
          <w:lang w:val="en-US" w:eastAsia="zh-CN"/>
        </w:rPr>
        <w:t>32</w:t>
      </w:r>
    </w:p>
    <w:p>
      <w:pPr>
        <w:pStyle w:val="14"/>
        <w:adjustRightInd w:val="0"/>
        <w:snapToGrid w:val="0"/>
        <w:spacing w:line="440" w:lineRule="exact"/>
        <w:jc w:val="left"/>
        <w:rPr>
          <w:rFonts w:hint="default" w:ascii="Times New Roman" w:hAnsi="Times New Roman" w:cs="Times New Roman"/>
          <w:color w:val="auto"/>
          <w:sz w:val="24"/>
          <w:highlight w:val="none"/>
          <w:lang w:val="en-US"/>
        </w:rPr>
      </w:pPr>
      <w:r>
        <w:rPr>
          <w:rFonts w:hint="eastAsia" w:ascii="Times New Roman" w:hAnsi="Times New Roman" w:cs="Times New Roman"/>
          <w:color w:val="auto"/>
          <w:sz w:val="24"/>
          <w:highlight w:val="none"/>
        </w:rPr>
        <w:t>六、一般公共预算财政拨款支出决算表</w:t>
      </w:r>
      <w:r>
        <w:rPr>
          <w:rFonts w:hint="eastAsia" w:ascii="Times New Roman" w:hAnsi="Times New Roman" w:cs="Times New Roman"/>
          <w:color w:val="auto"/>
          <w:sz w:val="24"/>
          <w:highlight w:val="none"/>
          <w:lang w:val="en-US" w:eastAsia="zh-CN"/>
        </w:rPr>
        <w:t>……………………</w:t>
      </w:r>
      <w:r>
        <w:rPr>
          <w:rFonts w:hint="eastAsia" w:cs="Times New Roman"/>
          <w:color w:val="auto"/>
          <w:sz w:val="24"/>
          <w:highlight w:val="none"/>
          <w:lang w:val="en-US" w:eastAsia="zh-CN"/>
        </w:rPr>
        <w:t>32</w:t>
      </w:r>
    </w:p>
    <w:p>
      <w:pPr>
        <w:pStyle w:val="14"/>
        <w:adjustRightInd w:val="0"/>
        <w:snapToGrid w:val="0"/>
        <w:spacing w:line="440" w:lineRule="exact"/>
        <w:jc w:val="left"/>
        <w:rPr>
          <w:rFonts w:hint="default" w:ascii="Times New Roman" w:hAnsi="Times New Roman" w:cs="Times New Roman"/>
          <w:color w:val="auto"/>
          <w:sz w:val="24"/>
          <w:highlight w:val="none"/>
          <w:lang w:val="en-US"/>
        </w:rPr>
      </w:pPr>
      <w:r>
        <w:rPr>
          <w:rFonts w:hint="eastAsia" w:ascii="Times New Roman" w:hAnsi="Times New Roman" w:cs="Times New Roman"/>
          <w:color w:val="auto"/>
          <w:sz w:val="24"/>
          <w:highlight w:val="none"/>
        </w:rPr>
        <w:t>七、一般公共预算财政拨款支出决算明细表</w:t>
      </w:r>
      <w:r>
        <w:rPr>
          <w:rFonts w:hint="eastAsia" w:ascii="Times New Roman" w:hAnsi="Times New Roman" w:cs="Times New Roman"/>
          <w:color w:val="auto"/>
          <w:sz w:val="24"/>
          <w:highlight w:val="none"/>
          <w:lang w:val="en-US" w:eastAsia="zh-CN"/>
        </w:rPr>
        <w:t>………………</w:t>
      </w:r>
      <w:r>
        <w:rPr>
          <w:rFonts w:hint="eastAsia" w:cs="Times New Roman"/>
          <w:color w:val="auto"/>
          <w:sz w:val="24"/>
          <w:highlight w:val="none"/>
          <w:lang w:val="en-US" w:eastAsia="zh-CN"/>
        </w:rPr>
        <w:t>32</w:t>
      </w:r>
    </w:p>
    <w:p>
      <w:pPr>
        <w:pStyle w:val="14"/>
        <w:adjustRightInd w:val="0"/>
        <w:snapToGrid w:val="0"/>
        <w:spacing w:line="440" w:lineRule="exact"/>
        <w:jc w:val="left"/>
        <w:rPr>
          <w:rFonts w:hint="default" w:ascii="Times New Roman" w:hAnsi="Times New Roman" w:cs="Times New Roman"/>
          <w:color w:val="auto"/>
          <w:sz w:val="24"/>
          <w:highlight w:val="none"/>
          <w:lang w:val="en-US"/>
        </w:rPr>
      </w:pPr>
      <w:r>
        <w:rPr>
          <w:rFonts w:hint="eastAsia" w:ascii="Times New Roman" w:hAnsi="Times New Roman" w:cs="Times New Roman"/>
          <w:color w:val="auto"/>
          <w:sz w:val="24"/>
          <w:highlight w:val="none"/>
        </w:rPr>
        <w:t>八、一般公共预算财政拨款基本支出决算表</w:t>
      </w:r>
      <w:r>
        <w:rPr>
          <w:rFonts w:hint="eastAsia" w:ascii="Times New Roman" w:hAnsi="Times New Roman" w:cs="Times New Roman"/>
          <w:color w:val="auto"/>
          <w:sz w:val="24"/>
          <w:highlight w:val="none"/>
          <w:lang w:val="en-US" w:eastAsia="zh-CN"/>
        </w:rPr>
        <w:t>………………</w:t>
      </w:r>
      <w:r>
        <w:rPr>
          <w:rFonts w:hint="eastAsia" w:cs="Times New Roman"/>
          <w:color w:val="auto"/>
          <w:sz w:val="24"/>
          <w:highlight w:val="none"/>
          <w:lang w:val="en-US" w:eastAsia="zh-CN"/>
        </w:rPr>
        <w:t>32</w:t>
      </w:r>
    </w:p>
    <w:p>
      <w:pPr>
        <w:pStyle w:val="14"/>
        <w:adjustRightInd w:val="0"/>
        <w:snapToGrid w:val="0"/>
        <w:spacing w:line="440" w:lineRule="exact"/>
        <w:jc w:val="left"/>
        <w:rPr>
          <w:rFonts w:hint="default" w:ascii="Times New Roman" w:hAnsi="Times New Roman" w:cs="Times New Roman"/>
          <w:color w:val="auto"/>
          <w:sz w:val="24"/>
          <w:highlight w:val="none"/>
          <w:lang w:val="en-US"/>
        </w:rPr>
      </w:pPr>
      <w:r>
        <w:rPr>
          <w:rFonts w:hint="eastAsia" w:ascii="Times New Roman" w:hAnsi="Times New Roman" w:cs="Times New Roman"/>
          <w:color w:val="auto"/>
          <w:sz w:val="24"/>
          <w:highlight w:val="none"/>
        </w:rPr>
        <w:t>九、一般公共预算财政拨款项目支出决算表</w:t>
      </w:r>
      <w:r>
        <w:rPr>
          <w:rFonts w:hint="eastAsia" w:ascii="Times New Roman" w:hAnsi="Times New Roman" w:cs="Times New Roman"/>
          <w:color w:val="auto"/>
          <w:sz w:val="24"/>
          <w:highlight w:val="none"/>
          <w:lang w:val="en-US" w:eastAsia="zh-CN"/>
        </w:rPr>
        <w:t>………………</w:t>
      </w:r>
      <w:r>
        <w:rPr>
          <w:rFonts w:hint="eastAsia" w:cs="Times New Roman"/>
          <w:color w:val="auto"/>
          <w:sz w:val="24"/>
          <w:highlight w:val="none"/>
          <w:lang w:val="en-US" w:eastAsia="zh-CN"/>
        </w:rPr>
        <w:t>32</w:t>
      </w:r>
    </w:p>
    <w:p>
      <w:pPr>
        <w:pStyle w:val="14"/>
        <w:adjustRightInd w:val="0"/>
        <w:snapToGrid w:val="0"/>
        <w:spacing w:line="440" w:lineRule="exact"/>
        <w:jc w:val="left"/>
        <w:rPr>
          <w:rFonts w:hint="default" w:ascii="Times New Roman" w:hAnsi="Times New Roman" w:cs="Times New Roman"/>
          <w:color w:val="auto"/>
          <w:sz w:val="24"/>
          <w:highlight w:val="none"/>
          <w:lang w:val="en-US"/>
        </w:rPr>
      </w:pPr>
      <w:r>
        <w:rPr>
          <w:rFonts w:hint="eastAsia" w:ascii="Times New Roman" w:hAnsi="Times New Roman" w:cs="Times New Roman"/>
          <w:color w:val="auto"/>
          <w:sz w:val="24"/>
          <w:highlight w:val="none"/>
        </w:rPr>
        <w:t>十、一般公共预算财政拨款“三公”经费支出决算表</w:t>
      </w:r>
      <w:r>
        <w:rPr>
          <w:rFonts w:hint="eastAsia" w:ascii="Times New Roman" w:hAnsi="Times New Roman" w:cs="Times New Roman"/>
          <w:color w:val="auto"/>
          <w:sz w:val="24"/>
          <w:highlight w:val="none"/>
          <w:lang w:val="en-US" w:eastAsia="zh-CN"/>
        </w:rPr>
        <w:t>……</w:t>
      </w:r>
      <w:r>
        <w:rPr>
          <w:rFonts w:hint="eastAsia" w:cs="Times New Roman"/>
          <w:color w:val="auto"/>
          <w:sz w:val="24"/>
          <w:highlight w:val="none"/>
          <w:lang w:val="en-US" w:eastAsia="zh-CN"/>
        </w:rPr>
        <w:t>32</w:t>
      </w:r>
    </w:p>
    <w:p>
      <w:pPr>
        <w:pStyle w:val="14"/>
        <w:adjustRightInd w:val="0"/>
        <w:snapToGrid w:val="0"/>
        <w:spacing w:line="440" w:lineRule="exact"/>
        <w:jc w:val="left"/>
        <w:rPr>
          <w:rFonts w:hint="default" w:cs="Times New Roman"/>
          <w:color w:val="auto"/>
          <w:sz w:val="24"/>
          <w:highlight w:val="none"/>
          <w:lang w:val="en-US" w:eastAsia="zh-CN"/>
        </w:rPr>
      </w:pPr>
      <w:r>
        <w:rPr>
          <w:rFonts w:hint="eastAsia" w:ascii="Times New Roman" w:hAnsi="Times New Roman" w:cs="Times New Roman"/>
          <w:color w:val="auto"/>
          <w:sz w:val="24"/>
          <w:highlight w:val="none"/>
        </w:rPr>
        <w:t>十一、政府性基金预算财政拨款收入支出决算表</w:t>
      </w:r>
      <w:r>
        <w:rPr>
          <w:rFonts w:hint="eastAsia" w:ascii="Times New Roman" w:hAnsi="Times New Roman" w:cs="Times New Roman"/>
          <w:color w:val="auto"/>
          <w:sz w:val="24"/>
          <w:highlight w:val="none"/>
          <w:lang w:val="en-US" w:eastAsia="zh-CN"/>
        </w:rPr>
        <w:t>…………</w:t>
      </w:r>
      <w:r>
        <w:rPr>
          <w:rFonts w:hint="eastAsia" w:cs="Times New Roman"/>
          <w:color w:val="auto"/>
          <w:sz w:val="24"/>
          <w:highlight w:val="none"/>
          <w:lang w:val="en-US" w:eastAsia="zh-CN"/>
        </w:rPr>
        <w:t>32</w:t>
      </w:r>
    </w:p>
    <w:p>
      <w:pPr>
        <w:pStyle w:val="14"/>
        <w:adjustRightInd w:val="0"/>
        <w:snapToGrid w:val="0"/>
        <w:spacing w:line="440" w:lineRule="exact"/>
        <w:jc w:val="left"/>
        <w:rPr>
          <w:rFonts w:hint="default" w:ascii="Times New Roman" w:hAnsi="Times New Roman" w:cs="Times New Roman"/>
          <w:color w:val="auto"/>
          <w:sz w:val="24"/>
          <w:highlight w:val="none"/>
          <w:lang w:val="en-US"/>
        </w:rPr>
      </w:pPr>
      <w:r>
        <w:rPr>
          <w:rFonts w:hint="eastAsia" w:ascii="Times New Roman" w:hAnsi="Times New Roman" w:cs="Times New Roman"/>
          <w:color w:val="auto"/>
          <w:sz w:val="24"/>
          <w:highlight w:val="none"/>
        </w:rPr>
        <w:t>十二、政府性基金预算财政拨款“三公”经费支出决算表</w:t>
      </w:r>
      <w:r>
        <w:rPr>
          <w:rFonts w:hint="eastAsia" w:ascii="Times New Roman" w:hAnsi="Times New Roman" w:cs="Times New Roman"/>
          <w:color w:val="auto"/>
          <w:sz w:val="24"/>
          <w:highlight w:val="none"/>
          <w:lang w:val="en-US" w:eastAsia="zh-CN"/>
        </w:rPr>
        <w:t>…</w:t>
      </w:r>
      <w:r>
        <w:rPr>
          <w:rFonts w:hint="eastAsia" w:cs="Times New Roman"/>
          <w:color w:val="auto"/>
          <w:sz w:val="24"/>
          <w:highlight w:val="none"/>
          <w:lang w:val="en-US" w:eastAsia="zh-CN"/>
        </w:rPr>
        <w:t>32</w:t>
      </w:r>
    </w:p>
    <w:p>
      <w:pPr>
        <w:pStyle w:val="14"/>
        <w:adjustRightInd w:val="0"/>
        <w:snapToGrid w:val="0"/>
        <w:spacing w:line="440" w:lineRule="exact"/>
        <w:jc w:val="left"/>
        <w:rPr>
          <w:rFonts w:hint="default" w:cs="Times New Roman"/>
          <w:color w:val="auto"/>
          <w:sz w:val="24"/>
          <w:highlight w:val="none"/>
          <w:lang w:val="en-US" w:eastAsia="zh-CN"/>
        </w:rPr>
      </w:pPr>
      <w:r>
        <w:rPr>
          <w:rFonts w:hint="eastAsia" w:ascii="Times New Roman" w:hAnsi="Times New Roman" w:cs="Times New Roman"/>
          <w:color w:val="auto"/>
          <w:sz w:val="24"/>
          <w:highlight w:val="none"/>
        </w:rPr>
        <w:t>十三、国有资本经营预算</w:t>
      </w:r>
      <w:r>
        <w:rPr>
          <w:rFonts w:hint="eastAsia" w:ascii="Times New Roman" w:hAnsi="Times New Roman" w:cs="Times New Roman"/>
          <w:color w:val="auto"/>
          <w:sz w:val="24"/>
          <w:highlight w:val="none"/>
          <w:lang w:eastAsia="zh-CN"/>
        </w:rPr>
        <w:t>财政拨款收入</w:t>
      </w:r>
      <w:r>
        <w:rPr>
          <w:rFonts w:hint="eastAsia" w:ascii="Times New Roman" w:hAnsi="Times New Roman" w:cs="Times New Roman"/>
          <w:color w:val="auto"/>
          <w:sz w:val="24"/>
          <w:highlight w:val="none"/>
        </w:rPr>
        <w:t>支出决算表</w:t>
      </w:r>
      <w:r>
        <w:rPr>
          <w:rFonts w:hint="eastAsia" w:cs="Times New Roman"/>
          <w:color w:val="auto"/>
          <w:sz w:val="24"/>
          <w:highlight w:val="none"/>
          <w:lang w:val="en-US" w:eastAsia="zh-CN"/>
        </w:rPr>
        <w:t>…</w:t>
      </w:r>
      <w:r>
        <w:rPr>
          <w:rFonts w:hint="eastAsia" w:ascii="Times New Roman" w:hAnsi="Times New Roman" w:cs="Times New Roman"/>
          <w:color w:val="auto"/>
          <w:sz w:val="24"/>
          <w:highlight w:val="none"/>
          <w:lang w:val="en-US" w:eastAsia="zh-CN"/>
        </w:rPr>
        <w:t>………</w:t>
      </w:r>
      <w:r>
        <w:rPr>
          <w:rFonts w:hint="eastAsia" w:cs="Times New Roman"/>
          <w:color w:val="auto"/>
          <w:sz w:val="24"/>
          <w:highlight w:val="none"/>
          <w:lang w:val="en-US" w:eastAsia="zh-CN"/>
        </w:rPr>
        <w:t>32</w:t>
      </w:r>
    </w:p>
    <w:p>
      <w:pPr>
        <w:pStyle w:val="14"/>
        <w:adjustRightInd w:val="0"/>
        <w:snapToGrid w:val="0"/>
        <w:spacing w:line="440" w:lineRule="exact"/>
        <w:jc w:val="left"/>
        <w:rPr>
          <w:rFonts w:hint="default" w:ascii="Times New Roman" w:hAnsi="Times New Roman"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十四、国有资本经营预算财政拨款支出决算表……</w:t>
      </w:r>
      <w:r>
        <w:rPr>
          <w:rFonts w:hint="eastAsia" w:cs="Times New Roman"/>
          <w:color w:val="auto"/>
          <w:sz w:val="24"/>
          <w:highlight w:val="none"/>
          <w:lang w:val="en-US" w:eastAsia="zh-CN"/>
        </w:rPr>
        <w:t>…</w:t>
      </w:r>
      <w:r>
        <w:rPr>
          <w:rFonts w:hint="eastAsia" w:ascii="Times New Roman" w:hAnsi="Times New Roman" w:cs="Times New Roman"/>
          <w:color w:val="auto"/>
          <w:sz w:val="24"/>
          <w:highlight w:val="none"/>
          <w:lang w:val="en-US" w:eastAsia="zh-CN"/>
        </w:rPr>
        <w:t>………</w:t>
      </w:r>
      <w:r>
        <w:rPr>
          <w:rFonts w:hint="eastAsia" w:cs="Times New Roman"/>
          <w:color w:val="auto"/>
          <w:sz w:val="24"/>
          <w:highlight w:val="none"/>
          <w:lang w:val="en-US" w:eastAsia="zh-CN"/>
        </w:rPr>
        <w:t>32</w:t>
      </w:r>
    </w:p>
    <w:p>
      <w:pPr>
        <w:keepNext w:val="0"/>
        <w:keepLines w:val="0"/>
        <w:pageBreakBefore w:val="0"/>
        <w:widowControl/>
        <w:kinsoku/>
        <w:wordWrap/>
        <w:overflowPunct/>
        <w:topLinePunct w:val="0"/>
        <w:autoSpaceDE/>
        <w:autoSpaceDN/>
        <w:bidi w:val="0"/>
        <w:spacing w:line="576" w:lineRule="exact"/>
        <w:ind w:left="0" w:leftChars="0"/>
        <w:jc w:val="distribute"/>
        <w:textAlignment w:val="auto"/>
        <w:rPr>
          <w:rFonts w:hint="eastAsia" w:ascii="楷体_GB2312" w:hAnsi="楷体_GB2312" w:eastAsia="楷体_GB2312" w:cs="楷体_GB2312"/>
          <w:bCs/>
          <w:color w:val="auto"/>
          <w:kern w:val="44"/>
          <w:sz w:val="32"/>
          <w:szCs w:val="32"/>
          <w:highlight w:val="none"/>
        </w:rPr>
      </w:pPr>
      <w:bookmarkStart w:id="12" w:name="_Toc15396599"/>
      <w:bookmarkStart w:id="13" w:name="_Toc15377196"/>
      <w:r>
        <w:rPr>
          <w:rFonts w:hint="eastAsia" w:ascii="楷体_GB2312" w:hAnsi="楷体_GB2312" w:eastAsia="楷体_GB2312" w:cs="楷体_GB2312"/>
          <w:b/>
          <w:color w:val="auto"/>
          <w:sz w:val="32"/>
          <w:szCs w:val="32"/>
          <w:highlight w:val="none"/>
        </w:rPr>
        <w:br w:type="page"/>
      </w:r>
    </w:p>
    <w:p>
      <w:pPr>
        <w:pStyle w:val="3"/>
        <w:jc w:val="center"/>
        <w:rPr>
          <w:rStyle w:val="31"/>
          <w:rFonts w:ascii="黑体" w:hAnsi="黑体" w:eastAsia="黑体"/>
          <w:b/>
          <w:bCs w:val="0"/>
          <w:color w:val="auto"/>
          <w:highlight w:val="none"/>
        </w:rPr>
      </w:pPr>
      <w:r>
        <w:rPr>
          <w:rFonts w:hint="eastAsia" w:ascii="黑体" w:hAnsi="黑体" w:eastAsia="黑体"/>
          <w:b w:val="0"/>
          <w:color w:val="auto"/>
          <w:highlight w:val="none"/>
        </w:rPr>
        <w:t xml:space="preserve">第一部分 </w:t>
      </w:r>
      <w:r>
        <w:rPr>
          <w:rFonts w:hint="eastAsia" w:ascii="黑体" w:hAnsi="黑体" w:eastAsia="黑体"/>
          <w:b w:val="0"/>
          <w:color w:val="auto"/>
          <w:highlight w:val="none"/>
          <w:lang w:eastAsia="zh-CN"/>
        </w:rPr>
        <w:t>单位</w:t>
      </w:r>
      <w:r>
        <w:rPr>
          <w:rStyle w:val="31"/>
          <w:rFonts w:hint="eastAsia" w:ascii="黑体" w:hAnsi="黑体" w:eastAsia="黑体"/>
          <w:b w:val="0"/>
          <w:bCs w:val="0"/>
          <w:color w:val="auto"/>
          <w:highlight w:val="none"/>
        </w:rPr>
        <w:t>概况</w:t>
      </w:r>
      <w:bookmarkEnd w:id="12"/>
      <w:bookmarkEnd w:id="13"/>
    </w:p>
    <w:p>
      <w:pPr>
        <w:widowControl/>
        <w:jc w:val="left"/>
        <w:rPr>
          <w:rFonts w:ascii="黑体" w:eastAsia="黑体"/>
          <w:color w:val="auto"/>
          <w:sz w:val="32"/>
          <w:szCs w:val="32"/>
          <w:highlight w:val="none"/>
        </w:rPr>
      </w:pPr>
    </w:p>
    <w:p>
      <w:pPr>
        <w:pStyle w:val="4"/>
        <w:numPr>
          <w:ilvl w:val="0"/>
          <w:numId w:val="1"/>
        </w:numPr>
        <w:rPr>
          <w:rFonts w:hint="eastAsia"/>
        </w:rPr>
      </w:pPr>
      <w:bookmarkStart w:id="14" w:name="_Toc15396600"/>
      <w:bookmarkStart w:id="15" w:name="_Toc15377197"/>
      <w:r>
        <w:rPr>
          <w:rFonts w:hint="eastAsia"/>
          <w:lang w:eastAsia="zh-CN"/>
        </w:rPr>
        <w:t>部门职责</w:t>
      </w:r>
    </w:p>
    <w:p>
      <w:pPr>
        <w:spacing w:line="600" w:lineRule="exact"/>
        <w:ind w:firstLine="640" w:firstLineChars="200"/>
        <w:rPr>
          <w:rFonts w:hint="eastAsia" w:ascii="仿宋_GB2312" w:eastAsia="仿宋_GB2312"/>
          <w:b w:val="0"/>
          <w:bCs w:val="0"/>
          <w:color w:val="000000"/>
          <w:sz w:val="32"/>
          <w:szCs w:val="32"/>
        </w:rPr>
      </w:pPr>
      <w:r>
        <w:rPr>
          <w:rFonts w:hint="eastAsia" w:eastAsia="仿宋_GB2312"/>
          <w:b w:val="0"/>
          <w:bCs w:val="0"/>
          <w:color w:val="000000"/>
          <w:sz w:val="32"/>
          <w:szCs w:val="32"/>
          <w:lang w:eastAsia="zh-CN"/>
        </w:rPr>
        <w:t>（一）</w:t>
      </w:r>
      <w:r>
        <w:rPr>
          <w:rFonts w:hint="eastAsia" w:ascii="仿宋_GB2312" w:eastAsia="仿宋_GB2312"/>
          <w:b w:val="0"/>
          <w:bCs w:val="0"/>
          <w:color w:val="000000"/>
          <w:sz w:val="32"/>
          <w:szCs w:val="32"/>
        </w:rPr>
        <w:t>深入贯彻执行党的路线方针政策和决策部署，统一政法单位思想和行动，坚持党对政法工作的绝对领导，坚决维护党中央权威和集中统一领导。</w:t>
      </w:r>
    </w:p>
    <w:p>
      <w:pPr>
        <w:spacing w:line="600" w:lineRule="exact"/>
        <w:ind w:firstLine="640" w:firstLineChars="200"/>
        <w:rPr>
          <w:rFonts w:hint="eastAsia" w:eastAsia="仿宋_GB2312"/>
          <w:b w:val="0"/>
          <w:bCs w:val="0"/>
          <w:color w:val="000000"/>
          <w:sz w:val="32"/>
          <w:szCs w:val="32"/>
        </w:rPr>
      </w:pPr>
      <w:r>
        <w:rPr>
          <w:rFonts w:hint="eastAsia" w:eastAsia="仿宋_GB2312"/>
          <w:b w:val="0"/>
          <w:bCs w:val="0"/>
          <w:color w:val="000000"/>
          <w:sz w:val="32"/>
          <w:szCs w:val="32"/>
          <w:lang w:eastAsia="zh-CN"/>
        </w:rPr>
        <w:t>（二）</w:t>
      </w:r>
      <w:r>
        <w:rPr>
          <w:rFonts w:eastAsia="仿宋_GB2312"/>
          <w:b w:val="0"/>
          <w:bCs w:val="0"/>
          <w:color w:val="000000"/>
          <w:sz w:val="32"/>
          <w:szCs w:val="32"/>
        </w:rPr>
        <w:t>深入贯彻党中央、省委、市委和区委决定，对政法工作研究提出全局性部署，推进平安昭化、法治昭化建设，加强过硬队伍建设，深化智能化建设，坚决维护国家政治安全、确保社会大局稳定、促进社会公平正义、保障人民安居乐业、护航经济社会发展。完善和落实政治督察、执法监督、纪律作风督查等工作制度机制。</w:t>
      </w:r>
    </w:p>
    <w:p>
      <w:pPr>
        <w:spacing w:line="600" w:lineRule="exact"/>
        <w:ind w:firstLine="640" w:firstLineChars="200"/>
        <w:rPr>
          <w:rFonts w:eastAsia="仿宋_GB2312"/>
          <w:b w:val="0"/>
          <w:bCs w:val="0"/>
          <w:color w:val="000000"/>
          <w:sz w:val="32"/>
          <w:szCs w:val="32"/>
        </w:rPr>
      </w:pPr>
      <w:r>
        <w:rPr>
          <w:rFonts w:hint="eastAsia" w:eastAsia="仿宋_GB2312"/>
          <w:b w:val="0"/>
          <w:bCs w:val="0"/>
          <w:color w:val="000000"/>
          <w:sz w:val="32"/>
          <w:szCs w:val="32"/>
          <w:lang w:eastAsia="zh-CN"/>
        </w:rPr>
        <w:t>（三）</w:t>
      </w:r>
      <w:r>
        <w:rPr>
          <w:rFonts w:eastAsia="仿宋_GB2312"/>
          <w:b w:val="0"/>
          <w:bCs w:val="0"/>
          <w:color w:val="000000"/>
          <w:sz w:val="32"/>
          <w:szCs w:val="32"/>
        </w:rPr>
        <w:t>了解掌握和分析研判全区政治安全、反邪教形势动态，协调和指导政法单位、相关部门和乡镇（街道）做好政治安全、反邪教工作。</w:t>
      </w:r>
    </w:p>
    <w:p>
      <w:pPr>
        <w:spacing w:line="600" w:lineRule="exact"/>
        <w:ind w:firstLine="640" w:firstLineChars="200"/>
        <w:rPr>
          <w:rFonts w:hint="eastAsia" w:eastAsia="仿宋_GB2312"/>
          <w:b w:val="0"/>
          <w:bCs w:val="0"/>
          <w:color w:val="000000"/>
          <w:sz w:val="32"/>
          <w:szCs w:val="32"/>
        </w:rPr>
      </w:pPr>
      <w:r>
        <w:rPr>
          <w:rFonts w:hint="eastAsia" w:eastAsia="仿宋_GB2312"/>
          <w:b w:val="0"/>
          <w:bCs w:val="0"/>
          <w:color w:val="000000"/>
          <w:sz w:val="32"/>
          <w:szCs w:val="32"/>
          <w:lang w:eastAsia="zh-CN"/>
        </w:rPr>
        <w:t>（四）</w:t>
      </w:r>
      <w:r>
        <w:rPr>
          <w:rFonts w:eastAsia="仿宋_GB2312"/>
          <w:b w:val="0"/>
          <w:bCs w:val="0"/>
          <w:color w:val="000000"/>
          <w:sz w:val="32"/>
          <w:szCs w:val="32"/>
        </w:rPr>
        <w:t>了解掌握和分析研判全区社会稳定形势，协调指导政法单位、相关部门和乡镇（街道）开展社会稳定风险评估，协调推动预防、化解影响稳定</w:t>
      </w:r>
      <w:r>
        <w:rPr>
          <w:rFonts w:hint="eastAsia" w:eastAsia="仿宋_GB2312"/>
          <w:b w:val="0"/>
          <w:bCs w:val="0"/>
          <w:color w:val="000000"/>
          <w:sz w:val="32"/>
          <w:szCs w:val="32"/>
        </w:rPr>
        <w:t>的</w:t>
      </w:r>
      <w:r>
        <w:rPr>
          <w:rFonts w:eastAsia="仿宋_GB2312"/>
          <w:b w:val="0"/>
          <w:bCs w:val="0"/>
          <w:color w:val="000000"/>
          <w:sz w:val="32"/>
          <w:szCs w:val="32"/>
        </w:rPr>
        <w:t>各类风险，协调应对和完善处置重大突发事件。</w:t>
      </w:r>
    </w:p>
    <w:p>
      <w:pPr>
        <w:spacing w:line="600" w:lineRule="exact"/>
        <w:ind w:firstLine="640" w:firstLineChars="200"/>
        <w:rPr>
          <w:rFonts w:eastAsia="仿宋_GB2312"/>
          <w:b w:val="0"/>
          <w:bCs w:val="0"/>
          <w:color w:val="000000"/>
          <w:sz w:val="32"/>
          <w:szCs w:val="32"/>
        </w:rPr>
      </w:pPr>
      <w:r>
        <w:rPr>
          <w:rFonts w:hint="eastAsia" w:eastAsia="仿宋_GB2312"/>
          <w:b w:val="0"/>
          <w:bCs w:val="0"/>
          <w:color w:val="000000"/>
          <w:sz w:val="32"/>
          <w:szCs w:val="32"/>
          <w:lang w:eastAsia="zh-CN"/>
        </w:rPr>
        <w:t>（五）</w:t>
      </w:r>
      <w:r>
        <w:rPr>
          <w:rFonts w:eastAsia="仿宋_GB2312"/>
          <w:b w:val="0"/>
          <w:bCs w:val="0"/>
          <w:color w:val="000000"/>
          <w:sz w:val="32"/>
          <w:szCs w:val="32"/>
        </w:rPr>
        <w:t>了解掌握和分析研判全区社会治安形势、社会治理情况动态，创新完善多部门参与平安建设工作机制，推动开展基层平安创建、基层社会治理和网格化服务管理工作，统筹指导区、乡镇（街道）、村（社区）三级综治中心建设；构建矛盾纠纷多元化解体系和机制，指导推动预防、化解各类社会矛盾；负责见义勇为宣传、表彰、奖励等工作；负责指导辖区内铁路护路联防工作。</w:t>
      </w:r>
    </w:p>
    <w:p>
      <w:pPr>
        <w:spacing w:line="600" w:lineRule="exact"/>
        <w:ind w:firstLine="640" w:firstLineChars="200"/>
        <w:rPr>
          <w:rFonts w:hint="eastAsia" w:ascii="仿宋_GB2312" w:eastAsia="仿宋_GB2312"/>
          <w:b w:val="0"/>
          <w:bCs w:val="0"/>
          <w:color w:val="000000"/>
          <w:sz w:val="32"/>
          <w:szCs w:val="32"/>
        </w:rPr>
      </w:pPr>
      <w:r>
        <w:rPr>
          <w:rFonts w:hint="eastAsia" w:eastAsia="仿宋_GB2312"/>
          <w:b w:val="0"/>
          <w:bCs w:val="0"/>
          <w:color w:val="000000"/>
          <w:sz w:val="32"/>
          <w:szCs w:val="32"/>
          <w:lang w:eastAsia="zh-CN"/>
        </w:rPr>
        <w:t>（六）</w:t>
      </w:r>
      <w:r>
        <w:rPr>
          <w:rFonts w:hint="eastAsia" w:ascii="仿宋_GB2312" w:eastAsia="仿宋_GB2312"/>
          <w:b w:val="0"/>
          <w:bCs w:val="0"/>
          <w:color w:val="000000"/>
          <w:sz w:val="32"/>
          <w:szCs w:val="32"/>
        </w:rPr>
        <w:t>加强对政法工作的督查，统筹协调全区维护政治安全、社会治安综合治理、维护社会稳定、反邪教有关法律法规政策的实施工作。</w:t>
      </w:r>
    </w:p>
    <w:p>
      <w:pPr>
        <w:spacing w:line="600" w:lineRule="exact"/>
        <w:ind w:firstLine="640" w:firstLineChars="200"/>
        <w:rPr>
          <w:rFonts w:hint="eastAsia" w:ascii="仿宋_GB2312" w:eastAsia="仿宋_GB2312"/>
          <w:b w:val="0"/>
          <w:bCs w:val="0"/>
          <w:color w:val="000000"/>
          <w:sz w:val="32"/>
          <w:szCs w:val="32"/>
        </w:rPr>
      </w:pPr>
      <w:r>
        <w:rPr>
          <w:rFonts w:hint="eastAsia" w:ascii="仿宋_GB2312" w:eastAsia="仿宋_GB2312"/>
          <w:b w:val="0"/>
          <w:bCs w:val="0"/>
          <w:color w:val="000000"/>
          <w:sz w:val="32"/>
          <w:szCs w:val="32"/>
          <w:lang w:eastAsia="zh-CN"/>
        </w:rPr>
        <w:t>（七）</w:t>
      </w:r>
      <w:r>
        <w:rPr>
          <w:rFonts w:hint="eastAsia" w:ascii="仿宋_GB2312" w:eastAsia="仿宋_GB2312"/>
          <w:b w:val="0"/>
          <w:bCs w:val="0"/>
          <w:color w:val="000000"/>
          <w:sz w:val="32"/>
          <w:szCs w:val="32"/>
        </w:rPr>
        <w:t>支持和监督政法单位依法行使职权，检查政法单位执行党的路线方针政策、重大决策部署等情况，指导和协调政法单位密切配合，研究和协调重大、疑难案件，完善与纪检监察机关工作衔接和协作配合机制，推进严格执法、公正司法。</w:t>
      </w:r>
    </w:p>
    <w:p>
      <w:pPr>
        <w:spacing w:line="600" w:lineRule="exact"/>
        <w:ind w:firstLine="640" w:firstLineChars="200"/>
        <w:rPr>
          <w:rFonts w:hint="eastAsia" w:eastAsia="仿宋_GB2312"/>
          <w:b w:val="0"/>
          <w:bCs w:val="0"/>
          <w:color w:val="000000"/>
          <w:sz w:val="32"/>
          <w:szCs w:val="32"/>
        </w:rPr>
      </w:pPr>
      <w:r>
        <w:rPr>
          <w:rFonts w:hint="eastAsia" w:eastAsia="仿宋_GB2312"/>
          <w:b w:val="0"/>
          <w:bCs w:val="0"/>
          <w:color w:val="000000"/>
          <w:sz w:val="32"/>
          <w:szCs w:val="32"/>
          <w:lang w:eastAsia="zh-CN"/>
        </w:rPr>
        <w:t>（八）</w:t>
      </w:r>
      <w:r>
        <w:rPr>
          <w:rFonts w:eastAsia="仿宋_GB2312"/>
          <w:b w:val="0"/>
          <w:bCs w:val="0"/>
          <w:color w:val="000000"/>
          <w:sz w:val="32"/>
          <w:szCs w:val="32"/>
        </w:rPr>
        <w:t>掌握分析政法舆情动态，指导协调政法单位媒体网络宣传工作，指导政法单位做好涉及政法工作的重大宣传和舆论引导工作，指导政法单位网络安全和智能化建设工作，统筹政法宣传和舆情引导工作。</w:t>
      </w:r>
    </w:p>
    <w:p>
      <w:pPr>
        <w:spacing w:line="600" w:lineRule="exact"/>
        <w:ind w:firstLine="640" w:firstLineChars="200"/>
        <w:rPr>
          <w:rFonts w:hint="eastAsia" w:ascii="仿宋_GB2312" w:eastAsia="仿宋_GB2312"/>
          <w:b w:val="0"/>
          <w:bCs w:val="0"/>
          <w:color w:val="000000"/>
          <w:sz w:val="32"/>
          <w:szCs w:val="32"/>
        </w:rPr>
      </w:pPr>
      <w:r>
        <w:rPr>
          <w:rFonts w:hint="eastAsia" w:ascii="仿宋_GB2312" w:eastAsia="仿宋_GB2312"/>
          <w:b w:val="0"/>
          <w:bCs w:val="0"/>
          <w:color w:val="000000"/>
          <w:sz w:val="32"/>
          <w:szCs w:val="32"/>
          <w:lang w:eastAsia="zh-CN"/>
        </w:rPr>
        <w:t>（九）</w:t>
      </w:r>
      <w:r>
        <w:rPr>
          <w:rFonts w:hint="eastAsia" w:ascii="仿宋_GB2312" w:eastAsia="仿宋_GB2312"/>
          <w:b w:val="0"/>
          <w:bCs w:val="0"/>
          <w:color w:val="000000"/>
          <w:sz w:val="32"/>
          <w:szCs w:val="32"/>
        </w:rPr>
        <w:t>组织开展政法领域调查研究，研究拟定全区政法工作的政策措施，及时向区委提出建议；组织研究政法改革中带有方向性、倾向性和普遍性的重大问题，深化政法改革。</w:t>
      </w:r>
    </w:p>
    <w:p>
      <w:pPr>
        <w:spacing w:line="600" w:lineRule="exact"/>
        <w:ind w:firstLine="640" w:firstLineChars="200"/>
        <w:rPr>
          <w:rFonts w:hint="eastAsia" w:eastAsia="仿宋_GB2312"/>
          <w:b w:val="0"/>
          <w:bCs w:val="0"/>
          <w:color w:val="000000"/>
          <w:sz w:val="32"/>
          <w:szCs w:val="32"/>
        </w:rPr>
      </w:pPr>
      <w:r>
        <w:rPr>
          <w:rFonts w:hint="eastAsia" w:eastAsia="仿宋_GB2312"/>
          <w:b w:val="0"/>
          <w:bCs w:val="0"/>
          <w:color w:val="000000"/>
          <w:sz w:val="32"/>
          <w:szCs w:val="32"/>
          <w:lang w:eastAsia="zh-CN"/>
        </w:rPr>
        <w:t>（十）</w:t>
      </w:r>
      <w:r>
        <w:rPr>
          <w:rFonts w:eastAsia="仿宋_GB2312"/>
          <w:b w:val="0"/>
          <w:bCs w:val="0"/>
          <w:color w:val="000000"/>
          <w:sz w:val="32"/>
          <w:szCs w:val="32"/>
        </w:rPr>
        <w:t>指导推动政法</w:t>
      </w:r>
      <w:r>
        <w:rPr>
          <w:rFonts w:hint="eastAsia" w:eastAsia="仿宋_GB2312"/>
          <w:b w:val="0"/>
          <w:bCs w:val="0"/>
          <w:color w:val="000000"/>
          <w:sz w:val="32"/>
          <w:szCs w:val="32"/>
        </w:rPr>
        <w:t>系统</w:t>
      </w:r>
      <w:r>
        <w:rPr>
          <w:rFonts w:eastAsia="仿宋_GB2312"/>
          <w:b w:val="0"/>
          <w:bCs w:val="0"/>
          <w:color w:val="000000"/>
          <w:sz w:val="32"/>
          <w:szCs w:val="32"/>
        </w:rPr>
        <w:t>党的建设和政法队伍建设，协助</w:t>
      </w:r>
      <w:r>
        <w:rPr>
          <w:rFonts w:hint="eastAsia" w:eastAsia="仿宋_GB2312"/>
          <w:b w:val="0"/>
          <w:bCs w:val="0"/>
          <w:color w:val="000000"/>
          <w:sz w:val="32"/>
          <w:szCs w:val="32"/>
        </w:rPr>
        <w:t>区级</w:t>
      </w:r>
      <w:r>
        <w:rPr>
          <w:rFonts w:eastAsia="仿宋_GB2312"/>
          <w:b w:val="0"/>
          <w:bCs w:val="0"/>
          <w:color w:val="000000"/>
          <w:sz w:val="32"/>
          <w:szCs w:val="32"/>
        </w:rPr>
        <w:t>有关职能部门</w:t>
      </w:r>
      <w:r>
        <w:rPr>
          <w:rFonts w:hint="eastAsia" w:eastAsia="仿宋_GB2312"/>
          <w:b w:val="0"/>
          <w:bCs w:val="0"/>
          <w:color w:val="000000"/>
          <w:sz w:val="32"/>
          <w:szCs w:val="32"/>
        </w:rPr>
        <w:t>管理监督政法领导干部，</w:t>
      </w:r>
      <w:r>
        <w:rPr>
          <w:rFonts w:eastAsia="仿宋_GB2312"/>
          <w:b w:val="0"/>
          <w:bCs w:val="0"/>
          <w:color w:val="000000"/>
          <w:sz w:val="32"/>
          <w:szCs w:val="32"/>
        </w:rPr>
        <w:t>代管广元市昭化区法学会。</w:t>
      </w:r>
    </w:p>
    <w:p>
      <w:pPr>
        <w:spacing w:line="600" w:lineRule="exact"/>
        <w:ind w:firstLine="640" w:firstLineChars="200"/>
        <w:rPr>
          <w:rFonts w:hint="eastAsia" w:ascii="仿宋_GB2312" w:eastAsia="仿宋_GB2312"/>
          <w:b w:val="0"/>
          <w:bCs w:val="0"/>
          <w:color w:val="000000"/>
          <w:sz w:val="32"/>
          <w:szCs w:val="32"/>
        </w:rPr>
      </w:pPr>
      <w:r>
        <w:rPr>
          <w:rFonts w:hint="eastAsia" w:ascii="仿宋_GB2312" w:eastAsia="仿宋_GB2312"/>
          <w:b w:val="0"/>
          <w:bCs w:val="0"/>
          <w:color w:val="000000"/>
          <w:sz w:val="32"/>
          <w:szCs w:val="32"/>
          <w:lang w:eastAsia="zh-CN"/>
        </w:rPr>
        <w:t>（十一）</w:t>
      </w:r>
      <w:r>
        <w:rPr>
          <w:rFonts w:hint="eastAsia" w:ascii="仿宋_GB2312" w:eastAsia="仿宋_GB2312"/>
          <w:b w:val="0"/>
          <w:bCs w:val="0"/>
          <w:color w:val="000000"/>
          <w:sz w:val="32"/>
          <w:szCs w:val="32"/>
        </w:rPr>
        <w:t>完成区委交办的其他任务。</w:t>
      </w:r>
    </w:p>
    <w:p>
      <w:pPr>
        <w:pStyle w:val="4"/>
        <w:numPr>
          <w:ilvl w:val="0"/>
          <w:numId w:val="0"/>
        </w:numPr>
        <w:ind w:firstLine="640" w:firstLineChars="200"/>
        <w:rPr>
          <w:rFonts w:hint="eastAsia" w:ascii="黑体" w:hAnsi="黑体" w:eastAsia="黑体"/>
          <w:b w:val="0"/>
          <w:color w:val="auto"/>
          <w:highlight w:val="none"/>
          <w:lang w:val="en-US" w:eastAsia="zh-CN"/>
        </w:rPr>
      </w:pPr>
      <w:r>
        <w:rPr>
          <w:rFonts w:hint="eastAsia" w:ascii="黑体" w:hAnsi="黑体" w:eastAsia="黑体"/>
          <w:b w:val="0"/>
          <w:color w:val="auto"/>
          <w:highlight w:val="none"/>
          <w:lang w:val="en-US" w:eastAsia="zh-CN"/>
        </w:rPr>
        <w:t>二、机构设置</w:t>
      </w:r>
    </w:p>
    <w:p>
      <w:pPr>
        <w:pStyle w:val="4"/>
        <w:numPr>
          <w:ilvl w:val="0"/>
          <w:numId w:val="0"/>
        </w:numPr>
        <w:ind w:firstLine="640" w:firstLineChars="200"/>
        <w:rPr>
          <w:rFonts w:hint="default"/>
          <w:lang w:val="en-US" w:eastAsia="zh-CN"/>
        </w:rPr>
      </w:pPr>
      <w:r>
        <w:rPr>
          <w:rFonts w:hint="eastAsia" w:ascii="仿宋_GB2312" w:hAnsi="Times New Roman" w:eastAsia="仿宋_GB2312" w:cs="Times New Roman"/>
          <w:b w:val="0"/>
          <w:bCs w:val="0"/>
          <w:color w:val="000000"/>
          <w:kern w:val="2"/>
          <w:sz w:val="32"/>
          <w:szCs w:val="32"/>
          <w:lang w:val="en-US" w:eastAsia="zh-CN" w:bidi="ar-SA"/>
        </w:rPr>
        <w:t>区委政法委内设机构有办公室（统筹督导股）、政治安全维稳和反邪教指导股、综治督导股。设立有政法宣传指导中心、综治中心、政治处，综治督导股加挂区矛盾纠纷多元化解协调中心，</w:t>
      </w:r>
      <w:r>
        <w:rPr>
          <w:rFonts w:hint="eastAsia" w:ascii="仿宋_GB2312" w:eastAsia="仿宋_GB2312" w:cs="Times New Roman"/>
          <w:b w:val="0"/>
          <w:bCs w:val="0"/>
          <w:color w:val="000000"/>
          <w:kern w:val="2"/>
          <w:sz w:val="32"/>
          <w:szCs w:val="32"/>
          <w:lang w:val="en-US" w:eastAsia="zh-CN" w:bidi="ar-SA"/>
        </w:rPr>
        <w:t>无下属二级预算单位。</w:t>
      </w:r>
    </w:p>
    <w:bookmarkEnd w:id="14"/>
    <w:bookmarkEnd w:id="15"/>
    <w:p>
      <w:pPr>
        <w:pStyle w:val="3"/>
        <w:ind w:right="440"/>
        <w:jc w:val="center"/>
        <w:rPr>
          <w:rStyle w:val="31"/>
          <w:rFonts w:ascii="黑体" w:hAnsi="黑体" w:eastAsia="黑体"/>
          <w:b w:val="0"/>
          <w:bCs/>
          <w:color w:val="auto"/>
          <w:highlight w:val="none"/>
        </w:rPr>
      </w:pPr>
      <w:bookmarkStart w:id="16" w:name="_Toc15396602"/>
      <w:bookmarkStart w:id="17" w:name="_Toc15377204"/>
      <w:r>
        <w:rPr>
          <w:rFonts w:hint="eastAsia" w:ascii="黑体" w:hAnsi="黑体" w:eastAsia="黑体"/>
          <w:b w:val="0"/>
          <w:bCs/>
          <w:color w:val="auto"/>
          <w:highlight w:val="none"/>
        </w:rPr>
        <w:t xml:space="preserve">第二部分 </w:t>
      </w:r>
      <w:r>
        <w:rPr>
          <w:rFonts w:hint="eastAsia" w:ascii="黑体" w:hAnsi="黑体" w:eastAsia="黑体"/>
          <w:b w:val="0"/>
          <w:bCs/>
          <w:color w:val="auto"/>
          <w:highlight w:val="none"/>
          <w:lang w:val="en-US" w:eastAsia="zh-CN"/>
        </w:rPr>
        <w:t>2022年度</w:t>
      </w:r>
      <w:r>
        <w:rPr>
          <w:rStyle w:val="31"/>
          <w:rFonts w:hint="eastAsia" w:ascii="黑体" w:hAnsi="黑体" w:eastAsia="黑体"/>
          <w:b w:val="0"/>
          <w:bCs/>
          <w:color w:val="auto"/>
          <w:highlight w:val="none"/>
          <w:lang w:eastAsia="zh-CN"/>
        </w:rPr>
        <w:t>单位</w:t>
      </w:r>
      <w:r>
        <w:rPr>
          <w:rStyle w:val="31"/>
          <w:rFonts w:hint="eastAsia" w:ascii="黑体" w:hAnsi="黑体" w:eastAsia="黑体"/>
          <w:b w:val="0"/>
          <w:bCs/>
          <w:color w:val="auto"/>
          <w:highlight w:val="none"/>
        </w:rPr>
        <w:t>决算情况说明</w:t>
      </w:r>
      <w:bookmarkEnd w:id="16"/>
      <w:bookmarkEnd w:id="17"/>
    </w:p>
    <w:p>
      <w:pPr>
        <w:rPr>
          <w:color w:val="auto"/>
          <w:highlight w:val="none"/>
        </w:rPr>
      </w:pPr>
    </w:p>
    <w:p>
      <w:pPr>
        <w:pStyle w:val="30"/>
        <w:numPr>
          <w:ilvl w:val="0"/>
          <w:numId w:val="2"/>
        </w:numPr>
        <w:spacing w:line="600" w:lineRule="exact"/>
        <w:ind w:firstLineChars="0"/>
        <w:outlineLvl w:val="1"/>
        <w:rPr>
          <w:rStyle w:val="32"/>
          <w:rFonts w:ascii="黑体" w:hAnsi="黑体" w:eastAsia="黑体"/>
          <w:b w:val="0"/>
          <w:color w:val="auto"/>
          <w:highlight w:val="none"/>
        </w:rPr>
      </w:pPr>
      <w:bookmarkStart w:id="18" w:name="_Toc15396603"/>
      <w:bookmarkStart w:id="19" w:name="_Toc15377205"/>
      <w:r>
        <w:rPr>
          <w:rFonts w:hint="eastAsia" w:ascii="黑体" w:hAnsi="黑体" w:eastAsia="黑体"/>
          <w:color w:val="auto"/>
          <w:sz w:val="32"/>
          <w:szCs w:val="32"/>
          <w:highlight w:val="none"/>
        </w:rPr>
        <w:t>收</w:t>
      </w:r>
      <w:r>
        <w:rPr>
          <w:rStyle w:val="32"/>
          <w:rFonts w:hint="eastAsia" w:ascii="黑体" w:hAnsi="黑体" w:eastAsia="黑体"/>
          <w:b w:val="0"/>
          <w:color w:val="auto"/>
          <w:highlight w:val="none"/>
        </w:rPr>
        <w:t>入支出决算总体情况说明</w:t>
      </w:r>
      <w:bookmarkEnd w:id="18"/>
      <w:bookmarkEnd w:id="19"/>
    </w:p>
    <w:p>
      <w:pPr>
        <w:spacing w:line="600" w:lineRule="exact"/>
        <w:ind w:firstLine="640" w:firstLineChars="20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年度收、支总计</w:t>
      </w:r>
      <w:r>
        <w:rPr>
          <w:rFonts w:hint="eastAsia" w:ascii="仿宋_GB2312" w:eastAsia="仿宋_GB2312"/>
          <w:color w:val="000000"/>
          <w:sz w:val="32"/>
          <w:szCs w:val="32"/>
          <w:lang w:val="en-US" w:eastAsia="zh-CN"/>
        </w:rPr>
        <w:t>1193.39</w:t>
      </w:r>
      <w:r>
        <w:rPr>
          <w:rFonts w:hint="eastAsia" w:ascii="仿宋_GB2312" w:eastAsia="仿宋_GB2312"/>
          <w:color w:val="000000"/>
          <w:sz w:val="32"/>
          <w:szCs w:val="32"/>
        </w:rPr>
        <w:t>万元</w:t>
      </w:r>
      <w:r>
        <w:rPr>
          <w:rFonts w:hint="eastAsia" w:ascii="仿宋" w:hAnsi="仿宋" w:eastAsia="仿宋"/>
          <w:color w:val="auto"/>
          <w:sz w:val="32"/>
          <w:szCs w:val="32"/>
          <w:highlight w:val="none"/>
        </w:rPr>
        <w:t>。与20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年相比，收、支总计各</w:t>
      </w:r>
      <w:r>
        <w:rPr>
          <w:rFonts w:hint="eastAsia" w:ascii="仿宋" w:hAnsi="仿宋" w:eastAsia="仿宋"/>
          <w:color w:val="auto"/>
          <w:sz w:val="32"/>
          <w:szCs w:val="32"/>
          <w:highlight w:val="none"/>
          <w:lang w:eastAsia="zh-CN"/>
        </w:rPr>
        <w:t>增加</w:t>
      </w:r>
      <w:r>
        <w:rPr>
          <w:rFonts w:hint="eastAsia" w:ascii="仿宋_GB2312" w:hAnsi="仿宋" w:eastAsia="仿宋_GB2312" w:cs="仿宋"/>
          <w:color w:val="000000"/>
          <w:sz w:val="32"/>
          <w:szCs w:val="32"/>
          <w:lang w:val="en-US" w:eastAsia="zh-CN"/>
        </w:rPr>
        <w:t>615.65</w:t>
      </w:r>
      <w:r>
        <w:rPr>
          <w:rFonts w:hint="eastAsia" w:ascii="仿宋_GB2312" w:hAnsi="仿宋" w:eastAsia="仿宋_GB2312" w:cs="仿宋"/>
          <w:color w:val="000000"/>
          <w:sz w:val="32"/>
          <w:szCs w:val="32"/>
        </w:rPr>
        <w:t>万元</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eastAsia="zh-CN"/>
        </w:rPr>
        <w:t>增加</w:t>
      </w:r>
      <w:r>
        <w:rPr>
          <w:rFonts w:hint="eastAsia" w:ascii="仿宋_GB2312" w:hAnsi="仿宋" w:eastAsia="仿宋_GB2312" w:cs="仿宋"/>
          <w:color w:val="000000"/>
          <w:sz w:val="32"/>
          <w:szCs w:val="32"/>
          <w:lang w:val="en-US" w:eastAsia="zh-CN"/>
        </w:rPr>
        <w:t>106.56%</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eastAsia="zh-CN"/>
        </w:rPr>
        <w:t>雪亮工程建设及运维费用纳入预算</w:t>
      </w:r>
      <w:r>
        <w:rPr>
          <w:rFonts w:hint="eastAsia" w:ascii="仿宋" w:hAnsi="仿宋" w:eastAsia="仿宋"/>
          <w:color w:val="auto"/>
          <w:sz w:val="32"/>
          <w:szCs w:val="32"/>
          <w:highlight w:val="none"/>
          <w:lang w:val="en-US" w:eastAsia="zh-CN"/>
        </w:rPr>
        <w:t>。</w:t>
      </w:r>
    </w:p>
    <w:p>
      <w:pPr>
        <w:spacing w:line="600" w:lineRule="exact"/>
        <w:jc w:val="left"/>
        <w:rPr>
          <w:rFonts w:hint="eastAsia" w:ascii="仿宋_GB2312" w:eastAsia="仿宋_GB2312"/>
          <w:color w:val="auto"/>
          <w:sz w:val="32"/>
          <w:szCs w:val="32"/>
          <w:highlight w:val="none"/>
          <w:lang w:eastAsia="zh-CN"/>
        </w:rPr>
      </w:pPr>
    </w:p>
    <w:p>
      <w:pPr>
        <w:pStyle w:val="6"/>
        <w:jc w:val="center"/>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eastAsia="zh-CN"/>
        </w:rPr>
        <w:drawing>
          <wp:inline distT="0" distB="0" distL="114300" distR="114300">
            <wp:extent cx="5269865" cy="3004185"/>
            <wp:effectExtent l="0" t="0" r="6985" b="5715"/>
            <wp:docPr id="4" name="图片 4" descr="截图录屏_选择区域_202309251629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截图录屏_选择区域_20230925162948"/>
                    <pic:cNvPicPr>
                      <a:picLocks noChangeAspect="1"/>
                    </pic:cNvPicPr>
                  </pic:nvPicPr>
                  <pic:blipFill>
                    <a:blip r:embed="rId8"/>
                    <a:stretch>
                      <a:fillRect/>
                    </a:stretch>
                  </pic:blipFill>
                  <pic:spPr>
                    <a:xfrm>
                      <a:off x="0" y="0"/>
                      <a:ext cx="5269865" cy="3004185"/>
                    </a:xfrm>
                    <a:prstGeom prst="rect">
                      <a:avLst/>
                    </a:prstGeom>
                  </pic:spPr>
                </pic:pic>
              </a:graphicData>
            </a:graphic>
          </wp:inline>
        </w:drawing>
      </w:r>
    </w:p>
    <w:p>
      <w:pPr>
        <w:pStyle w:val="30"/>
        <w:numPr>
          <w:ilvl w:val="0"/>
          <w:numId w:val="2"/>
        </w:numPr>
        <w:spacing w:line="600" w:lineRule="exact"/>
        <w:ind w:firstLineChars="0"/>
        <w:outlineLvl w:val="1"/>
        <w:rPr>
          <w:rStyle w:val="32"/>
          <w:rFonts w:ascii="黑体" w:hAnsi="黑体" w:eastAsia="黑体"/>
          <w:b w:val="0"/>
          <w:color w:val="auto"/>
          <w:highlight w:val="none"/>
        </w:rPr>
      </w:pPr>
      <w:bookmarkStart w:id="20" w:name="_Toc15396604"/>
      <w:bookmarkStart w:id="21" w:name="_Toc15377206"/>
      <w:r>
        <w:rPr>
          <w:rFonts w:hint="eastAsia" w:ascii="黑体" w:hAnsi="黑体" w:eastAsia="黑体"/>
          <w:color w:val="auto"/>
          <w:sz w:val="32"/>
          <w:szCs w:val="32"/>
          <w:highlight w:val="none"/>
        </w:rPr>
        <w:t>收</w:t>
      </w:r>
      <w:r>
        <w:rPr>
          <w:rStyle w:val="32"/>
          <w:rFonts w:hint="eastAsia" w:ascii="黑体" w:hAnsi="黑体" w:eastAsia="黑体"/>
          <w:b w:val="0"/>
          <w:color w:val="auto"/>
          <w:highlight w:val="none"/>
        </w:rPr>
        <w:t>入决算情况说明</w:t>
      </w:r>
      <w:bookmarkEnd w:id="20"/>
      <w:bookmarkEnd w:id="21"/>
    </w:p>
    <w:p>
      <w:pPr>
        <w:spacing w:line="600" w:lineRule="exact"/>
        <w:ind w:firstLine="640" w:firstLineChars="200"/>
        <w:outlineLvl w:val="1"/>
        <w:rPr>
          <w:rFonts w:ascii="仿宋_GB2312" w:eastAsia="仿宋_GB2312"/>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年本年收入合计</w:t>
      </w:r>
      <w:r>
        <w:rPr>
          <w:rFonts w:hint="eastAsia" w:ascii="仿宋_GB2312" w:eastAsia="仿宋_GB2312"/>
          <w:color w:val="000000"/>
          <w:sz w:val="32"/>
          <w:szCs w:val="32"/>
          <w:lang w:val="en-US" w:eastAsia="zh-CN"/>
        </w:rPr>
        <w:t>1193.39</w:t>
      </w:r>
      <w:r>
        <w:rPr>
          <w:rFonts w:hint="eastAsia" w:ascii="仿宋_GB2312" w:eastAsia="仿宋_GB2312"/>
          <w:color w:val="000000"/>
          <w:sz w:val="32"/>
          <w:szCs w:val="32"/>
        </w:rPr>
        <w:t>万元</w:t>
      </w:r>
      <w:r>
        <w:rPr>
          <w:rFonts w:hint="eastAsia" w:ascii="仿宋" w:hAnsi="仿宋" w:eastAsia="仿宋"/>
          <w:color w:val="auto"/>
          <w:sz w:val="32"/>
          <w:szCs w:val="32"/>
          <w:highlight w:val="none"/>
        </w:rPr>
        <w:t>，其中：一般公共预算财政拨款收入</w:t>
      </w:r>
      <w:r>
        <w:rPr>
          <w:rFonts w:hint="eastAsia" w:ascii="仿宋_GB2312" w:eastAsia="仿宋_GB2312"/>
          <w:color w:val="000000"/>
          <w:sz w:val="32"/>
          <w:szCs w:val="32"/>
          <w:lang w:val="en-US" w:eastAsia="zh-CN"/>
        </w:rPr>
        <w:t>1193.39</w:t>
      </w:r>
      <w:r>
        <w:rPr>
          <w:rFonts w:hint="eastAsia" w:ascii="仿宋_GB2312" w:eastAsia="仿宋_GB2312"/>
          <w:color w:val="000000"/>
          <w:sz w:val="32"/>
          <w:szCs w:val="32"/>
        </w:rPr>
        <w:t>万元</w:t>
      </w:r>
      <w:r>
        <w:rPr>
          <w:rFonts w:hint="eastAsia" w:ascii="仿宋" w:hAnsi="仿宋" w:eastAsia="仿宋"/>
          <w:color w:val="auto"/>
          <w:sz w:val="32"/>
          <w:szCs w:val="32"/>
          <w:highlight w:val="none"/>
        </w:rPr>
        <w:t>，占</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pPr>
        <w:pStyle w:val="6"/>
        <w:jc w:val="center"/>
        <w:rPr>
          <w:rFonts w:hint="eastAsia" w:ascii="仿宋" w:hAnsi="仿宋" w:eastAsia="仿宋"/>
          <w:color w:val="auto"/>
          <w:sz w:val="32"/>
          <w:szCs w:val="32"/>
          <w:highlight w:val="none"/>
        </w:rPr>
      </w:pPr>
      <w:r>
        <w:rPr>
          <w:rFonts w:hint="eastAsia" w:ascii="仿宋" w:hAnsi="仿宋" w:eastAsia="仿宋"/>
          <w:color w:val="auto"/>
          <w:sz w:val="32"/>
          <w:szCs w:val="32"/>
          <w:highlight w:val="none"/>
        </w:rPr>
        <w:drawing>
          <wp:inline distT="0" distB="0" distL="114300" distR="114300">
            <wp:extent cx="5068570" cy="2920365"/>
            <wp:effectExtent l="0" t="0" r="17780" b="13335"/>
            <wp:docPr id="13" name="图片 13" descr="截图录屏_选择区域_202309251617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截图录屏_选择区域_20230925161752"/>
                    <pic:cNvPicPr>
                      <a:picLocks noChangeAspect="1"/>
                    </pic:cNvPicPr>
                  </pic:nvPicPr>
                  <pic:blipFill>
                    <a:blip r:embed="rId9"/>
                    <a:stretch>
                      <a:fillRect/>
                    </a:stretch>
                  </pic:blipFill>
                  <pic:spPr>
                    <a:xfrm>
                      <a:off x="0" y="0"/>
                      <a:ext cx="5068570" cy="2920365"/>
                    </a:xfrm>
                    <a:prstGeom prst="rect">
                      <a:avLst/>
                    </a:prstGeom>
                  </pic:spPr>
                </pic:pic>
              </a:graphicData>
            </a:graphic>
          </wp:inline>
        </w:drawing>
      </w:r>
    </w:p>
    <w:p>
      <w:pPr>
        <w:pStyle w:val="30"/>
        <w:numPr>
          <w:ilvl w:val="0"/>
          <w:numId w:val="0"/>
        </w:numPr>
        <w:spacing w:line="600" w:lineRule="exact"/>
        <w:ind w:firstLine="640" w:firstLineChars="200"/>
        <w:outlineLvl w:val="1"/>
        <w:rPr>
          <w:rStyle w:val="32"/>
          <w:rFonts w:ascii="黑体" w:hAnsi="黑体" w:eastAsia="黑体"/>
          <w:b w:val="0"/>
          <w:color w:val="auto"/>
          <w:highlight w:val="none"/>
        </w:rPr>
      </w:pPr>
      <w:bookmarkStart w:id="22" w:name="_Toc15377207"/>
      <w:bookmarkStart w:id="23" w:name="_Toc15396605"/>
      <w:r>
        <w:rPr>
          <w:rStyle w:val="32"/>
          <w:rFonts w:hint="eastAsia" w:ascii="黑体" w:hAnsi="黑体" w:eastAsia="黑体"/>
          <w:b w:val="0"/>
          <w:color w:val="auto"/>
          <w:highlight w:val="none"/>
          <w:lang w:eastAsia="zh-CN"/>
        </w:rPr>
        <w:t>三、</w:t>
      </w:r>
      <w:r>
        <w:rPr>
          <w:rStyle w:val="32"/>
          <w:rFonts w:hint="eastAsia" w:ascii="黑体" w:hAnsi="黑体" w:eastAsia="黑体"/>
          <w:b w:val="0"/>
          <w:color w:val="auto"/>
          <w:highlight w:val="none"/>
        </w:rPr>
        <w:t>支出决算情况说明</w:t>
      </w:r>
      <w:bookmarkEnd w:id="22"/>
      <w:bookmarkEnd w:id="23"/>
    </w:p>
    <w:p>
      <w:pPr>
        <w:spacing w:line="600" w:lineRule="exact"/>
        <w:ind w:firstLine="640" w:firstLineChars="200"/>
        <w:outlineLvl w:val="1"/>
        <w:rPr>
          <w:rFonts w:ascii="仿宋_GB2312" w:eastAsia="仿宋_GB2312"/>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年本年支出合计</w:t>
      </w:r>
      <w:r>
        <w:rPr>
          <w:rFonts w:hint="eastAsia" w:ascii="仿宋_GB2312" w:eastAsia="仿宋_GB2312"/>
          <w:color w:val="000000"/>
          <w:sz w:val="32"/>
          <w:szCs w:val="32"/>
          <w:lang w:val="en-US" w:eastAsia="zh-CN"/>
        </w:rPr>
        <w:t>1193.39</w:t>
      </w:r>
      <w:r>
        <w:rPr>
          <w:rFonts w:hint="eastAsia" w:ascii="仿宋_GB2312" w:eastAsia="仿宋_GB2312"/>
          <w:color w:val="000000"/>
          <w:sz w:val="32"/>
          <w:szCs w:val="32"/>
        </w:rPr>
        <w:t>万元</w:t>
      </w:r>
      <w:r>
        <w:rPr>
          <w:rFonts w:hint="eastAsia" w:ascii="仿宋" w:hAnsi="仿宋" w:eastAsia="仿宋"/>
          <w:color w:val="auto"/>
          <w:sz w:val="32"/>
          <w:szCs w:val="32"/>
          <w:highlight w:val="none"/>
        </w:rPr>
        <w:t>，其中：基本支出</w:t>
      </w:r>
      <w:r>
        <w:rPr>
          <w:rFonts w:hint="eastAsia" w:ascii="仿宋_GB2312" w:eastAsia="仿宋_GB2312"/>
          <w:color w:val="000000"/>
          <w:sz w:val="32"/>
          <w:szCs w:val="32"/>
          <w:lang w:val="en-US" w:eastAsia="zh-CN"/>
        </w:rPr>
        <w:t>613.39</w:t>
      </w:r>
      <w:r>
        <w:rPr>
          <w:rFonts w:hint="eastAsia" w:ascii="仿宋_GB2312" w:eastAsia="仿宋_GB2312"/>
          <w:color w:val="000000"/>
          <w:sz w:val="32"/>
          <w:szCs w:val="32"/>
        </w:rPr>
        <w:t>万元</w:t>
      </w:r>
      <w:r>
        <w:rPr>
          <w:rFonts w:hint="eastAsia" w:ascii="仿宋" w:hAnsi="仿宋" w:eastAsia="仿宋"/>
          <w:color w:val="auto"/>
          <w:sz w:val="32"/>
          <w:szCs w:val="32"/>
          <w:highlight w:val="none"/>
        </w:rPr>
        <w:t>，占</w:t>
      </w:r>
      <w:r>
        <w:rPr>
          <w:rFonts w:hint="eastAsia" w:ascii="仿宋" w:hAnsi="仿宋" w:eastAsia="仿宋"/>
          <w:color w:val="auto"/>
          <w:sz w:val="32"/>
          <w:szCs w:val="32"/>
          <w:highlight w:val="none"/>
          <w:lang w:val="en-US" w:eastAsia="zh-CN"/>
        </w:rPr>
        <w:t>51.40</w:t>
      </w:r>
      <w:r>
        <w:rPr>
          <w:rFonts w:ascii="仿宋" w:hAnsi="仿宋" w:eastAsia="仿宋"/>
          <w:color w:val="auto"/>
          <w:sz w:val="32"/>
          <w:szCs w:val="32"/>
          <w:highlight w:val="none"/>
        </w:rPr>
        <w:t>%</w:t>
      </w:r>
      <w:r>
        <w:rPr>
          <w:rFonts w:hint="eastAsia" w:ascii="仿宋" w:hAnsi="仿宋" w:eastAsia="仿宋"/>
          <w:color w:val="auto"/>
          <w:sz w:val="32"/>
          <w:szCs w:val="32"/>
          <w:highlight w:val="none"/>
          <w:lang w:val="en-US" w:eastAsia="zh-CN"/>
        </w:rPr>
        <w:t>;项目支出580万元，</w:t>
      </w:r>
      <w:r>
        <w:rPr>
          <w:rFonts w:hint="eastAsia" w:ascii="仿宋" w:hAnsi="仿宋" w:eastAsia="仿宋"/>
          <w:color w:val="auto"/>
          <w:sz w:val="32"/>
          <w:szCs w:val="32"/>
          <w:highlight w:val="none"/>
        </w:rPr>
        <w:t>占</w:t>
      </w:r>
      <w:r>
        <w:rPr>
          <w:rFonts w:hint="eastAsia" w:ascii="仿宋" w:hAnsi="仿宋" w:eastAsia="仿宋"/>
          <w:color w:val="auto"/>
          <w:sz w:val="32"/>
          <w:szCs w:val="32"/>
          <w:highlight w:val="none"/>
          <w:lang w:val="en-US" w:eastAsia="zh-CN"/>
        </w:rPr>
        <w:t>48.60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pPr>
        <w:pStyle w:val="6"/>
        <w:jc w:val="center"/>
        <w:rPr>
          <w:rFonts w:ascii="仿宋_GB2312" w:eastAsia="仿宋_GB2312"/>
          <w:color w:val="auto"/>
          <w:sz w:val="32"/>
          <w:szCs w:val="32"/>
          <w:highlight w:val="none"/>
        </w:rPr>
      </w:pPr>
      <w:r>
        <w:rPr>
          <w:rFonts w:ascii="仿宋_GB2312" w:eastAsia="仿宋_GB2312"/>
          <w:color w:val="auto"/>
          <w:sz w:val="32"/>
          <w:szCs w:val="32"/>
          <w:highlight w:val="none"/>
        </w:rPr>
        <w:drawing>
          <wp:inline distT="0" distB="0" distL="114300" distR="114300">
            <wp:extent cx="4733925" cy="2783840"/>
            <wp:effectExtent l="0" t="0" r="9525" b="16510"/>
            <wp:docPr id="8" name="图片 8" descr="截图录屏_选择区域_202309251635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截图录屏_选择区域_20230925163542"/>
                    <pic:cNvPicPr>
                      <a:picLocks noChangeAspect="1"/>
                    </pic:cNvPicPr>
                  </pic:nvPicPr>
                  <pic:blipFill>
                    <a:blip r:embed="rId10"/>
                    <a:stretch>
                      <a:fillRect/>
                    </a:stretch>
                  </pic:blipFill>
                  <pic:spPr>
                    <a:xfrm>
                      <a:off x="0" y="0"/>
                      <a:ext cx="4733925" cy="2783840"/>
                    </a:xfrm>
                    <a:prstGeom prst="rect">
                      <a:avLst/>
                    </a:prstGeom>
                  </pic:spPr>
                </pic:pic>
              </a:graphicData>
            </a:graphic>
          </wp:inline>
        </w:drawing>
      </w:r>
    </w:p>
    <w:p>
      <w:pPr>
        <w:spacing w:line="600" w:lineRule="exact"/>
        <w:ind w:firstLine="640" w:firstLineChars="200"/>
        <w:outlineLvl w:val="1"/>
        <w:rPr>
          <w:rStyle w:val="32"/>
          <w:rFonts w:ascii="黑体" w:hAnsi="黑体" w:eastAsia="黑体"/>
          <w:b w:val="0"/>
          <w:color w:val="auto"/>
          <w:highlight w:val="none"/>
        </w:rPr>
      </w:pPr>
      <w:bookmarkStart w:id="24" w:name="_Toc15396606"/>
      <w:bookmarkStart w:id="25" w:name="_Toc15377208"/>
      <w:r>
        <w:rPr>
          <w:rFonts w:hint="eastAsia" w:ascii="黑体" w:hAnsi="黑体" w:eastAsia="黑体"/>
          <w:color w:val="auto"/>
          <w:sz w:val="32"/>
          <w:szCs w:val="32"/>
          <w:highlight w:val="none"/>
        </w:rPr>
        <w:t>四、财</w:t>
      </w:r>
      <w:r>
        <w:rPr>
          <w:rStyle w:val="32"/>
          <w:rFonts w:hint="eastAsia" w:ascii="黑体" w:hAnsi="黑体" w:eastAsia="黑体"/>
          <w:b w:val="0"/>
          <w:color w:val="auto"/>
          <w:highlight w:val="none"/>
        </w:rPr>
        <w:t>政拨款收入支出决算总体情况说明</w:t>
      </w:r>
      <w:bookmarkEnd w:id="24"/>
      <w:bookmarkEnd w:id="25"/>
    </w:p>
    <w:p>
      <w:pPr>
        <w:spacing w:line="600" w:lineRule="exact"/>
        <w:ind w:firstLine="640" w:firstLineChars="200"/>
        <w:rPr>
          <w:rFonts w:ascii="仿宋" w:hAnsi="仿宋" w:eastAsia="仿宋"/>
          <w:b/>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年财政拨款收、支总计</w:t>
      </w:r>
      <w:r>
        <w:rPr>
          <w:rFonts w:hint="eastAsia" w:ascii="仿宋_GB2312" w:eastAsia="仿宋_GB2312"/>
          <w:color w:val="000000"/>
          <w:sz w:val="32"/>
          <w:szCs w:val="32"/>
          <w:lang w:val="en-US" w:eastAsia="zh-CN"/>
        </w:rPr>
        <w:t>1193.39</w:t>
      </w:r>
      <w:r>
        <w:rPr>
          <w:rFonts w:hint="eastAsia" w:ascii="仿宋_GB2312" w:eastAsia="仿宋_GB2312"/>
          <w:color w:val="000000"/>
          <w:sz w:val="32"/>
          <w:szCs w:val="32"/>
        </w:rPr>
        <w:t>万元</w:t>
      </w:r>
      <w:r>
        <w:rPr>
          <w:rFonts w:hint="eastAsia" w:ascii="仿宋" w:hAnsi="仿宋" w:eastAsia="仿宋"/>
          <w:color w:val="auto"/>
          <w:sz w:val="32"/>
          <w:szCs w:val="32"/>
          <w:highlight w:val="none"/>
        </w:rPr>
        <w:t>。与</w:t>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年相比，财政拨款收、支总计各</w:t>
      </w:r>
      <w:r>
        <w:rPr>
          <w:rFonts w:hint="eastAsia" w:ascii="仿宋" w:hAnsi="仿宋" w:eastAsia="仿宋"/>
          <w:color w:val="auto"/>
          <w:sz w:val="32"/>
          <w:szCs w:val="32"/>
          <w:highlight w:val="none"/>
          <w:lang w:eastAsia="zh-CN"/>
        </w:rPr>
        <w:t>增加</w:t>
      </w:r>
      <w:r>
        <w:rPr>
          <w:rFonts w:hint="eastAsia" w:ascii="仿宋_GB2312" w:hAnsi="仿宋" w:eastAsia="仿宋_GB2312" w:cs="仿宋"/>
          <w:color w:val="000000"/>
          <w:sz w:val="32"/>
          <w:szCs w:val="32"/>
          <w:lang w:val="en-US" w:eastAsia="zh-CN"/>
        </w:rPr>
        <w:t>615.65</w:t>
      </w:r>
      <w:r>
        <w:rPr>
          <w:rFonts w:hint="eastAsia" w:ascii="仿宋_GB2312" w:hAnsi="仿宋" w:eastAsia="仿宋_GB2312" w:cs="仿宋"/>
          <w:color w:val="000000"/>
          <w:sz w:val="32"/>
          <w:szCs w:val="32"/>
        </w:rPr>
        <w:t>万元</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eastAsia="zh-CN"/>
        </w:rPr>
        <w:t>增加</w:t>
      </w:r>
      <w:r>
        <w:rPr>
          <w:rFonts w:hint="eastAsia" w:ascii="仿宋_GB2312" w:hAnsi="仿宋" w:eastAsia="仿宋_GB2312" w:cs="仿宋"/>
          <w:color w:val="000000"/>
          <w:sz w:val="32"/>
          <w:szCs w:val="32"/>
          <w:lang w:val="en-US" w:eastAsia="zh-CN"/>
        </w:rPr>
        <w:t>106.56%</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eastAsia="zh-CN"/>
        </w:rPr>
        <w:t>雪亮工程建设及运维费用纳入预算</w:t>
      </w:r>
      <w:r>
        <w:rPr>
          <w:rFonts w:hint="eastAsia" w:ascii="仿宋_GB2312" w:hAnsi="仿宋" w:eastAsia="仿宋_GB2312" w:cs="仿宋"/>
          <w:color w:val="auto"/>
          <w:sz w:val="32"/>
          <w:szCs w:val="32"/>
          <w:lang w:val="en-US" w:eastAsia="zh-CN"/>
        </w:rPr>
        <w:t>。</w:t>
      </w:r>
    </w:p>
    <w:p>
      <w:pPr>
        <w:pStyle w:val="6"/>
        <w:jc w:val="center"/>
        <w:rPr>
          <w:rFonts w:hint="eastAsia" w:ascii="仿宋" w:hAnsi="仿宋" w:eastAsia="仿宋"/>
          <w:b/>
          <w:color w:val="auto"/>
          <w:sz w:val="32"/>
          <w:szCs w:val="32"/>
          <w:highlight w:val="none"/>
          <w:lang w:eastAsia="zh-CN"/>
        </w:rPr>
      </w:pPr>
      <w:r>
        <w:rPr>
          <w:rFonts w:hint="eastAsia" w:ascii="仿宋" w:hAnsi="仿宋" w:eastAsia="仿宋"/>
          <w:b/>
          <w:color w:val="auto"/>
          <w:sz w:val="32"/>
          <w:szCs w:val="32"/>
          <w:highlight w:val="none"/>
          <w:lang w:eastAsia="zh-CN"/>
        </w:rPr>
        <w:drawing>
          <wp:inline distT="0" distB="0" distL="114300" distR="114300">
            <wp:extent cx="5090160" cy="2901950"/>
            <wp:effectExtent l="0" t="0" r="15240" b="12700"/>
            <wp:docPr id="5" name="图片 5" descr="截图录屏_选择区域_202309251629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截图录屏_选择区域_20230925162948"/>
                    <pic:cNvPicPr>
                      <a:picLocks noChangeAspect="1"/>
                    </pic:cNvPicPr>
                  </pic:nvPicPr>
                  <pic:blipFill>
                    <a:blip r:embed="rId8"/>
                    <a:stretch>
                      <a:fillRect/>
                    </a:stretch>
                  </pic:blipFill>
                  <pic:spPr>
                    <a:xfrm>
                      <a:off x="0" y="0"/>
                      <a:ext cx="5090160" cy="2901950"/>
                    </a:xfrm>
                    <a:prstGeom prst="rect">
                      <a:avLst/>
                    </a:prstGeom>
                  </pic:spPr>
                </pic:pic>
              </a:graphicData>
            </a:graphic>
          </wp:inline>
        </w:drawing>
      </w:r>
    </w:p>
    <w:p>
      <w:pPr>
        <w:spacing w:line="600" w:lineRule="exact"/>
        <w:ind w:firstLine="640" w:firstLineChars="200"/>
        <w:outlineLvl w:val="1"/>
        <w:rPr>
          <w:rStyle w:val="32"/>
          <w:rFonts w:ascii="黑体" w:hAnsi="黑体" w:eastAsia="黑体"/>
          <w:b w:val="0"/>
          <w:color w:val="auto"/>
          <w:highlight w:val="none"/>
        </w:rPr>
      </w:pPr>
      <w:bookmarkStart w:id="26" w:name="_Toc15377209"/>
      <w:bookmarkStart w:id="27" w:name="_Toc15396607"/>
      <w:r>
        <w:rPr>
          <w:rFonts w:hint="eastAsia" w:ascii="黑体" w:hAnsi="黑体" w:eastAsia="黑体"/>
          <w:color w:val="auto"/>
          <w:sz w:val="32"/>
          <w:szCs w:val="32"/>
          <w:highlight w:val="none"/>
        </w:rPr>
        <w:t>五、</w:t>
      </w:r>
      <w:r>
        <w:rPr>
          <w:rFonts w:hint="eastAsia" w:ascii="黑体" w:hAnsi="黑体" w:eastAsia="黑体"/>
          <w:b/>
          <w:color w:val="auto"/>
          <w:sz w:val="32"/>
          <w:szCs w:val="32"/>
          <w:highlight w:val="none"/>
        </w:rPr>
        <w:t>一</w:t>
      </w:r>
      <w:r>
        <w:rPr>
          <w:rStyle w:val="32"/>
          <w:rFonts w:hint="eastAsia" w:ascii="黑体" w:hAnsi="黑体" w:eastAsia="黑体"/>
          <w:b w:val="0"/>
          <w:color w:val="auto"/>
          <w:highlight w:val="none"/>
        </w:rPr>
        <w:t>般公共预算财政拨款支出决算情况说明</w:t>
      </w:r>
      <w:bookmarkEnd w:id="26"/>
      <w:bookmarkEnd w:id="27"/>
    </w:p>
    <w:p>
      <w:pPr>
        <w:spacing w:line="600" w:lineRule="exact"/>
        <w:ind w:firstLine="643" w:firstLineChars="200"/>
        <w:outlineLvl w:val="2"/>
        <w:rPr>
          <w:rFonts w:ascii="仿宋" w:hAnsi="仿宋" w:eastAsia="仿宋"/>
          <w:b/>
          <w:color w:val="auto"/>
          <w:sz w:val="32"/>
          <w:szCs w:val="32"/>
          <w:highlight w:val="none"/>
        </w:rPr>
      </w:pPr>
      <w:bookmarkStart w:id="28" w:name="_Toc15377210"/>
      <w:r>
        <w:rPr>
          <w:rFonts w:hint="eastAsia" w:ascii="仿宋" w:hAnsi="仿宋" w:eastAsia="仿宋"/>
          <w:b/>
          <w:color w:val="auto"/>
          <w:sz w:val="32"/>
          <w:szCs w:val="32"/>
          <w:highlight w:val="none"/>
        </w:rPr>
        <w:t>（一）一般公共预算财政拨款支出决算总体情况</w:t>
      </w:r>
      <w:bookmarkEnd w:id="28"/>
    </w:p>
    <w:p>
      <w:pPr>
        <w:spacing w:line="600" w:lineRule="exact"/>
        <w:ind w:firstLine="640" w:firstLineChars="200"/>
        <w:rPr>
          <w:rFonts w:hint="eastAsia" w:ascii="仿宋" w:hAnsi="仿宋" w:eastAsia="仿宋"/>
          <w:color w:val="auto"/>
          <w:sz w:val="32"/>
          <w:szCs w:val="32"/>
          <w:highlight w:val="none"/>
          <w:lang w:val="en-US" w:eastAsia="zh-CN"/>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年一般公共预算财政拨款支出</w:t>
      </w:r>
      <w:r>
        <w:rPr>
          <w:rFonts w:hint="eastAsia" w:ascii="仿宋" w:hAnsi="仿宋" w:eastAsia="仿宋"/>
          <w:color w:val="auto"/>
          <w:sz w:val="32"/>
          <w:szCs w:val="32"/>
          <w:highlight w:val="none"/>
          <w:lang w:val="en-US" w:eastAsia="zh-CN"/>
        </w:rPr>
        <w:t>1193.39</w:t>
      </w:r>
      <w:r>
        <w:rPr>
          <w:rFonts w:hint="eastAsia" w:ascii="仿宋_GB2312" w:eastAsia="仿宋_GB2312"/>
          <w:color w:val="000000"/>
          <w:sz w:val="32"/>
          <w:szCs w:val="32"/>
        </w:rPr>
        <w:t>万元</w:t>
      </w:r>
      <w:r>
        <w:rPr>
          <w:rFonts w:hint="eastAsia" w:ascii="仿宋" w:hAnsi="仿宋" w:eastAsia="仿宋"/>
          <w:color w:val="auto"/>
          <w:sz w:val="32"/>
          <w:szCs w:val="32"/>
          <w:highlight w:val="none"/>
        </w:rPr>
        <w:t>，占本年支出合计的</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。与</w:t>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年相比，一般公共预算财政拨款</w:t>
      </w:r>
      <w:r>
        <w:rPr>
          <w:rFonts w:hint="eastAsia" w:ascii="仿宋" w:hAnsi="仿宋" w:eastAsia="仿宋"/>
          <w:color w:val="auto"/>
          <w:sz w:val="32"/>
          <w:szCs w:val="32"/>
          <w:highlight w:val="none"/>
          <w:lang w:eastAsia="zh-CN"/>
        </w:rPr>
        <w:t>支出增加</w:t>
      </w:r>
      <w:r>
        <w:rPr>
          <w:rFonts w:hint="eastAsia" w:ascii="仿宋" w:hAnsi="仿宋" w:eastAsia="仿宋"/>
          <w:color w:val="auto"/>
          <w:sz w:val="32"/>
          <w:szCs w:val="32"/>
          <w:highlight w:val="none"/>
          <w:lang w:val="en-US" w:eastAsia="zh-CN"/>
        </w:rPr>
        <w:t>615.65</w:t>
      </w:r>
      <w:r>
        <w:rPr>
          <w:rFonts w:hint="eastAsia" w:ascii="仿宋" w:hAnsi="仿宋" w:eastAsia="仿宋"/>
          <w:color w:val="auto"/>
          <w:sz w:val="32"/>
          <w:szCs w:val="32"/>
          <w:highlight w:val="none"/>
        </w:rPr>
        <w:t>万元</w:t>
      </w:r>
      <w:r>
        <w:rPr>
          <w:rFonts w:hint="eastAsia" w:ascii="仿宋" w:hAnsi="仿宋" w:eastAsia="仿宋"/>
          <w:color w:val="auto"/>
          <w:sz w:val="32"/>
          <w:szCs w:val="32"/>
          <w:highlight w:val="none"/>
          <w:lang w:eastAsia="zh-CN"/>
        </w:rPr>
        <w:t>，增加</w:t>
      </w:r>
      <w:r>
        <w:rPr>
          <w:rFonts w:hint="eastAsia" w:ascii="仿宋" w:hAnsi="仿宋" w:eastAsia="仿宋"/>
          <w:color w:val="auto"/>
          <w:sz w:val="32"/>
          <w:szCs w:val="32"/>
          <w:highlight w:val="none"/>
          <w:lang w:val="en-US" w:eastAsia="zh-CN"/>
        </w:rPr>
        <w:t>106.56</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eastAsia="zh-CN"/>
        </w:rPr>
        <w:t>雪亮工程建设及运维费用纳入预算</w:t>
      </w:r>
      <w:r>
        <w:rPr>
          <w:rFonts w:hint="eastAsia" w:ascii="仿宋" w:hAnsi="仿宋" w:eastAsia="仿宋"/>
          <w:color w:val="auto"/>
          <w:sz w:val="32"/>
          <w:szCs w:val="32"/>
          <w:highlight w:val="none"/>
          <w:lang w:val="en-US" w:eastAsia="zh-CN"/>
        </w:rPr>
        <w:t>。</w:t>
      </w:r>
    </w:p>
    <w:p>
      <w:pPr>
        <w:pStyle w:val="6"/>
        <w:jc w:val="center"/>
        <w:rPr>
          <w:rFonts w:hint="eastAsia" w:ascii="仿宋_GB2312" w:eastAsia="仿宋_GB2312"/>
          <w:color w:val="000000"/>
          <w:sz w:val="32"/>
          <w:szCs w:val="32"/>
          <w:lang w:val="en-US" w:eastAsia="zh-CN"/>
        </w:rPr>
      </w:pPr>
      <w:r>
        <w:rPr>
          <w:rFonts w:hint="eastAsia" w:ascii="仿宋" w:hAnsi="仿宋" w:eastAsia="仿宋"/>
          <w:b/>
          <w:color w:val="auto"/>
          <w:sz w:val="32"/>
          <w:szCs w:val="32"/>
          <w:highlight w:val="none"/>
          <w:lang w:eastAsia="zh-CN"/>
        </w:rPr>
        <w:drawing>
          <wp:inline distT="0" distB="0" distL="114300" distR="114300">
            <wp:extent cx="5090160" cy="2901950"/>
            <wp:effectExtent l="0" t="0" r="15240" b="12700"/>
            <wp:docPr id="6" name="图片 6" descr="截图录屏_选择区域_202309251629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截图录屏_选择区域_20230925162948"/>
                    <pic:cNvPicPr>
                      <a:picLocks noChangeAspect="1"/>
                    </pic:cNvPicPr>
                  </pic:nvPicPr>
                  <pic:blipFill>
                    <a:blip r:embed="rId8"/>
                    <a:stretch>
                      <a:fillRect/>
                    </a:stretch>
                  </pic:blipFill>
                  <pic:spPr>
                    <a:xfrm>
                      <a:off x="0" y="0"/>
                      <a:ext cx="5090160" cy="2901950"/>
                    </a:xfrm>
                    <a:prstGeom prst="rect">
                      <a:avLst/>
                    </a:prstGeom>
                  </pic:spPr>
                </pic:pic>
              </a:graphicData>
            </a:graphic>
          </wp:inline>
        </w:drawing>
      </w:r>
    </w:p>
    <w:p>
      <w:pPr>
        <w:spacing w:line="600" w:lineRule="exact"/>
        <w:ind w:firstLine="643" w:firstLineChars="200"/>
        <w:outlineLvl w:val="2"/>
        <w:rPr>
          <w:rFonts w:ascii="仿宋" w:hAnsi="仿宋" w:eastAsia="仿宋"/>
          <w:b/>
          <w:color w:val="auto"/>
          <w:sz w:val="32"/>
          <w:szCs w:val="32"/>
          <w:highlight w:val="none"/>
        </w:rPr>
      </w:pPr>
      <w:bookmarkStart w:id="29" w:name="_Toc15377211"/>
      <w:r>
        <w:rPr>
          <w:rFonts w:hint="eastAsia" w:ascii="仿宋" w:hAnsi="仿宋" w:eastAsia="仿宋"/>
          <w:b/>
          <w:color w:val="auto"/>
          <w:sz w:val="32"/>
          <w:szCs w:val="32"/>
          <w:highlight w:val="none"/>
        </w:rPr>
        <w:t>（二）一般公共预算财政拨款支出决算结构情况</w:t>
      </w:r>
      <w:bookmarkEnd w:id="29"/>
    </w:p>
    <w:p>
      <w:pPr>
        <w:spacing w:line="600" w:lineRule="exact"/>
        <w:ind w:firstLine="640"/>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年一般公共预算财政拨款支出</w:t>
      </w:r>
      <w:r>
        <w:rPr>
          <w:rFonts w:hint="eastAsia" w:ascii="仿宋_GB2312" w:eastAsia="仿宋_GB2312"/>
          <w:color w:val="000000"/>
          <w:sz w:val="32"/>
          <w:szCs w:val="32"/>
          <w:lang w:val="en-US" w:eastAsia="zh-CN"/>
        </w:rPr>
        <w:t>1193.39</w:t>
      </w:r>
      <w:r>
        <w:rPr>
          <w:rFonts w:hint="eastAsia" w:ascii="仿宋" w:hAnsi="仿宋" w:eastAsia="仿宋"/>
          <w:color w:val="auto"/>
          <w:sz w:val="32"/>
          <w:szCs w:val="32"/>
          <w:highlight w:val="none"/>
        </w:rPr>
        <w:t>万元，主要用于以下方面</w:t>
      </w:r>
      <w:r>
        <w:rPr>
          <w:rFonts w:ascii="仿宋" w:hAnsi="仿宋" w:eastAsia="仿宋"/>
          <w:color w:val="auto"/>
          <w:sz w:val="32"/>
          <w:szCs w:val="32"/>
          <w:highlight w:val="none"/>
        </w:rPr>
        <w:t>:</w:t>
      </w:r>
      <w:r>
        <w:rPr>
          <w:rFonts w:hint="eastAsia" w:ascii="仿宋" w:hAnsi="仿宋" w:eastAsia="仿宋"/>
          <w:b/>
          <w:color w:val="auto"/>
          <w:sz w:val="32"/>
          <w:szCs w:val="32"/>
          <w:highlight w:val="none"/>
        </w:rPr>
        <w:t>一般公共服务（类）</w:t>
      </w:r>
      <w:r>
        <w:rPr>
          <w:rFonts w:hint="eastAsia" w:ascii="仿宋" w:hAnsi="仿宋" w:eastAsia="仿宋"/>
          <w:color w:val="auto"/>
          <w:sz w:val="32"/>
          <w:szCs w:val="32"/>
          <w:highlight w:val="none"/>
        </w:rPr>
        <w:t>支出</w:t>
      </w:r>
      <w:r>
        <w:rPr>
          <w:rFonts w:hint="eastAsia" w:ascii="仿宋_GB2312" w:hAnsi="仿宋" w:eastAsia="仿宋_GB2312" w:cs="仿宋"/>
          <w:color w:val="000000"/>
          <w:sz w:val="32"/>
          <w:szCs w:val="32"/>
          <w:lang w:val="en-US" w:eastAsia="zh-CN"/>
        </w:rPr>
        <w:t>555.67</w:t>
      </w:r>
      <w:r>
        <w:rPr>
          <w:rFonts w:hint="eastAsia" w:ascii="仿宋_GB2312" w:hAnsi="仿宋" w:eastAsia="仿宋_GB2312" w:cs="仿宋"/>
          <w:color w:val="000000"/>
          <w:sz w:val="32"/>
          <w:szCs w:val="32"/>
        </w:rPr>
        <w:t>万元</w:t>
      </w:r>
      <w:r>
        <w:rPr>
          <w:rFonts w:hint="eastAsia" w:ascii="仿宋" w:hAnsi="仿宋" w:eastAsia="仿宋"/>
          <w:color w:val="auto"/>
          <w:sz w:val="32"/>
          <w:szCs w:val="32"/>
          <w:highlight w:val="none"/>
        </w:rPr>
        <w:t>，占</w:t>
      </w:r>
      <w:r>
        <w:rPr>
          <w:rFonts w:hint="eastAsia" w:ascii="仿宋" w:hAnsi="仿宋" w:eastAsia="仿宋"/>
          <w:color w:val="auto"/>
          <w:sz w:val="32"/>
          <w:szCs w:val="32"/>
          <w:highlight w:val="none"/>
          <w:lang w:val="en-US" w:eastAsia="zh-CN"/>
        </w:rPr>
        <w:t>46.56</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color w:val="auto"/>
          <w:sz w:val="32"/>
          <w:szCs w:val="32"/>
          <w:highlight w:val="none"/>
        </w:rPr>
        <w:t>社会保障和就业（类）</w:t>
      </w:r>
      <w:r>
        <w:rPr>
          <w:rFonts w:hint="eastAsia" w:ascii="仿宋" w:hAnsi="仿宋" w:eastAsia="仿宋"/>
          <w:color w:val="auto"/>
          <w:sz w:val="32"/>
          <w:szCs w:val="32"/>
          <w:highlight w:val="none"/>
        </w:rPr>
        <w:t>支出</w:t>
      </w:r>
      <w:r>
        <w:rPr>
          <w:rFonts w:hint="eastAsia" w:ascii="仿宋_GB2312" w:hAnsi="仿宋" w:eastAsia="仿宋_GB2312" w:cs="仿宋"/>
          <w:color w:val="000000"/>
          <w:sz w:val="32"/>
          <w:szCs w:val="32"/>
          <w:lang w:val="en-US" w:eastAsia="zh-CN"/>
        </w:rPr>
        <w:t>26.81</w:t>
      </w:r>
      <w:r>
        <w:rPr>
          <w:rFonts w:hint="eastAsia" w:ascii="仿宋_GB2312" w:hAnsi="仿宋" w:eastAsia="仿宋_GB2312" w:cs="仿宋"/>
          <w:color w:val="000000"/>
          <w:sz w:val="32"/>
          <w:szCs w:val="32"/>
        </w:rPr>
        <w:t>万元</w:t>
      </w:r>
      <w:r>
        <w:rPr>
          <w:rFonts w:hint="eastAsia" w:ascii="仿宋" w:hAnsi="仿宋" w:eastAsia="仿宋"/>
          <w:color w:val="auto"/>
          <w:sz w:val="32"/>
          <w:szCs w:val="32"/>
          <w:highlight w:val="none"/>
        </w:rPr>
        <w:t>，占</w:t>
      </w:r>
      <w:r>
        <w:rPr>
          <w:rFonts w:hint="eastAsia" w:ascii="仿宋" w:hAnsi="仿宋" w:eastAsia="仿宋"/>
          <w:color w:val="auto"/>
          <w:sz w:val="32"/>
          <w:szCs w:val="32"/>
          <w:highlight w:val="none"/>
          <w:lang w:val="en-US" w:eastAsia="zh-CN"/>
        </w:rPr>
        <w:t>2.25</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卫生健康支出</w:t>
      </w:r>
      <w:r>
        <w:rPr>
          <w:rFonts w:hint="eastAsia" w:ascii="仿宋_GB2312" w:hAnsi="仿宋" w:eastAsia="仿宋_GB2312" w:cs="仿宋"/>
          <w:color w:val="000000"/>
          <w:sz w:val="32"/>
          <w:szCs w:val="32"/>
          <w:lang w:val="en-US" w:eastAsia="zh-CN"/>
        </w:rPr>
        <w:t>10.04</w:t>
      </w:r>
      <w:r>
        <w:rPr>
          <w:rFonts w:hint="eastAsia" w:ascii="仿宋_GB2312" w:hAnsi="仿宋" w:eastAsia="仿宋_GB2312" w:cs="仿宋"/>
          <w:color w:val="000000"/>
          <w:sz w:val="32"/>
          <w:szCs w:val="32"/>
        </w:rPr>
        <w:t>万元</w:t>
      </w:r>
      <w:r>
        <w:rPr>
          <w:rFonts w:hint="eastAsia" w:ascii="仿宋" w:hAnsi="仿宋" w:eastAsia="仿宋"/>
          <w:color w:val="auto"/>
          <w:sz w:val="32"/>
          <w:szCs w:val="32"/>
          <w:highlight w:val="none"/>
        </w:rPr>
        <w:t>，占</w:t>
      </w:r>
      <w:r>
        <w:rPr>
          <w:rFonts w:hint="eastAsia" w:ascii="仿宋" w:hAnsi="仿宋" w:eastAsia="仿宋"/>
          <w:color w:val="auto"/>
          <w:sz w:val="32"/>
          <w:szCs w:val="32"/>
          <w:highlight w:val="none"/>
          <w:lang w:val="en-US" w:eastAsia="zh-CN"/>
        </w:rPr>
        <w:t>0.84</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cs="Times New Roman"/>
          <w:b/>
          <w:bCs/>
          <w:color w:val="auto"/>
          <w:sz w:val="32"/>
          <w:szCs w:val="32"/>
          <w:highlight w:val="none"/>
        </w:rPr>
        <w:t>住房保障</w:t>
      </w:r>
      <w:r>
        <w:rPr>
          <w:rFonts w:hint="eastAsia" w:ascii="仿宋" w:hAnsi="仿宋" w:eastAsia="仿宋"/>
          <w:b/>
          <w:color w:val="auto"/>
          <w:sz w:val="32"/>
          <w:szCs w:val="32"/>
          <w:highlight w:val="none"/>
        </w:rPr>
        <w:t>（类）</w:t>
      </w:r>
      <w:r>
        <w:rPr>
          <w:rFonts w:hint="eastAsia" w:ascii="仿宋" w:hAnsi="仿宋" w:eastAsia="仿宋" w:cs="Times New Roman"/>
          <w:b/>
          <w:bCs/>
          <w:color w:val="auto"/>
          <w:sz w:val="32"/>
          <w:szCs w:val="32"/>
          <w:highlight w:val="none"/>
        </w:rPr>
        <w:t>支</w:t>
      </w:r>
      <w:r>
        <w:rPr>
          <w:rFonts w:hint="eastAsia" w:ascii="仿宋" w:hAnsi="仿宋" w:eastAsia="仿宋"/>
          <w:color w:val="auto"/>
          <w:sz w:val="32"/>
          <w:szCs w:val="32"/>
          <w:highlight w:val="none"/>
        </w:rPr>
        <w:t>出</w:t>
      </w:r>
      <w:r>
        <w:rPr>
          <w:rFonts w:hint="eastAsia" w:ascii="仿宋_GB2312" w:hAnsi="仿宋" w:eastAsia="仿宋_GB2312" w:cs="仿宋"/>
          <w:color w:val="000000"/>
          <w:sz w:val="32"/>
          <w:szCs w:val="32"/>
          <w:lang w:val="en-US" w:eastAsia="zh-CN"/>
        </w:rPr>
        <w:t>20.87</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1.75</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cs="Times New Roman"/>
          <w:b/>
          <w:bCs/>
          <w:color w:val="auto"/>
          <w:sz w:val="32"/>
          <w:szCs w:val="32"/>
          <w:highlight w:val="none"/>
        </w:rPr>
        <w:t>公共安全</w:t>
      </w:r>
      <w:r>
        <w:rPr>
          <w:rFonts w:hint="eastAsia" w:ascii="仿宋" w:hAnsi="仿宋" w:eastAsia="仿宋"/>
          <w:b/>
          <w:color w:val="auto"/>
          <w:sz w:val="32"/>
          <w:szCs w:val="32"/>
          <w:highlight w:val="none"/>
        </w:rPr>
        <w:t>（类）</w:t>
      </w:r>
      <w:r>
        <w:rPr>
          <w:rFonts w:hint="eastAsia" w:ascii="仿宋_GB2312" w:hAnsi="仿宋" w:eastAsia="仿宋_GB2312" w:cs="仿宋"/>
          <w:color w:val="000000"/>
          <w:sz w:val="32"/>
          <w:szCs w:val="32"/>
        </w:rPr>
        <w:t>支出</w:t>
      </w:r>
      <w:r>
        <w:rPr>
          <w:rFonts w:hint="eastAsia" w:ascii="仿宋_GB2312" w:hAnsi="仿宋" w:eastAsia="仿宋_GB2312" w:cs="仿宋"/>
          <w:color w:val="000000"/>
          <w:sz w:val="32"/>
          <w:szCs w:val="32"/>
          <w:lang w:val="en-US" w:eastAsia="zh-CN"/>
        </w:rPr>
        <w:t>580</w:t>
      </w:r>
      <w:r>
        <w:rPr>
          <w:rFonts w:hint="eastAsia" w:ascii="仿宋_GB2312" w:hAnsi="仿宋" w:eastAsia="仿宋_GB2312" w:cs="仿宋"/>
          <w:color w:val="000000"/>
          <w:sz w:val="32"/>
          <w:szCs w:val="32"/>
        </w:rPr>
        <w:t>万元，占</w:t>
      </w:r>
      <w:r>
        <w:rPr>
          <w:rFonts w:hint="eastAsia" w:ascii="仿宋_GB2312" w:hAnsi="仿宋" w:eastAsia="仿宋_GB2312" w:cs="仿宋"/>
          <w:color w:val="000000"/>
          <w:sz w:val="32"/>
          <w:szCs w:val="32"/>
          <w:lang w:val="en-US" w:eastAsia="zh-CN"/>
        </w:rPr>
        <w:t>48.60</w:t>
      </w:r>
      <w:r>
        <w:rPr>
          <w:rFonts w:hint="eastAsia" w:ascii="仿宋_GB2312" w:hAnsi="仿宋" w:eastAsia="仿宋_GB2312" w:cs="仿宋"/>
          <w:color w:val="000000"/>
          <w:sz w:val="32"/>
          <w:szCs w:val="32"/>
        </w:rPr>
        <w:t>%</w:t>
      </w:r>
      <w:r>
        <w:rPr>
          <w:rFonts w:hint="eastAsia" w:ascii="仿宋" w:hAnsi="仿宋" w:eastAsia="仿宋"/>
          <w:color w:val="auto"/>
          <w:sz w:val="32"/>
          <w:szCs w:val="32"/>
          <w:highlight w:val="none"/>
        </w:rPr>
        <w:t>。</w:t>
      </w:r>
    </w:p>
    <w:p>
      <w:pPr>
        <w:pStyle w:val="6"/>
        <w:jc w:val="center"/>
        <w:rPr>
          <w:rFonts w:hint="eastAsia" w:ascii="仿宋" w:hAnsi="仿宋" w:eastAsia="仿宋"/>
          <w:b/>
          <w:color w:val="auto"/>
          <w:sz w:val="32"/>
          <w:szCs w:val="32"/>
          <w:highlight w:val="none"/>
          <w:lang w:eastAsia="zh-CN"/>
        </w:rPr>
      </w:pPr>
      <w:bookmarkStart w:id="30" w:name="_Toc15377212"/>
      <w:r>
        <w:rPr>
          <w:rFonts w:hint="eastAsia" w:ascii="仿宋" w:hAnsi="仿宋" w:eastAsia="仿宋"/>
          <w:b/>
          <w:color w:val="auto"/>
          <w:sz w:val="32"/>
          <w:szCs w:val="32"/>
          <w:highlight w:val="none"/>
          <w:lang w:eastAsia="zh-CN"/>
        </w:rPr>
        <w:drawing>
          <wp:inline distT="0" distB="0" distL="114300" distR="114300">
            <wp:extent cx="5269865" cy="3037840"/>
            <wp:effectExtent l="0" t="0" r="6985" b="10160"/>
            <wp:docPr id="7" name="图片 7" descr="截图录屏_选择区域_20230925163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截图录屏_选择区域_20230925163220"/>
                    <pic:cNvPicPr>
                      <a:picLocks noChangeAspect="1"/>
                    </pic:cNvPicPr>
                  </pic:nvPicPr>
                  <pic:blipFill>
                    <a:blip r:embed="rId11"/>
                    <a:stretch>
                      <a:fillRect/>
                    </a:stretch>
                  </pic:blipFill>
                  <pic:spPr>
                    <a:xfrm>
                      <a:off x="0" y="0"/>
                      <a:ext cx="5269865" cy="3037840"/>
                    </a:xfrm>
                    <a:prstGeom prst="rect">
                      <a:avLst/>
                    </a:prstGeom>
                  </pic:spPr>
                </pic:pic>
              </a:graphicData>
            </a:graphic>
          </wp:inline>
        </w:drawing>
      </w:r>
    </w:p>
    <w:p>
      <w:pPr>
        <w:keepNext w:val="0"/>
        <w:keepLines w:val="0"/>
        <w:pageBreakBefore w:val="0"/>
        <w:kinsoku/>
        <w:wordWrap/>
        <w:overflowPunct/>
        <w:topLinePunct w:val="0"/>
        <w:autoSpaceDE/>
        <w:autoSpaceDN/>
        <w:bidi w:val="0"/>
        <w:adjustRightInd/>
        <w:snapToGrid/>
        <w:spacing w:line="576" w:lineRule="exact"/>
        <w:ind w:firstLine="643" w:firstLineChars="200"/>
        <w:textAlignment w:val="auto"/>
        <w:outlineLvl w:val="2"/>
        <w:rPr>
          <w:rFonts w:ascii="仿宋" w:hAnsi="仿宋" w:eastAsia="仿宋"/>
          <w:b/>
          <w:color w:val="auto"/>
          <w:sz w:val="32"/>
          <w:szCs w:val="32"/>
          <w:highlight w:val="none"/>
        </w:rPr>
      </w:pPr>
      <w:r>
        <w:rPr>
          <w:rFonts w:hint="eastAsia" w:ascii="仿宋" w:hAnsi="仿宋" w:eastAsia="仿宋"/>
          <w:b/>
          <w:color w:val="auto"/>
          <w:sz w:val="32"/>
          <w:szCs w:val="32"/>
          <w:highlight w:val="none"/>
        </w:rPr>
        <w:t>（三）一般公共预算财政拨款支出决算具体情况</w:t>
      </w:r>
      <w:bookmarkEnd w:id="30"/>
    </w:p>
    <w:p>
      <w:pPr>
        <w:keepNext w:val="0"/>
        <w:keepLines w:val="0"/>
        <w:pageBreakBefore w:val="0"/>
        <w:kinsoku/>
        <w:wordWrap/>
        <w:overflowPunct/>
        <w:topLinePunct w:val="0"/>
        <w:autoSpaceDE/>
        <w:autoSpaceDN/>
        <w:bidi w:val="0"/>
        <w:adjustRightInd/>
        <w:snapToGrid/>
        <w:spacing w:line="576" w:lineRule="exact"/>
        <w:ind w:firstLine="643" w:firstLineChars="200"/>
        <w:textAlignment w:val="auto"/>
        <w:outlineLvl w:val="2"/>
        <w:rPr>
          <w:rFonts w:ascii="仿宋" w:hAnsi="仿宋" w:eastAsia="仿宋"/>
          <w:color w:val="auto"/>
          <w:sz w:val="32"/>
          <w:szCs w:val="32"/>
          <w:highlight w:val="none"/>
        </w:rPr>
      </w:pPr>
      <w:bookmarkStart w:id="31" w:name="_Toc15377444"/>
      <w:bookmarkStart w:id="32" w:name="_Toc15378460"/>
      <w:bookmarkStart w:id="33" w:name="_Toc15377213"/>
      <w:r>
        <w:rPr>
          <w:rFonts w:hint="eastAsia" w:ascii="仿宋" w:hAnsi="仿宋" w:eastAsia="仿宋"/>
          <w:b/>
          <w:color w:val="auto"/>
          <w:sz w:val="32"/>
          <w:szCs w:val="32"/>
          <w:highlight w:val="none"/>
        </w:rPr>
        <w:t>20</w:t>
      </w:r>
      <w:r>
        <w:rPr>
          <w:rFonts w:hint="eastAsia" w:ascii="仿宋" w:hAnsi="仿宋" w:eastAsia="仿宋"/>
          <w:b/>
          <w:color w:val="auto"/>
          <w:sz w:val="32"/>
          <w:szCs w:val="32"/>
          <w:highlight w:val="none"/>
          <w:lang w:val="en-US" w:eastAsia="zh-CN"/>
        </w:rPr>
        <w:t>22</w:t>
      </w:r>
      <w:r>
        <w:rPr>
          <w:rFonts w:hint="eastAsia" w:ascii="仿宋" w:hAnsi="仿宋" w:eastAsia="仿宋"/>
          <w:b/>
          <w:color w:val="auto"/>
          <w:sz w:val="32"/>
          <w:szCs w:val="32"/>
          <w:highlight w:val="none"/>
        </w:rPr>
        <w:t>年</w:t>
      </w:r>
      <w:r>
        <w:rPr>
          <w:rFonts w:hint="eastAsia" w:ascii="仿宋" w:hAnsi="仿宋" w:eastAsia="仿宋"/>
          <w:b/>
          <w:color w:val="auto"/>
          <w:sz w:val="32"/>
          <w:szCs w:val="32"/>
          <w:highlight w:val="none"/>
          <w:lang w:eastAsia="zh-CN"/>
        </w:rPr>
        <w:t>一</w:t>
      </w:r>
      <w:r>
        <w:rPr>
          <w:rFonts w:hint="eastAsia" w:ascii="仿宋" w:hAnsi="仿宋" w:eastAsia="仿宋"/>
          <w:b/>
          <w:color w:val="auto"/>
          <w:sz w:val="32"/>
          <w:szCs w:val="32"/>
          <w:highlight w:val="none"/>
        </w:rPr>
        <w:t>般公共预算支出决算数为</w:t>
      </w:r>
      <w:r>
        <w:rPr>
          <w:rFonts w:hint="eastAsia" w:ascii="仿宋_GB2312" w:eastAsia="仿宋_GB2312"/>
          <w:color w:val="000000"/>
          <w:sz w:val="32"/>
          <w:szCs w:val="32"/>
          <w:lang w:val="en-US" w:eastAsia="zh-CN"/>
        </w:rPr>
        <w:t>1193.39</w:t>
      </w:r>
      <w:r>
        <w:rPr>
          <w:rFonts w:hint="eastAsia" w:ascii="仿宋" w:hAnsi="仿宋" w:eastAsia="仿宋"/>
          <w:color w:val="auto"/>
          <w:sz w:val="32"/>
          <w:szCs w:val="32"/>
          <w:highlight w:val="none"/>
        </w:rPr>
        <w:t>万元，</w:t>
      </w:r>
      <w:r>
        <w:rPr>
          <w:rStyle w:val="19"/>
          <w:rFonts w:hint="eastAsia" w:ascii="仿宋" w:hAnsi="仿宋" w:eastAsia="仿宋"/>
          <w:bCs/>
          <w:color w:val="auto"/>
          <w:sz w:val="32"/>
          <w:szCs w:val="32"/>
          <w:highlight w:val="none"/>
        </w:rPr>
        <w:t>完成预算</w:t>
      </w:r>
      <w:r>
        <w:rPr>
          <w:rStyle w:val="19"/>
          <w:rFonts w:hint="eastAsia" w:ascii="仿宋" w:hAnsi="仿宋" w:eastAsia="仿宋"/>
          <w:bCs/>
          <w:color w:val="auto"/>
          <w:sz w:val="32"/>
          <w:szCs w:val="32"/>
          <w:highlight w:val="none"/>
          <w:lang w:val="en-US" w:eastAsia="zh-CN"/>
        </w:rPr>
        <w:t>100</w:t>
      </w:r>
      <w:r>
        <w:rPr>
          <w:rStyle w:val="19"/>
          <w:rFonts w:ascii="仿宋" w:hAnsi="仿宋" w:eastAsia="仿宋"/>
          <w:bCs/>
          <w:color w:val="auto"/>
          <w:sz w:val="32"/>
          <w:szCs w:val="32"/>
          <w:highlight w:val="none"/>
        </w:rPr>
        <w:t>%</w:t>
      </w:r>
      <w:r>
        <w:rPr>
          <w:rStyle w:val="19"/>
          <w:rFonts w:hint="eastAsia" w:ascii="仿宋" w:hAnsi="仿宋" w:eastAsia="仿宋"/>
          <w:bCs/>
          <w:color w:val="auto"/>
          <w:sz w:val="32"/>
          <w:szCs w:val="32"/>
          <w:highlight w:val="none"/>
        </w:rPr>
        <w:t>。其中：</w:t>
      </w:r>
      <w:bookmarkEnd w:id="31"/>
      <w:bookmarkEnd w:id="32"/>
      <w:bookmarkEnd w:id="33"/>
    </w:p>
    <w:p>
      <w:pPr>
        <w:keepNext w:val="0"/>
        <w:keepLines w:val="0"/>
        <w:pageBreakBefore w:val="0"/>
        <w:numPr>
          <w:ilvl w:val="0"/>
          <w:numId w:val="3"/>
        </w:numPr>
        <w:kinsoku/>
        <w:wordWrap/>
        <w:overflowPunct/>
        <w:topLinePunct w:val="0"/>
        <w:autoSpaceDE/>
        <w:autoSpaceDN/>
        <w:bidi w:val="0"/>
        <w:adjustRightInd/>
        <w:snapToGrid/>
        <w:spacing w:line="576" w:lineRule="exact"/>
        <w:ind w:firstLine="643" w:firstLineChars="200"/>
        <w:textAlignment w:val="auto"/>
        <w:rPr>
          <w:rStyle w:val="19"/>
          <w:rFonts w:hint="eastAsia" w:ascii="仿宋" w:hAnsi="仿宋" w:eastAsia="仿宋"/>
          <w:b w:val="0"/>
          <w:bCs/>
          <w:color w:val="auto"/>
          <w:sz w:val="32"/>
          <w:szCs w:val="32"/>
          <w:highlight w:val="none"/>
          <w:lang w:eastAsia="zh-CN"/>
        </w:rPr>
      </w:pPr>
      <w:r>
        <w:rPr>
          <w:rStyle w:val="19"/>
          <w:rFonts w:hint="eastAsia" w:ascii="仿宋" w:hAnsi="仿宋" w:eastAsia="仿宋"/>
          <w:bCs/>
          <w:color w:val="auto"/>
          <w:sz w:val="32"/>
          <w:szCs w:val="32"/>
          <w:highlight w:val="none"/>
        </w:rPr>
        <w:t>一般公共服务</w:t>
      </w:r>
      <w:r>
        <w:rPr>
          <w:rStyle w:val="19"/>
          <w:rFonts w:hint="eastAsia" w:ascii="仿宋" w:hAnsi="仿宋" w:eastAsia="仿宋" w:cstheme="minorBidi"/>
          <w:bCs/>
          <w:color w:val="auto"/>
          <w:sz w:val="32"/>
          <w:szCs w:val="32"/>
          <w:highlight w:val="none"/>
        </w:rPr>
        <w:t>（类）</w:t>
      </w:r>
      <w:r>
        <w:rPr>
          <w:rStyle w:val="19"/>
          <w:rFonts w:hint="eastAsia" w:ascii="仿宋" w:hAnsi="仿宋" w:eastAsia="仿宋" w:cstheme="minorBidi"/>
          <w:bCs/>
          <w:color w:val="auto"/>
          <w:sz w:val="32"/>
          <w:szCs w:val="32"/>
          <w:highlight w:val="none"/>
          <w:lang w:eastAsia="zh-CN"/>
        </w:rPr>
        <w:t>党委办公厅（室）及相关机构事务</w:t>
      </w:r>
      <w:r>
        <w:rPr>
          <w:rStyle w:val="19"/>
          <w:rFonts w:hint="default" w:ascii="仿宋" w:hAnsi="仿宋" w:eastAsia="仿宋" w:cstheme="minorBidi"/>
          <w:bCs/>
          <w:color w:val="auto"/>
          <w:sz w:val="32"/>
          <w:szCs w:val="32"/>
          <w:highlight w:val="none"/>
        </w:rPr>
        <w:t>（款）</w:t>
      </w:r>
      <w:r>
        <w:rPr>
          <w:rStyle w:val="19"/>
          <w:rFonts w:hint="eastAsia" w:ascii="仿宋" w:hAnsi="仿宋" w:eastAsia="仿宋" w:cstheme="minorBidi"/>
          <w:bCs/>
          <w:color w:val="auto"/>
          <w:sz w:val="32"/>
          <w:szCs w:val="32"/>
          <w:highlight w:val="none"/>
          <w:lang w:eastAsia="zh-CN"/>
        </w:rPr>
        <w:t>事业</w:t>
      </w:r>
      <w:r>
        <w:rPr>
          <w:rStyle w:val="19"/>
          <w:rFonts w:hint="default" w:ascii="仿宋" w:hAnsi="仿宋" w:eastAsia="仿宋" w:cstheme="minorBidi"/>
          <w:bCs/>
          <w:color w:val="auto"/>
          <w:sz w:val="32"/>
          <w:szCs w:val="32"/>
          <w:highlight w:val="none"/>
        </w:rPr>
        <w:t>运行（项）</w:t>
      </w:r>
      <w:r>
        <w:rPr>
          <w:rStyle w:val="19"/>
          <w:rFonts w:hint="eastAsia" w:ascii="仿宋" w:hAnsi="仿宋" w:eastAsia="仿宋" w:cstheme="minorBidi"/>
          <w:bCs/>
          <w:color w:val="auto"/>
          <w:sz w:val="32"/>
          <w:szCs w:val="32"/>
          <w:highlight w:val="none"/>
        </w:rPr>
        <w:t xml:space="preserve">: </w:t>
      </w:r>
      <w:r>
        <w:rPr>
          <w:rStyle w:val="19"/>
          <w:rFonts w:hint="eastAsia" w:ascii="仿宋" w:hAnsi="仿宋" w:eastAsia="仿宋"/>
          <w:b w:val="0"/>
          <w:bCs/>
          <w:color w:val="auto"/>
          <w:sz w:val="32"/>
          <w:szCs w:val="32"/>
          <w:highlight w:val="none"/>
        </w:rPr>
        <w:t>支出决算为</w:t>
      </w:r>
      <w:r>
        <w:rPr>
          <w:rStyle w:val="19"/>
          <w:rFonts w:hint="eastAsia" w:ascii="仿宋" w:hAnsi="仿宋" w:eastAsia="仿宋"/>
          <w:b w:val="0"/>
          <w:bCs/>
          <w:color w:val="auto"/>
          <w:sz w:val="32"/>
          <w:szCs w:val="32"/>
          <w:highlight w:val="none"/>
          <w:lang w:val="en-US" w:eastAsia="zh-CN"/>
        </w:rPr>
        <w:t>555.67</w:t>
      </w:r>
      <w:r>
        <w:rPr>
          <w:rStyle w:val="19"/>
          <w:rFonts w:hint="eastAsia" w:ascii="仿宋" w:hAnsi="仿宋" w:eastAsia="仿宋"/>
          <w:b w:val="0"/>
          <w:bCs/>
          <w:color w:val="auto"/>
          <w:sz w:val="32"/>
          <w:szCs w:val="32"/>
          <w:highlight w:val="none"/>
        </w:rPr>
        <w:t>万元，完成预算</w:t>
      </w:r>
      <w:r>
        <w:rPr>
          <w:rStyle w:val="19"/>
          <w:rFonts w:hint="eastAsia" w:ascii="仿宋" w:hAnsi="仿宋" w:eastAsia="仿宋"/>
          <w:b w:val="0"/>
          <w:bCs/>
          <w:color w:val="auto"/>
          <w:sz w:val="32"/>
          <w:szCs w:val="32"/>
          <w:highlight w:val="none"/>
          <w:lang w:val="en-US" w:eastAsia="zh-CN"/>
        </w:rPr>
        <w:t>100</w:t>
      </w:r>
      <w:r>
        <w:rPr>
          <w:rStyle w:val="19"/>
          <w:rFonts w:ascii="仿宋" w:hAnsi="仿宋" w:eastAsia="仿宋"/>
          <w:b w:val="0"/>
          <w:bCs/>
          <w:color w:val="auto"/>
          <w:sz w:val="32"/>
          <w:szCs w:val="32"/>
          <w:highlight w:val="none"/>
        </w:rPr>
        <w:t>%</w:t>
      </w:r>
      <w:r>
        <w:rPr>
          <w:rStyle w:val="19"/>
          <w:rFonts w:hint="eastAsia" w:ascii="仿宋" w:hAnsi="仿宋" w:eastAsia="仿宋"/>
          <w:b w:val="0"/>
          <w:bCs/>
          <w:color w:val="auto"/>
          <w:sz w:val="32"/>
          <w:szCs w:val="32"/>
          <w:highlight w:val="none"/>
        </w:rPr>
        <w:t>，决算数等于预算数</w:t>
      </w:r>
      <w:r>
        <w:rPr>
          <w:rStyle w:val="19"/>
          <w:rFonts w:hint="eastAsia" w:ascii="仿宋" w:hAnsi="仿宋" w:eastAsia="仿宋"/>
          <w:b w:val="0"/>
          <w:bCs/>
          <w:color w:val="auto"/>
          <w:sz w:val="32"/>
          <w:szCs w:val="32"/>
          <w:highlight w:val="none"/>
          <w:lang w:eastAsia="zh-CN"/>
        </w:rPr>
        <w:t>。</w:t>
      </w:r>
    </w:p>
    <w:p>
      <w:pPr>
        <w:keepNext w:val="0"/>
        <w:keepLines w:val="0"/>
        <w:pageBreakBefore w:val="0"/>
        <w:numPr>
          <w:ilvl w:val="0"/>
          <w:numId w:val="3"/>
        </w:numPr>
        <w:kinsoku/>
        <w:wordWrap/>
        <w:overflowPunct/>
        <w:topLinePunct w:val="0"/>
        <w:autoSpaceDE/>
        <w:autoSpaceDN/>
        <w:bidi w:val="0"/>
        <w:adjustRightInd/>
        <w:snapToGrid/>
        <w:spacing w:line="576" w:lineRule="exact"/>
        <w:ind w:left="0" w:leftChars="0" w:firstLine="643" w:firstLineChars="200"/>
        <w:textAlignment w:val="auto"/>
        <w:rPr>
          <w:rStyle w:val="19"/>
          <w:rFonts w:hint="eastAsia" w:ascii="仿宋" w:hAnsi="仿宋" w:eastAsia="仿宋"/>
          <w:b w:val="0"/>
          <w:bCs/>
          <w:color w:val="auto"/>
          <w:sz w:val="32"/>
          <w:szCs w:val="32"/>
          <w:highlight w:val="none"/>
          <w:lang w:eastAsia="zh-CN"/>
        </w:rPr>
      </w:pPr>
      <w:r>
        <w:rPr>
          <w:rStyle w:val="19"/>
          <w:rFonts w:hint="default" w:ascii="仿宋" w:hAnsi="仿宋" w:eastAsia="仿宋" w:cstheme="minorBidi"/>
          <w:bCs/>
          <w:color w:val="auto"/>
          <w:sz w:val="32"/>
          <w:szCs w:val="32"/>
          <w:highlight w:val="none"/>
        </w:rPr>
        <w:t>社会保障和就业</w:t>
      </w:r>
      <w:r>
        <w:rPr>
          <w:rStyle w:val="19"/>
          <w:rFonts w:hint="eastAsia" w:ascii="仿宋" w:hAnsi="仿宋" w:eastAsia="仿宋" w:cstheme="minorBidi"/>
          <w:bCs/>
          <w:color w:val="auto"/>
          <w:sz w:val="32"/>
          <w:szCs w:val="32"/>
          <w:highlight w:val="none"/>
          <w:lang w:eastAsia="zh-CN"/>
        </w:rPr>
        <w:t>支出</w:t>
      </w:r>
      <w:r>
        <w:rPr>
          <w:rStyle w:val="19"/>
          <w:rFonts w:hint="default" w:ascii="仿宋" w:hAnsi="仿宋" w:eastAsia="仿宋" w:cstheme="minorBidi"/>
          <w:bCs/>
          <w:color w:val="auto"/>
          <w:sz w:val="32"/>
          <w:szCs w:val="32"/>
          <w:highlight w:val="none"/>
        </w:rPr>
        <w:t>（类）行政事业单位</w:t>
      </w:r>
      <w:r>
        <w:rPr>
          <w:rStyle w:val="19"/>
          <w:rFonts w:hint="eastAsia" w:ascii="仿宋" w:hAnsi="仿宋" w:eastAsia="仿宋" w:cstheme="minorBidi"/>
          <w:bCs/>
          <w:color w:val="auto"/>
          <w:sz w:val="32"/>
          <w:szCs w:val="32"/>
          <w:highlight w:val="none"/>
          <w:lang w:eastAsia="zh-CN"/>
        </w:rPr>
        <w:t>养老支出</w:t>
      </w:r>
      <w:r>
        <w:rPr>
          <w:rStyle w:val="19"/>
          <w:rFonts w:hint="default" w:ascii="仿宋" w:hAnsi="仿宋" w:eastAsia="仿宋" w:cstheme="minorBidi"/>
          <w:bCs/>
          <w:color w:val="auto"/>
          <w:sz w:val="32"/>
          <w:szCs w:val="32"/>
          <w:highlight w:val="none"/>
        </w:rPr>
        <w:t>（款）机关事业单位基本养老保险缴费支出</w:t>
      </w:r>
      <w:r>
        <w:rPr>
          <w:rStyle w:val="19"/>
          <w:rFonts w:hint="eastAsia" w:ascii="仿宋" w:hAnsi="仿宋" w:eastAsia="仿宋" w:cstheme="minorBidi"/>
          <w:bCs/>
          <w:color w:val="auto"/>
          <w:sz w:val="32"/>
          <w:szCs w:val="32"/>
          <w:highlight w:val="none"/>
          <w:lang w:eastAsia="zh-CN"/>
        </w:rPr>
        <w:t>及其他社会保障和就业支出</w:t>
      </w:r>
      <w:r>
        <w:rPr>
          <w:rStyle w:val="19"/>
          <w:rFonts w:hint="default" w:ascii="仿宋" w:hAnsi="仿宋" w:eastAsia="仿宋" w:cstheme="minorBidi"/>
          <w:bCs/>
          <w:color w:val="auto"/>
          <w:sz w:val="32"/>
          <w:szCs w:val="32"/>
          <w:highlight w:val="none"/>
        </w:rPr>
        <w:t>（项）</w:t>
      </w:r>
      <w:r>
        <w:rPr>
          <w:rStyle w:val="19"/>
          <w:rFonts w:ascii="仿宋" w:hAnsi="仿宋" w:eastAsia="仿宋"/>
          <w:bCs/>
          <w:color w:val="auto"/>
          <w:sz w:val="32"/>
          <w:szCs w:val="32"/>
          <w:highlight w:val="none"/>
        </w:rPr>
        <w:t>:</w:t>
      </w:r>
      <w:r>
        <w:rPr>
          <w:rStyle w:val="19"/>
          <w:rFonts w:ascii="仿宋" w:hAnsi="仿宋" w:eastAsia="仿宋"/>
          <w:b w:val="0"/>
          <w:bCs/>
          <w:color w:val="auto"/>
          <w:sz w:val="32"/>
          <w:szCs w:val="32"/>
          <w:highlight w:val="none"/>
        </w:rPr>
        <w:t xml:space="preserve"> </w:t>
      </w:r>
      <w:r>
        <w:rPr>
          <w:rStyle w:val="19"/>
          <w:rFonts w:hint="eastAsia" w:ascii="仿宋" w:hAnsi="仿宋" w:eastAsia="仿宋"/>
          <w:b w:val="0"/>
          <w:bCs/>
          <w:color w:val="auto"/>
          <w:sz w:val="32"/>
          <w:szCs w:val="32"/>
          <w:highlight w:val="none"/>
        </w:rPr>
        <w:t>支出决算为</w:t>
      </w:r>
      <w:r>
        <w:rPr>
          <w:rFonts w:hint="eastAsia" w:ascii="仿宋_GB2312" w:hAnsi="仿宋" w:eastAsia="仿宋_GB2312" w:cs="仿宋"/>
          <w:color w:val="000000"/>
          <w:sz w:val="32"/>
          <w:szCs w:val="32"/>
          <w:lang w:val="en-US" w:eastAsia="zh-CN"/>
        </w:rPr>
        <w:t>26.81</w:t>
      </w:r>
      <w:r>
        <w:rPr>
          <w:rFonts w:hint="eastAsia" w:ascii="仿宋_GB2312" w:hAnsi="仿宋" w:eastAsia="仿宋_GB2312" w:cs="仿宋"/>
          <w:color w:val="000000"/>
          <w:sz w:val="32"/>
          <w:szCs w:val="32"/>
        </w:rPr>
        <w:t>万元</w:t>
      </w:r>
      <w:r>
        <w:rPr>
          <w:rStyle w:val="19"/>
          <w:rFonts w:hint="eastAsia" w:ascii="仿宋" w:hAnsi="仿宋" w:eastAsia="仿宋"/>
          <w:b w:val="0"/>
          <w:bCs/>
          <w:color w:val="auto"/>
          <w:sz w:val="32"/>
          <w:szCs w:val="32"/>
          <w:highlight w:val="none"/>
        </w:rPr>
        <w:t>，完成预</w:t>
      </w:r>
      <w:r>
        <w:rPr>
          <w:rStyle w:val="19"/>
          <w:rFonts w:hint="eastAsia" w:ascii="仿宋" w:hAnsi="仿宋" w:eastAsia="仿宋"/>
          <w:b w:val="0"/>
          <w:bCs/>
          <w:color w:val="auto"/>
          <w:sz w:val="32"/>
          <w:szCs w:val="32"/>
          <w:highlight w:val="none"/>
          <w:lang w:val="en-US" w:eastAsia="zh-CN"/>
        </w:rPr>
        <w:t>算100</w:t>
      </w:r>
      <w:r>
        <w:rPr>
          <w:rStyle w:val="19"/>
          <w:rFonts w:ascii="仿宋" w:hAnsi="仿宋" w:eastAsia="仿宋"/>
          <w:b w:val="0"/>
          <w:bCs/>
          <w:color w:val="auto"/>
          <w:sz w:val="32"/>
          <w:szCs w:val="32"/>
          <w:highlight w:val="none"/>
        </w:rPr>
        <w:t>%</w:t>
      </w:r>
      <w:r>
        <w:rPr>
          <w:rStyle w:val="19"/>
          <w:rFonts w:hint="eastAsia" w:ascii="仿宋" w:hAnsi="仿宋" w:eastAsia="仿宋"/>
          <w:b w:val="0"/>
          <w:bCs/>
          <w:color w:val="auto"/>
          <w:sz w:val="32"/>
          <w:szCs w:val="32"/>
          <w:highlight w:val="none"/>
        </w:rPr>
        <w:t>，决算数等于预算数</w:t>
      </w:r>
      <w:r>
        <w:rPr>
          <w:rStyle w:val="19"/>
          <w:rFonts w:hint="eastAsia" w:ascii="仿宋" w:hAnsi="仿宋" w:eastAsia="仿宋"/>
          <w:b w:val="0"/>
          <w:bCs/>
          <w:color w:val="auto"/>
          <w:sz w:val="32"/>
          <w:szCs w:val="32"/>
          <w:highlight w:val="none"/>
          <w:lang w:eastAsia="zh-CN"/>
        </w:rPr>
        <w:t>。</w:t>
      </w:r>
    </w:p>
    <w:p>
      <w:pPr>
        <w:keepNext w:val="0"/>
        <w:keepLines w:val="0"/>
        <w:pageBreakBefore w:val="0"/>
        <w:numPr>
          <w:ilvl w:val="0"/>
          <w:numId w:val="3"/>
        </w:numPr>
        <w:kinsoku/>
        <w:wordWrap/>
        <w:overflowPunct/>
        <w:topLinePunct w:val="0"/>
        <w:autoSpaceDE/>
        <w:autoSpaceDN/>
        <w:bidi w:val="0"/>
        <w:adjustRightInd/>
        <w:snapToGrid/>
        <w:spacing w:line="576" w:lineRule="exact"/>
        <w:ind w:left="0" w:leftChars="0" w:firstLine="643" w:firstLineChars="200"/>
        <w:textAlignment w:val="auto"/>
        <w:rPr>
          <w:rStyle w:val="19"/>
          <w:rFonts w:hint="eastAsia" w:ascii="仿宋" w:hAnsi="仿宋" w:eastAsia="仿宋"/>
          <w:b w:val="0"/>
          <w:bCs/>
          <w:color w:val="auto"/>
          <w:sz w:val="32"/>
          <w:szCs w:val="32"/>
          <w:highlight w:val="none"/>
          <w:lang w:eastAsia="zh-CN"/>
        </w:rPr>
      </w:pPr>
      <w:r>
        <w:rPr>
          <w:rFonts w:hint="eastAsia" w:ascii="仿宋" w:hAnsi="仿宋" w:eastAsia="仿宋"/>
          <w:b/>
          <w:bCs/>
          <w:color w:val="auto"/>
          <w:sz w:val="32"/>
          <w:szCs w:val="32"/>
          <w:highlight w:val="none"/>
        </w:rPr>
        <w:t>卫生健康</w:t>
      </w:r>
      <w:r>
        <w:rPr>
          <w:rStyle w:val="19"/>
          <w:rFonts w:hint="eastAsia" w:ascii="仿宋" w:hAnsi="仿宋" w:eastAsia="仿宋"/>
          <w:bCs/>
          <w:color w:val="auto"/>
          <w:sz w:val="32"/>
          <w:szCs w:val="32"/>
          <w:highlight w:val="none"/>
        </w:rPr>
        <w:t>（类）</w:t>
      </w:r>
      <w:r>
        <w:rPr>
          <w:rStyle w:val="19"/>
          <w:rFonts w:hint="default" w:ascii="仿宋" w:hAnsi="仿宋" w:eastAsia="仿宋" w:cstheme="minorBidi"/>
          <w:bCs/>
          <w:color w:val="auto"/>
          <w:sz w:val="32"/>
          <w:szCs w:val="32"/>
          <w:highlight w:val="none"/>
        </w:rPr>
        <w:t>行政事业单位医疗（款）行政单位医疗（项）</w:t>
      </w:r>
      <w:r>
        <w:rPr>
          <w:rStyle w:val="19"/>
          <w:rFonts w:ascii="仿宋" w:hAnsi="仿宋" w:eastAsia="仿宋"/>
          <w:bCs/>
          <w:color w:val="auto"/>
          <w:sz w:val="32"/>
          <w:szCs w:val="32"/>
          <w:highlight w:val="none"/>
        </w:rPr>
        <w:t>:</w:t>
      </w:r>
      <w:r>
        <w:rPr>
          <w:rStyle w:val="19"/>
          <w:rFonts w:hint="eastAsia" w:ascii="仿宋" w:hAnsi="仿宋" w:eastAsia="仿宋"/>
          <w:b w:val="0"/>
          <w:bCs/>
          <w:color w:val="auto"/>
          <w:sz w:val="32"/>
          <w:szCs w:val="32"/>
          <w:highlight w:val="none"/>
        </w:rPr>
        <w:t>支出决算为</w:t>
      </w:r>
      <w:r>
        <w:rPr>
          <w:rFonts w:hint="eastAsia" w:ascii="仿宋_GB2312" w:hAnsi="仿宋" w:eastAsia="仿宋_GB2312" w:cs="仿宋"/>
          <w:color w:val="000000"/>
          <w:sz w:val="32"/>
          <w:szCs w:val="32"/>
          <w:lang w:val="en-US" w:eastAsia="zh-CN"/>
        </w:rPr>
        <w:t>10.04</w:t>
      </w:r>
      <w:r>
        <w:rPr>
          <w:rFonts w:hint="eastAsia" w:ascii="仿宋_GB2312" w:hAnsi="仿宋" w:eastAsia="仿宋_GB2312" w:cs="仿宋"/>
          <w:color w:val="000000"/>
          <w:sz w:val="32"/>
          <w:szCs w:val="32"/>
        </w:rPr>
        <w:t>万元</w:t>
      </w:r>
      <w:r>
        <w:rPr>
          <w:rStyle w:val="19"/>
          <w:rFonts w:hint="eastAsia" w:ascii="仿宋" w:hAnsi="仿宋" w:eastAsia="仿宋"/>
          <w:b w:val="0"/>
          <w:bCs/>
          <w:color w:val="auto"/>
          <w:sz w:val="32"/>
          <w:szCs w:val="32"/>
          <w:highlight w:val="none"/>
        </w:rPr>
        <w:t>，完成预算</w:t>
      </w:r>
      <w:r>
        <w:rPr>
          <w:rStyle w:val="19"/>
          <w:rFonts w:hint="eastAsia" w:ascii="仿宋" w:hAnsi="仿宋" w:eastAsia="仿宋"/>
          <w:b w:val="0"/>
          <w:bCs/>
          <w:color w:val="auto"/>
          <w:sz w:val="32"/>
          <w:szCs w:val="32"/>
          <w:highlight w:val="none"/>
          <w:lang w:val="en-US" w:eastAsia="zh-CN"/>
        </w:rPr>
        <w:t>100</w:t>
      </w:r>
      <w:r>
        <w:rPr>
          <w:rStyle w:val="19"/>
          <w:rFonts w:ascii="仿宋" w:hAnsi="仿宋" w:eastAsia="仿宋"/>
          <w:b w:val="0"/>
          <w:bCs/>
          <w:color w:val="auto"/>
          <w:sz w:val="32"/>
          <w:szCs w:val="32"/>
          <w:highlight w:val="none"/>
        </w:rPr>
        <w:t>%</w:t>
      </w:r>
      <w:r>
        <w:rPr>
          <w:rStyle w:val="19"/>
          <w:rFonts w:hint="eastAsia" w:ascii="仿宋" w:hAnsi="仿宋" w:eastAsia="仿宋"/>
          <w:b w:val="0"/>
          <w:bCs/>
          <w:color w:val="auto"/>
          <w:sz w:val="32"/>
          <w:szCs w:val="32"/>
          <w:highlight w:val="none"/>
        </w:rPr>
        <w:t>，决算数等于预算数</w:t>
      </w:r>
      <w:r>
        <w:rPr>
          <w:rStyle w:val="19"/>
          <w:rFonts w:hint="eastAsia" w:ascii="仿宋" w:hAnsi="仿宋" w:eastAsia="仿宋"/>
          <w:b w:val="0"/>
          <w:bCs/>
          <w:color w:val="auto"/>
          <w:sz w:val="32"/>
          <w:szCs w:val="32"/>
          <w:highlight w:val="none"/>
          <w:lang w:eastAsia="zh-CN"/>
        </w:rPr>
        <w:t>。</w:t>
      </w:r>
    </w:p>
    <w:p>
      <w:pPr>
        <w:keepNext w:val="0"/>
        <w:keepLines w:val="0"/>
        <w:pageBreakBefore w:val="0"/>
        <w:numPr>
          <w:ilvl w:val="0"/>
          <w:numId w:val="3"/>
        </w:numPr>
        <w:kinsoku/>
        <w:wordWrap/>
        <w:overflowPunct/>
        <w:topLinePunct w:val="0"/>
        <w:autoSpaceDE/>
        <w:autoSpaceDN/>
        <w:bidi w:val="0"/>
        <w:adjustRightInd/>
        <w:snapToGrid/>
        <w:spacing w:line="576" w:lineRule="exact"/>
        <w:ind w:left="0" w:leftChars="0" w:firstLine="643" w:firstLineChars="200"/>
        <w:textAlignment w:val="auto"/>
        <w:rPr>
          <w:rStyle w:val="19"/>
          <w:rFonts w:hint="eastAsia" w:ascii="仿宋" w:hAnsi="仿宋" w:eastAsia="仿宋"/>
          <w:b w:val="0"/>
          <w:bCs/>
          <w:color w:val="auto"/>
          <w:sz w:val="32"/>
          <w:szCs w:val="32"/>
          <w:highlight w:val="none"/>
          <w:lang w:eastAsia="zh-CN"/>
        </w:rPr>
      </w:pPr>
      <w:r>
        <w:rPr>
          <w:rFonts w:hint="eastAsia" w:ascii="仿宋" w:hAnsi="仿宋" w:eastAsia="仿宋" w:cs="Times New Roman"/>
          <w:b/>
          <w:bCs/>
          <w:color w:val="auto"/>
          <w:sz w:val="32"/>
          <w:szCs w:val="32"/>
          <w:highlight w:val="none"/>
          <w:lang w:eastAsia="zh-CN"/>
        </w:rPr>
        <w:t>住房保障（类）</w:t>
      </w:r>
      <w:r>
        <w:rPr>
          <w:rFonts w:hint="default" w:ascii="仿宋" w:hAnsi="仿宋" w:eastAsia="仿宋" w:cs="Times New Roman"/>
          <w:b/>
          <w:bCs/>
          <w:color w:val="auto"/>
          <w:sz w:val="32"/>
          <w:szCs w:val="32"/>
          <w:highlight w:val="none"/>
          <w:lang w:eastAsia="zh-CN"/>
        </w:rPr>
        <w:t>住房改革支出（款）住房公积金（项）</w:t>
      </w:r>
      <w:r>
        <w:rPr>
          <w:rFonts w:hint="eastAsia" w:ascii="仿宋" w:hAnsi="仿宋" w:eastAsia="仿宋" w:cs="Times New Roman"/>
          <w:b/>
          <w:bCs/>
          <w:color w:val="auto"/>
          <w:sz w:val="32"/>
          <w:szCs w:val="32"/>
          <w:highlight w:val="none"/>
          <w:lang w:eastAsia="zh-CN"/>
        </w:rPr>
        <w:t>：</w:t>
      </w:r>
      <w:r>
        <w:rPr>
          <w:rStyle w:val="19"/>
          <w:rFonts w:hint="eastAsia" w:ascii="仿宋" w:hAnsi="仿宋" w:eastAsia="仿宋" w:cstheme="minorBidi"/>
          <w:b w:val="0"/>
          <w:bCs/>
          <w:color w:val="auto"/>
          <w:sz w:val="32"/>
          <w:szCs w:val="32"/>
          <w:highlight w:val="none"/>
          <w:lang w:eastAsia="zh-CN"/>
        </w:rPr>
        <w:t>支出决算数为</w:t>
      </w:r>
      <w:r>
        <w:rPr>
          <w:rStyle w:val="19"/>
          <w:rFonts w:hint="eastAsia" w:ascii="仿宋" w:hAnsi="仿宋" w:eastAsia="仿宋" w:cstheme="minorBidi"/>
          <w:b w:val="0"/>
          <w:bCs/>
          <w:color w:val="auto"/>
          <w:sz w:val="32"/>
          <w:szCs w:val="32"/>
          <w:highlight w:val="none"/>
          <w:lang w:val="en-US" w:eastAsia="zh-CN"/>
        </w:rPr>
        <w:t>20.87万元，</w:t>
      </w:r>
      <w:r>
        <w:rPr>
          <w:rStyle w:val="19"/>
          <w:rFonts w:hint="eastAsia" w:ascii="仿宋" w:hAnsi="仿宋" w:eastAsia="仿宋" w:cstheme="minorBidi"/>
          <w:b w:val="0"/>
          <w:bCs/>
          <w:color w:val="auto"/>
          <w:sz w:val="32"/>
          <w:szCs w:val="32"/>
          <w:highlight w:val="none"/>
        </w:rPr>
        <w:t>完成</w:t>
      </w:r>
      <w:r>
        <w:rPr>
          <w:rStyle w:val="19"/>
          <w:rFonts w:hint="eastAsia" w:ascii="仿宋" w:hAnsi="仿宋" w:eastAsia="仿宋"/>
          <w:b w:val="0"/>
          <w:bCs/>
          <w:color w:val="auto"/>
          <w:sz w:val="32"/>
          <w:szCs w:val="32"/>
          <w:highlight w:val="none"/>
        </w:rPr>
        <w:t>预算</w:t>
      </w:r>
      <w:r>
        <w:rPr>
          <w:rStyle w:val="19"/>
          <w:rFonts w:hint="eastAsia" w:ascii="仿宋" w:hAnsi="仿宋" w:eastAsia="仿宋"/>
          <w:b w:val="0"/>
          <w:bCs/>
          <w:color w:val="auto"/>
          <w:sz w:val="32"/>
          <w:szCs w:val="32"/>
          <w:highlight w:val="none"/>
          <w:lang w:val="en-US" w:eastAsia="zh-CN"/>
        </w:rPr>
        <w:t>100</w:t>
      </w:r>
      <w:r>
        <w:rPr>
          <w:rStyle w:val="19"/>
          <w:rFonts w:ascii="仿宋" w:hAnsi="仿宋" w:eastAsia="仿宋"/>
          <w:b w:val="0"/>
          <w:bCs/>
          <w:color w:val="auto"/>
          <w:sz w:val="32"/>
          <w:szCs w:val="32"/>
          <w:highlight w:val="none"/>
        </w:rPr>
        <w:t>%</w:t>
      </w:r>
      <w:r>
        <w:rPr>
          <w:rStyle w:val="19"/>
          <w:rFonts w:hint="eastAsia" w:ascii="仿宋" w:hAnsi="仿宋" w:eastAsia="仿宋"/>
          <w:b w:val="0"/>
          <w:bCs/>
          <w:color w:val="auto"/>
          <w:sz w:val="32"/>
          <w:szCs w:val="32"/>
          <w:highlight w:val="none"/>
        </w:rPr>
        <w:t>，决算数等于预算数</w:t>
      </w:r>
      <w:r>
        <w:rPr>
          <w:rStyle w:val="19"/>
          <w:rFonts w:hint="eastAsia" w:ascii="仿宋" w:hAnsi="仿宋" w:eastAsia="仿宋"/>
          <w:b w:val="0"/>
          <w:bCs/>
          <w:color w:val="auto"/>
          <w:sz w:val="32"/>
          <w:szCs w:val="32"/>
          <w:highlight w:val="none"/>
          <w:lang w:eastAsia="zh-CN"/>
        </w:rPr>
        <w:t>。</w:t>
      </w:r>
    </w:p>
    <w:p>
      <w:pPr>
        <w:keepNext w:val="0"/>
        <w:keepLines w:val="0"/>
        <w:pageBreakBefore w:val="0"/>
        <w:numPr>
          <w:ilvl w:val="0"/>
          <w:numId w:val="3"/>
        </w:numPr>
        <w:kinsoku/>
        <w:wordWrap/>
        <w:overflowPunct/>
        <w:topLinePunct w:val="0"/>
        <w:autoSpaceDE/>
        <w:autoSpaceDN/>
        <w:bidi w:val="0"/>
        <w:adjustRightInd/>
        <w:snapToGrid/>
        <w:spacing w:line="576" w:lineRule="exact"/>
        <w:ind w:left="0" w:leftChars="0" w:firstLine="643" w:firstLineChars="200"/>
        <w:textAlignment w:val="auto"/>
        <w:rPr>
          <w:rFonts w:hint="eastAsia"/>
          <w:lang w:eastAsia="zh-CN"/>
        </w:rPr>
      </w:pPr>
      <w:r>
        <w:rPr>
          <w:rFonts w:hint="eastAsia" w:ascii="仿宋" w:hAnsi="仿宋" w:eastAsia="仿宋" w:cs="Times New Roman"/>
          <w:b/>
          <w:bCs/>
          <w:color w:val="auto"/>
          <w:sz w:val="32"/>
          <w:szCs w:val="32"/>
          <w:highlight w:val="none"/>
        </w:rPr>
        <w:t>公共安全</w:t>
      </w:r>
      <w:r>
        <w:rPr>
          <w:rFonts w:hint="eastAsia" w:ascii="仿宋" w:hAnsi="仿宋" w:eastAsia="仿宋" w:cs="Times New Roman"/>
          <w:b/>
          <w:bCs/>
          <w:color w:val="auto"/>
          <w:sz w:val="32"/>
          <w:szCs w:val="32"/>
          <w:highlight w:val="none"/>
          <w:lang w:eastAsia="zh-CN"/>
        </w:rPr>
        <w:t>：</w:t>
      </w:r>
      <w:r>
        <w:rPr>
          <w:rFonts w:hint="eastAsia" w:ascii="仿宋_GB2312" w:hAnsi="仿宋" w:eastAsia="仿宋_GB2312" w:cs="仿宋"/>
          <w:color w:val="000000"/>
          <w:sz w:val="32"/>
          <w:szCs w:val="32"/>
        </w:rPr>
        <w:t>支出</w:t>
      </w:r>
      <w:r>
        <w:rPr>
          <w:rFonts w:hint="eastAsia" w:ascii="仿宋" w:hAnsi="仿宋" w:eastAsia="仿宋" w:cs="Times New Roman"/>
          <w:b/>
          <w:bCs/>
          <w:color w:val="auto"/>
          <w:sz w:val="32"/>
          <w:szCs w:val="32"/>
          <w:highlight w:val="none"/>
          <w:lang w:eastAsia="zh-CN"/>
        </w:rPr>
        <w:t>决算数为</w:t>
      </w:r>
      <w:r>
        <w:rPr>
          <w:rFonts w:hint="eastAsia" w:ascii="仿宋_GB2312" w:hAnsi="仿宋" w:eastAsia="仿宋_GB2312" w:cs="仿宋"/>
          <w:color w:val="000000"/>
          <w:sz w:val="32"/>
          <w:szCs w:val="32"/>
          <w:lang w:val="en-US" w:eastAsia="zh-CN"/>
        </w:rPr>
        <w:t>580</w:t>
      </w:r>
      <w:r>
        <w:rPr>
          <w:rFonts w:hint="eastAsia" w:ascii="仿宋_GB2312" w:hAnsi="仿宋" w:eastAsia="仿宋_GB2312" w:cs="仿宋"/>
          <w:color w:val="000000"/>
          <w:sz w:val="32"/>
          <w:szCs w:val="32"/>
        </w:rPr>
        <w:t>万元</w:t>
      </w:r>
      <w:r>
        <w:rPr>
          <w:rFonts w:hint="eastAsia" w:ascii="仿宋_GB2312" w:hAnsi="仿宋" w:cs="仿宋"/>
          <w:color w:val="000000"/>
          <w:sz w:val="32"/>
          <w:szCs w:val="32"/>
          <w:lang w:eastAsia="zh-CN"/>
        </w:rPr>
        <w:t>，</w:t>
      </w:r>
      <w:r>
        <w:rPr>
          <w:rFonts w:hint="eastAsia" w:ascii="仿宋" w:hAnsi="仿宋" w:eastAsia="仿宋" w:cs="Times New Roman"/>
          <w:b/>
          <w:bCs/>
          <w:color w:val="auto"/>
          <w:sz w:val="32"/>
          <w:szCs w:val="32"/>
          <w:highlight w:val="none"/>
          <w:lang w:val="en-US" w:eastAsia="zh-CN"/>
        </w:rPr>
        <w:t>，</w:t>
      </w:r>
      <w:r>
        <w:rPr>
          <w:rStyle w:val="19"/>
          <w:rFonts w:hint="eastAsia" w:ascii="仿宋" w:hAnsi="仿宋" w:eastAsia="仿宋"/>
          <w:b w:val="0"/>
          <w:bCs/>
          <w:color w:val="auto"/>
          <w:sz w:val="32"/>
          <w:szCs w:val="32"/>
          <w:highlight w:val="none"/>
        </w:rPr>
        <w:t>完成预算</w:t>
      </w:r>
      <w:r>
        <w:rPr>
          <w:rStyle w:val="19"/>
          <w:rFonts w:hint="eastAsia" w:ascii="仿宋" w:hAnsi="仿宋" w:eastAsia="仿宋"/>
          <w:b w:val="0"/>
          <w:bCs/>
          <w:color w:val="auto"/>
          <w:sz w:val="32"/>
          <w:szCs w:val="32"/>
          <w:highlight w:val="none"/>
          <w:lang w:val="en-US" w:eastAsia="zh-CN"/>
        </w:rPr>
        <w:t>100</w:t>
      </w:r>
      <w:r>
        <w:rPr>
          <w:rStyle w:val="19"/>
          <w:rFonts w:ascii="仿宋" w:hAnsi="仿宋" w:eastAsia="仿宋"/>
          <w:b w:val="0"/>
          <w:bCs/>
          <w:color w:val="auto"/>
          <w:sz w:val="32"/>
          <w:szCs w:val="32"/>
          <w:highlight w:val="none"/>
        </w:rPr>
        <w:t>%</w:t>
      </w:r>
      <w:r>
        <w:rPr>
          <w:rStyle w:val="19"/>
          <w:rFonts w:hint="eastAsia" w:ascii="仿宋" w:hAnsi="仿宋" w:eastAsia="仿宋"/>
          <w:b w:val="0"/>
          <w:bCs/>
          <w:color w:val="auto"/>
          <w:sz w:val="32"/>
          <w:szCs w:val="32"/>
          <w:highlight w:val="none"/>
        </w:rPr>
        <w:t>，决算数等于预算数</w:t>
      </w:r>
      <w:r>
        <w:rPr>
          <w:rStyle w:val="19"/>
          <w:rFonts w:hint="eastAsia" w:ascii="仿宋" w:hAnsi="仿宋" w:eastAsia="仿宋"/>
          <w:b w:val="0"/>
          <w:bCs/>
          <w:color w:val="auto"/>
          <w:sz w:val="32"/>
          <w:szCs w:val="32"/>
          <w:highlight w:val="none"/>
          <w:lang w:eastAsia="zh-CN"/>
        </w:rPr>
        <w:t>。</w:t>
      </w:r>
    </w:p>
    <w:p>
      <w:pPr>
        <w:keepNext w:val="0"/>
        <w:keepLines w:val="0"/>
        <w:pageBreakBefore w:val="0"/>
        <w:tabs>
          <w:tab w:val="right" w:pos="8306"/>
        </w:tabs>
        <w:kinsoku/>
        <w:wordWrap/>
        <w:overflowPunct/>
        <w:topLinePunct w:val="0"/>
        <w:autoSpaceDE/>
        <w:autoSpaceDN/>
        <w:bidi w:val="0"/>
        <w:adjustRightInd/>
        <w:snapToGrid/>
        <w:spacing w:line="576" w:lineRule="exact"/>
        <w:ind w:firstLine="640"/>
        <w:textAlignment w:val="auto"/>
        <w:outlineLvl w:val="1"/>
        <w:rPr>
          <w:rStyle w:val="32"/>
          <w:color w:val="auto"/>
          <w:highlight w:val="none"/>
        </w:rPr>
      </w:pPr>
      <w:bookmarkStart w:id="34" w:name="_Toc15396608"/>
      <w:bookmarkStart w:id="35" w:name="_Toc15377214"/>
      <w:r>
        <w:rPr>
          <w:rFonts w:hint="eastAsia" w:ascii="黑体" w:eastAsia="黑体"/>
          <w:color w:val="auto"/>
          <w:sz w:val="32"/>
          <w:szCs w:val="32"/>
          <w:highlight w:val="none"/>
        </w:rPr>
        <w:t>六</w:t>
      </w:r>
      <w:r>
        <w:rPr>
          <w:rFonts w:hint="eastAsia" w:ascii="黑体" w:eastAsia="黑体"/>
          <w:b/>
          <w:color w:val="auto"/>
          <w:sz w:val="32"/>
          <w:szCs w:val="32"/>
          <w:highlight w:val="none"/>
        </w:rPr>
        <w:t>、</w:t>
      </w:r>
      <w:r>
        <w:rPr>
          <w:rFonts w:hint="eastAsia" w:ascii="黑体" w:hAnsi="黑体" w:eastAsia="黑体"/>
          <w:b/>
          <w:color w:val="auto"/>
          <w:sz w:val="32"/>
          <w:szCs w:val="32"/>
          <w:highlight w:val="none"/>
        </w:rPr>
        <w:t>一</w:t>
      </w:r>
      <w:r>
        <w:rPr>
          <w:rStyle w:val="32"/>
          <w:rFonts w:hint="eastAsia" w:ascii="黑体" w:hAnsi="黑体" w:eastAsia="黑体"/>
          <w:b w:val="0"/>
          <w:color w:val="auto"/>
          <w:highlight w:val="none"/>
        </w:rPr>
        <w:t>般公共预算财政拨款基本支出决算情况说明</w:t>
      </w:r>
      <w:bookmarkEnd w:id="34"/>
      <w:bookmarkEnd w:id="35"/>
      <w:r>
        <w:rPr>
          <w:rStyle w:val="32"/>
          <w:rFonts w:ascii="黑体" w:hAnsi="黑体" w:eastAsia="黑体"/>
          <w:b w:val="0"/>
          <w:color w:val="auto"/>
          <w:highlight w:val="none"/>
        </w:rPr>
        <w:tab/>
      </w:r>
    </w:p>
    <w:p>
      <w:pPr>
        <w:keepNext w:val="0"/>
        <w:keepLines w:val="0"/>
        <w:pageBreakBefore w:val="0"/>
        <w:kinsoku/>
        <w:wordWrap/>
        <w:overflowPunct/>
        <w:topLinePunct w:val="0"/>
        <w:autoSpaceDE/>
        <w:autoSpaceDN/>
        <w:bidi w:val="0"/>
        <w:adjustRightInd/>
        <w:snapToGrid/>
        <w:spacing w:line="576" w:lineRule="exact"/>
        <w:ind w:firstLine="645"/>
        <w:textAlignment w:val="auto"/>
        <w:rPr>
          <w:rFonts w:hint="eastAsia"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年一般公共预算财政拨款基本支出</w:t>
      </w:r>
      <w:r>
        <w:rPr>
          <w:rFonts w:hint="eastAsia" w:ascii="仿宋" w:hAnsi="仿宋" w:eastAsia="仿宋"/>
          <w:color w:val="auto"/>
          <w:sz w:val="32"/>
          <w:szCs w:val="32"/>
          <w:highlight w:val="none"/>
          <w:lang w:val="en-US" w:eastAsia="zh-CN"/>
        </w:rPr>
        <w:t>613.39</w:t>
      </w:r>
      <w:r>
        <w:rPr>
          <w:rFonts w:hint="eastAsia" w:ascii="仿宋_GB2312" w:hAnsi="仿宋" w:eastAsia="仿宋_GB2312" w:cs="Times New Roman"/>
          <w:color w:val="000000"/>
          <w:sz w:val="32"/>
          <w:szCs w:val="32"/>
        </w:rPr>
        <w:t>万元</w:t>
      </w:r>
      <w:r>
        <w:rPr>
          <w:rFonts w:hint="eastAsia" w:ascii="仿宋" w:hAnsi="仿宋" w:eastAsia="仿宋"/>
          <w:color w:val="auto"/>
          <w:sz w:val="32"/>
          <w:szCs w:val="32"/>
          <w:highlight w:val="none"/>
        </w:rPr>
        <w:t>，其中：</w:t>
      </w:r>
    </w:p>
    <w:p>
      <w:pPr>
        <w:keepNext w:val="0"/>
        <w:keepLines w:val="0"/>
        <w:pageBreakBefore w:val="0"/>
        <w:kinsoku/>
        <w:wordWrap/>
        <w:overflowPunct/>
        <w:topLinePunct w:val="0"/>
        <w:autoSpaceDE/>
        <w:autoSpaceDN/>
        <w:bidi w:val="0"/>
        <w:adjustRightInd/>
        <w:snapToGrid/>
        <w:spacing w:line="576" w:lineRule="exact"/>
        <w:ind w:firstLine="645"/>
        <w:textAlignment w:val="auto"/>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rPr>
        <w:t>人员经费</w:t>
      </w:r>
      <w:r>
        <w:rPr>
          <w:rFonts w:hint="eastAsia" w:ascii="仿宋" w:hAnsi="仿宋" w:eastAsia="仿宋"/>
          <w:color w:val="auto"/>
          <w:sz w:val="32"/>
          <w:szCs w:val="32"/>
          <w:highlight w:val="none"/>
          <w:lang w:val="en-US" w:eastAsia="zh-CN"/>
        </w:rPr>
        <w:t>251.74</w:t>
      </w:r>
      <w:r>
        <w:rPr>
          <w:rFonts w:hint="eastAsia" w:ascii="仿宋" w:hAnsi="仿宋" w:eastAsia="仿宋"/>
          <w:color w:val="auto"/>
          <w:sz w:val="32"/>
          <w:szCs w:val="32"/>
          <w:highlight w:val="none"/>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ascii="仿宋" w:hAnsi="仿宋" w:eastAsia="仿宋"/>
          <w:color w:val="auto"/>
          <w:sz w:val="32"/>
          <w:szCs w:val="32"/>
          <w:highlight w:val="none"/>
        </w:rPr>
      </w:pPr>
      <w:r>
        <w:rPr>
          <w:rFonts w:hint="eastAsia" w:ascii="仿宋" w:hAnsi="仿宋" w:eastAsia="仿宋"/>
          <w:color w:val="auto"/>
          <w:sz w:val="32"/>
          <w:szCs w:val="32"/>
          <w:highlight w:val="none"/>
        </w:rPr>
        <w:t>公用经费</w:t>
      </w:r>
      <w:r>
        <w:rPr>
          <w:rFonts w:hint="eastAsia" w:ascii="仿宋" w:hAnsi="仿宋" w:eastAsia="仿宋"/>
          <w:color w:val="auto"/>
          <w:sz w:val="32"/>
          <w:szCs w:val="32"/>
          <w:highlight w:val="none"/>
          <w:lang w:val="en-US" w:eastAsia="zh-CN"/>
        </w:rPr>
        <w:t>361.65</w:t>
      </w:r>
      <w:r>
        <w:rPr>
          <w:rFonts w:hint="eastAsia" w:ascii="仿宋" w:hAnsi="仿宋" w:eastAsia="仿宋"/>
          <w:color w:val="auto"/>
          <w:sz w:val="32"/>
          <w:szCs w:val="32"/>
          <w:highlight w:val="none"/>
        </w:rPr>
        <w:t>万元，主要包括：办公费、印刷费、咨询费、手续费、水费、电费、邮电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keepNext w:val="0"/>
        <w:keepLines w:val="0"/>
        <w:pageBreakBefore w:val="0"/>
        <w:kinsoku/>
        <w:wordWrap/>
        <w:overflowPunct/>
        <w:topLinePunct w:val="0"/>
        <w:autoSpaceDE/>
        <w:autoSpaceDN/>
        <w:bidi w:val="0"/>
        <w:adjustRightInd/>
        <w:snapToGrid/>
        <w:spacing w:line="576" w:lineRule="exact"/>
        <w:ind w:firstLine="640"/>
        <w:textAlignment w:val="auto"/>
        <w:outlineLvl w:val="1"/>
        <w:rPr>
          <w:rStyle w:val="32"/>
          <w:rFonts w:ascii="黑体" w:hAnsi="黑体" w:eastAsia="黑体"/>
          <w:b w:val="0"/>
          <w:color w:val="auto"/>
          <w:highlight w:val="none"/>
        </w:rPr>
      </w:pPr>
      <w:bookmarkStart w:id="36" w:name="_Toc15396609"/>
      <w:bookmarkStart w:id="37" w:name="_Toc15377215"/>
      <w:r>
        <w:rPr>
          <w:rFonts w:hint="eastAsia" w:ascii="黑体" w:eastAsia="黑体"/>
          <w:color w:val="auto"/>
          <w:sz w:val="32"/>
          <w:szCs w:val="32"/>
          <w:highlight w:val="none"/>
        </w:rPr>
        <w:t>七、</w:t>
      </w:r>
      <w:r>
        <w:rPr>
          <w:rStyle w:val="32"/>
          <w:rFonts w:hint="eastAsia" w:ascii="黑体" w:hAnsi="黑体" w:eastAsia="黑体"/>
          <w:color w:val="auto"/>
          <w:highlight w:val="none"/>
        </w:rPr>
        <w:t>“</w:t>
      </w:r>
      <w:r>
        <w:rPr>
          <w:rStyle w:val="32"/>
          <w:rFonts w:hint="eastAsia" w:ascii="黑体" w:hAnsi="黑体" w:eastAsia="黑体"/>
          <w:b w:val="0"/>
          <w:color w:val="auto"/>
          <w:highlight w:val="none"/>
        </w:rPr>
        <w:t>三公”经费财政拨款支出决算情况说明</w:t>
      </w:r>
      <w:bookmarkEnd w:id="36"/>
      <w:bookmarkEnd w:id="37"/>
    </w:p>
    <w:p>
      <w:pPr>
        <w:keepNext w:val="0"/>
        <w:keepLines w:val="0"/>
        <w:pageBreakBefore w:val="0"/>
        <w:kinsoku/>
        <w:wordWrap/>
        <w:overflowPunct/>
        <w:topLinePunct w:val="0"/>
        <w:autoSpaceDE/>
        <w:autoSpaceDN/>
        <w:bidi w:val="0"/>
        <w:adjustRightInd/>
        <w:snapToGrid/>
        <w:spacing w:line="576" w:lineRule="exact"/>
        <w:ind w:firstLine="640"/>
        <w:textAlignment w:val="auto"/>
        <w:outlineLvl w:val="2"/>
        <w:rPr>
          <w:rFonts w:ascii="仿宋" w:hAnsi="仿宋" w:eastAsia="仿宋"/>
          <w:b/>
          <w:color w:val="auto"/>
          <w:sz w:val="32"/>
          <w:szCs w:val="32"/>
          <w:highlight w:val="none"/>
        </w:rPr>
      </w:pPr>
      <w:bookmarkStart w:id="38" w:name="_Toc15377216"/>
      <w:r>
        <w:rPr>
          <w:rFonts w:hint="eastAsia" w:ascii="仿宋" w:hAnsi="仿宋" w:eastAsia="仿宋"/>
          <w:b/>
          <w:color w:val="auto"/>
          <w:sz w:val="32"/>
          <w:szCs w:val="32"/>
          <w:highlight w:val="none"/>
        </w:rPr>
        <w:t>（一）“三公”经费财政拨款支出决算总体情况说明</w:t>
      </w:r>
      <w:bookmarkEnd w:id="38"/>
    </w:p>
    <w:p>
      <w:pPr>
        <w:pStyle w:val="15"/>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576" w:lineRule="exact"/>
        <w:ind w:left="0" w:right="0" w:firstLine="645"/>
        <w:jc w:val="both"/>
        <w:textAlignment w:val="auto"/>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年“三公”经费财政拨款支出决算为</w:t>
      </w:r>
      <w:r>
        <w:rPr>
          <w:rFonts w:hint="eastAsia" w:ascii="仿宋" w:hAnsi="仿宋" w:eastAsia="仿宋"/>
          <w:color w:val="auto"/>
          <w:sz w:val="32"/>
          <w:szCs w:val="32"/>
          <w:highlight w:val="none"/>
          <w:lang w:val="en-US" w:eastAsia="zh-CN"/>
        </w:rPr>
        <w:t>9.84</w:t>
      </w:r>
      <w:r>
        <w:rPr>
          <w:rFonts w:hint="eastAsia" w:ascii="仿宋" w:hAnsi="仿宋" w:eastAsia="仿宋"/>
          <w:color w:val="auto"/>
          <w:sz w:val="32"/>
          <w:szCs w:val="32"/>
          <w:highlight w:val="none"/>
        </w:rPr>
        <w:t>万元，完成预算</w:t>
      </w:r>
      <w:r>
        <w:rPr>
          <w:rFonts w:hint="eastAsia" w:ascii="仿宋" w:hAnsi="仿宋" w:eastAsia="仿宋"/>
          <w:color w:val="auto"/>
          <w:sz w:val="32"/>
          <w:szCs w:val="32"/>
          <w:highlight w:val="none"/>
          <w:lang w:val="en-US" w:eastAsia="zh-CN"/>
        </w:rPr>
        <w:t>96</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eastAsia="zh-CN"/>
        </w:rPr>
        <w:t>较上年减少</w:t>
      </w:r>
      <w:r>
        <w:rPr>
          <w:rFonts w:hint="eastAsia" w:ascii="仿宋" w:hAnsi="仿宋" w:eastAsia="仿宋"/>
          <w:color w:val="auto"/>
          <w:sz w:val="32"/>
          <w:szCs w:val="32"/>
          <w:highlight w:val="none"/>
          <w:lang w:val="en-US" w:eastAsia="zh-CN"/>
        </w:rPr>
        <w:t>0.54万元，下降5.2%。</w:t>
      </w:r>
      <w:r>
        <w:rPr>
          <w:rFonts w:hint="eastAsia" w:ascii="仿宋" w:hAnsi="仿宋" w:eastAsia="仿宋"/>
          <w:color w:val="auto"/>
          <w:sz w:val="32"/>
          <w:szCs w:val="32"/>
          <w:highlight w:val="none"/>
        </w:rPr>
        <w:t>决算数小于预算数的主要原因是</w:t>
      </w:r>
      <w:r>
        <w:rPr>
          <w:rFonts w:hint="default" w:ascii="仿宋_GB2312" w:hAnsi="微软雅黑" w:eastAsia="仿宋_GB2312" w:cs="仿宋_GB2312"/>
          <w:color w:val="auto"/>
          <w:sz w:val="31"/>
          <w:szCs w:val="31"/>
        </w:rPr>
        <w:t>按照党中央、国务院关于过“紧日子”和坚持厉行节约反对浪费的要求，进一步减少公务接待费支出。</w:t>
      </w:r>
    </w:p>
    <w:p>
      <w:pPr>
        <w:keepNext w:val="0"/>
        <w:keepLines w:val="0"/>
        <w:pageBreakBefore w:val="0"/>
        <w:kinsoku/>
        <w:wordWrap/>
        <w:overflowPunct/>
        <w:topLinePunct w:val="0"/>
        <w:autoSpaceDE/>
        <w:autoSpaceDN/>
        <w:bidi w:val="0"/>
        <w:adjustRightInd/>
        <w:snapToGrid/>
        <w:spacing w:line="576" w:lineRule="exact"/>
        <w:ind w:firstLine="640"/>
        <w:textAlignment w:val="auto"/>
        <w:outlineLvl w:val="2"/>
        <w:rPr>
          <w:rFonts w:ascii="仿宋" w:hAnsi="仿宋" w:eastAsia="仿宋"/>
          <w:b/>
          <w:color w:val="auto"/>
          <w:sz w:val="32"/>
          <w:szCs w:val="32"/>
          <w:highlight w:val="none"/>
        </w:rPr>
      </w:pPr>
      <w:bookmarkStart w:id="39" w:name="_Toc15377217"/>
      <w:r>
        <w:rPr>
          <w:rFonts w:hint="eastAsia" w:ascii="仿宋" w:hAnsi="仿宋" w:eastAsia="仿宋"/>
          <w:b/>
          <w:color w:val="auto"/>
          <w:sz w:val="32"/>
          <w:szCs w:val="32"/>
          <w:highlight w:val="none"/>
        </w:rPr>
        <w:t>（二）“三公”经费财政拨款支出决算具体情况说明</w:t>
      </w:r>
      <w:bookmarkEnd w:id="39"/>
    </w:p>
    <w:p>
      <w:pPr>
        <w:keepNext w:val="0"/>
        <w:keepLines w:val="0"/>
        <w:pageBreakBefore w:val="0"/>
        <w:kinsoku/>
        <w:wordWrap/>
        <w:overflowPunct/>
        <w:topLinePunct w:val="0"/>
        <w:autoSpaceDE/>
        <w:autoSpaceDN/>
        <w:bidi w:val="0"/>
        <w:adjustRightInd/>
        <w:snapToGrid/>
        <w:spacing w:line="576" w:lineRule="exact"/>
        <w:ind w:firstLine="640"/>
        <w:textAlignment w:val="auto"/>
        <w:rPr>
          <w:rFonts w:hint="eastAsia"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年“三公”经费财政拨款支出决算中，因公出国（境）费支出决算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；公务用车购置及运行维护费支出决算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；公务接待费支出决算</w:t>
      </w:r>
      <w:r>
        <w:rPr>
          <w:rFonts w:hint="eastAsia" w:ascii="仿宋" w:hAnsi="仿宋" w:eastAsia="仿宋"/>
          <w:color w:val="auto"/>
          <w:sz w:val="32"/>
          <w:szCs w:val="32"/>
          <w:highlight w:val="none"/>
          <w:lang w:val="en-US" w:eastAsia="zh-CN"/>
        </w:rPr>
        <w:t>9.84</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。具体情况如下：</w:t>
      </w:r>
    </w:p>
    <w:p>
      <w:pPr>
        <w:pStyle w:val="6"/>
        <w:jc w:val="center"/>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lang w:eastAsia="zh-CN"/>
        </w:rPr>
        <w:drawing>
          <wp:inline distT="0" distB="0" distL="114300" distR="114300">
            <wp:extent cx="5272405" cy="3009265"/>
            <wp:effectExtent l="0" t="0" r="4445" b="635"/>
            <wp:docPr id="3" name="图片 3" descr="截图录屏_选择区域_20230925161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截图录屏_选择区域_20230925161207"/>
                    <pic:cNvPicPr>
                      <a:picLocks noChangeAspect="1"/>
                    </pic:cNvPicPr>
                  </pic:nvPicPr>
                  <pic:blipFill>
                    <a:blip r:embed="rId12"/>
                    <a:stretch>
                      <a:fillRect/>
                    </a:stretch>
                  </pic:blipFill>
                  <pic:spPr>
                    <a:xfrm>
                      <a:off x="0" y="0"/>
                      <a:ext cx="5272405" cy="3009265"/>
                    </a:xfrm>
                    <a:prstGeom prst="rect">
                      <a:avLst/>
                    </a:prstGeom>
                  </pic:spPr>
                </pic:pic>
              </a:graphicData>
            </a:graphic>
          </wp:inline>
        </w:drawing>
      </w:r>
    </w:p>
    <w:p>
      <w:pPr>
        <w:pStyle w:val="6"/>
      </w:pPr>
    </w:p>
    <w:p>
      <w:pPr>
        <w:numPr>
          <w:ilvl w:val="0"/>
          <w:numId w:val="4"/>
        </w:numPr>
        <w:spacing w:line="600" w:lineRule="exact"/>
        <w:ind w:firstLine="640"/>
        <w:rPr>
          <w:rFonts w:hint="eastAsia" w:ascii="仿宋_GB2312" w:eastAsia="仿宋_GB2312"/>
          <w:color w:val="auto"/>
          <w:sz w:val="32"/>
          <w:szCs w:val="32"/>
          <w:highlight w:val="none"/>
        </w:rPr>
      </w:pPr>
      <w:r>
        <w:rPr>
          <w:rFonts w:hint="eastAsia" w:ascii="仿宋_GB2312" w:eastAsia="仿宋_GB2312"/>
          <w:b/>
          <w:color w:val="auto"/>
          <w:sz w:val="32"/>
          <w:szCs w:val="32"/>
          <w:highlight w:val="none"/>
        </w:rPr>
        <w:t>因公出国（境）经费支出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年初未安排预算，与上年数无变化。</w:t>
      </w:r>
    </w:p>
    <w:p>
      <w:pPr>
        <w:numPr>
          <w:ilvl w:val="0"/>
          <w:numId w:val="0"/>
        </w:numPr>
        <w:spacing w:line="600" w:lineRule="exact"/>
        <w:ind w:firstLine="643" w:firstLineChars="200"/>
        <w:rPr>
          <w:rFonts w:hint="eastAsia" w:ascii="仿宋_GB2312" w:eastAsia="仿宋_GB2312"/>
          <w:color w:val="auto"/>
          <w:sz w:val="32"/>
          <w:szCs w:val="32"/>
          <w:highlight w:val="none"/>
        </w:rPr>
      </w:pPr>
      <w:r>
        <w:rPr>
          <w:rFonts w:ascii="仿宋_GB2312" w:eastAsia="仿宋_GB2312"/>
          <w:b/>
          <w:color w:val="auto"/>
          <w:sz w:val="32"/>
          <w:szCs w:val="32"/>
          <w:highlight w:val="none"/>
        </w:rPr>
        <w:t>2.</w:t>
      </w:r>
      <w:r>
        <w:rPr>
          <w:rFonts w:hint="eastAsia" w:ascii="仿宋_GB2312" w:eastAsia="仿宋_GB2312"/>
          <w:b/>
          <w:color w:val="auto"/>
          <w:sz w:val="32"/>
          <w:szCs w:val="32"/>
          <w:highlight w:val="none"/>
        </w:rPr>
        <w:t>公务用车购置及运行维护费支出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年初未安排预算。</w:t>
      </w:r>
    </w:p>
    <w:p>
      <w:pPr>
        <w:pageBreakBefore w:val="0"/>
        <w:kinsoku/>
        <w:wordWrap/>
        <w:overflowPunct/>
        <w:topLinePunct w:val="0"/>
        <w:bidi w:val="0"/>
        <w:snapToGrid/>
        <w:spacing w:line="576" w:lineRule="exact"/>
        <w:ind w:firstLine="640" w:firstLineChars="200"/>
        <w:textAlignment w:val="auto"/>
        <w:rPr>
          <w:rFonts w:ascii="仿宋_GB2312" w:eastAsia="仿宋_GB2312"/>
          <w:b/>
          <w:color w:val="auto"/>
          <w:sz w:val="32"/>
          <w:szCs w:val="32"/>
          <w:highlight w:val="none"/>
        </w:rPr>
      </w:pPr>
      <w:r>
        <w:rPr>
          <w:rFonts w:hint="eastAsia" w:ascii="仿宋_GB2312" w:eastAsia="仿宋_GB2312"/>
          <w:color w:val="auto"/>
          <w:sz w:val="32"/>
          <w:szCs w:val="32"/>
          <w:highlight w:val="none"/>
          <w:lang w:val="en-US" w:eastAsia="zh-CN"/>
        </w:rPr>
        <w:t>在公务用车制度改革后，不允许单位购买公务用车。因公出差向机关事务局申请公务用车，公务用车有保障。</w:t>
      </w:r>
    </w:p>
    <w:p>
      <w:pPr>
        <w:spacing w:line="600" w:lineRule="exact"/>
        <w:ind w:firstLine="640"/>
      </w:pPr>
      <w:r>
        <w:rPr>
          <w:rFonts w:hint="eastAsia" w:ascii="仿宋_GB2312" w:eastAsia="仿宋_GB2312"/>
          <w:b/>
          <w:color w:val="auto"/>
          <w:sz w:val="32"/>
          <w:szCs w:val="32"/>
          <w:highlight w:val="none"/>
        </w:rPr>
        <w:t>公务用车运行维护费支出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right="0" w:firstLine="645"/>
        <w:jc w:val="both"/>
        <w:textAlignment w:val="auto"/>
        <w:rPr>
          <w:rFonts w:ascii="仿宋_GB2312" w:eastAsia="仿宋_GB2312"/>
          <w:color w:val="auto"/>
          <w:sz w:val="32"/>
          <w:szCs w:val="32"/>
          <w:highlight w:val="none"/>
        </w:rPr>
      </w:pPr>
      <w:r>
        <w:rPr>
          <w:rFonts w:ascii="仿宋_GB2312" w:eastAsia="仿宋_GB2312"/>
          <w:b/>
          <w:color w:val="auto"/>
          <w:sz w:val="32"/>
          <w:szCs w:val="32"/>
          <w:highlight w:val="none"/>
        </w:rPr>
        <w:t>3.</w:t>
      </w:r>
      <w:r>
        <w:rPr>
          <w:rFonts w:hint="eastAsia" w:ascii="仿宋_GB2312" w:eastAsia="仿宋_GB2312"/>
          <w:b/>
          <w:color w:val="auto"/>
          <w:sz w:val="32"/>
          <w:szCs w:val="32"/>
          <w:highlight w:val="none"/>
        </w:rPr>
        <w:t>公务接待费支出</w:t>
      </w:r>
      <w:r>
        <w:rPr>
          <w:rFonts w:hint="eastAsia" w:ascii="仿宋_GB2312" w:eastAsia="仿宋_GB2312"/>
          <w:color w:val="auto"/>
          <w:sz w:val="32"/>
          <w:szCs w:val="32"/>
          <w:highlight w:val="none"/>
          <w:lang w:val="en-US" w:eastAsia="zh-CN"/>
        </w:rPr>
        <w:t>9.84</w:t>
      </w:r>
      <w:r>
        <w:rPr>
          <w:rFonts w:hint="eastAsia" w:ascii="仿宋_GB2312" w:eastAsia="仿宋_GB2312"/>
          <w:color w:val="auto"/>
          <w:sz w:val="32"/>
          <w:szCs w:val="32"/>
          <w:highlight w:val="none"/>
        </w:rPr>
        <w:t>万元，</w:t>
      </w:r>
      <w:r>
        <w:rPr>
          <w:rStyle w:val="19"/>
          <w:rFonts w:hint="eastAsia" w:ascii="仿宋" w:hAnsi="仿宋" w:eastAsia="仿宋"/>
          <w:b w:val="0"/>
          <w:bCs/>
          <w:color w:val="auto"/>
          <w:sz w:val="32"/>
          <w:szCs w:val="32"/>
          <w:highlight w:val="none"/>
        </w:rPr>
        <w:t>完成预算</w:t>
      </w:r>
      <w:r>
        <w:rPr>
          <w:rStyle w:val="19"/>
          <w:rFonts w:hint="eastAsia" w:ascii="仿宋" w:hAnsi="仿宋" w:eastAsia="仿宋"/>
          <w:b w:val="0"/>
          <w:bCs/>
          <w:color w:val="auto"/>
          <w:sz w:val="32"/>
          <w:szCs w:val="32"/>
          <w:highlight w:val="none"/>
          <w:lang w:val="en-US" w:eastAsia="zh-CN"/>
        </w:rPr>
        <w:t>96</w:t>
      </w:r>
      <w:r>
        <w:rPr>
          <w:rStyle w:val="19"/>
          <w:rFonts w:ascii="仿宋" w:hAnsi="仿宋" w:eastAsia="仿宋"/>
          <w:b w:val="0"/>
          <w:bCs/>
          <w:color w:val="auto"/>
          <w:sz w:val="32"/>
          <w:szCs w:val="32"/>
          <w:highlight w:val="none"/>
        </w:rPr>
        <w:t>%</w:t>
      </w:r>
      <w:r>
        <w:rPr>
          <w:rStyle w:val="19"/>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公务接待费支出决算比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年减少</w:t>
      </w:r>
      <w:r>
        <w:rPr>
          <w:rFonts w:hint="eastAsia" w:ascii="仿宋_GB2312" w:eastAsia="仿宋_GB2312"/>
          <w:color w:val="auto"/>
          <w:sz w:val="32"/>
          <w:szCs w:val="32"/>
          <w:highlight w:val="none"/>
          <w:lang w:val="en-US" w:eastAsia="zh-CN"/>
        </w:rPr>
        <w:t>0.54</w:t>
      </w:r>
      <w:r>
        <w:rPr>
          <w:rFonts w:hint="eastAsia" w:ascii="仿宋_GB2312" w:eastAsia="仿宋_GB2312"/>
          <w:color w:val="auto"/>
          <w:sz w:val="32"/>
          <w:szCs w:val="32"/>
          <w:highlight w:val="none"/>
        </w:rPr>
        <w:t>万元，下降</w:t>
      </w:r>
      <w:r>
        <w:rPr>
          <w:rFonts w:hint="eastAsia" w:ascii="仿宋_GB2312" w:eastAsia="仿宋_GB2312"/>
          <w:color w:val="auto"/>
          <w:sz w:val="32"/>
          <w:szCs w:val="32"/>
          <w:highlight w:val="none"/>
          <w:lang w:val="en-US" w:eastAsia="zh-CN"/>
        </w:rPr>
        <w:t>5.2</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。主要原因是</w:t>
      </w:r>
      <w:r>
        <w:rPr>
          <w:rFonts w:hint="default" w:ascii="仿宋_GB2312" w:hAnsi="微软雅黑" w:eastAsia="仿宋_GB2312" w:cs="仿宋_GB2312"/>
          <w:color w:val="auto"/>
          <w:sz w:val="31"/>
          <w:szCs w:val="31"/>
        </w:rPr>
        <w:t>按照党中央、国务院关于过“紧日子”和坚持厉行节约反对浪费的要求，进一步减少公务接待费支出</w:t>
      </w:r>
      <w:r>
        <w:rPr>
          <w:rFonts w:hint="eastAsia" w:ascii="仿宋" w:hAnsi="仿宋" w:eastAsia="仿宋"/>
          <w:color w:val="auto"/>
          <w:sz w:val="32"/>
          <w:szCs w:val="32"/>
          <w:highlight w:val="none"/>
        </w:rPr>
        <w:t>。</w:t>
      </w:r>
      <w:r>
        <w:rPr>
          <w:rFonts w:hint="eastAsia" w:ascii="仿宋_GB2312" w:eastAsia="仿宋_GB2312"/>
          <w:color w:val="auto"/>
          <w:sz w:val="32"/>
          <w:szCs w:val="32"/>
          <w:highlight w:val="none"/>
        </w:rPr>
        <w:t>其中：</w:t>
      </w:r>
    </w:p>
    <w:p>
      <w:pPr>
        <w:spacing w:line="600" w:lineRule="exact"/>
        <w:ind w:firstLine="640"/>
        <w:rPr>
          <w:rFonts w:hint="eastAsia" w:ascii="仿宋_GB2312" w:eastAsia="仿宋_GB2312"/>
          <w:color w:val="auto"/>
          <w:sz w:val="32"/>
          <w:szCs w:val="32"/>
          <w:highlight w:val="none"/>
          <w:lang w:val="en-US" w:eastAsia="zh-CN"/>
        </w:rPr>
      </w:pPr>
      <w:r>
        <w:rPr>
          <w:rFonts w:hint="eastAsia" w:ascii="仿宋" w:hAnsi="仿宋" w:eastAsia="仿宋"/>
          <w:b/>
          <w:color w:val="auto"/>
          <w:sz w:val="32"/>
          <w:szCs w:val="32"/>
          <w:highlight w:val="none"/>
        </w:rPr>
        <w:t>国内公务接待支出</w:t>
      </w:r>
      <w:r>
        <w:rPr>
          <w:rFonts w:hint="eastAsia" w:ascii="仿宋" w:hAnsi="仿宋" w:eastAsia="仿宋"/>
          <w:color w:val="auto"/>
          <w:sz w:val="32"/>
          <w:szCs w:val="32"/>
          <w:highlight w:val="none"/>
          <w:lang w:val="en-US" w:eastAsia="zh-CN"/>
        </w:rPr>
        <w:t>9.84</w:t>
      </w:r>
      <w:r>
        <w:rPr>
          <w:rFonts w:hint="eastAsia" w:ascii="仿宋_GB2312" w:eastAsia="仿宋_GB2312"/>
          <w:color w:val="auto"/>
          <w:sz w:val="32"/>
          <w:szCs w:val="32"/>
          <w:highlight w:val="none"/>
        </w:rPr>
        <w:t>万元，</w:t>
      </w:r>
      <w:r>
        <w:rPr>
          <w:rFonts w:hint="eastAsia" w:ascii="仿宋_GB2312" w:hAnsi="仿宋" w:eastAsia="仿宋_GB2312" w:cs="仿宋"/>
          <w:color w:val="000000"/>
          <w:sz w:val="32"/>
          <w:szCs w:val="32"/>
        </w:rPr>
        <w:t>主要用于执行公务、开展业务活动开支的住宿费、用餐费等。国内公务接待</w:t>
      </w:r>
      <w:r>
        <w:rPr>
          <w:rFonts w:hint="eastAsia" w:ascii="仿宋_GB2312" w:hAnsi="仿宋" w:eastAsia="仿宋_GB2312" w:cs="仿宋"/>
          <w:color w:val="000000"/>
          <w:sz w:val="32"/>
          <w:szCs w:val="32"/>
          <w:lang w:val="en-US" w:eastAsia="zh-CN"/>
        </w:rPr>
        <w:t>233</w:t>
      </w:r>
      <w:r>
        <w:rPr>
          <w:rFonts w:hint="eastAsia" w:ascii="仿宋_GB2312" w:hAnsi="仿宋" w:eastAsia="仿宋_GB2312" w:cs="仿宋"/>
          <w:color w:val="000000"/>
          <w:sz w:val="32"/>
          <w:szCs w:val="32"/>
        </w:rPr>
        <w:t>批次，</w:t>
      </w:r>
      <w:r>
        <w:rPr>
          <w:rFonts w:hint="eastAsia" w:ascii="仿宋_GB2312" w:hAnsi="仿宋" w:eastAsia="仿宋_GB2312" w:cs="仿宋"/>
          <w:color w:val="000000"/>
          <w:sz w:val="32"/>
          <w:szCs w:val="32"/>
          <w:lang w:val="en-US" w:eastAsia="zh-CN"/>
        </w:rPr>
        <w:t>1450</w:t>
      </w:r>
      <w:r>
        <w:rPr>
          <w:rFonts w:hint="eastAsia" w:ascii="仿宋_GB2312" w:hAnsi="仿宋" w:eastAsia="仿宋_GB2312" w:cs="仿宋"/>
          <w:color w:val="000000"/>
          <w:sz w:val="32"/>
          <w:szCs w:val="32"/>
        </w:rPr>
        <w:t>人次</w:t>
      </w:r>
      <w:r>
        <w:rPr>
          <w:rFonts w:hint="eastAsia" w:ascii="仿宋_GB2312" w:eastAsia="仿宋_GB2312"/>
          <w:color w:val="auto"/>
          <w:sz w:val="32"/>
          <w:szCs w:val="32"/>
          <w:highlight w:val="none"/>
        </w:rPr>
        <w:t>，共计支出</w:t>
      </w:r>
      <w:r>
        <w:rPr>
          <w:rFonts w:hint="eastAsia" w:ascii="仿宋_GB2312" w:eastAsia="仿宋_GB2312"/>
          <w:color w:val="auto"/>
          <w:sz w:val="32"/>
          <w:szCs w:val="32"/>
          <w:highlight w:val="none"/>
          <w:lang w:val="en-US" w:eastAsia="zh-CN"/>
        </w:rPr>
        <w:t>9.84</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val="en-US" w:eastAsia="zh-CN"/>
        </w:rPr>
        <w:t>.</w:t>
      </w:r>
    </w:p>
    <w:p>
      <w:pPr>
        <w:spacing w:line="600" w:lineRule="exact"/>
        <w:ind w:firstLine="640"/>
        <w:outlineLvl w:val="1"/>
        <w:rPr>
          <w:rFonts w:hint="eastAsia" w:ascii="仿宋_GB2312" w:eastAsia="仿宋_GB2312"/>
          <w:color w:val="auto"/>
          <w:sz w:val="32"/>
          <w:szCs w:val="32"/>
          <w:highlight w:val="none"/>
          <w:lang w:val="en-US" w:eastAsia="zh-CN"/>
        </w:rPr>
      </w:pPr>
      <w:r>
        <w:rPr>
          <w:rFonts w:hint="eastAsia" w:ascii="仿宋" w:hAnsi="仿宋" w:eastAsia="仿宋"/>
          <w:b/>
          <w:color w:val="auto"/>
          <w:sz w:val="32"/>
          <w:szCs w:val="32"/>
          <w:highlight w:val="none"/>
        </w:rPr>
        <w:t>外事接待支出</w:t>
      </w:r>
      <w:r>
        <w:rPr>
          <w:rFonts w:hint="eastAsia" w:ascii="仿宋" w:hAnsi="仿宋" w:eastAsia="仿宋"/>
          <w:color w:val="auto"/>
          <w:sz w:val="32"/>
          <w:szCs w:val="32"/>
          <w:highlight w:val="none"/>
          <w:lang w:val="en-US" w:eastAsia="zh-CN"/>
        </w:rPr>
        <w:t>0</w:t>
      </w:r>
      <w:r>
        <w:rPr>
          <w:rFonts w:hint="eastAsia" w:ascii="仿宋_GB2312" w:eastAsia="仿宋_GB2312"/>
          <w:color w:val="auto"/>
          <w:sz w:val="32"/>
          <w:szCs w:val="32"/>
          <w:highlight w:val="none"/>
        </w:rPr>
        <w:t>万元，外事接待</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批次，</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人，共计支出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bookmarkStart w:id="40" w:name="_Toc15377218"/>
      <w:bookmarkStart w:id="41" w:name="_Toc15396610"/>
      <w:r>
        <w:rPr>
          <w:rFonts w:hint="eastAsia" w:ascii="仿宋_GB2312" w:eastAsia="仿宋_GB2312"/>
          <w:color w:val="auto"/>
          <w:sz w:val="32"/>
          <w:szCs w:val="32"/>
          <w:highlight w:val="none"/>
          <w:lang w:val="en-US" w:eastAsia="zh-CN"/>
        </w:rPr>
        <w:t>.</w:t>
      </w:r>
    </w:p>
    <w:p>
      <w:pPr>
        <w:spacing w:line="600" w:lineRule="exact"/>
        <w:ind w:firstLine="640"/>
        <w:outlineLvl w:val="1"/>
        <w:rPr>
          <w:rStyle w:val="32"/>
          <w:rFonts w:ascii="黑体" w:hAnsi="黑体" w:eastAsia="黑体"/>
          <w:color w:val="auto"/>
          <w:highlight w:val="none"/>
        </w:rPr>
      </w:pPr>
      <w:r>
        <w:rPr>
          <w:rFonts w:hint="eastAsia" w:ascii="黑体" w:eastAsia="黑体"/>
          <w:color w:val="auto"/>
          <w:sz w:val="32"/>
          <w:szCs w:val="32"/>
          <w:highlight w:val="none"/>
        </w:rPr>
        <w:t>八、</w:t>
      </w:r>
      <w:r>
        <w:rPr>
          <w:rStyle w:val="32"/>
          <w:rFonts w:hint="eastAsia" w:ascii="黑体" w:hAnsi="黑体" w:eastAsia="黑体"/>
          <w:b w:val="0"/>
          <w:color w:val="auto"/>
          <w:highlight w:val="none"/>
        </w:rPr>
        <w:t>政府性基金预算支出决算情况说明</w:t>
      </w:r>
      <w:bookmarkEnd w:id="40"/>
      <w:bookmarkEnd w:id="41"/>
    </w:p>
    <w:p>
      <w:pPr>
        <w:spacing w:line="600" w:lineRule="exact"/>
        <w:ind w:firstLine="64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年政府性基金预算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numPr>
          <w:ilvl w:val="0"/>
          <w:numId w:val="5"/>
        </w:numPr>
        <w:spacing w:line="600" w:lineRule="exact"/>
        <w:ind w:firstLine="640"/>
        <w:outlineLvl w:val="1"/>
        <w:rPr>
          <w:rStyle w:val="32"/>
          <w:rFonts w:ascii="黑体" w:hAnsi="黑体" w:eastAsia="黑体"/>
          <w:b w:val="0"/>
          <w:color w:val="auto"/>
          <w:highlight w:val="none"/>
        </w:rPr>
      </w:pPr>
      <w:bookmarkStart w:id="42" w:name="_Toc15377219"/>
      <w:bookmarkStart w:id="43" w:name="_Toc15396611"/>
      <w:r>
        <w:rPr>
          <w:rStyle w:val="32"/>
          <w:rFonts w:hint="eastAsia" w:ascii="黑体" w:hAnsi="黑体" w:eastAsia="黑体"/>
          <w:b w:val="0"/>
          <w:color w:val="auto"/>
          <w:highlight w:val="none"/>
        </w:rPr>
        <w:t>国有资本经营预算支出决算情况说明</w:t>
      </w:r>
      <w:bookmarkEnd w:id="42"/>
      <w:bookmarkEnd w:id="43"/>
    </w:p>
    <w:p>
      <w:pPr>
        <w:spacing w:line="600" w:lineRule="exact"/>
        <w:ind w:firstLine="64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年国有资本经营预算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numPr>
          <w:ilvl w:val="0"/>
          <w:numId w:val="0"/>
        </w:numPr>
        <w:spacing w:line="600" w:lineRule="exact"/>
        <w:ind w:firstLine="640" w:firstLineChars="200"/>
        <w:outlineLvl w:val="1"/>
        <w:rPr>
          <w:rStyle w:val="32"/>
          <w:rFonts w:hint="eastAsia" w:ascii="黑体" w:hAnsi="黑体" w:eastAsia="黑体"/>
          <w:b w:val="0"/>
          <w:color w:val="auto"/>
          <w:highlight w:val="none"/>
        </w:rPr>
      </w:pPr>
      <w:bookmarkStart w:id="44" w:name="_Toc15396612"/>
      <w:bookmarkStart w:id="45" w:name="_Toc15377221"/>
      <w:r>
        <w:rPr>
          <w:rStyle w:val="32"/>
          <w:rFonts w:hint="eastAsia" w:ascii="黑体" w:hAnsi="黑体" w:eastAsia="黑体"/>
          <w:b w:val="0"/>
          <w:color w:val="auto"/>
          <w:highlight w:val="none"/>
          <w:lang w:val="en-US" w:eastAsia="zh-CN"/>
        </w:rPr>
        <w:t>十、预算绩效管理情况</w:t>
      </w:r>
    </w:p>
    <w:p>
      <w:pPr>
        <w:spacing w:line="58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根据预算绩效管理要求，本单位在</w:t>
      </w:r>
      <w:r>
        <w:rPr>
          <w:rFonts w:hint="eastAsia" w:ascii="仿宋_GB2312" w:hAnsi="仿宋_GB2312" w:eastAsia="仿宋_GB2312" w:cs="仿宋_GB2312"/>
          <w:color w:val="auto"/>
          <w:sz w:val="32"/>
          <w:szCs w:val="32"/>
          <w:highlight w:val="none"/>
          <w:lang w:val="en-US" w:eastAsia="zh-CN"/>
        </w:rPr>
        <w:t>2022年度</w:t>
      </w:r>
      <w:r>
        <w:rPr>
          <w:rFonts w:hint="eastAsia" w:ascii="仿宋_GB2312" w:hAnsi="仿宋_GB2312" w:eastAsia="仿宋_GB2312" w:cs="仿宋_GB2312"/>
          <w:color w:val="auto"/>
          <w:sz w:val="32"/>
          <w:szCs w:val="32"/>
          <w:highlight w:val="none"/>
        </w:rPr>
        <w:t>预算编制阶段，组织对</w:t>
      </w:r>
      <w:r>
        <w:rPr>
          <w:rFonts w:hint="eastAsia" w:ascii="仿宋_GB2312" w:hAnsi="仿宋_GB2312" w:eastAsia="仿宋_GB2312" w:cs="仿宋_GB2312"/>
          <w:color w:val="auto"/>
          <w:sz w:val="32"/>
          <w:szCs w:val="32"/>
          <w:highlight w:val="none"/>
          <w:lang w:eastAsia="zh-CN"/>
        </w:rPr>
        <w:t>平安昭化建设</w:t>
      </w:r>
      <w:r>
        <w:rPr>
          <w:rFonts w:hint="eastAsia" w:ascii="仿宋_GB2312" w:hAnsi="仿宋_GB2312" w:eastAsia="仿宋_GB2312" w:cs="仿宋_GB2312"/>
          <w:color w:val="auto"/>
          <w:sz w:val="32"/>
          <w:szCs w:val="32"/>
          <w:highlight w:val="none"/>
        </w:rPr>
        <w:t>项目（项目名称）</w:t>
      </w:r>
      <w:r>
        <w:rPr>
          <w:rFonts w:hint="eastAsia" w:ascii="仿宋_GB2312" w:hAnsi="仿宋_GB2312" w:eastAsia="仿宋_GB2312" w:cs="仿宋_GB2312"/>
          <w:color w:val="auto"/>
          <w:sz w:val="32"/>
          <w:szCs w:val="32"/>
          <w:highlight w:val="none"/>
          <w:lang w:eastAsia="zh-CN"/>
        </w:rPr>
        <w:t>等</w:t>
      </w:r>
      <w:r>
        <w:rPr>
          <w:rFonts w:hint="eastAsia" w:ascii="仿宋_GB2312" w:hAnsi="仿宋_GB2312" w:eastAsia="仿宋_GB2312" w:cs="仿宋_GB2312"/>
          <w:color w:val="auto"/>
          <w:sz w:val="32"/>
          <w:szCs w:val="32"/>
          <w:highlight w:val="none"/>
          <w:lang w:val="en-US" w:eastAsia="zh-CN"/>
        </w:rPr>
        <w:t>15个项目</w:t>
      </w:r>
      <w:r>
        <w:rPr>
          <w:rFonts w:hint="eastAsia" w:ascii="仿宋_GB2312" w:hAnsi="仿宋_GB2312" w:eastAsia="仿宋_GB2312" w:cs="仿宋_GB2312"/>
          <w:color w:val="auto"/>
          <w:sz w:val="32"/>
          <w:szCs w:val="32"/>
          <w:highlight w:val="none"/>
        </w:rPr>
        <w:t>开展了预算事前绩效评估，对</w:t>
      </w:r>
      <w:r>
        <w:rPr>
          <w:rFonts w:hint="eastAsia" w:ascii="仿宋_GB2312" w:hAnsi="仿宋_GB2312" w:eastAsia="仿宋_GB2312" w:cs="仿宋_GB2312"/>
          <w:color w:val="auto"/>
          <w:sz w:val="32"/>
          <w:szCs w:val="32"/>
          <w:highlight w:val="none"/>
          <w:lang w:val="en-US" w:eastAsia="zh-CN"/>
        </w:rPr>
        <w:t>15</w:t>
      </w:r>
      <w:r>
        <w:rPr>
          <w:rFonts w:hint="eastAsia" w:ascii="仿宋_GB2312" w:hAnsi="仿宋_GB2312" w:eastAsia="仿宋_GB2312" w:cs="仿宋_GB2312"/>
          <w:color w:val="auto"/>
          <w:sz w:val="32"/>
          <w:szCs w:val="32"/>
          <w:highlight w:val="none"/>
          <w:lang w:eastAsia="zh-CN"/>
        </w:rPr>
        <w:t>个</w:t>
      </w:r>
      <w:r>
        <w:rPr>
          <w:rFonts w:hint="eastAsia" w:ascii="仿宋_GB2312" w:hAnsi="仿宋_GB2312" w:eastAsia="仿宋_GB2312" w:cs="仿宋_GB2312"/>
          <w:color w:val="auto"/>
          <w:sz w:val="32"/>
          <w:szCs w:val="32"/>
          <w:highlight w:val="none"/>
        </w:rPr>
        <w:t>项目编制了绩效目标，预算执行过程中，选</w:t>
      </w:r>
      <w:r>
        <w:rPr>
          <w:rFonts w:hint="eastAsia" w:ascii="仿宋_GB2312" w:hAnsi="仿宋_GB2312" w:eastAsia="仿宋_GB2312" w:cs="仿宋_GB2312"/>
          <w:color w:val="auto"/>
          <w:sz w:val="32"/>
          <w:szCs w:val="32"/>
          <w:highlight w:val="none"/>
          <w:lang w:val="en-US" w:eastAsia="zh-CN"/>
        </w:rPr>
        <w:t>取两个项目开展绩效监控，年终执行完毕后，对“雪亮工程”建设及运维费用和网格化管理经费</w:t>
      </w:r>
      <w:r>
        <w:rPr>
          <w:rFonts w:hint="eastAsia" w:ascii="仿宋_GB2312" w:hAnsi="仿宋_GB2312" w:eastAsia="仿宋_GB2312" w:cs="仿宋_GB2312"/>
          <w:color w:val="auto"/>
          <w:sz w:val="32"/>
          <w:szCs w:val="32"/>
          <w:highlight w:val="none"/>
          <w:lang w:eastAsia="zh-CN"/>
        </w:rPr>
        <w:t>两</w:t>
      </w:r>
      <w:r>
        <w:rPr>
          <w:rFonts w:hint="eastAsia" w:ascii="仿宋_GB2312" w:hAnsi="仿宋_GB2312" w:eastAsia="仿宋_GB2312" w:cs="仿宋_GB2312"/>
          <w:color w:val="auto"/>
          <w:sz w:val="32"/>
          <w:szCs w:val="32"/>
          <w:highlight w:val="none"/>
        </w:rPr>
        <w:t>个项目开展了绩效自评</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2022年部门预算项目绩效目标自评表见附件（第四部分）</w:t>
      </w:r>
      <w:r>
        <w:rPr>
          <w:rFonts w:hint="eastAsia" w:ascii="仿宋_GB2312" w:hAnsi="仿宋_GB2312" w:eastAsia="仿宋_GB2312" w:cs="仿宋_GB2312"/>
          <w:color w:val="auto"/>
          <w:sz w:val="32"/>
          <w:szCs w:val="32"/>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32"/>
          <w:rFonts w:hint="eastAsia" w:ascii="黑体" w:hAnsi="黑体" w:eastAsia="黑体"/>
          <w:b w:val="0"/>
          <w:color w:val="auto"/>
          <w:highlight w:val="none"/>
        </w:rPr>
      </w:pPr>
      <w:r>
        <w:rPr>
          <w:rStyle w:val="32"/>
          <w:rFonts w:hint="eastAsia" w:ascii="黑体" w:hAnsi="黑体" w:eastAsia="黑体"/>
          <w:b w:val="0"/>
          <w:color w:val="auto"/>
          <w:highlight w:val="none"/>
          <w:lang w:eastAsia="zh-CN"/>
        </w:rPr>
        <w:t>十一、</w:t>
      </w:r>
      <w:r>
        <w:rPr>
          <w:rStyle w:val="32"/>
          <w:rFonts w:hint="eastAsia" w:ascii="黑体" w:hAnsi="黑体" w:eastAsia="黑体"/>
          <w:b w:val="0"/>
          <w:color w:val="auto"/>
          <w:highlight w:val="none"/>
        </w:rPr>
        <w:t>其他重要事项的情况说明</w:t>
      </w:r>
      <w:bookmarkEnd w:id="44"/>
      <w:bookmarkEnd w:id="45"/>
    </w:p>
    <w:p>
      <w:pPr>
        <w:spacing w:line="600" w:lineRule="exact"/>
        <w:ind w:firstLine="643" w:firstLineChars="200"/>
        <w:outlineLvl w:val="2"/>
        <w:rPr>
          <w:rFonts w:ascii="仿宋" w:hAnsi="仿宋" w:eastAsia="仿宋"/>
          <w:color w:val="auto"/>
          <w:sz w:val="32"/>
          <w:szCs w:val="32"/>
          <w:highlight w:val="none"/>
        </w:rPr>
      </w:pPr>
      <w:bookmarkStart w:id="46" w:name="_Toc15377222"/>
      <w:r>
        <w:rPr>
          <w:rFonts w:hint="eastAsia" w:ascii="仿宋" w:hAnsi="仿宋" w:eastAsia="仿宋"/>
          <w:b/>
          <w:color w:val="auto"/>
          <w:sz w:val="32"/>
          <w:szCs w:val="32"/>
          <w:highlight w:val="none"/>
        </w:rPr>
        <w:t>（一）机关运行经费支出情况</w:t>
      </w:r>
      <w:bookmarkEnd w:id="46"/>
    </w:p>
    <w:p>
      <w:pPr>
        <w:spacing w:line="600" w:lineRule="exact"/>
        <w:ind w:firstLine="640" w:firstLineChars="200"/>
        <w:rPr>
          <w:rFonts w:hint="eastAsia" w:ascii="仿宋_GB2312" w:eastAsia="仿宋_GB2312"/>
          <w:color w:val="auto"/>
          <w:sz w:val="32"/>
          <w:szCs w:val="32"/>
          <w:highlight w:val="none"/>
          <w:lang w:eastAsia="zh-CN"/>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区委政法委</w:t>
      </w:r>
      <w:r>
        <w:rPr>
          <w:rFonts w:hint="eastAsia" w:ascii="仿宋_GB2312" w:eastAsia="仿宋_GB2312"/>
          <w:color w:val="auto"/>
          <w:sz w:val="32"/>
          <w:szCs w:val="32"/>
          <w:highlight w:val="none"/>
        </w:rPr>
        <w:t>机关运行经费支出</w:t>
      </w:r>
      <w:r>
        <w:rPr>
          <w:rFonts w:hint="eastAsia" w:ascii="仿宋_GB2312" w:eastAsia="仿宋_GB2312"/>
          <w:color w:val="auto"/>
          <w:sz w:val="32"/>
          <w:szCs w:val="32"/>
          <w:highlight w:val="none"/>
          <w:lang w:val="en-US" w:eastAsia="zh-CN"/>
        </w:rPr>
        <w:t>555.67</w:t>
      </w:r>
      <w:r>
        <w:rPr>
          <w:rFonts w:hint="eastAsia" w:ascii="仿宋_GB2312" w:eastAsia="仿宋_GB2312"/>
          <w:color w:val="auto"/>
          <w:sz w:val="32"/>
          <w:szCs w:val="32"/>
          <w:highlight w:val="none"/>
        </w:rPr>
        <w:t>万元，比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增加</w:t>
      </w:r>
      <w:r>
        <w:rPr>
          <w:rFonts w:hint="eastAsia" w:ascii="仿宋_GB2312" w:eastAsia="仿宋_GB2312"/>
          <w:color w:val="auto"/>
          <w:sz w:val="32"/>
          <w:szCs w:val="32"/>
          <w:highlight w:val="none"/>
          <w:lang w:val="en-US" w:eastAsia="zh-CN"/>
        </w:rPr>
        <w:t>68.39</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增加</w:t>
      </w:r>
      <w:r>
        <w:rPr>
          <w:rFonts w:hint="eastAsia" w:ascii="仿宋_GB2312" w:eastAsia="仿宋_GB2312"/>
          <w:color w:val="auto"/>
          <w:sz w:val="32"/>
          <w:szCs w:val="32"/>
          <w:highlight w:val="none"/>
          <w:lang w:val="en-US" w:eastAsia="zh-CN"/>
        </w:rPr>
        <w:t>14.04</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。主要原</w:t>
      </w:r>
      <w:r>
        <w:rPr>
          <w:rFonts w:hint="eastAsia" w:ascii="仿宋_GB2312" w:eastAsia="仿宋_GB2312"/>
          <w:color w:val="auto"/>
          <w:sz w:val="32"/>
          <w:szCs w:val="32"/>
          <w:highlight w:val="none"/>
          <w:lang w:eastAsia="zh-CN"/>
        </w:rPr>
        <w:t>因是人员增加。</w:t>
      </w:r>
    </w:p>
    <w:p>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bookmarkStart w:id="47" w:name="_Toc15377223"/>
      <w:r>
        <w:rPr>
          <w:rFonts w:hint="eastAsia" w:ascii="仿宋" w:hAnsi="仿宋" w:eastAsia="仿宋"/>
          <w:b/>
          <w:color w:val="auto"/>
          <w:sz w:val="32"/>
          <w:szCs w:val="32"/>
          <w:highlight w:val="none"/>
        </w:rPr>
        <w:t>（二）政府采购支出情况</w:t>
      </w:r>
      <w:bookmarkEnd w:id="47"/>
    </w:p>
    <w:p>
      <w:pPr>
        <w:spacing w:line="60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年，政府采购支出总额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万元，其中：政府采购货物支出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。授予中小企业合同金额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万元，占政府采购支出总额的</w:t>
      </w:r>
      <w:r>
        <w:rPr>
          <w:rFonts w:hint="eastAsia" w:ascii="仿宋_GB2312" w:eastAsia="仿宋_GB2312"/>
          <w:color w:val="auto"/>
          <w:sz w:val="32"/>
          <w:szCs w:val="32"/>
          <w:highlight w:val="none"/>
          <w:lang w:val="en-US" w:eastAsia="zh-CN"/>
        </w:rPr>
        <w:t>0</w:t>
      </w:r>
      <w:r>
        <w:rPr>
          <w:rFonts w:ascii="仿宋_GB2312" w:eastAsia="仿宋_GB2312"/>
          <w:color w:val="auto"/>
          <w:sz w:val="32"/>
          <w:szCs w:val="32"/>
          <w:highlight w:val="none"/>
        </w:rPr>
        <w:t>%</w:t>
      </w:r>
      <w:r>
        <w:rPr>
          <w:rFonts w:hint="eastAsia" w:ascii="仿宋_GB2312" w:eastAsia="仿宋_GB2312"/>
          <w:color w:val="auto"/>
          <w:sz w:val="32"/>
          <w:szCs w:val="32"/>
          <w:highlight w:val="none"/>
        </w:rPr>
        <w:t>，其中：授予小微企业合同金额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万元，占政府采购支出总额的</w:t>
      </w:r>
      <w:r>
        <w:rPr>
          <w:rFonts w:hint="eastAsia" w:ascii="仿宋_GB2312" w:eastAsia="仿宋_GB2312"/>
          <w:color w:val="auto"/>
          <w:sz w:val="32"/>
          <w:szCs w:val="32"/>
          <w:highlight w:val="none"/>
          <w:lang w:val="en-US" w:eastAsia="zh-CN"/>
        </w:rPr>
        <w:t>0</w:t>
      </w:r>
      <w:r>
        <w:rPr>
          <w:rFonts w:ascii="仿宋_GB2312" w:eastAsia="仿宋_GB2312"/>
          <w:color w:val="auto"/>
          <w:sz w:val="32"/>
          <w:szCs w:val="32"/>
          <w:highlight w:val="none"/>
        </w:rPr>
        <w:t>%</w:t>
      </w:r>
      <w:r>
        <w:rPr>
          <w:rFonts w:hint="eastAsia" w:ascii="仿宋_GB2312" w:eastAsia="仿宋_GB2312"/>
          <w:color w:val="auto"/>
          <w:sz w:val="32"/>
          <w:szCs w:val="32"/>
          <w:highlight w:val="none"/>
        </w:rPr>
        <w:t>。</w:t>
      </w:r>
    </w:p>
    <w:p>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bookmarkStart w:id="48" w:name="_Toc15377224"/>
      <w:r>
        <w:rPr>
          <w:rFonts w:hint="eastAsia" w:ascii="仿宋" w:hAnsi="仿宋" w:eastAsia="仿宋"/>
          <w:b/>
          <w:color w:val="auto"/>
          <w:sz w:val="32"/>
          <w:szCs w:val="32"/>
          <w:highlight w:val="none"/>
        </w:rPr>
        <w:t>（三）国有资产占有使用情况</w:t>
      </w:r>
      <w:bookmarkEnd w:id="48"/>
    </w:p>
    <w:p>
      <w:pPr>
        <w:autoSpaceDE w:val="0"/>
        <w:autoSpaceDN w:val="0"/>
        <w:adjustRightInd w:val="0"/>
        <w:spacing w:line="600" w:lineRule="exact"/>
        <w:ind w:firstLine="640" w:firstLineChars="200"/>
        <w:jc w:val="lef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截至</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w:t>
      </w:r>
      <w:r>
        <w:rPr>
          <w:rFonts w:ascii="仿宋_GB2312" w:eastAsia="仿宋_GB2312"/>
          <w:color w:val="auto"/>
          <w:sz w:val="32"/>
          <w:szCs w:val="32"/>
          <w:highlight w:val="none"/>
        </w:rPr>
        <w:t>31</w:t>
      </w:r>
      <w:r>
        <w:rPr>
          <w:rFonts w:hint="eastAsia" w:ascii="仿宋_GB2312" w:eastAsia="仿宋_GB2312"/>
          <w:color w:val="auto"/>
          <w:sz w:val="32"/>
          <w:szCs w:val="32"/>
          <w:highlight w:val="none"/>
        </w:rPr>
        <w:t>日，共有车辆</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单价</w:t>
      </w:r>
      <w:r>
        <w:rPr>
          <w:rFonts w:ascii="仿宋_GB2312" w:eastAsia="仿宋_GB2312"/>
          <w:color w:val="auto"/>
          <w:sz w:val="32"/>
          <w:szCs w:val="32"/>
          <w:highlight w:val="none"/>
        </w:rPr>
        <w:t>50</w:t>
      </w:r>
      <w:r>
        <w:rPr>
          <w:rFonts w:hint="eastAsia" w:ascii="仿宋_GB2312" w:eastAsia="仿宋_GB2312"/>
          <w:color w:val="auto"/>
          <w:sz w:val="32"/>
          <w:szCs w:val="32"/>
          <w:highlight w:val="none"/>
        </w:rPr>
        <w:t>万元以上通用设备</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台（套），单价</w:t>
      </w:r>
      <w:r>
        <w:rPr>
          <w:rFonts w:ascii="仿宋_GB2312" w:eastAsia="仿宋_GB2312"/>
          <w:color w:val="auto"/>
          <w:sz w:val="32"/>
          <w:szCs w:val="32"/>
          <w:highlight w:val="none"/>
        </w:rPr>
        <w:t>100</w:t>
      </w:r>
      <w:r>
        <w:rPr>
          <w:rFonts w:hint="eastAsia" w:ascii="仿宋_GB2312" w:eastAsia="仿宋_GB2312"/>
          <w:color w:val="auto"/>
          <w:sz w:val="32"/>
          <w:szCs w:val="32"/>
          <w:highlight w:val="none"/>
        </w:rPr>
        <w:t>万元以上专用设备</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台（套）。</w:t>
      </w:r>
    </w:p>
    <w:p>
      <w:pPr>
        <w:widowControl/>
        <w:jc w:val="left"/>
        <w:rPr>
          <w:rFonts w:ascii="仿宋_GB2312" w:eastAsia="仿宋_GB2312"/>
          <w:b/>
          <w:color w:val="auto"/>
          <w:sz w:val="32"/>
          <w:szCs w:val="32"/>
          <w:highlight w:val="none"/>
        </w:rPr>
      </w:pPr>
      <w:r>
        <w:rPr>
          <w:rFonts w:ascii="仿宋_GB2312" w:eastAsia="仿宋_GB2312"/>
          <w:b/>
          <w:color w:val="auto"/>
          <w:sz w:val="32"/>
          <w:szCs w:val="32"/>
          <w:highlight w:val="none"/>
        </w:rPr>
        <w:br w:type="page"/>
      </w:r>
    </w:p>
    <w:p>
      <w:pPr>
        <w:numPr>
          <w:ilvl w:val="0"/>
          <w:numId w:val="6"/>
        </w:numPr>
        <w:spacing w:line="600" w:lineRule="exact"/>
        <w:ind w:firstLine="660" w:firstLineChars="150"/>
        <w:jc w:val="center"/>
        <w:outlineLvl w:val="0"/>
        <w:rPr>
          <w:rStyle w:val="31"/>
          <w:rFonts w:ascii="黑体" w:hAnsi="黑体" w:eastAsia="黑体"/>
          <w:b w:val="0"/>
          <w:color w:val="auto"/>
          <w:highlight w:val="none"/>
        </w:rPr>
      </w:pPr>
      <w:bookmarkStart w:id="49" w:name="_Toc15377225"/>
      <w:bookmarkStart w:id="50" w:name="_Toc15396613"/>
      <w:r>
        <w:rPr>
          <w:rFonts w:hint="eastAsia" w:ascii="黑体" w:hAnsi="黑体" w:eastAsia="黑体"/>
          <w:color w:val="auto"/>
          <w:sz w:val="44"/>
          <w:szCs w:val="44"/>
          <w:highlight w:val="none"/>
        </w:rPr>
        <w:t>名</w:t>
      </w:r>
      <w:r>
        <w:rPr>
          <w:rStyle w:val="31"/>
          <w:rFonts w:hint="eastAsia" w:ascii="黑体" w:hAnsi="黑体" w:eastAsia="黑体"/>
          <w:b w:val="0"/>
          <w:color w:val="auto"/>
          <w:highlight w:val="none"/>
        </w:rPr>
        <w:t>词解释</w:t>
      </w:r>
      <w:bookmarkEnd w:id="49"/>
      <w:bookmarkEnd w:id="50"/>
    </w:p>
    <w:p>
      <w:pPr>
        <w:spacing w:line="600" w:lineRule="exact"/>
        <w:jc w:val="left"/>
        <w:rPr>
          <w:rFonts w:ascii="宋体"/>
          <w:b/>
          <w:color w:val="auto"/>
          <w:sz w:val="44"/>
          <w:szCs w:val="44"/>
          <w:highlight w:val="none"/>
        </w:rPr>
      </w:pPr>
    </w:p>
    <w:p>
      <w:pPr>
        <w:pStyle w:val="2"/>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1.</w:t>
      </w:r>
      <w:r>
        <w:rPr>
          <w:rFonts w:hint="eastAsia" w:ascii="仿宋_GB2312" w:eastAsia="仿宋_GB2312"/>
          <w:color w:val="auto"/>
          <w:sz w:val="32"/>
          <w:szCs w:val="32"/>
          <w:highlight w:val="none"/>
        </w:rPr>
        <w:t>财政拨款收入：指单位从同级财政部门取得的财政预算资金。</w:t>
      </w:r>
    </w:p>
    <w:p>
      <w:pPr>
        <w:pStyle w:val="2"/>
        <w:spacing w:line="560" w:lineRule="exact"/>
        <w:ind w:firstLine="640" w:firstLineChars="200"/>
        <w:rPr>
          <w:rFonts w:ascii="仿宋_GB2312" w:eastAsia="仿宋_GB2312"/>
          <w:color w:val="auto"/>
          <w:sz w:val="32"/>
          <w:szCs w:val="32"/>
          <w:highlight w:val="none"/>
        </w:rPr>
      </w:pP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right="0" w:firstLine="620"/>
        <w:jc w:val="both"/>
        <w:textAlignment w:val="auto"/>
        <w:rPr>
          <w:rFonts w:hint="eastAsia" w:ascii="仿宋_GB2312" w:hAnsi="Calibri" w:eastAsia="仿宋_GB2312" w:cs="仿宋"/>
          <w:color w:val="auto"/>
          <w:kern w:val="0"/>
          <w:sz w:val="32"/>
          <w:szCs w:val="32"/>
          <w:highlight w:val="none"/>
          <w:lang w:val="en-US" w:eastAsia="zh-CN" w:bidi="ar-SA"/>
        </w:rPr>
      </w:pPr>
      <w:r>
        <w:rPr>
          <w:rFonts w:hint="eastAsia" w:ascii="仿宋_GB2312" w:hAnsi="Calibri" w:eastAsia="仿宋_GB2312" w:cs="仿宋"/>
          <w:color w:val="auto"/>
          <w:kern w:val="0"/>
          <w:sz w:val="32"/>
          <w:szCs w:val="32"/>
          <w:highlight w:val="none"/>
          <w:lang w:val="en-US" w:eastAsia="zh-CN" w:bidi="ar-SA"/>
        </w:rPr>
        <w:t>2.一般公共服务（类）党委办公厅（室）及相关机构事务</w:t>
      </w:r>
      <w:r>
        <w:rPr>
          <w:rFonts w:hint="default" w:ascii="仿宋_GB2312" w:hAnsi="Calibri" w:eastAsia="仿宋_GB2312" w:cs="仿宋"/>
          <w:color w:val="auto"/>
          <w:kern w:val="0"/>
          <w:sz w:val="32"/>
          <w:szCs w:val="32"/>
          <w:highlight w:val="none"/>
          <w:lang w:val="en-US" w:eastAsia="zh-CN" w:bidi="ar-SA"/>
        </w:rPr>
        <w:t>（款）</w:t>
      </w:r>
      <w:r>
        <w:rPr>
          <w:rFonts w:hint="eastAsia" w:ascii="仿宋_GB2312" w:hAnsi="Calibri" w:eastAsia="仿宋_GB2312" w:cs="仿宋"/>
          <w:color w:val="auto"/>
          <w:kern w:val="0"/>
          <w:sz w:val="32"/>
          <w:szCs w:val="32"/>
          <w:highlight w:val="none"/>
          <w:lang w:val="en-US" w:eastAsia="zh-CN" w:bidi="ar-SA"/>
        </w:rPr>
        <w:t>事业</w:t>
      </w:r>
      <w:r>
        <w:rPr>
          <w:rFonts w:hint="default" w:ascii="仿宋_GB2312" w:hAnsi="Calibri" w:eastAsia="仿宋_GB2312" w:cs="仿宋"/>
          <w:color w:val="auto"/>
          <w:kern w:val="0"/>
          <w:sz w:val="32"/>
          <w:szCs w:val="32"/>
          <w:highlight w:val="none"/>
          <w:lang w:val="en-US" w:eastAsia="zh-CN" w:bidi="ar-SA"/>
        </w:rPr>
        <w:t>运行（项）</w:t>
      </w:r>
      <w:r>
        <w:rPr>
          <w:rFonts w:hint="eastAsia" w:ascii="仿宋_GB2312" w:hAnsi="Calibri" w:eastAsia="仿宋_GB2312" w:cs="仿宋"/>
          <w:color w:val="auto"/>
          <w:kern w:val="0"/>
          <w:sz w:val="32"/>
          <w:szCs w:val="32"/>
          <w:highlight w:val="none"/>
          <w:lang w:val="en-US" w:eastAsia="zh-CN" w:bidi="ar-SA"/>
        </w:rPr>
        <w:t>：事业人员</w:t>
      </w:r>
      <w:r>
        <w:rPr>
          <w:rFonts w:hint="default" w:ascii="仿宋_GB2312" w:hAnsi="Calibri" w:eastAsia="仿宋_GB2312" w:cs="仿宋"/>
          <w:color w:val="auto"/>
          <w:kern w:val="0"/>
          <w:sz w:val="32"/>
          <w:szCs w:val="32"/>
          <w:highlight w:val="none"/>
          <w:lang w:val="en-US" w:eastAsia="zh-CN" w:bidi="ar-SA"/>
        </w:rPr>
        <w:t>基本工资、津贴补贴等人员经费。</w:t>
      </w:r>
    </w:p>
    <w:p>
      <w:pPr>
        <w:ind w:firstLine="640" w:firstLineChars="200"/>
        <w:rPr>
          <w:rFonts w:hint="eastAsia" w:ascii="仿宋_GB2312" w:hAnsi="Calibri" w:eastAsia="仿宋_GB2312" w:cs="仿宋"/>
          <w:color w:val="auto"/>
          <w:kern w:val="0"/>
          <w:sz w:val="32"/>
          <w:szCs w:val="32"/>
          <w:highlight w:val="none"/>
          <w:lang w:val="en-US" w:eastAsia="zh-CN" w:bidi="ar-SA"/>
        </w:rPr>
      </w:pPr>
      <w:r>
        <w:rPr>
          <w:rFonts w:hint="eastAsia" w:ascii="仿宋_GB2312" w:hAnsi="Calibri" w:eastAsia="仿宋_GB2312" w:cs="仿宋"/>
          <w:color w:val="auto"/>
          <w:kern w:val="0"/>
          <w:sz w:val="32"/>
          <w:szCs w:val="32"/>
          <w:highlight w:val="none"/>
          <w:lang w:val="en-US" w:eastAsia="zh-CN" w:bidi="ar-SA"/>
        </w:rPr>
        <w:t>3.公共安全（类）公安（款）一般行政管理事务（项）</w:t>
      </w:r>
      <w:r>
        <w:rPr>
          <w:rFonts w:hint="default" w:ascii="仿宋_GB2312" w:hAnsi="Calibri" w:eastAsia="仿宋_GB2312" w:cs="仿宋"/>
          <w:color w:val="auto"/>
          <w:kern w:val="0"/>
          <w:sz w:val="32"/>
          <w:szCs w:val="32"/>
          <w:highlight w:val="none"/>
          <w:lang w:val="en-US" w:eastAsia="zh-CN" w:bidi="ar-SA"/>
        </w:rPr>
        <w:t>：</w:t>
      </w:r>
      <w:r>
        <w:rPr>
          <w:rFonts w:hint="eastAsia" w:ascii="仿宋_GB2312" w:hAnsi="Calibri" w:eastAsia="仿宋_GB2312" w:cs="仿宋"/>
          <w:color w:val="auto"/>
          <w:kern w:val="0"/>
          <w:sz w:val="32"/>
          <w:szCs w:val="32"/>
          <w:highlight w:val="none"/>
          <w:lang w:val="en-US" w:eastAsia="zh-CN" w:bidi="ar-SA"/>
        </w:rPr>
        <w:t>反映行政单位（包括实行公务员管理的事业单位）未单独设置项级科目的其他项目支出。</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right="0" w:firstLine="620"/>
        <w:jc w:val="both"/>
        <w:textAlignment w:val="auto"/>
        <w:rPr>
          <w:rFonts w:hint="default" w:ascii="仿宋_GB2312" w:hAnsi="Calibri" w:eastAsia="仿宋_GB2312" w:cs="仿宋"/>
          <w:color w:val="auto"/>
          <w:kern w:val="0"/>
          <w:sz w:val="32"/>
          <w:szCs w:val="32"/>
          <w:highlight w:val="none"/>
          <w:lang w:val="en-US" w:eastAsia="zh-CN" w:bidi="ar-SA"/>
        </w:rPr>
      </w:pPr>
      <w:r>
        <w:rPr>
          <w:rFonts w:hint="eastAsia" w:ascii="仿宋_GB2312" w:hAnsi="Calibri" w:eastAsia="仿宋_GB2312" w:cs="仿宋"/>
          <w:color w:val="auto"/>
          <w:kern w:val="0"/>
          <w:sz w:val="32"/>
          <w:szCs w:val="32"/>
          <w:highlight w:val="none"/>
          <w:lang w:val="en-US" w:eastAsia="zh-CN" w:bidi="ar-SA"/>
        </w:rPr>
        <w:t>4.</w:t>
      </w:r>
      <w:r>
        <w:rPr>
          <w:rFonts w:hint="default" w:ascii="仿宋_GB2312" w:hAnsi="Calibri" w:eastAsia="仿宋_GB2312" w:cs="仿宋"/>
          <w:color w:val="auto"/>
          <w:kern w:val="0"/>
          <w:sz w:val="32"/>
          <w:szCs w:val="32"/>
          <w:highlight w:val="none"/>
          <w:lang w:val="en-US" w:eastAsia="zh-CN" w:bidi="ar-SA"/>
        </w:rPr>
        <w:t>社会保障和就业（类）行政事业单位养老支出（款）机关事业单位基本养老保险缴费支出（项）：指部门实施养老保险制度由单位缴纳的养老保险费的支出。</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right="0" w:firstLine="620"/>
        <w:jc w:val="both"/>
        <w:textAlignment w:val="auto"/>
        <w:rPr>
          <w:rFonts w:hint="eastAsia" w:ascii="仿宋_GB2312" w:hAnsi="Calibri" w:eastAsia="仿宋_GB2312" w:cs="仿宋"/>
          <w:color w:val="auto"/>
          <w:kern w:val="0"/>
          <w:sz w:val="32"/>
          <w:szCs w:val="32"/>
          <w:highlight w:val="none"/>
          <w:lang w:val="en-US" w:eastAsia="zh-CN" w:bidi="ar-SA"/>
        </w:rPr>
      </w:pPr>
      <w:r>
        <w:rPr>
          <w:rFonts w:hint="eastAsia" w:ascii="仿宋_GB2312" w:hAnsi="Calibri" w:eastAsia="仿宋_GB2312" w:cs="仿宋"/>
          <w:color w:val="auto"/>
          <w:kern w:val="0"/>
          <w:sz w:val="32"/>
          <w:szCs w:val="32"/>
          <w:highlight w:val="none"/>
          <w:lang w:val="en-US" w:eastAsia="zh-CN" w:bidi="ar-SA"/>
        </w:rPr>
        <w:t>5.</w:t>
      </w:r>
      <w:r>
        <w:rPr>
          <w:rFonts w:hint="default" w:ascii="仿宋_GB2312" w:hAnsi="Calibri" w:eastAsia="仿宋_GB2312" w:cs="仿宋"/>
          <w:color w:val="auto"/>
          <w:kern w:val="0"/>
          <w:sz w:val="32"/>
          <w:szCs w:val="32"/>
          <w:highlight w:val="none"/>
          <w:lang w:val="en-US" w:eastAsia="zh-CN" w:bidi="ar-SA"/>
        </w:rPr>
        <w:t>社会保障和就业</w:t>
      </w:r>
      <w:r>
        <w:rPr>
          <w:rFonts w:hint="eastAsia" w:ascii="仿宋_GB2312" w:hAnsi="Calibri" w:eastAsia="仿宋_GB2312" w:cs="仿宋"/>
          <w:color w:val="auto"/>
          <w:kern w:val="0"/>
          <w:sz w:val="32"/>
          <w:szCs w:val="32"/>
          <w:highlight w:val="none"/>
          <w:lang w:val="en-US" w:eastAsia="zh-CN" w:bidi="ar-SA"/>
        </w:rPr>
        <w:t>支出</w:t>
      </w:r>
      <w:r>
        <w:rPr>
          <w:rFonts w:hint="default" w:ascii="仿宋_GB2312" w:hAnsi="Calibri" w:eastAsia="仿宋_GB2312" w:cs="仿宋"/>
          <w:color w:val="auto"/>
          <w:kern w:val="0"/>
          <w:sz w:val="32"/>
          <w:szCs w:val="32"/>
          <w:highlight w:val="none"/>
          <w:lang w:val="en-US" w:eastAsia="zh-CN" w:bidi="ar-SA"/>
        </w:rPr>
        <w:t>（类）</w:t>
      </w:r>
      <w:r>
        <w:rPr>
          <w:rFonts w:hint="eastAsia" w:ascii="仿宋_GB2312" w:hAnsi="Calibri" w:eastAsia="仿宋_GB2312" w:cs="仿宋"/>
          <w:color w:val="auto"/>
          <w:kern w:val="0"/>
          <w:sz w:val="32"/>
          <w:szCs w:val="32"/>
          <w:highlight w:val="none"/>
          <w:lang w:val="en-US" w:eastAsia="zh-CN" w:bidi="ar-SA"/>
        </w:rPr>
        <w:t>其他社会保障和就业支出</w:t>
      </w:r>
      <w:r>
        <w:rPr>
          <w:rFonts w:hint="default" w:ascii="仿宋_GB2312" w:hAnsi="Calibri" w:eastAsia="仿宋_GB2312" w:cs="仿宋"/>
          <w:color w:val="auto"/>
          <w:kern w:val="0"/>
          <w:sz w:val="32"/>
          <w:szCs w:val="32"/>
          <w:highlight w:val="none"/>
          <w:lang w:val="en-US" w:eastAsia="zh-CN" w:bidi="ar-SA"/>
        </w:rPr>
        <w:t>（款）</w:t>
      </w:r>
      <w:r>
        <w:rPr>
          <w:rFonts w:hint="eastAsia" w:ascii="仿宋_GB2312" w:hAnsi="Calibri" w:eastAsia="仿宋_GB2312" w:cs="仿宋"/>
          <w:color w:val="auto"/>
          <w:kern w:val="0"/>
          <w:sz w:val="32"/>
          <w:szCs w:val="32"/>
          <w:highlight w:val="none"/>
          <w:lang w:val="en-US" w:eastAsia="zh-CN" w:bidi="ar-SA"/>
        </w:rPr>
        <w:t>其他社会保障和就业支出</w:t>
      </w:r>
      <w:r>
        <w:rPr>
          <w:rFonts w:hint="default" w:ascii="仿宋_GB2312" w:hAnsi="Calibri" w:eastAsia="仿宋_GB2312" w:cs="仿宋"/>
          <w:color w:val="auto"/>
          <w:kern w:val="0"/>
          <w:sz w:val="32"/>
          <w:szCs w:val="32"/>
          <w:highlight w:val="none"/>
          <w:lang w:val="en-US" w:eastAsia="zh-CN" w:bidi="ar-SA"/>
        </w:rPr>
        <w:t>（项）：行政事业单位</w:t>
      </w:r>
      <w:r>
        <w:rPr>
          <w:rFonts w:hint="eastAsia" w:ascii="仿宋_GB2312" w:hAnsi="Calibri" w:eastAsia="仿宋_GB2312" w:cs="仿宋"/>
          <w:color w:val="auto"/>
          <w:kern w:val="0"/>
          <w:sz w:val="32"/>
          <w:szCs w:val="32"/>
          <w:highlight w:val="none"/>
          <w:lang w:val="en-US" w:eastAsia="zh-CN" w:bidi="ar-SA"/>
        </w:rPr>
        <w:t>失业、工伤</w:t>
      </w:r>
      <w:r>
        <w:rPr>
          <w:rFonts w:hint="default" w:ascii="仿宋_GB2312" w:hAnsi="Calibri" w:eastAsia="仿宋_GB2312" w:cs="仿宋"/>
          <w:color w:val="auto"/>
          <w:kern w:val="0"/>
          <w:sz w:val="32"/>
          <w:szCs w:val="32"/>
          <w:highlight w:val="none"/>
          <w:lang w:val="en-US" w:eastAsia="zh-CN" w:bidi="ar-SA"/>
        </w:rPr>
        <w:t>等</w:t>
      </w:r>
      <w:r>
        <w:rPr>
          <w:rFonts w:hint="eastAsia" w:ascii="仿宋_GB2312" w:hAnsi="Calibri" w:eastAsia="仿宋_GB2312" w:cs="仿宋"/>
          <w:color w:val="auto"/>
          <w:kern w:val="0"/>
          <w:sz w:val="32"/>
          <w:szCs w:val="32"/>
          <w:highlight w:val="none"/>
          <w:lang w:val="en-US" w:eastAsia="zh-CN" w:bidi="ar-SA"/>
        </w:rPr>
        <w:t>保险</w:t>
      </w:r>
      <w:r>
        <w:rPr>
          <w:rFonts w:hint="default" w:ascii="仿宋_GB2312" w:hAnsi="Calibri" w:eastAsia="仿宋_GB2312" w:cs="仿宋"/>
          <w:color w:val="auto"/>
          <w:kern w:val="0"/>
          <w:sz w:val="32"/>
          <w:szCs w:val="32"/>
          <w:highlight w:val="none"/>
          <w:lang w:val="en-US" w:eastAsia="zh-CN" w:bidi="ar-SA"/>
        </w:rPr>
        <w:t>方面的支出</w:t>
      </w:r>
      <w:r>
        <w:rPr>
          <w:rFonts w:hint="eastAsia" w:ascii="仿宋_GB2312" w:hAnsi="Calibri" w:eastAsia="仿宋_GB2312" w:cs="仿宋"/>
          <w:color w:val="auto"/>
          <w:kern w:val="0"/>
          <w:sz w:val="32"/>
          <w:szCs w:val="32"/>
          <w:highlight w:val="none"/>
          <w:lang w:val="en-US" w:eastAsia="zh-CN" w:bidi="ar-SA"/>
        </w:rPr>
        <w:t>。</w:t>
      </w:r>
      <w:r>
        <w:rPr>
          <w:rFonts w:hint="default" w:ascii="仿宋_GB2312" w:hAnsi="Calibri" w:eastAsia="仿宋_GB2312" w:cs="仿宋"/>
          <w:color w:val="auto"/>
          <w:kern w:val="0"/>
          <w:sz w:val="32"/>
          <w:szCs w:val="32"/>
          <w:highlight w:val="none"/>
          <w:lang w:val="en-US" w:eastAsia="zh-CN" w:bidi="ar-SA"/>
        </w:rPr>
        <w:t>　</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right="0" w:firstLine="620"/>
        <w:jc w:val="both"/>
        <w:textAlignment w:val="auto"/>
        <w:rPr>
          <w:rFonts w:hint="eastAsia" w:ascii="仿宋_GB2312" w:hAnsi="Calibri" w:eastAsia="仿宋_GB2312" w:cs="仿宋"/>
          <w:color w:val="auto"/>
          <w:kern w:val="0"/>
          <w:sz w:val="32"/>
          <w:szCs w:val="32"/>
          <w:highlight w:val="none"/>
          <w:lang w:val="en-US" w:eastAsia="zh-CN" w:bidi="ar-SA"/>
        </w:rPr>
      </w:pPr>
      <w:r>
        <w:rPr>
          <w:rFonts w:hint="eastAsia" w:ascii="仿宋_GB2312" w:hAnsi="Calibri" w:eastAsia="仿宋_GB2312" w:cs="仿宋"/>
          <w:color w:val="auto"/>
          <w:kern w:val="0"/>
          <w:sz w:val="32"/>
          <w:szCs w:val="32"/>
          <w:highlight w:val="none"/>
          <w:lang w:val="en-US" w:eastAsia="zh-CN" w:bidi="ar-SA"/>
        </w:rPr>
        <w:t>6.</w:t>
      </w:r>
      <w:r>
        <w:rPr>
          <w:rFonts w:hint="default" w:ascii="仿宋_GB2312" w:hAnsi="Calibri" w:eastAsia="仿宋_GB2312" w:cs="仿宋"/>
          <w:color w:val="auto"/>
          <w:kern w:val="0"/>
          <w:sz w:val="32"/>
          <w:szCs w:val="32"/>
          <w:highlight w:val="none"/>
          <w:lang w:val="en-US" w:eastAsia="zh-CN" w:bidi="ar-SA"/>
        </w:rPr>
        <w:t>卫生健康支出（类）行政事业单位医疗（款）行政单位医疗（项）：</w:t>
      </w:r>
      <w:r>
        <w:rPr>
          <w:rFonts w:hint="eastAsia" w:ascii="仿宋_GB2312" w:hAnsi="Calibri" w:eastAsia="仿宋_GB2312" w:cs="仿宋"/>
          <w:color w:val="auto"/>
          <w:kern w:val="0"/>
          <w:sz w:val="32"/>
          <w:szCs w:val="32"/>
          <w:highlight w:val="none"/>
          <w:lang w:val="en-US" w:eastAsia="zh-CN" w:bidi="ar-SA"/>
        </w:rPr>
        <w:t>公务员</w:t>
      </w:r>
      <w:r>
        <w:rPr>
          <w:rFonts w:hint="default" w:ascii="仿宋_GB2312" w:hAnsi="Calibri" w:eastAsia="仿宋_GB2312" w:cs="仿宋"/>
          <w:color w:val="auto"/>
          <w:kern w:val="0"/>
          <w:sz w:val="32"/>
          <w:szCs w:val="32"/>
          <w:highlight w:val="none"/>
          <w:lang w:val="en-US" w:eastAsia="zh-CN" w:bidi="ar-SA"/>
        </w:rPr>
        <w:t>按规定由单位缴纳的基本医疗保险支出。</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right="0" w:firstLine="620"/>
        <w:jc w:val="both"/>
        <w:textAlignment w:val="auto"/>
        <w:rPr>
          <w:rFonts w:hint="eastAsia" w:ascii="仿宋_GB2312" w:hAnsi="Calibri" w:eastAsia="仿宋_GB2312" w:cs="仿宋"/>
          <w:color w:val="auto"/>
          <w:kern w:val="0"/>
          <w:sz w:val="32"/>
          <w:szCs w:val="32"/>
          <w:highlight w:val="none"/>
          <w:lang w:val="en-US" w:eastAsia="zh-CN" w:bidi="ar-SA"/>
        </w:rPr>
      </w:pPr>
      <w:r>
        <w:rPr>
          <w:rFonts w:hint="eastAsia" w:ascii="仿宋_GB2312" w:hAnsi="Calibri" w:eastAsia="仿宋_GB2312" w:cs="仿宋"/>
          <w:color w:val="auto"/>
          <w:kern w:val="0"/>
          <w:sz w:val="32"/>
          <w:szCs w:val="32"/>
          <w:highlight w:val="none"/>
          <w:lang w:val="en-US" w:eastAsia="zh-CN" w:bidi="ar-SA"/>
        </w:rPr>
        <w:t>7.</w:t>
      </w:r>
      <w:r>
        <w:rPr>
          <w:rFonts w:hint="default" w:ascii="仿宋_GB2312" w:hAnsi="Calibri" w:eastAsia="仿宋_GB2312" w:cs="仿宋"/>
          <w:color w:val="auto"/>
          <w:kern w:val="0"/>
          <w:sz w:val="32"/>
          <w:szCs w:val="32"/>
          <w:highlight w:val="none"/>
          <w:lang w:val="en-US" w:eastAsia="zh-CN" w:bidi="ar-SA"/>
        </w:rPr>
        <w:t>卫生健康支出（类）行政事业单位医疗（款）事业单位医疗（项）：</w:t>
      </w:r>
      <w:r>
        <w:rPr>
          <w:rFonts w:hint="eastAsia" w:ascii="仿宋_GB2312" w:hAnsi="Calibri" w:eastAsia="仿宋_GB2312" w:cs="仿宋"/>
          <w:color w:val="auto"/>
          <w:kern w:val="0"/>
          <w:sz w:val="32"/>
          <w:szCs w:val="32"/>
          <w:highlight w:val="none"/>
          <w:lang w:val="en-US" w:eastAsia="zh-CN" w:bidi="ar-SA"/>
        </w:rPr>
        <w:t>事业人员</w:t>
      </w:r>
      <w:r>
        <w:rPr>
          <w:rFonts w:hint="default" w:ascii="仿宋_GB2312" w:hAnsi="Calibri" w:eastAsia="仿宋_GB2312" w:cs="仿宋"/>
          <w:color w:val="auto"/>
          <w:kern w:val="0"/>
          <w:sz w:val="32"/>
          <w:szCs w:val="32"/>
          <w:highlight w:val="none"/>
          <w:lang w:val="en-US" w:eastAsia="zh-CN" w:bidi="ar-SA"/>
        </w:rPr>
        <w:t>按规定由单位缴纳的基本医疗保险支出。</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right="0" w:firstLine="620"/>
        <w:jc w:val="both"/>
        <w:textAlignment w:val="auto"/>
        <w:rPr>
          <w:rFonts w:hint="default" w:ascii="仿宋_GB2312" w:hAnsi="微软雅黑" w:eastAsia="仿宋_GB2312" w:cs="仿宋_GB2312"/>
          <w:color w:val="auto"/>
          <w:sz w:val="31"/>
          <w:szCs w:val="31"/>
        </w:rPr>
      </w:pPr>
      <w:r>
        <w:rPr>
          <w:rFonts w:hint="eastAsia" w:ascii="仿宋_GB2312" w:hAnsi="Calibri" w:eastAsia="仿宋_GB2312" w:cs="仿宋"/>
          <w:color w:val="auto"/>
          <w:kern w:val="0"/>
          <w:sz w:val="32"/>
          <w:szCs w:val="32"/>
          <w:highlight w:val="none"/>
          <w:lang w:val="en-US" w:eastAsia="zh-CN" w:bidi="ar-SA"/>
        </w:rPr>
        <w:t>8.</w:t>
      </w:r>
      <w:r>
        <w:rPr>
          <w:rFonts w:hint="default" w:ascii="仿宋_GB2312" w:hAnsi="Calibri" w:eastAsia="仿宋_GB2312" w:cs="仿宋"/>
          <w:color w:val="auto"/>
          <w:kern w:val="0"/>
          <w:sz w:val="32"/>
          <w:szCs w:val="32"/>
          <w:highlight w:val="none"/>
          <w:lang w:val="en-US" w:eastAsia="zh-CN" w:bidi="ar-SA"/>
        </w:rPr>
        <w:t>住房保障（类）住房改革支出（款）住房公积金（项）：部门按人力资源和社会保障部、财政部规定的基本工资和津贴补贴以及规定比例为职工缴纳的住房公积金支出</w:t>
      </w:r>
      <w:r>
        <w:rPr>
          <w:rFonts w:hint="default" w:ascii="仿宋_GB2312" w:hAnsi="微软雅黑" w:eastAsia="仿宋_GB2312" w:cs="仿宋_GB2312"/>
          <w:color w:val="auto"/>
          <w:sz w:val="31"/>
          <w:szCs w:val="31"/>
        </w:rPr>
        <w:t>。</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right="0" w:firstLine="620"/>
        <w:jc w:val="both"/>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9</w:t>
      </w:r>
      <w:r>
        <w:rPr>
          <w:rFonts w:ascii="仿宋_GB2312" w:eastAsia="仿宋_GB2312"/>
          <w:color w:val="auto"/>
          <w:sz w:val="32"/>
          <w:szCs w:val="32"/>
          <w:highlight w:val="none"/>
        </w:rPr>
        <w:t>.</w:t>
      </w:r>
      <w:r>
        <w:rPr>
          <w:rFonts w:hint="eastAsia" w:ascii="仿宋_GB2312" w:eastAsia="仿宋_GB2312"/>
          <w:color w:val="auto"/>
          <w:sz w:val="32"/>
          <w:szCs w:val="32"/>
          <w:highlight w:val="none"/>
        </w:rPr>
        <w:t>基本支出：指为保障机构正常运转、完成日常工作任务而发生的人员支出和公用支出。</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10</w:t>
      </w:r>
      <w:r>
        <w:rPr>
          <w:rFonts w:ascii="仿宋_GB2312" w:eastAsia="仿宋_GB2312"/>
          <w:color w:val="auto"/>
          <w:sz w:val="32"/>
          <w:szCs w:val="32"/>
          <w:highlight w:val="none"/>
        </w:rPr>
        <w:t>.</w:t>
      </w:r>
      <w:r>
        <w:rPr>
          <w:rFonts w:hint="eastAsia" w:ascii="仿宋_GB2312" w:eastAsia="仿宋_GB2312"/>
          <w:color w:val="auto"/>
          <w:sz w:val="32"/>
          <w:szCs w:val="32"/>
          <w:highlight w:val="none"/>
        </w:rPr>
        <w:t>项目支出：指在基本支出之外为完成特定行政任务和事业发展目标所发生的支出。</w:t>
      </w:r>
      <w:r>
        <w:rPr>
          <w:rFonts w:ascii="仿宋_GB2312" w:eastAsia="仿宋_GB2312"/>
          <w:color w:val="auto"/>
          <w:sz w:val="32"/>
          <w:szCs w:val="32"/>
          <w:highlight w:val="none"/>
        </w:rPr>
        <w:t xml:space="preserve"> </w:t>
      </w:r>
    </w:p>
    <w:p>
      <w:pPr>
        <w:pStyle w:val="2"/>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11</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“三公”经费：指</w:t>
      </w:r>
      <w:r>
        <w:rPr>
          <w:rFonts w:hint="eastAsia" w:ascii="仿宋_GB2312" w:eastAsia="仿宋_GB2312"/>
          <w:color w:val="auto"/>
          <w:sz w:val="32"/>
          <w:szCs w:val="32"/>
          <w:highlight w:val="none"/>
          <w:lang w:eastAsia="zh-CN"/>
        </w:rPr>
        <w:t>单位</w:t>
      </w:r>
      <w:r>
        <w:rPr>
          <w:rFonts w:hint="eastAsia" w:ascii="仿宋_GB2312" w:eastAsia="仿宋_GB2312"/>
          <w:color w:val="auto"/>
          <w:sz w:val="32"/>
          <w:szCs w:val="32"/>
          <w:highlight w:val="none"/>
        </w:rPr>
        <w:t>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12</w:t>
      </w:r>
      <w:r>
        <w:rPr>
          <w:rFonts w:ascii="仿宋_GB2312" w:eastAsia="仿宋_GB2312"/>
          <w:color w:val="auto"/>
          <w:sz w:val="32"/>
          <w:szCs w:val="32"/>
          <w:highlight w:val="none"/>
        </w:rPr>
        <w:t>.</w:t>
      </w:r>
      <w:r>
        <w:rPr>
          <w:rFonts w:hint="eastAsia" w:ascii="仿宋_GB2312" w:eastAsia="仿宋_GB2312"/>
          <w:color w:val="auto"/>
          <w:sz w:val="32"/>
          <w:szCs w:val="32"/>
          <w:highlight w:val="none"/>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物业管理费、公务用车运行维护费以及其他费用。</w:t>
      </w:r>
    </w:p>
    <w:p>
      <w:pPr>
        <w:spacing w:line="600" w:lineRule="exact"/>
        <w:jc w:val="center"/>
        <w:outlineLvl w:val="0"/>
        <w:rPr>
          <w:rFonts w:hint="eastAsia"/>
        </w:rPr>
      </w:pPr>
      <w:bookmarkStart w:id="51" w:name="_Toc15377226"/>
      <w:r>
        <w:rPr>
          <w:rFonts w:ascii="宋体"/>
          <w:b/>
          <w:color w:val="auto"/>
          <w:sz w:val="44"/>
          <w:szCs w:val="44"/>
          <w:highlight w:val="none"/>
        </w:rPr>
        <w:br w:type="page"/>
      </w:r>
      <w:bookmarkStart w:id="52" w:name="_Toc15396614"/>
      <w:r>
        <w:rPr>
          <w:rFonts w:hint="eastAsia" w:ascii="黑体" w:hAnsi="黑体" w:eastAsia="黑体"/>
          <w:color w:val="auto"/>
          <w:sz w:val="44"/>
          <w:szCs w:val="44"/>
          <w:highlight w:val="none"/>
        </w:rPr>
        <w:t>第</w:t>
      </w:r>
      <w:r>
        <w:rPr>
          <w:rStyle w:val="31"/>
          <w:rFonts w:hint="eastAsia" w:ascii="黑体" w:hAnsi="黑体" w:eastAsia="黑体"/>
          <w:b w:val="0"/>
          <w:color w:val="auto"/>
          <w:highlight w:val="none"/>
        </w:rPr>
        <w:t>四部分 附件</w:t>
      </w:r>
      <w:bookmarkEnd w:id="52"/>
      <w:bookmarkStart w:id="53" w:name="_Toc15396618"/>
    </w:p>
    <w:tbl>
      <w:tblPr>
        <w:tblStyle w:val="17"/>
        <w:tblpPr w:leftFromText="180" w:rightFromText="180" w:vertAnchor="text" w:horzAnchor="page" w:tblpX="340" w:tblpY="660"/>
        <w:tblOverlap w:val="never"/>
        <w:tblW w:w="451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6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1" w:hRule="atLeast"/>
        </w:trPr>
        <w:tc>
          <w:tcPr>
            <w:tcW w:w="11675" w:type="dxa"/>
            <w:tcBorders>
              <w:top w:val="nil"/>
              <w:left w:val="nil"/>
              <w:bottom w:val="nil"/>
              <w:right w:val="nil"/>
            </w:tcBorders>
            <w:shd w:val="clear" w:color="auto" w:fill="auto"/>
            <w:vAlign w:val="center"/>
          </w:tcPr>
          <w:p>
            <w:pPr>
              <w:spacing w:beforeLines="0" w:afterLines="0" w:line="54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中共广元市昭化区委政法委员会</w:t>
            </w:r>
          </w:p>
          <w:p>
            <w:pPr>
              <w:spacing w:beforeLines="0" w:afterLines="0" w:line="54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关于2023年部门整体支出绩效自评报告</w:t>
            </w:r>
          </w:p>
          <w:p>
            <w:pPr>
              <w:spacing w:beforeLines="0" w:afterLines="0" w:line="580" w:lineRule="exact"/>
              <w:rPr>
                <w:rFonts w:hint="eastAsia"/>
                <w:sz w:val="32"/>
                <w:szCs w:val="32"/>
              </w:rPr>
            </w:pPr>
          </w:p>
          <w:p>
            <w:pPr>
              <w:pStyle w:val="16"/>
              <w:spacing w:beforeLines="0" w:afterLines="0"/>
              <w:ind w:left="0" w:leftChars="0" w:firstLine="0" w:firstLineChars="0"/>
              <w:rPr>
                <w:rFonts w:hint="eastAsia" w:eastAsia="仿宋_GB2312"/>
                <w:kern w:val="0"/>
                <w:sz w:val="32"/>
                <w:szCs w:val="32"/>
              </w:rPr>
            </w:pPr>
            <w:r>
              <w:rPr>
                <w:rFonts w:hint="eastAsia" w:eastAsia="仿宋_GB2312"/>
                <w:kern w:val="0"/>
                <w:sz w:val="32"/>
                <w:szCs w:val="32"/>
              </w:rPr>
              <w:t>区财政局：</w:t>
            </w:r>
          </w:p>
          <w:p>
            <w:pPr>
              <w:spacing w:beforeLines="0" w:afterLines="0" w:line="540" w:lineRule="exact"/>
              <w:ind w:firstLine="640" w:firstLineChars="200"/>
              <w:rPr>
                <w:rFonts w:hint="eastAsia"/>
                <w:sz w:val="32"/>
                <w:szCs w:val="32"/>
              </w:rPr>
            </w:pPr>
            <w:r>
              <w:rPr>
                <w:rFonts w:hint="eastAsia" w:ascii="仿宋_GB2312" w:hAnsi="仿宋_GB2312" w:eastAsia="仿宋_GB2312" w:cs="仿宋_GB2312"/>
                <w:sz w:val="32"/>
                <w:szCs w:val="32"/>
              </w:rPr>
              <w:t>为了进一步加强财政支付预算管理，提高财政资金使用效益，根据区财政局《关于开展2023年部门、政策和项目支出绩效评价工作的通知》(昭财发〔2023〕12号)的要求，</w:t>
            </w:r>
            <w:r>
              <w:rPr>
                <w:rFonts w:hint="eastAsia" w:ascii="仿宋" w:hAnsi="仿宋" w:eastAsia="仿宋" w:cs="仿宋"/>
                <w:color w:val="000000"/>
                <w:kern w:val="0"/>
                <w:sz w:val="32"/>
                <w:szCs w:val="32"/>
              </w:rPr>
              <w:t>我委认真组织开展自评工作，现将具体评价情况报告如下。</w:t>
            </w:r>
          </w:p>
          <w:p>
            <w:pPr>
              <w:spacing w:beforeLines="0" w:afterLines="0" w:line="580" w:lineRule="exact"/>
              <w:ind w:firstLine="640" w:firstLineChars="200"/>
              <w:rPr>
                <w:rFonts w:hint="eastAsia"/>
                <w:sz w:val="32"/>
                <w:szCs w:val="32"/>
              </w:rPr>
            </w:pPr>
            <w:r>
              <w:rPr>
                <w:rFonts w:hint="eastAsia" w:eastAsia="黑体"/>
                <w:sz w:val="32"/>
                <w:szCs w:val="32"/>
              </w:rPr>
              <w:t>一、部门（单位）概况</w:t>
            </w:r>
          </w:p>
          <w:p>
            <w:pPr>
              <w:spacing w:beforeLines="0" w:afterLines="0" w:line="580" w:lineRule="exact"/>
              <w:ind w:firstLine="643" w:firstLineChars="200"/>
              <w:rPr>
                <w:rFonts w:hint="eastAsia"/>
                <w:b/>
                <w:sz w:val="32"/>
                <w:szCs w:val="32"/>
              </w:rPr>
            </w:pPr>
            <w:r>
              <w:rPr>
                <w:rFonts w:hint="eastAsia" w:eastAsia="楷体_GB2312"/>
                <w:b/>
                <w:sz w:val="32"/>
                <w:szCs w:val="32"/>
              </w:rPr>
              <w:t>（一）机构职能</w:t>
            </w:r>
          </w:p>
          <w:p>
            <w:pPr>
              <w:spacing w:beforeLines="0" w:afterLines="0" w:line="600" w:lineRule="exact"/>
              <w:ind w:firstLine="640" w:firstLineChars="200"/>
              <w:rPr>
                <w:rFonts w:hint="eastAsia" w:ascii="仿宋_GB2312" w:eastAsia="仿宋_GB2312"/>
                <w:color w:val="000000"/>
                <w:sz w:val="32"/>
                <w:szCs w:val="32"/>
              </w:rPr>
            </w:pPr>
            <w:r>
              <w:rPr>
                <w:rFonts w:hint="eastAsia" w:ascii="仿宋" w:hAnsi="仿宋" w:eastAsia="仿宋" w:cs="仿宋"/>
                <w:sz w:val="32"/>
                <w:szCs w:val="32"/>
              </w:rPr>
              <w:t>1.</w:t>
            </w:r>
            <w:r>
              <w:rPr>
                <w:rFonts w:hint="eastAsia" w:ascii="仿宋_GB2312" w:eastAsia="仿宋_GB2312"/>
                <w:color w:val="000000"/>
                <w:sz w:val="32"/>
                <w:szCs w:val="32"/>
              </w:rPr>
              <w:t>深入贯彻执行党的路线方针政策和决策部署，统一政法单位思想和行动，坚持党对政法工作的绝对领导，坚决维护党中央权威和集中统一领导。</w:t>
            </w:r>
          </w:p>
          <w:p>
            <w:pPr>
              <w:spacing w:beforeLines="0" w:afterLines="0" w:line="600" w:lineRule="exact"/>
              <w:ind w:firstLine="640" w:firstLineChars="200"/>
              <w:rPr>
                <w:rFonts w:hint="eastAsia" w:eastAsia="仿宋_GB2312"/>
                <w:color w:val="000000"/>
                <w:sz w:val="32"/>
                <w:szCs w:val="32"/>
              </w:rPr>
            </w:pPr>
            <w:r>
              <w:rPr>
                <w:rFonts w:hint="eastAsia" w:eastAsia="仿宋_GB2312"/>
                <w:color w:val="000000"/>
                <w:sz w:val="32"/>
                <w:szCs w:val="32"/>
              </w:rPr>
              <w:t>2.深入贯彻党中央、省委、市委和区委决定，对政法工作研究提出全局性部署，推进平安昭化、法治昭化建设，加强过硬队伍建设，深化智能化建设，坚决维护国家政治安全、确保社会大局稳定、促进社会公平正义、保障人民安居乐业、护航经济社会发展。完善和落实政治督察、执法监督、纪律作风督查等工作制度机制。</w:t>
            </w:r>
          </w:p>
          <w:p>
            <w:pPr>
              <w:spacing w:beforeLines="0" w:afterLines="0" w:line="600" w:lineRule="exact"/>
              <w:ind w:firstLine="640" w:firstLineChars="200"/>
              <w:rPr>
                <w:rFonts w:hint="eastAsia"/>
                <w:color w:val="000000"/>
                <w:sz w:val="32"/>
                <w:szCs w:val="32"/>
              </w:rPr>
            </w:pPr>
            <w:r>
              <w:rPr>
                <w:rFonts w:hint="eastAsia" w:eastAsia="仿宋_GB2312"/>
                <w:color w:val="000000"/>
                <w:sz w:val="32"/>
                <w:szCs w:val="32"/>
              </w:rPr>
              <w:t>3.了解掌握和分析研判全区政治安全、反邪教形势动态，协调和指导政法单位、相关部门和乡镇（街道）做好政治安全、反邪教工作。</w:t>
            </w:r>
          </w:p>
          <w:p>
            <w:pPr>
              <w:spacing w:beforeLines="0" w:afterLines="0" w:line="600" w:lineRule="exact"/>
              <w:ind w:firstLine="640" w:firstLineChars="200"/>
              <w:rPr>
                <w:rFonts w:hint="eastAsia" w:eastAsia="仿宋_GB2312"/>
                <w:color w:val="000000"/>
                <w:sz w:val="32"/>
                <w:szCs w:val="32"/>
              </w:rPr>
            </w:pPr>
            <w:r>
              <w:rPr>
                <w:rFonts w:hint="eastAsia" w:eastAsia="仿宋_GB2312"/>
                <w:color w:val="000000"/>
                <w:sz w:val="32"/>
                <w:szCs w:val="32"/>
              </w:rPr>
              <w:t>4.了解掌握和分析研判全区社会稳定形势，协调指导政法单位、相关部门和乡镇（街道）开展社会稳定风险评估，协调推动预防、化解影响稳定的各类风险，协调应对和完善处置重大突发事件。</w:t>
            </w:r>
          </w:p>
          <w:p>
            <w:pPr>
              <w:spacing w:beforeLines="0" w:afterLines="0" w:line="600" w:lineRule="exact"/>
              <w:ind w:firstLine="640" w:firstLineChars="200"/>
              <w:rPr>
                <w:rFonts w:hint="eastAsia"/>
                <w:color w:val="000000"/>
                <w:sz w:val="32"/>
                <w:szCs w:val="32"/>
              </w:rPr>
            </w:pPr>
            <w:r>
              <w:rPr>
                <w:rFonts w:hint="eastAsia" w:eastAsia="仿宋_GB2312"/>
                <w:color w:val="000000"/>
                <w:sz w:val="32"/>
                <w:szCs w:val="32"/>
              </w:rPr>
              <w:t>5.了解掌握和分析研判全区社会治安形势、社会治理情况动态，创新完善多部门参与平安建设工作机制，推动开展基层平安创建、基层社会治理和网格化服务管理工作，统筹指导区、乡镇（街道）、村（社区）三级综治中心建设；构建矛盾纠纷多元化解体系和机制，指导推动预防、化解各类社会矛盾；负责见义勇为宣传、表彰、奖励等工作；负责指导辖区内铁路护路联防工作。</w:t>
            </w:r>
          </w:p>
          <w:p>
            <w:pPr>
              <w:spacing w:beforeLines="0" w:afterLines="0" w:line="600" w:lineRule="exact"/>
              <w:ind w:firstLine="640" w:firstLineChars="200"/>
              <w:rPr>
                <w:rFonts w:hint="eastAsia" w:ascii="仿宋_GB2312" w:eastAsia="仿宋_GB2312"/>
                <w:color w:val="000000"/>
                <w:sz w:val="32"/>
                <w:szCs w:val="32"/>
              </w:rPr>
            </w:pPr>
            <w:r>
              <w:rPr>
                <w:rFonts w:hint="eastAsia" w:eastAsia="仿宋_GB2312"/>
                <w:color w:val="000000"/>
                <w:sz w:val="32"/>
                <w:szCs w:val="32"/>
              </w:rPr>
              <w:t>6.</w:t>
            </w:r>
            <w:r>
              <w:rPr>
                <w:rFonts w:hint="eastAsia" w:ascii="仿宋_GB2312" w:eastAsia="仿宋_GB2312"/>
                <w:color w:val="000000"/>
                <w:sz w:val="32"/>
                <w:szCs w:val="32"/>
              </w:rPr>
              <w:t>加强对政法工作的督查，统筹协调全区维护政治安全、社会治安综合治理、维护社会稳定、反邪教有关法律法规政策的实施工作。</w:t>
            </w:r>
          </w:p>
          <w:p>
            <w:pPr>
              <w:spacing w:beforeLines="0" w:afterLines="0" w:line="60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7.支持和监督政法单位依法行使职权，检查政法单位执行党的路线方针政策、重大决策部署等情况，指导和协调政法单位密切配合，研究和协调重大、疑难案件，完善与纪检监察机关工作衔接和协作配合机制，推进严格执法、公正司法。</w:t>
            </w:r>
          </w:p>
          <w:p>
            <w:pPr>
              <w:spacing w:beforeLines="0" w:afterLines="0" w:line="600" w:lineRule="exact"/>
              <w:ind w:firstLine="640" w:firstLineChars="200"/>
              <w:rPr>
                <w:rFonts w:hint="eastAsia" w:eastAsia="仿宋_GB2312"/>
                <w:color w:val="000000"/>
                <w:sz w:val="32"/>
                <w:szCs w:val="32"/>
              </w:rPr>
            </w:pPr>
            <w:r>
              <w:rPr>
                <w:rFonts w:hint="eastAsia" w:eastAsia="仿宋_GB2312"/>
                <w:color w:val="000000"/>
                <w:sz w:val="32"/>
                <w:szCs w:val="32"/>
              </w:rPr>
              <w:t>8.掌握分析政法舆情动态，指导协调政法单位媒体网络宣传工作，指导政法单位做好涉及政法工作的重大宣传和舆论引导工作，指导政法单位网络安全和智能化建设工作，统筹政法宣传和舆情引导工作。</w:t>
            </w:r>
          </w:p>
          <w:p>
            <w:pPr>
              <w:spacing w:beforeLines="0" w:afterLines="0" w:line="60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9.组织开展政法领域调查研究，研究拟定全区政法工作的政策措施，及时向区委提出建议；组织研究政法改革中带有方向性、倾向性和普遍性的重大问题，深化政法改革。</w:t>
            </w:r>
          </w:p>
          <w:p>
            <w:pPr>
              <w:spacing w:beforeLines="0" w:afterLines="0" w:line="600" w:lineRule="exact"/>
              <w:ind w:firstLine="640" w:firstLineChars="200"/>
              <w:rPr>
                <w:rFonts w:hint="eastAsia" w:eastAsia="仿宋_GB2312"/>
                <w:color w:val="000000"/>
                <w:sz w:val="32"/>
                <w:szCs w:val="32"/>
              </w:rPr>
            </w:pPr>
            <w:r>
              <w:rPr>
                <w:rFonts w:hint="eastAsia" w:eastAsia="仿宋_GB2312"/>
                <w:color w:val="000000"/>
                <w:sz w:val="32"/>
                <w:szCs w:val="32"/>
              </w:rPr>
              <w:t>10.指导推动政法系统党的建设和政法队伍建设，协助区级有关职能部门管理监督政法领导干部，代管广元市昭化区法学会。</w:t>
            </w:r>
          </w:p>
          <w:p>
            <w:pPr>
              <w:spacing w:beforeLines="0" w:afterLines="0" w:line="600" w:lineRule="exact"/>
              <w:ind w:firstLine="640" w:firstLineChars="200"/>
              <w:rPr>
                <w:rFonts w:hint="eastAsia"/>
                <w:sz w:val="32"/>
                <w:szCs w:val="32"/>
              </w:rPr>
            </w:pPr>
            <w:r>
              <w:rPr>
                <w:rFonts w:hint="eastAsia" w:ascii="仿宋_GB2312" w:eastAsia="仿宋_GB2312"/>
                <w:color w:val="000000"/>
                <w:sz w:val="32"/>
                <w:szCs w:val="32"/>
              </w:rPr>
              <w:t>11.完成区委交办的其他任务。</w:t>
            </w:r>
          </w:p>
          <w:p>
            <w:pPr>
              <w:spacing w:beforeLines="0" w:afterLines="0" w:line="580" w:lineRule="exact"/>
              <w:ind w:firstLine="643" w:firstLineChars="200"/>
              <w:rPr>
                <w:rFonts w:hint="eastAsia"/>
                <w:b/>
                <w:sz w:val="32"/>
                <w:szCs w:val="32"/>
              </w:rPr>
            </w:pPr>
            <w:r>
              <w:rPr>
                <w:rFonts w:hint="eastAsia" w:eastAsia="楷体_GB2312"/>
                <w:b/>
                <w:sz w:val="32"/>
                <w:szCs w:val="32"/>
              </w:rPr>
              <w:t>（二）人员概况</w:t>
            </w:r>
          </w:p>
          <w:p>
            <w:pPr>
              <w:spacing w:beforeLines="0" w:afterLines="0" w:line="600" w:lineRule="exact"/>
              <w:ind w:firstLine="640" w:firstLineChars="200"/>
              <w:rPr>
                <w:rFonts w:hint="eastAsia"/>
                <w:sz w:val="32"/>
                <w:szCs w:val="32"/>
              </w:rPr>
            </w:pPr>
            <w:r>
              <w:rPr>
                <w:rFonts w:hint="eastAsia" w:eastAsia="仿宋_GB2312"/>
                <w:color w:val="000000"/>
                <w:sz w:val="32"/>
                <w:szCs w:val="32"/>
              </w:rPr>
              <w:t>区委政法委共有编制</w:t>
            </w:r>
            <w:r>
              <w:rPr>
                <w:rFonts w:hint="eastAsia"/>
                <w:color w:val="000000"/>
                <w:sz w:val="32"/>
                <w:szCs w:val="32"/>
              </w:rPr>
              <w:t>15</w:t>
            </w:r>
            <w:r>
              <w:rPr>
                <w:rFonts w:hint="eastAsia" w:eastAsia="仿宋_GB2312"/>
                <w:color w:val="000000"/>
                <w:sz w:val="32"/>
                <w:szCs w:val="32"/>
              </w:rPr>
              <w:t>名，其中：行政编制</w:t>
            </w:r>
            <w:r>
              <w:rPr>
                <w:rFonts w:hint="eastAsia"/>
                <w:color w:val="000000"/>
                <w:sz w:val="32"/>
                <w:szCs w:val="32"/>
              </w:rPr>
              <w:t>8</w:t>
            </w:r>
            <w:r>
              <w:rPr>
                <w:rFonts w:hint="eastAsia" w:eastAsia="仿宋_GB2312"/>
                <w:color w:val="000000"/>
                <w:sz w:val="32"/>
                <w:szCs w:val="32"/>
              </w:rPr>
              <w:t>人，事业编制7人。2022年决算实有在职在编人员18人，比去年增加2人（引进研究生1人、调入公务员1人），其中：行政人员8人，事业人员10人。按财政供给率分，财政全额供给18人。退休人员3人。</w:t>
            </w:r>
          </w:p>
          <w:p>
            <w:pPr>
              <w:spacing w:beforeLines="0" w:afterLines="0" w:line="580" w:lineRule="exact"/>
              <w:ind w:firstLine="640" w:firstLineChars="200"/>
              <w:rPr>
                <w:rFonts w:hint="eastAsia"/>
                <w:sz w:val="32"/>
                <w:szCs w:val="32"/>
              </w:rPr>
            </w:pPr>
            <w:r>
              <w:rPr>
                <w:rFonts w:hint="eastAsia" w:eastAsia="黑体"/>
                <w:sz w:val="32"/>
                <w:szCs w:val="32"/>
              </w:rPr>
              <w:t>二、部门财政收支情况</w:t>
            </w:r>
          </w:p>
          <w:p>
            <w:pPr>
              <w:overflowPunct w:val="0"/>
              <w:spacing w:beforeLines="0" w:afterLines="0" w:line="576" w:lineRule="exact"/>
              <w:ind w:firstLine="643" w:firstLineChars="200"/>
              <w:rPr>
                <w:rFonts w:hint="eastAsia" w:ascii="仿宋" w:hAnsi="仿宋" w:eastAsia="仿宋"/>
                <w:color w:val="00B0F0"/>
                <w:sz w:val="32"/>
                <w:szCs w:val="32"/>
              </w:rPr>
            </w:pPr>
            <w:r>
              <w:rPr>
                <w:rFonts w:hint="eastAsia" w:ascii="仿宋_GB2312" w:hAnsi="仿宋_GB2312" w:eastAsia="仿宋_GB2312" w:cs="仿宋_GB2312"/>
                <w:b/>
                <w:color w:val="auto"/>
                <w:sz w:val="32"/>
                <w:szCs w:val="32"/>
              </w:rPr>
              <w:t>（一）单位财政资金收入情况：</w:t>
            </w:r>
            <w:r>
              <w:rPr>
                <w:rFonts w:hint="eastAsia"/>
                <w:color w:val="000000"/>
                <w:sz w:val="32"/>
                <w:szCs w:val="32"/>
              </w:rPr>
              <w:t>2022</w:t>
            </w:r>
            <w:r>
              <w:rPr>
                <w:rFonts w:hint="eastAsia" w:eastAsia="仿宋"/>
                <w:color w:val="000000"/>
                <w:sz w:val="32"/>
                <w:szCs w:val="32"/>
              </w:rPr>
              <w:t>年初财政批复预算收入1158.27万元（其中：基本支出598.27万元、项目支出560万元）；年度执行中追加经费35.12万元，</w:t>
            </w:r>
            <w:r>
              <w:rPr>
                <w:rFonts w:hint="eastAsia" w:ascii="仿宋_GB2312" w:hAnsi="仿宋_GB2312" w:eastAsia="仿宋_GB2312" w:cs="仿宋_GB2312"/>
                <w:color w:val="auto"/>
                <w:sz w:val="32"/>
                <w:szCs w:val="32"/>
              </w:rPr>
              <w:t>2022年全年一般公共预算财政拨款总收入1193.39万元，其中：人员经费251.74万元，公用经费361.65万元，项目支出580万元。</w:t>
            </w:r>
          </w:p>
          <w:p>
            <w:pPr>
              <w:overflowPunct w:val="0"/>
              <w:spacing w:beforeLines="0" w:afterLines="0" w:line="576" w:lineRule="exact"/>
              <w:ind w:firstLine="643" w:firstLineChars="200"/>
              <w:rPr>
                <w:rFonts w:hint="eastAsia" w:eastAsia="仿宋_GB2312"/>
                <w:color w:val="auto"/>
                <w:sz w:val="32"/>
                <w:szCs w:val="32"/>
              </w:rPr>
            </w:pPr>
            <w:r>
              <w:rPr>
                <w:rFonts w:hint="eastAsia" w:ascii="仿宋_GB2312" w:hAnsi="仿宋_GB2312" w:eastAsia="仿宋_GB2312" w:cs="仿宋_GB2312"/>
                <w:b/>
                <w:color w:val="auto"/>
                <w:sz w:val="32"/>
                <w:szCs w:val="32"/>
              </w:rPr>
              <w:t>（二）单位财政支出情况：</w:t>
            </w:r>
            <w:r>
              <w:rPr>
                <w:rFonts w:hint="eastAsia" w:ascii="仿宋_GB2312" w:hAnsi="仿宋_GB2312" w:eastAsia="仿宋_GB2312" w:cs="仿宋_GB2312"/>
                <w:color w:val="auto"/>
                <w:sz w:val="32"/>
                <w:szCs w:val="32"/>
              </w:rPr>
              <w:t>2022年一般公共预算财政拨款支出1193.39万元，其中：人员支出251.74万元，公用经费支出361.65万元，项目支出580万元。</w:t>
            </w:r>
          </w:p>
          <w:p>
            <w:pPr>
              <w:numPr>
                <w:ilvl w:val="0"/>
                <w:numId w:val="7"/>
              </w:numPr>
              <w:spacing w:beforeLines="0" w:afterLines="0"/>
              <w:rPr>
                <w:rFonts w:hint="eastAsia" w:eastAsia="黑体"/>
                <w:sz w:val="32"/>
                <w:szCs w:val="32"/>
              </w:rPr>
            </w:pPr>
            <w:r>
              <w:rPr>
                <w:rFonts w:hint="eastAsia" w:eastAsia="黑体"/>
                <w:sz w:val="32"/>
                <w:szCs w:val="32"/>
              </w:rPr>
              <w:t>部门整体预算绩效管理情况</w:t>
            </w:r>
          </w:p>
          <w:p>
            <w:pPr>
              <w:spacing w:beforeLines="0" w:afterLines="0" w:line="540" w:lineRule="exact"/>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（一）部门预算项目绩效管理</w:t>
            </w:r>
          </w:p>
          <w:p>
            <w:pPr>
              <w:spacing w:beforeLines="0" w:afterLines="0" w:line="540" w:lineRule="exact"/>
              <w:ind w:firstLine="640" w:firstLineChars="200"/>
              <w:jc w:val="left"/>
              <w:rPr>
                <w:rFonts w:hint="eastAsia" w:ascii="仿宋_GB2312" w:hAnsi="仿宋_GB2312" w:eastAsia="仿宋_GB2312" w:cs="仿宋_GB2312"/>
                <w:b/>
                <w:color w:val="00B0F0"/>
                <w:sz w:val="32"/>
                <w:szCs w:val="32"/>
              </w:rPr>
            </w:pPr>
            <w:r>
              <w:rPr>
                <w:rFonts w:hint="eastAsia" w:ascii="仿宋_GB2312" w:hAnsi="仿宋_GB2312" w:eastAsia="仿宋_GB2312" w:cs="仿宋_GB2312"/>
                <w:sz w:val="32"/>
                <w:szCs w:val="32"/>
              </w:rPr>
              <w:t>本单位绩效目标编制要素完整，绩效指标细化量化准确，</w:t>
            </w:r>
            <w:r>
              <w:rPr>
                <w:rFonts w:hint="eastAsia" w:ascii="仿宋_GB2312" w:hAnsi="仿宋_GB2312" w:eastAsia="仿宋_GB2312" w:cs="仿宋_GB2312"/>
                <w:kern w:val="0"/>
                <w:sz w:val="32"/>
                <w:szCs w:val="32"/>
              </w:rPr>
              <w:t>预算决算编制内容真实有效，编制数据完整，准确。年初预算（含追加项目资金）绩效目标编制完整、合理。报表报送及时准确。</w:t>
            </w:r>
            <w:r>
              <w:rPr>
                <w:rFonts w:hint="eastAsia" w:ascii="仿宋_GB2312" w:hAnsi="仿宋_GB2312" w:eastAsia="仿宋_GB2312" w:cs="仿宋_GB2312"/>
                <w:sz w:val="32"/>
                <w:szCs w:val="32"/>
              </w:rPr>
              <w:t>单位人员类、运转类、特定目标类项目收支执行进度良好、部门整体绩效目标完成较好，无偏差。在支出控制方面，部门日常公用经费、项目支出中“办公费、印刷费、水费、电费、物业管理费”等科目年初预算数与决算数无偏差。本部门在开展绩效运行监控后，将绩效监控结果应用到预算调整中。本部门预算项目年终预算执行情况部门预算项目12月预算执行进度达到100%。部门预算项目资金无结余。依据评价年度审计监督、财政检查结果，本单位预算管理方面无违纪违规问题。</w:t>
            </w:r>
          </w:p>
          <w:p>
            <w:pPr>
              <w:numPr>
                <w:ilvl w:val="0"/>
                <w:numId w:val="8"/>
              </w:numPr>
              <w:spacing w:beforeLines="0" w:afterLines="0" w:line="540" w:lineRule="exact"/>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结果应用公开情况</w:t>
            </w:r>
          </w:p>
          <w:p>
            <w:pPr>
              <w:spacing w:beforeLines="0" w:afterLines="0" w:line="540" w:lineRule="exact"/>
              <w:ind w:firstLine="640" w:firstLineChars="200"/>
              <w:rPr>
                <w:rFonts w:hint="eastAsia" w:ascii="仿宋_GB2312" w:hAnsi="仿宋_GB2312" w:eastAsia="宋体" w:cs="仿宋_GB2312"/>
                <w:sz w:val="32"/>
                <w:szCs w:val="32"/>
              </w:rPr>
            </w:pPr>
            <w:r>
              <w:rPr>
                <w:rFonts w:hint="eastAsia" w:ascii="仿宋_GB2312" w:hAnsi="仿宋_GB2312" w:eastAsia="仿宋_GB2312" w:cs="仿宋_GB2312"/>
                <w:sz w:val="32"/>
                <w:szCs w:val="32"/>
              </w:rPr>
              <w:t>本单位严格执行预决算公开制度。按要求将相关绩效信息随同决算公开。本部门针对绩效管理过程中（包括绩效目标核查、绩效监控核查、重点自评抽查和重点绩效评价）提出的问题整改问题、完善政策、改进管理。在应用反馈方面，本部门在规定时间内向财政部门反馈应用绩效结果报告。</w:t>
            </w:r>
          </w:p>
          <w:p>
            <w:pPr>
              <w:numPr>
                <w:ilvl w:val="0"/>
                <w:numId w:val="8"/>
              </w:numPr>
              <w:spacing w:beforeLines="0" w:afterLines="0" w:line="540" w:lineRule="exact"/>
              <w:ind w:left="-320" w:firstLine="64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自评质量</w:t>
            </w:r>
          </w:p>
          <w:p>
            <w:pPr>
              <w:spacing w:beforeLines="0" w:afterLines="0" w:line="540" w:lineRule="exact"/>
              <w:ind w:firstLine="640" w:firstLineChars="200"/>
              <w:rPr>
                <w:rFonts w:hint="eastAsia"/>
                <w:sz w:val="32"/>
                <w:szCs w:val="32"/>
              </w:rPr>
            </w:pPr>
            <w:r>
              <w:rPr>
                <w:rFonts w:hint="eastAsia" w:ascii="仿宋_GB2312" w:hAnsi="仿宋_GB2312" w:eastAsia="仿宋_GB2312" w:cs="仿宋_GB2312"/>
                <w:sz w:val="32"/>
                <w:szCs w:val="32"/>
              </w:rPr>
              <w:t>本单位严格按照预算绩效管理办法开展绩效自评，健全财政预算绩效管理机制，强化绩效目标管理，使整体支出绩效准确率95%，自评质量较好。</w:t>
            </w:r>
          </w:p>
          <w:p>
            <w:pPr>
              <w:spacing w:beforeLines="0" w:afterLines="0" w:line="580" w:lineRule="exact"/>
              <w:ind w:firstLine="640" w:firstLineChars="200"/>
              <w:rPr>
                <w:rFonts w:hint="eastAsia"/>
                <w:sz w:val="32"/>
                <w:szCs w:val="32"/>
              </w:rPr>
            </w:pPr>
            <w:r>
              <w:rPr>
                <w:rFonts w:hint="eastAsia" w:eastAsia="黑体"/>
                <w:sz w:val="32"/>
                <w:szCs w:val="32"/>
              </w:rPr>
              <w:t>四、评价结论及建议</w:t>
            </w:r>
          </w:p>
          <w:p>
            <w:pPr>
              <w:spacing w:beforeLines="0" w:afterLines="0" w:line="580" w:lineRule="exact"/>
              <w:ind w:firstLine="643" w:firstLineChars="200"/>
              <w:rPr>
                <w:rFonts w:hint="eastAsia"/>
                <w:b/>
                <w:sz w:val="32"/>
                <w:szCs w:val="32"/>
              </w:rPr>
            </w:pPr>
            <w:r>
              <w:rPr>
                <w:rFonts w:hint="eastAsia" w:eastAsia="楷体_GB2312"/>
                <w:b/>
                <w:sz w:val="32"/>
                <w:szCs w:val="32"/>
              </w:rPr>
              <w:t xml:space="preserve">（一）自评结论 </w:t>
            </w:r>
          </w:p>
          <w:p>
            <w:pPr>
              <w:spacing w:beforeLines="0" w:afterLines="0" w:line="576" w:lineRule="exact"/>
              <w:ind w:firstLine="640" w:firstLineChars="200"/>
              <w:rPr>
                <w:rFonts w:hint="eastAsia"/>
                <w:sz w:val="32"/>
                <w:szCs w:val="32"/>
              </w:rPr>
            </w:pPr>
            <w:r>
              <w:rPr>
                <w:rFonts w:hint="eastAsia" w:eastAsia="仿宋_GB2312"/>
                <w:kern w:val="0"/>
                <w:sz w:val="32"/>
                <w:szCs w:val="32"/>
              </w:rPr>
              <w:t>我单位按照</w:t>
            </w:r>
            <w:r>
              <w:rPr>
                <w:rFonts w:hint="eastAsia" w:eastAsia="仿宋_GB2312"/>
                <w:color w:val="auto"/>
                <w:kern w:val="0"/>
                <w:sz w:val="32"/>
                <w:szCs w:val="32"/>
              </w:rPr>
              <w:t>《广元市昭化区人民政府办公室关于印发&lt;广元市昭化区财政支出事后绩效评价管理办法</w:t>
            </w:r>
            <w:r>
              <w:rPr>
                <w:rFonts w:hint="eastAsia"/>
                <w:color w:val="auto"/>
                <w:kern w:val="0"/>
                <w:sz w:val="32"/>
                <w:szCs w:val="32"/>
              </w:rPr>
              <w:t>&gt;</w:t>
            </w:r>
            <w:r>
              <w:rPr>
                <w:rFonts w:hint="eastAsia" w:eastAsia="仿宋_GB2312"/>
                <w:color w:val="auto"/>
                <w:kern w:val="0"/>
                <w:sz w:val="32"/>
                <w:szCs w:val="32"/>
              </w:rPr>
              <w:t>的通知》(昭府办函〔20</w:t>
            </w:r>
            <w:r>
              <w:rPr>
                <w:rFonts w:hint="eastAsia"/>
                <w:color w:val="auto"/>
                <w:kern w:val="0"/>
                <w:sz w:val="32"/>
                <w:szCs w:val="32"/>
              </w:rPr>
              <w:t>22</w:t>
            </w:r>
            <w:r>
              <w:rPr>
                <w:rFonts w:hint="eastAsia" w:eastAsia="仿宋_GB2312"/>
                <w:color w:val="auto"/>
                <w:kern w:val="0"/>
                <w:sz w:val="32"/>
                <w:szCs w:val="32"/>
              </w:rPr>
              <w:t>〕</w:t>
            </w:r>
            <w:r>
              <w:rPr>
                <w:rFonts w:hint="eastAsia"/>
                <w:color w:val="auto"/>
                <w:kern w:val="0"/>
                <w:sz w:val="32"/>
                <w:szCs w:val="32"/>
              </w:rPr>
              <w:t>37</w:t>
            </w:r>
            <w:r>
              <w:rPr>
                <w:rFonts w:hint="eastAsia" w:eastAsia="仿宋_GB2312"/>
                <w:color w:val="auto"/>
                <w:kern w:val="0"/>
                <w:sz w:val="32"/>
                <w:szCs w:val="32"/>
              </w:rPr>
              <w:t>号)，</w:t>
            </w:r>
            <w:r>
              <w:rPr>
                <w:rFonts w:hint="eastAsia" w:eastAsia="仿宋_GB2312"/>
                <w:kern w:val="0"/>
                <w:sz w:val="32"/>
                <w:szCs w:val="32"/>
              </w:rPr>
              <w:t>自评得分为98分。</w:t>
            </w:r>
          </w:p>
          <w:p>
            <w:pPr>
              <w:numPr>
                <w:ilvl w:val="0"/>
                <w:numId w:val="9"/>
              </w:numPr>
              <w:spacing w:beforeLines="0" w:afterLines="0" w:line="580" w:lineRule="exact"/>
              <w:ind w:firstLine="643" w:firstLineChars="200"/>
              <w:rPr>
                <w:rFonts w:hint="eastAsia"/>
                <w:b/>
                <w:sz w:val="32"/>
                <w:szCs w:val="32"/>
              </w:rPr>
            </w:pPr>
            <w:r>
              <w:rPr>
                <w:rFonts w:hint="eastAsia" w:eastAsia="楷体_GB2312"/>
                <w:b/>
                <w:sz w:val="32"/>
                <w:szCs w:val="32"/>
              </w:rPr>
              <w:t>存在问题</w:t>
            </w:r>
          </w:p>
          <w:p>
            <w:pPr>
              <w:numPr>
                <w:ilvl w:val="0"/>
                <w:numId w:val="0"/>
              </w:numPr>
              <w:spacing w:beforeLines="0" w:afterLines="0"/>
              <w:ind w:leftChars="200" w:firstLine="640" w:firstLineChars="200"/>
              <w:rPr>
                <w:rFonts w:hint="eastAsia"/>
                <w:kern w:val="0"/>
                <w:sz w:val="32"/>
                <w:szCs w:val="32"/>
              </w:rPr>
            </w:pPr>
            <w:r>
              <w:rPr>
                <w:rFonts w:hint="eastAsia" w:eastAsia="仿宋_GB2312"/>
                <w:kern w:val="0"/>
                <w:sz w:val="32"/>
                <w:szCs w:val="32"/>
              </w:rPr>
              <w:t>预算编制精准性还有待进一步提高。在预算编制过程中与业务股室沟通不够，造成在开展过程中应急性时间较多，造成预算与实际支出费用存在偏差，在支出时也还存在申报计划是功能科目与实际支出不一致的情况，从而造成预算编制不够精确。</w:t>
            </w:r>
          </w:p>
          <w:p>
            <w:pPr>
              <w:spacing w:beforeLines="0" w:afterLines="0" w:line="580" w:lineRule="exact"/>
              <w:ind w:firstLine="643" w:firstLineChars="200"/>
              <w:rPr>
                <w:rFonts w:hint="eastAsia"/>
                <w:b/>
                <w:sz w:val="32"/>
                <w:szCs w:val="32"/>
              </w:rPr>
            </w:pPr>
            <w:r>
              <w:rPr>
                <w:rFonts w:hint="eastAsia" w:eastAsia="楷体_GB2312"/>
                <w:b/>
                <w:sz w:val="32"/>
                <w:szCs w:val="32"/>
              </w:rPr>
              <w:t>（三）改进建议</w:t>
            </w:r>
          </w:p>
          <w:p>
            <w:pPr>
              <w:numPr>
                <w:ilvl w:val="0"/>
                <w:numId w:val="0"/>
              </w:numPr>
              <w:spacing w:beforeLines="0" w:afterLines="0"/>
              <w:ind w:leftChars="200" w:firstLine="640" w:firstLineChars="200"/>
              <w:rPr>
                <w:rFonts w:hint="eastAsia" w:eastAsia="仿宋_GB2312"/>
                <w:kern w:val="0"/>
                <w:sz w:val="32"/>
                <w:szCs w:val="32"/>
              </w:rPr>
            </w:pPr>
            <w:r>
              <w:rPr>
                <w:rFonts w:hint="eastAsia" w:eastAsia="仿宋_GB2312"/>
                <w:kern w:val="0"/>
                <w:sz w:val="32"/>
                <w:szCs w:val="32"/>
              </w:rPr>
              <w:t>精准编制预算。严格按照政策标准，优化支出结构，加快工作进度，提高预算编制的科学化精细化水平。</w:t>
            </w:r>
          </w:p>
          <w:p>
            <w:pPr>
              <w:pStyle w:val="2"/>
              <w:spacing w:beforeLines="0" w:afterLines="0"/>
              <w:rPr>
                <w:rFonts w:hint="eastAsia" w:hAnsi="仿宋"/>
                <w:sz w:val="32"/>
                <w:szCs w:val="32"/>
              </w:rPr>
            </w:pPr>
          </w:p>
          <w:p>
            <w:pPr>
              <w:spacing w:beforeLines="0" w:afterLines="0" w:line="580" w:lineRule="exact"/>
              <w:rPr>
                <w:rFonts w:hint="eastAsia"/>
                <w:sz w:val="32"/>
                <w:szCs w:val="32"/>
              </w:rPr>
            </w:pPr>
          </w:p>
          <w:p>
            <w:pPr>
              <w:spacing w:beforeLines="0" w:afterLines="0"/>
              <w:rPr>
                <w:rFonts w:hint="eastAsia" w:eastAsia="仿宋_GB2312"/>
                <w:sz w:val="32"/>
                <w:szCs w:val="32"/>
              </w:rPr>
            </w:pPr>
            <w:r>
              <w:rPr>
                <w:rFonts w:hint="eastAsia" w:eastAsia="仿宋_GB2312"/>
                <w:sz w:val="32"/>
                <w:szCs w:val="32"/>
              </w:rPr>
              <w:t xml:space="preserve">            </w:t>
            </w:r>
          </w:p>
          <w:p>
            <w:pPr>
              <w:spacing w:beforeLines="0" w:afterLines="0"/>
              <w:rPr>
                <w:rFonts w:hint="eastAsia" w:eastAsia="仿宋_GB2312"/>
                <w:sz w:val="32"/>
                <w:szCs w:val="32"/>
              </w:rPr>
            </w:pPr>
          </w:p>
          <w:p>
            <w:pPr>
              <w:keepNext w:val="0"/>
              <w:keepLines w:val="0"/>
              <w:widowControl/>
              <w:suppressLineNumbers w:val="0"/>
              <w:jc w:val="center"/>
              <w:textAlignment w:val="center"/>
              <w:rPr>
                <w:rFonts w:hint="eastAsia" w:ascii="黑体" w:hAnsi="宋体" w:eastAsia="黑体" w:cs="黑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黑体" w:hAnsi="宋体" w:eastAsia="黑体" w:cs="黑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黑体" w:hAnsi="宋体" w:eastAsia="黑体" w:cs="黑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黑体" w:hAnsi="宋体" w:eastAsia="黑体" w:cs="黑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黑体" w:hAnsi="宋体" w:eastAsia="黑体" w:cs="黑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黑体" w:hAnsi="宋体" w:eastAsia="黑体" w:cs="黑体"/>
                <w:i w:val="0"/>
                <w:iCs w:val="0"/>
                <w:color w:val="000000"/>
                <w:kern w:val="0"/>
                <w:sz w:val="40"/>
                <w:szCs w:val="40"/>
                <w:u w:val="none"/>
                <w:lang w:val="en-US" w:eastAsia="zh-CN" w:bidi="ar"/>
              </w:rPr>
            </w:pPr>
          </w:p>
          <w:tbl>
            <w:tblPr>
              <w:tblStyle w:val="17"/>
              <w:tblW w:w="10425"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
              <w:gridCol w:w="786"/>
              <w:gridCol w:w="852"/>
              <w:gridCol w:w="1140"/>
              <w:gridCol w:w="765"/>
              <w:gridCol w:w="1809"/>
              <w:gridCol w:w="1125"/>
              <w:gridCol w:w="2084"/>
              <w:gridCol w:w="1859"/>
              <w:gridCol w:w="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5" w:type="dxa"/>
                <w:trHeight w:val="700" w:hRule="atLeast"/>
              </w:trPr>
              <w:tc>
                <w:tcPr>
                  <w:tcW w:w="10429" w:type="dxa"/>
                  <w:gridSpan w:val="9"/>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44"/>
                      <w:szCs w:val="44"/>
                      <w:u w:val="none"/>
                    </w:rPr>
                  </w:pPr>
                  <w:r>
                    <w:rPr>
                      <w:rFonts w:hint="eastAsia" w:ascii="黑体" w:hAnsi="宋体" w:eastAsia="黑体" w:cs="黑体"/>
                      <w:b/>
                      <w:bCs/>
                      <w:i w:val="0"/>
                      <w:iCs w:val="0"/>
                      <w:color w:val="000000"/>
                      <w:kern w:val="0"/>
                      <w:sz w:val="44"/>
                      <w:szCs w:val="44"/>
                      <w:u w:val="none"/>
                      <w:lang w:val="en-US" w:eastAsia="zh-CN" w:bidi="ar"/>
                    </w:rPr>
                    <w:t>广元市昭化区部门整体支出绩效目标自评表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5" w:type="dxa"/>
                <w:trHeight w:val="460" w:hRule="atLeast"/>
              </w:trPr>
              <w:tc>
                <w:tcPr>
                  <w:tcW w:w="10429" w:type="dxa"/>
                  <w:gridSpan w:val="9"/>
                  <w:tcBorders>
                    <w:top w:val="nil"/>
                    <w:left w:val="nil"/>
                    <w:bottom w:val="nil"/>
                    <w:right w:val="nil"/>
                  </w:tcBorders>
                  <w:shd w:val="clear" w:color="auto" w:fill="auto"/>
                  <w:vAlign w:val="top"/>
                </w:tcPr>
                <w:p>
                  <w:pPr>
                    <w:keepNext w:val="0"/>
                    <w:keepLines w:val="0"/>
                    <w:widowControl/>
                    <w:suppressLineNumbers w:val="0"/>
                    <w:jc w:val="center"/>
                    <w:textAlignment w:val="top"/>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360" w:hRule="atLeast"/>
              </w:trPr>
              <w:tc>
                <w:tcPr>
                  <w:tcW w:w="164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主管部门</w:t>
                  </w:r>
                </w:p>
              </w:tc>
              <w:tc>
                <w:tcPr>
                  <w:tcW w:w="37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广元市昭化区委政法委</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实施单位</w:t>
                  </w:r>
                </w:p>
              </w:tc>
              <w:tc>
                <w:tcPr>
                  <w:tcW w:w="39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广元市昭化区委政法委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360" w:hRule="atLeast"/>
              </w:trPr>
              <w:tc>
                <w:tcPr>
                  <w:tcW w:w="1644" w:type="dxa"/>
                  <w:gridSpan w:val="3"/>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项目（政策）资金（万元）</w:t>
                  </w:r>
                </w:p>
              </w:tc>
              <w:tc>
                <w:tcPr>
                  <w:tcW w:w="1905" w:type="dxa"/>
                  <w:gridSpan w:val="2"/>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8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年初预算数</w:t>
                  </w:r>
                </w:p>
              </w:tc>
              <w:tc>
                <w:tcPr>
                  <w:tcW w:w="112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全年预算数</w:t>
                  </w:r>
                </w:p>
              </w:tc>
              <w:tc>
                <w:tcPr>
                  <w:tcW w:w="208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全年执行数</w:t>
                  </w:r>
                </w:p>
              </w:tc>
              <w:tc>
                <w:tcPr>
                  <w:tcW w:w="186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360" w:hRule="atLeast"/>
              </w:trPr>
              <w:tc>
                <w:tcPr>
                  <w:tcW w:w="1644" w:type="dxa"/>
                  <w:gridSpan w:val="3"/>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9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年度资金总额</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b/>
                      <w:bCs/>
                      <w:i w:val="0"/>
                      <w:iCs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860"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360" w:hRule="atLeast"/>
              </w:trPr>
              <w:tc>
                <w:tcPr>
                  <w:tcW w:w="1644" w:type="dxa"/>
                  <w:gridSpan w:val="3"/>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9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（一）财政拨款小计</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1193.39</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1193.39</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1193.39</w:t>
                  </w:r>
                </w:p>
              </w:tc>
              <w:tc>
                <w:tcPr>
                  <w:tcW w:w="186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360" w:hRule="atLeast"/>
              </w:trPr>
              <w:tc>
                <w:tcPr>
                  <w:tcW w:w="1644" w:type="dxa"/>
                  <w:gridSpan w:val="3"/>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9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   1.一般公共预算</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1193.39</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1193.39</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1193.39</w:t>
                  </w:r>
                </w:p>
              </w:tc>
              <w:tc>
                <w:tcPr>
                  <w:tcW w:w="186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340" w:hRule="atLeast"/>
              </w:trPr>
              <w:tc>
                <w:tcPr>
                  <w:tcW w:w="1644" w:type="dxa"/>
                  <w:gridSpan w:val="3"/>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9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   2.政府性基金</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860"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340" w:hRule="atLeast"/>
              </w:trPr>
              <w:tc>
                <w:tcPr>
                  <w:tcW w:w="1644" w:type="dxa"/>
                  <w:gridSpan w:val="3"/>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9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  3.国有资本经营预算</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860"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340" w:hRule="atLeast"/>
              </w:trPr>
              <w:tc>
                <w:tcPr>
                  <w:tcW w:w="1644" w:type="dxa"/>
                  <w:gridSpan w:val="3"/>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9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  4.社保基金</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860"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340" w:hRule="atLeast"/>
              </w:trPr>
              <w:tc>
                <w:tcPr>
                  <w:tcW w:w="1644" w:type="dxa"/>
                  <w:gridSpan w:val="3"/>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905"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（二）其他资金</w:t>
                  </w:r>
                </w:p>
              </w:tc>
              <w:tc>
                <w:tcPr>
                  <w:tcW w:w="1810" w:type="dxa"/>
                  <w:tcBorders>
                    <w:top w:val="single" w:color="000000" w:sz="4" w:space="0"/>
                    <w:left w:val="single" w:color="000000" w:sz="4" w:space="0"/>
                    <w:bottom w:val="nil"/>
                    <w:right w:val="single" w:color="000000" w:sz="4" w:space="0"/>
                  </w:tcBorders>
                  <w:shd w:val="clear" w:color="auto" w:fill="auto"/>
                  <w:vAlign w:val="center"/>
                </w:tcPr>
                <w:p>
                  <w:pPr>
                    <w:rPr>
                      <w:rFonts w:hint="eastAsia" w:ascii="宋体" w:hAnsi="宋体" w:eastAsia="宋体" w:cs="宋体"/>
                      <w:b/>
                      <w:bCs/>
                      <w:i w:val="0"/>
                      <w:iCs w:val="0"/>
                      <w:color w:val="000000"/>
                      <w:sz w:val="18"/>
                      <w:szCs w:val="18"/>
                      <w:u w:val="none"/>
                    </w:rPr>
                  </w:pPr>
                </w:p>
              </w:tc>
              <w:tc>
                <w:tcPr>
                  <w:tcW w:w="1125"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085"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860" w:type="dxa"/>
                  <w:tcBorders>
                    <w:top w:val="nil"/>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420" w:hRule="atLeast"/>
              </w:trPr>
              <w:tc>
                <w:tcPr>
                  <w:tcW w:w="79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整体</w:t>
                  </w:r>
                </w:p>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目标</w:t>
                  </w:r>
                </w:p>
              </w:tc>
              <w:tc>
                <w:tcPr>
                  <w:tcW w:w="56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年度目标</w:t>
                  </w:r>
                </w:p>
              </w:tc>
              <w:tc>
                <w:tcPr>
                  <w:tcW w:w="39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2800" w:hRule="atLeast"/>
              </w:trPr>
              <w:tc>
                <w:tcPr>
                  <w:tcW w:w="79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56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对政法工作研究提出全局性部署，推进平安昭化、法治昭化建设，加强过硬队伍建设，深化智能化建设，坚决维护国家政治安全、确保社会大局稳定、促进社会公平正义、保障人民安居乐业、护航经济社会发展。一是保障单位正常运转，按时支付人员工资，按时缴纳保险，按时支付保障单位正常运转所产生的水、电、维修、办公等费用；二是完成区委区政府下达的2022年目标任务；三是做好维护国家政治安全、推进防邪反邪，深化平安昭化建设、维护社会稳定、强化执法监督和案件评查质量监督活动、强化涉法涉诉信访问题化解处置、推进政法智能化建设、加强政法宣传工作、建强忠诚干净担当的昭化政法铁军等工作；四是完成区委区政府安排的其他工作。</w:t>
                  </w:r>
                </w:p>
              </w:tc>
              <w:tc>
                <w:tcPr>
                  <w:tcW w:w="39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在全国“两会”、冬奥会及冬残奥会、省第十二次党代会、党的二十大期间，严格开展安保维稳工作调度和督察，累计开展3轮全覆盖督导，查摆共性问题6个、个性问题15个，及时督促相关镇和部门进行整改，确保了重大活动敏感节点期间“六个严防”和“五不”目标；全面实行“三调联动”，共排查发现各类矛盾隐患3062件，化解3023件，调处成功率98.7%，昭化区连续13年无“民转刑”命案发生；平安建设群众满意度测评连续6年名列省市前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520" w:hRule="atLeast"/>
              </w:trPr>
              <w:tc>
                <w:tcPr>
                  <w:tcW w:w="79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部门整体绩效指标</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一级指标</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二级指标</w:t>
                  </w:r>
                </w:p>
              </w:tc>
              <w:tc>
                <w:tcPr>
                  <w:tcW w:w="25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三级指标</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年度指标值</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实际完成值</w:t>
                  </w:r>
                </w:p>
              </w:tc>
              <w:tc>
                <w:tcPr>
                  <w:tcW w:w="1860" w:type="dxa"/>
                  <w:tcBorders>
                    <w:top w:val="nil"/>
                    <w:left w:val="nil"/>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450" w:hRule="atLeast"/>
              </w:trPr>
              <w:tc>
                <w:tcPr>
                  <w:tcW w:w="79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8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产出指标</w:t>
                  </w:r>
                </w:p>
              </w:tc>
              <w:tc>
                <w:tcPr>
                  <w:tcW w:w="11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数量指标</w:t>
                  </w:r>
                </w:p>
              </w:tc>
              <w:tc>
                <w:tcPr>
                  <w:tcW w:w="76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指标1：</w:t>
                  </w:r>
                </w:p>
              </w:tc>
              <w:tc>
                <w:tcPr>
                  <w:tcW w:w="181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创建全省平安建设先进县区</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100%</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660" w:hRule="atLeast"/>
              </w:trPr>
              <w:tc>
                <w:tcPr>
                  <w:tcW w:w="79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76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指标2：</w:t>
                  </w:r>
                </w:p>
              </w:tc>
              <w:tc>
                <w:tcPr>
                  <w:tcW w:w="181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在编人员数</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16</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100%</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820" w:hRule="atLeast"/>
              </w:trPr>
              <w:tc>
                <w:tcPr>
                  <w:tcW w:w="79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1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质量指标</w:t>
                  </w:r>
                </w:p>
              </w:tc>
              <w:tc>
                <w:tcPr>
                  <w:tcW w:w="76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指标1：</w:t>
                  </w:r>
                </w:p>
              </w:tc>
              <w:tc>
                <w:tcPr>
                  <w:tcW w:w="181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坚决守住“六个不发生”维稳底线</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≤1件/人</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0件/人</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780" w:hRule="atLeast"/>
              </w:trPr>
              <w:tc>
                <w:tcPr>
                  <w:tcW w:w="79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76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指标2：</w:t>
                  </w:r>
                </w:p>
              </w:tc>
              <w:tc>
                <w:tcPr>
                  <w:tcW w:w="181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全省平安建设先进县区创建成功率</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≥90%</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95%</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540" w:hRule="atLeast"/>
              </w:trPr>
              <w:tc>
                <w:tcPr>
                  <w:tcW w:w="79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时效指标</w:t>
                  </w:r>
                </w:p>
              </w:tc>
              <w:tc>
                <w:tcPr>
                  <w:tcW w:w="25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完成时限</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1年</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1年</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285" w:hRule="atLeast"/>
              </w:trPr>
              <w:tc>
                <w:tcPr>
                  <w:tcW w:w="79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1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成本指标</w:t>
                  </w:r>
                </w:p>
              </w:tc>
              <w:tc>
                <w:tcPr>
                  <w:tcW w:w="25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指标1：机关运行经费</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18"/>
                      <w:szCs w:val="18"/>
                      <w:u w:val="none"/>
                    </w:rPr>
                  </w:pP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267.14万元</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760" w:hRule="atLeast"/>
              </w:trPr>
              <w:tc>
                <w:tcPr>
                  <w:tcW w:w="79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5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指标2：平安昭化建设、雪亮工程建设等运转类经费</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≤891.13万元</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926.25万元</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增加司法救助资金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800" w:hRule="atLeast"/>
              </w:trPr>
              <w:tc>
                <w:tcPr>
                  <w:tcW w:w="79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效益指标</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社会效益</w:t>
                  </w:r>
                </w:p>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w:t>
                  </w:r>
                </w:p>
              </w:tc>
              <w:tc>
                <w:tcPr>
                  <w:tcW w:w="25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建设更高水平的平安昭化，确保社会大局稳定</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优良中差</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优</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900" w:hRule="atLeast"/>
              </w:trPr>
              <w:tc>
                <w:tcPr>
                  <w:tcW w:w="79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满意度</w:t>
                  </w:r>
                </w:p>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服务对象满意度指标</w:t>
                  </w:r>
                </w:p>
              </w:tc>
              <w:tc>
                <w:tcPr>
                  <w:tcW w:w="76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指标1：</w:t>
                  </w:r>
                </w:p>
              </w:tc>
              <w:tc>
                <w:tcPr>
                  <w:tcW w:w="181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平安建设群众满意度测评</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≥90%</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95.77%</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r>
          </w:tbl>
          <w:p>
            <w:pPr>
              <w:keepNext w:val="0"/>
              <w:keepLines w:val="0"/>
              <w:widowControl/>
              <w:suppressLineNumbers w:val="0"/>
              <w:jc w:val="center"/>
              <w:textAlignment w:val="center"/>
              <w:rPr>
                <w:rFonts w:hint="eastAsia" w:ascii="黑体" w:hAnsi="宋体" w:eastAsia="黑体" w:cs="黑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黑体" w:hAnsi="宋体" w:eastAsia="黑体" w:cs="黑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黑体" w:hAnsi="宋体" w:eastAsia="黑体" w:cs="黑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黑体" w:hAnsi="宋体" w:eastAsia="黑体" w:cs="黑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黑体" w:hAnsi="宋体" w:eastAsia="黑体" w:cs="黑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黑体" w:hAnsi="宋体" w:eastAsia="黑体" w:cs="黑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黑体" w:hAnsi="宋体" w:eastAsia="黑体" w:cs="黑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黑体" w:hAnsi="宋体" w:eastAsia="黑体" w:cs="黑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黑体" w:hAnsi="宋体" w:eastAsia="黑体" w:cs="黑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黑体" w:hAnsi="宋体" w:eastAsia="黑体" w:cs="黑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黑体" w:hAnsi="宋体" w:eastAsia="黑体" w:cs="黑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黑体" w:hAnsi="宋体" w:eastAsia="黑体" w:cs="黑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黑体" w:hAnsi="宋体" w:eastAsia="黑体" w:cs="黑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黑体" w:hAnsi="宋体" w:eastAsia="黑体" w:cs="黑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黑体" w:hAnsi="宋体" w:eastAsia="黑体" w:cs="黑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黑体" w:hAnsi="宋体" w:eastAsia="黑体" w:cs="黑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黑体" w:hAnsi="宋体" w:eastAsia="黑体" w:cs="黑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黑体" w:hAnsi="宋体" w:eastAsia="黑体" w:cs="黑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黑体" w:hAnsi="宋体" w:eastAsia="黑体" w:cs="黑体"/>
                <w:i w:val="0"/>
                <w:iCs w:val="0"/>
                <w:color w:val="000000"/>
                <w:kern w:val="0"/>
                <w:sz w:val="40"/>
                <w:szCs w:val="40"/>
                <w:u w:val="none"/>
                <w:lang w:val="en-US" w:eastAsia="zh-CN" w:bidi="ar"/>
              </w:rPr>
            </w:pPr>
          </w:p>
          <w:p>
            <w:pPr>
              <w:snapToGrid w:val="0"/>
              <w:spacing w:beforeLines="0" w:afterLines="0" w:line="576" w:lineRule="exact"/>
              <w:jc w:val="center"/>
              <w:rPr>
                <w:rFonts w:hint="eastAsia" w:ascii="方正小标宋简体" w:hAnsi="宋体" w:eastAsia="方正小标宋简体" w:cs="Times New Roman"/>
                <w:sz w:val="44"/>
                <w:szCs w:val="44"/>
              </w:rPr>
            </w:pPr>
            <w:r>
              <w:rPr>
                <w:rFonts w:hint="eastAsia" w:ascii="方正小标宋简体" w:hAnsi="宋体" w:eastAsia="方正小标宋简体" w:cs="Times New Roman"/>
                <w:sz w:val="44"/>
                <w:szCs w:val="44"/>
              </w:rPr>
              <w:t>中共广元市昭化区委政法委</w:t>
            </w:r>
          </w:p>
          <w:p>
            <w:pPr>
              <w:snapToGrid w:val="0"/>
              <w:spacing w:beforeLines="0" w:afterLines="0" w:line="576" w:lineRule="exact"/>
              <w:jc w:val="center"/>
              <w:rPr>
                <w:rFonts w:hint="eastAsia" w:ascii="方正小标宋简体" w:hAnsi="宋体" w:eastAsia="方正小标宋简体" w:cs="Times New Roman"/>
                <w:sz w:val="44"/>
                <w:szCs w:val="44"/>
              </w:rPr>
            </w:pPr>
            <w:r>
              <w:rPr>
                <w:rFonts w:hint="eastAsia" w:ascii="方正小标宋简体" w:hAnsi="宋体" w:eastAsia="方正小标宋简体" w:cs="Times New Roman"/>
                <w:sz w:val="44"/>
                <w:szCs w:val="44"/>
              </w:rPr>
              <w:t>“雪亮工程”建设和运维项目支出绩效</w:t>
            </w:r>
          </w:p>
          <w:p>
            <w:pPr>
              <w:snapToGrid w:val="0"/>
              <w:spacing w:beforeLines="0" w:afterLines="0" w:line="576" w:lineRule="exact"/>
              <w:jc w:val="center"/>
              <w:rPr>
                <w:rFonts w:hint="eastAsia" w:ascii="方正小标宋简体" w:hAnsi="宋体" w:eastAsia="方正小标宋简体" w:cs="Times New Roman"/>
                <w:sz w:val="44"/>
                <w:szCs w:val="44"/>
              </w:rPr>
            </w:pPr>
            <w:r>
              <w:rPr>
                <w:rFonts w:hint="eastAsia" w:ascii="方正小标宋简体" w:hAnsi="宋体" w:eastAsia="方正小标宋简体" w:cs="Times New Roman"/>
                <w:sz w:val="44"/>
                <w:szCs w:val="44"/>
              </w:rPr>
              <w:t>自评报告</w:t>
            </w:r>
          </w:p>
          <w:p>
            <w:pPr>
              <w:tabs>
                <w:tab w:val="left" w:pos="3885"/>
              </w:tabs>
              <w:snapToGrid w:val="0"/>
              <w:spacing w:beforeLines="0" w:afterLines="0" w:line="576" w:lineRule="exact"/>
              <w:ind w:firstLine="640" w:firstLineChars="200"/>
              <w:jc w:val="left"/>
              <w:rPr>
                <w:rFonts w:hint="eastAsia" w:eastAsia="黑体"/>
                <w:sz w:val="32"/>
                <w:szCs w:val="24"/>
              </w:rPr>
            </w:pPr>
          </w:p>
          <w:p>
            <w:pPr>
              <w:adjustRightInd w:val="0"/>
              <w:snapToGrid w:val="0"/>
              <w:spacing w:beforeLines="0" w:afterLines="0" w:line="576" w:lineRule="exact"/>
              <w:rPr>
                <w:rFonts w:hint="eastAsia"/>
                <w:sz w:val="32"/>
                <w:szCs w:val="24"/>
              </w:rPr>
            </w:pPr>
            <w:r>
              <w:rPr>
                <w:rFonts w:hint="eastAsia" w:eastAsia="仿宋_GB2312"/>
                <w:sz w:val="32"/>
                <w:szCs w:val="24"/>
              </w:rPr>
              <w:t>区财政局：</w:t>
            </w:r>
          </w:p>
          <w:p>
            <w:pPr>
              <w:adjustRightInd w:val="0"/>
              <w:snapToGrid w:val="0"/>
              <w:spacing w:beforeLines="0" w:afterLines="0" w:line="576" w:lineRule="exact"/>
              <w:ind w:firstLine="640" w:firstLineChars="200"/>
              <w:rPr>
                <w:rFonts w:hint="eastAsia"/>
                <w:sz w:val="32"/>
                <w:szCs w:val="24"/>
              </w:rPr>
            </w:pPr>
            <w:r>
              <w:rPr>
                <w:rFonts w:hint="eastAsia" w:ascii="仿宋_GB2312" w:hAnsi="仿宋_GB2312" w:eastAsia="仿宋_GB2312" w:cs="仿宋_GB2312"/>
                <w:sz w:val="32"/>
                <w:szCs w:val="32"/>
              </w:rPr>
              <w:t>为了进一步加强财政支付预算管理，提高财政资金使用效益，根据区财政局《关于开展2023年部门、政策和项目支出绩效评价工作的通知》(昭财发〔2023〕12号)的要求，结合我委2022年网格化管理经费项目实施情况，现将我委2022年开展“雪亮工程”建设和运维费用项目支出绩效自评报告如下：</w:t>
            </w:r>
          </w:p>
          <w:p>
            <w:pPr>
              <w:tabs>
                <w:tab w:val="left" w:pos="3885"/>
              </w:tabs>
              <w:snapToGrid w:val="0"/>
              <w:spacing w:beforeLines="0" w:afterLines="0" w:line="576" w:lineRule="exact"/>
              <w:ind w:firstLine="640" w:firstLineChars="200"/>
              <w:jc w:val="left"/>
              <w:rPr>
                <w:rFonts w:hint="eastAsia" w:eastAsia="黑体"/>
                <w:sz w:val="32"/>
                <w:szCs w:val="24"/>
              </w:rPr>
            </w:pPr>
            <w:r>
              <w:rPr>
                <w:rFonts w:hint="eastAsia" w:eastAsia="黑体"/>
                <w:sz w:val="32"/>
                <w:szCs w:val="24"/>
              </w:rPr>
              <w:t>一、项目基本情况</w:t>
            </w:r>
          </w:p>
          <w:p>
            <w:pPr>
              <w:autoSpaceDE w:val="0"/>
              <w:adjustRightInd w:val="0"/>
              <w:snapToGrid w:val="0"/>
              <w:spacing w:beforeLines="0" w:afterLines="0" w:line="576" w:lineRule="exact"/>
              <w:ind w:firstLine="630" w:firstLineChars="196"/>
              <w:rPr>
                <w:rFonts w:hint="eastAsia" w:ascii="仿宋_GB2312" w:eastAsia="仿宋_GB2312"/>
                <w:sz w:val="32"/>
                <w:szCs w:val="24"/>
              </w:rPr>
            </w:pPr>
            <w:r>
              <w:rPr>
                <w:rFonts w:hint="eastAsia" w:ascii="楷体_GB2312" w:hAnsi="宋体" w:eastAsia="楷体_GB2312"/>
                <w:b/>
                <w:sz w:val="32"/>
                <w:szCs w:val="24"/>
              </w:rPr>
              <w:t>（一）项目资金申报及批复情况。</w:t>
            </w:r>
            <w:r>
              <w:rPr>
                <w:rFonts w:hint="eastAsia" w:ascii="仿宋_GB2312" w:hAnsi="仿宋_GB2312" w:eastAsia="仿宋_GB2312" w:cs="仿宋_GB2312"/>
                <w:sz w:val="32"/>
                <w:szCs w:val="32"/>
              </w:rPr>
              <w:t>“雪亮工程”建设和运维费用</w:t>
            </w:r>
            <w:r>
              <w:rPr>
                <w:rFonts w:hint="eastAsia" w:ascii="仿宋_GB2312" w:eastAsia="仿宋_GB2312"/>
                <w:sz w:val="32"/>
                <w:szCs w:val="24"/>
              </w:rPr>
              <w:t>项目于2022年年初通过预算申报，由财政预算下达指标，共计560万元。</w:t>
            </w:r>
          </w:p>
          <w:p>
            <w:pPr>
              <w:autoSpaceDE w:val="0"/>
              <w:adjustRightInd w:val="0"/>
              <w:snapToGrid w:val="0"/>
              <w:spacing w:beforeLines="0" w:afterLines="0" w:line="576" w:lineRule="exact"/>
              <w:ind w:firstLine="630" w:firstLineChars="196"/>
              <w:rPr>
                <w:rFonts w:hint="eastAsia" w:ascii="仿宋_GB2312" w:eastAsia="仿宋_GB2312"/>
                <w:sz w:val="32"/>
                <w:szCs w:val="24"/>
              </w:rPr>
            </w:pPr>
            <w:r>
              <w:rPr>
                <w:rFonts w:hint="eastAsia" w:ascii="楷体_GB2312" w:hAnsi="宋体" w:eastAsia="楷体_GB2312"/>
                <w:b/>
                <w:sz w:val="32"/>
                <w:szCs w:val="24"/>
              </w:rPr>
              <w:t>（二）项目绩效目标。</w:t>
            </w:r>
            <w:r>
              <w:rPr>
                <w:rFonts w:hint="eastAsia" w:ascii="仿宋_GB2312" w:hAnsi="仿宋_GB2312" w:eastAsia="仿宋_GB2312" w:cs="仿宋_GB2312"/>
                <w:sz w:val="32"/>
                <w:szCs w:val="32"/>
              </w:rPr>
              <w:t>“雪亮工程”建设和运维费用</w:t>
            </w:r>
            <w:r>
              <w:rPr>
                <w:rFonts w:hint="eastAsia" w:ascii="仿宋_GB2312" w:eastAsia="仿宋_GB2312"/>
                <w:sz w:val="32"/>
                <w:szCs w:val="24"/>
              </w:rPr>
              <w:t>项目</w:t>
            </w:r>
            <w:r>
              <w:rPr>
                <w:rFonts w:hint="eastAsia" w:ascii="仿宋_GB2312" w:hAnsi="宋体" w:eastAsia="仿宋_GB2312"/>
                <w:sz w:val="32"/>
                <w:szCs w:val="24"/>
              </w:rPr>
              <w:t>经费</w:t>
            </w:r>
            <w:r>
              <w:rPr>
                <w:rFonts w:hint="eastAsia" w:ascii="仿宋" w:hAnsi="仿宋" w:eastAsia="仿宋"/>
                <w:sz w:val="32"/>
                <w:szCs w:val="24"/>
              </w:rPr>
              <w:t>主要用于</w:t>
            </w:r>
            <w:r>
              <w:rPr>
                <w:rFonts w:hint="eastAsia" w:ascii="仿宋" w:hAnsi="仿宋" w:eastAsia="仿宋"/>
                <w:color w:val="auto"/>
                <w:sz w:val="32"/>
                <w:szCs w:val="24"/>
              </w:rPr>
              <w:t>雪亮工程建设、运维费及资金占用</w:t>
            </w:r>
            <w:r>
              <w:rPr>
                <w:rFonts w:hint="eastAsia" w:ascii="仿宋_GB2312" w:eastAsia="仿宋"/>
                <w:color w:val="auto"/>
                <w:sz w:val="32"/>
                <w:szCs w:val="24"/>
              </w:rPr>
              <w:t>费</w:t>
            </w:r>
            <w:r>
              <w:rPr>
                <w:rFonts w:hint="eastAsia" w:ascii="仿宋" w:hAnsi="仿宋" w:eastAsia="仿宋"/>
                <w:sz w:val="32"/>
                <w:szCs w:val="24"/>
              </w:rPr>
              <w:t>等所需的经费开支。</w:t>
            </w:r>
          </w:p>
          <w:p>
            <w:pPr>
              <w:autoSpaceDE w:val="0"/>
              <w:adjustRightInd w:val="0"/>
              <w:snapToGrid w:val="0"/>
              <w:spacing w:beforeLines="0" w:afterLines="0" w:line="576" w:lineRule="exact"/>
              <w:ind w:firstLine="630" w:firstLineChars="196"/>
              <w:rPr>
                <w:rFonts w:hint="eastAsia" w:ascii="仿宋_GB2312" w:hAnsi="宋体" w:eastAsia="仿宋_GB2312"/>
                <w:sz w:val="32"/>
                <w:szCs w:val="24"/>
              </w:rPr>
            </w:pPr>
            <w:r>
              <w:rPr>
                <w:rFonts w:hint="eastAsia" w:ascii="楷体_GB2312" w:hAnsi="宋体" w:eastAsia="楷体_GB2312"/>
                <w:b/>
                <w:sz w:val="32"/>
                <w:szCs w:val="24"/>
              </w:rPr>
              <w:t>（三）项目资金申报相符性。</w:t>
            </w:r>
            <w:r>
              <w:rPr>
                <w:rFonts w:hint="eastAsia" w:ascii="仿宋_GB2312" w:hAnsi="宋体" w:eastAsia="仿宋_GB2312"/>
                <w:sz w:val="32"/>
                <w:szCs w:val="24"/>
              </w:rPr>
              <w:t>项目申报内容与具体实施内容相符、申报目标合理可行。</w:t>
            </w:r>
          </w:p>
          <w:p>
            <w:pPr>
              <w:autoSpaceDE w:val="0"/>
              <w:adjustRightInd w:val="0"/>
              <w:snapToGrid w:val="0"/>
              <w:spacing w:beforeLines="0" w:afterLines="0" w:line="576" w:lineRule="exact"/>
              <w:ind w:firstLine="630" w:firstLineChars="196"/>
              <w:rPr>
                <w:rFonts w:hint="eastAsia" w:ascii="仿宋_GB2312" w:hAnsi="宋体" w:eastAsia="仿宋_GB2312"/>
                <w:sz w:val="32"/>
                <w:szCs w:val="24"/>
              </w:rPr>
            </w:pPr>
            <w:r>
              <w:rPr>
                <w:rFonts w:hint="eastAsia" w:ascii="仿宋_GB2312" w:hAnsi="仿宋_GB2312" w:eastAsia="仿宋_GB2312" w:cs="仿宋_GB2312"/>
                <w:b/>
                <w:sz w:val="32"/>
                <w:szCs w:val="32"/>
                <w:lang w:val="zh-CN"/>
              </w:rPr>
              <w:t>（</w:t>
            </w:r>
            <w:r>
              <w:rPr>
                <w:rFonts w:hint="eastAsia" w:ascii="仿宋_GB2312" w:hAnsi="仿宋_GB2312" w:eastAsia="仿宋_GB2312" w:cs="仿宋_GB2312"/>
                <w:b/>
                <w:sz w:val="32"/>
                <w:szCs w:val="32"/>
              </w:rPr>
              <w:t>四</w:t>
            </w:r>
            <w:r>
              <w:rPr>
                <w:rFonts w:hint="eastAsia" w:ascii="仿宋_GB2312" w:hAnsi="仿宋_GB2312" w:eastAsia="仿宋_GB2312" w:cs="仿宋_GB2312"/>
                <w:b/>
                <w:sz w:val="32"/>
                <w:szCs w:val="32"/>
                <w:lang w:val="zh-CN"/>
              </w:rPr>
              <w:t>）</w:t>
            </w:r>
            <w:r>
              <w:rPr>
                <w:rFonts w:hint="eastAsia" w:ascii="仿宋_GB2312" w:hAnsi="仿宋_GB2312" w:eastAsia="仿宋_GB2312" w:cs="仿宋_GB2312"/>
                <w:b/>
                <w:sz w:val="32"/>
                <w:szCs w:val="32"/>
              </w:rPr>
              <w:t>自评步骤及方法。</w:t>
            </w:r>
            <w:r>
              <w:rPr>
                <w:rFonts w:hint="eastAsia" w:ascii="仿宋_GB2312" w:hAnsi="仿宋_GB2312" w:eastAsia="仿宋_GB2312" w:cs="仿宋_GB2312"/>
                <w:sz w:val="32"/>
                <w:szCs w:val="32"/>
              </w:rPr>
              <w:t>项目采用成本效益分析法，因素分析法，最低成本法等分析方法开展自评。</w:t>
            </w:r>
          </w:p>
          <w:p>
            <w:pPr>
              <w:adjustRightInd w:val="0"/>
              <w:snapToGrid w:val="0"/>
              <w:spacing w:beforeLines="0" w:afterLines="0" w:line="576" w:lineRule="exact"/>
              <w:ind w:firstLine="720"/>
              <w:rPr>
                <w:rFonts w:hint="eastAsia" w:ascii="黑体" w:hAnsi="黑体" w:eastAsia="黑体"/>
                <w:sz w:val="32"/>
                <w:szCs w:val="24"/>
              </w:rPr>
            </w:pPr>
            <w:r>
              <w:rPr>
                <w:rFonts w:hint="eastAsia" w:ascii="黑体" w:hAnsi="黑体" w:eastAsia="黑体"/>
                <w:sz w:val="32"/>
                <w:szCs w:val="24"/>
              </w:rPr>
              <w:t>二、项目实施及管理情况</w:t>
            </w:r>
          </w:p>
          <w:p>
            <w:pPr>
              <w:adjustRightInd w:val="0"/>
              <w:snapToGrid w:val="0"/>
              <w:spacing w:beforeLines="0" w:afterLines="0" w:line="576" w:lineRule="exact"/>
              <w:ind w:firstLine="720"/>
              <w:rPr>
                <w:rFonts w:hint="eastAsia" w:ascii="楷体_GB2312" w:eastAsia="楷体_GB2312"/>
                <w:b/>
                <w:sz w:val="32"/>
                <w:szCs w:val="24"/>
              </w:rPr>
            </w:pPr>
            <w:r>
              <w:rPr>
                <w:rFonts w:hint="eastAsia" w:ascii="楷体_GB2312" w:eastAsia="楷体_GB2312"/>
                <w:sz w:val="32"/>
                <w:szCs w:val="24"/>
              </w:rPr>
              <w:tab/>
            </w:r>
            <w:r>
              <w:rPr>
                <w:rFonts w:hint="eastAsia" w:ascii="楷体_GB2312" w:eastAsia="楷体_GB2312"/>
                <w:b/>
                <w:sz w:val="32"/>
                <w:szCs w:val="24"/>
              </w:rPr>
              <w:t>（一）资金计划、到位及使用情况</w:t>
            </w:r>
          </w:p>
          <w:p>
            <w:pPr>
              <w:autoSpaceDE w:val="0"/>
              <w:adjustRightInd w:val="0"/>
              <w:snapToGrid w:val="0"/>
              <w:spacing w:beforeLines="0" w:afterLines="0" w:line="576" w:lineRule="exact"/>
              <w:ind w:firstLine="720"/>
              <w:rPr>
                <w:rFonts w:hint="eastAsia" w:ascii="仿宋_GB2312" w:hAnsi="宋体" w:eastAsia="仿宋_GB2312"/>
                <w:sz w:val="32"/>
                <w:szCs w:val="24"/>
              </w:rPr>
            </w:pPr>
            <w:r>
              <w:rPr>
                <w:rFonts w:hint="eastAsia" w:ascii="仿宋_GB2312" w:hAnsi="宋体" w:eastAsia="仿宋_GB2312"/>
                <w:b/>
                <w:sz w:val="32"/>
                <w:szCs w:val="24"/>
              </w:rPr>
              <w:t>1、资金计划及到位。</w:t>
            </w:r>
            <w:r>
              <w:rPr>
                <w:rFonts w:hint="eastAsia" w:ascii="仿宋_GB2312" w:hAnsi="仿宋_GB2312" w:eastAsia="仿宋_GB2312" w:cs="仿宋_GB2312"/>
                <w:sz w:val="32"/>
                <w:szCs w:val="32"/>
              </w:rPr>
              <w:t>“雪亮工程”建设和运维费用</w:t>
            </w:r>
            <w:r>
              <w:rPr>
                <w:rFonts w:hint="eastAsia" w:ascii="仿宋_GB2312" w:eastAsia="仿宋_GB2312"/>
                <w:sz w:val="32"/>
                <w:szCs w:val="24"/>
              </w:rPr>
              <w:t>项目</w:t>
            </w:r>
            <w:r>
              <w:rPr>
                <w:rFonts w:hint="eastAsia" w:ascii="仿宋_GB2312" w:hAnsi="宋体" w:eastAsia="仿宋_GB2312"/>
                <w:sz w:val="32"/>
                <w:szCs w:val="24"/>
              </w:rPr>
              <w:t>经费于2022年全部及时到位，到位率100%，全部由区财政全额预算。</w:t>
            </w:r>
          </w:p>
          <w:p>
            <w:pPr>
              <w:autoSpaceDE w:val="0"/>
              <w:adjustRightInd w:val="0"/>
              <w:snapToGrid w:val="0"/>
              <w:spacing w:beforeLines="0" w:afterLines="0" w:line="576" w:lineRule="exact"/>
              <w:ind w:firstLine="720"/>
              <w:rPr>
                <w:rFonts w:hint="eastAsia" w:ascii="仿宋_GB2312" w:hAnsi="宋体" w:eastAsia="仿宋_GB2312"/>
                <w:sz w:val="32"/>
                <w:szCs w:val="24"/>
              </w:rPr>
            </w:pPr>
            <w:r>
              <w:rPr>
                <w:rFonts w:hint="eastAsia" w:ascii="仿宋_GB2312" w:hAnsi="宋体" w:eastAsia="仿宋_GB2312"/>
                <w:b/>
                <w:sz w:val="32"/>
                <w:szCs w:val="24"/>
              </w:rPr>
              <w:t>2、资金使用。</w:t>
            </w:r>
            <w:r>
              <w:rPr>
                <w:rFonts w:hint="eastAsia" w:ascii="仿宋_GB2312" w:hAnsi="仿宋_GB2312" w:eastAsia="仿宋_GB2312" w:cs="仿宋_GB2312"/>
                <w:sz w:val="32"/>
                <w:szCs w:val="32"/>
              </w:rPr>
              <w:t>“雪亮工程”建设和运维费用</w:t>
            </w:r>
            <w:r>
              <w:rPr>
                <w:rFonts w:hint="eastAsia" w:ascii="仿宋_GB2312" w:eastAsia="仿宋_GB2312"/>
                <w:sz w:val="32"/>
                <w:szCs w:val="24"/>
              </w:rPr>
              <w:t>项目</w:t>
            </w:r>
            <w:r>
              <w:rPr>
                <w:rFonts w:hint="eastAsia" w:ascii="仿宋_GB2312" w:hAnsi="宋体" w:eastAsia="仿宋_GB2312"/>
                <w:sz w:val="32"/>
                <w:szCs w:val="24"/>
              </w:rPr>
              <w:t>经费实际支出560万元</w:t>
            </w:r>
            <w:r>
              <w:rPr>
                <w:rFonts w:hint="eastAsia" w:ascii="仿宋_GB2312" w:hAnsi="宋体" w:eastAsia="仿宋_GB2312"/>
                <w:b/>
                <w:sz w:val="32"/>
                <w:szCs w:val="24"/>
              </w:rPr>
              <w:t>；</w:t>
            </w:r>
            <w:r>
              <w:rPr>
                <w:rFonts w:hint="eastAsia" w:ascii="仿宋_GB2312" w:hAnsi="宋体" w:eastAsia="仿宋_GB2312"/>
                <w:sz w:val="32"/>
                <w:szCs w:val="24"/>
              </w:rPr>
              <w:t>资金开支范围：</w:t>
            </w:r>
            <w:r>
              <w:rPr>
                <w:rFonts w:hint="eastAsia" w:ascii="仿宋" w:hAnsi="仿宋" w:eastAsia="仿宋"/>
                <w:color w:val="auto"/>
                <w:sz w:val="32"/>
                <w:szCs w:val="24"/>
              </w:rPr>
              <w:t>雪亮工程建设、运维</w:t>
            </w:r>
            <w:r>
              <w:rPr>
                <w:rFonts w:hint="eastAsia" w:ascii="仿宋_GB2312" w:hAnsi="宋体" w:eastAsia="仿宋_GB2312"/>
                <w:sz w:val="32"/>
                <w:szCs w:val="24"/>
              </w:rPr>
              <w:t>等；支付依据合规合法，资金支付与预算相符。</w:t>
            </w:r>
          </w:p>
          <w:p>
            <w:pPr>
              <w:autoSpaceDE w:val="0"/>
              <w:adjustRightInd w:val="0"/>
              <w:snapToGrid w:val="0"/>
              <w:spacing w:beforeLines="0" w:afterLines="0" w:line="576" w:lineRule="exact"/>
              <w:ind w:firstLine="720"/>
              <w:rPr>
                <w:rFonts w:hint="eastAsia" w:ascii="楷体_GB2312" w:hAnsi="宋体" w:eastAsia="楷体_GB2312"/>
                <w:b/>
                <w:sz w:val="32"/>
                <w:szCs w:val="24"/>
              </w:rPr>
            </w:pPr>
            <w:r>
              <w:rPr>
                <w:rFonts w:hint="eastAsia" w:ascii="楷体_GB2312" w:hAnsi="宋体" w:eastAsia="楷体_GB2312"/>
                <w:b/>
                <w:sz w:val="32"/>
                <w:szCs w:val="24"/>
              </w:rPr>
              <w:t>（二）项目财务管理情况</w:t>
            </w:r>
          </w:p>
          <w:p>
            <w:pPr>
              <w:autoSpaceDE w:val="0"/>
              <w:adjustRightInd w:val="0"/>
              <w:snapToGrid w:val="0"/>
              <w:spacing w:beforeLines="0" w:afterLines="0" w:line="576" w:lineRule="exact"/>
              <w:ind w:firstLine="720"/>
              <w:rPr>
                <w:rFonts w:hint="eastAsia" w:ascii="仿宋_GB2312" w:hAnsi="宋体" w:eastAsia="仿宋_GB2312"/>
                <w:sz w:val="32"/>
                <w:szCs w:val="24"/>
              </w:rPr>
            </w:pPr>
            <w:r>
              <w:rPr>
                <w:rFonts w:hint="eastAsia" w:ascii="仿宋_GB2312" w:hAnsi="宋体" w:eastAsia="仿宋_GB2312"/>
                <w:sz w:val="32"/>
                <w:szCs w:val="24"/>
              </w:rPr>
              <w:t>项</w:t>
            </w:r>
            <w:r>
              <w:rPr>
                <w:rFonts w:hint="eastAsia" w:ascii="仿宋_GB2312" w:hAnsi="仿宋_GB2312" w:eastAsia="仿宋_GB2312" w:cs="仿宋_GB2312"/>
                <w:sz w:val="32"/>
                <w:szCs w:val="32"/>
              </w:rPr>
              <w:t>经费严格按照</w:t>
            </w:r>
            <w:r>
              <w:rPr>
                <w:rFonts w:hint="eastAsia" w:ascii="仿宋_GB2312" w:hAnsi="仿宋_GB2312" w:eastAsia="仿宋_GB2312" w:cs="仿宋_GB2312"/>
                <w:sz w:val="32"/>
                <w:szCs w:val="32"/>
                <w:lang w:val="zh-CN"/>
              </w:rPr>
              <w:t>项目财务管理制度</w:t>
            </w:r>
            <w:r>
              <w:rPr>
                <w:rFonts w:hint="eastAsia" w:ascii="仿宋_GB2312" w:hAnsi="仿宋_GB2312" w:eastAsia="仿宋_GB2312" w:cs="仿宋_GB2312"/>
                <w:sz w:val="32"/>
                <w:szCs w:val="32"/>
              </w:rPr>
              <w:t>执行</w:t>
            </w:r>
            <w:r>
              <w:rPr>
                <w:rFonts w:hint="eastAsia" w:ascii="仿宋_GB2312" w:hAnsi="仿宋_GB2312" w:eastAsia="仿宋_GB2312" w:cs="仿宋_GB2312"/>
                <w:sz w:val="32"/>
                <w:szCs w:val="32"/>
                <w:lang w:val="zh-CN"/>
              </w:rPr>
              <w:t>、机构设置</w:t>
            </w:r>
            <w:r>
              <w:rPr>
                <w:rFonts w:hint="eastAsia" w:ascii="仿宋_GB2312" w:hAnsi="仿宋_GB2312" w:eastAsia="仿宋_GB2312" w:cs="仿宋_GB2312"/>
                <w:sz w:val="32"/>
                <w:szCs w:val="32"/>
              </w:rPr>
              <w:t>健全，</w:t>
            </w:r>
            <w:r>
              <w:rPr>
                <w:rFonts w:hint="eastAsia" w:ascii="仿宋_GB2312" w:hAnsi="仿宋_GB2312" w:eastAsia="仿宋_GB2312" w:cs="仿宋_GB2312"/>
                <w:sz w:val="32"/>
                <w:szCs w:val="32"/>
                <w:lang w:val="zh-CN"/>
              </w:rPr>
              <w:t>会计核算及账务处理</w:t>
            </w:r>
            <w:r>
              <w:rPr>
                <w:rFonts w:hint="eastAsia" w:ascii="仿宋_GB2312" w:hAnsi="仿宋_GB2312" w:eastAsia="仿宋_GB2312" w:cs="仿宋_GB2312"/>
                <w:sz w:val="32"/>
                <w:szCs w:val="32"/>
              </w:rPr>
              <w:t>到位</w:t>
            </w:r>
            <w:r>
              <w:rPr>
                <w:rFonts w:hint="eastAsia" w:ascii="仿宋_GB2312" w:hAnsi="仿宋_GB2312" w:eastAsia="仿宋_GB2312" w:cs="仿宋_GB2312"/>
                <w:sz w:val="32"/>
                <w:szCs w:val="32"/>
                <w:lang w:val="zh-CN"/>
              </w:rPr>
              <w:t>。严格执行财务管理制度、财务处理及时、会计核算规范。</w:t>
            </w:r>
          </w:p>
          <w:p>
            <w:pPr>
              <w:snapToGrid w:val="0"/>
              <w:spacing w:beforeLines="0" w:afterLines="0" w:line="576" w:lineRule="exact"/>
              <w:ind w:firstLine="640" w:firstLineChars="200"/>
              <w:rPr>
                <w:rFonts w:hint="eastAsia"/>
                <w:sz w:val="32"/>
                <w:szCs w:val="24"/>
              </w:rPr>
            </w:pPr>
            <w:r>
              <w:rPr>
                <w:rFonts w:hint="eastAsia" w:eastAsia="黑体"/>
                <w:sz w:val="32"/>
                <w:szCs w:val="24"/>
              </w:rPr>
              <w:t>三、项目绩效情况</w:t>
            </w:r>
          </w:p>
          <w:p>
            <w:pPr>
              <w:snapToGrid w:val="0"/>
              <w:spacing w:beforeLines="0" w:afterLines="0" w:line="576" w:lineRule="exact"/>
              <w:ind w:firstLine="643" w:firstLineChars="200"/>
              <w:rPr>
                <w:rFonts w:hint="eastAsia" w:ascii="楷体_GB2312" w:eastAsia="楷体_GB2312"/>
                <w:b/>
                <w:sz w:val="32"/>
                <w:szCs w:val="24"/>
              </w:rPr>
            </w:pPr>
            <w:r>
              <w:rPr>
                <w:rFonts w:hint="eastAsia" w:ascii="楷体_GB2312" w:eastAsia="楷体_GB2312"/>
                <w:b/>
                <w:sz w:val="32"/>
                <w:szCs w:val="24"/>
              </w:rPr>
              <w:t>（一）项目完成情况</w:t>
            </w:r>
          </w:p>
          <w:p>
            <w:pPr>
              <w:snapToGrid w:val="0"/>
              <w:spacing w:beforeLines="0" w:afterLines="0" w:line="576" w:lineRule="exact"/>
              <w:ind w:firstLine="640" w:firstLineChars="200"/>
              <w:rPr>
                <w:rFonts w:hint="eastAsia" w:ascii="仿宋_GB2312" w:hAnsi="仿宋_GB2312" w:eastAsia="仿宋_GB2312" w:cs="仿宋_GB2312"/>
                <w:color w:val="000000"/>
                <w:sz w:val="32"/>
                <w:szCs w:val="32"/>
              </w:rPr>
            </w:pPr>
            <w:r>
              <w:rPr>
                <w:rFonts w:hint="eastAsia" w:eastAsia="仿宋_GB2312" w:cs="Times New Roman"/>
                <w:sz w:val="32"/>
                <w:szCs w:val="32"/>
              </w:rPr>
              <w:t>截止2022年12月31日实际完成额560万元，并全部完成绩效目标。</w:t>
            </w:r>
            <w:r>
              <w:rPr>
                <w:rFonts w:hint="eastAsia" w:eastAsia="仿宋_GB2312" w:cs="Times New Roman"/>
                <w:b/>
                <w:color w:val="000000"/>
                <w:sz w:val="32"/>
                <w:szCs w:val="32"/>
              </w:rPr>
              <w:t>深化</w:t>
            </w:r>
            <w:r>
              <w:rPr>
                <w:rFonts w:hint="eastAsia" w:ascii="仿宋_GB2312" w:hAnsi="仿宋_GB2312" w:eastAsia="仿宋_GB2312" w:cs="仿宋_GB2312"/>
                <w:color w:val="000000"/>
                <w:sz w:val="32"/>
                <w:szCs w:val="32"/>
              </w:rPr>
              <w:t>“雪亮工程”运用，构筑重要交通节点、防火、防汛等视频监控网，全时段、全链条开展视频巡查、数据分析，及时掌握重点区域、重点人员情况，全年累计协助公安机关侦破各类案件53件，实时调度指挥80余次，参与疫情防控及为民服务4000余次。</w:t>
            </w:r>
          </w:p>
          <w:p>
            <w:pPr>
              <w:snapToGrid w:val="0"/>
              <w:spacing w:beforeLines="0" w:afterLines="0" w:line="576" w:lineRule="exact"/>
              <w:ind w:firstLine="640" w:firstLineChars="200"/>
              <w:rPr>
                <w:rFonts w:hint="eastAsia"/>
                <w:sz w:val="32"/>
                <w:szCs w:val="24"/>
              </w:rPr>
            </w:pPr>
            <w:r>
              <w:rPr>
                <w:rFonts w:hint="eastAsia" w:ascii="黑体" w:hAnsi="黑体" w:eastAsia="黑体"/>
                <w:sz w:val="32"/>
                <w:szCs w:val="24"/>
              </w:rPr>
              <w:t>（二）项目效益情况</w:t>
            </w:r>
          </w:p>
          <w:p>
            <w:pPr>
              <w:snapToGrid w:val="0"/>
              <w:spacing w:beforeLines="0" w:afterLines="0" w:line="576" w:lineRule="exact"/>
              <w:ind w:firstLine="640" w:firstLineChars="200"/>
              <w:rPr>
                <w:rFonts w:hint="eastAsia" w:eastAsia="仿宋_GB2312"/>
                <w:sz w:val="32"/>
                <w:szCs w:val="24"/>
              </w:rPr>
            </w:pPr>
            <w:r>
              <w:rPr>
                <w:rFonts w:hint="eastAsia" w:eastAsia="仿宋_GB2312"/>
                <w:sz w:val="32"/>
                <w:szCs w:val="24"/>
              </w:rPr>
              <w:t>通过实施</w:t>
            </w:r>
            <w:r>
              <w:rPr>
                <w:rFonts w:hint="eastAsia" w:ascii="仿宋_GB2312" w:hAnsi="仿宋_GB2312" w:eastAsia="仿宋_GB2312" w:cs="仿宋_GB2312"/>
                <w:sz w:val="32"/>
                <w:szCs w:val="32"/>
              </w:rPr>
              <w:t>“雪亮工程”建设和运维</w:t>
            </w:r>
            <w:r>
              <w:rPr>
                <w:rFonts w:hint="eastAsia" w:eastAsia="仿宋_GB2312"/>
                <w:sz w:val="32"/>
                <w:szCs w:val="24"/>
              </w:rPr>
              <w:t>项目，切实解决了专兼职网格员补助、电信业务使用费等资金需求，保障了有充足的人员到村、社区，深入网格，通过走家串户、网格巡查等方式，开展走访、核实信息、交换数据、上报信息、矛盾纠纷排查化解，主动发现和受理群众诉求，现场办结或通过APP报送、处理各类综治等事项，反映居民诉求，帮助人民群众解决实际困难，多形式化解网格难题，群众满意度、认可度高，充分保障了全区网格化工作开展，为昭化经济社会健康发展提供了强有力的支撑。</w:t>
            </w:r>
          </w:p>
          <w:p>
            <w:pPr>
              <w:numPr>
                <w:ilvl w:val="0"/>
                <w:numId w:val="10"/>
              </w:numPr>
              <w:snapToGrid w:val="0"/>
              <w:spacing w:beforeLines="0" w:afterLines="0" w:line="576" w:lineRule="exact"/>
              <w:ind w:firstLine="640" w:firstLineChars="200"/>
              <w:rPr>
                <w:rFonts w:hint="eastAsia" w:ascii="黑体" w:hAnsi="黑体" w:eastAsia="黑体"/>
                <w:sz w:val="32"/>
                <w:szCs w:val="24"/>
              </w:rPr>
            </w:pPr>
            <w:r>
              <w:rPr>
                <w:rFonts w:hint="eastAsia" w:ascii="黑体" w:hAnsi="黑体" w:eastAsia="黑体"/>
                <w:sz w:val="32"/>
                <w:szCs w:val="24"/>
              </w:rPr>
              <w:t>问题及建议</w:t>
            </w:r>
          </w:p>
          <w:p>
            <w:pPr>
              <w:spacing w:beforeLines="0" w:afterLines="0" w:line="576" w:lineRule="exact"/>
              <w:ind w:firstLine="643" w:firstLineChars="200"/>
              <w:rPr>
                <w:rFonts w:hint="eastAsia"/>
                <w:sz w:val="32"/>
                <w:szCs w:val="24"/>
              </w:rPr>
            </w:pPr>
            <w:r>
              <w:rPr>
                <w:rFonts w:hint="eastAsia" w:ascii="楷体_GB2312" w:eastAsia="楷体_GB2312"/>
                <w:b/>
                <w:sz w:val="32"/>
                <w:szCs w:val="24"/>
              </w:rPr>
              <w:t>（一）评价结论：</w:t>
            </w:r>
            <w:r>
              <w:rPr>
                <w:rFonts w:hint="eastAsia" w:eastAsia="仿宋_GB2312" w:cs="Times New Roman"/>
                <w:sz w:val="32"/>
                <w:szCs w:val="32"/>
              </w:rPr>
              <w:t xml:space="preserve"> </w:t>
            </w:r>
            <w:r>
              <w:rPr>
                <w:rFonts w:hint="eastAsia" w:eastAsia="仿宋_GB2312" w:cs="Times New Roman"/>
                <w:kern w:val="0"/>
                <w:sz w:val="32"/>
                <w:szCs w:val="32"/>
              </w:rPr>
              <w:t>我单位按照</w:t>
            </w:r>
            <w:r>
              <w:rPr>
                <w:rFonts w:hint="eastAsia" w:eastAsia="仿宋_GB2312" w:cs="Times New Roman"/>
                <w:color w:val="auto"/>
                <w:kern w:val="0"/>
                <w:sz w:val="32"/>
                <w:szCs w:val="32"/>
              </w:rPr>
              <w:t>《广元市昭化区人民政府办公室关于印发&lt;广元市昭化区财政支出事后绩效评价管理办法</w:t>
            </w:r>
            <w:r>
              <w:rPr>
                <w:rFonts w:hint="eastAsia" w:cs="Times New Roman"/>
                <w:color w:val="auto"/>
                <w:kern w:val="0"/>
                <w:sz w:val="32"/>
                <w:szCs w:val="32"/>
              </w:rPr>
              <w:t>&gt;</w:t>
            </w:r>
            <w:r>
              <w:rPr>
                <w:rFonts w:hint="eastAsia" w:eastAsia="仿宋_GB2312" w:cs="Times New Roman"/>
                <w:color w:val="auto"/>
                <w:kern w:val="0"/>
                <w:sz w:val="32"/>
                <w:szCs w:val="32"/>
              </w:rPr>
              <w:t>的通知》(昭府办函〔20</w:t>
            </w:r>
            <w:r>
              <w:rPr>
                <w:rFonts w:hint="eastAsia" w:cs="Times New Roman"/>
                <w:color w:val="auto"/>
                <w:kern w:val="0"/>
                <w:sz w:val="32"/>
                <w:szCs w:val="32"/>
              </w:rPr>
              <w:t>22</w:t>
            </w:r>
            <w:r>
              <w:rPr>
                <w:rFonts w:hint="eastAsia" w:eastAsia="仿宋_GB2312" w:cs="Times New Roman"/>
                <w:color w:val="auto"/>
                <w:kern w:val="0"/>
                <w:sz w:val="32"/>
                <w:szCs w:val="32"/>
              </w:rPr>
              <w:t>〕</w:t>
            </w:r>
            <w:r>
              <w:rPr>
                <w:rFonts w:hint="eastAsia" w:cs="Times New Roman"/>
                <w:color w:val="auto"/>
                <w:kern w:val="0"/>
                <w:sz w:val="32"/>
                <w:szCs w:val="32"/>
              </w:rPr>
              <w:t>37</w:t>
            </w:r>
            <w:r>
              <w:rPr>
                <w:rFonts w:hint="eastAsia" w:eastAsia="仿宋_GB2312" w:cs="Times New Roman"/>
                <w:color w:val="auto"/>
                <w:kern w:val="0"/>
                <w:sz w:val="32"/>
                <w:szCs w:val="32"/>
              </w:rPr>
              <w:t>号)，</w:t>
            </w:r>
            <w:r>
              <w:rPr>
                <w:rFonts w:hint="eastAsia" w:eastAsia="仿宋_GB2312" w:cs="Times New Roman"/>
                <w:kern w:val="0"/>
                <w:sz w:val="32"/>
                <w:szCs w:val="32"/>
              </w:rPr>
              <w:t>自评得分为98分。</w:t>
            </w:r>
          </w:p>
          <w:p>
            <w:pPr>
              <w:snapToGrid w:val="0"/>
              <w:spacing w:beforeLines="0" w:afterLines="0" w:line="576" w:lineRule="exact"/>
              <w:ind w:firstLine="643" w:firstLineChars="200"/>
              <w:rPr>
                <w:rFonts w:hint="eastAsia" w:eastAsia="仿宋_GB2312" w:cs="Times New Roman"/>
                <w:sz w:val="32"/>
                <w:szCs w:val="32"/>
              </w:rPr>
            </w:pPr>
            <w:r>
              <w:rPr>
                <w:rFonts w:hint="eastAsia" w:ascii="楷体_GB2312" w:eastAsia="楷体_GB2312"/>
                <w:b/>
                <w:sz w:val="32"/>
                <w:szCs w:val="24"/>
              </w:rPr>
              <w:t>（二）存在的问题：</w:t>
            </w:r>
            <w:r>
              <w:rPr>
                <w:rFonts w:hint="eastAsia" w:eastAsia="仿宋_GB2312" w:cs="Times New Roman"/>
                <w:sz w:val="32"/>
                <w:szCs w:val="32"/>
              </w:rPr>
              <w:t>无</w:t>
            </w:r>
          </w:p>
          <w:p>
            <w:pPr>
              <w:snapToGrid w:val="0"/>
              <w:spacing w:beforeLines="0" w:afterLines="0" w:line="576" w:lineRule="exact"/>
              <w:ind w:firstLine="643" w:firstLineChars="200"/>
              <w:rPr>
                <w:rFonts w:hint="eastAsia" w:ascii="黑体" w:hAnsi="宋体" w:eastAsia="黑体" w:cs="黑体"/>
                <w:i w:val="0"/>
                <w:iCs w:val="0"/>
                <w:color w:val="000000"/>
                <w:kern w:val="0"/>
                <w:sz w:val="40"/>
                <w:szCs w:val="40"/>
                <w:u w:val="none"/>
                <w:lang w:val="en-US" w:eastAsia="zh-CN" w:bidi="ar"/>
              </w:rPr>
            </w:pPr>
            <w:r>
              <w:rPr>
                <w:rFonts w:hint="eastAsia" w:ascii="楷体_GB2312" w:eastAsia="楷体_GB2312"/>
                <w:b/>
                <w:sz w:val="32"/>
                <w:szCs w:val="24"/>
              </w:rPr>
              <w:t>（三）相关措施建议：</w:t>
            </w:r>
            <w:r>
              <w:rPr>
                <w:rFonts w:hint="eastAsia" w:ascii="仿宋" w:hAnsi="仿宋" w:eastAsia="仿宋"/>
                <w:sz w:val="32"/>
                <w:szCs w:val="24"/>
              </w:rPr>
              <w:t>无</w:t>
            </w:r>
          </w:p>
          <w:p>
            <w:pPr>
              <w:keepNext w:val="0"/>
              <w:keepLines w:val="0"/>
              <w:widowControl/>
              <w:suppressLineNumbers w:val="0"/>
              <w:jc w:val="center"/>
              <w:textAlignment w:val="center"/>
              <w:rPr>
                <w:rFonts w:hint="eastAsia" w:ascii="黑体" w:hAnsi="宋体" w:eastAsia="黑体" w:cs="黑体"/>
                <w:i w:val="0"/>
                <w:iCs w:val="0"/>
                <w:color w:val="000000"/>
                <w:kern w:val="0"/>
                <w:sz w:val="40"/>
                <w:szCs w:val="40"/>
                <w:u w:val="none"/>
                <w:lang w:val="en-US" w:eastAsia="zh-CN" w:bidi="ar"/>
              </w:rPr>
            </w:pPr>
            <w:r>
              <w:rPr>
                <w:rFonts w:hint="eastAsia" w:ascii="黑体" w:hAnsi="宋体" w:eastAsia="黑体" w:cs="黑体"/>
                <w:i w:val="0"/>
                <w:iCs w:val="0"/>
                <w:color w:val="000000"/>
                <w:kern w:val="0"/>
                <w:sz w:val="40"/>
                <w:szCs w:val="40"/>
                <w:u w:val="none"/>
                <w:lang w:val="en-US" w:eastAsia="zh-CN" w:bidi="ar"/>
              </w:rPr>
              <w:t>广元市昭化区财政项目支出绩效自评表</w:t>
            </w:r>
          </w:p>
          <w:tbl>
            <w:tblPr>
              <w:tblStyle w:val="17"/>
              <w:tblW w:w="11000"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
              <w:gridCol w:w="683"/>
              <w:gridCol w:w="780"/>
              <w:gridCol w:w="1312"/>
              <w:gridCol w:w="893"/>
              <w:gridCol w:w="1125"/>
              <w:gridCol w:w="1320"/>
              <w:gridCol w:w="1140"/>
              <w:gridCol w:w="3737"/>
              <w:gridCol w:w="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5" w:type="dxa"/>
                <w:trHeight w:val="600" w:hRule="atLeast"/>
              </w:trPr>
              <w:tc>
                <w:tcPr>
                  <w:tcW w:w="10995" w:type="dxa"/>
                  <w:gridSpan w:val="9"/>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黑体" w:hAnsi="宋体" w:eastAsia="黑体" w:cs="黑体"/>
                      <w:i w:val="0"/>
                      <w:iCs w:val="0"/>
                      <w:color w:val="000000"/>
                      <w:sz w:val="40"/>
                      <w:szCs w:val="40"/>
                      <w:u w:val="none"/>
                    </w:rPr>
                  </w:pPr>
                  <w:r>
                    <w:rPr>
                      <w:rFonts w:hint="eastAsia" w:ascii="宋体" w:hAnsi="宋体" w:eastAsia="宋体" w:cs="宋体"/>
                      <w:i w:val="0"/>
                      <w:iCs w:val="0"/>
                      <w:color w:val="000000"/>
                      <w:kern w:val="0"/>
                      <w:sz w:val="22"/>
                      <w:szCs w:val="22"/>
                      <w:u w:val="none"/>
                      <w:lang w:val="en-US" w:eastAsia="zh-CN" w:bidi="ar"/>
                    </w:rPr>
                    <w:t>（2022年度）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360" w:hRule="atLeast"/>
              </w:trPr>
              <w:tc>
                <w:tcPr>
                  <w:tcW w:w="14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952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“雪亮工程”建设和运维费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360" w:hRule="atLeast"/>
              </w:trPr>
              <w:tc>
                <w:tcPr>
                  <w:tcW w:w="14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主管部门</w:t>
                  </w:r>
                </w:p>
              </w:tc>
              <w:tc>
                <w:tcPr>
                  <w:tcW w:w="33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广元市昭化区委政法委</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实施单位</w:t>
                  </w:r>
                </w:p>
              </w:tc>
              <w:tc>
                <w:tcPr>
                  <w:tcW w:w="48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广元市昭化区委政法委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360" w:hRule="atLeast"/>
              </w:trPr>
              <w:tc>
                <w:tcPr>
                  <w:tcW w:w="1468" w:type="dxa"/>
                  <w:gridSpan w:val="3"/>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项目资金（万元）</w:t>
                  </w:r>
                </w:p>
              </w:tc>
              <w:tc>
                <w:tcPr>
                  <w:tcW w:w="2205" w:type="dxa"/>
                  <w:gridSpan w:val="2"/>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12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年初预算数</w:t>
                  </w:r>
                </w:p>
              </w:tc>
              <w:tc>
                <w:tcPr>
                  <w:tcW w:w="132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全年预算数</w:t>
                  </w:r>
                </w:p>
              </w:tc>
              <w:tc>
                <w:tcPr>
                  <w:tcW w:w="114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全年执行数</w:t>
                  </w:r>
                </w:p>
              </w:tc>
              <w:tc>
                <w:tcPr>
                  <w:tcW w:w="373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360" w:hRule="atLeast"/>
              </w:trPr>
              <w:tc>
                <w:tcPr>
                  <w:tcW w:w="1468" w:type="dxa"/>
                  <w:gridSpan w:val="3"/>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年度资金总额</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560</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560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560</w:t>
                  </w:r>
                </w:p>
              </w:tc>
              <w:tc>
                <w:tcPr>
                  <w:tcW w:w="3737"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360" w:hRule="atLeast"/>
              </w:trPr>
              <w:tc>
                <w:tcPr>
                  <w:tcW w:w="1468" w:type="dxa"/>
                  <w:gridSpan w:val="3"/>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（一）财政拨款小计</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560</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560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560</w:t>
                  </w:r>
                </w:p>
              </w:tc>
              <w:tc>
                <w:tcPr>
                  <w:tcW w:w="37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360" w:hRule="atLeast"/>
              </w:trPr>
              <w:tc>
                <w:tcPr>
                  <w:tcW w:w="1468" w:type="dxa"/>
                  <w:gridSpan w:val="3"/>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   1.一般公共预算</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560</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560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560</w:t>
                  </w:r>
                </w:p>
              </w:tc>
              <w:tc>
                <w:tcPr>
                  <w:tcW w:w="37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300" w:hRule="atLeast"/>
              </w:trPr>
              <w:tc>
                <w:tcPr>
                  <w:tcW w:w="1468" w:type="dxa"/>
                  <w:gridSpan w:val="3"/>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   2.政府性基金</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18"/>
                      <w:szCs w:val="18"/>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37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300" w:hRule="atLeast"/>
              </w:trPr>
              <w:tc>
                <w:tcPr>
                  <w:tcW w:w="1468" w:type="dxa"/>
                  <w:gridSpan w:val="3"/>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  3.国有资本经营预算</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18"/>
                      <w:szCs w:val="18"/>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37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300" w:hRule="atLeast"/>
              </w:trPr>
              <w:tc>
                <w:tcPr>
                  <w:tcW w:w="1468" w:type="dxa"/>
                  <w:gridSpan w:val="3"/>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  4.社保基金</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18"/>
                      <w:szCs w:val="18"/>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37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300" w:hRule="atLeast"/>
              </w:trPr>
              <w:tc>
                <w:tcPr>
                  <w:tcW w:w="1468" w:type="dxa"/>
                  <w:gridSpan w:val="3"/>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（二）其他资金</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18"/>
                      <w:szCs w:val="18"/>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140"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3737"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600" w:hRule="atLeast"/>
              </w:trPr>
              <w:tc>
                <w:tcPr>
                  <w:tcW w:w="68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年度总体目标</w:t>
                  </w:r>
                </w:p>
              </w:tc>
              <w:tc>
                <w:tcPr>
                  <w:tcW w:w="543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预期目标</w:t>
                  </w:r>
                </w:p>
              </w:tc>
              <w:tc>
                <w:tcPr>
                  <w:tcW w:w="48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全年实际完成情况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2800" w:hRule="atLeast"/>
              </w:trPr>
              <w:tc>
                <w:tcPr>
                  <w:tcW w:w="68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543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加强公共安全视频监控系统建设，推动系统联网和各类视频监控资源整合，确保1个区监控中心、8个分中心和镇、村（社区）应用平台，前端监控摄像机1282台（点位）以及链路链接、软件开发、前端供电设备等安全平稳运行。推进和保障各镇各部门对视频图像资源的共享应用。不断提升基层社会治理现代化水平，不断增强人民群众安全感。</w:t>
                  </w:r>
                </w:p>
              </w:tc>
              <w:tc>
                <w:tcPr>
                  <w:tcW w:w="48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强化行政和社会资源联网，将公安天网、应急管理、中小学校、综合执法、交通运输、自然资源等行业、部门3072路融入“雪亮工程”平台，实现全区公共监控视频“一张网”。确保1个区监控中心、8个分中心和镇、村（社区）应用平台，前端监控摄像机1307台（点位）以及链路链接、软件开发、前端供电设备等安全平稳运行。有效维护了法治公平，构筑起保障公共安全的智慧屏障，提升基层社会治理现代化水平，增强人民群众安全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520" w:hRule="atLeast"/>
              </w:trPr>
              <w:tc>
                <w:tcPr>
                  <w:tcW w:w="68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绩效指标</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一级指标</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二级指标</w:t>
                  </w:r>
                </w:p>
              </w:tc>
              <w:tc>
                <w:tcPr>
                  <w:tcW w:w="20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三级指标</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年度指标值</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实际完成值</w:t>
                  </w:r>
                </w:p>
              </w:tc>
              <w:tc>
                <w:tcPr>
                  <w:tcW w:w="3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285" w:hRule="atLeast"/>
              </w:trPr>
              <w:tc>
                <w:tcPr>
                  <w:tcW w:w="68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18"/>
                      <w:szCs w:val="18"/>
                      <w:u w:val="none"/>
                    </w:rPr>
                  </w:pPr>
                </w:p>
              </w:tc>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产出指标</w:t>
                  </w:r>
                </w:p>
              </w:tc>
              <w:tc>
                <w:tcPr>
                  <w:tcW w:w="13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数量指标</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指标1：</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前端监控摄像机</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≥1282个</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1307</w:t>
                  </w:r>
                </w:p>
              </w:tc>
              <w:tc>
                <w:tcPr>
                  <w:tcW w:w="37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285" w:hRule="atLeast"/>
              </w:trPr>
              <w:tc>
                <w:tcPr>
                  <w:tcW w:w="68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18"/>
                      <w:szCs w:val="18"/>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3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指标2：</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平台建设</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≥171个</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174</w:t>
                  </w:r>
                </w:p>
              </w:tc>
              <w:tc>
                <w:tcPr>
                  <w:tcW w:w="37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285" w:hRule="atLeast"/>
              </w:trPr>
              <w:tc>
                <w:tcPr>
                  <w:tcW w:w="68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18"/>
                      <w:szCs w:val="18"/>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3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指标3：</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会议系统</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171套</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174</w:t>
                  </w:r>
                </w:p>
              </w:tc>
              <w:tc>
                <w:tcPr>
                  <w:tcW w:w="37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285" w:hRule="atLeast"/>
              </w:trPr>
              <w:tc>
                <w:tcPr>
                  <w:tcW w:w="68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18"/>
                      <w:szCs w:val="18"/>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3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质量指标</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指标1：</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前端视频监控在线率</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＞80%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84%</w:t>
                  </w:r>
                </w:p>
              </w:tc>
              <w:tc>
                <w:tcPr>
                  <w:tcW w:w="37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450" w:hRule="atLeast"/>
              </w:trPr>
              <w:tc>
                <w:tcPr>
                  <w:tcW w:w="68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18"/>
                      <w:szCs w:val="18"/>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3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指标2：</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三级视频会议系统运行良好率</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≥80%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80%</w:t>
                  </w:r>
                </w:p>
              </w:tc>
              <w:tc>
                <w:tcPr>
                  <w:tcW w:w="37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450" w:hRule="atLeast"/>
              </w:trPr>
              <w:tc>
                <w:tcPr>
                  <w:tcW w:w="68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18"/>
                      <w:szCs w:val="18"/>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3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指标3：</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平台及其设备维护完好率</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＞80%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80%</w:t>
                  </w:r>
                </w:p>
              </w:tc>
              <w:tc>
                <w:tcPr>
                  <w:tcW w:w="37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285" w:hRule="atLeast"/>
              </w:trPr>
              <w:tc>
                <w:tcPr>
                  <w:tcW w:w="68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18"/>
                      <w:szCs w:val="18"/>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时效指标</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指标1：</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完成时限</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1年</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1年</w:t>
                  </w:r>
                </w:p>
              </w:tc>
              <w:tc>
                <w:tcPr>
                  <w:tcW w:w="37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285" w:hRule="atLeast"/>
              </w:trPr>
              <w:tc>
                <w:tcPr>
                  <w:tcW w:w="68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18"/>
                      <w:szCs w:val="18"/>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3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成本指标</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指标1：</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雪亮工程建设费用</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343万元</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343万元</w:t>
                  </w:r>
                </w:p>
              </w:tc>
              <w:tc>
                <w:tcPr>
                  <w:tcW w:w="37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285" w:hRule="atLeast"/>
              </w:trPr>
              <w:tc>
                <w:tcPr>
                  <w:tcW w:w="68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18"/>
                      <w:szCs w:val="18"/>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3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指标2：</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雪亮工程运维费</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≤60万元</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60万元</w:t>
                  </w:r>
                </w:p>
              </w:tc>
              <w:tc>
                <w:tcPr>
                  <w:tcW w:w="37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285" w:hRule="atLeast"/>
              </w:trPr>
              <w:tc>
                <w:tcPr>
                  <w:tcW w:w="68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18"/>
                      <w:szCs w:val="18"/>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3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指标3：</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雪亮工程资金占用费</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47万元</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47万元</w:t>
                  </w:r>
                </w:p>
              </w:tc>
              <w:tc>
                <w:tcPr>
                  <w:tcW w:w="37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440" w:hRule="atLeast"/>
              </w:trPr>
              <w:tc>
                <w:tcPr>
                  <w:tcW w:w="68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18"/>
                      <w:szCs w:val="18"/>
                      <w:u w:val="none"/>
                    </w:rPr>
                  </w:pPr>
                </w:p>
              </w:tc>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效益指标</w:t>
                  </w:r>
                </w:p>
              </w:tc>
              <w:tc>
                <w:tcPr>
                  <w:tcW w:w="13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社会效益</w:t>
                  </w:r>
                </w:p>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指标1：</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构建立体防控体系</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优良中差</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优</w:t>
                  </w:r>
                </w:p>
              </w:tc>
              <w:tc>
                <w:tcPr>
                  <w:tcW w:w="37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460" w:hRule="atLeast"/>
              </w:trPr>
              <w:tc>
                <w:tcPr>
                  <w:tcW w:w="68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18"/>
                      <w:szCs w:val="18"/>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3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指标2：</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协助破案</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≥5件</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21</w:t>
                  </w:r>
                </w:p>
              </w:tc>
              <w:tc>
                <w:tcPr>
                  <w:tcW w:w="37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600" w:hRule="atLeast"/>
              </w:trPr>
              <w:tc>
                <w:tcPr>
                  <w:tcW w:w="68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满意度</w:t>
                  </w:r>
                </w:p>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服务对象满意度指标</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指标1：</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群众满意度</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≥90%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90%</w:t>
                  </w:r>
                </w:p>
              </w:tc>
              <w:tc>
                <w:tcPr>
                  <w:tcW w:w="37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r>
          </w:tbl>
          <w:p>
            <w:pPr>
              <w:keepNext w:val="0"/>
              <w:keepLines w:val="0"/>
              <w:widowControl/>
              <w:suppressLineNumbers w:val="0"/>
              <w:jc w:val="center"/>
              <w:textAlignment w:val="center"/>
              <w:rPr>
                <w:rFonts w:hint="eastAsia" w:ascii="宋体" w:hAnsi="宋体" w:eastAsia="宋体" w:cs="宋体"/>
                <w:b/>
                <w:i w:val="0"/>
                <w:color w:val="auto"/>
                <w:sz w:val="32"/>
                <w:szCs w:val="32"/>
                <w:u w:val="none"/>
              </w:rPr>
            </w:pPr>
          </w:p>
        </w:tc>
      </w:tr>
    </w:tbl>
    <w:p>
      <w:pPr>
        <w:pStyle w:val="6"/>
        <w:rPr>
          <w:rFonts w:hint="eastAsia" w:ascii="黑体" w:hAnsi="黑体" w:eastAsia="黑体"/>
          <w:color w:val="auto"/>
          <w:sz w:val="44"/>
          <w:szCs w:val="44"/>
          <w:highlight w:val="none"/>
        </w:rPr>
      </w:pPr>
    </w:p>
    <w:p>
      <w:pPr>
        <w:pStyle w:val="6"/>
        <w:rPr>
          <w:rFonts w:hint="eastAsia" w:ascii="黑体" w:hAnsi="黑体" w:eastAsia="黑体"/>
          <w:color w:val="auto"/>
          <w:sz w:val="44"/>
          <w:szCs w:val="44"/>
          <w:highlight w:val="none"/>
        </w:rPr>
      </w:pPr>
    </w:p>
    <w:p>
      <w:pPr>
        <w:pStyle w:val="6"/>
        <w:rPr>
          <w:rFonts w:hint="eastAsia" w:ascii="黑体" w:hAnsi="黑体" w:eastAsia="黑体"/>
          <w:color w:val="auto"/>
          <w:sz w:val="44"/>
          <w:szCs w:val="44"/>
          <w:highlight w:val="none"/>
        </w:rPr>
      </w:pPr>
    </w:p>
    <w:p>
      <w:pPr>
        <w:pStyle w:val="6"/>
        <w:rPr>
          <w:rFonts w:hint="eastAsia" w:ascii="黑体" w:hAnsi="黑体" w:eastAsia="黑体"/>
          <w:color w:val="auto"/>
          <w:sz w:val="44"/>
          <w:szCs w:val="44"/>
          <w:highlight w:val="none"/>
        </w:rPr>
      </w:pPr>
    </w:p>
    <w:p>
      <w:pPr>
        <w:pStyle w:val="6"/>
        <w:rPr>
          <w:rFonts w:hint="eastAsia" w:ascii="黑体" w:hAnsi="黑体" w:eastAsia="黑体"/>
          <w:color w:val="auto"/>
          <w:sz w:val="44"/>
          <w:szCs w:val="44"/>
          <w:highlight w:val="none"/>
        </w:rPr>
      </w:pPr>
    </w:p>
    <w:p>
      <w:pPr>
        <w:pStyle w:val="6"/>
        <w:rPr>
          <w:rFonts w:hint="eastAsia" w:ascii="黑体" w:hAnsi="黑体" w:eastAsia="黑体"/>
          <w:color w:val="auto"/>
          <w:sz w:val="44"/>
          <w:szCs w:val="44"/>
          <w:highlight w:val="none"/>
        </w:rPr>
      </w:pPr>
    </w:p>
    <w:p>
      <w:pPr>
        <w:pStyle w:val="6"/>
        <w:rPr>
          <w:rFonts w:hint="eastAsia" w:ascii="黑体" w:hAnsi="黑体" w:eastAsia="黑体"/>
          <w:color w:val="auto"/>
          <w:sz w:val="44"/>
          <w:szCs w:val="44"/>
          <w:highlight w:val="none"/>
        </w:rPr>
      </w:pPr>
    </w:p>
    <w:p>
      <w:pPr>
        <w:pStyle w:val="6"/>
        <w:rPr>
          <w:rFonts w:hint="eastAsia" w:ascii="黑体" w:hAnsi="黑体" w:eastAsia="黑体"/>
          <w:color w:val="auto"/>
          <w:sz w:val="44"/>
          <w:szCs w:val="44"/>
          <w:highlight w:val="none"/>
        </w:rPr>
      </w:pPr>
    </w:p>
    <w:p>
      <w:pPr>
        <w:pStyle w:val="6"/>
        <w:rPr>
          <w:rFonts w:hint="eastAsia" w:ascii="黑体" w:hAnsi="黑体" w:eastAsia="黑体"/>
          <w:color w:val="auto"/>
          <w:sz w:val="44"/>
          <w:szCs w:val="44"/>
          <w:highlight w:val="none"/>
        </w:rPr>
      </w:pPr>
    </w:p>
    <w:p>
      <w:pPr>
        <w:pStyle w:val="6"/>
        <w:rPr>
          <w:rFonts w:hint="eastAsia" w:ascii="黑体" w:hAnsi="黑体" w:eastAsia="黑体"/>
          <w:color w:val="auto"/>
          <w:sz w:val="44"/>
          <w:szCs w:val="44"/>
          <w:highlight w:val="none"/>
        </w:rPr>
      </w:pPr>
    </w:p>
    <w:p>
      <w:pPr>
        <w:pStyle w:val="6"/>
        <w:rPr>
          <w:rFonts w:hint="eastAsia" w:ascii="黑体" w:hAnsi="黑体" w:eastAsia="黑体"/>
          <w:color w:val="auto"/>
          <w:sz w:val="44"/>
          <w:szCs w:val="44"/>
          <w:highlight w:val="none"/>
        </w:rPr>
      </w:pPr>
    </w:p>
    <w:p>
      <w:pPr>
        <w:pStyle w:val="6"/>
        <w:rPr>
          <w:rFonts w:hint="eastAsia" w:ascii="黑体" w:hAnsi="黑体" w:eastAsia="黑体"/>
          <w:color w:val="auto"/>
          <w:sz w:val="44"/>
          <w:szCs w:val="44"/>
          <w:highlight w:val="none"/>
        </w:rPr>
      </w:pPr>
    </w:p>
    <w:p>
      <w:pPr>
        <w:pStyle w:val="6"/>
        <w:rPr>
          <w:rFonts w:hint="eastAsia" w:ascii="黑体" w:hAnsi="黑体" w:eastAsia="黑体"/>
          <w:color w:val="auto"/>
          <w:sz w:val="44"/>
          <w:szCs w:val="44"/>
          <w:highlight w:val="none"/>
        </w:rPr>
      </w:pPr>
    </w:p>
    <w:p>
      <w:pPr>
        <w:bidi w:val="0"/>
        <w:rPr>
          <w:rFonts w:hint="eastAsia"/>
        </w:rPr>
      </w:pPr>
    </w:p>
    <w:tbl>
      <w:tblPr>
        <w:tblStyle w:val="17"/>
        <w:tblW w:w="10380" w:type="dxa"/>
        <w:tblInd w:w="-75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785"/>
        <w:gridCol w:w="834"/>
        <w:gridCol w:w="1112"/>
        <w:gridCol w:w="962"/>
        <w:gridCol w:w="1492"/>
        <w:gridCol w:w="1444"/>
        <w:gridCol w:w="1789"/>
        <w:gridCol w:w="9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380" w:type="dxa"/>
            <w:gridSpan w:val="8"/>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黑体" w:hAnsi="宋体" w:eastAsia="黑体" w:cs="黑体"/>
                <w:i w:val="0"/>
                <w:iCs w:val="0"/>
                <w:color w:val="000000"/>
                <w:kern w:val="0"/>
                <w:sz w:val="40"/>
                <w:szCs w:val="40"/>
                <w:u w:val="none"/>
                <w:lang w:val="en-US" w:eastAsia="zh-CN" w:bidi="ar"/>
              </w:rPr>
            </w:pPr>
          </w:p>
          <w:p>
            <w:pPr>
              <w:snapToGrid w:val="0"/>
              <w:spacing w:beforeLines="0" w:afterLines="0" w:line="576" w:lineRule="exact"/>
              <w:jc w:val="center"/>
              <w:rPr>
                <w:rFonts w:hint="eastAsia" w:ascii="方正小标宋简体" w:hAnsi="宋体" w:eastAsia="方正小标宋简体" w:cs="Times New Roman"/>
                <w:sz w:val="44"/>
                <w:szCs w:val="44"/>
              </w:rPr>
            </w:pPr>
            <w:r>
              <w:rPr>
                <w:rFonts w:hint="eastAsia" w:ascii="方正小标宋简体" w:hAnsi="宋体" w:eastAsia="方正小标宋简体" w:cs="Times New Roman"/>
                <w:sz w:val="44"/>
                <w:szCs w:val="44"/>
              </w:rPr>
              <w:t>中共广元市昭化区委政法委</w:t>
            </w:r>
          </w:p>
          <w:p>
            <w:pPr>
              <w:snapToGrid w:val="0"/>
              <w:spacing w:beforeLines="0" w:afterLines="0" w:line="576" w:lineRule="exact"/>
              <w:jc w:val="center"/>
              <w:rPr>
                <w:rFonts w:hint="eastAsia" w:ascii="方正小标宋简体" w:hAnsi="宋体" w:eastAsia="方正小标宋简体" w:cs="Times New Roman"/>
                <w:sz w:val="44"/>
                <w:szCs w:val="44"/>
              </w:rPr>
            </w:pPr>
            <w:r>
              <w:rPr>
                <w:rFonts w:hint="eastAsia" w:ascii="方正小标宋简体" w:hAnsi="宋体" w:eastAsia="方正小标宋简体" w:cs="Times New Roman"/>
                <w:sz w:val="44"/>
                <w:szCs w:val="44"/>
              </w:rPr>
              <w:t>关于2022年网格化管理经费绩效自评报告</w:t>
            </w:r>
          </w:p>
          <w:p>
            <w:pPr>
              <w:tabs>
                <w:tab w:val="left" w:pos="3885"/>
              </w:tabs>
              <w:snapToGrid w:val="0"/>
              <w:spacing w:beforeLines="0" w:afterLines="0" w:line="576" w:lineRule="exact"/>
              <w:ind w:firstLine="640" w:firstLineChars="200"/>
              <w:jc w:val="left"/>
              <w:rPr>
                <w:rFonts w:hint="eastAsia" w:eastAsia="黑体"/>
                <w:sz w:val="32"/>
                <w:szCs w:val="24"/>
              </w:rPr>
            </w:pPr>
          </w:p>
          <w:p>
            <w:pPr>
              <w:adjustRightInd w:val="0"/>
              <w:snapToGrid w:val="0"/>
              <w:spacing w:beforeLines="0" w:afterLines="0" w:line="576" w:lineRule="exact"/>
              <w:rPr>
                <w:rFonts w:hint="eastAsia"/>
                <w:sz w:val="32"/>
                <w:szCs w:val="24"/>
              </w:rPr>
            </w:pPr>
            <w:r>
              <w:rPr>
                <w:rFonts w:hint="eastAsia" w:eastAsia="仿宋_GB2312"/>
                <w:sz w:val="32"/>
                <w:szCs w:val="24"/>
              </w:rPr>
              <w:t>区财政局：</w:t>
            </w:r>
          </w:p>
          <w:p>
            <w:pPr>
              <w:adjustRightInd w:val="0"/>
              <w:snapToGrid w:val="0"/>
              <w:spacing w:beforeLines="0" w:afterLines="0" w:line="576" w:lineRule="exact"/>
              <w:ind w:firstLine="640" w:firstLineChars="200"/>
              <w:rPr>
                <w:rFonts w:hint="eastAsia"/>
                <w:sz w:val="32"/>
                <w:szCs w:val="24"/>
              </w:rPr>
            </w:pPr>
            <w:r>
              <w:rPr>
                <w:rFonts w:hint="eastAsia" w:ascii="仿宋_GB2312" w:hAnsi="仿宋_GB2312" w:eastAsia="仿宋_GB2312" w:cs="仿宋_GB2312"/>
                <w:sz w:val="32"/>
                <w:szCs w:val="32"/>
              </w:rPr>
              <w:t>为了进一步加强财政支付预算管理，提高财政资金使用效益，根据区财政局《关于开展2023年部门、政策和项目支出绩效评价工作的通知》(昭财发〔2023〕12号)的要求，结合我委2022年网格化管理经费项目实施情况，现将我委2022年开展网格化管理经费项目支出绩效自评报告如下：</w:t>
            </w:r>
          </w:p>
          <w:p>
            <w:pPr>
              <w:tabs>
                <w:tab w:val="left" w:pos="3885"/>
              </w:tabs>
              <w:snapToGrid w:val="0"/>
              <w:spacing w:beforeLines="0" w:afterLines="0" w:line="576" w:lineRule="exact"/>
              <w:ind w:firstLine="640" w:firstLineChars="200"/>
              <w:jc w:val="left"/>
              <w:rPr>
                <w:rFonts w:hint="eastAsia" w:eastAsia="黑体"/>
                <w:sz w:val="32"/>
                <w:szCs w:val="24"/>
              </w:rPr>
            </w:pPr>
            <w:r>
              <w:rPr>
                <w:rFonts w:hint="eastAsia" w:eastAsia="黑体"/>
                <w:sz w:val="32"/>
                <w:szCs w:val="24"/>
              </w:rPr>
              <w:t>一、项目基本情况</w:t>
            </w:r>
          </w:p>
          <w:p>
            <w:pPr>
              <w:autoSpaceDE w:val="0"/>
              <w:adjustRightInd w:val="0"/>
              <w:snapToGrid w:val="0"/>
              <w:spacing w:beforeLines="0" w:afterLines="0" w:line="576" w:lineRule="exact"/>
              <w:ind w:firstLine="630" w:firstLineChars="196"/>
              <w:rPr>
                <w:rFonts w:hint="eastAsia" w:ascii="仿宋_GB2312" w:eastAsia="仿宋_GB2312"/>
                <w:sz w:val="32"/>
                <w:szCs w:val="24"/>
              </w:rPr>
            </w:pPr>
            <w:r>
              <w:rPr>
                <w:rFonts w:hint="eastAsia" w:ascii="楷体_GB2312" w:hAnsi="宋体" w:eastAsia="楷体_GB2312"/>
                <w:b/>
                <w:sz w:val="32"/>
                <w:szCs w:val="24"/>
              </w:rPr>
              <w:t>（一）项目资金申报及批复情况。</w:t>
            </w:r>
            <w:r>
              <w:rPr>
                <w:rFonts w:hint="eastAsia" w:ascii="仿宋_GB2312" w:eastAsia="仿宋_GB2312"/>
                <w:sz w:val="32"/>
                <w:szCs w:val="24"/>
              </w:rPr>
              <w:t>网格化管理服务项目于2022年年初通过预算申报，由财政预算下达指标，共计162.13万元。</w:t>
            </w:r>
          </w:p>
          <w:p>
            <w:pPr>
              <w:autoSpaceDE w:val="0"/>
              <w:adjustRightInd w:val="0"/>
              <w:snapToGrid w:val="0"/>
              <w:spacing w:beforeLines="0" w:afterLines="0" w:line="576" w:lineRule="exact"/>
              <w:ind w:firstLine="630" w:firstLineChars="196"/>
              <w:rPr>
                <w:rFonts w:hint="eastAsia" w:ascii="仿宋_GB2312" w:eastAsia="仿宋_GB2312"/>
                <w:sz w:val="32"/>
                <w:szCs w:val="24"/>
              </w:rPr>
            </w:pPr>
            <w:r>
              <w:rPr>
                <w:rFonts w:hint="eastAsia" w:ascii="楷体_GB2312" w:hAnsi="宋体" w:eastAsia="楷体_GB2312"/>
                <w:b/>
                <w:sz w:val="32"/>
                <w:szCs w:val="24"/>
              </w:rPr>
              <w:t>（二）项目绩效目标。</w:t>
            </w:r>
            <w:r>
              <w:rPr>
                <w:rFonts w:hint="eastAsia" w:ascii="仿宋_GB2312" w:eastAsia="仿宋_GB2312"/>
                <w:sz w:val="32"/>
                <w:szCs w:val="24"/>
              </w:rPr>
              <w:t>网格化管理服务项目</w:t>
            </w:r>
            <w:r>
              <w:rPr>
                <w:rFonts w:hint="eastAsia" w:ascii="仿宋_GB2312" w:hAnsi="宋体" w:eastAsia="仿宋_GB2312"/>
                <w:sz w:val="32"/>
                <w:szCs w:val="24"/>
              </w:rPr>
              <w:t>经费</w:t>
            </w:r>
            <w:r>
              <w:rPr>
                <w:rFonts w:hint="eastAsia" w:ascii="仿宋" w:hAnsi="仿宋" w:eastAsia="仿宋"/>
                <w:sz w:val="32"/>
                <w:szCs w:val="24"/>
              </w:rPr>
              <w:t>主要用于全区专兼职网格员补助及</w:t>
            </w:r>
            <w:r>
              <w:rPr>
                <w:rFonts w:hint="eastAsia" w:ascii="仿宋_GB2312" w:eastAsia="仿宋"/>
                <w:sz w:val="32"/>
                <w:szCs w:val="24"/>
              </w:rPr>
              <w:t>网格化电信业务使用费</w:t>
            </w:r>
            <w:r>
              <w:rPr>
                <w:rFonts w:hint="eastAsia" w:ascii="仿宋" w:hAnsi="仿宋" w:eastAsia="仿宋"/>
                <w:sz w:val="32"/>
                <w:szCs w:val="24"/>
              </w:rPr>
              <w:t>等所需的经费开支。</w:t>
            </w:r>
          </w:p>
          <w:p>
            <w:pPr>
              <w:autoSpaceDE w:val="0"/>
              <w:adjustRightInd w:val="0"/>
              <w:snapToGrid w:val="0"/>
              <w:spacing w:beforeLines="0" w:afterLines="0" w:line="576" w:lineRule="exact"/>
              <w:ind w:firstLine="630" w:firstLineChars="196"/>
              <w:rPr>
                <w:rFonts w:hint="eastAsia" w:ascii="仿宋_GB2312" w:hAnsi="宋体" w:eastAsia="仿宋_GB2312"/>
                <w:sz w:val="32"/>
                <w:szCs w:val="24"/>
              </w:rPr>
            </w:pPr>
            <w:r>
              <w:rPr>
                <w:rFonts w:hint="eastAsia" w:ascii="楷体_GB2312" w:hAnsi="宋体" w:eastAsia="楷体_GB2312"/>
                <w:b/>
                <w:sz w:val="32"/>
                <w:szCs w:val="24"/>
              </w:rPr>
              <w:t>（三）项目资金申报相符性。</w:t>
            </w:r>
            <w:r>
              <w:rPr>
                <w:rFonts w:hint="eastAsia" w:ascii="仿宋_GB2312" w:hAnsi="宋体" w:eastAsia="仿宋_GB2312"/>
                <w:sz w:val="32"/>
                <w:szCs w:val="24"/>
              </w:rPr>
              <w:t>项目申报内容与具体实施内容相符、申报目标合理可行。</w:t>
            </w:r>
          </w:p>
          <w:p>
            <w:pPr>
              <w:pStyle w:val="16"/>
              <w:spacing w:beforeLines="0" w:afterLines="0" w:line="540" w:lineRule="exact"/>
              <w:rPr>
                <w:rFonts w:hint="eastAsia" w:ascii="仿宋_GB2312" w:hAnsi="宋体" w:eastAsia="仿宋_GB2312"/>
                <w:sz w:val="32"/>
                <w:szCs w:val="24"/>
              </w:rPr>
            </w:pPr>
            <w:r>
              <w:rPr>
                <w:rFonts w:hint="eastAsia" w:ascii="仿宋_GB2312" w:hAnsi="仿宋_GB2312" w:eastAsia="仿宋_GB2312" w:cs="仿宋_GB2312"/>
                <w:b/>
                <w:sz w:val="32"/>
                <w:szCs w:val="32"/>
                <w:lang w:val="zh-CN"/>
              </w:rPr>
              <w:t>（</w:t>
            </w:r>
            <w:r>
              <w:rPr>
                <w:rFonts w:hint="eastAsia" w:ascii="仿宋_GB2312" w:hAnsi="仿宋_GB2312" w:eastAsia="仿宋_GB2312" w:cs="仿宋_GB2312"/>
                <w:b/>
                <w:sz w:val="32"/>
                <w:szCs w:val="32"/>
              </w:rPr>
              <w:t>四</w:t>
            </w:r>
            <w:r>
              <w:rPr>
                <w:rFonts w:hint="eastAsia" w:ascii="仿宋_GB2312" w:hAnsi="仿宋_GB2312" w:eastAsia="仿宋_GB2312" w:cs="仿宋_GB2312"/>
                <w:b/>
                <w:sz w:val="32"/>
                <w:szCs w:val="32"/>
                <w:lang w:val="zh-CN"/>
              </w:rPr>
              <w:t>）</w:t>
            </w:r>
            <w:r>
              <w:rPr>
                <w:rFonts w:hint="eastAsia" w:ascii="仿宋_GB2312" w:hAnsi="仿宋_GB2312" w:eastAsia="仿宋_GB2312" w:cs="仿宋_GB2312"/>
                <w:b/>
                <w:sz w:val="32"/>
                <w:szCs w:val="32"/>
              </w:rPr>
              <w:t>自评步骤及方法。</w:t>
            </w:r>
            <w:r>
              <w:rPr>
                <w:rFonts w:hint="eastAsia" w:ascii="仿宋_GB2312" w:hAnsi="仿宋_GB2312" w:eastAsia="仿宋_GB2312" w:cs="仿宋_GB2312"/>
                <w:sz w:val="32"/>
                <w:szCs w:val="32"/>
              </w:rPr>
              <w:t>项目采用成本效益分析法，因素分析法，最低成本法等分析方法开展自评。</w:t>
            </w:r>
          </w:p>
          <w:p>
            <w:pPr>
              <w:adjustRightInd w:val="0"/>
              <w:snapToGrid w:val="0"/>
              <w:spacing w:beforeLines="0" w:afterLines="0" w:line="576" w:lineRule="exact"/>
              <w:ind w:firstLine="720"/>
              <w:rPr>
                <w:rFonts w:hint="eastAsia" w:ascii="黑体" w:hAnsi="黑体" w:eastAsia="黑体"/>
                <w:sz w:val="32"/>
                <w:szCs w:val="24"/>
              </w:rPr>
            </w:pPr>
            <w:r>
              <w:rPr>
                <w:rFonts w:hint="eastAsia" w:ascii="黑体" w:hAnsi="黑体" w:eastAsia="黑体"/>
                <w:sz w:val="32"/>
                <w:szCs w:val="24"/>
              </w:rPr>
              <w:t>二、项目实施及管理情况</w:t>
            </w:r>
          </w:p>
          <w:p>
            <w:pPr>
              <w:adjustRightInd w:val="0"/>
              <w:snapToGrid w:val="0"/>
              <w:spacing w:beforeLines="0" w:afterLines="0" w:line="576" w:lineRule="exact"/>
              <w:ind w:firstLine="720"/>
              <w:rPr>
                <w:rFonts w:hint="eastAsia" w:ascii="楷体_GB2312" w:eastAsia="楷体_GB2312"/>
                <w:b/>
                <w:sz w:val="32"/>
                <w:szCs w:val="24"/>
              </w:rPr>
            </w:pPr>
            <w:r>
              <w:rPr>
                <w:rFonts w:hint="eastAsia" w:ascii="楷体_GB2312" w:eastAsia="楷体_GB2312"/>
                <w:sz w:val="32"/>
                <w:szCs w:val="24"/>
              </w:rPr>
              <w:tab/>
            </w:r>
            <w:r>
              <w:rPr>
                <w:rFonts w:hint="eastAsia" w:ascii="楷体_GB2312" w:eastAsia="楷体_GB2312"/>
                <w:b/>
                <w:sz w:val="32"/>
                <w:szCs w:val="24"/>
              </w:rPr>
              <w:t>（一）资金计划、到位及使用情况</w:t>
            </w:r>
          </w:p>
          <w:p>
            <w:pPr>
              <w:autoSpaceDE w:val="0"/>
              <w:adjustRightInd w:val="0"/>
              <w:snapToGrid w:val="0"/>
              <w:spacing w:beforeLines="0" w:afterLines="0" w:line="576" w:lineRule="exact"/>
              <w:ind w:firstLine="720"/>
              <w:rPr>
                <w:rFonts w:hint="eastAsia" w:ascii="仿宋_GB2312" w:hAnsi="宋体" w:eastAsia="仿宋_GB2312"/>
                <w:sz w:val="32"/>
                <w:szCs w:val="24"/>
              </w:rPr>
            </w:pPr>
            <w:r>
              <w:rPr>
                <w:rFonts w:hint="eastAsia" w:ascii="仿宋_GB2312" w:hAnsi="宋体" w:eastAsia="仿宋_GB2312"/>
                <w:b/>
                <w:sz w:val="32"/>
                <w:szCs w:val="24"/>
              </w:rPr>
              <w:t>1、资金计划及到位。</w:t>
            </w:r>
            <w:r>
              <w:rPr>
                <w:rFonts w:hint="eastAsia" w:ascii="仿宋_GB2312" w:eastAsia="仿宋_GB2312"/>
                <w:sz w:val="32"/>
                <w:szCs w:val="24"/>
              </w:rPr>
              <w:t>网格化管理服务项目</w:t>
            </w:r>
            <w:r>
              <w:rPr>
                <w:rFonts w:hint="eastAsia" w:ascii="仿宋_GB2312" w:hAnsi="宋体" w:eastAsia="仿宋_GB2312"/>
                <w:sz w:val="32"/>
                <w:szCs w:val="24"/>
              </w:rPr>
              <w:t>经费于2022年全部及时到位，到位率100%，全部由区财政全额预算。</w:t>
            </w:r>
          </w:p>
          <w:p>
            <w:pPr>
              <w:autoSpaceDE w:val="0"/>
              <w:adjustRightInd w:val="0"/>
              <w:snapToGrid w:val="0"/>
              <w:spacing w:beforeLines="0" w:afterLines="0" w:line="576" w:lineRule="exact"/>
              <w:ind w:firstLine="720"/>
              <w:rPr>
                <w:rFonts w:hint="eastAsia" w:ascii="仿宋_GB2312" w:hAnsi="宋体" w:eastAsia="仿宋_GB2312"/>
                <w:sz w:val="32"/>
                <w:szCs w:val="24"/>
              </w:rPr>
            </w:pPr>
            <w:r>
              <w:rPr>
                <w:rFonts w:hint="eastAsia" w:ascii="仿宋_GB2312" w:hAnsi="宋体" w:eastAsia="仿宋_GB2312"/>
                <w:b/>
                <w:sz w:val="32"/>
                <w:szCs w:val="24"/>
              </w:rPr>
              <w:t>2、资金使用。</w:t>
            </w:r>
            <w:r>
              <w:rPr>
                <w:rFonts w:hint="eastAsia" w:ascii="仿宋_GB2312" w:eastAsia="仿宋_GB2312"/>
                <w:sz w:val="32"/>
                <w:szCs w:val="24"/>
              </w:rPr>
              <w:t>网格化管理服务项目</w:t>
            </w:r>
            <w:r>
              <w:rPr>
                <w:rFonts w:hint="eastAsia" w:ascii="仿宋_GB2312" w:hAnsi="宋体" w:eastAsia="仿宋_GB2312"/>
                <w:sz w:val="32"/>
                <w:szCs w:val="24"/>
              </w:rPr>
              <w:t>经费实际支出162.13万元</w:t>
            </w:r>
            <w:r>
              <w:rPr>
                <w:rFonts w:hint="eastAsia" w:ascii="仿宋_GB2312" w:hAnsi="宋体" w:eastAsia="仿宋_GB2312"/>
                <w:b/>
                <w:sz w:val="32"/>
                <w:szCs w:val="24"/>
              </w:rPr>
              <w:t>；</w:t>
            </w:r>
            <w:r>
              <w:rPr>
                <w:rFonts w:hint="eastAsia" w:ascii="仿宋_GB2312" w:hAnsi="宋体" w:eastAsia="仿宋_GB2312"/>
                <w:sz w:val="32"/>
                <w:szCs w:val="24"/>
              </w:rPr>
              <w:t>资金开支范围：网格员补助、邮电费等；支付依据合规合法，资金支付与预算相符。</w:t>
            </w:r>
          </w:p>
          <w:p>
            <w:pPr>
              <w:autoSpaceDE w:val="0"/>
              <w:adjustRightInd w:val="0"/>
              <w:snapToGrid w:val="0"/>
              <w:spacing w:beforeLines="0" w:afterLines="0" w:line="576" w:lineRule="exact"/>
              <w:ind w:firstLine="720"/>
              <w:rPr>
                <w:rFonts w:hint="eastAsia" w:ascii="楷体_GB2312" w:hAnsi="宋体" w:eastAsia="楷体_GB2312"/>
                <w:b/>
                <w:sz w:val="32"/>
                <w:szCs w:val="24"/>
              </w:rPr>
            </w:pPr>
            <w:r>
              <w:rPr>
                <w:rFonts w:hint="eastAsia" w:ascii="楷体_GB2312" w:hAnsi="宋体" w:eastAsia="楷体_GB2312"/>
                <w:b/>
                <w:sz w:val="32"/>
                <w:szCs w:val="24"/>
              </w:rPr>
              <w:t>（二）项目财务管理情况</w:t>
            </w:r>
          </w:p>
          <w:p>
            <w:pPr>
              <w:adjustRightInd w:val="0"/>
              <w:snapToGrid w:val="0"/>
              <w:spacing w:beforeLines="0" w:afterLines="0" w:line="540" w:lineRule="exact"/>
              <w:ind w:firstLine="960" w:firstLineChars="3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rPr>
              <w:t>经费严格按照</w:t>
            </w:r>
            <w:r>
              <w:rPr>
                <w:rFonts w:hint="eastAsia" w:ascii="仿宋_GB2312" w:hAnsi="仿宋_GB2312" w:eastAsia="仿宋_GB2312" w:cs="仿宋_GB2312"/>
                <w:sz w:val="32"/>
                <w:szCs w:val="32"/>
                <w:lang w:val="zh-CN"/>
              </w:rPr>
              <w:t>项目财务管理制度</w:t>
            </w:r>
            <w:r>
              <w:rPr>
                <w:rFonts w:hint="eastAsia" w:ascii="仿宋_GB2312" w:hAnsi="仿宋_GB2312" w:eastAsia="仿宋_GB2312" w:cs="仿宋_GB2312"/>
                <w:sz w:val="32"/>
                <w:szCs w:val="32"/>
              </w:rPr>
              <w:t>执行</w:t>
            </w:r>
            <w:r>
              <w:rPr>
                <w:rFonts w:hint="eastAsia" w:ascii="仿宋_GB2312" w:hAnsi="仿宋_GB2312" w:eastAsia="仿宋_GB2312" w:cs="仿宋_GB2312"/>
                <w:sz w:val="32"/>
                <w:szCs w:val="32"/>
                <w:lang w:val="zh-CN"/>
              </w:rPr>
              <w:t>、机构设置</w:t>
            </w:r>
            <w:r>
              <w:rPr>
                <w:rFonts w:hint="eastAsia" w:ascii="仿宋_GB2312" w:hAnsi="仿宋_GB2312" w:eastAsia="仿宋_GB2312" w:cs="仿宋_GB2312"/>
                <w:sz w:val="32"/>
                <w:szCs w:val="32"/>
              </w:rPr>
              <w:t>健全，</w:t>
            </w:r>
            <w:r>
              <w:rPr>
                <w:rFonts w:hint="eastAsia" w:ascii="仿宋_GB2312" w:hAnsi="仿宋_GB2312" w:eastAsia="仿宋_GB2312" w:cs="仿宋_GB2312"/>
                <w:sz w:val="32"/>
                <w:szCs w:val="32"/>
                <w:lang w:val="zh-CN"/>
              </w:rPr>
              <w:t>会计核算及账务处理</w:t>
            </w:r>
            <w:r>
              <w:rPr>
                <w:rFonts w:hint="eastAsia" w:ascii="仿宋_GB2312" w:hAnsi="仿宋_GB2312" w:eastAsia="仿宋_GB2312" w:cs="仿宋_GB2312"/>
                <w:sz w:val="32"/>
                <w:szCs w:val="32"/>
              </w:rPr>
              <w:t>到位</w:t>
            </w:r>
            <w:r>
              <w:rPr>
                <w:rFonts w:hint="eastAsia" w:ascii="仿宋_GB2312" w:hAnsi="仿宋_GB2312" w:eastAsia="仿宋_GB2312" w:cs="仿宋_GB2312"/>
                <w:sz w:val="32"/>
                <w:szCs w:val="32"/>
                <w:lang w:val="zh-CN"/>
              </w:rPr>
              <w:t>。严格执行财务管理制度、财务处理及时、会计核算规范。</w:t>
            </w:r>
          </w:p>
          <w:p>
            <w:pPr>
              <w:snapToGrid w:val="0"/>
              <w:spacing w:beforeLines="0" w:afterLines="0" w:line="576" w:lineRule="exact"/>
              <w:ind w:firstLine="640" w:firstLineChars="200"/>
              <w:rPr>
                <w:rFonts w:hint="eastAsia"/>
                <w:sz w:val="32"/>
                <w:szCs w:val="24"/>
              </w:rPr>
            </w:pPr>
            <w:r>
              <w:rPr>
                <w:rFonts w:hint="eastAsia" w:eastAsia="黑体"/>
                <w:sz w:val="32"/>
                <w:szCs w:val="24"/>
              </w:rPr>
              <w:t>三、项目绩效情况</w:t>
            </w:r>
          </w:p>
          <w:p>
            <w:pPr>
              <w:snapToGrid w:val="0"/>
              <w:spacing w:beforeLines="0" w:afterLines="0" w:line="576" w:lineRule="exact"/>
              <w:ind w:firstLine="643" w:firstLineChars="200"/>
              <w:rPr>
                <w:rFonts w:hint="eastAsia" w:ascii="楷体_GB2312" w:eastAsia="楷体_GB2312"/>
                <w:b/>
                <w:sz w:val="32"/>
                <w:szCs w:val="24"/>
              </w:rPr>
            </w:pPr>
            <w:r>
              <w:rPr>
                <w:rFonts w:hint="eastAsia" w:ascii="楷体_GB2312" w:eastAsia="楷体_GB2312"/>
                <w:b/>
                <w:sz w:val="32"/>
                <w:szCs w:val="24"/>
              </w:rPr>
              <w:t>（一）项目完成情况</w:t>
            </w:r>
          </w:p>
          <w:p>
            <w:pPr>
              <w:snapToGrid w:val="0"/>
              <w:spacing w:beforeLines="0" w:afterLines="0" w:line="576" w:lineRule="exact"/>
              <w:ind w:firstLine="640" w:firstLineChars="200"/>
              <w:rPr>
                <w:rFonts w:hint="eastAsia" w:eastAsia="仿宋_GB2312" w:cs="Times New Roman"/>
                <w:sz w:val="32"/>
                <w:szCs w:val="32"/>
              </w:rPr>
            </w:pPr>
            <w:r>
              <w:rPr>
                <w:rFonts w:hint="eastAsia" w:eastAsia="仿宋_GB2312" w:cs="Times New Roman"/>
                <w:sz w:val="32"/>
                <w:szCs w:val="32"/>
              </w:rPr>
              <w:t>截止2022年12月31日实际完成额162.13万元，并全部完成绩效目标。统筹推进全科网格建设，保持181名网格员队伍相对稳定，将党建、综治、公安、消防、市场监管、医疗、社保、法院协执等事项纳入网格化管理，实现“人在网上走，事在网中办”。积极参与乡镇区划调整、脱贫攻坚、火灾预防、协助人民法院执行等工作，充分发挥在基层社会治理中信息员、服务员作用，坚持重要时间、重大活动期间平安信息“零”报告制度。认真落实特殊人群服务管理联席会议制度，每季度组织区公安分局、区卫健局、区司法局等单位召开一次联席会议，通报情况、核实信息、交换数据、确保底数清、情况明、走访到位。</w:t>
            </w:r>
            <w:r>
              <w:rPr>
                <w:rFonts w:hint="eastAsia" w:ascii="仿宋_GB2312" w:hAnsi="仿宋_GB2312" w:eastAsia="仿宋_GB2312" w:cs="仿宋_GB2312"/>
                <w:color w:val="000000"/>
                <w:sz w:val="32"/>
                <w:szCs w:val="24"/>
              </w:rPr>
              <w:t>深入推行“多网合一、一网运行”基层网格治理新模式，</w:t>
            </w:r>
            <w:r>
              <w:rPr>
                <w:rFonts w:hint="eastAsia" w:ascii="仿宋_GB2312" w:hAnsi="仿宋_GB2312" w:eastAsia="仿宋_GB2312" w:cs="仿宋_GB2312"/>
                <w:color w:val="000000"/>
                <w:sz w:val="32"/>
                <w:szCs w:val="32"/>
              </w:rPr>
              <w:t>完成微网格划分2100个，设专兼职网格员3128名（其中，一级181名，二级1078名，三级1869名），逗硬“日巡查、周提醒、月通报、季考评”机制，网格化系统共报送事件12957件、办结12957件，办结率100%，平安建设群众满意度测评连续6年名列省市前列</w:t>
            </w:r>
            <w:r>
              <w:rPr>
                <w:rFonts w:hint="eastAsia" w:eastAsia="仿宋_GB2312" w:cs="Times New Roman"/>
                <w:sz w:val="32"/>
                <w:szCs w:val="32"/>
              </w:rPr>
              <w:t>。坚持工作季度通报制度，针对存在的不足，分析原因，提出解决问题的建议和对策。开展点对点、面对面的检查督导，对个别乡镇账号活跃度低、事件办结率低、重点关注人员走访率低的“三低”情况，委领导班子以片包点开展“点面结合”检查督导两批次，实现全覆盖，确保问题整改落实到位，由于乡镇区划调整，思想认识放松，强化网格员“签名点到”制度落地落细，确保网格管理应用与实效始终处于全市前列。</w:t>
            </w:r>
          </w:p>
          <w:p>
            <w:pPr>
              <w:snapToGrid w:val="0"/>
              <w:spacing w:beforeLines="0" w:afterLines="0" w:line="576" w:lineRule="exact"/>
              <w:ind w:firstLine="640" w:firstLineChars="200"/>
              <w:rPr>
                <w:rFonts w:hint="eastAsia"/>
                <w:sz w:val="32"/>
                <w:szCs w:val="24"/>
              </w:rPr>
            </w:pPr>
            <w:r>
              <w:rPr>
                <w:rFonts w:hint="eastAsia" w:ascii="黑体" w:hAnsi="黑体" w:eastAsia="黑体"/>
                <w:sz w:val="32"/>
                <w:szCs w:val="24"/>
              </w:rPr>
              <w:t>（二）项目效益情况</w:t>
            </w:r>
          </w:p>
          <w:p>
            <w:pPr>
              <w:snapToGrid w:val="0"/>
              <w:spacing w:beforeLines="0" w:afterLines="0" w:line="576" w:lineRule="exact"/>
              <w:ind w:firstLine="640" w:firstLineChars="200"/>
              <w:rPr>
                <w:rFonts w:hint="eastAsia" w:eastAsia="仿宋_GB2312"/>
                <w:sz w:val="32"/>
                <w:szCs w:val="24"/>
              </w:rPr>
            </w:pPr>
            <w:r>
              <w:rPr>
                <w:rFonts w:hint="eastAsia" w:eastAsia="仿宋_GB2312"/>
                <w:sz w:val="32"/>
                <w:szCs w:val="24"/>
              </w:rPr>
              <w:t>通过实施网格化服务管理项目，切实解决了专兼职网格员补助、电信业务使用费等资金需求，保障了有充足的人员到村、社区，深入网格，通过走家串户、网格巡查等方式，开展走访、核实信息、交换数据、上报信息、矛盾纠纷排查化解，主动发现和受理群众诉求，现场办结或通过APP报送、处理各类综治等事项，反映居民诉求，帮助人民群众解决实际困难，多形式化解网格难题，群众满意度、认可度高，充分保障了全区网格化工作开展，为昭化经济社会健康发展提供了强有力的支撑。</w:t>
            </w:r>
          </w:p>
          <w:p>
            <w:pPr>
              <w:numPr>
                <w:ilvl w:val="0"/>
                <w:numId w:val="10"/>
              </w:numPr>
              <w:snapToGrid w:val="0"/>
              <w:spacing w:beforeLines="0" w:afterLines="0" w:line="576" w:lineRule="exact"/>
              <w:ind w:firstLine="640" w:firstLineChars="200"/>
              <w:rPr>
                <w:rFonts w:hint="eastAsia" w:ascii="黑体" w:hAnsi="黑体" w:eastAsia="黑体"/>
                <w:sz w:val="32"/>
                <w:szCs w:val="24"/>
              </w:rPr>
            </w:pPr>
            <w:r>
              <w:rPr>
                <w:rFonts w:hint="eastAsia" w:ascii="黑体" w:hAnsi="黑体" w:eastAsia="黑体"/>
                <w:sz w:val="32"/>
                <w:szCs w:val="24"/>
              </w:rPr>
              <w:t>问题及建议</w:t>
            </w:r>
          </w:p>
          <w:p>
            <w:pPr>
              <w:spacing w:beforeLines="0" w:afterLines="0" w:line="576" w:lineRule="exact"/>
              <w:ind w:firstLine="643" w:firstLineChars="200"/>
              <w:rPr>
                <w:rFonts w:hint="eastAsia"/>
                <w:sz w:val="32"/>
                <w:szCs w:val="24"/>
              </w:rPr>
            </w:pPr>
            <w:r>
              <w:rPr>
                <w:rFonts w:hint="eastAsia" w:ascii="楷体_GB2312" w:eastAsia="楷体_GB2312"/>
                <w:b/>
                <w:sz w:val="32"/>
                <w:szCs w:val="24"/>
              </w:rPr>
              <w:t>（一）评价结论：</w:t>
            </w:r>
            <w:r>
              <w:rPr>
                <w:rFonts w:hint="eastAsia" w:eastAsia="仿宋_GB2312" w:cs="Times New Roman"/>
                <w:sz w:val="32"/>
                <w:szCs w:val="32"/>
              </w:rPr>
              <w:t xml:space="preserve"> </w:t>
            </w:r>
            <w:r>
              <w:rPr>
                <w:rFonts w:hint="eastAsia" w:eastAsia="仿宋_GB2312" w:cs="Times New Roman"/>
                <w:kern w:val="0"/>
                <w:sz w:val="32"/>
                <w:szCs w:val="32"/>
              </w:rPr>
              <w:t>我单位按照</w:t>
            </w:r>
            <w:r>
              <w:rPr>
                <w:rFonts w:hint="eastAsia" w:eastAsia="仿宋_GB2312" w:cs="Times New Roman"/>
                <w:color w:val="auto"/>
                <w:kern w:val="0"/>
                <w:sz w:val="32"/>
                <w:szCs w:val="32"/>
              </w:rPr>
              <w:t>《广元市昭化区人民政府办公室关于印发&lt;广元市昭化区财政支出事后绩效评价管理办法</w:t>
            </w:r>
            <w:r>
              <w:rPr>
                <w:rFonts w:hint="eastAsia" w:cs="Times New Roman"/>
                <w:color w:val="auto"/>
                <w:kern w:val="0"/>
                <w:sz w:val="32"/>
                <w:szCs w:val="32"/>
              </w:rPr>
              <w:t>&gt;</w:t>
            </w:r>
            <w:r>
              <w:rPr>
                <w:rFonts w:hint="eastAsia" w:eastAsia="仿宋_GB2312" w:cs="Times New Roman"/>
                <w:color w:val="auto"/>
                <w:kern w:val="0"/>
                <w:sz w:val="32"/>
                <w:szCs w:val="32"/>
              </w:rPr>
              <w:t>的通知》(昭府办函〔20</w:t>
            </w:r>
            <w:r>
              <w:rPr>
                <w:rFonts w:hint="eastAsia" w:cs="Times New Roman"/>
                <w:color w:val="auto"/>
                <w:kern w:val="0"/>
                <w:sz w:val="32"/>
                <w:szCs w:val="32"/>
              </w:rPr>
              <w:t>22</w:t>
            </w:r>
            <w:r>
              <w:rPr>
                <w:rFonts w:hint="eastAsia" w:eastAsia="仿宋_GB2312" w:cs="Times New Roman"/>
                <w:color w:val="auto"/>
                <w:kern w:val="0"/>
                <w:sz w:val="32"/>
                <w:szCs w:val="32"/>
              </w:rPr>
              <w:t>〕</w:t>
            </w:r>
            <w:r>
              <w:rPr>
                <w:rFonts w:hint="eastAsia" w:cs="Times New Roman"/>
                <w:color w:val="auto"/>
                <w:kern w:val="0"/>
                <w:sz w:val="32"/>
                <w:szCs w:val="32"/>
              </w:rPr>
              <w:t>37</w:t>
            </w:r>
            <w:r>
              <w:rPr>
                <w:rFonts w:hint="eastAsia" w:eastAsia="仿宋_GB2312" w:cs="Times New Roman"/>
                <w:color w:val="auto"/>
                <w:kern w:val="0"/>
                <w:sz w:val="32"/>
                <w:szCs w:val="32"/>
              </w:rPr>
              <w:t>号)，</w:t>
            </w:r>
            <w:r>
              <w:rPr>
                <w:rFonts w:hint="eastAsia" w:eastAsia="仿宋_GB2312" w:cs="Times New Roman"/>
                <w:kern w:val="0"/>
                <w:sz w:val="32"/>
                <w:szCs w:val="32"/>
              </w:rPr>
              <w:t>自评得分为98分。</w:t>
            </w:r>
          </w:p>
          <w:p>
            <w:pPr>
              <w:snapToGrid w:val="0"/>
              <w:spacing w:beforeLines="0" w:afterLines="0" w:line="576" w:lineRule="exact"/>
              <w:ind w:firstLine="643" w:firstLineChars="200"/>
              <w:rPr>
                <w:rFonts w:hint="eastAsia" w:eastAsia="仿宋_GB2312" w:cs="Times New Roman"/>
                <w:sz w:val="32"/>
                <w:szCs w:val="32"/>
              </w:rPr>
            </w:pPr>
            <w:r>
              <w:rPr>
                <w:rFonts w:hint="eastAsia" w:ascii="楷体_GB2312" w:eastAsia="楷体_GB2312"/>
                <w:b/>
                <w:sz w:val="32"/>
                <w:szCs w:val="24"/>
              </w:rPr>
              <w:t>（二）存在的问题：</w:t>
            </w:r>
            <w:r>
              <w:rPr>
                <w:rFonts w:hint="eastAsia" w:eastAsia="仿宋_GB2312" w:cs="Times New Roman"/>
                <w:sz w:val="32"/>
                <w:szCs w:val="32"/>
              </w:rPr>
              <w:t>一是专职网格员补助标准较低，兼职网格员无补助，难以调动网格员的积极性，待遇低导致个别社区网格员变动频繁。二是在构建全科网格过程中资金整合难度大。</w:t>
            </w:r>
          </w:p>
          <w:p>
            <w:pPr>
              <w:snapToGrid w:val="0"/>
              <w:spacing w:beforeLines="0" w:afterLines="0" w:line="576" w:lineRule="exact"/>
              <w:ind w:firstLine="643" w:firstLineChars="200"/>
              <w:rPr>
                <w:rFonts w:hint="eastAsia" w:eastAsia="仿宋_GB2312"/>
                <w:sz w:val="32"/>
                <w:szCs w:val="24"/>
              </w:rPr>
            </w:pPr>
            <w:r>
              <w:rPr>
                <w:rFonts w:hint="eastAsia" w:ascii="楷体_GB2312" w:eastAsia="楷体_GB2312"/>
                <w:b/>
                <w:sz w:val="32"/>
                <w:szCs w:val="24"/>
              </w:rPr>
              <w:t>（三）相关措施建议：</w:t>
            </w:r>
            <w:r>
              <w:rPr>
                <w:rFonts w:hint="eastAsia" w:ascii="仿宋" w:hAnsi="仿宋" w:eastAsia="仿宋"/>
                <w:sz w:val="32"/>
                <w:szCs w:val="24"/>
              </w:rPr>
              <w:t>进一步加大网格化管理服务工作，进一</w:t>
            </w:r>
            <w:r>
              <w:rPr>
                <w:rFonts w:hint="eastAsia" w:eastAsia="仿宋_GB2312"/>
                <w:sz w:val="32"/>
                <w:szCs w:val="24"/>
              </w:rPr>
              <w:t>步强化对专兼职网格化的业务指导力度，发挥网格化贴近群众的优势，提高服务群众的水平。同时建议随着经济社会发展，加大对网格化工作的经费投入，不断更新网格化装备，适当提高专兼职网格员补助经费标准，为网格化管理的有效实施提供扎实的物质保障。</w:t>
            </w:r>
          </w:p>
          <w:p>
            <w:pPr>
              <w:keepNext w:val="0"/>
              <w:keepLines w:val="0"/>
              <w:widowControl/>
              <w:suppressLineNumbers w:val="0"/>
              <w:jc w:val="center"/>
              <w:textAlignment w:val="center"/>
              <w:rPr>
                <w:rFonts w:hint="eastAsia" w:ascii="黑体" w:hAnsi="宋体" w:eastAsia="黑体" w:cs="黑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黑体" w:hAnsi="宋体" w:eastAsia="黑体" w:cs="黑体"/>
                <w:i w:val="0"/>
                <w:iCs w:val="0"/>
                <w:color w:val="000000"/>
                <w:kern w:val="0"/>
                <w:sz w:val="40"/>
                <w:szCs w:val="40"/>
                <w:u w:val="none"/>
                <w:lang w:val="en-US" w:eastAsia="zh-CN" w:bidi="ar"/>
              </w:rPr>
            </w:pPr>
          </w:p>
          <w:p>
            <w:pPr>
              <w:keepNext w:val="0"/>
              <w:keepLines w:val="0"/>
              <w:widowControl/>
              <w:suppressLineNumbers w:val="0"/>
              <w:jc w:val="center"/>
              <w:textAlignment w:val="center"/>
              <w:rPr>
                <w:rFonts w:hint="eastAsia" w:ascii="黑体" w:hAnsi="宋体" w:eastAsia="黑体" w:cs="黑体"/>
                <w:i w:val="0"/>
                <w:iCs w:val="0"/>
                <w:color w:val="000000"/>
                <w:kern w:val="0"/>
                <w:sz w:val="40"/>
                <w:szCs w:val="40"/>
                <w:u w:val="none"/>
                <w:lang w:val="en-US" w:eastAsia="zh-CN" w:bidi="ar"/>
              </w:rPr>
            </w:pPr>
          </w:p>
          <w:p>
            <w:pPr>
              <w:keepNext w:val="0"/>
              <w:keepLines w:val="0"/>
              <w:widowControl/>
              <w:suppressLineNumbers w:val="0"/>
              <w:jc w:val="center"/>
              <w:textAlignment w:val="center"/>
              <w:rPr>
                <w:rFonts w:ascii="黑体" w:hAnsi="宋体" w:eastAsia="黑体" w:cs="黑体"/>
                <w:i w:val="0"/>
                <w:iCs w:val="0"/>
                <w:color w:val="000000"/>
                <w:sz w:val="40"/>
                <w:szCs w:val="40"/>
                <w:u w:val="none"/>
              </w:rPr>
            </w:pPr>
            <w:r>
              <w:rPr>
                <w:rFonts w:hint="eastAsia" w:ascii="黑体" w:hAnsi="宋体" w:eastAsia="黑体" w:cs="黑体"/>
                <w:i w:val="0"/>
                <w:iCs w:val="0"/>
                <w:color w:val="000000"/>
                <w:kern w:val="0"/>
                <w:sz w:val="40"/>
                <w:szCs w:val="40"/>
                <w:u w:val="none"/>
                <w:lang w:val="en-US" w:eastAsia="zh-CN" w:bidi="ar"/>
              </w:rPr>
              <w:t>广元市昭化区财政项目支出绩效自评表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0380" w:type="dxa"/>
            <w:gridSpan w:val="8"/>
            <w:tcBorders>
              <w:top w:val="nil"/>
              <w:left w:val="nil"/>
              <w:bottom w:val="nil"/>
              <w:right w:val="nil"/>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6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776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网格化管理经费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6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35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广元市昭化区委政法委</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实施单位</w:t>
            </w:r>
          </w:p>
        </w:tc>
        <w:tc>
          <w:tcPr>
            <w:tcW w:w="275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广元市昭化区委政法委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619" w:type="dxa"/>
            <w:gridSpan w:val="2"/>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项目（政策）资金（万元）</w:t>
            </w:r>
          </w:p>
        </w:tc>
        <w:tc>
          <w:tcPr>
            <w:tcW w:w="2074" w:type="dxa"/>
            <w:gridSpan w:val="2"/>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9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1444"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w:t>
            </w:r>
          </w:p>
        </w:tc>
        <w:tc>
          <w:tcPr>
            <w:tcW w:w="1789"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w:t>
            </w:r>
          </w:p>
        </w:tc>
        <w:tc>
          <w:tcPr>
            <w:tcW w:w="96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619"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年度资金总额</w:t>
            </w:r>
          </w:p>
        </w:tc>
        <w:tc>
          <w:tcPr>
            <w:tcW w:w="1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162.13</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162.13</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162.13</w:t>
            </w:r>
          </w:p>
        </w:tc>
        <w:tc>
          <w:tcPr>
            <w:tcW w:w="962"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619"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（一）财政拨款小计</w:t>
            </w:r>
          </w:p>
        </w:tc>
        <w:tc>
          <w:tcPr>
            <w:tcW w:w="1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162.13</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162.13</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162.13</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619"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1.一般公共预算</w:t>
            </w:r>
          </w:p>
        </w:tc>
        <w:tc>
          <w:tcPr>
            <w:tcW w:w="1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162.13</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162.13</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162.13</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619"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2.政府性基金</w:t>
            </w:r>
          </w:p>
        </w:tc>
        <w:tc>
          <w:tcPr>
            <w:tcW w:w="14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2619"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3.国有资本经营预算</w:t>
            </w:r>
          </w:p>
        </w:tc>
        <w:tc>
          <w:tcPr>
            <w:tcW w:w="14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619"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4.社保基金</w:t>
            </w:r>
          </w:p>
        </w:tc>
        <w:tc>
          <w:tcPr>
            <w:tcW w:w="14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619"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（二）其他资金</w:t>
            </w:r>
          </w:p>
        </w:tc>
        <w:tc>
          <w:tcPr>
            <w:tcW w:w="14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89"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62"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7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年度总体目标</w:t>
            </w:r>
          </w:p>
        </w:tc>
        <w:tc>
          <w:tcPr>
            <w:tcW w:w="584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27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0" w:hRule="atLeast"/>
        </w:trPr>
        <w:tc>
          <w:tcPr>
            <w:tcW w:w="1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4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 加强专兼职网格员队伍建设，强化科技支撑，进一步健全完善“全域覆盖、全网整合、规范高效、常态运行”的网格化服务管理体系；</w:t>
            </w:r>
          </w:p>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2.不断提升基层社会治理现代化水平，不断增强人民群众安全感和满意度。</w:t>
            </w:r>
          </w:p>
        </w:tc>
        <w:tc>
          <w:tcPr>
            <w:tcW w:w="27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整合现有资源、人员、设施，统一设立了1个区综治中心、12个镇综治中心和150个村（社区）综治中心，形成了“1（区）+12（镇）+150（村社区）+181（网格）”四级联动机制。全面掌握基层动态，及时了解社情民意，及时服务基层群众，延伸管理末梢，消除各类苗头隐患，把问题解决在萌芽状态，构建基层治理新路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78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2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年度指标值</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实际完成值</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7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1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w:t>
            </w:r>
          </w:p>
        </w:tc>
        <w:tc>
          <w:tcPr>
            <w:tcW w:w="1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专兼职网格员队伍</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181人</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181</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7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指标2：</w:t>
            </w:r>
          </w:p>
        </w:tc>
        <w:tc>
          <w:tcPr>
            <w:tcW w:w="1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网格员登录</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≥2万件次</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7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指标3：</w:t>
            </w:r>
          </w:p>
        </w:tc>
        <w:tc>
          <w:tcPr>
            <w:tcW w:w="1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特殊人群走访</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≥6000件次</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7000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17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指标4：</w:t>
            </w:r>
          </w:p>
        </w:tc>
        <w:tc>
          <w:tcPr>
            <w:tcW w:w="1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参与协助流动人口管理服务</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≥200人次</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17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指标5：</w:t>
            </w:r>
          </w:p>
        </w:tc>
        <w:tc>
          <w:tcPr>
            <w:tcW w:w="1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参与排查调解矛盾纠纷</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≥600件</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7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指标6：</w:t>
            </w:r>
          </w:p>
        </w:tc>
        <w:tc>
          <w:tcPr>
            <w:tcW w:w="1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参与公共服务</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≥0.8万件次</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指标7：</w:t>
            </w:r>
          </w:p>
        </w:tc>
        <w:tc>
          <w:tcPr>
            <w:tcW w:w="1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排查各类安全隐患</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≥200件</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7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w:t>
            </w:r>
          </w:p>
        </w:tc>
        <w:tc>
          <w:tcPr>
            <w:tcW w:w="1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参与调解矛盾纠纷成功率</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17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指标2：</w:t>
            </w:r>
          </w:p>
        </w:tc>
        <w:tc>
          <w:tcPr>
            <w:tcW w:w="1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确保网格化服务高质量</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优良中差</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7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w:t>
            </w:r>
          </w:p>
        </w:tc>
        <w:tc>
          <w:tcPr>
            <w:tcW w:w="1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完成时限</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1年</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1年</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w:t>
            </w:r>
          </w:p>
        </w:tc>
        <w:tc>
          <w:tcPr>
            <w:tcW w:w="1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网格员补助</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≤95.4万元</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95.4万元</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7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指标2：</w:t>
            </w:r>
          </w:p>
        </w:tc>
        <w:tc>
          <w:tcPr>
            <w:tcW w:w="1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网格化服务管理电信服务费</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≤66.73万元</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66.73万元</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7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社会效益</w:t>
            </w:r>
          </w:p>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w:t>
            </w:r>
          </w:p>
        </w:tc>
        <w:tc>
          <w:tcPr>
            <w:tcW w:w="2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提升社会治理水平，社会和谐稳定</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优良中差</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7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满意度</w:t>
            </w:r>
          </w:p>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2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群众满意度</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bl>
    <w:p>
      <w:pPr>
        <w:pStyle w:val="6"/>
        <w:rPr>
          <w:rFonts w:hint="eastAsia" w:ascii="黑体" w:hAnsi="黑体" w:eastAsia="黑体"/>
          <w:color w:val="auto"/>
          <w:sz w:val="44"/>
          <w:szCs w:val="44"/>
          <w:highlight w:val="none"/>
        </w:rPr>
      </w:pPr>
    </w:p>
    <w:p>
      <w:pPr>
        <w:pStyle w:val="6"/>
        <w:rPr>
          <w:rFonts w:hint="eastAsia" w:ascii="黑体" w:hAnsi="黑体" w:eastAsia="黑体"/>
          <w:color w:val="auto"/>
          <w:sz w:val="44"/>
          <w:szCs w:val="44"/>
          <w:highlight w:val="none"/>
        </w:rPr>
      </w:pPr>
    </w:p>
    <w:p>
      <w:pPr>
        <w:pStyle w:val="6"/>
        <w:rPr>
          <w:rFonts w:hint="eastAsia" w:ascii="黑体" w:hAnsi="黑体" w:eastAsia="黑体"/>
          <w:color w:val="auto"/>
          <w:sz w:val="44"/>
          <w:szCs w:val="44"/>
          <w:highlight w:val="none"/>
        </w:rPr>
      </w:pPr>
    </w:p>
    <w:p>
      <w:pPr>
        <w:pStyle w:val="6"/>
        <w:rPr>
          <w:rFonts w:hint="eastAsia" w:ascii="黑体" w:hAnsi="黑体" w:eastAsia="黑体"/>
          <w:color w:val="auto"/>
          <w:sz w:val="44"/>
          <w:szCs w:val="44"/>
          <w:highlight w:val="none"/>
        </w:rPr>
      </w:pPr>
    </w:p>
    <w:p>
      <w:pPr>
        <w:pStyle w:val="6"/>
        <w:rPr>
          <w:rFonts w:hint="eastAsia" w:ascii="黑体" w:hAnsi="黑体" w:eastAsia="黑体"/>
          <w:color w:val="auto"/>
          <w:sz w:val="44"/>
          <w:szCs w:val="44"/>
          <w:highlight w:val="none"/>
        </w:rPr>
      </w:pPr>
    </w:p>
    <w:p>
      <w:pPr>
        <w:pStyle w:val="6"/>
        <w:rPr>
          <w:rFonts w:hint="eastAsia" w:ascii="黑体" w:hAnsi="黑体" w:eastAsia="黑体"/>
          <w:color w:val="auto"/>
          <w:sz w:val="44"/>
          <w:szCs w:val="44"/>
          <w:highlight w:val="none"/>
        </w:rPr>
      </w:pPr>
    </w:p>
    <w:p>
      <w:pPr>
        <w:pStyle w:val="6"/>
        <w:rPr>
          <w:rFonts w:hint="eastAsia" w:ascii="黑体" w:hAnsi="黑体" w:eastAsia="黑体"/>
          <w:color w:val="auto"/>
          <w:sz w:val="44"/>
          <w:szCs w:val="44"/>
          <w:highlight w:val="none"/>
        </w:rPr>
      </w:pPr>
    </w:p>
    <w:p>
      <w:pPr>
        <w:pStyle w:val="6"/>
        <w:rPr>
          <w:rFonts w:hint="eastAsia" w:ascii="黑体" w:hAnsi="黑体" w:eastAsia="黑体"/>
          <w:color w:val="auto"/>
          <w:sz w:val="44"/>
          <w:szCs w:val="44"/>
          <w:highlight w:val="none"/>
        </w:rPr>
      </w:pPr>
    </w:p>
    <w:p>
      <w:pPr>
        <w:pStyle w:val="6"/>
        <w:rPr>
          <w:rFonts w:hint="eastAsia" w:ascii="黑体" w:hAnsi="黑体" w:eastAsia="黑体"/>
          <w:color w:val="auto"/>
          <w:sz w:val="44"/>
          <w:szCs w:val="44"/>
          <w:highlight w:val="none"/>
        </w:rPr>
      </w:pPr>
    </w:p>
    <w:p>
      <w:pPr>
        <w:pStyle w:val="6"/>
        <w:rPr>
          <w:rFonts w:hint="eastAsia" w:ascii="黑体" w:hAnsi="黑体" w:eastAsia="黑体"/>
          <w:color w:val="auto"/>
          <w:sz w:val="44"/>
          <w:szCs w:val="44"/>
          <w:highlight w:val="none"/>
        </w:rPr>
      </w:pPr>
    </w:p>
    <w:p>
      <w:pPr>
        <w:pStyle w:val="6"/>
        <w:rPr>
          <w:rFonts w:hint="eastAsia" w:ascii="黑体" w:hAnsi="黑体" w:eastAsia="黑体"/>
          <w:color w:val="auto"/>
          <w:sz w:val="44"/>
          <w:szCs w:val="44"/>
          <w:highlight w:val="none"/>
        </w:rPr>
      </w:pPr>
    </w:p>
    <w:p>
      <w:pPr>
        <w:pStyle w:val="6"/>
        <w:rPr>
          <w:rFonts w:hint="eastAsia" w:ascii="黑体" w:hAnsi="黑体" w:eastAsia="黑体"/>
          <w:color w:val="auto"/>
          <w:sz w:val="44"/>
          <w:szCs w:val="44"/>
          <w:highlight w:val="none"/>
        </w:rPr>
      </w:pPr>
    </w:p>
    <w:p>
      <w:pPr>
        <w:pStyle w:val="6"/>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仿宋" w:hAnsi="仿宋" w:eastAsia="仿宋"/>
          <w:b w:val="0"/>
          <w:color w:val="auto"/>
          <w:highlight w:val="none"/>
        </w:rPr>
      </w:pPr>
      <w:r>
        <w:rPr>
          <w:rFonts w:hint="eastAsia" w:ascii="黑体" w:hAnsi="黑体" w:eastAsia="黑体"/>
          <w:color w:val="auto"/>
          <w:sz w:val="44"/>
          <w:szCs w:val="44"/>
          <w:highlight w:val="none"/>
        </w:rPr>
        <w:t>第</w:t>
      </w:r>
      <w:r>
        <w:rPr>
          <w:rStyle w:val="31"/>
          <w:rFonts w:hint="eastAsia" w:ascii="黑体" w:hAnsi="黑体" w:eastAsia="黑体"/>
          <w:b w:val="0"/>
          <w:color w:val="auto"/>
          <w:highlight w:val="none"/>
        </w:rPr>
        <w:t>五部分 附表</w:t>
      </w:r>
      <w:bookmarkEnd w:id="51"/>
      <w:bookmarkEnd w:id="53"/>
      <w:bookmarkStart w:id="54" w:name="_Toc15396619"/>
    </w:p>
    <w:p>
      <w:pPr>
        <w:pStyle w:val="4"/>
        <w:rPr>
          <w:rFonts w:ascii="仿宋" w:hAnsi="仿宋" w:eastAsia="仿宋"/>
          <w:color w:val="auto"/>
          <w:highlight w:val="none"/>
        </w:rPr>
      </w:pPr>
      <w:r>
        <w:rPr>
          <w:rFonts w:hint="eastAsia" w:ascii="仿宋" w:hAnsi="仿宋" w:eastAsia="仿宋"/>
          <w:b w:val="0"/>
          <w:color w:val="auto"/>
          <w:highlight w:val="none"/>
        </w:rPr>
        <w:t>一、收</w:t>
      </w:r>
      <w:r>
        <w:rPr>
          <w:rStyle w:val="32"/>
          <w:rFonts w:hint="eastAsia" w:ascii="仿宋" w:hAnsi="仿宋" w:eastAsia="仿宋"/>
          <w:b w:val="0"/>
          <w:bCs w:val="0"/>
          <w:color w:val="auto"/>
          <w:highlight w:val="none"/>
        </w:rPr>
        <w:t>入支出决算总表</w:t>
      </w:r>
      <w:bookmarkEnd w:id="54"/>
    </w:p>
    <w:p>
      <w:pPr>
        <w:pStyle w:val="4"/>
        <w:rPr>
          <w:rFonts w:ascii="仿宋" w:hAnsi="仿宋" w:eastAsia="仿宋"/>
          <w:color w:val="auto"/>
          <w:highlight w:val="none"/>
        </w:rPr>
      </w:pPr>
      <w:bookmarkStart w:id="55" w:name="_Toc15396620"/>
      <w:r>
        <w:rPr>
          <w:rFonts w:hint="eastAsia" w:ascii="仿宋" w:hAnsi="仿宋" w:eastAsia="仿宋"/>
          <w:b w:val="0"/>
          <w:color w:val="auto"/>
          <w:highlight w:val="none"/>
        </w:rPr>
        <w:t>二、收</w:t>
      </w:r>
      <w:r>
        <w:rPr>
          <w:rStyle w:val="32"/>
          <w:rFonts w:hint="eastAsia" w:ascii="仿宋" w:hAnsi="仿宋" w:eastAsia="仿宋"/>
          <w:b w:val="0"/>
          <w:bCs w:val="0"/>
          <w:color w:val="auto"/>
          <w:highlight w:val="none"/>
        </w:rPr>
        <w:t>入决算表</w:t>
      </w:r>
      <w:bookmarkEnd w:id="55"/>
    </w:p>
    <w:p>
      <w:pPr>
        <w:pStyle w:val="4"/>
        <w:rPr>
          <w:rFonts w:ascii="仿宋" w:hAnsi="仿宋" w:eastAsia="仿宋"/>
          <w:color w:val="auto"/>
          <w:highlight w:val="none"/>
        </w:rPr>
      </w:pPr>
      <w:bookmarkStart w:id="56" w:name="_Toc15396621"/>
      <w:r>
        <w:rPr>
          <w:rStyle w:val="32"/>
          <w:rFonts w:hint="eastAsia" w:ascii="仿宋" w:hAnsi="仿宋" w:eastAsia="仿宋"/>
          <w:b w:val="0"/>
          <w:bCs w:val="0"/>
          <w:color w:val="auto"/>
          <w:highlight w:val="none"/>
        </w:rPr>
        <w:t>三、</w:t>
      </w:r>
      <w:r>
        <w:rPr>
          <w:rFonts w:hint="eastAsia" w:ascii="仿宋" w:hAnsi="仿宋" w:eastAsia="仿宋"/>
          <w:b w:val="0"/>
          <w:color w:val="auto"/>
          <w:highlight w:val="none"/>
        </w:rPr>
        <w:t>支</w:t>
      </w:r>
      <w:r>
        <w:rPr>
          <w:rStyle w:val="32"/>
          <w:rFonts w:hint="eastAsia" w:ascii="仿宋" w:hAnsi="仿宋" w:eastAsia="仿宋"/>
          <w:b w:val="0"/>
          <w:bCs w:val="0"/>
          <w:color w:val="auto"/>
          <w:highlight w:val="none"/>
        </w:rPr>
        <w:t>出决算表</w:t>
      </w:r>
      <w:bookmarkEnd w:id="56"/>
    </w:p>
    <w:p>
      <w:pPr>
        <w:pStyle w:val="4"/>
        <w:rPr>
          <w:rFonts w:ascii="仿宋" w:hAnsi="仿宋" w:eastAsia="仿宋"/>
          <w:b w:val="0"/>
          <w:color w:val="auto"/>
          <w:highlight w:val="none"/>
        </w:rPr>
      </w:pPr>
      <w:bookmarkStart w:id="57" w:name="_Toc15396622"/>
      <w:r>
        <w:rPr>
          <w:rStyle w:val="32"/>
          <w:rFonts w:hint="eastAsia" w:ascii="仿宋" w:hAnsi="仿宋" w:eastAsia="仿宋"/>
          <w:b w:val="0"/>
          <w:bCs w:val="0"/>
          <w:color w:val="auto"/>
          <w:highlight w:val="none"/>
        </w:rPr>
        <w:t>四、</w:t>
      </w:r>
      <w:r>
        <w:rPr>
          <w:rFonts w:hint="eastAsia" w:ascii="仿宋" w:hAnsi="仿宋" w:eastAsia="仿宋"/>
          <w:b w:val="0"/>
          <w:color w:val="auto"/>
          <w:highlight w:val="none"/>
        </w:rPr>
        <w:t>财</w:t>
      </w:r>
      <w:r>
        <w:rPr>
          <w:rStyle w:val="32"/>
          <w:rFonts w:hint="eastAsia" w:ascii="仿宋" w:hAnsi="仿宋" w:eastAsia="仿宋"/>
          <w:b w:val="0"/>
          <w:bCs w:val="0"/>
          <w:color w:val="auto"/>
          <w:highlight w:val="none"/>
        </w:rPr>
        <w:t>政拨款收入支出决算总表</w:t>
      </w:r>
      <w:bookmarkEnd w:id="57"/>
    </w:p>
    <w:p>
      <w:pPr>
        <w:pStyle w:val="4"/>
        <w:rPr>
          <w:rStyle w:val="32"/>
          <w:rFonts w:ascii="仿宋" w:hAnsi="仿宋" w:eastAsia="仿宋"/>
          <w:b w:val="0"/>
          <w:bCs w:val="0"/>
          <w:color w:val="auto"/>
          <w:highlight w:val="none"/>
        </w:rPr>
      </w:pPr>
      <w:bookmarkStart w:id="58" w:name="_Toc15396623"/>
      <w:r>
        <w:rPr>
          <w:rStyle w:val="32"/>
          <w:rFonts w:hint="eastAsia" w:ascii="仿宋" w:hAnsi="仿宋" w:eastAsia="仿宋"/>
          <w:b w:val="0"/>
          <w:bCs w:val="0"/>
          <w:color w:val="auto"/>
          <w:highlight w:val="none"/>
        </w:rPr>
        <w:t>五、</w:t>
      </w:r>
      <w:r>
        <w:rPr>
          <w:rFonts w:hint="eastAsia" w:ascii="仿宋" w:hAnsi="仿宋" w:eastAsia="仿宋"/>
          <w:b w:val="0"/>
          <w:color w:val="auto"/>
          <w:highlight w:val="none"/>
        </w:rPr>
        <w:t>财</w:t>
      </w:r>
      <w:r>
        <w:rPr>
          <w:rStyle w:val="32"/>
          <w:rFonts w:hint="eastAsia" w:ascii="仿宋" w:hAnsi="仿宋" w:eastAsia="仿宋"/>
          <w:b w:val="0"/>
          <w:bCs w:val="0"/>
          <w:color w:val="auto"/>
          <w:highlight w:val="none"/>
        </w:rPr>
        <w:t>政拨款支出决算明细表</w:t>
      </w:r>
      <w:bookmarkEnd w:id="58"/>
      <w:bookmarkStart w:id="59" w:name="_Toc15396624"/>
    </w:p>
    <w:p>
      <w:pPr>
        <w:pStyle w:val="4"/>
        <w:rPr>
          <w:rFonts w:ascii="仿宋" w:hAnsi="仿宋" w:eastAsia="仿宋"/>
          <w:color w:val="auto"/>
          <w:highlight w:val="none"/>
        </w:rPr>
      </w:pPr>
      <w:r>
        <w:rPr>
          <w:rStyle w:val="32"/>
          <w:rFonts w:hint="eastAsia" w:ascii="仿宋" w:hAnsi="仿宋" w:eastAsia="仿宋"/>
          <w:b w:val="0"/>
          <w:bCs w:val="0"/>
          <w:color w:val="auto"/>
          <w:highlight w:val="none"/>
        </w:rPr>
        <w:t>六、</w:t>
      </w:r>
      <w:r>
        <w:rPr>
          <w:rFonts w:hint="eastAsia" w:ascii="仿宋" w:hAnsi="仿宋" w:eastAsia="仿宋"/>
          <w:b w:val="0"/>
          <w:color w:val="auto"/>
          <w:highlight w:val="none"/>
        </w:rPr>
        <w:t>一</w:t>
      </w:r>
      <w:r>
        <w:rPr>
          <w:rStyle w:val="32"/>
          <w:rFonts w:hint="eastAsia" w:ascii="仿宋" w:hAnsi="仿宋" w:eastAsia="仿宋"/>
          <w:b w:val="0"/>
          <w:bCs w:val="0"/>
          <w:color w:val="auto"/>
          <w:highlight w:val="none"/>
        </w:rPr>
        <w:t>般公共预算财政拨款支出决算表</w:t>
      </w:r>
      <w:bookmarkEnd w:id="59"/>
    </w:p>
    <w:p>
      <w:pPr>
        <w:pStyle w:val="4"/>
        <w:rPr>
          <w:rFonts w:ascii="仿宋" w:hAnsi="仿宋" w:eastAsia="仿宋"/>
          <w:color w:val="auto"/>
          <w:highlight w:val="none"/>
        </w:rPr>
      </w:pPr>
      <w:bookmarkStart w:id="60" w:name="_Toc15396625"/>
      <w:r>
        <w:rPr>
          <w:rStyle w:val="32"/>
          <w:rFonts w:hint="eastAsia" w:ascii="仿宋" w:hAnsi="仿宋" w:eastAsia="仿宋"/>
          <w:b w:val="0"/>
          <w:bCs w:val="0"/>
          <w:color w:val="auto"/>
          <w:highlight w:val="none"/>
        </w:rPr>
        <w:t>七、</w:t>
      </w:r>
      <w:r>
        <w:rPr>
          <w:rFonts w:hint="eastAsia" w:ascii="仿宋" w:hAnsi="仿宋" w:eastAsia="仿宋"/>
          <w:b w:val="0"/>
          <w:color w:val="auto"/>
          <w:highlight w:val="none"/>
        </w:rPr>
        <w:t>一</w:t>
      </w:r>
      <w:r>
        <w:rPr>
          <w:rStyle w:val="32"/>
          <w:rFonts w:hint="eastAsia" w:ascii="仿宋" w:hAnsi="仿宋" w:eastAsia="仿宋"/>
          <w:b w:val="0"/>
          <w:bCs w:val="0"/>
          <w:color w:val="auto"/>
          <w:highlight w:val="none"/>
        </w:rPr>
        <w:t>般公共预算财政拨款支出决算明细表</w:t>
      </w:r>
      <w:bookmarkEnd w:id="60"/>
    </w:p>
    <w:p>
      <w:pPr>
        <w:pStyle w:val="4"/>
        <w:rPr>
          <w:rFonts w:ascii="仿宋" w:hAnsi="仿宋" w:eastAsia="仿宋"/>
          <w:color w:val="auto"/>
          <w:highlight w:val="none"/>
        </w:rPr>
      </w:pPr>
      <w:bookmarkStart w:id="61" w:name="_Toc15396626"/>
      <w:r>
        <w:rPr>
          <w:rStyle w:val="32"/>
          <w:rFonts w:hint="eastAsia" w:ascii="仿宋" w:hAnsi="仿宋" w:eastAsia="仿宋"/>
          <w:b w:val="0"/>
          <w:bCs w:val="0"/>
          <w:color w:val="auto"/>
          <w:highlight w:val="none"/>
        </w:rPr>
        <w:t>八、</w:t>
      </w:r>
      <w:r>
        <w:rPr>
          <w:rFonts w:hint="eastAsia" w:ascii="仿宋" w:hAnsi="仿宋" w:eastAsia="仿宋"/>
          <w:b w:val="0"/>
          <w:color w:val="auto"/>
          <w:highlight w:val="none"/>
        </w:rPr>
        <w:t>一</w:t>
      </w:r>
      <w:r>
        <w:rPr>
          <w:rStyle w:val="32"/>
          <w:rFonts w:hint="eastAsia" w:ascii="仿宋" w:hAnsi="仿宋" w:eastAsia="仿宋"/>
          <w:b w:val="0"/>
          <w:bCs w:val="0"/>
          <w:color w:val="auto"/>
          <w:highlight w:val="none"/>
        </w:rPr>
        <w:t>般公共预算财政拨款基本支出决算表</w:t>
      </w:r>
      <w:bookmarkEnd w:id="61"/>
    </w:p>
    <w:p>
      <w:pPr>
        <w:pStyle w:val="4"/>
        <w:rPr>
          <w:rFonts w:ascii="仿宋" w:hAnsi="仿宋" w:eastAsia="仿宋"/>
          <w:color w:val="auto"/>
          <w:highlight w:val="none"/>
        </w:rPr>
      </w:pPr>
      <w:bookmarkStart w:id="62" w:name="_Toc15396627"/>
      <w:r>
        <w:rPr>
          <w:rStyle w:val="32"/>
          <w:rFonts w:hint="eastAsia" w:ascii="仿宋" w:hAnsi="仿宋" w:eastAsia="仿宋"/>
          <w:b w:val="0"/>
          <w:bCs w:val="0"/>
          <w:color w:val="auto"/>
          <w:highlight w:val="none"/>
        </w:rPr>
        <w:t>九、</w:t>
      </w:r>
      <w:r>
        <w:rPr>
          <w:rFonts w:hint="eastAsia" w:ascii="仿宋" w:hAnsi="仿宋" w:eastAsia="仿宋"/>
          <w:b w:val="0"/>
          <w:color w:val="auto"/>
          <w:highlight w:val="none"/>
        </w:rPr>
        <w:t>一</w:t>
      </w:r>
      <w:r>
        <w:rPr>
          <w:rStyle w:val="32"/>
          <w:rFonts w:hint="eastAsia" w:ascii="仿宋" w:hAnsi="仿宋" w:eastAsia="仿宋"/>
          <w:b w:val="0"/>
          <w:bCs w:val="0"/>
          <w:color w:val="auto"/>
          <w:highlight w:val="none"/>
        </w:rPr>
        <w:t>般公共预算财政拨款项目支出决算表</w:t>
      </w:r>
      <w:bookmarkEnd w:id="62"/>
    </w:p>
    <w:p>
      <w:pPr>
        <w:pStyle w:val="4"/>
        <w:rPr>
          <w:rFonts w:ascii="仿宋" w:hAnsi="仿宋" w:eastAsia="仿宋"/>
          <w:color w:val="auto"/>
          <w:highlight w:val="none"/>
        </w:rPr>
      </w:pPr>
      <w:bookmarkStart w:id="63" w:name="_Toc15396628"/>
      <w:r>
        <w:rPr>
          <w:rStyle w:val="32"/>
          <w:rFonts w:hint="eastAsia" w:ascii="仿宋" w:hAnsi="仿宋" w:eastAsia="仿宋"/>
          <w:b w:val="0"/>
          <w:bCs w:val="0"/>
          <w:color w:val="auto"/>
          <w:highlight w:val="none"/>
        </w:rPr>
        <w:t>十、</w:t>
      </w:r>
      <w:r>
        <w:rPr>
          <w:rFonts w:hint="eastAsia" w:ascii="仿宋" w:hAnsi="仿宋" w:eastAsia="仿宋"/>
          <w:b w:val="0"/>
          <w:color w:val="auto"/>
          <w:highlight w:val="none"/>
        </w:rPr>
        <w:t>一</w:t>
      </w:r>
      <w:r>
        <w:rPr>
          <w:rStyle w:val="32"/>
          <w:rFonts w:hint="eastAsia" w:ascii="仿宋" w:hAnsi="仿宋" w:eastAsia="仿宋"/>
          <w:b w:val="0"/>
          <w:bCs w:val="0"/>
          <w:color w:val="auto"/>
          <w:highlight w:val="none"/>
        </w:rPr>
        <w:t>般公共预算财政拨款“三公”经费支出决算表</w:t>
      </w:r>
      <w:bookmarkEnd w:id="63"/>
    </w:p>
    <w:p>
      <w:pPr>
        <w:pStyle w:val="4"/>
        <w:rPr>
          <w:rFonts w:ascii="仿宋" w:hAnsi="仿宋" w:eastAsia="仿宋"/>
          <w:color w:val="auto"/>
          <w:highlight w:val="none"/>
        </w:rPr>
      </w:pPr>
      <w:bookmarkStart w:id="64" w:name="_Toc15396629"/>
      <w:r>
        <w:rPr>
          <w:rStyle w:val="32"/>
          <w:rFonts w:hint="eastAsia" w:ascii="仿宋" w:hAnsi="仿宋" w:eastAsia="仿宋"/>
          <w:b w:val="0"/>
          <w:bCs w:val="0"/>
          <w:color w:val="auto"/>
          <w:highlight w:val="none"/>
        </w:rPr>
        <w:t>十一、</w:t>
      </w:r>
      <w:r>
        <w:rPr>
          <w:rFonts w:hint="eastAsia" w:ascii="仿宋" w:hAnsi="仿宋" w:eastAsia="仿宋"/>
          <w:b w:val="0"/>
          <w:color w:val="auto"/>
          <w:highlight w:val="none"/>
        </w:rPr>
        <w:t>政</w:t>
      </w:r>
      <w:r>
        <w:rPr>
          <w:rStyle w:val="32"/>
          <w:rFonts w:hint="eastAsia" w:ascii="仿宋" w:hAnsi="仿宋" w:eastAsia="仿宋"/>
          <w:b w:val="0"/>
          <w:bCs w:val="0"/>
          <w:color w:val="auto"/>
          <w:highlight w:val="none"/>
        </w:rPr>
        <w:t>府性基金预算财政拨款收入支出决算表</w:t>
      </w:r>
      <w:bookmarkEnd w:id="64"/>
    </w:p>
    <w:p>
      <w:pPr>
        <w:pStyle w:val="4"/>
        <w:rPr>
          <w:rFonts w:ascii="仿宋" w:hAnsi="仿宋" w:eastAsia="仿宋"/>
          <w:color w:val="auto"/>
          <w:highlight w:val="none"/>
        </w:rPr>
      </w:pPr>
      <w:bookmarkStart w:id="65" w:name="_Toc15396630"/>
      <w:r>
        <w:rPr>
          <w:rStyle w:val="32"/>
          <w:rFonts w:hint="eastAsia" w:ascii="仿宋" w:hAnsi="仿宋" w:eastAsia="仿宋"/>
          <w:b w:val="0"/>
          <w:bCs w:val="0"/>
          <w:color w:val="auto"/>
          <w:highlight w:val="none"/>
        </w:rPr>
        <w:t>十二、</w:t>
      </w:r>
      <w:r>
        <w:rPr>
          <w:rFonts w:hint="eastAsia" w:ascii="仿宋" w:hAnsi="仿宋" w:eastAsia="仿宋"/>
          <w:b w:val="0"/>
          <w:color w:val="auto"/>
          <w:highlight w:val="none"/>
        </w:rPr>
        <w:t>政</w:t>
      </w:r>
      <w:r>
        <w:rPr>
          <w:rStyle w:val="32"/>
          <w:rFonts w:hint="eastAsia" w:ascii="仿宋" w:hAnsi="仿宋" w:eastAsia="仿宋"/>
          <w:b w:val="0"/>
          <w:bCs w:val="0"/>
          <w:color w:val="auto"/>
          <w:highlight w:val="none"/>
        </w:rPr>
        <w:t>府性基金预算财政拨款“三公”经费支出决算表</w:t>
      </w:r>
      <w:bookmarkEnd w:id="65"/>
    </w:p>
    <w:p>
      <w:pPr>
        <w:pStyle w:val="4"/>
        <w:rPr>
          <w:rStyle w:val="32"/>
          <w:rFonts w:hint="eastAsia" w:ascii="仿宋" w:hAnsi="仿宋" w:eastAsia="仿宋"/>
          <w:b w:val="0"/>
          <w:bCs w:val="0"/>
          <w:color w:val="auto"/>
          <w:highlight w:val="none"/>
        </w:rPr>
      </w:pPr>
      <w:bookmarkStart w:id="66" w:name="_Toc15396631"/>
      <w:r>
        <w:rPr>
          <w:rStyle w:val="32"/>
          <w:rFonts w:hint="eastAsia" w:ascii="仿宋" w:hAnsi="仿宋" w:eastAsia="仿宋"/>
          <w:b w:val="0"/>
          <w:bCs w:val="0"/>
          <w:color w:val="auto"/>
          <w:highlight w:val="none"/>
        </w:rPr>
        <w:t>十三、</w:t>
      </w:r>
      <w:r>
        <w:rPr>
          <w:rFonts w:hint="eastAsia" w:ascii="仿宋" w:hAnsi="仿宋" w:eastAsia="仿宋"/>
          <w:b w:val="0"/>
          <w:color w:val="auto"/>
          <w:highlight w:val="none"/>
        </w:rPr>
        <w:t>国</w:t>
      </w:r>
      <w:r>
        <w:rPr>
          <w:rStyle w:val="32"/>
          <w:rFonts w:hint="eastAsia" w:ascii="仿宋" w:hAnsi="仿宋" w:eastAsia="仿宋"/>
          <w:b w:val="0"/>
          <w:bCs w:val="0"/>
          <w:color w:val="auto"/>
          <w:highlight w:val="none"/>
        </w:rPr>
        <w:t>有资本经营预算</w:t>
      </w:r>
      <w:r>
        <w:rPr>
          <w:rStyle w:val="32"/>
          <w:rFonts w:hint="eastAsia" w:ascii="仿宋" w:hAnsi="仿宋" w:eastAsia="仿宋"/>
          <w:b w:val="0"/>
          <w:bCs w:val="0"/>
          <w:color w:val="auto"/>
          <w:highlight w:val="none"/>
          <w:lang w:eastAsia="zh-CN"/>
        </w:rPr>
        <w:t>财政拨款收入</w:t>
      </w:r>
      <w:r>
        <w:rPr>
          <w:rStyle w:val="32"/>
          <w:rFonts w:hint="eastAsia" w:ascii="仿宋" w:hAnsi="仿宋" w:eastAsia="仿宋"/>
          <w:b w:val="0"/>
          <w:bCs w:val="0"/>
          <w:color w:val="auto"/>
          <w:highlight w:val="none"/>
        </w:rPr>
        <w:t>支出决算表</w:t>
      </w:r>
      <w:bookmarkEnd w:id="66"/>
    </w:p>
    <w:p>
      <w:pPr>
        <w:rPr>
          <w:rFonts w:hint="eastAsia" w:eastAsia="仿宋"/>
          <w:color w:val="auto"/>
          <w:highlight w:val="none"/>
          <w:lang w:eastAsia="zh-CN"/>
        </w:rPr>
      </w:pPr>
      <w:r>
        <w:rPr>
          <w:rStyle w:val="32"/>
          <w:rFonts w:hint="eastAsia" w:ascii="仿宋" w:hAnsi="仿宋" w:eastAsia="仿宋"/>
          <w:b w:val="0"/>
          <w:bCs w:val="0"/>
          <w:color w:val="auto"/>
          <w:highlight w:val="none"/>
          <w:lang w:eastAsia="zh-CN"/>
        </w:rPr>
        <w:t>十四、国有资本经营预算财政拨款支出决算表</w:t>
      </w:r>
    </w:p>
    <w:sectPr>
      <w:headerReference r:id="rId4" w:type="first"/>
      <w:footerReference r:id="rId6" w:type="first"/>
      <w:headerReference r:id="rId3" w:type="default"/>
      <w:footerReference r:id="rId5"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黑体"/>
    <w:panose1 w:val="02000000000000000000"/>
    <w:charset w:val="86"/>
    <w:family w:val="script"/>
    <w:pitch w:val="default"/>
    <w:sig w:usb0="00000000" w:usb1="00000000"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1"/>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1"/>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23B38C"/>
    <w:multiLevelType w:val="singleLevel"/>
    <w:tmpl w:val="9323B38C"/>
    <w:lvl w:ilvl="0" w:tentative="0">
      <w:start w:val="1"/>
      <w:numFmt w:val="chineseCounting"/>
      <w:suff w:val="nothing"/>
      <w:lvlText w:val="%1、"/>
      <w:lvlJc w:val="left"/>
      <w:rPr>
        <w:rFonts w:hint="eastAsia"/>
      </w:rPr>
    </w:lvl>
  </w:abstractNum>
  <w:abstractNum w:abstractNumId="1">
    <w:nsid w:val="CC665DD0"/>
    <w:multiLevelType w:val="multilevel"/>
    <w:tmpl w:val="CC665DD0"/>
    <w:lvl w:ilvl="0" w:tentative="0">
      <w:start w:val="3"/>
      <w:numFmt w:val="chineseCounting"/>
      <w:suff w:val="nothing"/>
      <w:lvlText w:val="%1、"/>
      <w:lvlJc w:val="left"/>
      <w:pPr>
        <w:ind w:left="640" w:firstLine="0"/>
      </w:pPr>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2">
    <w:nsid w:val="CF652CEC"/>
    <w:multiLevelType w:val="singleLevel"/>
    <w:tmpl w:val="CF652CEC"/>
    <w:lvl w:ilvl="0" w:tentative="0">
      <w:start w:val="9"/>
      <w:numFmt w:val="chineseCounting"/>
      <w:suff w:val="nothing"/>
      <w:lvlText w:val="%1、"/>
      <w:lvlJc w:val="left"/>
      <w:rPr>
        <w:rFonts w:hint="eastAsia"/>
      </w:rPr>
    </w:lvl>
  </w:abstractNum>
  <w:abstractNum w:abstractNumId="3">
    <w:nsid w:val="D852FDB7"/>
    <w:multiLevelType w:val="multilevel"/>
    <w:tmpl w:val="D852FDB7"/>
    <w:lvl w:ilvl="0" w:tentative="0">
      <w:start w:val="4"/>
      <w:numFmt w:val="chineseCounting"/>
      <w:suff w:val="nothing"/>
      <w:lvlText w:val="%1、"/>
      <w:lvlJc w:val="left"/>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4">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5">
    <w:nsid w:val="0AA573D0"/>
    <w:multiLevelType w:val="singleLevel"/>
    <w:tmpl w:val="0AA573D0"/>
    <w:lvl w:ilvl="0" w:tentative="0">
      <w:start w:val="1"/>
      <w:numFmt w:val="decimal"/>
      <w:lvlText w:val="%1."/>
      <w:lvlJc w:val="left"/>
      <w:pPr>
        <w:tabs>
          <w:tab w:val="left" w:pos="312"/>
        </w:tabs>
      </w:pPr>
    </w:lvl>
  </w:abstractNum>
  <w:abstractNum w:abstractNumId="6">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7">
    <w:nsid w:val="187CD67D"/>
    <w:multiLevelType w:val="multilevel"/>
    <w:tmpl w:val="187CD67D"/>
    <w:lvl w:ilvl="0" w:tentative="0">
      <w:start w:val="2"/>
      <w:numFmt w:val="chineseCounting"/>
      <w:suff w:val="nothing"/>
      <w:lvlText w:val="（%1）"/>
      <w:lvlJc w:val="left"/>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8">
    <w:nsid w:val="62C26861"/>
    <w:multiLevelType w:val="multilevel"/>
    <w:tmpl w:val="62C26861"/>
    <w:lvl w:ilvl="0" w:tentative="0">
      <w:start w:val="2"/>
      <w:numFmt w:val="chineseCounting"/>
      <w:suff w:val="nothing"/>
      <w:lvlText w:val="（%1）"/>
      <w:lvlJc w:val="left"/>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9">
    <w:nsid w:val="798C1C0F"/>
    <w:multiLevelType w:val="singleLevel"/>
    <w:tmpl w:val="798C1C0F"/>
    <w:lvl w:ilvl="0" w:tentative="0">
      <w:start w:val="1"/>
      <w:numFmt w:val="decimal"/>
      <w:lvlText w:val="%1."/>
      <w:lvlJc w:val="left"/>
      <w:pPr>
        <w:tabs>
          <w:tab w:val="left" w:pos="312"/>
        </w:tabs>
      </w:pPr>
    </w:lvl>
  </w:abstractNum>
  <w:num w:numId="1">
    <w:abstractNumId w:val="0"/>
  </w:num>
  <w:num w:numId="2">
    <w:abstractNumId w:val="6"/>
  </w:num>
  <w:num w:numId="3">
    <w:abstractNumId w:val="9"/>
  </w:num>
  <w:num w:numId="4">
    <w:abstractNumId w:val="5"/>
  </w:num>
  <w:num w:numId="5">
    <w:abstractNumId w:val="2"/>
  </w:num>
  <w:num w:numId="6">
    <w:abstractNumId w:val="4"/>
  </w:num>
  <w:num w:numId="7">
    <w:abstractNumId w:val="1"/>
  </w:num>
  <w:num w:numId="8">
    <w:abstractNumId w:val="8"/>
  </w:num>
  <w:num w:numId="9">
    <w:abstractNumId w:val="7"/>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VhYTg4NGNkZWJkODFjNzcyZDRjM2M4Y2UzNjI5ZmUifQ=="/>
  </w:docVars>
  <w:rsids>
    <w:rsidRoot w:val="00172A27"/>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2C75"/>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E5E88"/>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E4037"/>
    <w:rsid w:val="00FE7BD8"/>
    <w:rsid w:val="00FF1E02"/>
    <w:rsid w:val="00FF30B4"/>
    <w:rsid w:val="014C4DA3"/>
    <w:rsid w:val="017E027D"/>
    <w:rsid w:val="018856AF"/>
    <w:rsid w:val="01CF7782"/>
    <w:rsid w:val="01D54D98"/>
    <w:rsid w:val="01D8052F"/>
    <w:rsid w:val="01DB1C83"/>
    <w:rsid w:val="01FD5823"/>
    <w:rsid w:val="02377801"/>
    <w:rsid w:val="025D7143"/>
    <w:rsid w:val="0288005D"/>
    <w:rsid w:val="02961860"/>
    <w:rsid w:val="0341667A"/>
    <w:rsid w:val="0384055B"/>
    <w:rsid w:val="03F72929"/>
    <w:rsid w:val="043627AD"/>
    <w:rsid w:val="043F6098"/>
    <w:rsid w:val="04637F4D"/>
    <w:rsid w:val="046C12B8"/>
    <w:rsid w:val="047C11FD"/>
    <w:rsid w:val="04B30C95"/>
    <w:rsid w:val="05B178CA"/>
    <w:rsid w:val="05B95763"/>
    <w:rsid w:val="060D2627"/>
    <w:rsid w:val="06296F45"/>
    <w:rsid w:val="065646ED"/>
    <w:rsid w:val="068E5516"/>
    <w:rsid w:val="06DE2083"/>
    <w:rsid w:val="071E2D3E"/>
    <w:rsid w:val="075B5D40"/>
    <w:rsid w:val="07700D75"/>
    <w:rsid w:val="078D7776"/>
    <w:rsid w:val="07CB172C"/>
    <w:rsid w:val="07DE427B"/>
    <w:rsid w:val="07E8334B"/>
    <w:rsid w:val="0825634E"/>
    <w:rsid w:val="08870AF6"/>
    <w:rsid w:val="08955281"/>
    <w:rsid w:val="08C47BB7"/>
    <w:rsid w:val="08DA7138"/>
    <w:rsid w:val="091F2D9D"/>
    <w:rsid w:val="095B61C2"/>
    <w:rsid w:val="09B039F5"/>
    <w:rsid w:val="0A0972B8"/>
    <w:rsid w:val="0A132C02"/>
    <w:rsid w:val="0A2032A3"/>
    <w:rsid w:val="0A3C34DB"/>
    <w:rsid w:val="0A432C85"/>
    <w:rsid w:val="0A6F1270"/>
    <w:rsid w:val="0A836C5F"/>
    <w:rsid w:val="0A90021D"/>
    <w:rsid w:val="0B1A381C"/>
    <w:rsid w:val="0B464611"/>
    <w:rsid w:val="0B7B62B9"/>
    <w:rsid w:val="0B8A37D8"/>
    <w:rsid w:val="0B9B1D5F"/>
    <w:rsid w:val="0BA74D8F"/>
    <w:rsid w:val="0C035DC9"/>
    <w:rsid w:val="0C1162AF"/>
    <w:rsid w:val="0C3F59FD"/>
    <w:rsid w:val="0C700C3A"/>
    <w:rsid w:val="0CDE2E47"/>
    <w:rsid w:val="0CE73BD2"/>
    <w:rsid w:val="0D8727EA"/>
    <w:rsid w:val="0DC56970"/>
    <w:rsid w:val="0ED10695"/>
    <w:rsid w:val="0F0A1DF9"/>
    <w:rsid w:val="0F0C3167"/>
    <w:rsid w:val="0F4A3109"/>
    <w:rsid w:val="0FE64614"/>
    <w:rsid w:val="100144D1"/>
    <w:rsid w:val="10051A3A"/>
    <w:rsid w:val="106043C7"/>
    <w:rsid w:val="10C055FF"/>
    <w:rsid w:val="110E6757"/>
    <w:rsid w:val="113373E5"/>
    <w:rsid w:val="113A181F"/>
    <w:rsid w:val="118107EC"/>
    <w:rsid w:val="118539B9"/>
    <w:rsid w:val="11DD6519"/>
    <w:rsid w:val="11F0177A"/>
    <w:rsid w:val="11F03528"/>
    <w:rsid w:val="1212349F"/>
    <w:rsid w:val="12641821"/>
    <w:rsid w:val="12747B4B"/>
    <w:rsid w:val="12C11B34"/>
    <w:rsid w:val="131A4BEF"/>
    <w:rsid w:val="13977163"/>
    <w:rsid w:val="139E3205"/>
    <w:rsid w:val="140C2170"/>
    <w:rsid w:val="1488580B"/>
    <w:rsid w:val="14943583"/>
    <w:rsid w:val="14C447F8"/>
    <w:rsid w:val="151C63E2"/>
    <w:rsid w:val="159D25E0"/>
    <w:rsid w:val="16227A29"/>
    <w:rsid w:val="163559AE"/>
    <w:rsid w:val="163A6CA3"/>
    <w:rsid w:val="1656791B"/>
    <w:rsid w:val="16875503"/>
    <w:rsid w:val="168F6D32"/>
    <w:rsid w:val="16BB723D"/>
    <w:rsid w:val="16F92E7F"/>
    <w:rsid w:val="175D4012"/>
    <w:rsid w:val="17A728DB"/>
    <w:rsid w:val="17EE050A"/>
    <w:rsid w:val="18015F3F"/>
    <w:rsid w:val="182C2DE0"/>
    <w:rsid w:val="18A1732B"/>
    <w:rsid w:val="18A64941"/>
    <w:rsid w:val="18E37943"/>
    <w:rsid w:val="18FE652B"/>
    <w:rsid w:val="19266CBF"/>
    <w:rsid w:val="19793C95"/>
    <w:rsid w:val="19EB6681"/>
    <w:rsid w:val="1A202A12"/>
    <w:rsid w:val="1A46462D"/>
    <w:rsid w:val="1A8F2369"/>
    <w:rsid w:val="1B183D08"/>
    <w:rsid w:val="1B7427AD"/>
    <w:rsid w:val="1B987131"/>
    <w:rsid w:val="1BE8440E"/>
    <w:rsid w:val="1C195EC1"/>
    <w:rsid w:val="1CDF0421"/>
    <w:rsid w:val="1D003CA6"/>
    <w:rsid w:val="1D155CEE"/>
    <w:rsid w:val="1D156539"/>
    <w:rsid w:val="1D1D3E84"/>
    <w:rsid w:val="1D6D0AE6"/>
    <w:rsid w:val="1D9D37EB"/>
    <w:rsid w:val="1DC615E1"/>
    <w:rsid w:val="1E2F52AD"/>
    <w:rsid w:val="1EB07441"/>
    <w:rsid w:val="1EEA5F56"/>
    <w:rsid w:val="1F0613A0"/>
    <w:rsid w:val="1F132604"/>
    <w:rsid w:val="1F1B6BD0"/>
    <w:rsid w:val="1F2C0D12"/>
    <w:rsid w:val="1F974FE3"/>
    <w:rsid w:val="1FF00B97"/>
    <w:rsid w:val="1FF97C68"/>
    <w:rsid w:val="202952C2"/>
    <w:rsid w:val="20547A94"/>
    <w:rsid w:val="20743577"/>
    <w:rsid w:val="20C64363"/>
    <w:rsid w:val="20F52909"/>
    <w:rsid w:val="20F57F95"/>
    <w:rsid w:val="212343F7"/>
    <w:rsid w:val="214C3FE6"/>
    <w:rsid w:val="215B7C77"/>
    <w:rsid w:val="215F5FD5"/>
    <w:rsid w:val="21682E26"/>
    <w:rsid w:val="216B5207"/>
    <w:rsid w:val="218C669E"/>
    <w:rsid w:val="219A5EAA"/>
    <w:rsid w:val="21A050C8"/>
    <w:rsid w:val="21B207FA"/>
    <w:rsid w:val="220821C8"/>
    <w:rsid w:val="223B5EDB"/>
    <w:rsid w:val="224D416C"/>
    <w:rsid w:val="22800451"/>
    <w:rsid w:val="23646073"/>
    <w:rsid w:val="23A75107"/>
    <w:rsid w:val="23B16878"/>
    <w:rsid w:val="23D43D21"/>
    <w:rsid w:val="240371BF"/>
    <w:rsid w:val="243E6375"/>
    <w:rsid w:val="243F7320"/>
    <w:rsid w:val="247A6C69"/>
    <w:rsid w:val="24C0322E"/>
    <w:rsid w:val="24C90335"/>
    <w:rsid w:val="24E94533"/>
    <w:rsid w:val="25327410"/>
    <w:rsid w:val="25727EC6"/>
    <w:rsid w:val="257F69FD"/>
    <w:rsid w:val="25C741E6"/>
    <w:rsid w:val="261C26E6"/>
    <w:rsid w:val="265C2AE3"/>
    <w:rsid w:val="268563C4"/>
    <w:rsid w:val="26D61C2F"/>
    <w:rsid w:val="26DD391D"/>
    <w:rsid w:val="270E54F5"/>
    <w:rsid w:val="2746618D"/>
    <w:rsid w:val="275D6B12"/>
    <w:rsid w:val="27842671"/>
    <w:rsid w:val="278A6B27"/>
    <w:rsid w:val="27FD6D5F"/>
    <w:rsid w:val="281806F1"/>
    <w:rsid w:val="287462E3"/>
    <w:rsid w:val="293F112D"/>
    <w:rsid w:val="299566CF"/>
    <w:rsid w:val="29CA2D09"/>
    <w:rsid w:val="29F05520"/>
    <w:rsid w:val="29FD04D3"/>
    <w:rsid w:val="2A063491"/>
    <w:rsid w:val="2AA36F32"/>
    <w:rsid w:val="2ABE7A3E"/>
    <w:rsid w:val="2ACB6B5A"/>
    <w:rsid w:val="2AEA4B61"/>
    <w:rsid w:val="2C626979"/>
    <w:rsid w:val="2C6A28B8"/>
    <w:rsid w:val="2CAB02B0"/>
    <w:rsid w:val="2CAD5E46"/>
    <w:rsid w:val="2CBA651B"/>
    <w:rsid w:val="2CDF6992"/>
    <w:rsid w:val="2D545753"/>
    <w:rsid w:val="2D586214"/>
    <w:rsid w:val="2E564871"/>
    <w:rsid w:val="2EF1644D"/>
    <w:rsid w:val="2EFA178C"/>
    <w:rsid w:val="2F127C9B"/>
    <w:rsid w:val="2F5E644E"/>
    <w:rsid w:val="2FCA605E"/>
    <w:rsid w:val="2FFC6134"/>
    <w:rsid w:val="30085A89"/>
    <w:rsid w:val="306E572A"/>
    <w:rsid w:val="30B46D73"/>
    <w:rsid w:val="30C6676A"/>
    <w:rsid w:val="313D1CA2"/>
    <w:rsid w:val="31413001"/>
    <w:rsid w:val="3152089D"/>
    <w:rsid w:val="31605B7D"/>
    <w:rsid w:val="319F7F4E"/>
    <w:rsid w:val="31DC0F7C"/>
    <w:rsid w:val="31E91795"/>
    <w:rsid w:val="31F75DB5"/>
    <w:rsid w:val="31FD176B"/>
    <w:rsid w:val="32662F17"/>
    <w:rsid w:val="32932A27"/>
    <w:rsid w:val="32D700C1"/>
    <w:rsid w:val="3325122F"/>
    <w:rsid w:val="33AE2578"/>
    <w:rsid w:val="33BC1065"/>
    <w:rsid w:val="33BE6B8B"/>
    <w:rsid w:val="34071ADD"/>
    <w:rsid w:val="341449FD"/>
    <w:rsid w:val="34670FD0"/>
    <w:rsid w:val="34711E4F"/>
    <w:rsid w:val="34EB2A4D"/>
    <w:rsid w:val="35067FF6"/>
    <w:rsid w:val="35226149"/>
    <w:rsid w:val="35E40C44"/>
    <w:rsid w:val="35EF6AB5"/>
    <w:rsid w:val="36556D7F"/>
    <w:rsid w:val="366A0B09"/>
    <w:rsid w:val="36963DEF"/>
    <w:rsid w:val="36C6342D"/>
    <w:rsid w:val="37225683"/>
    <w:rsid w:val="378400EB"/>
    <w:rsid w:val="379A7F64"/>
    <w:rsid w:val="37B07132"/>
    <w:rsid w:val="37FD3B5B"/>
    <w:rsid w:val="38C858F4"/>
    <w:rsid w:val="393F076E"/>
    <w:rsid w:val="39861EF9"/>
    <w:rsid w:val="39AE70AB"/>
    <w:rsid w:val="39D728CC"/>
    <w:rsid w:val="3A2A00C1"/>
    <w:rsid w:val="3A500759"/>
    <w:rsid w:val="3A814B24"/>
    <w:rsid w:val="3AB111F7"/>
    <w:rsid w:val="3ADE58CF"/>
    <w:rsid w:val="3AF9017E"/>
    <w:rsid w:val="3B182771"/>
    <w:rsid w:val="3B4F4B2E"/>
    <w:rsid w:val="3C0C0783"/>
    <w:rsid w:val="3C0D7FAA"/>
    <w:rsid w:val="3C177780"/>
    <w:rsid w:val="3C3519B4"/>
    <w:rsid w:val="3C3814A4"/>
    <w:rsid w:val="3C865614"/>
    <w:rsid w:val="3CE3221B"/>
    <w:rsid w:val="3E194B85"/>
    <w:rsid w:val="3EF9316D"/>
    <w:rsid w:val="3F402B4A"/>
    <w:rsid w:val="3F795B0E"/>
    <w:rsid w:val="3F9F3A96"/>
    <w:rsid w:val="40271F5C"/>
    <w:rsid w:val="4053191E"/>
    <w:rsid w:val="40602D9E"/>
    <w:rsid w:val="408F77C2"/>
    <w:rsid w:val="409967FE"/>
    <w:rsid w:val="415944C1"/>
    <w:rsid w:val="415A7E88"/>
    <w:rsid w:val="41AE6B81"/>
    <w:rsid w:val="43056B91"/>
    <w:rsid w:val="436A288B"/>
    <w:rsid w:val="438F47B6"/>
    <w:rsid w:val="43951580"/>
    <w:rsid w:val="43C4525A"/>
    <w:rsid w:val="447272B0"/>
    <w:rsid w:val="44BD51A3"/>
    <w:rsid w:val="44C204CB"/>
    <w:rsid w:val="45265819"/>
    <w:rsid w:val="45427EEF"/>
    <w:rsid w:val="45583241"/>
    <w:rsid w:val="45715C8C"/>
    <w:rsid w:val="45E87A97"/>
    <w:rsid w:val="45E97F7C"/>
    <w:rsid w:val="46103126"/>
    <w:rsid w:val="46703488"/>
    <w:rsid w:val="47392CA0"/>
    <w:rsid w:val="474D55EA"/>
    <w:rsid w:val="47D25BD3"/>
    <w:rsid w:val="480D7C89"/>
    <w:rsid w:val="481A4DA4"/>
    <w:rsid w:val="48654BA5"/>
    <w:rsid w:val="493C27E9"/>
    <w:rsid w:val="49465201"/>
    <w:rsid w:val="495D334B"/>
    <w:rsid w:val="496F39ED"/>
    <w:rsid w:val="49AF0FF8"/>
    <w:rsid w:val="49FF41D3"/>
    <w:rsid w:val="4A185DC8"/>
    <w:rsid w:val="4A50127A"/>
    <w:rsid w:val="4A9965B9"/>
    <w:rsid w:val="4AAE0F6A"/>
    <w:rsid w:val="4B773D97"/>
    <w:rsid w:val="4BA9213E"/>
    <w:rsid w:val="4BE068DB"/>
    <w:rsid w:val="4BE156B5"/>
    <w:rsid w:val="4BF6002B"/>
    <w:rsid w:val="4C52210E"/>
    <w:rsid w:val="4CAA00C6"/>
    <w:rsid w:val="4CED0105"/>
    <w:rsid w:val="4D110309"/>
    <w:rsid w:val="4D162822"/>
    <w:rsid w:val="4D4D3E1F"/>
    <w:rsid w:val="4D5064FC"/>
    <w:rsid w:val="4D8E7176"/>
    <w:rsid w:val="4DB92B32"/>
    <w:rsid w:val="4DD06B99"/>
    <w:rsid w:val="4E0E190D"/>
    <w:rsid w:val="4E105936"/>
    <w:rsid w:val="4E257ADB"/>
    <w:rsid w:val="4EA47A73"/>
    <w:rsid w:val="4ECE2238"/>
    <w:rsid w:val="4F434B9F"/>
    <w:rsid w:val="4F4F0F4A"/>
    <w:rsid w:val="4F5A605D"/>
    <w:rsid w:val="4F614C8B"/>
    <w:rsid w:val="4FB32C07"/>
    <w:rsid w:val="4FD30759"/>
    <w:rsid w:val="501E4797"/>
    <w:rsid w:val="502D2C76"/>
    <w:rsid w:val="50827466"/>
    <w:rsid w:val="50B415EA"/>
    <w:rsid w:val="513E614A"/>
    <w:rsid w:val="51561ABD"/>
    <w:rsid w:val="51864D34"/>
    <w:rsid w:val="51A523C1"/>
    <w:rsid w:val="51A52CE0"/>
    <w:rsid w:val="51DB4B86"/>
    <w:rsid w:val="51DF51A2"/>
    <w:rsid w:val="52D52008"/>
    <w:rsid w:val="535F6031"/>
    <w:rsid w:val="53A5346C"/>
    <w:rsid w:val="53DC3268"/>
    <w:rsid w:val="53E838AD"/>
    <w:rsid w:val="544467E1"/>
    <w:rsid w:val="54FE4BE1"/>
    <w:rsid w:val="55333C3E"/>
    <w:rsid w:val="55523002"/>
    <w:rsid w:val="55E02539"/>
    <w:rsid w:val="560B1CAC"/>
    <w:rsid w:val="56B20379"/>
    <w:rsid w:val="570203A7"/>
    <w:rsid w:val="578515EA"/>
    <w:rsid w:val="57CD5FFC"/>
    <w:rsid w:val="57D936E4"/>
    <w:rsid w:val="580A0256"/>
    <w:rsid w:val="58533496"/>
    <w:rsid w:val="587750E3"/>
    <w:rsid w:val="58B810BC"/>
    <w:rsid w:val="58C17744"/>
    <w:rsid w:val="58F447DB"/>
    <w:rsid w:val="59062F83"/>
    <w:rsid w:val="594A2AEB"/>
    <w:rsid w:val="595F1064"/>
    <w:rsid w:val="597B2CA5"/>
    <w:rsid w:val="599C6D35"/>
    <w:rsid w:val="59DC5010"/>
    <w:rsid w:val="5A89607B"/>
    <w:rsid w:val="5A971D60"/>
    <w:rsid w:val="5ADF54B5"/>
    <w:rsid w:val="5AFE6240"/>
    <w:rsid w:val="5B1F466B"/>
    <w:rsid w:val="5B6D486F"/>
    <w:rsid w:val="5B90055D"/>
    <w:rsid w:val="5C0056E3"/>
    <w:rsid w:val="5C651EB1"/>
    <w:rsid w:val="5CC71534"/>
    <w:rsid w:val="5CF65041"/>
    <w:rsid w:val="5D317970"/>
    <w:rsid w:val="5D8B2D00"/>
    <w:rsid w:val="5E0D64CB"/>
    <w:rsid w:val="5E1B0933"/>
    <w:rsid w:val="5E3239CA"/>
    <w:rsid w:val="5E9D190F"/>
    <w:rsid w:val="5F28567D"/>
    <w:rsid w:val="5F7F6B33"/>
    <w:rsid w:val="5FC41398"/>
    <w:rsid w:val="5FC5111D"/>
    <w:rsid w:val="5FFA069B"/>
    <w:rsid w:val="604F05EC"/>
    <w:rsid w:val="608B6453"/>
    <w:rsid w:val="61034256"/>
    <w:rsid w:val="613921C4"/>
    <w:rsid w:val="6168780F"/>
    <w:rsid w:val="6239194F"/>
    <w:rsid w:val="6252656D"/>
    <w:rsid w:val="628A03FC"/>
    <w:rsid w:val="62A97B60"/>
    <w:rsid w:val="63181501"/>
    <w:rsid w:val="63352116"/>
    <w:rsid w:val="633C1428"/>
    <w:rsid w:val="63435BFE"/>
    <w:rsid w:val="63526E82"/>
    <w:rsid w:val="63901A42"/>
    <w:rsid w:val="639B1953"/>
    <w:rsid w:val="64CA39A1"/>
    <w:rsid w:val="652F0DE7"/>
    <w:rsid w:val="65436640"/>
    <w:rsid w:val="65531CBD"/>
    <w:rsid w:val="659852BB"/>
    <w:rsid w:val="66012783"/>
    <w:rsid w:val="66091638"/>
    <w:rsid w:val="660A0CFF"/>
    <w:rsid w:val="662621EA"/>
    <w:rsid w:val="66692CE9"/>
    <w:rsid w:val="667747F4"/>
    <w:rsid w:val="668B199B"/>
    <w:rsid w:val="66912F4E"/>
    <w:rsid w:val="66E16111"/>
    <w:rsid w:val="66EF5860"/>
    <w:rsid w:val="674566A0"/>
    <w:rsid w:val="6753700F"/>
    <w:rsid w:val="682B7F8C"/>
    <w:rsid w:val="682C4391"/>
    <w:rsid w:val="688F6C5D"/>
    <w:rsid w:val="68C57817"/>
    <w:rsid w:val="699102C2"/>
    <w:rsid w:val="699D27C3"/>
    <w:rsid w:val="69C04704"/>
    <w:rsid w:val="6A0F3E3A"/>
    <w:rsid w:val="6A1231B1"/>
    <w:rsid w:val="6A130DDE"/>
    <w:rsid w:val="6A7A0D56"/>
    <w:rsid w:val="6A8D70F6"/>
    <w:rsid w:val="6A986382"/>
    <w:rsid w:val="6AA55DB5"/>
    <w:rsid w:val="6AAB0CF2"/>
    <w:rsid w:val="6B0D1266"/>
    <w:rsid w:val="6B95409A"/>
    <w:rsid w:val="6C123066"/>
    <w:rsid w:val="6C3B40C7"/>
    <w:rsid w:val="6C4A05C8"/>
    <w:rsid w:val="6C6003D6"/>
    <w:rsid w:val="6C830BDC"/>
    <w:rsid w:val="6CB001A9"/>
    <w:rsid w:val="6CE22E3F"/>
    <w:rsid w:val="6CFF6CC3"/>
    <w:rsid w:val="6E0653B5"/>
    <w:rsid w:val="6E4A0A40"/>
    <w:rsid w:val="6E5F4919"/>
    <w:rsid w:val="6F28705A"/>
    <w:rsid w:val="6F7F65F3"/>
    <w:rsid w:val="6F8166E3"/>
    <w:rsid w:val="6F984159"/>
    <w:rsid w:val="6FD95BCF"/>
    <w:rsid w:val="70082960"/>
    <w:rsid w:val="701630F1"/>
    <w:rsid w:val="702A28D7"/>
    <w:rsid w:val="70FA04FB"/>
    <w:rsid w:val="717E737E"/>
    <w:rsid w:val="71E33685"/>
    <w:rsid w:val="725319FA"/>
    <w:rsid w:val="72734D90"/>
    <w:rsid w:val="737E6B4D"/>
    <w:rsid w:val="738B18DE"/>
    <w:rsid w:val="73B20D35"/>
    <w:rsid w:val="73D455CC"/>
    <w:rsid w:val="73DD2093"/>
    <w:rsid w:val="74164032"/>
    <w:rsid w:val="74294ABA"/>
    <w:rsid w:val="744503A4"/>
    <w:rsid w:val="745A1F8C"/>
    <w:rsid w:val="74E366CA"/>
    <w:rsid w:val="752C3307"/>
    <w:rsid w:val="760F4A49"/>
    <w:rsid w:val="762A53DF"/>
    <w:rsid w:val="762F0AE4"/>
    <w:rsid w:val="76F61765"/>
    <w:rsid w:val="76F803D6"/>
    <w:rsid w:val="77162B15"/>
    <w:rsid w:val="77197ED4"/>
    <w:rsid w:val="778914F4"/>
    <w:rsid w:val="779F63A6"/>
    <w:rsid w:val="77B84C6C"/>
    <w:rsid w:val="781C51FB"/>
    <w:rsid w:val="7838284A"/>
    <w:rsid w:val="78B60C55"/>
    <w:rsid w:val="78CD30FF"/>
    <w:rsid w:val="78F66F3F"/>
    <w:rsid w:val="790E7239"/>
    <w:rsid w:val="79314CD6"/>
    <w:rsid w:val="79632FA4"/>
    <w:rsid w:val="796972C8"/>
    <w:rsid w:val="79E7B28D"/>
    <w:rsid w:val="79F24465"/>
    <w:rsid w:val="7A3D6E1B"/>
    <w:rsid w:val="7A5C0085"/>
    <w:rsid w:val="7AB02D33"/>
    <w:rsid w:val="7B07552E"/>
    <w:rsid w:val="7B0C77A9"/>
    <w:rsid w:val="7B1B5C3E"/>
    <w:rsid w:val="7B303919"/>
    <w:rsid w:val="7B31720F"/>
    <w:rsid w:val="7B450F0D"/>
    <w:rsid w:val="7B892774"/>
    <w:rsid w:val="7BBD6F4E"/>
    <w:rsid w:val="7C8D4919"/>
    <w:rsid w:val="7C99506C"/>
    <w:rsid w:val="7CC80DF1"/>
    <w:rsid w:val="7CF341EB"/>
    <w:rsid w:val="7D8C697F"/>
    <w:rsid w:val="7D92185D"/>
    <w:rsid w:val="7D9D6C2A"/>
    <w:rsid w:val="7DA912DF"/>
    <w:rsid w:val="7DC425BD"/>
    <w:rsid w:val="7DFD3810"/>
    <w:rsid w:val="7E0B6ACB"/>
    <w:rsid w:val="7E120557"/>
    <w:rsid w:val="7E6873EC"/>
    <w:rsid w:val="7E851D4C"/>
    <w:rsid w:val="7EC115ED"/>
    <w:rsid w:val="7EE50A3C"/>
    <w:rsid w:val="7EF40C80"/>
    <w:rsid w:val="7F032C71"/>
    <w:rsid w:val="7F6F47AA"/>
    <w:rsid w:val="7F9F20EE"/>
    <w:rsid w:val="7FB32E69"/>
    <w:rsid w:val="7FDC1E3F"/>
    <w:rsid w:val="9E3A10E2"/>
    <w:rsid w:val="DBFD64BA"/>
    <w:rsid w:val="F2E1F9D4"/>
    <w:rsid w:val="F7880819"/>
    <w:rsid w:val="F9FFF95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qFormat="1"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1"/>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2"/>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5"/>
    <w:unhideWhenUsed/>
    <w:qFormat/>
    <w:uiPriority w:val="9"/>
    <w:pPr>
      <w:keepNext/>
      <w:keepLines/>
      <w:spacing w:before="260" w:after="260" w:line="416" w:lineRule="auto"/>
      <w:outlineLvl w:val="2"/>
    </w:pPr>
    <w:rPr>
      <w:b/>
      <w:bCs/>
      <w:sz w:val="32"/>
      <w:szCs w:val="32"/>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6">
    <w:name w:val="Body Text"/>
    <w:basedOn w:val="1"/>
    <w:link w:val="29"/>
    <w:qFormat/>
    <w:uiPriority w:val="99"/>
    <w:pPr>
      <w:spacing w:beforeLines="30"/>
    </w:pPr>
    <w:rPr>
      <w:rFonts w:ascii="仿宋_GB2312" w:eastAsia="仿宋_GB2312"/>
      <w:kern w:val="0"/>
      <w:sz w:val="30"/>
    </w:rPr>
  </w:style>
  <w:style w:type="paragraph" w:styleId="7">
    <w:name w:val="Body Text Indent"/>
    <w:basedOn w:val="1"/>
    <w:next w:val="8"/>
    <w:qFormat/>
    <w:uiPriority w:val="99"/>
    <w:pPr>
      <w:ind w:firstLine="630"/>
      <w:jc w:val="left"/>
    </w:pPr>
    <w:rPr>
      <w:rFonts w:eastAsia="黑体"/>
      <w:sz w:val="32"/>
      <w:szCs w:val="32"/>
    </w:rPr>
  </w:style>
  <w:style w:type="paragraph" w:styleId="8">
    <w:name w:val="Body Text Indent 2"/>
    <w:basedOn w:val="1"/>
    <w:unhideWhenUsed/>
    <w:qFormat/>
    <w:uiPriority w:val="0"/>
    <w:pPr>
      <w:spacing w:beforeLines="0" w:afterLines="0"/>
      <w:ind w:firstLine="420" w:firstLineChars="200"/>
    </w:pPr>
    <w:rPr>
      <w:rFonts w:hint="eastAsia"/>
      <w:sz w:val="32"/>
      <w:szCs w:val="24"/>
    </w:r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34"/>
    <w:semiHidden/>
    <w:unhideWhenUsed/>
    <w:qFormat/>
    <w:uiPriority w:val="99"/>
    <w:rPr>
      <w:sz w:val="18"/>
      <w:szCs w:val="18"/>
    </w:rPr>
  </w:style>
  <w:style w:type="paragraph" w:styleId="11">
    <w:name w:val="footer"/>
    <w:basedOn w:val="1"/>
    <w:link w:val="27"/>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5"/>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toc 2"/>
    <w:basedOn w:val="1"/>
    <w:next w:val="1"/>
    <w:unhideWhenUsed/>
    <w:qFormat/>
    <w:uiPriority w:val="39"/>
    <w:pPr>
      <w:tabs>
        <w:tab w:val="right" w:leader="dot" w:pos="8296"/>
      </w:tabs>
      <w:ind w:left="420" w:leftChars="200"/>
    </w:pPr>
  </w:style>
  <w:style w:type="paragraph" w:styleId="15">
    <w:name w:val="Normal (Web)"/>
    <w:basedOn w:val="1"/>
    <w:qFormat/>
    <w:uiPriority w:val="0"/>
    <w:pPr>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left"/>
    </w:pPr>
    <w:rPr>
      <w:kern w:val="0"/>
      <w:sz w:val="24"/>
      <w:lang w:val="en-US" w:eastAsia="zh-CN" w:bidi="ar"/>
    </w:rPr>
  </w:style>
  <w:style w:type="paragraph" w:styleId="16">
    <w:name w:val="Body Text First Indent 2"/>
    <w:basedOn w:val="7"/>
    <w:next w:val="1"/>
    <w:qFormat/>
    <w:uiPriority w:val="99"/>
    <w:pPr>
      <w:spacing w:after="120"/>
      <w:ind w:left="420" w:leftChars="200" w:firstLine="420"/>
    </w:pPr>
  </w:style>
  <w:style w:type="character" w:styleId="19">
    <w:name w:val="Strong"/>
    <w:basedOn w:val="18"/>
    <w:qFormat/>
    <w:uiPriority w:val="99"/>
    <w:rPr>
      <w:b/>
    </w:rPr>
  </w:style>
  <w:style w:type="character" w:styleId="20">
    <w:name w:val="page number"/>
    <w:unhideWhenUsed/>
    <w:uiPriority w:val="0"/>
    <w:rPr>
      <w:rFonts w:hint="default"/>
      <w:sz w:val="24"/>
      <w:szCs w:val="24"/>
    </w:rPr>
  </w:style>
  <w:style w:type="character" w:styleId="21">
    <w:name w:val="Hyperlink"/>
    <w:basedOn w:val="18"/>
    <w:unhideWhenUsed/>
    <w:qFormat/>
    <w:uiPriority w:val="99"/>
    <w:rPr>
      <w:color w:val="0000FF" w:themeColor="hyperlink"/>
      <w:u w:val="single"/>
      <w14:textFill>
        <w14:solidFill>
          <w14:schemeClr w14:val="hlink"/>
        </w14:solidFill>
      </w14:textFill>
    </w:rPr>
  </w:style>
  <w:style w:type="paragraph" w:customStyle="1" w:styleId="22">
    <w:name w:val="Body Text First Indent 21"/>
    <w:basedOn w:val="23"/>
    <w:next w:val="1"/>
    <w:qFormat/>
    <w:uiPriority w:val="0"/>
    <w:pPr>
      <w:ind w:firstLine="420" w:firstLineChars="200"/>
    </w:pPr>
  </w:style>
  <w:style w:type="paragraph" w:customStyle="1" w:styleId="23">
    <w:name w:val="Body Text Indent1"/>
    <w:basedOn w:val="1"/>
    <w:next w:val="22"/>
    <w:qFormat/>
    <w:uiPriority w:val="0"/>
    <w:pPr>
      <w:ind w:firstLine="643" w:firstLineChars="200"/>
    </w:pPr>
    <w:rPr>
      <w:rFonts w:ascii="Times New Roman" w:hAnsi="Times New Roman" w:eastAsia="仿宋_GB2312"/>
      <w:b/>
      <w:bCs/>
      <w:sz w:val="32"/>
    </w:rPr>
  </w:style>
  <w:style w:type="character" w:customStyle="1" w:styleId="24">
    <w:name w:val="Header Char"/>
    <w:basedOn w:val="18"/>
    <w:semiHidden/>
    <w:qFormat/>
    <w:uiPriority w:val="99"/>
    <w:rPr>
      <w:rFonts w:ascii="Times New Roman" w:hAnsi="Times New Roman"/>
      <w:sz w:val="18"/>
      <w:szCs w:val="18"/>
    </w:rPr>
  </w:style>
  <w:style w:type="character" w:customStyle="1" w:styleId="25">
    <w:name w:val="页眉 Char"/>
    <w:link w:val="12"/>
    <w:semiHidden/>
    <w:qFormat/>
    <w:locked/>
    <w:uiPriority w:val="99"/>
    <w:rPr>
      <w:sz w:val="18"/>
    </w:rPr>
  </w:style>
  <w:style w:type="character" w:customStyle="1" w:styleId="26">
    <w:name w:val="Footer Char"/>
    <w:basedOn w:val="18"/>
    <w:semiHidden/>
    <w:qFormat/>
    <w:uiPriority w:val="99"/>
    <w:rPr>
      <w:rFonts w:ascii="Times New Roman" w:hAnsi="Times New Roman"/>
      <w:sz w:val="18"/>
      <w:szCs w:val="18"/>
    </w:rPr>
  </w:style>
  <w:style w:type="character" w:customStyle="1" w:styleId="27">
    <w:name w:val="页脚 Char"/>
    <w:link w:val="11"/>
    <w:qFormat/>
    <w:locked/>
    <w:uiPriority w:val="99"/>
    <w:rPr>
      <w:sz w:val="18"/>
    </w:rPr>
  </w:style>
  <w:style w:type="character" w:customStyle="1" w:styleId="28">
    <w:name w:val="Body Text Char"/>
    <w:basedOn w:val="18"/>
    <w:semiHidden/>
    <w:qFormat/>
    <w:uiPriority w:val="99"/>
    <w:rPr>
      <w:rFonts w:ascii="Times New Roman" w:hAnsi="Times New Roman"/>
      <w:szCs w:val="24"/>
    </w:rPr>
  </w:style>
  <w:style w:type="character" w:customStyle="1" w:styleId="29">
    <w:name w:val="正文文本 Char"/>
    <w:link w:val="6"/>
    <w:qFormat/>
    <w:locked/>
    <w:uiPriority w:val="99"/>
    <w:rPr>
      <w:rFonts w:ascii="仿宋_GB2312" w:hAnsi="Times New Roman" w:eastAsia="仿宋_GB2312"/>
      <w:sz w:val="24"/>
    </w:rPr>
  </w:style>
  <w:style w:type="paragraph" w:styleId="30">
    <w:name w:val="List Paragraph"/>
    <w:basedOn w:val="1"/>
    <w:qFormat/>
    <w:uiPriority w:val="34"/>
    <w:pPr>
      <w:ind w:firstLine="420" w:firstLineChars="200"/>
    </w:pPr>
  </w:style>
  <w:style w:type="character" w:customStyle="1" w:styleId="31">
    <w:name w:val="标题 1 Char"/>
    <w:basedOn w:val="18"/>
    <w:link w:val="3"/>
    <w:qFormat/>
    <w:uiPriority w:val="9"/>
    <w:rPr>
      <w:rFonts w:ascii="Times New Roman" w:hAnsi="Times New Roman"/>
      <w:b/>
      <w:bCs/>
      <w:kern w:val="44"/>
      <w:sz w:val="44"/>
      <w:szCs w:val="44"/>
    </w:rPr>
  </w:style>
  <w:style w:type="character" w:customStyle="1" w:styleId="32">
    <w:name w:val="标题 2 Char"/>
    <w:basedOn w:val="18"/>
    <w:link w:val="4"/>
    <w:qFormat/>
    <w:uiPriority w:val="9"/>
    <w:rPr>
      <w:rFonts w:asciiTheme="majorHAnsi" w:hAnsiTheme="majorHAnsi" w:eastAsiaTheme="majorEastAsia" w:cstheme="majorBidi"/>
      <w:b/>
      <w:bCs/>
      <w:kern w:val="2"/>
      <w:sz w:val="32"/>
      <w:szCs w:val="32"/>
    </w:rPr>
  </w:style>
  <w:style w:type="paragraph" w:customStyle="1" w:styleId="33">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4">
    <w:name w:val="批注框文本 Char"/>
    <w:basedOn w:val="18"/>
    <w:link w:val="10"/>
    <w:semiHidden/>
    <w:qFormat/>
    <w:uiPriority w:val="99"/>
    <w:rPr>
      <w:rFonts w:ascii="Times New Roman" w:hAnsi="Times New Roman"/>
      <w:kern w:val="2"/>
      <w:sz w:val="18"/>
      <w:szCs w:val="18"/>
    </w:rPr>
  </w:style>
  <w:style w:type="character" w:customStyle="1" w:styleId="35">
    <w:name w:val="标题 3 Char"/>
    <w:basedOn w:val="18"/>
    <w:link w:val="5"/>
    <w:qFormat/>
    <w:uiPriority w:val="9"/>
    <w:rPr>
      <w:rFonts w:ascii="Times New Roman" w:hAnsi="Times New Roman"/>
      <w:b/>
      <w:bCs/>
      <w:kern w:val="2"/>
      <w:sz w:val="32"/>
      <w:szCs w:val="32"/>
    </w:rPr>
  </w:style>
  <w:style w:type="paragraph" w:customStyle="1" w:styleId="36">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7">
    <w:name w:val="常用样式（方正仿宋简）"/>
    <w:basedOn w:val="1"/>
    <w:qFormat/>
    <w:uiPriority w:val="99"/>
    <w:pPr>
      <w:spacing w:line="560" w:lineRule="exact"/>
      <w:ind w:firstLine="640" w:firstLineChars="200"/>
    </w:pPr>
    <w:rPr>
      <w:rFonts w:ascii="Calibri" w:hAnsi="Calibri"/>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5.jpeg"/><Relationship Id="rId11" Type="http://schemas.openxmlformats.org/officeDocument/2006/relationships/image" Target="media/image4.jpeg"/><Relationship Id="rId10" Type="http://schemas.openxmlformats.org/officeDocument/2006/relationships/image" Target="media/image3.jpe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32</Pages>
  <Words>12522</Words>
  <Characters>13419</Characters>
  <Lines>61</Lines>
  <Paragraphs>17</Paragraphs>
  <TotalTime>1</TotalTime>
  <ScaleCrop>false</ScaleCrop>
  <LinksUpToDate>false</LinksUpToDate>
  <CharactersWithSpaces>13496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2020-08-05T17:49:00Z</dcterms:created>
  <dc:creator>曹颖</dc:creator>
  <cp:lastModifiedBy>DELL</cp:lastModifiedBy>
  <cp:lastPrinted>2022-08-06T18:23:00Z</cp:lastPrinted>
  <dcterms:modified xsi:type="dcterms:W3CDTF">2023-09-26T07:23:39Z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9E88C91401124A8F96920D3613E48D6B_13</vt:lpwstr>
  </property>
</Properties>
</file>