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outlineLvl w:val="0"/>
        <w:rPr>
          <w:rFonts w:ascii="方正小标宋简体" w:hAnsi="宋体" w:eastAsia="方正小标宋简体"/>
          <w:sz w:val="72"/>
          <w:szCs w:val="72"/>
        </w:rPr>
      </w:pPr>
      <w:bookmarkStart w:id="0" w:name="_Toc15306267"/>
    </w:p>
    <w:p>
      <w:pPr>
        <w:spacing w:line="576" w:lineRule="exact"/>
        <w:jc w:val="center"/>
        <w:outlineLvl w:val="0"/>
        <w:rPr>
          <w:rFonts w:ascii="方正小标宋简体" w:hAnsi="宋体" w:eastAsia="方正小标宋简体"/>
          <w:sz w:val="72"/>
          <w:szCs w:val="72"/>
        </w:rPr>
      </w:pPr>
    </w:p>
    <w:p>
      <w:pPr>
        <w:spacing w:line="576" w:lineRule="exact"/>
        <w:jc w:val="center"/>
        <w:outlineLvl w:val="0"/>
        <w:rPr>
          <w:rFonts w:ascii="方正小标宋简体" w:hAnsi="宋体" w:eastAsia="方正小标宋简体"/>
          <w:sz w:val="72"/>
          <w:szCs w:val="72"/>
        </w:rPr>
      </w:pPr>
    </w:p>
    <w:p>
      <w:pPr>
        <w:spacing w:line="88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方正舒体" w:hAnsi="方正舒体" w:eastAsia="方正舒体" w:cs="方正舒体"/>
          <w:color w:val="auto"/>
          <w:sz w:val="72"/>
          <w:szCs w:val="72"/>
          <w:highlight w:val="none"/>
        </w:rPr>
      </w:pPr>
      <w:bookmarkStart w:id="1" w:name="_Toc114744940"/>
      <w:bookmarkStart w:id="2" w:name="_Toc15378441"/>
      <w:bookmarkStart w:id="3" w:name="_Toc15396597"/>
      <w:bookmarkStart w:id="4" w:name="_Toc15377193"/>
      <w:bookmarkStart w:id="5" w:name="_Toc15377425"/>
      <w:bookmarkStart w:id="6" w:name="_Toc15396475"/>
      <w:bookmarkStart w:id="7" w:name="_Toc114745370"/>
      <w:r>
        <w:rPr>
          <w:rFonts w:hint="eastAsia" w:ascii="方正舒体" w:hAnsi="方正舒体" w:eastAsia="方正舒体" w:cs="方正舒体"/>
          <w:color w:val="auto"/>
          <w:sz w:val="72"/>
          <w:szCs w:val="72"/>
          <w:highlight w:val="none"/>
        </w:rPr>
        <w:t>2021年度</w:t>
      </w:r>
      <w:bookmarkEnd w:id="1"/>
      <w:bookmarkEnd w:id="2"/>
      <w:bookmarkEnd w:id="3"/>
      <w:bookmarkEnd w:id="4"/>
      <w:bookmarkEnd w:id="5"/>
      <w:bookmarkEnd w:id="6"/>
      <w:bookmarkEnd w:id="7"/>
    </w:p>
    <w:p>
      <w:pPr>
        <w:adjustRightInd w:val="0"/>
        <w:snapToGrid w:val="0"/>
        <w:spacing w:line="360" w:lineRule="auto"/>
        <w:jc w:val="center"/>
        <w:outlineLvl w:val="0"/>
        <w:rPr>
          <w:rFonts w:hint="eastAsia" w:ascii="方正舒体" w:hAnsi="方正舒体" w:eastAsia="方正舒体" w:cs="方正舒体"/>
          <w:color w:val="auto"/>
          <w:sz w:val="72"/>
          <w:szCs w:val="72"/>
          <w:highlight w:val="none"/>
        </w:rPr>
      </w:pPr>
      <w:bookmarkStart w:id="8" w:name="_Toc15378442"/>
      <w:bookmarkStart w:id="9" w:name="_Toc15396598"/>
      <w:bookmarkStart w:id="10" w:name="_Toc114745371"/>
      <w:bookmarkStart w:id="11" w:name="_Toc15377194"/>
      <w:bookmarkStart w:id="12" w:name="_Toc15377426"/>
      <w:bookmarkStart w:id="13" w:name="_Toc114744941"/>
      <w:bookmarkStart w:id="14" w:name="_Toc15396476"/>
      <w:r>
        <w:rPr>
          <w:rFonts w:hint="eastAsia" w:ascii="方正舒体" w:hAnsi="方正舒体" w:eastAsia="方正舒体" w:cs="方正舒体"/>
          <w:color w:val="auto"/>
          <w:sz w:val="72"/>
          <w:szCs w:val="72"/>
          <w:highlight w:val="none"/>
        </w:rPr>
        <w:t>四川省</w:t>
      </w:r>
      <w:bookmarkEnd w:id="0"/>
      <w:bookmarkStart w:id="15" w:name="_Toc15306268"/>
      <w:r>
        <w:rPr>
          <w:rFonts w:hint="eastAsia" w:ascii="方正舒体" w:hAnsi="方正舒体" w:eastAsia="方正舒体" w:cs="方正舒体"/>
          <w:color w:val="auto"/>
          <w:sz w:val="72"/>
          <w:szCs w:val="72"/>
          <w:highlight w:val="none"/>
        </w:rPr>
        <w:t>广元市昭化区审计局决算</w:t>
      </w:r>
      <w:bookmarkEnd w:id="8"/>
      <w:bookmarkEnd w:id="9"/>
      <w:bookmarkEnd w:id="10"/>
      <w:bookmarkEnd w:id="11"/>
      <w:bookmarkEnd w:id="12"/>
      <w:bookmarkEnd w:id="13"/>
      <w:bookmarkEnd w:id="14"/>
      <w:bookmarkEnd w:id="15"/>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p>
    <w:p>
      <w:pPr>
        <w:widowControl/>
        <w:spacing w:line="576"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sdt>
      <w:sdtPr>
        <w:rPr>
          <w:lang w:val="zh-CN"/>
        </w:rPr>
        <w:id w:val="14875237"/>
        <w:docPartObj>
          <w:docPartGallery w:val="Table of Contents"/>
          <w:docPartUnique/>
        </w:docPartObj>
      </w:sdtPr>
      <w:sdtEndPr>
        <w:rPr>
          <w:rFonts w:ascii="Times New Roman" w:hAnsi="Times New Roman" w:eastAsia="宋体"/>
          <w:sz w:val="21"/>
          <w:szCs w:val="24"/>
          <w:lang w:val="en-US"/>
        </w:rPr>
      </w:sdtEndPr>
      <w:sdtContent>
        <w:p>
          <w:pPr>
            <w:pStyle w:val="11"/>
            <w:spacing w:before="0" w:line="440" w:lineRule="exact"/>
            <w:jc w:val="distribute"/>
            <w:rPr>
              <w:rFonts w:hint="eastAsia" w:cs="Times New Roman"/>
              <w:color w:val="auto"/>
              <w:sz w:val="24"/>
              <w:highlight w:val="none"/>
            </w:rPr>
          </w:pPr>
          <w:bookmarkStart w:id="16" w:name="_Toc15396599"/>
          <w:bookmarkStart w:id="17" w:name="_Toc15377196"/>
          <w:r>
            <w:fldChar w:fldCharType="begin"/>
          </w:r>
          <w:r>
            <w:instrText xml:space="preserve"> TOC \o "1-3" \h \z \u </w:instrText>
          </w:r>
          <w:r>
            <w:fldChar w:fldCharType="separate"/>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"_Toc114745372"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第一部分 单位概况</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_Toc114745372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4</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"_Toc114745373"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一、</w:t>
          </w:r>
          <w:r>
            <w:rPr>
              <w:rFonts w:hint="eastAsia" w:cs="Times New Roman"/>
              <w:color w:val="auto"/>
              <w:sz w:val="24"/>
              <w:highlight w:val="none"/>
              <w:lang w:val="en-US" w:eastAsia="zh-CN"/>
            </w:rPr>
            <w:t>基本</w:t>
          </w:r>
          <w:r>
            <w:rPr>
              <w:rFonts w:hint="eastAsia" w:ascii="Times New Roman" w:hAnsi="Times New Roman" w:eastAsia="宋体" w:cs="Times New Roman"/>
              <w:color w:val="auto"/>
              <w:sz w:val="24"/>
              <w:highlight w:val="none"/>
            </w:rPr>
            <w:t>职能</w:t>
          </w:r>
          <w:r>
            <w:rPr>
              <w:rFonts w:hint="eastAsia" w:cs="Times New Roman"/>
              <w:color w:val="auto"/>
              <w:sz w:val="24"/>
              <w:highlight w:val="none"/>
              <w:lang w:val="en-US" w:eastAsia="zh-CN"/>
            </w:rPr>
            <w:t>及主要工作</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_Toc114745373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4</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"_Toc114745374"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二、</w:t>
          </w:r>
          <w:r>
            <w:rPr>
              <w:rFonts w:hint="eastAsia" w:cs="Times New Roman"/>
              <w:color w:val="auto"/>
              <w:sz w:val="24"/>
              <w:highlight w:val="none"/>
              <w:lang w:val="en-US" w:eastAsia="zh-CN"/>
            </w:rPr>
            <w:t>机构设置</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_Toc114745374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6</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1"/>
            <w:adjustRightInd w:val="0"/>
            <w:snapToGrid w:val="0"/>
            <w:spacing w:before="0" w:line="440" w:lineRule="exact"/>
            <w:jc w:val="left"/>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"_Toc114745375"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第二部分 2021年度单位决算情况说明</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_Toc114745375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8</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"_Toc114745376"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一、收入支出决算总体情况说明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_Toc114745376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"_Toc114745377"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二、收入决算情况说明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_Toc114745377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"_Toc114745378"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三、支出决算情况说明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_Toc114745378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"_Toc114745379"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四、财政拨款收入支出决算总体情况说明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_Toc114745379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9</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"_Toc114745380"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五、一般公共预算财政拨款支出决算情况说明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_Toc114745380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9</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六、一般公共预算财政拨款基本支出决算情况说明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lang w:val="en-US" w:eastAsia="zh-CN"/>
            </w:rPr>
            <w:t>1</w:t>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"_Toc114745382"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七、“三公”经费财政拨款支出决算情况说明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_Toc114745382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12</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"_Toc114745383"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八、政府性基金预算支出决算情况说明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_Toc114745383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13</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"_Toc114745384"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九、国有资本经营预算支出决算情况说明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_Toc114745384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13</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"_Toc114745385"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十、预算绩效管理情况</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_Toc114745385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14</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eastAsia="仿宋_GB2312"/>
              <w:sz w:val="28"/>
              <w:szCs w:val="28"/>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"_Toc114745386"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十一、其他重要事项的情况说明</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_Toc114745386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14</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1"/>
            <w:adjustRightInd w:val="0"/>
            <w:snapToGrid w:val="0"/>
            <w:spacing w:before="0" w:line="440" w:lineRule="exact"/>
            <w:jc w:val="left"/>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"_Toc114745387"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_Toc114745387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15</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2"/>
            <w:adjustRightInd w:val="0"/>
            <w:snapToGrid w:val="0"/>
            <w:spacing w:line="440" w:lineRule="exact"/>
            <w:ind w:left="0" w:leftChars="0" w:firstLine="0" w:firstLineChars="0"/>
            <w:jc w:val="left"/>
            <w:rPr>
              <w:rFonts w:hint="eastAsia" w:ascii="仿宋" w:hAnsi="仿宋" w:eastAsia="仿宋" w:cs="Times New Roman"/>
              <w:color w:val="auto"/>
              <w:kern w:val="2"/>
              <w:sz w:val="24"/>
              <w:szCs w:val="28"/>
              <w:highlight w:val="none"/>
              <w:lang w:val="en-US" w:eastAsia="zh-CN" w:bidi="ar-SA"/>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"_Toc114745388"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第四部分 附件</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_Toc114745388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17</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2"/>
            <w:adjustRightInd w:val="0"/>
            <w:snapToGrid w:val="0"/>
            <w:spacing w:line="440" w:lineRule="exact"/>
            <w:ind w:left="0" w:leftChars="0" w:firstLine="0" w:firstLineChars="0"/>
            <w:jc w:val="left"/>
            <w:rPr>
              <w:rFonts w:hint="eastAsia" w:cs="Times New Roman"/>
              <w:color w:val="auto"/>
              <w:sz w:val="24"/>
              <w:highlight w:val="none"/>
            </w:rPr>
          </w:pP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HYPERLINK \l "_Toc114745389"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Times New Roman" w:hAnsi="Times New Roman" w:eastAsia="宋体" w:cs="Times New Roman"/>
              <w:color w:val="auto"/>
              <w:kern w:val="2"/>
              <w:sz w:val="24"/>
              <w:szCs w:val="24"/>
              <w:highlight w:val="none"/>
              <w:lang w:val="en-US" w:eastAsia="zh-CN" w:bidi="ar-SA"/>
            </w:rPr>
            <w:tab/>
          </w:r>
          <w:r>
            <w:rPr>
              <w:rFonts w:hint="eastAsia" w:ascii="仿宋" w:hAnsi="仿宋" w:eastAsia="仿宋" w:cs="Times New Roman"/>
              <w:color w:val="auto"/>
              <w:kern w:val="2"/>
              <w:sz w:val="24"/>
              <w:szCs w:val="28"/>
              <w:highlight w:val="none"/>
              <w:lang w:val="en-US" w:eastAsia="zh-CN" w:bidi="ar-SA"/>
            </w:rPr>
            <w:fldChar w:fldCharType="begin"/>
          </w:r>
          <w:r>
            <w:rPr>
              <w:rFonts w:hint="eastAsia" w:ascii="仿宋" w:hAnsi="仿宋" w:eastAsia="仿宋" w:cs="Times New Roman"/>
              <w:color w:val="auto"/>
              <w:kern w:val="2"/>
              <w:sz w:val="24"/>
              <w:szCs w:val="28"/>
              <w:highlight w:val="none"/>
              <w:lang w:val="en-US" w:eastAsia="zh-CN" w:bidi="ar-SA"/>
            </w:rPr>
            <w:instrText xml:space="preserve"> PAGEREF _Toc114745389 \h </w:instrText>
          </w:r>
          <w:r>
            <w:rPr>
              <w:rFonts w:hint="eastAsia" w:ascii="仿宋" w:hAnsi="仿宋" w:eastAsia="仿宋" w:cs="Times New Roman"/>
              <w:color w:val="auto"/>
              <w:kern w:val="2"/>
              <w:sz w:val="24"/>
              <w:szCs w:val="28"/>
              <w:highlight w:val="none"/>
              <w:lang w:val="en-US" w:eastAsia="zh-CN" w:bidi="ar-SA"/>
            </w:rPr>
            <w:fldChar w:fldCharType="separate"/>
          </w:r>
          <w:r>
            <w:rPr>
              <w:rFonts w:hint="eastAsia" w:ascii="仿宋" w:hAnsi="仿宋" w:eastAsia="仿宋" w:cs="Times New Roman"/>
              <w:color w:val="auto"/>
              <w:kern w:val="2"/>
              <w:sz w:val="24"/>
              <w:szCs w:val="28"/>
              <w:highlight w:val="none"/>
              <w:lang w:val="en-US" w:eastAsia="zh-CN" w:bidi="ar-SA"/>
            </w:rPr>
            <w:t>18</w:t>
          </w:r>
          <w:r>
            <w:rPr>
              <w:rFonts w:hint="eastAsia" w:ascii="仿宋" w:hAnsi="仿宋" w:eastAsia="仿宋" w:cs="Times New Roman"/>
              <w:color w:val="auto"/>
              <w:kern w:val="2"/>
              <w:sz w:val="24"/>
              <w:szCs w:val="28"/>
              <w:highlight w:val="none"/>
              <w:lang w:val="en-US" w:eastAsia="zh-CN" w:bidi="ar-SA"/>
            </w:rPr>
            <w:fldChar w:fldCharType="end"/>
          </w:r>
          <w:r>
            <w:rPr>
              <w:rFonts w:hint="eastAsia" w:ascii="仿宋" w:hAnsi="仿宋" w:eastAsia="仿宋" w:cs="Times New Roman"/>
              <w:color w:val="auto"/>
              <w:kern w:val="2"/>
              <w:sz w:val="24"/>
              <w:szCs w:val="28"/>
              <w:highlight w:val="none"/>
              <w:lang w:val="en-US" w:eastAsia="zh-CN" w:bidi="ar-SA"/>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"_Toc114745390"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一、收入支出决算总表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_Toc114745390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二、收入决算表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_Toc114745391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"_Toc114745392"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三、支出决算表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_Toc114745392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"_Toc114745393"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四、财政拨款收入支出决算总表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_Toc114745393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"_Toc114745394"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五、财政拨款支出决算明细表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_Toc114745394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"_Toc114745395"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六、一般公共预算财政拨款支出决算表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_Toc114745395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"_Toc114745396"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七、一般公共预算财政拨款支出决算明细表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_Toc114745396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"_Toc114745397"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八、一般公共预算财政拨款基本支出决算表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_Toc114745397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"_Toc114745398"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九、一般公共预算财政拨款项目支出决算表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_Toc114745398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"_Toc114745399"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十、一般公共预算财政拨款“三公”经费支出决算表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_Toc114745399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"_Toc114745400"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十一、政府性基金预算财政拨款收入支出决算表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_Toc114745400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"_Toc114745401"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十二、政府性基金预算财政拨款“三公”经费支出决算表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_Toc114745401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"_Toc114745402"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十三、国有资本经营预算财政拨款收入支出决算表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_Toc114745402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pStyle w:val="12"/>
            <w:adjustRightInd w:val="0"/>
            <w:snapToGrid w:val="0"/>
            <w:spacing w:line="440" w:lineRule="exact"/>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HYPERLINK \l "_Toc114745403"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十四、国有资本经营预算财政拨款支出决算表</w:t>
          </w:r>
          <w:r>
            <w:rPr>
              <w:rFonts w:hint="eastAsia" w:ascii="Times New Roman" w:hAnsi="Times New Roman" w:eastAsia="宋体" w:cs="Times New Roman"/>
              <w:color w:val="auto"/>
              <w:sz w:val="24"/>
              <w:highlight w:val="none"/>
            </w:rPr>
            <w:tab/>
          </w:r>
          <w:r>
            <w:rPr>
              <w:rFonts w:hint="eastAsia" w:ascii="Times New Roman" w:hAnsi="Times New Roman" w:eastAsia="宋体" w:cs="Times New Roman"/>
              <w:color w:val="auto"/>
              <w:sz w:val="24"/>
              <w:highlight w:val="none"/>
            </w:rPr>
            <w:fldChar w:fldCharType="begin"/>
          </w:r>
          <w:r>
            <w:rPr>
              <w:rFonts w:hint="eastAsia" w:ascii="Times New Roman" w:hAnsi="Times New Roman" w:eastAsia="宋体" w:cs="Times New Roman"/>
              <w:color w:val="auto"/>
              <w:sz w:val="24"/>
              <w:highlight w:val="none"/>
            </w:rPr>
            <w:instrText xml:space="preserve"> PAGEREF _Toc114745403 \h </w:instrText>
          </w:r>
          <w:r>
            <w:rPr>
              <w:rFonts w:hint="eastAsia" w:ascii="Times New Roman" w:hAnsi="Times New Roman" w:eastAsia="宋体" w:cs="Times New Roman"/>
              <w:color w:val="auto"/>
              <w:sz w:val="24"/>
              <w:highlight w:val="none"/>
            </w:rPr>
            <w:fldChar w:fldCharType="separate"/>
          </w:r>
          <w:r>
            <w:rPr>
              <w:rFonts w:hint="eastAsia" w:ascii="Times New Roman" w:hAnsi="Times New Roman" w:eastAsia="宋体" w:cs="Times New Roman"/>
              <w:color w:val="auto"/>
              <w:sz w:val="24"/>
              <w:highlight w:val="none"/>
            </w:rPr>
            <w:t>18</w:t>
          </w:r>
          <w:r>
            <w:rPr>
              <w:rFonts w:hint="eastAsia" w:ascii="Times New Roman" w:hAnsi="Times New Roman" w:eastAsia="宋体" w:cs="Times New Roman"/>
              <w:color w:val="auto"/>
              <w:sz w:val="24"/>
              <w:highlight w:val="none"/>
            </w:rPr>
            <w:fldChar w:fldCharType="end"/>
          </w:r>
          <w:r>
            <w:rPr>
              <w:rFonts w:hint="eastAsia" w:ascii="Times New Roman" w:hAnsi="Times New Roman" w:eastAsia="宋体" w:cs="Times New Roman"/>
              <w:color w:val="auto"/>
              <w:sz w:val="24"/>
              <w:highlight w:val="none"/>
            </w:rPr>
            <w:fldChar w:fldCharType="end"/>
          </w:r>
        </w:p>
        <w:p>
          <w:pPr>
            <w:spacing w:line="576" w:lineRule="exact"/>
          </w:pPr>
          <w:r>
            <w:rPr>
              <w:sz w:val="28"/>
              <w:szCs w:val="28"/>
            </w:rPr>
            <w:fldChar w:fldCharType="end"/>
          </w:r>
        </w:p>
      </w:sdtContent>
    </w:sdt>
    <w:p>
      <w:pPr>
        <w:spacing w:line="576" w:lineRule="exact"/>
        <w:rPr>
          <w:rFonts w:ascii="黑体" w:hAnsi="黑体" w:eastAsia="黑体"/>
        </w:rPr>
      </w:pPr>
      <w:r>
        <w:rPr>
          <w:rFonts w:hint="eastAsia" w:ascii="黑体" w:hAnsi="黑体" w:eastAsia="黑体"/>
        </w:rPr>
        <w:br w:type="page"/>
      </w:r>
    </w:p>
    <w:p>
      <w:pPr>
        <w:pStyle w:val="3"/>
        <w:spacing w:before="0" w:after="0" w:line="576" w:lineRule="exact"/>
        <w:jc w:val="center"/>
        <w:rPr>
          <w:rStyle w:val="26"/>
          <w:rFonts w:ascii="黑体" w:hAnsi="黑体" w:eastAsia="黑体"/>
          <w:b/>
          <w:bCs w:val="0"/>
        </w:rPr>
      </w:pPr>
      <w:bookmarkStart w:id="18" w:name="_Toc114745372"/>
      <w:r>
        <w:rPr>
          <w:rFonts w:hint="eastAsia" w:ascii="黑体" w:hAnsi="黑体" w:eastAsia="黑体"/>
          <w:b w:val="0"/>
        </w:rPr>
        <w:t>第一部分 单位</w:t>
      </w:r>
      <w:r>
        <w:rPr>
          <w:rStyle w:val="26"/>
          <w:rFonts w:hint="eastAsia" w:ascii="黑体" w:hAnsi="黑体" w:eastAsia="黑体"/>
          <w:b w:val="0"/>
          <w:bCs w:val="0"/>
        </w:rPr>
        <w:t>概况</w:t>
      </w:r>
      <w:bookmarkEnd w:id="16"/>
      <w:bookmarkEnd w:id="17"/>
      <w:bookmarkEnd w:id="18"/>
    </w:p>
    <w:p>
      <w:pPr>
        <w:pStyle w:val="4"/>
        <w:spacing w:before="0" w:after="0" w:line="576" w:lineRule="exact"/>
        <w:ind w:firstLine="640" w:firstLineChars="200"/>
        <w:rPr>
          <w:rStyle w:val="27"/>
          <w:rFonts w:hint="eastAsia" w:ascii="黑体" w:hAnsi="黑体" w:eastAsia="黑体"/>
          <w:b w:val="0"/>
          <w:bCs w:val="0"/>
        </w:rPr>
      </w:pPr>
      <w:bookmarkStart w:id="19" w:name="_Toc15396600"/>
      <w:bookmarkStart w:id="20" w:name="_Toc15377197"/>
    </w:p>
    <w:p>
      <w:pPr>
        <w:pStyle w:val="4"/>
        <w:numPr>
          <w:ilvl w:val="0"/>
          <w:numId w:val="1"/>
        </w:numPr>
        <w:spacing w:before="0" w:after="0" w:line="576" w:lineRule="exact"/>
        <w:ind w:firstLine="640" w:firstLineChars="200"/>
        <w:rPr>
          <w:rStyle w:val="27"/>
          <w:rFonts w:hint="eastAsia" w:ascii="黑体" w:hAnsi="黑体" w:eastAsia="黑体"/>
          <w:b w:val="0"/>
          <w:bCs w:val="0"/>
          <w:lang w:val="en-US" w:eastAsia="zh-CN"/>
        </w:rPr>
      </w:pPr>
      <w:bookmarkStart w:id="21" w:name="_Toc114745373"/>
      <w:r>
        <w:rPr>
          <w:rStyle w:val="27"/>
          <w:rFonts w:hint="eastAsia" w:ascii="黑体" w:hAnsi="黑体" w:eastAsia="黑体"/>
          <w:b w:val="0"/>
          <w:bCs w:val="0"/>
          <w:lang w:val="en-US" w:eastAsia="zh-CN"/>
        </w:rPr>
        <w:t>基本职能及主要工作</w:t>
      </w:r>
    </w:p>
    <w:p>
      <w:pPr>
        <w:pStyle w:val="4"/>
        <w:numPr>
          <w:ilvl w:val="0"/>
          <w:numId w:val="0"/>
        </w:numPr>
        <w:spacing w:before="0" w:after="0" w:line="576" w:lineRule="exact"/>
        <w:ind w:firstLine="640" w:firstLineChars="200"/>
        <w:rPr>
          <w:rStyle w:val="27"/>
          <w:rFonts w:ascii="黑体" w:hAnsi="黑体" w:eastAsia="黑体"/>
          <w:b w:val="0"/>
          <w:bCs w:val="0"/>
        </w:rPr>
      </w:pPr>
      <w:r>
        <w:rPr>
          <w:rStyle w:val="27"/>
          <w:rFonts w:hint="eastAsia" w:ascii="黑体" w:hAnsi="黑体" w:eastAsia="黑体"/>
          <w:b w:val="0"/>
          <w:bCs w:val="0"/>
          <w:lang w:eastAsia="zh-CN"/>
        </w:rPr>
        <w:t>（</w:t>
      </w:r>
      <w:r>
        <w:rPr>
          <w:rStyle w:val="27"/>
          <w:rFonts w:hint="eastAsia" w:ascii="黑体" w:hAnsi="黑体" w:eastAsia="黑体"/>
          <w:b w:val="0"/>
          <w:bCs w:val="0"/>
          <w:lang w:val="en-US" w:eastAsia="zh-CN"/>
        </w:rPr>
        <w:t>一）</w:t>
      </w:r>
      <w:r>
        <w:rPr>
          <w:rStyle w:val="27"/>
          <w:rFonts w:hint="eastAsia" w:ascii="黑体" w:hAnsi="黑体" w:eastAsia="黑体"/>
          <w:b w:val="0"/>
          <w:bCs w:val="0"/>
        </w:rPr>
        <w:t>职能简介</w:t>
      </w:r>
      <w:bookmarkEnd w:id="21"/>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1.主管全区审计工作。负责对区级财政收支和法律法规规定属于审计监督范围的财务收支的真实、合法和效益进行审计监督，对公共资金、国有资产、国有资源和领导干部履行经济责任情况实行审计全覆盖，对领导干部实行自然资源资产离任审计，对国家、省、市、区有关重大政策措施贯彻落实情况进行跟踪审计。对审计、专项审计调查和核查社会审计机构相关审计报告的结果承担责任，并负有督促被审计单位整改的责任。</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贯彻执行国家有关审计工作的方针政策和法律法规。起草地方性审计相关规定，拟订全区审计规范性文件，负责本部门依法行政工作。制定并组织实施全区专业领域审计工作规划。对直接审计、调查和核查的事项依法进行审计评价，作出审计决定或提出审计建议。</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3.向区委审计委员会提出年度区级预算执行和其他财政支出情况审计报告。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和乡镇党委、政府通报审计情况和审计结果。</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4.直接审计下列事项，出具审计报告，在法定职权范围内作出审计决定：国家、省、市、区有关重大政策措施贯彻落实情况；区级预算执行情况和其他财政收支，区直各部门（含直属单位）预算执行情况、决算草案和其他财政收支；各乡镇政府和拣银岩街道办事处预算执行情况、决算和其他财政收支；使用区级财政资金的事业单位（含直属单位）和社会团体的财务收支；区级政府投资和以区级政府投资为主的建设项目的预算执行情况和决算，区级重大公共工程项目的资金管理使用和建设运营情况；自然资源管理、污染防治和生态保护与修复情况；区属国有企业和地方金融机构、国有资本占控股或主导地位的企业和金融机构境内外资产、负债和损益，区政府及有关部门驻外非经营性机构的财务收支；有关社会保障基金、社会捐赠资金、安全生产和职业健康财政资金以及其他基金、资金的财务收支；法律法规规定的其他事项。</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5.按规定对区管党政主要领导干部及其他单位主要负责人实施经济责任审计和自然资源资产离任审计。</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6.组织实施对国家财经法律法规、规章、政策和宏观调控措施执行情况、财政预算管理及国有资产管理使用等与区级财政收支有关的特定事项进行专项审计调查。</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7.依法检查审计决定执行情况，督促整改审计查出的问题，依法办理被审计单位对审计决定提请行政复议、行政诉讼或区政府裁决中的有关事项，协助配合有关部门查处相关重大案件。</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8.指导和监督内部审计工作，核查社会审计机构对依法属于审计监督对象的单位出具的相关审计报告。</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9.组织开展审计领域内的国际交流与合作。依法组织开展国际组织和外国政府援助、贷款项目的财务收支审计；指导和组织开展信息技术在审计领域的应用。</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10.负责职责范围内的安全生产和职业健康、生态环境保护、审批服务便民化等工作。</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11.完成区委、区政府交办的其他任务。</w:t>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12.进一步理顺内部职责关系，优化审计资源配置，充实加强一线审计力量，构建集中统一、全面覆盖、权威高效的审计监督体系。优化审计工作机制，坚持科技强审，完善业务流程，改进工作方式，加强与有关部门的沟通协调，充分调动内部审计和社会审计力量，增强监督合力。</w:t>
      </w:r>
      <w:bookmarkStart w:id="22" w:name="_Toc15396601"/>
      <w:bookmarkStart w:id="23" w:name="_Toc15377200"/>
      <w:bookmarkStart w:id="24" w:name="_Toc114745374"/>
    </w:p>
    <w:p>
      <w:pPr>
        <w:pStyle w:val="4"/>
        <w:spacing w:before="0" w:after="0" w:line="576" w:lineRule="exact"/>
        <w:ind w:firstLine="643" w:firstLineChars="200"/>
        <w:rPr>
          <w:rStyle w:val="27"/>
          <w:rFonts w:ascii="黑体" w:hAnsi="黑体" w:eastAsia="黑体"/>
          <w:b/>
          <w:bCs w:val="0"/>
        </w:rPr>
      </w:pPr>
      <w:r>
        <w:rPr>
          <w:rStyle w:val="27"/>
          <w:rFonts w:hint="eastAsia" w:ascii="黑体" w:hAnsi="黑体" w:eastAsia="黑体"/>
          <w:b/>
          <w:bCs w:val="0"/>
          <w:lang w:eastAsia="zh-CN"/>
        </w:rPr>
        <w:t>（</w:t>
      </w:r>
      <w:r>
        <w:rPr>
          <w:rStyle w:val="27"/>
          <w:rFonts w:hint="eastAsia" w:ascii="黑体" w:hAnsi="黑体" w:eastAsia="黑体"/>
          <w:b/>
          <w:bCs w:val="0"/>
          <w:lang w:val="en-US" w:eastAsia="zh-CN"/>
        </w:rPr>
        <w:t>二）</w:t>
      </w:r>
      <w:r>
        <w:rPr>
          <w:rStyle w:val="27"/>
          <w:rFonts w:hint="eastAsia" w:ascii="黑体" w:hAnsi="黑体" w:eastAsia="黑体"/>
          <w:b/>
          <w:bCs w:val="0"/>
        </w:rPr>
        <w:t>2021年重点工作完成情况</w:t>
      </w:r>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2021年，区审计局在区委、区政府的坚强领导下，在市审计局的有力指导下，认真贯彻落实党的十九届五中、六中全会精神，切实履行审计监督职责，各项工作取得新的进展。全年计划内审计项目20个，已完成20个。复核500万以下备案项目82个，持续跟踪审计重大在建项目10个。完成</w:t>
      </w:r>
      <w:bookmarkStart w:id="106" w:name="_GoBack"/>
      <w:bookmarkEnd w:id="106"/>
      <w:r>
        <w:rPr>
          <w:rFonts w:hint="eastAsia" w:ascii="Times New Roman"/>
          <w:bCs/>
          <w:color w:val="000000"/>
          <w:sz w:val="32"/>
          <w:szCs w:val="32"/>
          <w:lang w:eastAsia="zh-CN"/>
        </w:rPr>
        <w:t>区委、区政府</w:t>
      </w:r>
      <w:r>
        <w:rPr>
          <w:rFonts w:hint="eastAsia" w:ascii="Times New Roman"/>
          <w:bCs/>
          <w:color w:val="000000"/>
          <w:sz w:val="32"/>
          <w:szCs w:val="32"/>
        </w:rPr>
        <w:t>等交办事项31个。审计共查出违纪违规及管理不规范资金22728.67万元，提交审计建议57条，对重大违法违纪问题移送相关部门10件。审计报告、审计要情专报获</w:t>
      </w:r>
      <w:r>
        <w:rPr>
          <w:rFonts w:hint="eastAsia" w:ascii="Times New Roman"/>
          <w:bCs/>
          <w:color w:val="000000"/>
          <w:sz w:val="32"/>
          <w:szCs w:val="32"/>
          <w:lang w:eastAsia="zh-CN"/>
        </w:rPr>
        <w:t>区委、区政府</w:t>
      </w:r>
      <w:r>
        <w:rPr>
          <w:rFonts w:hint="eastAsia" w:ascii="Times New Roman"/>
          <w:bCs/>
          <w:color w:val="000000"/>
          <w:sz w:val="32"/>
          <w:szCs w:val="32"/>
        </w:rPr>
        <w:t>领导肯定性签批3件。促进增加收入823.26万元，减少支出7711.46万元（含复核核减369.32万元），挽回损失127.38万元；推动项目建设进度、及时办理竣工结（决）算等15个；促进建立健全相关制度6项。信息调研被署管媒体采用2篇，厅管媒体采用5篇，市局采用16篇。</w:t>
      </w:r>
    </w:p>
    <w:p>
      <w:pPr>
        <w:pStyle w:val="2"/>
        <w:adjustRightInd w:val="0"/>
        <w:snapToGrid w:val="0"/>
        <w:spacing w:beforeLines="0" w:line="576" w:lineRule="exact"/>
        <w:ind w:firstLine="600" w:firstLineChars="200"/>
        <w:rPr>
          <w:rStyle w:val="27"/>
          <w:rFonts w:ascii="Times New Roman" w:hAnsi="Times New Roman"/>
          <w:b w:val="0"/>
          <w:bCs w:val="0"/>
        </w:rPr>
      </w:pPr>
      <w:r>
        <w:rPr>
          <w:rFonts w:ascii="Times New Roman" w:hAnsi="Times New Roman" w:eastAsia="黑体"/>
          <w:b w:val="0"/>
          <w:color w:val="000000"/>
        </w:rPr>
        <w:t>二、机</w:t>
      </w:r>
      <w:r>
        <w:rPr>
          <w:rStyle w:val="27"/>
          <w:rFonts w:ascii="Times New Roman" w:hAnsi="Times New Roman" w:eastAsia="黑体"/>
          <w:b w:val="0"/>
          <w:bCs w:val="0"/>
        </w:rPr>
        <w:t>构设置</w:t>
      </w:r>
      <w:bookmarkEnd w:id="22"/>
      <w:bookmarkEnd w:id="23"/>
    </w:p>
    <w:p>
      <w:pPr>
        <w:ind w:firstLine="800" w:firstLineChars="250"/>
        <w:rPr>
          <w:rFonts w:eastAsia="仿宋_GB2312"/>
          <w:bCs/>
          <w:color w:val="000000"/>
          <w:kern w:val="0"/>
          <w:sz w:val="32"/>
          <w:szCs w:val="32"/>
        </w:rPr>
      </w:pPr>
      <w:r>
        <w:rPr>
          <w:rFonts w:eastAsia="仿宋_GB2312"/>
          <w:bCs/>
          <w:color w:val="000000"/>
          <w:kern w:val="0"/>
          <w:sz w:val="32"/>
          <w:szCs w:val="32"/>
        </w:rPr>
        <w:t>区审计局下属二级单位0个，其中行政单位0个，参照公务员法管理的事业单位0个，其他事业单位0个。</w:t>
      </w:r>
    </w:p>
    <w:p>
      <w:pPr>
        <w:pStyle w:val="2"/>
        <w:adjustRightInd w:val="0"/>
        <w:snapToGrid w:val="0"/>
        <w:spacing w:before="93" w:line="600" w:lineRule="exact"/>
        <w:ind w:firstLine="672" w:firstLineChars="210"/>
        <w:rPr>
          <w:rFonts w:ascii="Times New Roman"/>
          <w:bCs/>
          <w:color w:val="000000"/>
          <w:sz w:val="32"/>
          <w:szCs w:val="32"/>
        </w:rPr>
      </w:pPr>
      <w:r>
        <w:rPr>
          <w:rFonts w:ascii="Times New Roman"/>
          <w:bCs/>
          <w:color w:val="000000"/>
          <w:sz w:val="32"/>
          <w:szCs w:val="32"/>
        </w:rPr>
        <w:t>纳入区审计局202</w:t>
      </w:r>
      <w:r>
        <w:rPr>
          <w:rFonts w:hint="eastAsia" w:ascii="Times New Roman"/>
          <w:bCs/>
          <w:color w:val="000000"/>
          <w:sz w:val="32"/>
          <w:szCs w:val="32"/>
          <w:lang w:val="en-US" w:eastAsia="zh-CN"/>
        </w:rPr>
        <w:t>1</w:t>
      </w:r>
      <w:r>
        <w:rPr>
          <w:rFonts w:ascii="Times New Roman"/>
          <w:bCs/>
          <w:color w:val="000000"/>
          <w:sz w:val="32"/>
          <w:szCs w:val="32"/>
        </w:rPr>
        <w:t>年度部门决算编制范围的二级预算单位0个。</w:t>
      </w:r>
    </w:p>
    <w:bookmarkEnd w:id="19"/>
    <w:bookmarkEnd w:id="20"/>
    <w:bookmarkEnd w:id="24"/>
    <w:p>
      <w:pPr>
        <w:widowControl/>
        <w:spacing w:line="576" w:lineRule="exact"/>
        <w:jc w:val="left"/>
        <w:rPr>
          <w:rFonts w:ascii="仿宋" w:hAnsi="仿宋" w:eastAsia="仿宋"/>
          <w:kern w:val="0"/>
          <w:sz w:val="32"/>
          <w:szCs w:val="32"/>
        </w:rPr>
      </w:pPr>
      <w:r>
        <w:rPr>
          <w:rFonts w:ascii="仿宋" w:hAnsi="仿宋" w:eastAsia="仿宋"/>
          <w:sz w:val="32"/>
          <w:szCs w:val="32"/>
        </w:rPr>
        <w:br w:type="page"/>
      </w:r>
    </w:p>
    <w:p>
      <w:pPr>
        <w:pStyle w:val="3"/>
        <w:spacing w:before="0" w:after="0" w:line="576" w:lineRule="exact"/>
        <w:jc w:val="center"/>
      </w:pPr>
      <w:bookmarkStart w:id="25" w:name="_Toc114745375"/>
      <w:bookmarkStart w:id="26" w:name="_Toc15377204"/>
      <w:bookmarkStart w:id="27" w:name="_Toc15396602"/>
      <w:r>
        <w:rPr>
          <w:rFonts w:hint="eastAsia" w:ascii="黑体" w:hAnsi="黑体" w:eastAsia="黑体"/>
          <w:b w:val="0"/>
        </w:rPr>
        <w:t>第二部分 2021年度</w:t>
      </w:r>
      <w:r>
        <w:rPr>
          <w:rFonts w:hint="eastAsia"/>
        </w:rPr>
        <w:t>单位决算情况说明</w:t>
      </w:r>
      <w:bookmarkEnd w:id="25"/>
      <w:bookmarkEnd w:id="26"/>
      <w:bookmarkEnd w:id="27"/>
    </w:p>
    <w:p>
      <w:pPr>
        <w:pStyle w:val="4"/>
        <w:spacing w:before="0" w:after="0" w:line="576" w:lineRule="exact"/>
        <w:ind w:firstLine="640" w:firstLineChars="200"/>
        <w:rPr>
          <w:rStyle w:val="27"/>
          <w:rFonts w:hint="eastAsia" w:ascii="黑体" w:hAnsi="黑体" w:eastAsia="黑体"/>
          <w:b w:val="0"/>
          <w:bCs w:val="0"/>
        </w:rPr>
      </w:pPr>
      <w:bookmarkStart w:id="28" w:name="_Toc15396603"/>
      <w:bookmarkStart w:id="29" w:name="_Toc15377205"/>
      <w:bookmarkStart w:id="30" w:name="_Toc114745376"/>
    </w:p>
    <w:p>
      <w:pPr>
        <w:pStyle w:val="4"/>
        <w:spacing w:before="0" w:after="0" w:line="576" w:lineRule="exact"/>
        <w:ind w:firstLine="640" w:firstLineChars="200"/>
        <w:rPr>
          <w:rStyle w:val="27"/>
          <w:rFonts w:ascii="黑体" w:hAnsi="黑体" w:eastAsia="黑体"/>
          <w:b w:val="0"/>
          <w:bCs w:val="0"/>
        </w:rPr>
      </w:pPr>
      <w:r>
        <w:rPr>
          <w:rStyle w:val="27"/>
          <w:rFonts w:hint="eastAsia" w:ascii="黑体" w:hAnsi="黑体" w:eastAsia="黑体"/>
          <w:b w:val="0"/>
          <w:bCs w:val="0"/>
        </w:rPr>
        <w:t>一、收入支出决算总体情况说明</w:t>
      </w:r>
      <w:bookmarkEnd w:id="28"/>
      <w:bookmarkEnd w:id="29"/>
      <w:bookmarkEnd w:id="30"/>
    </w:p>
    <w:p>
      <w:pPr>
        <w:pStyle w:val="2"/>
        <w:adjustRightInd w:val="0"/>
        <w:snapToGrid w:val="0"/>
        <w:spacing w:beforeLines="0" w:line="576" w:lineRule="exact"/>
        <w:ind w:firstLine="640" w:firstLineChars="200"/>
        <w:rPr>
          <w:rFonts w:hint="eastAsia" w:ascii="仿宋" w:hAnsi="仿宋" w:eastAsia="仿宋"/>
          <w:sz w:val="32"/>
          <w:szCs w:val="32"/>
        </w:rPr>
      </w:pPr>
      <w:r>
        <w:rPr>
          <w:rFonts w:hint="eastAsia" w:ascii="Times New Roman"/>
          <w:bCs/>
          <w:color w:val="000000"/>
          <w:sz w:val="32"/>
          <w:szCs w:val="32"/>
        </w:rPr>
        <w:t>2021年度收、支总计421.19万元。与2020年相比，收、支总计各减少9.85万元，下降2.29</w:t>
      </w:r>
      <w:r>
        <w:rPr>
          <w:rFonts w:ascii="Times New Roman"/>
          <w:bCs/>
          <w:color w:val="000000"/>
          <w:sz w:val="32"/>
          <w:szCs w:val="32"/>
        </w:rPr>
        <w:t>%</w:t>
      </w:r>
      <w:r>
        <w:rPr>
          <w:rFonts w:hint="eastAsia" w:ascii="Times New Roman"/>
          <w:bCs/>
          <w:color w:val="000000"/>
          <w:sz w:val="32"/>
          <w:szCs w:val="32"/>
        </w:rPr>
        <w:t>。主要变动原因是压减三公经费。</w:t>
      </w:r>
    </w:p>
    <w:p>
      <w:pPr>
        <w:widowControl/>
        <w:jc w:val="center"/>
        <w:rPr>
          <w:rFonts w:hint="eastAsia"/>
        </w:rPr>
      </w:pPr>
      <w:r>
        <w:rPr>
          <w:rFonts w:ascii="宋体" w:hAnsi="宋体" w:cs="宋体"/>
          <w:kern w:val="0"/>
          <w:sz w:val="24"/>
        </w:rPr>
        <w:drawing>
          <wp:inline distT="0" distB="0" distL="0" distR="0">
            <wp:extent cx="4535170" cy="1682115"/>
            <wp:effectExtent l="19050" t="0" r="0" b="0"/>
            <wp:docPr id="1" name="图片 1" descr="C:\Users\Administrator\AppData\Roaming\Tencent\Users\479292725\QQ\WinTemp\RichOle\WN%`_]CSM40S151H[WC9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479292725\QQ\WinTemp\RichOle\WN%`_]CSM40S151H[WC9981.png"/>
                    <pic:cNvPicPr>
                      <a:picLocks noChangeAspect="1" noChangeArrowheads="1"/>
                    </pic:cNvPicPr>
                  </pic:nvPicPr>
                  <pic:blipFill>
                    <a:blip r:embed="rId6"/>
                    <a:srcRect/>
                    <a:stretch>
                      <a:fillRect/>
                    </a:stretch>
                  </pic:blipFill>
                  <pic:spPr>
                    <a:xfrm>
                      <a:off x="0" y="0"/>
                      <a:ext cx="4542818" cy="1684792"/>
                    </a:xfrm>
                    <a:prstGeom prst="rect">
                      <a:avLst/>
                    </a:prstGeom>
                    <a:noFill/>
                    <a:ln w="9525">
                      <a:noFill/>
                      <a:miter lim="800000"/>
                      <a:headEnd/>
                      <a:tailEnd/>
                    </a:ln>
                  </pic:spPr>
                </pic:pic>
              </a:graphicData>
            </a:graphic>
          </wp:inline>
        </w:drawing>
      </w:r>
    </w:p>
    <w:p>
      <w:pPr>
        <w:pStyle w:val="4"/>
        <w:spacing w:before="0" w:after="0" w:line="576" w:lineRule="exact"/>
        <w:ind w:firstLine="640" w:firstLineChars="200"/>
        <w:rPr>
          <w:rStyle w:val="27"/>
          <w:rFonts w:ascii="黑体" w:hAnsi="黑体" w:eastAsia="黑体"/>
          <w:b w:val="0"/>
          <w:bCs w:val="0"/>
        </w:rPr>
      </w:pPr>
      <w:bookmarkStart w:id="31" w:name="_Toc15396604"/>
      <w:bookmarkStart w:id="32" w:name="_Toc114745377"/>
      <w:bookmarkStart w:id="33" w:name="_Toc15377206"/>
      <w:r>
        <w:rPr>
          <w:rStyle w:val="27"/>
          <w:rFonts w:hint="eastAsia" w:ascii="黑体" w:hAnsi="黑体" w:eastAsia="黑体"/>
          <w:b w:val="0"/>
          <w:bCs w:val="0"/>
        </w:rPr>
        <w:t>二、收入决算情况说明</w:t>
      </w:r>
      <w:bookmarkEnd w:id="31"/>
      <w:bookmarkEnd w:id="32"/>
      <w:bookmarkEnd w:id="33"/>
    </w:p>
    <w:p>
      <w:pPr>
        <w:pStyle w:val="2"/>
        <w:adjustRightInd w:val="0"/>
        <w:snapToGrid w:val="0"/>
        <w:spacing w:beforeLines="0" w:line="576" w:lineRule="exact"/>
        <w:ind w:firstLine="640" w:firstLineChars="200"/>
        <w:rPr>
          <w:rFonts w:hint="eastAsia"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21年本年收入合计421.19万元，其中：一般公共预算财政拨款收入421.19万元，占100</w:t>
      </w:r>
      <w:r>
        <w:rPr>
          <w:rFonts w:ascii="Times New Roman"/>
          <w:bCs/>
          <w:color w:val="000000"/>
          <w:sz w:val="32"/>
          <w:szCs w:val="32"/>
        </w:rPr>
        <w:t>%</w:t>
      </w:r>
      <w:r>
        <w:rPr>
          <w:rFonts w:hint="eastAsia" w:ascii="Times New Roman"/>
          <w:bCs/>
          <w:color w:val="000000"/>
          <w:sz w:val="32"/>
          <w:szCs w:val="32"/>
        </w:rPr>
        <w:t>。</w:t>
      </w:r>
      <w:bookmarkStart w:id="34" w:name="_Toc15377207"/>
      <w:bookmarkStart w:id="35" w:name="_Toc15396605"/>
    </w:p>
    <w:p>
      <w:pPr>
        <w:pStyle w:val="2"/>
        <w:adjustRightInd w:val="0"/>
        <w:snapToGrid w:val="0"/>
        <w:spacing w:beforeLines="0" w:line="576" w:lineRule="exact"/>
        <w:ind w:firstLine="640" w:firstLineChars="200"/>
        <w:rPr>
          <w:rFonts w:hint="eastAsia" w:ascii="Times New Roman"/>
          <w:bCs/>
          <w:color w:val="000000"/>
          <w:sz w:val="32"/>
          <w:szCs w:val="32"/>
        </w:rPr>
      </w:pPr>
      <w:r>
        <w:rPr>
          <w:rStyle w:val="27"/>
          <w:rFonts w:hint="eastAsia" w:ascii="黑体" w:hAnsi="黑体" w:eastAsia="黑体"/>
          <w:b w:val="0"/>
          <w:bCs w:val="0"/>
        </w:rPr>
        <w:drawing>
          <wp:anchor distT="0" distB="0" distL="114300" distR="114300" simplePos="0" relativeHeight="251659264" behindDoc="0" locked="0" layoutInCell="1" allowOverlap="1">
            <wp:simplePos x="0" y="0"/>
            <wp:positionH relativeFrom="column">
              <wp:posOffset>1823085</wp:posOffset>
            </wp:positionH>
            <wp:positionV relativeFrom="paragraph">
              <wp:posOffset>169545</wp:posOffset>
            </wp:positionV>
            <wp:extent cx="1517650" cy="1345565"/>
            <wp:effectExtent l="19050" t="0" r="6350" b="0"/>
            <wp:wrapSquare wrapText="bothSides"/>
            <wp:docPr id="3" name="图片 3" descr="C:\Users\Administrator\AppData\Roaming\Tencent\Users\479292725\QQ\WinTemp\RichOle\KAFZ~JRJIJFHI2E{0ZZVD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AppData\Roaming\Tencent\Users\479292725\QQ\WinTemp\RichOle\KAFZ~JRJIJFHI2E{0ZZVDFX.png"/>
                    <pic:cNvPicPr>
                      <a:picLocks noChangeAspect="1" noChangeArrowheads="1"/>
                    </pic:cNvPicPr>
                  </pic:nvPicPr>
                  <pic:blipFill>
                    <a:blip r:embed="rId7"/>
                    <a:srcRect/>
                    <a:stretch>
                      <a:fillRect/>
                    </a:stretch>
                  </pic:blipFill>
                  <pic:spPr>
                    <a:xfrm>
                      <a:off x="0" y="0"/>
                      <a:ext cx="1517650" cy="1345565"/>
                    </a:xfrm>
                    <a:prstGeom prst="rect">
                      <a:avLst/>
                    </a:prstGeom>
                    <a:noFill/>
                    <a:ln w="9525">
                      <a:noFill/>
                      <a:miter lim="800000"/>
                      <a:headEnd/>
                      <a:tailEnd/>
                    </a:ln>
                  </pic:spPr>
                </pic:pic>
              </a:graphicData>
            </a:graphic>
          </wp:anchor>
        </w:drawing>
      </w:r>
    </w:p>
    <w:p>
      <w:pPr>
        <w:pStyle w:val="2"/>
        <w:adjustRightInd w:val="0"/>
        <w:snapToGrid w:val="0"/>
        <w:spacing w:beforeLines="0" w:line="576" w:lineRule="exact"/>
        <w:ind w:firstLine="640" w:firstLineChars="200"/>
        <w:rPr>
          <w:rFonts w:hint="eastAsia" w:ascii="Times New Roman"/>
          <w:bCs/>
          <w:color w:val="000000"/>
          <w:sz w:val="32"/>
          <w:szCs w:val="32"/>
        </w:rPr>
      </w:pPr>
    </w:p>
    <w:p>
      <w:pPr>
        <w:spacing w:line="576" w:lineRule="exact"/>
        <w:ind w:firstLine="643" w:firstLineChars="200"/>
        <w:outlineLvl w:val="1"/>
        <w:rPr>
          <w:rStyle w:val="27"/>
          <w:rFonts w:hint="eastAsia" w:ascii="黑体" w:hAnsi="黑体" w:eastAsia="黑体"/>
        </w:rPr>
      </w:pPr>
      <w:bookmarkStart w:id="36" w:name="_Toc114745378"/>
    </w:p>
    <w:p>
      <w:pPr>
        <w:spacing w:line="576" w:lineRule="exact"/>
        <w:ind w:firstLine="643" w:firstLineChars="200"/>
        <w:outlineLvl w:val="1"/>
        <w:rPr>
          <w:rStyle w:val="27"/>
          <w:rFonts w:hint="eastAsia" w:ascii="黑体" w:hAnsi="黑体" w:eastAsia="黑体"/>
        </w:rPr>
      </w:pPr>
    </w:p>
    <w:p>
      <w:pPr>
        <w:spacing w:line="576" w:lineRule="exact"/>
        <w:ind w:firstLine="643" w:firstLineChars="200"/>
        <w:outlineLvl w:val="1"/>
        <w:rPr>
          <w:rStyle w:val="27"/>
          <w:rFonts w:hint="eastAsia" w:ascii="黑体" w:hAnsi="黑体" w:eastAsia="黑体"/>
        </w:rPr>
      </w:pPr>
    </w:p>
    <w:p>
      <w:pPr>
        <w:spacing w:line="576" w:lineRule="exact"/>
        <w:ind w:firstLine="643" w:firstLineChars="200"/>
        <w:outlineLvl w:val="1"/>
        <w:rPr>
          <w:rStyle w:val="27"/>
          <w:rFonts w:ascii="黑体" w:hAnsi="黑体" w:eastAsia="黑体"/>
        </w:rPr>
      </w:pPr>
      <w:r>
        <w:rPr>
          <w:rStyle w:val="27"/>
          <w:rFonts w:hint="eastAsia" w:ascii="黑体" w:hAnsi="黑体" w:eastAsia="黑体"/>
        </w:rPr>
        <w:t>三、支</w:t>
      </w:r>
      <w:r>
        <w:rPr>
          <w:rStyle w:val="27"/>
          <w:rFonts w:hint="eastAsia" w:ascii="黑体" w:hAnsi="黑体" w:eastAsia="黑体"/>
          <w:b w:val="0"/>
        </w:rPr>
        <w:t>出决算情况说明</w:t>
      </w:r>
      <w:bookmarkEnd w:id="34"/>
      <w:bookmarkEnd w:id="35"/>
      <w:bookmarkEnd w:id="36"/>
    </w:p>
    <w:p>
      <w:pPr>
        <w:pStyle w:val="2"/>
        <w:adjustRightInd w:val="0"/>
        <w:snapToGrid w:val="0"/>
        <w:spacing w:beforeLines="0" w:line="576" w:lineRule="exact"/>
        <w:ind w:firstLine="640" w:firstLineChars="200"/>
        <w:rPr>
          <w:rFonts w:hint="eastAsia"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21年本年支出合计421.19万元，其中：基本支出417.59万元，占99.15</w:t>
      </w:r>
      <w:r>
        <w:rPr>
          <w:rFonts w:ascii="Times New Roman"/>
          <w:bCs/>
          <w:color w:val="000000"/>
          <w:sz w:val="32"/>
          <w:szCs w:val="32"/>
        </w:rPr>
        <w:t>%</w:t>
      </w:r>
      <w:r>
        <w:rPr>
          <w:rFonts w:hint="eastAsia" w:ascii="Times New Roman"/>
          <w:bCs/>
          <w:color w:val="000000"/>
          <w:sz w:val="32"/>
          <w:szCs w:val="32"/>
        </w:rPr>
        <w:t>；项目支出3.6万元，占0.85</w:t>
      </w:r>
      <w:r>
        <w:rPr>
          <w:rFonts w:ascii="Times New Roman"/>
          <w:bCs/>
          <w:color w:val="000000"/>
          <w:sz w:val="32"/>
          <w:szCs w:val="32"/>
        </w:rPr>
        <w:t>%</w:t>
      </w:r>
      <w:r>
        <w:rPr>
          <w:rFonts w:hint="eastAsia" w:ascii="Times New Roman"/>
          <w:bCs/>
          <w:color w:val="000000"/>
          <w:sz w:val="32"/>
          <w:szCs w:val="32"/>
        </w:rPr>
        <w:t>。</w:t>
      </w:r>
      <w:bookmarkStart w:id="37" w:name="_Toc15377208"/>
      <w:bookmarkStart w:id="38" w:name="_Toc15396606"/>
    </w:p>
    <w:p>
      <w:pPr>
        <w:pStyle w:val="2"/>
        <w:adjustRightInd w:val="0"/>
        <w:snapToGrid w:val="0"/>
        <w:spacing w:beforeLines="0" w:line="576" w:lineRule="exact"/>
        <w:ind w:firstLine="643" w:firstLineChars="200"/>
        <w:rPr>
          <w:rFonts w:hint="eastAsia" w:ascii="Times New Roman"/>
          <w:bCs/>
          <w:color w:val="000000"/>
          <w:sz w:val="32"/>
          <w:szCs w:val="32"/>
        </w:rPr>
      </w:pPr>
      <w:r>
        <w:rPr>
          <w:rFonts w:hint="eastAsia" w:ascii="黑体" w:hAnsi="黑体" w:eastAsia="黑体" w:cstheme="majorBidi"/>
          <w:b/>
          <w:bCs/>
          <w:sz w:val="32"/>
          <w:szCs w:val="32"/>
        </w:rPr>
        <w:drawing>
          <wp:anchor distT="0" distB="0" distL="114300" distR="114300" simplePos="0" relativeHeight="251660288" behindDoc="0" locked="0" layoutInCell="1" allowOverlap="1">
            <wp:simplePos x="0" y="0"/>
            <wp:positionH relativeFrom="column">
              <wp:posOffset>1655445</wp:posOffset>
            </wp:positionH>
            <wp:positionV relativeFrom="paragraph">
              <wp:posOffset>240665</wp:posOffset>
            </wp:positionV>
            <wp:extent cx="1534160" cy="1405890"/>
            <wp:effectExtent l="19050" t="0" r="8890" b="0"/>
            <wp:wrapSquare wrapText="bothSides"/>
            <wp:docPr id="5" name="图片 5" descr="C:\Users\Administrator\AppData\Roaming\Tencent\Users\479292725\QQ\WinTemp\RichOle\SFRQ@21BWS{SKR]$V@PG3C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Users\479292725\QQ\WinTemp\RichOle\SFRQ@21BWS{SKR]$V@PG3C0.png"/>
                    <pic:cNvPicPr>
                      <a:picLocks noChangeAspect="1" noChangeArrowheads="1"/>
                    </pic:cNvPicPr>
                  </pic:nvPicPr>
                  <pic:blipFill>
                    <a:blip r:embed="rId8"/>
                    <a:srcRect/>
                    <a:stretch>
                      <a:fillRect/>
                    </a:stretch>
                  </pic:blipFill>
                  <pic:spPr>
                    <a:xfrm>
                      <a:off x="0" y="0"/>
                      <a:ext cx="1534160" cy="1405890"/>
                    </a:xfrm>
                    <a:prstGeom prst="rect">
                      <a:avLst/>
                    </a:prstGeom>
                    <a:noFill/>
                    <a:ln w="9525">
                      <a:noFill/>
                      <a:miter lim="800000"/>
                      <a:headEnd/>
                      <a:tailEnd/>
                    </a:ln>
                  </pic:spPr>
                </pic:pic>
              </a:graphicData>
            </a:graphic>
          </wp:anchor>
        </w:drawing>
      </w: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p>
    <w:p>
      <w:pPr>
        <w:spacing w:line="576" w:lineRule="exact"/>
        <w:ind w:firstLine="643" w:firstLineChars="200"/>
        <w:rPr>
          <w:rStyle w:val="27"/>
          <w:rFonts w:hint="eastAsia" w:ascii="黑体" w:hAnsi="黑体" w:eastAsia="黑体"/>
        </w:rPr>
      </w:pPr>
      <w:bookmarkStart w:id="39" w:name="_Toc114745379"/>
    </w:p>
    <w:p>
      <w:pPr>
        <w:spacing w:line="576" w:lineRule="exact"/>
        <w:ind w:firstLine="643" w:firstLineChars="200"/>
        <w:rPr>
          <w:rStyle w:val="27"/>
          <w:rFonts w:ascii="黑体" w:hAnsi="黑体" w:eastAsia="黑体"/>
        </w:rPr>
      </w:pPr>
      <w:r>
        <w:rPr>
          <w:rStyle w:val="27"/>
          <w:rFonts w:hint="eastAsia" w:ascii="黑体" w:hAnsi="黑体" w:eastAsia="黑体"/>
        </w:rPr>
        <w:t>四、财</w:t>
      </w:r>
      <w:r>
        <w:rPr>
          <w:rStyle w:val="27"/>
          <w:rFonts w:hint="eastAsia" w:ascii="黑体" w:hAnsi="黑体" w:eastAsia="黑体"/>
          <w:b w:val="0"/>
        </w:rPr>
        <w:t>政拨款收入支出决算总体情况说明</w:t>
      </w:r>
      <w:bookmarkEnd w:id="37"/>
      <w:bookmarkEnd w:id="38"/>
      <w:bookmarkEnd w:id="39"/>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21年财政拨款收、支总计421.19万元。与</w:t>
      </w:r>
      <w:r>
        <w:rPr>
          <w:rFonts w:ascii="Times New Roman"/>
          <w:bCs/>
          <w:color w:val="000000"/>
          <w:sz w:val="32"/>
          <w:szCs w:val="32"/>
        </w:rPr>
        <w:t>20</w:t>
      </w:r>
      <w:r>
        <w:rPr>
          <w:rFonts w:hint="eastAsia" w:ascii="Times New Roman"/>
          <w:bCs/>
          <w:color w:val="000000"/>
          <w:sz w:val="32"/>
          <w:szCs w:val="32"/>
        </w:rPr>
        <w:t>20年相比，财政拨款收、支总计各减少9.85万元，下降2.29</w:t>
      </w:r>
      <w:r>
        <w:rPr>
          <w:rFonts w:ascii="Times New Roman"/>
          <w:bCs/>
          <w:color w:val="000000"/>
          <w:sz w:val="32"/>
          <w:szCs w:val="32"/>
        </w:rPr>
        <w:t>%</w:t>
      </w:r>
      <w:r>
        <w:rPr>
          <w:rFonts w:hint="eastAsia" w:ascii="Times New Roman"/>
          <w:bCs/>
          <w:color w:val="000000"/>
          <w:sz w:val="32"/>
          <w:szCs w:val="32"/>
        </w:rPr>
        <w:t>。主要变动原因是压减三公经费。</w:t>
      </w:r>
    </w:p>
    <w:p>
      <w:pPr>
        <w:pStyle w:val="2"/>
        <w:spacing w:beforeLines="0"/>
        <w:jc w:val="center"/>
      </w:pPr>
      <w:r>
        <w:drawing>
          <wp:inline distT="0" distB="0" distL="0" distR="0">
            <wp:extent cx="4535170" cy="1724660"/>
            <wp:effectExtent l="19050" t="0" r="0" b="0"/>
            <wp:docPr id="4" name="图片 1" descr="C:\Users\Administrator\AppData\Roaming\Tencent\Users\479292725\QQ\WinTemp\RichOle\WN%`_]CSM40S151H[WC9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AppData\Roaming\Tencent\Users\479292725\QQ\WinTemp\RichOle\WN%`_]CSM40S151H[WC9981.png"/>
                    <pic:cNvPicPr>
                      <a:picLocks noChangeAspect="1" noChangeArrowheads="1"/>
                    </pic:cNvPicPr>
                  </pic:nvPicPr>
                  <pic:blipFill>
                    <a:blip r:embed="rId6"/>
                    <a:srcRect/>
                    <a:stretch>
                      <a:fillRect/>
                    </a:stretch>
                  </pic:blipFill>
                  <pic:spPr>
                    <a:xfrm>
                      <a:off x="0" y="0"/>
                      <a:ext cx="4542818" cy="1727992"/>
                    </a:xfrm>
                    <a:prstGeom prst="rect">
                      <a:avLst/>
                    </a:prstGeom>
                    <a:noFill/>
                    <a:ln w="9525">
                      <a:noFill/>
                      <a:miter lim="800000"/>
                      <a:headEnd/>
                      <a:tailEnd/>
                    </a:ln>
                  </pic:spPr>
                </pic:pic>
              </a:graphicData>
            </a:graphic>
          </wp:inline>
        </w:drawing>
      </w:r>
    </w:p>
    <w:p>
      <w:pPr>
        <w:pStyle w:val="4"/>
        <w:spacing w:before="0" w:after="0" w:line="576" w:lineRule="exact"/>
        <w:ind w:firstLine="640" w:firstLineChars="200"/>
        <w:rPr>
          <w:rStyle w:val="27"/>
          <w:rFonts w:ascii="黑体" w:hAnsi="黑体" w:eastAsia="黑体"/>
          <w:b w:val="0"/>
          <w:bCs w:val="0"/>
        </w:rPr>
      </w:pPr>
      <w:bookmarkStart w:id="40" w:name="_Toc15396607"/>
      <w:bookmarkStart w:id="41" w:name="_Toc114745380"/>
      <w:bookmarkStart w:id="42" w:name="_Toc15377209"/>
      <w:r>
        <w:rPr>
          <w:rStyle w:val="27"/>
          <w:rFonts w:hint="eastAsia" w:ascii="黑体" w:hAnsi="黑体" w:eastAsia="黑体"/>
          <w:b w:val="0"/>
          <w:bCs w:val="0"/>
        </w:rPr>
        <w:t>五、一般公共预算财政拨款支出决算情况说明</w:t>
      </w:r>
      <w:bookmarkEnd w:id="40"/>
      <w:bookmarkEnd w:id="41"/>
      <w:bookmarkEnd w:id="42"/>
    </w:p>
    <w:p>
      <w:pPr>
        <w:pStyle w:val="2"/>
        <w:adjustRightInd w:val="0"/>
        <w:snapToGrid w:val="0"/>
        <w:spacing w:beforeLines="0" w:line="576" w:lineRule="exact"/>
        <w:ind w:firstLine="643" w:firstLineChars="200"/>
        <w:rPr>
          <w:rFonts w:hint="eastAsia" w:ascii="仿宋" w:hAnsi="仿宋" w:eastAsia="仿宋" w:cs="Times New Roman"/>
          <w:b/>
          <w:color w:val="auto"/>
          <w:kern w:val="2"/>
          <w:sz w:val="32"/>
          <w:szCs w:val="32"/>
          <w:highlight w:val="none"/>
          <w:lang w:val="en-US" w:eastAsia="zh-CN" w:bidi="ar-SA"/>
        </w:rPr>
      </w:pPr>
      <w:bookmarkStart w:id="43" w:name="_Toc15377210"/>
      <w:r>
        <w:rPr>
          <w:rFonts w:hint="eastAsia" w:ascii="仿宋" w:hAnsi="仿宋" w:eastAsia="仿宋" w:cs="Times New Roman"/>
          <w:b/>
          <w:color w:val="auto"/>
          <w:kern w:val="2"/>
          <w:sz w:val="32"/>
          <w:szCs w:val="32"/>
          <w:highlight w:val="none"/>
          <w:lang w:val="en-US" w:eastAsia="zh-CN" w:bidi="ar-SA"/>
        </w:rPr>
        <w:t>（一）一般公共预算财政拨款支出决算总体情况</w:t>
      </w:r>
      <w:bookmarkEnd w:id="43"/>
    </w:p>
    <w:p>
      <w:pPr>
        <w:pStyle w:val="2"/>
        <w:adjustRightInd w:val="0"/>
        <w:snapToGrid w:val="0"/>
        <w:spacing w:beforeLines="0" w:line="576" w:lineRule="exact"/>
        <w:ind w:firstLine="640" w:firstLineChars="200"/>
        <w:rPr>
          <w:rFonts w:hint="eastAsia"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21年一般公共预算财政拨款支出421.19万元，占本年支出合计的100</w:t>
      </w:r>
      <w:r>
        <w:rPr>
          <w:rFonts w:ascii="Times New Roman"/>
          <w:bCs/>
          <w:color w:val="000000"/>
          <w:sz w:val="32"/>
          <w:szCs w:val="32"/>
        </w:rPr>
        <w:t>%</w:t>
      </w:r>
      <w:r>
        <w:rPr>
          <w:rFonts w:hint="eastAsia" w:ascii="Times New Roman"/>
          <w:bCs/>
          <w:color w:val="000000"/>
          <w:sz w:val="32"/>
          <w:szCs w:val="32"/>
        </w:rPr>
        <w:t>。与</w:t>
      </w:r>
      <w:r>
        <w:rPr>
          <w:rFonts w:ascii="Times New Roman"/>
          <w:bCs/>
          <w:color w:val="000000"/>
          <w:sz w:val="32"/>
          <w:szCs w:val="32"/>
        </w:rPr>
        <w:t>20</w:t>
      </w:r>
      <w:r>
        <w:rPr>
          <w:rFonts w:hint="eastAsia" w:ascii="Times New Roman"/>
          <w:bCs/>
          <w:color w:val="000000"/>
          <w:sz w:val="32"/>
          <w:szCs w:val="32"/>
        </w:rPr>
        <w:t>20年相比，一般公共预算财政拨款支出减少9.85万元，下降2.29</w:t>
      </w:r>
      <w:r>
        <w:rPr>
          <w:rFonts w:ascii="Times New Roman"/>
          <w:bCs/>
          <w:color w:val="000000"/>
          <w:sz w:val="32"/>
          <w:szCs w:val="32"/>
        </w:rPr>
        <w:t>%</w:t>
      </w:r>
      <w:r>
        <w:rPr>
          <w:rFonts w:hint="eastAsia" w:ascii="Times New Roman"/>
          <w:bCs/>
          <w:color w:val="000000"/>
          <w:sz w:val="32"/>
          <w:szCs w:val="32"/>
        </w:rPr>
        <w:t>。主要变动原因是压减三公经费。</w:t>
      </w:r>
    </w:p>
    <w:p>
      <w:pPr>
        <w:pStyle w:val="2"/>
        <w:adjustRightInd w:val="0"/>
        <w:snapToGrid w:val="0"/>
        <w:spacing w:beforeLines="0"/>
        <w:ind w:firstLine="640" w:firstLineChars="200"/>
        <w:rPr>
          <w:rFonts w:ascii="Times New Roman"/>
          <w:bCs/>
          <w:color w:val="000000"/>
          <w:sz w:val="32"/>
          <w:szCs w:val="32"/>
        </w:rPr>
      </w:pPr>
      <w:r>
        <w:rPr>
          <w:rFonts w:ascii="Times New Roman"/>
          <w:bCs/>
          <w:color w:val="000000"/>
          <w:sz w:val="32"/>
          <w:szCs w:val="32"/>
        </w:rPr>
        <w:drawing>
          <wp:inline distT="0" distB="0" distL="0" distR="0">
            <wp:extent cx="4535170" cy="1699260"/>
            <wp:effectExtent l="19050" t="0" r="0" b="0"/>
            <wp:docPr id="6" name="图片 1" descr="C:\Users\Administrator\AppData\Roaming\Tencent\Users\479292725\QQ\WinTemp\RichOle\WN%`_]CSM40S151H[WC99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AppData\Roaming\Tencent\Users\479292725\QQ\WinTemp\RichOle\WN%`_]CSM40S151H[WC9981.png"/>
                    <pic:cNvPicPr>
                      <a:picLocks noChangeAspect="1" noChangeArrowheads="1"/>
                    </pic:cNvPicPr>
                  </pic:nvPicPr>
                  <pic:blipFill>
                    <a:blip r:embed="rId6"/>
                    <a:srcRect/>
                    <a:stretch>
                      <a:fillRect/>
                    </a:stretch>
                  </pic:blipFill>
                  <pic:spPr>
                    <a:xfrm>
                      <a:off x="0" y="0"/>
                      <a:ext cx="4542818" cy="1702072"/>
                    </a:xfrm>
                    <a:prstGeom prst="rect">
                      <a:avLst/>
                    </a:prstGeom>
                    <a:noFill/>
                    <a:ln w="9525">
                      <a:noFill/>
                      <a:miter lim="800000"/>
                      <a:headEnd/>
                      <a:tailEnd/>
                    </a:ln>
                  </pic:spPr>
                </pic:pic>
              </a:graphicData>
            </a:graphic>
          </wp:inline>
        </w:drawing>
      </w:r>
    </w:p>
    <w:p>
      <w:pPr>
        <w:pStyle w:val="2"/>
        <w:adjustRightInd w:val="0"/>
        <w:snapToGrid w:val="0"/>
        <w:spacing w:beforeLines="0" w:line="576" w:lineRule="exact"/>
        <w:ind w:firstLine="643" w:firstLineChars="200"/>
        <w:rPr>
          <w:rFonts w:ascii="Times New Roman"/>
          <w:bCs/>
          <w:color w:val="000000"/>
          <w:sz w:val="32"/>
          <w:szCs w:val="32"/>
        </w:rPr>
      </w:pPr>
      <w:bookmarkStart w:id="44" w:name="_Toc15377211"/>
      <w:r>
        <w:rPr>
          <w:rFonts w:hint="eastAsia" w:ascii="仿宋" w:hAnsi="仿宋" w:eastAsia="仿宋" w:cs="Times New Roman"/>
          <w:b/>
          <w:color w:val="auto"/>
          <w:kern w:val="2"/>
          <w:sz w:val="32"/>
          <w:szCs w:val="32"/>
          <w:highlight w:val="none"/>
          <w:lang w:val="en-US" w:eastAsia="zh-CN" w:bidi="ar-SA"/>
        </w:rPr>
        <w:t>（二）一般公共预算财政拨款支出决算结构情况</w:t>
      </w:r>
      <w:bookmarkEnd w:id="44"/>
    </w:p>
    <w:p>
      <w:pPr>
        <w:pStyle w:val="2"/>
        <w:adjustRightInd w:val="0"/>
        <w:snapToGrid w:val="0"/>
        <w:spacing w:beforeLines="0" w:line="576" w:lineRule="exact"/>
        <w:ind w:firstLine="640" w:firstLineChars="200"/>
        <w:rPr>
          <w:rFonts w:hint="eastAsia" w:ascii="Times New Roman"/>
          <w:bCs/>
          <w:color w:val="000000"/>
          <w:sz w:val="32"/>
          <w:szCs w:val="32"/>
        </w:rPr>
      </w:pPr>
      <w:r>
        <w:rPr>
          <w:rFonts w:hint="eastAsia" w:ascii="Times New Roman" w:hAnsi="Times New Roman" w:cs="Times New Roman"/>
          <w:bCs/>
          <w:color w:val="000000"/>
          <w:sz w:val="32"/>
          <w:szCs w:val="32"/>
        </w:rPr>
        <w:t>2021年一般公共预算财政拨款支出421.19万元，主要用</w:t>
      </w:r>
      <w:r>
        <w:rPr>
          <w:rFonts w:hint="eastAsia" w:ascii="Times New Roman"/>
          <w:bCs/>
          <w:color w:val="000000"/>
          <w:sz w:val="32"/>
          <w:szCs w:val="32"/>
        </w:rPr>
        <w:t>于以下方面</w:t>
      </w:r>
      <w:r>
        <w:rPr>
          <w:rFonts w:ascii="Times New Roman"/>
          <w:bCs/>
          <w:color w:val="000000"/>
          <w:sz w:val="32"/>
          <w:szCs w:val="32"/>
        </w:rPr>
        <w:t>:</w:t>
      </w:r>
      <w:r>
        <w:rPr>
          <w:rFonts w:hint="eastAsia" w:ascii="仿宋" w:hAnsi="仿宋" w:eastAsia="仿宋" w:cs="Times New Roman"/>
          <w:b/>
          <w:color w:val="auto"/>
          <w:kern w:val="2"/>
          <w:sz w:val="32"/>
          <w:szCs w:val="32"/>
          <w:highlight w:val="none"/>
          <w:lang w:val="en-US" w:eastAsia="zh-CN" w:bidi="ar-SA"/>
        </w:rPr>
        <w:t>一般公共服务（类）支出</w:t>
      </w:r>
      <w:r>
        <w:rPr>
          <w:rFonts w:hint="eastAsia" w:ascii="Times New Roman" w:hAnsi="Times New Roman" w:cs="Times New Roman"/>
          <w:bCs/>
          <w:color w:val="000000"/>
          <w:sz w:val="32"/>
          <w:szCs w:val="32"/>
        </w:rPr>
        <w:t>360.16万</w:t>
      </w:r>
      <w:r>
        <w:rPr>
          <w:rFonts w:hint="eastAsia" w:ascii="Times New Roman"/>
          <w:bCs/>
          <w:color w:val="000000"/>
          <w:sz w:val="32"/>
          <w:szCs w:val="32"/>
        </w:rPr>
        <w:t>元，占</w:t>
      </w:r>
      <w:bookmarkStart w:id="45" w:name="OLE_LINK1"/>
      <w:r>
        <w:rPr>
          <w:rFonts w:hint="eastAsia" w:ascii="Times New Roman"/>
          <w:bCs/>
          <w:color w:val="000000"/>
          <w:sz w:val="32"/>
          <w:szCs w:val="32"/>
        </w:rPr>
        <w:t>85.51</w:t>
      </w:r>
      <w:r>
        <w:rPr>
          <w:rFonts w:ascii="Times New Roman"/>
          <w:bCs/>
          <w:color w:val="000000"/>
          <w:sz w:val="32"/>
          <w:szCs w:val="32"/>
        </w:rPr>
        <w:t>%</w:t>
      </w:r>
      <w:bookmarkEnd w:id="45"/>
      <w:r>
        <w:rPr>
          <w:rFonts w:hint="eastAsia" w:ascii="Times New Roman"/>
          <w:bCs/>
          <w:color w:val="000000"/>
          <w:sz w:val="32"/>
          <w:szCs w:val="32"/>
        </w:rPr>
        <w:t>；</w:t>
      </w:r>
      <w:r>
        <w:rPr>
          <w:rFonts w:hint="eastAsia" w:ascii="仿宋" w:hAnsi="仿宋" w:eastAsia="仿宋" w:cs="Times New Roman"/>
          <w:b/>
          <w:color w:val="auto"/>
          <w:kern w:val="2"/>
          <w:sz w:val="32"/>
          <w:szCs w:val="32"/>
          <w:highlight w:val="none"/>
          <w:lang w:val="en-US" w:eastAsia="zh-CN" w:bidi="ar-SA"/>
        </w:rPr>
        <w:t>社会保障和就业（类）支出</w:t>
      </w:r>
      <w:r>
        <w:rPr>
          <w:rFonts w:hint="eastAsia" w:ascii="Times New Roman"/>
          <w:bCs/>
          <w:color w:val="000000"/>
          <w:sz w:val="32"/>
          <w:szCs w:val="32"/>
        </w:rPr>
        <w:t>24.6万元，占5.84</w:t>
      </w:r>
      <w:r>
        <w:rPr>
          <w:rFonts w:ascii="Times New Roman"/>
          <w:bCs/>
          <w:color w:val="000000"/>
          <w:sz w:val="32"/>
          <w:szCs w:val="32"/>
        </w:rPr>
        <w:t>%</w:t>
      </w:r>
      <w:r>
        <w:rPr>
          <w:rFonts w:hint="eastAsia" w:ascii="Times New Roman"/>
          <w:bCs/>
          <w:color w:val="000000"/>
          <w:sz w:val="32"/>
          <w:szCs w:val="32"/>
        </w:rPr>
        <w:t>；</w:t>
      </w:r>
      <w:r>
        <w:rPr>
          <w:rFonts w:hint="eastAsia" w:ascii="仿宋" w:hAnsi="仿宋" w:eastAsia="仿宋" w:cs="Times New Roman"/>
          <w:b/>
          <w:color w:val="auto"/>
          <w:kern w:val="2"/>
          <w:sz w:val="32"/>
          <w:szCs w:val="32"/>
          <w:highlight w:val="none"/>
          <w:lang w:val="en-US" w:eastAsia="zh-CN" w:bidi="ar-SA"/>
        </w:rPr>
        <w:t>卫生健康（类）支出</w:t>
      </w:r>
      <w:r>
        <w:rPr>
          <w:rFonts w:hint="eastAsia" w:ascii="Times New Roman"/>
          <w:bCs/>
          <w:color w:val="000000"/>
          <w:sz w:val="32"/>
          <w:szCs w:val="32"/>
        </w:rPr>
        <w:t>12.41万元，占2.95</w:t>
      </w:r>
      <w:r>
        <w:rPr>
          <w:rFonts w:ascii="Times New Roman"/>
          <w:bCs/>
          <w:color w:val="000000"/>
          <w:sz w:val="32"/>
          <w:szCs w:val="32"/>
        </w:rPr>
        <w:t>%</w:t>
      </w:r>
      <w:r>
        <w:rPr>
          <w:rFonts w:hint="eastAsia" w:ascii="Times New Roman"/>
          <w:bCs/>
          <w:color w:val="000000"/>
          <w:sz w:val="32"/>
          <w:szCs w:val="32"/>
        </w:rPr>
        <w:t>；</w:t>
      </w:r>
      <w:r>
        <w:rPr>
          <w:rFonts w:hint="eastAsia" w:ascii="仿宋" w:hAnsi="仿宋" w:eastAsia="仿宋" w:cs="Times New Roman"/>
          <w:b/>
          <w:color w:val="auto"/>
          <w:kern w:val="2"/>
          <w:sz w:val="32"/>
          <w:szCs w:val="32"/>
          <w:highlight w:val="none"/>
          <w:lang w:val="en-US" w:eastAsia="zh-CN" w:bidi="ar-SA"/>
        </w:rPr>
        <w:t>住房保障（类）支出</w:t>
      </w:r>
      <w:r>
        <w:rPr>
          <w:rFonts w:hint="eastAsia" w:ascii="Times New Roman"/>
          <w:bCs/>
          <w:color w:val="000000"/>
          <w:sz w:val="32"/>
          <w:szCs w:val="32"/>
        </w:rPr>
        <w:t>24.02万元，占5.7</w:t>
      </w:r>
      <w:r>
        <w:rPr>
          <w:rFonts w:ascii="Times New Roman"/>
          <w:bCs/>
          <w:color w:val="000000"/>
          <w:sz w:val="32"/>
          <w:szCs w:val="32"/>
        </w:rPr>
        <w:t>%</w:t>
      </w:r>
      <w:r>
        <w:rPr>
          <w:rFonts w:hint="eastAsia" w:ascii="Times New Roman"/>
          <w:bCs/>
          <w:color w:val="000000"/>
          <w:sz w:val="32"/>
          <w:szCs w:val="32"/>
        </w:rPr>
        <w:t>。</w:t>
      </w:r>
    </w:p>
    <w:p>
      <w:pPr>
        <w:pStyle w:val="2"/>
        <w:adjustRightInd w:val="0"/>
        <w:snapToGrid w:val="0"/>
        <w:spacing w:beforeLines="0" w:line="576" w:lineRule="exact"/>
        <w:ind w:firstLine="640" w:firstLineChars="200"/>
        <w:rPr>
          <w:rFonts w:hint="eastAsia" w:ascii="Times New Roman"/>
          <w:bCs/>
          <w:color w:val="000000"/>
          <w:sz w:val="32"/>
          <w:szCs w:val="32"/>
        </w:rPr>
      </w:pPr>
      <w:r>
        <w:rPr>
          <w:rFonts w:ascii="Times New Roman"/>
          <w:bCs/>
          <w:color w:val="000000"/>
          <w:sz w:val="32"/>
          <w:szCs w:val="32"/>
        </w:rPr>
        <w:drawing>
          <wp:anchor distT="0" distB="0" distL="114300" distR="114300" simplePos="0" relativeHeight="251661312" behindDoc="0" locked="0" layoutInCell="1" allowOverlap="1">
            <wp:simplePos x="0" y="0"/>
            <wp:positionH relativeFrom="column">
              <wp:posOffset>1182370</wp:posOffset>
            </wp:positionH>
            <wp:positionV relativeFrom="paragraph">
              <wp:posOffset>38100</wp:posOffset>
            </wp:positionV>
            <wp:extent cx="2801620" cy="1379855"/>
            <wp:effectExtent l="19050" t="0" r="0" b="0"/>
            <wp:wrapSquare wrapText="bothSides"/>
            <wp:docPr id="9" name="图片 9" descr="C:\Users\Administrator\AppData\Roaming\Tencent\Users\479292725\QQ\WinTemp\RichOle\5}TOSW{_TOA$RRJYC8J~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AppData\Roaming\Tencent\Users\479292725\QQ\WinTemp\RichOle\5}TOSW{_TOA$RRJYC8J~044.png"/>
                    <pic:cNvPicPr>
                      <a:picLocks noChangeAspect="1" noChangeArrowheads="1"/>
                    </pic:cNvPicPr>
                  </pic:nvPicPr>
                  <pic:blipFill>
                    <a:blip r:embed="rId9"/>
                    <a:srcRect/>
                    <a:stretch>
                      <a:fillRect/>
                    </a:stretch>
                  </pic:blipFill>
                  <pic:spPr>
                    <a:xfrm>
                      <a:off x="0" y="0"/>
                      <a:ext cx="2801620" cy="1379855"/>
                    </a:xfrm>
                    <a:prstGeom prst="rect">
                      <a:avLst/>
                    </a:prstGeom>
                    <a:noFill/>
                    <a:ln w="9525">
                      <a:noFill/>
                      <a:miter lim="800000"/>
                      <a:headEnd/>
                      <a:tailEnd/>
                    </a:ln>
                  </pic:spPr>
                </pic:pic>
              </a:graphicData>
            </a:graphic>
          </wp:anchor>
        </w:drawing>
      </w: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bookmarkStart w:id="46" w:name="_Toc15377212"/>
    </w:p>
    <w:p>
      <w:pPr>
        <w:pStyle w:val="2"/>
        <w:adjustRightInd w:val="0"/>
        <w:snapToGrid w:val="0"/>
        <w:spacing w:beforeLines="0" w:line="576" w:lineRule="exact"/>
        <w:ind w:firstLine="643" w:firstLineChars="200"/>
        <w:rPr>
          <w:rFonts w:hint="eastAsia" w:ascii="仿宋" w:hAnsi="仿宋" w:eastAsia="仿宋" w:cs="Times New Roman"/>
          <w:b/>
          <w:color w:val="auto"/>
          <w:kern w:val="2"/>
          <w:sz w:val="32"/>
          <w:szCs w:val="32"/>
          <w:highlight w:val="none"/>
          <w:lang w:val="en-US" w:eastAsia="zh-CN" w:bidi="ar-SA"/>
        </w:rPr>
      </w:pPr>
      <w:r>
        <w:rPr>
          <w:rFonts w:hint="eastAsia" w:ascii="仿宋" w:hAnsi="仿宋" w:eastAsia="仿宋" w:cs="Times New Roman"/>
          <w:b/>
          <w:color w:val="auto"/>
          <w:kern w:val="2"/>
          <w:sz w:val="32"/>
          <w:szCs w:val="32"/>
          <w:highlight w:val="none"/>
          <w:lang w:val="en-US" w:eastAsia="zh-CN" w:bidi="ar-SA"/>
        </w:rPr>
        <w:t>（三）一般公共预算财政拨款支出决算具体情况</w:t>
      </w:r>
      <w:bookmarkEnd w:id="46"/>
    </w:p>
    <w:p>
      <w:pPr>
        <w:pStyle w:val="2"/>
        <w:adjustRightInd w:val="0"/>
        <w:snapToGrid w:val="0"/>
        <w:spacing w:beforeLines="0" w:line="576" w:lineRule="exact"/>
        <w:ind w:firstLine="640" w:firstLineChars="200"/>
        <w:rPr>
          <w:rFonts w:ascii="Times New Roman"/>
          <w:bCs/>
          <w:color w:val="000000"/>
          <w:sz w:val="32"/>
          <w:szCs w:val="32"/>
        </w:rPr>
      </w:pPr>
      <w:bookmarkStart w:id="47" w:name="_Toc15377213"/>
      <w:bookmarkStart w:id="48" w:name="_Toc15377444"/>
      <w:bookmarkStart w:id="49" w:name="_Toc15378460"/>
      <w:r>
        <w:rPr>
          <w:rFonts w:hint="eastAsia" w:ascii="Times New Roman"/>
          <w:bCs/>
          <w:color w:val="000000"/>
          <w:sz w:val="32"/>
          <w:szCs w:val="32"/>
        </w:rPr>
        <w:t>2021年一般公共预算支出决算数为421.19万元，</w:t>
      </w:r>
      <w:r>
        <w:rPr>
          <w:rFonts w:hint="eastAsia" w:ascii="Times New Roman"/>
          <w:b/>
          <w:color w:val="000000"/>
        </w:rPr>
        <w:t>完成预算100</w:t>
      </w:r>
      <w:r>
        <w:rPr>
          <w:rFonts w:ascii="Times New Roman"/>
          <w:b/>
          <w:color w:val="000000"/>
        </w:rPr>
        <w:t>%</w:t>
      </w:r>
      <w:r>
        <w:rPr>
          <w:rFonts w:hint="eastAsia" w:ascii="Times New Roman"/>
          <w:b/>
          <w:color w:val="000000"/>
        </w:rPr>
        <w:t>。其中：</w:t>
      </w:r>
      <w:bookmarkEnd w:id="47"/>
      <w:bookmarkEnd w:id="48"/>
      <w:bookmarkEnd w:id="49"/>
    </w:p>
    <w:p>
      <w:pPr>
        <w:pStyle w:val="2"/>
        <w:adjustRightInd w:val="0"/>
        <w:snapToGrid w:val="0"/>
        <w:spacing w:beforeLines="0" w:line="576" w:lineRule="exact"/>
        <w:ind w:firstLine="602" w:firstLineChars="200"/>
        <w:rPr>
          <w:rFonts w:ascii="Times New Roman"/>
        </w:rPr>
      </w:pPr>
      <w:r>
        <w:rPr>
          <w:rFonts w:ascii="Times New Roman"/>
          <w:b/>
          <w:color w:val="000000"/>
        </w:rPr>
        <w:t>1.</w:t>
      </w:r>
      <w:r>
        <w:rPr>
          <w:rFonts w:hint="eastAsia" w:ascii="Times New Roman"/>
          <w:b/>
          <w:color w:val="000000"/>
        </w:rPr>
        <w:t>一般公共服务（类）审计事务（款）</w:t>
      </w:r>
      <w:r>
        <w:rPr>
          <w:rFonts w:ascii="Times New Roman"/>
          <w:b/>
        </w:rPr>
        <w:t>行政运行（项）:</w:t>
      </w:r>
      <w:r>
        <w:rPr>
          <w:rFonts w:ascii="Times New Roman"/>
        </w:rPr>
        <w:t xml:space="preserve"> 支出决算为</w:t>
      </w:r>
      <w:r>
        <w:rPr>
          <w:rFonts w:hint="eastAsia" w:ascii="Times New Roman"/>
        </w:rPr>
        <w:t>135.77</w:t>
      </w:r>
      <w:r>
        <w:rPr>
          <w:rFonts w:ascii="Times New Roman"/>
        </w:rPr>
        <w:t>万元，完成预算100%。</w:t>
      </w:r>
    </w:p>
    <w:p>
      <w:pPr>
        <w:pStyle w:val="2"/>
        <w:adjustRightInd w:val="0"/>
        <w:snapToGrid w:val="0"/>
        <w:spacing w:beforeLines="0" w:line="576" w:lineRule="exact"/>
        <w:ind w:firstLine="602" w:firstLineChars="200"/>
        <w:rPr>
          <w:rFonts w:ascii="Times New Roman"/>
          <w:b/>
          <w:color w:val="000000"/>
          <w:sz w:val="32"/>
          <w:szCs w:val="32"/>
        </w:rPr>
      </w:pPr>
      <w:r>
        <w:rPr>
          <w:rFonts w:ascii="Times New Roman"/>
          <w:b/>
        </w:rPr>
        <w:t>2.一般公共服务（类）审计事务（款）审计业务（项）:</w:t>
      </w:r>
      <w:r>
        <w:rPr>
          <w:rFonts w:ascii="Times New Roman"/>
        </w:rPr>
        <w:t xml:space="preserve"> 支出决算为120万元，完成预算100%。</w:t>
      </w:r>
    </w:p>
    <w:p>
      <w:pPr>
        <w:pStyle w:val="2"/>
        <w:adjustRightInd w:val="0"/>
        <w:snapToGrid w:val="0"/>
        <w:spacing w:beforeLines="0" w:line="576" w:lineRule="exact"/>
        <w:ind w:firstLine="602" w:firstLineChars="200"/>
        <w:rPr>
          <w:rFonts w:ascii="Times New Roman"/>
        </w:rPr>
      </w:pPr>
      <w:r>
        <w:rPr>
          <w:rFonts w:ascii="Times New Roman"/>
          <w:b/>
        </w:rPr>
        <w:t xml:space="preserve">3.一般公共服务（类）审计事务（款）事业运行（项）: </w:t>
      </w:r>
      <w:r>
        <w:rPr>
          <w:rFonts w:ascii="Times New Roman"/>
        </w:rPr>
        <w:t>支出决算为</w:t>
      </w:r>
      <w:r>
        <w:rPr>
          <w:rFonts w:hint="eastAsia" w:ascii="Times New Roman"/>
        </w:rPr>
        <w:t>100.79</w:t>
      </w:r>
      <w:r>
        <w:rPr>
          <w:rFonts w:ascii="Times New Roman"/>
        </w:rPr>
        <w:t>万元，完成预算100%。</w:t>
      </w:r>
    </w:p>
    <w:p>
      <w:pPr>
        <w:pStyle w:val="2"/>
        <w:adjustRightInd w:val="0"/>
        <w:snapToGrid w:val="0"/>
        <w:spacing w:beforeLines="0" w:line="576" w:lineRule="exact"/>
        <w:ind w:firstLine="602" w:firstLineChars="200"/>
        <w:rPr>
          <w:rFonts w:ascii="Times New Roman"/>
        </w:rPr>
      </w:pPr>
      <w:r>
        <w:rPr>
          <w:rFonts w:hint="eastAsia" w:ascii="Times New Roman"/>
          <w:b/>
        </w:rPr>
        <w:t>4</w:t>
      </w:r>
      <w:r>
        <w:rPr>
          <w:rFonts w:ascii="Times New Roman"/>
          <w:b/>
        </w:rPr>
        <w:t>.一般公共服务（类）审计事务（款）</w:t>
      </w:r>
      <w:r>
        <w:rPr>
          <w:rFonts w:hint="eastAsia" w:ascii="Times New Roman"/>
          <w:b/>
        </w:rPr>
        <w:t>其他审计事务支出</w:t>
      </w:r>
      <w:r>
        <w:rPr>
          <w:rFonts w:ascii="Times New Roman"/>
          <w:b/>
        </w:rPr>
        <w:t xml:space="preserve">（项）: </w:t>
      </w:r>
      <w:r>
        <w:rPr>
          <w:rFonts w:ascii="Times New Roman"/>
        </w:rPr>
        <w:t>支出决算为</w:t>
      </w:r>
      <w:r>
        <w:rPr>
          <w:rFonts w:hint="eastAsia" w:ascii="Times New Roman"/>
        </w:rPr>
        <w:t>3.6</w:t>
      </w:r>
      <w:r>
        <w:rPr>
          <w:rFonts w:ascii="Times New Roman"/>
        </w:rPr>
        <w:t>万元，完成预算100%。</w:t>
      </w:r>
    </w:p>
    <w:p>
      <w:pPr>
        <w:pStyle w:val="2"/>
        <w:adjustRightInd w:val="0"/>
        <w:snapToGrid w:val="0"/>
        <w:spacing w:beforeLines="0" w:line="576" w:lineRule="exact"/>
        <w:ind w:firstLine="602" w:firstLineChars="200"/>
        <w:rPr>
          <w:rFonts w:ascii="Times New Roman"/>
        </w:rPr>
      </w:pPr>
      <w:r>
        <w:rPr>
          <w:rFonts w:ascii="Times New Roman"/>
          <w:b/>
        </w:rPr>
        <w:t>5.社会保障和就业（类）</w:t>
      </w:r>
      <w:r>
        <w:rPr>
          <w:rFonts w:hint="eastAsia" w:ascii="Times New Roman"/>
          <w:b/>
        </w:rPr>
        <w:t>行政事业单位养老支出</w:t>
      </w:r>
      <w:r>
        <w:rPr>
          <w:rFonts w:ascii="Times New Roman"/>
          <w:b/>
        </w:rPr>
        <w:t xml:space="preserve">（款）机关事业单位职业年金缴费支出（项）: </w:t>
      </w:r>
      <w:r>
        <w:rPr>
          <w:rFonts w:ascii="Times New Roman"/>
        </w:rPr>
        <w:t>支出决算为</w:t>
      </w:r>
      <w:r>
        <w:rPr>
          <w:rFonts w:hint="eastAsia" w:ascii="Times New Roman"/>
        </w:rPr>
        <w:t>23.37</w:t>
      </w:r>
      <w:r>
        <w:rPr>
          <w:rFonts w:ascii="Times New Roman"/>
        </w:rPr>
        <w:t>万元，完成预算100%。</w:t>
      </w:r>
    </w:p>
    <w:p>
      <w:pPr>
        <w:pStyle w:val="2"/>
        <w:adjustRightInd w:val="0"/>
        <w:snapToGrid w:val="0"/>
        <w:spacing w:beforeLines="0" w:line="576" w:lineRule="exact"/>
        <w:ind w:firstLine="602" w:firstLineChars="200"/>
        <w:rPr>
          <w:rFonts w:ascii="Times New Roman"/>
        </w:rPr>
      </w:pPr>
      <w:r>
        <w:rPr>
          <w:rFonts w:ascii="Times New Roman"/>
          <w:b/>
        </w:rPr>
        <w:t xml:space="preserve">6.社会保障和就业（类）其他社会保障和就业支出（款）其他社会保障和就业支出（项）: </w:t>
      </w:r>
      <w:r>
        <w:rPr>
          <w:rFonts w:ascii="Times New Roman"/>
        </w:rPr>
        <w:t>支出决算为1.</w:t>
      </w:r>
      <w:r>
        <w:rPr>
          <w:rFonts w:hint="eastAsia" w:ascii="Times New Roman"/>
        </w:rPr>
        <w:t>23</w:t>
      </w:r>
      <w:r>
        <w:rPr>
          <w:rFonts w:ascii="Times New Roman"/>
        </w:rPr>
        <w:t>万元，完成预算100%。</w:t>
      </w:r>
    </w:p>
    <w:p>
      <w:pPr>
        <w:pStyle w:val="2"/>
        <w:adjustRightInd w:val="0"/>
        <w:snapToGrid w:val="0"/>
        <w:spacing w:beforeLines="0" w:line="576" w:lineRule="exact"/>
        <w:ind w:firstLine="602" w:firstLineChars="200"/>
        <w:rPr>
          <w:rFonts w:ascii="Times New Roman"/>
          <w:bCs/>
          <w:color w:val="000000"/>
          <w:sz w:val="32"/>
          <w:szCs w:val="32"/>
        </w:rPr>
      </w:pPr>
      <w:r>
        <w:rPr>
          <w:rFonts w:ascii="Times New Roman"/>
          <w:b/>
        </w:rPr>
        <w:t>7.</w:t>
      </w:r>
      <w:r>
        <w:rPr>
          <w:rFonts w:ascii="Times New Roman"/>
          <w:bCs/>
          <w:color w:val="000000"/>
          <w:sz w:val="32"/>
          <w:szCs w:val="32"/>
        </w:rPr>
        <w:t>卫生健康</w:t>
      </w:r>
      <w:r>
        <w:rPr>
          <w:rFonts w:ascii="Times New Roman"/>
          <w:b/>
        </w:rPr>
        <w:t>（类）行政事业单位医疗（款）行政单位医疗（项）:</w:t>
      </w:r>
      <w:r>
        <w:rPr>
          <w:rFonts w:ascii="Times New Roman"/>
        </w:rPr>
        <w:t>支出决算为</w:t>
      </w:r>
      <w:r>
        <w:rPr>
          <w:rFonts w:hint="eastAsia" w:ascii="Times New Roman"/>
        </w:rPr>
        <w:t>5.6</w:t>
      </w:r>
      <w:r>
        <w:rPr>
          <w:rFonts w:ascii="Times New Roman"/>
        </w:rPr>
        <w:t>万元，完成预算100%。</w:t>
      </w:r>
    </w:p>
    <w:p>
      <w:pPr>
        <w:pStyle w:val="2"/>
        <w:adjustRightInd w:val="0"/>
        <w:snapToGrid w:val="0"/>
        <w:spacing w:beforeLines="0" w:line="576" w:lineRule="exact"/>
        <w:ind w:firstLine="602" w:firstLineChars="200"/>
        <w:rPr>
          <w:rFonts w:ascii="Times New Roman"/>
        </w:rPr>
      </w:pPr>
      <w:r>
        <w:rPr>
          <w:rFonts w:ascii="Times New Roman"/>
          <w:b/>
        </w:rPr>
        <w:t>8.</w:t>
      </w:r>
      <w:r>
        <w:rPr>
          <w:rFonts w:ascii="Times New Roman"/>
          <w:bCs/>
          <w:color w:val="000000"/>
          <w:sz w:val="32"/>
          <w:szCs w:val="32"/>
        </w:rPr>
        <w:t>卫生健康</w:t>
      </w:r>
      <w:r>
        <w:rPr>
          <w:rFonts w:ascii="Times New Roman"/>
          <w:b/>
        </w:rPr>
        <w:t>（类）行政事业单位医疗（款）事业单位医疗（项）:</w:t>
      </w:r>
      <w:r>
        <w:rPr>
          <w:rFonts w:ascii="Times New Roman"/>
        </w:rPr>
        <w:t>支出决算为</w:t>
      </w:r>
      <w:r>
        <w:rPr>
          <w:rFonts w:hint="eastAsia" w:ascii="Times New Roman"/>
        </w:rPr>
        <w:t>6.81</w:t>
      </w:r>
      <w:r>
        <w:rPr>
          <w:rFonts w:ascii="Times New Roman"/>
        </w:rPr>
        <w:t>万元，完成预算100%。</w:t>
      </w:r>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9</w:t>
      </w:r>
      <w:r>
        <w:rPr>
          <w:rFonts w:ascii="Times New Roman"/>
          <w:bCs/>
          <w:color w:val="000000"/>
          <w:sz w:val="32"/>
          <w:szCs w:val="32"/>
        </w:rPr>
        <w:t>.</w:t>
      </w:r>
      <w:r>
        <w:rPr>
          <w:rFonts w:ascii="Times New Roman"/>
          <w:b/>
        </w:rPr>
        <w:t>住房保障支出（类）住房改革支出（款）住房公积金（项）:</w:t>
      </w:r>
      <w:r>
        <w:rPr>
          <w:rFonts w:ascii="Times New Roman"/>
        </w:rPr>
        <w:t>支出决算为</w:t>
      </w:r>
      <w:r>
        <w:rPr>
          <w:rFonts w:hint="eastAsia" w:ascii="Times New Roman"/>
        </w:rPr>
        <w:t>24.01</w:t>
      </w:r>
      <w:r>
        <w:rPr>
          <w:rFonts w:ascii="Times New Roman"/>
        </w:rPr>
        <w:t>万元，完成预算100%。</w:t>
      </w:r>
    </w:p>
    <w:p>
      <w:pPr>
        <w:pStyle w:val="4"/>
        <w:spacing w:before="0" w:after="0" w:line="576" w:lineRule="exact"/>
        <w:ind w:firstLine="640" w:firstLineChars="200"/>
        <w:rPr>
          <w:rStyle w:val="27"/>
          <w:b w:val="0"/>
          <w:bCs w:val="0"/>
        </w:rPr>
      </w:pPr>
      <w:bookmarkStart w:id="50" w:name="_Toc15377214"/>
      <w:bookmarkStart w:id="51" w:name="_Toc15396608"/>
      <w:bookmarkStart w:id="52" w:name="_Toc114745381"/>
      <w:r>
        <w:rPr>
          <w:rStyle w:val="27"/>
          <w:rFonts w:hint="eastAsia" w:ascii="黑体" w:hAnsi="黑体" w:eastAsia="黑体"/>
          <w:b w:val="0"/>
          <w:bCs w:val="0"/>
        </w:rPr>
        <w:t>六、一般公共预算财政拨款基本支出决算情况说明</w:t>
      </w:r>
      <w:bookmarkEnd w:id="50"/>
      <w:bookmarkEnd w:id="51"/>
      <w:bookmarkEnd w:id="52"/>
      <w:r>
        <w:rPr>
          <w:rStyle w:val="27"/>
          <w:rFonts w:ascii="黑体" w:hAnsi="黑体" w:eastAsia="黑体"/>
          <w:b w:val="0"/>
          <w:bCs w:val="0"/>
        </w:rPr>
        <w:tab/>
      </w:r>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21年一般公共预算财政拨款基本支出417.59万元，其中：</w:t>
      </w:r>
    </w:p>
    <w:p>
      <w:pPr>
        <w:pStyle w:val="2"/>
        <w:adjustRightInd w:val="0"/>
        <w:snapToGrid w:val="0"/>
        <w:spacing w:beforeLines="0" w:line="576" w:lineRule="exact"/>
        <w:ind w:firstLine="640" w:firstLineChars="200"/>
        <w:rPr>
          <w:rFonts w:hint="eastAsia" w:ascii="Times New Roman" w:eastAsia="仿宋_GB2312"/>
          <w:bCs/>
          <w:color w:val="000000"/>
          <w:sz w:val="32"/>
          <w:szCs w:val="32"/>
          <w:lang w:eastAsia="zh-CN"/>
        </w:rPr>
      </w:pPr>
      <w:r>
        <w:rPr>
          <w:rFonts w:hint="eastAsia" w:ascii="Times New Roman"/>
          <w:bCs/>
          <w:color w:val="000000"/>
          <w:sz w:val="32"/>
          <w:szCs w:val="32"/>
        </w:rPr>
        <w:t>人员经费</w:t>
      </w:r>
      <w:r>
        <w:rPr>
          <w:rFonts w:hint="eastAsia" w:ascii="Times New Roman"/>
          <w:bCs/>
          <w:color w:val="000000"/>
          <w:sz w:val="32"/>
          <w:szCs w:val="32"/>
          <w:lang w:val="en-US" w:eastAsia="zh-CN"/>
        </w:rPr>
        <w:t>259.53</w:t>
      </w:r>
      <w:r>
        <w:rPr>
          <w:rFonts w:hint="eastAsia" w:ascii="Times New Roman"/>
          <w:bCs/>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公用经费158.06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
        <w:spacing w:before="0" w:after="0" w:line="576" w:lineRule="exact"/>
        <w:ind w:firstLine="640" w:firstLineChars="200"/>
        <w:rPr>
          <w:rStyle w:val="27"/>
          <w:rFonts w:ascii="黑体" w:hAnsi="黑体" w:eastAsia="黑体"/>
          <w:b w:val="0"/>
          <w:bCs w:val="0"/>
        </w:rPr>
      </w:pPr>
      <w:bookmarkStart w:id="53" w:name="_Toc15396609"/>
      <w:bookmarkStart w:id="54" w:name="_Toc15377215"/>
      <w:bookmarkStart w:id="55" w:name="_Toc114745382"/>
      <w:r>
        <w:rPr>
          <w:rStyle w:val="27"/>
          <w:rFonts w:hint="eastAsia" w:ascii="黑体" w:hAnsi="黑体" w:eastAsia="黑体"/>
          <w:b w:val="0"/>
          <w:bCs w:val="0"/>
        </w:rPr>
        <w:t>七、“三公”经费财政拨款支出决算情况说明</w:t>
      </w:r>
      <w:bookmarkEnd w:id="53"/>
      <w:bookmarkEnd w:id="54"/>
      <w:bookmarkEnd w:id="55"/>
    </w:p>
    <w:p>
      <w:pPr>
        <w:spacing w:line="600" w:lineRule="exact"/>
        <w:ind w:firstLine="640"/>
        <w:outlineLvl w:val="2"/>
        <w:rPr>
          <w:rFonts w:hint="eastAsia" w:ascii="仿宋" w:hAnsi="仿宋" w:eastAsia="仿宋" w:cs="Times New Roman"/>
          <w:b/>
          <w:color w:val="auto"/>
          <w:sz w:val="32"/>
          <w:szCs w:val="32"/>
          <w:highlight w:val="none"/>
        </w:rPr>
      </w:pPr>
      <w:bookmarkStart w:id="56" w:name="_Toc15377216"/>
      <w:r>
        <w:rPr>
          <w:rFonts w:hint="eastAsia" w:ascii="仿宋" w:hAnsi="仿宋" w:eastAsia="仿宋" w:cs="Times New Roman"/>
          <w:b/>
          <w:color w:val="auto"/>
          <w:sz w:val="32"/>
          <w:szCs w:val="32"/>
          <w:highlight w:val="none"/>
        </w:rPr>
        <w:t>（一）“三公”经费财政拨款支出决算总体情况说明</w:t>
      </w:r>
      <w:bookmarkEnd w:id="56"/>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21年“三公”经费财政拨款支出决算为8.59万元，完成预算99.88</w:t>
      </w:r>
      <w:r>
        <w:rPr>
          <w:rFonts w:ascii="Times New Roman"/>
          <w:bCs/>
          <w:color w:val="000000"/>
          <w:sz w:val="32"/>
          <w:szCs w:val="32"/>
        </w:rPr>
        <w:t>%</w:t>
      </w:r>
      <w:r>
        <w:rPr>
          <w:rFonts w:hint="eastAsia" w:ascii="Times New Roman"/>
          <w:bCs/>
          <w:color w:val="000000"/>
          <w:sz w:val="32"/>
          <w:szCs w:val="32"/>
        </w:rPr>
        <w:t>，决算数小于预算数（或与预算数持平）的主要原因是压减三公经费。</w:t>
      </w:r>
    </w:p>
    <w:p>
      <w:pPr>
        <w:spacing w:line="600" w:lineRule="exact"/>
        <w:ind w:firstLine="640"/>
        <w:outlineLvl w:val="2"/>
        <w:rPr>
          <w:rFonts w:hint="eastAsia" w:ascii="仿宋" w:hAnsi="仿宋" w:eastAsia="仿宋" w:cs="Times New Roman"/>
          <w:b/>
          <w:color w:val="auto"/>
          <w:sz w:val="32"/>
          <w:szCs w:val="32"/>
          <w:highlight w:val="none"/>
        </w:rPr>
      </w:pPr>
      <w:bookmarkStart w:id="57" w:name="_Toc15377217"/>
      <w:r>
        <w:rPr>
          <w:rFonts w:hint="eastAsia" w:ascii="仿宋" w:hAnsi="仿宋" w:eastAsia="仿宋" w:cs="Times New Roman"/>
          <w:b/>
          <w:color w:val="auto"/>
          <w:sz w:val="32"/>
          <w:szCs w:val="32"/>
          <w:highlight w:val="none"/>
        </w:rPr>
        <w:t>（二）“三公”经费财政拨款支出决算具体情况说明</w:t>
      </w:r>
      <w:bookmarkEnd w:id="57"/>
    </w:p>
    <w:p>
      <w:pPr>
        <w:pStyle w:val="2"/>
        <w:adjustRightInd w:val="0"/>
        <w:snapToGrid w:val="0"/>
        <w:spacing w:beforeLines="0" w:line="576" w:lineRule="exact"/>
        <w:ind w:firstLine="640" w:firstLineChars="200"/>
        <w:rPr>
          <w:rFonts w:hint="eastAsia" w:ascii="Times New Roman"/>
          <w:bCs/>
          <w:color w:val="000000"/>
          <w:sz w:val="32"/>
          <w:szCs w:val="32"/>
        </w:rPr>
      </w:pPr>
      <w:r>
        <w:rPr>
          <w:rFonts w:ascii="Times New Roman"/>
          <w:bCs/>
          <w:color w:val="000000"/>
          <w:sz w:val="32"/>
          <w:szCs w:val="32"/>
        </w:rPr>
        <w:drawing>
          <wp:anchor distT="0" distB="0" distL="114300" distR="114300" simplePos="0" relativeHeight="251662336" behindDoc="0" locked="0" layoutInCell="1" allowOverlap="1">
            <wp:simplePos x="0" y="0"/>
            <wp:positionH relativeFrom="column">
              <wp:posOffset>2282190</wp:posOffset>
            </wp:positionH>
            <wp:positionV relativeFrom="paragraph">
              <wp:posOffset>1230630</wp:posOffset>
            </wp:positionV>
            <wp:extent cx="1835150" cy="1664335"/>
            <wp:effectExtent l="19050" t="0" r="0" b="0"/>
            <wp:wrapSquare wrapText="bothSides"/>
            <wp:docPr id="13" name="图片 13" descr="C:\Users\Administrator\AppData\Roaming\Tencent\Users\479292725\QQ\WinTemp\RichOle\A28IPFIZHMYGB@$P$2~A97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479292725\QQ\WinTemp\RichOle\A28IPFIZHMYGB@$P$2~A97M.png"/>
                    <pic:cNvPicPr>
                      <a:picLocks noChangeAspect="1" noChangeArrowheads="1"/>
                    </pic:cNvPicPr>
                  </pic:nvPicPr>
                  <pic:blipFill>
                    <a:blip r:embed="rId10"/>
                    <a:srcRect/>
                    <a:stretch>
                      <a:fillRect/>
                    </a:stretch>
                  </pic:blipFill>
                  <pic:spPr>
                    <a:xfrm>
                      <a:off x="0" y="0"/>
                      <a:ext cx="1835150" cy="1664335"/>
                    </a:xfrm>
                    <a:prstGeom prst="rect">
                      <a:avLst/>
                    </a:prstGeom>
                    <a:noFill/>
                    <a:ln w="9525">
                      <a:noFill/>
                      <a:miter lim="800000"/>
                      <a:headEnd/>
                      <a:tailEnd/>
                    </a:ln>
                  </pic:spPr>
                </pic:pic>
              </a:graphicData>
            </a:graphic>
          </wp:anchor>
        </w:drawing>
      </w:r>
      <w:r>
        <w:rPr>
          <w:rFonts w:ascii="Times New Roman"/>
          <w:bCs/>
          <w:color w:val="000000"/>
          <w:sz w:val="32"/>
          <w:szCs w:val="32"/>
        </w:rPr>
        <w:t>20</w:t>
      </w:r>
      <w:r>
        <w:rPr>
          <w:rFonts w:hint="eastAsia" w:ascii="Times New Roman"/>
          <w:bCs/>
          <w:color w:val="000000"/>
          <w:sz w:val="32"/>
          <w:szCs w:val="32"/>
        </w:rPr>
        <w:t>21年“三公”经费财政拨款支出决算中，因公出国（境）费支出决算0万元，占0</w:t>
      </w:r>
      <w:r>
        <w:rPr>
          <w:rFonts w:ascii="Times New Roman"/>
          <w:bCs/>
          <w:color w:val="000000"/>
          <w:sz w:val="32"/>
          <w:szCs w:val="32"/>
        </w:rPr>
        <w:t>%</w:t>
      </w:r>
      <w:r>
        <w:rPr>
          <w:rFonts w:hint="eastAsia" w:ascii="Times New Roman"/>
          <w:bCs/>
          <w:color w:val="000000"/>
          <w:sz w:val="32"/>
          <w:szCs w:val="32"/>
        </w:rPr>
        <w:t>；公务用车购置及运行维护费支出决算0万元，占0</w:t>
      </w:r>
      <w:r>
        <w:rPr>
          <w:rFonts w:ascii="Times New Roman"/>
          <w:bCs/>
          <w:color w:val="000000"/>
          <w:sz w:val="32"/>
          <w:szCs w:val="32"/>
        </w:rPr>
        <w:t>%</w:t>
      </w:r>
      <w:r>
        <w:rPr>
          <w:rFonts w:hint="eastAsia" w:ascii="Times New Roman"/>
          <w:bCs/>
          <w:color w:val="000000"/>
          <w:sz w:val="32"/>
          <w:szCs w:val="32"/>
        </w:rPr>
        <w:t>；公务接待费支出决算8.59万元，占100</w:t>
      </w:r>
      <w:r>
        <w:rPr>
          <w:rFonts w:ascii="Times New Roman"/>
          <w:bCs/>
          <w:color w:val="000000"/>
          <w:sz w:val="32"/>
          <w:szCs w:val="32"/>
        </w:rPr>
        <w:t>%</w:t>
      </w:r>
      <w:r>
        <w:rPr>
          <w:rFonts w:hint="eastAsia" w:ascii="Times New Roman"/>
          <w:bCs/>
          <w:color w:val="000000"/>
          <w:sz w:val="32"/>
          <w:szCs w:val="32"/>
        </w:rPr>
        <w:t>。具体情况如下：</w:t>
      </w: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hint="eastAsia" w:ascii="Times New Roman"/>
          <w:bCs/>
          <w:color w:val="000000"/>
          <w:sz w:val="32"/>
          <w:szCs w:val="32"/>
        </w:rPr>
      </w:pPr>
    </w:p>
    <w:p>
      <w:pPr>
        <w:pStyle w:val="2"/>
        <w:adjustRightInd w:val="0"/>
        <w:snapToGrid w:val="0"/>
        <w:spacing w:beforeLines="0" w:line="576" w:lineRule="exact"/>
        <w:ind w:firstLine="640" w:firstLineChars="200"/>
        <w:rPr>
          <w:rFonts w:ascii="Times New Roman"/>
          <w:bCs/>
          <w:color w:val="000000"/>
          <w:sz w:val="32"/>
          <w:szCs w:val="32"/>
        </w:rPr>
      </w:pPr>
    </w:p>
    <w:p>
      <w:pPr>
        <w:pStyle w:val="2"/>
        <w:adjustRightInd w:val="0"/>
        <w:snapToGrid w:val="0"/>
        <w:spacing w:beforeLines="0" w:line="576" w:lineRule="exact"/>
        <w:ind w:firstLine="640" w:firstLineChars="200"/>
        <w:rPr>
          <w:rFonts w:ascii="Times New Roman"/>
          <w:bCs/>
          <w:color w:val="000000"/>
          <w:sz w:val="32"/>
          <w:szCs w:val="32"/>
        </w:rPr>
      </w:pPr>
    </w:p>
    <w:p>
      <w:pPr>
        <w:pStyle w:val="2"/>
        <w:adjustRightInd w:val="0"/>
        <w:snapToGrid w:val="0"/>
        <w:spacing w:beforeLines="0" w:line="576" w:lineRule="exact"/>
        <w:ind w:firstLine="643" w:firstLineChars="200"/>
        <w:rPr>
          <w:rFonts w:ascii="Times New Roman"/>
          <w:bCs/>
          <w:color w:val="000000"/>
          <w:sz w:val="32"/>
          <w:szCs w:val="32"/>
        </w:rPr>
      </w:pPr>
      <w:r>
        <w:rPr>
          <w:rFonts w:hint="eastAsia" w:ascii="仿宋" w:hAnsi="仿宋" w:eastAsia="仿宋" w:cs="Times New Roman"/>
          <w:b/>
          <w:color w:val="auto"/>
          <w:kern w:val="2"/>
          <w:sz w:val="32"/>
          <w:szCs w:val="32"/>
          <w:highlight w:val="none"/>
          <w:lang w:val="en-US" w:eastAsia="zh-CN" w:bidi="ar-SA"/>
        </w:rPr>
        <w:t>1.因公出国（境）经费</w:t>
      </w:r>
      <w:r>
        <w:rPr>
          <w:rFonts w:hint="eastAsia" w:ascii="Times New Roman"/>
          <w:bCs/>
          <w:color w:val="000000"/>
          <w:sz w:val="32"/>
          <w:szCs w:val="32"/>
        </w:rPr>
        <w:t>支出0万元</w:t>
      </w:r>
      <w:r>
        <w:rPr>
          <w:rFonts w:hint="eastAsia" w:ascii="Times New Roman"/>
          <w:bCs/>
          <w:color w:val="000000"/>
          <w:sz w:val="32"/>
          <w:szCs w:val="32"/>
          <w:lang w:eastAsia="zh-CN"/>
        </w:rPr>
        <w:t>。</w:t>
      </w:r>
      <w:r>
        <w:rPr>
          <w:rFonts w:hint="eastAsia" w:ascii="Times New Roman"/>
          <w:color w:val="000000"/>
          <w:lang w:val="en-US" w:eastAsia="zh-CN"/>
        </w:rPr>
        <w:t>年初无预算，</w:t>
      </w:r>
      <w:r>
        <w:rPr>
          <w:rFonts w:hint="eastAsia" w:ascii="Times New Roman"/>
          <w:bCs/>
          <w:color w:val="000000"/>
          <w:sz w:val="32"/>
          <w:szCs w:val="32"/>
        </w:rPr>
        <w:t>因公出国（境）支出决算与</w:t>
      </w:r>
      <w:r>
        <w:rPr>
          <w:rFonts w:ascii="Times New Roman"/>
          <w:bCs/>
          <w:color w:val="000000"/>
          <w:sz w:val="32"/>
          <w:szCs w:val="32"/>
        </w:rPr>
        <w:t>20</w:t>
      </w:r>
      <w:r>
        <w:rPr>
          <w:rFonts w:hint="eastAsia" w:ascii="Times New Roman"/>
          <w:bCs/>
          <w:color w:val="000000"/>
          <w:sz w:val="32"/>
          <w:szCs w:val="32"/>
        </w:rPr>
        <w:t>20年</w:t>
      </w:r>
      <w:r>
        <w:rPr>
          <w:rFonts w:hint="eastAsia" w:ascii="Times New Roman"/>
          <w:bCs/>
          <w:color w:val="000000"/>
          <w:sz w:val="32"/>
          <w:szCs w:val="32"/>
          <w:lang w:val="en-US" w:eastAsia="zh-CN"/>
        </w:rPr>
        <w:t>无变化</w:t>
      </w:r>
      <w:r>
        <w:rPr>
          <w:rFonts w:hint="eastAsia" w:ascii="Times New Roman"/>
          <w:bCs/>
          <w:color w:val="000000"/>
          <w:sz w:val="32"/>
          <w:szCs w:val="32"/>
        </w:rPr>
        <w:t>。</w:t>
      </w:r>
    </w:p>
    <w:p>
      <w:pPr>
        <w:pStyle w:val="2"/>
        <w:adjustRightInd w:val="0"/>
        <w:snapToGrid w:val="0"/>
        <w:spacing w:beforeLines="0" w:line="576" w:lineRule="exact"/>
        <w:ind w:firstLine="643" w:firstLineChars="200"/>
        <w:rPr>
          <w:rFonts w:ascii="Times New Roman"/>
          <w:bCs/>
          <w:color w:val="000000"/>
          <w:sz w:val="32"/>
          <w:szCs w:val="32"/>
        </w:rPr>
      </w:pPr>
      <w:r>
        <w:rPr>
          <w:rFonts w:hint="eastAsia" w:ascii="仿宋" w:hAnsi="仿宋" w:eastAsia="仿宋" w:cs="Times New Roman"/>
          <w:b/>
          <w:color w:val="auto"/>
          <w:kern w:val="2"/>
          <w:sz w:val="32"/>
          <w:szCs w:val="32"/>
          <w:highlight w:val="none"/>
          <w:lang w:val="en-US" w:eastAsia="zh-CN" w:bidi="ar-SA"/>
        </w:rPr>
        <w:t>2.公务用车购置及运行维护费</w:t>
      </w:r>
      <w:r>
        <w:rPr>
          <w:rFonts w:hint="eastAsia" w:ascii="Times New Roman"/>
          <w:bCs/>
          <w:color w:val="000000"/>
          <w:sz w:val="32"/>
          <w:szCs w:val="32"/>
        </w:rPr>
        <w:t>支出0万元</w:t>
      </w:r>
      <w:r>
        <w:rPr>
          <w:rFonts w:hint="eastAsia" w:ascii="Times New Roman"/>
          <w:color w:val="000000"/>
        </w:rPr>
        <w:t>。</w:t>
      </w:r>
      <w:r>
        <w:rPr>
          <w:rFonts w:hint="eastAsia" w:ascii="Times New Roman"/>
          <w:color w:val="000000"/>
          <w:lang w:val="en-US" w:eastAsia="zh-CN"/>
        </w:rPr>
        <w:t>年初无预算，</w:t>
      </w:r>
      <w:r>
        <w:rPr>
          <w:rFonts w:hint="eastAsia" w:ascii="Times New Roman"/>
          <w:bCs/>
          <w:color w:val="000000"/>
          <w:sz w:val="32"/>
          <w:szCs w:val="32"/>
        </w:rPr>
        <w:t>公务用车购置及运行维护费支出决算与</w:t>
      </w:r>
      <w:r>
        <w:rPr>
          <w:rFonts w:ascii="Times New Roman"/>
          <w:bCs/>
          <w:color w:val="000000"/>
          <w:sz w:val="32"/>
          <w:szCs w:val="32"/>
        </w:rPr>
        <w:t>20</w:t>
      </w:r>
      <w:r>
        <w:rPr>
          <w:rFonts w:hint="eastAsia" w:ascii="Times New Roman"/>
          <w:bCs/>
          <w:color w:val="000000"/>
          <w:sz w:val="32"/>
          <w:szCs w:val="32"/>
        </w:rPr>
        <w:t>20年一致。</w:t>
      </w:r>
    </w:p>
    <w:p>
      <w:pPr>
        <w:pageBreakBefore w:val="0"/>
        <w:kinsoku/>
        <w:wordWrap/>
        <w:overflowPunct/>
        <w:topLinePunct w:val="0"/>
        <w:bidi w:val="0"/>
        <w:snapToGrid/>
        <w:spacing w:line="576" w:lineRule="exact"/>
        <w:ind w:firstLine="640" w:firstLineChars="200"/>
        <w:textAlignment w:val="auto"/>
        <w:rPr>
          <w:rFonts w:hint="eastAsia" w:ascii="Times New Roman" w:hAnsi="Times New Roman" w:eastAsia="仿宋_GB2312" w:cs="Times New Roman"/>
          <w:color w:val="000000"/>
          <w:kern w:val="0"/>
          <w:sz w:val="30"/>
          <w:szCs w:val="24"/>
          <w:lang w:val="en-US" w:eastAsia="zh-CN" w:bidi="ar-SA"/>
        </w:rPr>
      </w:pPr>
      <w:r>
        <w:rPr>
          <w:rFonts w:hint="eastAsia" w:ascii="Times New Roman"/>
          <w:bCs/>
          <w:color w:val="000000"/>
          <w:sz w:val="32"/>
          <w:szCs w:val="32"/>
        </w:rPr>
        <w:t>其中：</w:t>
      </w:r>
      <w:r>
        <w:rPr>
          <w:rFonts w:hint="eastAsia" w:ascii="仿宋" w:hAnsi="仿宋" w:eastAsia="仿宋" w:cs="Times New Roman"/>
          <w:b/>
          <w:color w:val="auto"/>
          <w:kern w:val="2"/>
          <w:sz w:val="32"/>
          <w:szCs w:val="32"/>
          <w:highlight w:val="none"/>
          <w:lang w:val="en-US" w:eastAsia="zh-CN" w:bidi="ar-SA"/>
        </w:rPr>
        <w:t>公务用车购置</w:t>
      </w:r>
      <w:r>
        <w:rPr>
          <w:rFonts w:hint="eastAsia" w:ascii="Times New Roman" w:hAnsi="Times New Roman" w:eastAsia="仿宋_GB2312" w:cs="Times New Roman"/>
          <w:color w:val="000000"/>
          <w:kern w:val="0"/>
          <w:sz w:val="30"/>
          <w:szCs w:val="24"/>
          <w:lang w:val="en-US" w:eastAsia="zh-CN" w:bidi="ar-SA"/>
        </w:rPr>
        <w:t>支出0万元。全年按规定更新购置公务用车0辆，在公务用车制度改革后，不允许单位购买公务用车。因公出差向机关事务局申请公务用车，公务用车有保障。</w:t>
      </w:r>
    </w:p>
    <w:p>
      <w:pPr>
        <w:pStyle w:val="2"/>
        <w:adjustRightInd w:val="0"/>
        <w:snapToGrid w:val="0"/>
        <w:spacing w:beforeLines="0" w:line="576" w:lineRule="exact"/>
        <w:ind w:firstLine="643" w:firstLineChars="200"/>
        <w:rPr>
          <w:rFonts w:ascii="Times New Roman"/>
          <w:bCs/>
          <w:color w:val="000000"/>
          <w:sz w:val="32"/>
          <w:szCs w:val="32"/>
        </w:rPr>
      </w:pPr>
      <w:r>
        <w:rPr>
          <w:rFonts w:hint="eastAsia" w:ascii="仿宋" w:hAnsi="仿宋" w:eastAsia="仿宋" w:cs="Times New Roman"/>
          <w:b/>
          <w:color w:val="auto"/>
          <w:kern w:val="2"/>
          <w:sz w:val="32"/>
          <w:szCs w:val="32"/>
          <w:highlight w:val="none"/>
          <w:lang w:val="en-US" w:eastAsia="zh-CN" w:bidi="ar-SA"/>
        </w:rPr>
        <w:t>公务用车运行维护费</w:t>
      </w:r>
      <w:r>
        <w:rPr>
          <w:rFonts w:hint="eastAsia" w:ascii="Times New Roman"/>
          <w:bCs/>
          <w:color w:val="000000"/>
          <w:sz w:val="32"/>
          <w:szCs w:val="32"/>
        </w:rPr>
        <w:t>支出0万元。</w:t>
      </w:r>
    </w:p>
    <w:p>
      <w:pPr>
        <w:pStyle w:val="2"/>
        <w:adjustRightInd w:val="0"/>
        <w:snapToGrid w:val="0"/>
        <w:spacing w:beforeLines="0" w:line="576" w:lineRule="exact"/>
        <w:ind w:firstLine="643" w:firstLineChars="200"/>
        <w:rPr>
          <w:rFonts w:ascii="Times New Roman"/>
          <w:bCs/>
          <w:color w:val="000000"/>
          <w:sz w:val="32"/>
          <w:szCs w:val="32"/>
        </w:rPr>
      </w:pPr>
      <w:r>
        <w:rPr>
          <w:rFonts w:hint="eastAsia" w:ascii="仿宋" w:hAnsi="仿宋" w:eastAsia="仿宋" w:cs="Times New Roman"/>
          <w:b/>
          <w:color w:val="auto"/>
          <w:kern w:val="2"/>
          <w:sz w:val="32"/>
          <w:szCs w:val="32"/>
          <w:highlight w:val="none"/>
          <w:lang w:val="en-US" w:eastAsia="zh-CN" w:bidi="ar-SA"/>
        </w:rPr>
        <w:t>3.公务接待费</w:t>
      </w:r>
      <w:r>
        <w:rPr>
          <w:rFonts w:hint="eastAsia" w:ascii="Times New Roman"/>
          <w:bCs/>
          <w:color w:val="000000"/>
          <w:sz w:val="32"/>
          <w:szCs w:val="32"/>
        </w:rPr>
        <w:t>支出8.59万元，</w:t>
      </w:r>
      <w:r>
        <w:rPr>
          <w:rFonts w:hint="eastAsia" w:ascii="Times New Roman"/>
          <w:color w:val="000000"/>
        </w:rPr>
        <w:t>完成预算99.88</w:t>
      </w:r>
      <w:r>
        <w:rPr>
          <w:rFonts w:ascii="Times New Roman"/>
          <w:color w:val="000000"/>
        </w:rPr>
        <w:t>%</w:t>
      </w:r>
      <w:r>
        <w:rPr>
          <w:rFonts w:hint="eastAsia" w:ascii="Times New Roman"/>
          <w:color w:val="000000"/>
        </w:rPr>
        <w:t>。</w:t>
      </w:r>
      <w:r>
        <w:rPr>
          <w:rFonts w:hint="eastAsia" w:ascii="Times New Roman"/>
          <w:bCs/>
          <w:color w:val="000000"/>
          <w:sz w:val="32"/>
          <w:szCs w:val="32"/>
        </w:rPr>
        <w:t>公务接待费支出决算比</w:t>
      </w:r>
      <w:r>
        <w:rPr>
          <w:rFonts w:ascii="Times New Roman"/>
          <w:bCs/>
          <w:color w:val="000000"/>
          <w:sz w:val="32"/>
          <w:szCs w:val="32"/>
        </w:rPr>
        <w:t>20</w:t>
      </w:r>
      <w:r>
        <w:rPr>
          <w:rFonts w:hint="eastAsia" w:ascii="Times New Roman"/>
          <w:bCs/>
          <w:color w:val="000000"/>
          <w:sz w:val="32"/>
          <w:szCs w:val="32"/>
        </w:rPr>
        <w:t>20年减少0.1万元，下降1.15</w:t>
      </w:r>
      <w:r>
        <w:rPr>
          <w:rFonts w:ascii="Times New Roman"/>
          <w:bCs/>
          <w:color w:val="000000"/>
          <w:sz w:val="32"/>
          <w:szCs w:val="32"/>
        </w:rPr>
        <w:t>%</w:t>
      </w:r>
      <w:r>
        <w:rPr>
          <w:rFonts w:hint="eastAsia" w:ascii="Times New Roman"/>
          <w:bCs/>
          <w:color w:val="000000"/>
          <w:sz w:val="32"/>
          <w:szCs w:val="32"/>
        </w:rPr>
        <w:t>。主要原因是压减三公经费。其中：</w:t>
      </w:r>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国内公务接待支出8.59万元，主要用于执行公务、开展业务活动开支的交通费。国内公务接待150批次，1200人次（不包括陪同人员），共计支出8.59万元，具体内容包括：政府投资审计3.6万元，财政预算执行审计0.99万元，重大民生和扶贫资金审计4万元。</w:t>
      </w:r>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外事接待支出0万元，外事接待0批次，0人，共计支出0万元0。</w:t>
      </w:r>
    </w:p>
    <w:p>
      <w:pPr>
        <w:pStyle w:val="4"/>
        <w:spacing w:before="0" w:after="0" w:line="576" w:lineRule="exact"/>
        <w:ind w:firstLine="640" w:firstLineChars="200"/>
        <w:rPr>
          <w:rStyle w:val="27"/>
          <w:rFonts w:ascii="黑体" w:hAnsi="黑体" w:eastAsia="黑体"/>
          <w:b w:val="0"/>
          <w:bCs w:val="0"/>
        </w:rPr>
      </w:pPr>
      <w:bookmarkStart w:id="58" w:name="_Toc114745383"/>
      <w:bookmarkStart w:id="59" w:name="_Toc15377218"/>
      <w:bookmarkStart w:id="60" w:name="_Toc15396610"/>
      <w:r>
        <w:rPr>
          <w:rStyle w:val="27"/>
          <w:rFonts w:hint="eastAsia" w:ascii="黑体" w:hAnsi="黑体" w:eastAsia="黑体"/>
          <w:b w:val="0"/>
          <w:bCs w:val="0"/>
        </w:rPr>
        <w:t>八、政府性基金预算支出决算情况说明</w:t>
      </w:r>
      <w:bookmarkEnd w:id="58"/>
      <w:bookmarkEnd w:id="59"/>
      <w:bookmarkEnd w:id="60"/>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21年政府性基金预算财政拨款支出0万元。</w:t>
      </w:r>
    </w:p>
    <w:p>
      <w:pPr>
        <w:pStyle w:val="4"/>
        <w:spacing w:before="0" w:after="0" w:line="576" w:lineRule="exact"/>
        <w:ind w:firstLine="640" w:firstLineChars="200"/>
        <w:rPr>
          <w:rStyle w:val="27"/>
          <w:rFonts w:ascii="黑体" w:hAnsi="黑体" w:eastAsia="黑体"/>
          <w:b w:val="0"/>
          <w:bCs w:val="0"/>
        </w:rPr>
      </w:pPr>
      <w:bookmarkStart w:id="61" w:name="_Toc15396611"/>
      <w:bookmarkStart w:id="62" w:name="_Toc114745384"/>
      <w:bookmarkStart w:id="63" w:name="_Toc15377219"/>
      <w:r>
        <w:rPr>
          <w:rStyle w:val="27"/>
          <w:rFonts w:hint="eastAsia" w:ascii="黑体" w:hAnsi="黑体" w:eastAsia="黑体"/>
          <w:b w:val="0"/>
          <w:bCs w:val="0"/>
        </w:rPr>
        <w:t>九、国有资本经营预算支出决算情况说明</w:t>
      </w:r>
      <w:bookmarkEnd w:id="61"/>
      <w:bookmarkEnd w:id="62"/>
      <w:bookmarkEnd w:id="63"/>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21年国有资本经营预算财政拨款支出0万元。</w:t>
      </w:r>
    </w:p>
    <w:p>
      <w:pPr>
        <w:pStyle w:val="4"/>
        <w:spacing w:before="0" w:after="0" w:line="576" w:lineRule="exact"/>
        <w:ind w:firstLine="640" w:firstLineChars="200"/>
        <w:rPr>
          <w:rStyle w:val="27"/>
          <w:rFonts w:ascii="黑体" w:hAnsi="黑体" w:eastAsia="黑体"/>
          <w:b w:val="0"/>
          <w:bCs w:val="0"/>
        </w:rPr>
      </w:pPr>
      <w:bookmarkStart w:id="64" w:name="_Toc114745385"/>
      <w:bookmarkStart w:id="65" w:name="_Toc15377221"/>
      <w:bookmarkStart w:id="66" w:name="_Toc15396612"/>
      <w:r>
        <w:rPr>
          <w:rStyle w:val="27"/>
          <w:rFonts w:hint="eastAsia" w:ascii="黑体" w:hAnsi="黑体" w:eastAsia="黑体"/>
          <w:b w:val="0"/>
          <w:bCs w:val="0"/>
        </w:rPr>
        <w:t>十、预算绩效管理情况</w:t>
      </w:r>
      <w:bookmarkEnd w:id="64"/>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根据预算绩效管理要求，本单位在2021年度预算编制阶段，对1个项目编制了绩效目标，预算执行过程中，选取1个项目开展绩效监控，年终执行完毕后，对1个项目开展了绩效自评，2021年部门预算项目绩效目标自评表见附件（第四部分）。</w:t>
      </w:r>
    </w:p>
    <w:p>
      <w:pPr>
        <w:pStyle w:val="4"/>
        <w:spacing w:before="0" w:after="0" w:line="576" w:lineRule="exact"/>
        <w:ind w:firstLine="640" w:firstLineChars="200"/>
        <w:rPr>
          <w:rStyle w:val="27"/>
          <w:rFonts w:ascii="黑体" w:hAnsi="黑体" w:eastAsia="黑体"/>
          <w:b w:val="0"/>
          <w:bCs w:val="0"/>
        </w:rPr>
      </w:pPr>
      <w:bookmarkStart w:id="67" w:name="_Toc114745386"/>
      <w:r>
        <w:rPr>
          <w:rStyle w:val="27"/>
          <w:rFonts w:hint="eastAsia" w:ascii="黑体" w:hAnsi="黑体" w:eastAsia="黑体"/>
          <w:b w:val="0"/>
          <w:bCs w:val="0"/>
        </w:rPr>
        <w:t>十一、其他重要事项的情况说明</w:t>
      </w:r>
      <w:bookmarkEnd w:id="65"/>
      <w:bookmarkEnd w:id="66"/>
      <w:bookmarkEnd w:id="67"/>
    </w:p>
    <w:p>
      <w:pPr>
        <w:pStyle w:val="2"/>
        <w:adjustRightInd w:val="0"/>
        <w:snapToGrid w:val="0"/>
        <w:spacing w:beforeLines="0" w:line="576" w:lineRule="exact"/>
        <w:ind w:firstLine="643" w:firstLineChars="200"/>
        <w:rPr>
          <w:rFonts w:hint="eastAsia" w:ascii="仿宋" w:hAnsi="仿宋" w:eastAsia="仿宋" w:cs="Times New Roman"/>
          <w:b/>
          <w:color w:val="auto"/>
          <w:kern w:val="2"/>
          <w:sz w:val="32"/>
          <w:szCs w:val="32"/>
          <w:highlight w:val="none"/>
          <w:lang w:val="en-US" w:eastAsia="zh-CN" w:bidi="ar-SA"/>
        </w:rPr>
      </w:pPr>
      <w:bookmarkStart w:id="68" w:name="_Toc15377222"/>
      <w:r>
        <w:rPr>
          <w:rFonts w:hint="eastAsia" w:ascii="仿宋" w:hAnsi="仿宋" w:eastAsia="仿宋" w:cs="Times New Roman"/>
          <w:b/>
          <w:color w:val="auto"/>
          <w:kern w:val="2"/>
          <w:sz w:val="32"/>
          <w:szCs w:val="32"/>
          <w:highlight w:val="none"/>
          <w:lang w:val="en-US" w:eastAsia="zh-CN" w:bidi="ar-SA"/>
        </w:rPr>
        <w:t>（一）机关运行经费支出情况</w:t>
      </w:r>
      <w:bookmarkEnd w:id="68"/>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21年，区审计局机关运行经费支出158.06万元，比</w:t>
      </w:r>
      <w:r>
        <w:rPr>
          <w:rFonts w:ascii="Times New Roman"/>
          <w:bCs/>
          <w:color w:val="000000"/>
          <w:sz w:val="32"/>
          <w:szCs w:val="32"/>
        </w:rPr>
        <w:t>20</w:t>
      </w:r>
      <w:r>
        <w:rPr>
          <w:rFonts w:hint="eastAsia" w:ascii="Times New Roman"/>
          <w:bCs/>
          <w:color w:val="000000"/>
          <w:sz w:val="32"/>
          <w:szCs w:val="32"/>
        </w:rPr>
        <w:t>20年减少6.12万元，下降4.17</w:t>
      </w:r>
      <w:r>
        <w:rPr>
          <w:rFonts w:ascii="Times New Roman"/>
          <w:bCs/>
          <w:color w:val="000000"/>
          <w:sz w:val="32"/>
          <w:szCs w:val="32"/>
        </w:rPr>
        <w:t>%</w:t>
      </w:r>
      <w:r>
        <w:rPr>
          <w:rFonts w:hint="eastAsia" w:ascii="Times New Roman"/>
          <w:bCs/>
          <w:color w:val="000000"/>
          <w:sz w:val="32"/>
          <w:szCs w:val="32"/>
        </w:rPr>
        <w:t>。主要原因是三公经费压减。</w:t>
      </w:r>
    </w:p>
    <w:p>
      <w:pPr>
        <w:pStyle w:val="2"/>
        <w:adjustRightInd w:val="0"/>
        <w:snapToGrid w:val="0"/>
        <w:spacing w:beforeLines="0" w:line="576" w:lineRule="exact"/>
        <w:ind w:firstLine="643" w:firstLineChars="200"/>
        <w:rPr>
          <w:rFonts w:hint="eastAsia" w:ascii="仿宋" w:hAnsi="仿宋" w:eastAsia="仿宋" w:cs="Times New Roman"/>
          <w:b/>
          <w:color w:val="auto"/>
          <w:kern w:val="2"/>
          <w:sz w:val="32"/>
          <w:szCs w:val="32"/>
          <w:highlight w:val="none"/>
          <w:lang w:val="en-US" w:eastAsia="zh-CN" w:bidi="ar-SA"/>
        </w:rPr>
      </w:pPr>
      <w:bookmarkStart w:id="69" w:name="_Toc15377223"/>
      <w:r>
        <w:rPr>
          <w:rFonts w:hint="eastAsia" w:ascii="仿宋" w:hAnsi="仿宋" w:eastAsia="仿宋" w:cs="Times New Roman"/>
          <w:b/>
          <w:color w:val="auto"/>
          <w:kern w:val="2"/>
          <w:sz w:val="32"/>
          <w:szCs w:val="32"/>
          <w:highlight w:val="none"/>
          <w:lang w:val="en-US" w:eastAsia="zh-CN" w:bidi="ar-SA"/>
        </w:rPr>
        <w:t>（二）政府采购支出情况</w:t>
      </w:r>
      <w:bookmarkEnd w:id="69"/>
    </w:p>
    <w:p>
      <w:pPr>
        <w:pStyle w:val="2"/>
        <w:adjustRightInd w:val="0"/>
        <w:snapToGrid w:val="0"/>
        <w:spacing w:beforeLines="0" w:line="576" w:lineRule="exact"/>
        <w:ind w:firstLine="640" w:firstLineChars="200"/>
        <w:rPr>
          <w:rFonts w:ascii="Times New Roman"/>
          <w:bCs/>
          <w:color w:val="000000"/>
          <w:sz w:val="32"/>
          <w:szCs w:val="32"/>
        </w:rPr>
      </w:pPr>
      <w:r>
        <w:rPr>
          <w:rFonts w:ascii="Times New Roman"/>
          <w:bCs/>
          <w:color w:val="000000"/>
          <w:sz w:val="32"/>
          <w:szCs w:val="32"/>
        </w:rPr>
        <w:t>20</w:t>
      </w:r>
      <w:r>
        <w:rPr>
          <w:rFonts w:hint="eastAsia" w:ascii="Times New Roman"/>
          <w:bCs/>
          <w:color w:val="000000"/>
          <w:sz w:val="32"/>
          <w:szCs w:val="32"/>
        </w:rPr>
        <w:t>21年，区审计局政府采购支出总额0万元，其中：政府采购货物支出0万元、政府采购工程支出0万元、政府采购服务支出0万元。授予中小企业合同金额0万元，占政府采购支出总额的0</w:t>
      </w:r>
      <w:r>
        <w:rPr>
          <w:rFonts w:ascii="Times New Roman"/>
          <w:bCs/>
          <w:color w:val="000000"/>
          <w:sz w:val="32"/>
          <w:szCs w:val="32"/>
        </w:rPr>
        <w:t>%</w:t>
      </w:r>
      <w:r>
        <w:rPr>
          <w:rFonts w:hint="eastAsia" w:ascii="Times New Roman"/>
          <w:bCs/>
          <w:color w:val="000000"/>
          <w:sz w:val="32"/>
          <w:szCs w:val="32"/>
        </w:rPr>
        <w:t>，其中：授予小微企业合同金额0万元，占政府采购支出总额的0</w:t>
      </w:r>
      <w:r>
        <w:rPr>
          <w:rFonts w:ascii="Times New Roman"/>
          <w:bCs/>
          <w:color w:val="000000"/>
          <w:sz w:val="32"/>
          <w:szCs w:val="32"/>
        </w:rPr>
        <w:t>%</w:t>
      </w:r>
      <w:r>
        <w:rPr>
          <w:rFonts w:hint="eastAsia" w:ascii="Times New Roman"/>
          <w:bCs/>
          <w:color w:val="000000"/>
          <w:sz w:val="32"/>
          <w:szCs w:val="32"/>
        </w:rPr>
        <w:t>。</w:t>
      </w:r>
    </w:p>
    <w:p>
      <w:pPr>
        <w:pStyle w:val="2"/>
        <w:adjustRightInd w:val="0"/>
        <w:snapToGrid w:val="0"/>
        <w:spacing w:beforeLines="0" w:line="576" w:lineRule="exact"/>
        <w:ind w:firstLine="643" w:firstLineChars="200"/>
        <w:rPr>
          <w:rFonts w:ascii="Times New Roman"/>
          <w:bCs/>
          <w:color w:val="000000"/>
          <w:sz w:val="32"/>
          <w:szCs w:val="32"/>
        </w:rPr>
      </w:pPr>
      <w:bookmarkStart w:id="70" w:name="_Toc15377224"/>
      <w:r>
        <w:rPr>
          <w:rFonts w:hint="eastAsia" w:ascii="仿宋" w:hAnsi="仿宋" w:eastAsia="仿宋" w:cs="Times New Roman"/>
          <w:b/>
          <w:color w:val="auto"/>
          <w:kern w:val="2"/>
          <w:sz w:val="32"/>
          <w:szCs w:val="32"/>
          <w:highlight w:val="none"/>
          <w:lang w:val="en-US" w:eastAsia="zh-CN" w:bidi="ar-SA"/>
        </w:rPr>
        <w:t>（三）国有资产占有使用情况</w:t>
      </w:r>
      <w:bookmarkEnd w:id="70"/>
    </w:p>
    <w:p>
      <w:pPr>
        <w:pStyle w:val="2"/>
        <w:adjustRightInd w:val="0"/>
        <w:snapToGrid w:val="0"/>
        <w:spacing w:beforeLines="0" w:line="576" w:lineRule="exact"/>
        <w:ind w:firstLine="640" w:firstLineChars="200"/>
        <w:rPr>
          <w:rFonts w:ascii="Times New Roman"/>
          <w:bCs/>
          <w:color w:val="000000"/>
          <w:sz w:val="32"/>
          <w:szCs w:val="32"/>
        </w:rPr>
      </w:pPr>
      <w:r>
        <w:rPr>
          <w:rFonts w:hint="eastAsia" w:ascii="Times New Roman"/>
          <w:bCs/>
          <w:color w:val="000000"/>
          <w:sz w:val="32"/>
          <w:szCs w:val="32"/>
        </w:rPr>
        <w:t>截至</w:t>
      </w:r>
      <w:r>
        <w:rPr>
          <w:rFonts w:ascii="Times New Roman"/>
          <w:bCs/>
          <w:color w:val="000000"/>
          <w:sz w:val="32"/>
          <w:szCs w:val="32"/>
        </w:rPr>
        <w:t>20</w:t>
      </w:r>
      <w:r>
        <w:rPr>
          <w:rFonts w:hint="eastAsia" w:ascii="Times New Roman"/>
          <w:bCs/>
          <w:color w:val="000000"/>
          <w:sz w:val="32"/>
          <w:szCs w:val="32"/>
        </w:rPr>
        <w:t>21年</w:t>
      </w:r>
      <w:r>
        <w:rPr>
          <w:rFonts w:ascii="Times New Roman"/>
          <w:bCs/>
          <w:color w:val="000000"/>
          <w:sz w:val="32"/>
          <w:szCs w:val="32"/>
        </w:rPr>
        <w:t>12</w:t>
      </w:r>
      <w:r>
        <w:rPr>
          <w:rFonts w:hint="eastAsia" w:ascii="Times New Roman"/>
          <w:bCs/>
          <w:color w:val="000000"/>
          <w:sz w:val="32"/>
          <w:szCs w:val="32"/>
        </w:rPr>
        <w:t>月</w:t>
      </w:r>
      <w:r>
        <w:rPr>
          <w:rFonts w:ascii="Times New Roman"/>
          <w:bCs/>
          <w:color w:val="000000"/>
          <w:sz w:val="32"/>
          <w:szCs w:val="32"/>
        </w:rPr>
        <w:t>31</w:t>
      </w:r>
      <w:r>
        <w:rPr>
          <w:rFonts w:hint="eastAsia" w:ascii="Times New Roman"/>
          <w:bCs/>
          <w:color w:val="000000"/>
          <w:sz w:val="32"/>
          <w:szCs w:val="32"/>
        </w:rPr>
        <w:t>日，区审计局共有车辆0辆，其中：主要领导干部用车0辆、机要通信用车0辆、应急保障用车0辆、其他用车0辆</w:t>
      </w:r>
      <w:r>
        <w:rPr>
          <w:rFonts w:hint="eastAsia" w:ascii="Times New Roman"/>
          <w:bCs/>
          <w:color w:val="000000"/>
          <w:sz w:val="32"/>
          <w:szCs w:val="32"/>
          <w:lang w:eastAsia="zh-CN"/>
        </w:rPr>
        <w:t>。</w:t>
      </w:r>
      <w:r>
        <w:rPr>
          <w:rFonts w:hint="eastAsia" w:ascii="Times New Roman"/>
          <w:bCs/>
          <w:color w:val="000000"/>
          <w:sz w:val="32"/>
          <w:szCs w:val="32"/>
        </w:rPr>
        <w:t>单价</w:t>
      </w:r>
      <w:r>
        <w:rPr>
          <w:rFonts w:ascii="Times New Roman"/>
          <w:bCs/>
          <w:color w:val="000000"/>
          <w:sz w:val="32"/>
          <w:szCs w:val="32"/>
        </w:rPr>
        <w:t>50</w:t>
      </w:r>
      <w:r>
        <w:rPr>
          <w:rFonts w:hint="eastAsia" w:ascii="Times New Roman"/>
          <w:bCs/>
          <w:color w:val="000000"/>
          <w:sz w:val="32"/>
          <w:szCs w:val="32"/>
        </w:rPr>
        <w:t>万元以上通用设备0台（套），单价</w:t>
      </w:r>
      <w:r>
        <w:rPr>
          <w:rFonts w:ascii="Times New Roman"/>
          <w:bCs/>
          <w:color w:val="000000"/>
          <w:sz w:val="32"/>
          <w:szCs w:val="32"/>
        </w:rPr>
        <w:t>100</w:t>
      </w:r>
      <w:r>
        <w:rPr>
          <w:rFonts w:hint="eastAsia" w:ascii="Times New Roman"/>
          <w:bCs/>
          <w:color w:val="000000"/>
          <w:sz w:val="32"/>
          <w:szCs w:val="32"/>
        </w:rPr>
        <w:t>万元以上专用设备0台（套）。</w:t>
      </w:r>
    </w:p>
    <w:p>
      <w:pPr>
        <w:pStyle w:val="2"/>
        <w:spacing w:beforeLines="0" w:line="576" w:lineRule="exact"/>
        <w:rPr>
          <w:highlight w:val="yellow"/>
        </w:rPr>
      </w:pPr>
    </w:p>
    <w:p>
      <w:pPr>
        <w:pStyle w:val="2"/>
        <w:spacing w:beforeLines="0" w:line="576" w:lineRule="exact"/>
        <w:rPr>
          <w:highlight w:val="yellow"/>
        </w:rPr>
      </w:pPr>
    </w:p>
    <w:p>
      <w:pPr>
        <w:spacing w:line="600" w:lineRule="exact"/>
        <w:jc w:val="center"/>
        <w:outlineLvl w:val="0"/>
        <w:rPr>
          <w:rFonts w:hint="eastAsia" w:ascii="黑体" w:hAnsi="黑体" w:eastAsia="黑体" w:cs="Times New Roman"/>
          <w:color w:val="auto"/>
          <w:sz w:val="44"/>
          <w:szCs w:val="44"/>
          <w:highlight w:val="none"/>
        </w:rPr>
      </w:pPr>
      <w:bookmarkStart w:id="71" w:name="_Toc114745387"/>
      <w:bookmarkStart w:id="72" w:name="_Toc15396613"/>
      <w:bookmarkStart w:id="73" w:name="_Toc15377225"/>
      <w:r>
        <w:rPr>
          <w:rFonts w:hint="eastAsia" w:ascii="黑体" w:hAnsi="黑体" w:eastAsia="黑体" w:cs="Times New Roman"/>
          <w:color w:val="auto"/>
          <w:sz w:val="44"/>
          <w:szCs w:val="44"/>
          <w:highlight w:val="none"/>
        </w:rPr>
        <w:t>第三部分 名词解释</w:t>
      </w:r>
      <w:bookmarkEnd w:id="71"/>
      <w:bookmarkEnd w:id="72"/>
      <w:bookmarkEnd w:id="73"/>
    </w:p>
    <w:p>
      <w:pPr>
        <w:pStyle w:val="24"/>
        <w:snapToGrid w:val="0"/>
        <w:spacing w:line="576" w:lineRule="exact"/>
        <w:ind w:firstLine="640" w:firstLineChars="200"/>
        <w:rPr>
          <w:rFonts w:hint="eastAsia" w:ascii="Times New Roman" w:hAnsi="Times New Roman" w:eastAsia="仿宋_GB2312" w:cs="Times New Roman"/>
          <w:sz w:val="32"/>
          <w:szCs w:val="32"/>
        </w:rPr>
      </w:pPr>
    </w:p>
    <w:p>
      <w:pPr>
        <w:pStyle w:val="24"/>
        <w:snapToGrid w:val="0"/>
        <w:spacing w:line="576"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1.财政拨款收入：指单位从同级财政部门取得的财政预算资金。</w:t>
      </w:r>
    </w:p>
    <w:p>
      <w:pPr>
        <w:adjustRightInd w:val="0"/>
        <w:snapToGrid w:val="0"/>
        <w:spacing w:line="576" w:lineRule="exact"/>
        <w:ind w:firstLine="640" w:firstLineChars="200"/>
        <w:rPr>
          <w:rFonts w:eastAsia="仿宋_GB2312"/>
          <w:color w:val="000000"/>
          <w:sz w:val="32"/>
          <w:szCs w:val="32"/>
        </w:rPr>
      </w:pPr>
      <w:r>
        <w:rPr>
          <w:rFonts w:eastAsia="仿宋_GB2312"/>
          <w:color w:val="000000"/>
          <w:sz w:val="32"/>
          <w:szCs w:val="32"/>
        </w:rPr>
        <w:t>2.一般公共服务支出（类）审计事务（款）行政运行（项）：指局机关用于保障机构正常运转、完成日常工作任务安排的支出。</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3.一般公共服务支出（类）审计事务（款）审计业务（项）：指局机关按照审计纪律“八不准”的规定，开展审计、专项审计调查、聘请社会审计组织机构及技术专家等方面的支出（含按规定支出的城市间交通费、市内交通费、住宿费和伙食费补助）。</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4.一般公共服务支出（类）审计事务（款）事业运行（项）：指事业单位的基本支出，不包括行政单位、后勤服务中心、医务室等附属事业单位。</w:t>
      </w:r>
    </w:p>
    <w:p>
      <w:pPr>
        <w:adjustRightInd w:val="0"/>
        <w:snapToGrid w:val="0"/>
        <w:spacing w:line="576" w:lineRule="exact"/>
        <w:ind w:firstLine="640"/>
        <w:rPr>
          <w:rFonts w:hint="eastAsia" w:eastAsia="仿宋_GB2312"/>
          <w:color w:val="000000"/>
          <w:sz w:val="32"/>
          <w:szCs w:val="32"/>
          <w:lang w:eastAsia="zh-CN"/>
        </w:rPr>
      </w:pPr>
      <w:r>
        <w:rPr>
          <w:rFonts w:eastAsia="仿宋_GB2312"/>
          <w:color w:val="000000"/>
          <w:sz w:val="32"/>
          <w:szCs w:val="32"/>
        </w:rPr>
        <w:t>5.社会保障和就业（类）行政事业单位养老支出（款）机关事业单位基本养老保险缴费支出（项）：指机关事业单位实施养老保险制度由单位实际缴纳的基本养老保险费支出。</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6. 社会保障和就业（类）行政事业单位养老支出（款）机关事业单位职业年金缴费支出（项）：指机关事业单位实施养老保险制度由单位实际缴纳的职业年金支出。</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7.</w:t>
      </w:r>
      <w:r>
        <w:t xml:space="preserve"> </w:t>
      </w:r>
      <w:r>
        <w:rPr>
          <w:rFonts w:eastAsia="仿宋_GB2312"/>
          <w:color w:val="000000"/>
          <w:sz w:val="32"/>
          <w:szCs w:val="32"/>
        </w:rPr>
        <w:t>社会保障和就业（类）其他社会保障和就业支出（款）其他社会保障和就业支出（项）：反映除上述项目以外其他用于社会保障和就业方面的支出。</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8.卫生健康支出（类）行政事业单位医疗（款）行政单位医疗（项）：指财政部门安排的行政单位基本医疗保险缴费经费。</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9.卫生健康支出（类）行政事业单位医疗（款）事业单位医疗（项）：指财政部门安排的事业单位基本医疗保险缴费经费。</w:t>
      </w:r>
    </w:p>
    <w:p>
      <w:pPr>
        <w:adjustRightInd w:val="0"/>
        <w:snapToGrid w:val="0"/>
        <w:spacing w:line="576" w:lineRule="exact"/>
        <w:ind w:firstLine="640"/>
        <w:rPr>
          <w:rFonts w:eastAsia="仿宋_GB2312"/>
          <w:color w:val="000000"/>
          <w:sz w:val="32"/>
          <w:szCs w:val="32"/>
        </w:rPr>
      </w:pPr>
      <w:r>
        <w:rPr>
          <w:rFonts w:eastAsia="仿宋_GB2312"/>
          <w:color w:val="000000"/>
          <w:sz w:val="32"/>
          <w:szCs w:val="32"/>
        </w:rPr>
        <w:t>10.住房保障支出（类）住房改革支出（款）住房公积金（项）：指行政事业单位按人力资源和社会保障部、财政部规定的基本工资和津贴补贴以及规定比例为职工缴纳的住房公积金。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11</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12</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4"/>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rPr>
          <w:rFonts w:hint="eastAsia" w:ascii="黑体" w:hAnsi="黑体" w:eastAsia="黑体"/>
          <w:b w:val="0"/>
        </w:rPr>
      </w:pPr>
      <w:bookmarkStart w:id="74" w:name="_Toc15396614"/>
      <w:bookmarkStart w:id="75" w:name="_Toc114745388"/>
      <w:bookmarkStart w:id="76" w:name="_Toc15377226"/>
    </w:p>
    <w:p>
      <w:pPr>
        <w:pStyle w:val="3"/>
        <w:spacing w:before="0" w:after="0" w:line="576" w:lineRule="exact"/>
        <w:jc w:val="center"/>
        <w:rPr>
          <w:rFonts w:hint="eastAsia" w:ascii="黑体" w:hAnsi="黑体" w:eastAsia="黑体" w:cs="Times New Roman"/>
          <w:b w:val="0"/>
          <w:bCs w:val="0"/>
          <w:color w:val="auto"/>
          <w:kern w:val="2"/>
          <w:sz w:val="44"/>
          <w:szCs w:val="44"/>
          <w:highlight w:val="none"/>
          <w:lang w:val="en-US" w:eastAsia="zh-CN" w:bidi="ar-SA"/>
        </w:rPr>
      </w:pPr>
      <w:r>
        <w:rPr>
          <w:rFonts w:hint="eastAsia" w:ascii="黑体" w:hAnsi="黑体" w:eastAsia="黑体" w:cs="Times New Roman"/>
          <w:b w:val="0"/>
          <w:bCs w:val="0"/>
          <w:color w:val="auto"/>
          <w:kern w:val="2"/>
          <w:sz w:val="44"/>
          <w:szCs w:val="44"/>
          <w:highlight w:val="none"/>
          <w:lang w:val="en-US" w:eastAsia="zh-CN" w:bidi="ar-SA"/>
        </w:rPr>
        <w:t>第四部分 附件</w:t>
      </w:r>
      <w:bookmarkEnd w:id="74"/>
      <w:bookmarkEnd w:id="75"/>
    </w:p>
    <w:p/>
    <w:tbl>
      <w:tblPr>
        <w:tblStyle w:val="14"/>
        <w:tblW w:w="9542" w:type="dxa"/>
        <w:jc w:val="center"/>
        <w:tblLayout w:type="autofit"/>
        <w:tblCellMar>
          <w:top w:w="0" w:type="dxa"/>
          <w:left w:w="108" w:type="dxa"/>
          <w:bottom w:w="0" w:type="dxa"/>
          <w:right w:w="108" w:type="dxa"/>
        </w:tblCellMar>
      </w:tblPr>
      <w:tblGrid>
        <w:gridCol w:w="974"/>
        <w:gridCol w:w="1123"/>
        <w:gridCol w:w="1205"/>
        <w:gridCol w:w="2113"/>
        <w:gridCol w:w="4127"/>
      </w:tblGrid>
      <w:tr>
        <w:tblPrEx>
          <w:tblCellMar>
            <w:top w:w="0" w:type="dxa"/>
            <w:left w:w="108" w:type="dxa"/>
            <w:bottom w:w="0" w:type="dxa"/>
            <w:right w:w="108" w:type="dxa"/>
          </w:tblCellMar>
        </w:tblPrEx>
        <w:trPr>
          <w:trHeight w:val="465" w:hRule="atLeast"/>
          <w:jc w:val="center"/>
        </w:trPr>
        <w:tc>
          <w:tcPr>
            <w:tcW w:w="9542" w:type="dxa"/>
            <w:gridSpan w:val="5"/>
            <w:tcBorders>
              <w:top w:val="nil"/>
              <w:left w:val="nil"/>
              <w:bottom w:val="nil"/>
              <w:right w:val="nil"/>
            </w:tcBorders>
            <w:shd w:val="clear" w:color="auto" w:fill="auto"/>
            <w:vAlign w:val="center"/>
          </w:tcPr>
          <w:p>
            <w:pPr>
              <w:widowControl/>
              <w:spacing w:line="576" w:lineRule="exact"/>
              <w:jc w:val="center"/>
              <w:textAlignment w:val="center"/>
              <w:rPr>
                <w:rFonts w:ascii="方正小标宋简体" w:hAnsi="方正小标宋简体" w:eastAsia="方正小标宋简体" w:cs="方正小标宋简体"/>
                <w:color w:val="000000"/>
                <w:sz w:val="40"/>
                <w:szCs w:val="40"/>
              </w:rPr>
            </w:pPr>
            <w:bookmarkStart w:id="77" w:name="_Toc15396618"/>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420" w:hRule="atLeast"/>
          <w:jc w:val="center"/>
        </w:trPr>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项目名称</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2021年争取资金工作经费</w:t>
            </w:r>
          </w:p>
        </w:tc>
      </w:tr>
      <w:tr>
        <w:tblPrEx>
          <w:tblCellMar>
            <w:top w:w="0" w:type="dxa"/>
            <w:left w:w="108" w:type="dxa"/>
            <w:bottom w:w="0" w:type="dxa"/>
            <w:right w:w="108" w:type="dxa"/>
          </w:tblCellMar>
        </w:tblPrEx>
        <w:trPr>
          <w:trHeight w:val="420" w:hRule="atLeast"/>
          <w:jc w:val="center"/>
        </w:trPr>
        <w:tc>
          <w:tcPr>
            <w:tcW w:w="3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预算单位</w:t>
            </w:r>
          </w:p>
        </w:tc>
        <w:tc>
          <w:tcPr>
            <w:tcW w:w="6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区审计局</w:t>
            </w:r>
          </w:p>
        </w:tc>
      </w:tr>
      <w:tr>
        <w:tblPrEx>
          <w:tblCellMar>
            <w:top w:w="0" w:type="dxa"/>
            <w:left w:w="108" w:type="dxa"/>
            <w:bottom w:w="0" w:type="dxa"/>
            <w:right w:w="108" w:type="dxa"/>
          </w:tblCellMar>
        </w:tblPrEx>
        <w:trPr>
          <w:trHeight w:val="345" w:hRule="atLeast"/>
          <w:jc w:val="center"/>
        </w:trPr>
        <w:tc>
          <w:tcPr>
            <w:tcW w:w="97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22"/>
                <w:szCs w:val="22"/>
                <w:lang w:eastAsia="zh-CN"/>
              </w:rPr>
            </w:pPr>
          </w:p>
          <w:p>
            <w:pPr>
              <w:widowControl/>
              <w:spacing w:line="300" w:lineRule="exact"/>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总体</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目标</w:t>
            </w:r>
          </w:p>
        </w:tc>
        <w:tc>
          <w:tcPr>
            <w:tcW w:w="8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年度目标</w:t>
            </w:r>
          </w:p>
        </w:tc>
      </w:tr>
      <w:tr>
        <w:tblPrEx>
          <w:tblCellMar>
            <w:top w:w="0" w:type="dxa"/>
            <w:left w:w="108" w:type="dxa"/>
            <w:bottom w:w="0" w:type="dxa"/>
            <w:right w:w="108" w:type="dxa"/>
          </w:tblCellMar>
        </w:tblPrEx>
        <w:trPr>
          <w:trHeight w:val="1065" w:hRule="atLeast"/>
          <w:jc w:val="center"/>
        </w:trPr>
        <w:tc>
          <w:tcPr>
            <w:tcW w:w="974" w:type="dxa"/>
            <w:vMerge w:val="continue"/>
            <w:tcBorders>
              <w:top w:val="nil"/>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85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宋体" w:hAnsi="宋体" w:cs="宋体"/>
                <w:color w:val="000000"/>
                <w:sz w:val="22"/>
                <w:szCs w:val="22"/>
              </w:rPr>
            </w:pPr>
            <w:r>
              <w:rPr>
                <w:rFonts w:hint="eastAsia" w:ascii="宋体" w:hAnsi="宋体" w:cs="宋体"/>
                <w:color w:val="000000"/>
                <w:kern w:val="0"/>
                <w:sz w:val="22"/>
                <w:szCs w:val="22"/>
              </w:rPr>
              <w:t>积极研究中央、省项目资金投向政策和方向，同时主动与上级部门沟通衔接，及时掌握信息，有针对性的申报项目，争取到更多的资金，努力完成2021年区委、区政府下达的争取资金目标任务，同时为更好的开展审计工作补充财力。</w:t>
            </w:r>
          </w:p>
        </w:tc>
      </w:tr>
      <w:tr>
        <w:tblPrEx>
          <w:tblCellMar>
            <w:top w:w="0" w:type="dxa"/>
            <w:left w:w="108" w:type="dxa"/>
            <w:bottom w:w="0" w:type="dxa"/>
            <w:right w:w="108" w:type="dxa"/>
          </w:tblCellMar>
        </w:tblPrEx>
        <w:trPr>
          <w:trHeight w:val="672" w:hRule="atLeast"/>
          <w:jc w:val="center"/>
        </w:trPr>
        <w:tc>
          <w:tcPr>
            <w:tcW w:w="974" w:type="dxa"/>
            <w:tcBorders>
              <w:top w:val="nil"/>
              <w:left w:val="single" w:color="000000" w:sz="4" w:space="0"/>
              <w:bottom w:val="nil"/>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绩效指标</w:t>
            </w:r>
          </w:p>
        </w:tc>
        <w:tc>
          <w:tcPr>
            <w:tcW w:w="1123" w:type="dxa"/>
            <w:tcBorders>
              <w:top w:val="nil"/>
              <w:left w:val="single" w:color="000000" w:sz="4" w:space="0"/>
              <w:bottom w:val="nil"/>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一级指标</w:t>
            </w:r>
          </w:p>
        </w:tc>
        <w:tc>
          <w:tcPr>
            <w:tcW w:w="1205" w:type="dxa"/>
            <w:tcBorders>
              <w:top w:val="nil"/>
              <w:left w:val="single" w:color="000000" w:sz="4" w:space="0"/>
              <w:bottom w:val="nil"/>
              <w:right w:val="nil"/>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二级指标</w:t>
            </w:r>
          </w:p>
        </w:tc>
        <w:tc>
          <w:tcPr>
            <w:tcW w:w="2113" w:type="dxa"/>
            <w:tcBorders>
              <w:top w:val="single" w:color="000000" w:sz="4" w:space="0"/>
              <w:left w:val="single" w:color="000000" w:sz="4" w:space="0"/>
              <w:bottom w:val="nil"/>
              <w:right w:val="nil"/>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三级指标</w:t>
            </w:r>
          </w:p>
        </w:tc>
        <w:tc>
          <w:tcPr>
            <w:tcW w:w="4127" w:type="dxa"/>
            <w:tcBorders>
              <w:top w:val="single" w:color="000000" w:sz="4" w:space="0"/>
              <w:left w:val="single" w:color="000000" w:sz="4" w:space="0"/>
              <w:bottom w:val="nil"/>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指标值</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（包含数字及文字描述）</w:t>
            </w:r>
          </w:p>
        </w:tc>
      </w:tr>
      <w:tr>
        <w:tblPrEx>
          <w:tblCellMar>
            <w:top w:w="0" w:type="dxa"/>
            <w:left w:w="108" w:type="dxa"/>
            <w:bottom w:w="0" w:type="dxa"/>
            <w:right w:w="108" w:type="dxa"/>
          </w:tblCellMar>
        </w:tblPrEx>
        <w:trPr>
          <w:trHeight w:val="359" w:hRule="atLeast"/>
          <w:jc w:val="center"/>
        </w:trPr>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绩效指标</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项目完成</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数量指标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争取资金额度（元）</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&gt;= 200000</w:t>
            </w:r>
          </w:p>
        </w:tc>
      </w:tr>
      <w:tr>
        <w:tblPrEx>
          <w:tblCellMar>
            <w:top w:w="0" w:type="dxa"/>
            <w:left w:w="108" w:type="dxa"/>
            <w:bottom w:w="0" w:type="dxa"/>
            <w:right w:w="108" w:type="dxa"/>
          </w:tblCellMar>
        </w:tblPrEx>
        <w:trPr>
          <w:trHeight w:val="594"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质量指标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提高审计工作综合能力</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充分发挥争取到位资金的作用，提升审计综合实力</w:t>
            </w:r>
          </w:p>
        </w:tc>
      </w:tr>
      <w:tr>
        <w:tblPrEx>
          <w:tblCellMar>
            <w:top w:w="0" w:type="dxa"/>
            <w:left w:w="108" w:type="dxa"/>
            <w:bottom w:w="0" w:type="dxa"/>
            <w:right w:w="108" w:type="dxa"/>
          </w:tblCellMar>
        </w:tblPrEx>
        <w:trPr>
          <w:trHeight w:val="366"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时效指标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完成时效</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四季度前完成全年目标任务</w:t>
            </w:r>
          </w:p>
        </w:tc>
      </w:tr>
      <w:tr>
        <w:tblPrEx>
          <w:tblCellMar>
            <w:top w:w="0" w:type="dxa"/>
            <w:left w:w="108" w:type="dxa"/>
            <w:bottom w:w="0" w:type="dxa"/>
            <w:right w:w="108" w:type="dxa"/>
          </w:tblCellMar>
        </w:tblPrEx>
        <w:trPr>
          <w:trHeight w:val="237"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成本指标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费用限额（元）</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&lt;= 36000</w:t>
            </w:r>
          </w:p>
        </w:tc>
      </w:tr>
      <w:tr>
        <w:tblPrEx>
          <w:tblCellMar>
            <w:top w:w="0" w:type="dxa"/>
            <w:left w:w="108" w:type="dxa"/>
            <w:bottom w:w="0" w:type="dxa"/>
            <w:right w:w="108" w:type="dxa"/>
          </w:tblCellMar>
        </w:tblPrEx>
        <w:trPr>
          <w:trHeight w:val="346"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支出真实性</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专款专用</w:t>
            </w:r>
          </w:p>
        </w:tc>
      </w:tr>
      <w:tr>
        <w:tblPrEx>
          <w:tblCellMar>
            <w:top w:w="0" w:type="dxa"/>
            <w:left w:w="108" w:type="dxa"/>
            <w:bottom w:w="0" w:type="dxa"/>
            <w:right w:w="108" w:type="dxa"/>
          </w:tblCellMar>
        </w:tblPrEx>
        <w:trPr>
          <w:trHeight w:val="629"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项目效益</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经济效益指标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充实工作经费</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补充本级审计经费支出开支，确保本级工作顺利开展</w:t>
            </w:r>
          </w:p>
        </w:tc>
      </w:tr>
      <w:tr>
        <w:tblPrEx>
          <w:tblCellMar>
            <w:top w:w="0" w:type="dxa"/>
            <w:left w:w="108" w:type="dxa"/>
            <w:bottom w:w="0" w:type="dxa"/>
            <w:right w:w="108" w:type="dxa"/>
          </w:tblCellMar>
        </w:tblPrEx>
        <w:trPr>
          <w:trHeight w:val="544"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社会效益指标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促进本区审计工作</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审减工程项目价格，节约本区资金成本</w:t>
            </w:r>
          </w:p>
        </w:tc>
      </w:tr>
      <w:tr>
        <w:tblPrEx>
          <w:tblCellMar>
            <w:top w:w="0" w:type="dxa"/>
            <w:left w:w="108" w:type="dxa"/>
            <w:bottom w:w="0" w:type="dxa"/>
            <w:right w:w="108" w:type="dxa"/>
          </w:tblCellMar>
        </w:tblPrEx>
        <w:trPr>
          <w:trHeight w:val="106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可持续影响指标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长期社会效益</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确保本区审计工作顺利开展，提高财政资金使用效率</w:t>
            </w:r>
          </w:p>
        </w:tc>
      </w:tr>
      <w:tr>
        <w:tblPrEx>
          <w:tblCellMar>
            <w:top w:w="0" w:type="dxa"/>
            <w:left w:w="108" w:type="dxa"/>
            <w:bottom w:w="0" w:type="dxa"/>
            <w:right w:w="108" w:type="dxa"/>
          </w:tblCellMar>
        </w:tblPrEx>
        <w:trPr>
          <w:trHeight w:val="840" w:hRule="atLeast"/>
          <w:jc w:val="center"/>
        </w:trPr>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00" w:lineRule="exact"/>
              <w:jc w:val="center"/>
              <w:rPr>
                <w:rFonts w:ascii="宋体" w:hAnsi="宋体" w:cs="宋体"/>
                <w:color w:val="000000"/>
                <w:sz w:val="22"/>
                <w:szCs w:val="22"/>
              </w:rPr>
            </w:pPr>
          </w:p>
        </w:tc>
        <w:tc>
          <w:tcPr>
            <w:tcW w:w="11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满意度</w:t>
            </w:r>
          </w:p>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指标</w:t>
            </w:r>
          </w:p>
        </w:tc>
        <w:tc>
          <w:tcPr>
            <w:tcW w:w="1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ascii="宋体" w:hAnsi="宋体" w:cs="宋体"/>
                <w:color w:val="000000"/>
                <w:sz w:val="22"/>
                <w:szCs w:val="22"/>
              </w:rPr>
            </w:pPr>
            <w:r>
              <w:rPr>
                <w:rFonts w:hint="eastAsia" w:ascii="宋体" w:hAnsi="宋体" w:cs="宋体"/>
                <w:color w:val="000000"/>
                <w:kern w:val="0"/>
                <w:sz w:val="22"/>
                <w:szCs w:val="22"/>
              </w:rPr>
              <w:t>满意度指标</w:t>
            </w:r>
          </w:p>
        </w:tc>
        <w:tc>
          <w:tcPr>
            <w:tcW w:w="21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公众满意度</w:t>
            </w:r>
          </w:p>
        </w:tc>
        <w:tc>
          <w:tcPr>
            <w:tcW w:w="41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textAlignment w:val="center"/>
              <w:rPr>
                <w:rFonts w:ascii="宋体" w:hAnsi="宋体" w:cs="宋体"/>
                <w:color w:val="000000"/>
                <w:sz w:val="22"/>
                <w:szCs w:val="22"/>
              </w:rPr>
            </w:pPr>
            <w:r>
              <w:rPr>
                <w:rFonts w:hint="eastAsia" w:ascii="宋体" w:hAnsi="宋体" w:cs="宋体"/>
                <w:color w:val="000000"/>
                <w:kern w:val="0"/>
                <w:sz w:val="22"/>
                <w:szCs w:val="22"/>
              </w:rPr>
              <w:t>= 100</w:t>
            </w:r>
          </w:p>
        </w:tc>
      </w:tr>
    </w:tbl>
    <w:p>
      <w:pPr>
        <w:spacing w:line="576" w:lineRule="exact"/>
        <w:jc w:val="center"/>
        <w:outlineLvl w:val="0"/>
        <w:rPr>
          <w:rFonts w:ascii="黑体" w:hAnsi="黑体" w:eastAsia="黑体"/>
          <w:sz w:val="44"/>
          <w:szCs w:val="44"/>
        </w:rPr>
      </w:pPr>
    </w:p>
    <w:p>
      <w:pPr>
        <w:pStyle w:val="3"/>
        <w:spacing w:before="0" w:after="0" w:line="576" w:lineRule="exact"/>
        <w:jc w:val="center"/>
        <w:rPr>
          <w:rFonts w:ascii="黑体" w:hAnsi="黑体" w:eastAsia="黑体"/>
          <w:b w:val="0"/>
        </w:rPr>
      </w:pPr>
      <w:bookmarkStart w:id="78" w:name="_Toc114745389"/>
      <w:r>
        <w:rPr>
          <w:rFonts w:hint="eastAsia" w:ascii="黑体" w:hAnsi="黑体" w:eastAsia="黑体" w:cs="Times New Roman"/>
          <w:b w:val="0"/>
          <w:bCs w:val="0"/>
          <w:color w:val="auto"/>
          <w:kern w:val="2"/>
          <w:sz w:val="44"/>
          <w:szCs w:val="44"/>
          <w:highlight w:val="none"/>
          <w:lang w:val="en-US" w:eastAsia="zh-CN" w:bidi="ar-SA"/>
        </w:rPr>
        <w:t>第五部分 附表</w:t>
      </w:r>
      <w:bookmarkEnd w:id="76"/>
      <w:bookmarkEnd w:id="77"/>
      <w:bookmarkEnd w:id="78"/>
      <w:bookmarkStart w:id="79" w:name="_Toc15396619"/>
    </w:p>
    <w:p>
      <w:pPr>
        <w:pStyle w:val="4"/>
        <w:rPr>
          <w:rStyle w:val="27"/>
          <w:rFonts w:hint="eastAsia" w:ascii="仿宋" w:hAnsi="仿宋" w:eastAsia="仿宋"/>
          <w:b w:val="0"/>
          <w:bCs w:val="0"/>
          <w:color w:val="auto"/>
          <w:highlight w:val="none"/>
        </w:rPr>
      </w:pPr>
      <w:bookmarkStart w:id="80" w:name="_Toc114745390"/>
      <w:r>
        <w:rPr>
          <w:rStyle w:val="27"/>
          <w:rFonts w:hint="eastAsia" w:ascii="仿宋" w:hAnsi="仿宋" w:eastAsia="仿宋"/>
          <w:b w:val="0"/>
          <w:bCs w:val="0"/>
          <w:color w:val="auto"/>
          <w:highlight w:val="none"/>
        </w:rPr>
        <w:t>一、收入支出决算总表</w:t>
      </w:r>
      <w:bookmarkEnd w:id="79"/>
      <w:bookmarkEnd w:id="80"/>
    </w:p>
    <w:p>
      <w:pPr>
        <w:pStyle w:val="4"/>
        <w:rPr>
          <w:rStyle w:val="27"/>
          <w:rFonts w:hint="eastAsia" w:ascii="仿宋" w:hAnsi="仿宋" w:eastAsia="仿宋"/>
          <w:b w:val="0"/>
          <w:bCs w:val="0"/>
          <w:color w:val="auto"/>
          <w:highlight w:val="none"/>
        </w:rPr>
      </w:pPr>
      <w:bookmarkStart w:id="81" w:name="_Toc114745391"/>
      <w:bookmarkStart w:id="82" w:name="_Toc15396620"/>
      <w:r>
        <w:rPr>
          <w:rStyle w:val="27"/>
          <w:rFonts w:hint="eastAsia" w:ascii="仿宋" w:hAnsi="仿宋" w:eastAsia="仿宋"/>
          <w:b w:val="0"/>
          <w:bCs w:val="0"/>
          <w:color w:val="auto"/>
          <w:highlight w:val="none"/>
        </w:rPr>
        <w:t>二、收入决算表</w:t>
      </w:r>
      <w:bookmarkEnd w:id="81"/>
      <w:bookmarkEnd w:id="82"/>
    </w:p>
    <w:p>
      <w:pPr>
        <w:pStyle w:val="4"/>
        <w:rPr>
          <w:rStyle w:val="27"/>
          <w:rFonts w:hint="eastAsia" w:ascii="仿宋" w:hAnsi="仿宋" w:eastAsia="仿宋"/>
          <w:b w:val="0"/>
          <w:bCs w:val="0"/>
          <w:color w:val="auto"/>
          <w:highlight w:val="none"/>
        </w:rPr>
      </w:pPr>
      <w:bookmarkStart w:id="83" w:name="_Toc114745392"/>
      <w:bookmarkStart w:id="84" w:name="_Toc15396621"/>
      <w:r>
        <w:rPr>
          <w:rStyle w:val="27"/>
          <w:rFonts w:hint="eastAsia" w:ascii="仿宋" w:hAnsi="仿宋" w:eastAsia="仿宋"/>
          <w:b w:val="0"/>
          <w:bCs w:val="0"/>
          <w:color w:val="auto"/>
          <w:highlight w:val="none"/>
        </w:rPr>
        <w:t>三、支出决算表</w:t>
      </w:r>
      <w:bookmarkEnd w:id="83"/>
      <w:bookmarkEnd w:id="84"/>
    </w:p>
    <w:p>
      <w:pPr>
        <w:pStyle w:val="4"/>
        <w:rPr>
          <w:rStyle w:val="27"/>
          <w:rFonts w:hint="eastAsia" w:ascii="仿宋" w:hAnsi="仿宋" w:eastAsia="仿宋"/>
          <w:b w:val="0"/>
          <w:bCs w:val="0"/>
          <w:color w:val="auto"/>
          <w:highlight w:val="none"/>
        </w:rPr>
      </w:pPr>
      <w:bookmarkStart w:id="85" w:name="_Toc114745393"/>
      <w:bookmarkStart w:id="86" w:name="_Toc15396622"/>
      <w:r>
        <w:rPr>
          <w:rStyle w:val="27"/>
          <w:rFonts w:hint="eastAsia" w:ascii="仿宋" w:hAnsi="仿宋" w:eastAsia="仿宋"/>
          <w:b w:val="0"/>
          <w:bCs w:val="0"/>
          <w:color w:val="auto"/>
          <w:highlight w:val="none"/>
        </w:rPr>
        <w:t>四、财政拨款收入支出决算总表</w:t>
      </w:r>
      <w:bookmarkEnd w:id="85"/>
      <w:bookmarkEnd w:id="86"/>
    </w:p>
    <w:p>
      <w:pPr>
        <w:pStyle w:val="4"/>
        <w:rPr>
          <w:rStyle w:val="27"/>
          <w:rFonts w:hint="eastAsia" w:ascii="仿宋" w:hAnsi="仿宋" w:eastAsia="仿宋"/>
          <w:b w:val="0"/>
          <w:bCs w:val="0"/>
          <w:color w:val="auto"/>
          <w:highlight w:val="none"/>
        </w:rPr>
      </w:pPr>
      <w:bookmarkStart w:id="87" w:name="_Toc15396623"/>
      <w:bookmarkStart w:id="88" w:name="_Toc114745394"/>
      <w:r>
        <w:rPr>
          <w:rStyle w:val="27"/>
          <w:rFonts w:hint="eastAsia" w:ascii="仿宋" w:hAnsi="仿宋" w:eastAsia="仿宋"/>
          <w:b w:val="0"/>
          <w:bCs w:val="0"/>
          <w:color w:val="auto"/>
          <w:highlight w:val="none"/>
        </w:rPr>
        <w:t>五、财政拨款支出决算明细表</w:t>
      </w:r>
      <w:bookmarkEnd w:id="87"/>
      <w:bookmarkEnd w:id="88"/>
      <w:bookmarkStart w:id="89" w:name="_Toc15396624"/>
    </w:p>
    <w:p>
      <w:pPr>
        <w:pStyle w:val="4"/>
        <w:rPr>
          <w:rStyle w:val="27"/>
          <w:rFonts w:hint="eastAsia" w:ascii="仿宋" w:hAnsi="仿宋" w:eastAsia="仿宋"/>
          <w:b w:val="0"/>
          <w:bCs w:val="0"/>
          <w:color w:val="auto"/>
          <w:highlight w:val="none"/>
        </w:rPr>
      </w:pPr>
      <w:bookmarkStart w:id="90" w:name="_Toc114745395"/>
      <w:r>
        <w:rPr>
          <w:rStyle w:val="27"/>
          <w:rFonts w:hint="eastAsia" w:ascii="仿宋" w:hAnsi="仿宋" w:eastAsia="仿宋"/>
          <w:b w:val="0"/>
          <w:bCs w:val="0"/>
          <w:color w:val="auto"/>
          <w:highlight w:val="none"/>
        </w:rPr>
        <w:t>六、一般公共预算财政拨款支出决算表</w:t>
      </w:r>
      <w:bookmarkEnd w:id="89"/>
      <w:bookmarkEnd w:id="90"/>
    </w:p>
    <w:p>
      <w:pPr>
        <w:pStyle w:val="4"/>
        <w:rPr>
          <w:rStyle w:val="27"/>
          <w:rFonts w:hint="eastAsia" w:ascii="仿宋" w:hAnsi="仿宋" w:eastAsia="仿宋"/>
          <w:b w:val="0"/>
          <w:bCs w:val="0"/>
          <w:color w:val="auto"/>
          <w:highlight w:val="none"/>
        </w:rPr>
      </w:pPr>
      <w:bookmarkStart w:id="91" w:name="_Toc15396625"/>
      <w:bookmarkStart w:id="92" w:name="_Toc114745396"/>
      <w:r>
        <w:rPr>
          <w:rStyle w:val="27"/>
          <w:rFonts w:hint="eastAsia" w:ascii="仿宋" w:hAnsi="仿宋" w:eastAsia="仿宋"/>
          <w:b w:val="0"/>
          <w:bCs w:val="0"/>
          <w:color w:val="auto"/>
          <w:highlight w:val="none"/>
        </w:rPr>
        <w:t>七、一般公共预算财政拨款支出决算明细表</w:t>
      </w:r>
      <w:bookmarkEnd w:id="91"/>
      <w:bookmarkEnd w:id="92"/>
    </w:p>
    <w:p>
      <w:pPr>
        <w:pStyle w:val="4"/>
        <w:rPr>
          <w:rStyle w:val="27"/>
          <w:rFonts w:hint="eastAsia" w:ascii="仿宋" w:hAnsi="仿宋" w:eastAsia="仿宋"/>
          <w:b w:val="0"/>
          <w:bCs w:val="0"/>
          <w:color w:val="auto"/>
          <w:highlight w:val="none"/>
        </w:rPr>
      </w:pPr>
      <w:bookmarkStart w:id="93" w:name="_Toc114745397"/>
      <w:bookmarkStart w:id="94" w:name="_Toc15396626"/>
      <w:r>
        <w:rPr>
          <w:rStyle w:val="27"/>
          <w:rFonts w:hint="eastAsia" w:ascii="仿宋" w:hAnsi="仿宋" w:eastAsia="仿宋"/>
          <w:b w:val="0"/>
          <w:bCs w:val="0"/>
          <w:color w:val="auto"/>
          <w:highlight w:val="none"/>
        </w:rPr>
        <w:t>八、一般公共预算财政拨款基本支出决算表</w:t>
      </w:r>
      <w:bookmarkEnd w:id="93"/>
      <w:bookmarkEnd w:id="94"/>
    </w:p>
    <w:p>
      <w:pPr>
        <w:pStyle w:val="4"/>
        <w:rPr>
          <w:rStyle w:val="27"/>
          <w:rFonts w:hint="eastAsia" w:ascii="仿宋" w:hAnsi="仿宋" w:eastAsia="仿宋"/>
          <w:b w:val="0"/>
          <w:bCs w:val="0"/>
          <w:color w:val="auto"/>
          <w:highlight w:val="none"/>
        </w:rPr>
      </w:pPr>
      <w:bookmarkStart w:id="95" w:name="_Toc114745398"/>
      <w:bookmarkStart w:id="96" w:name="_Toc15396627"/>
      <w:r>
        <w:rPr>
          <w:rStyle w:val="27"/>
          <w:rFonts w:hint="eastAsia" w:ascii="仿宋" w:hAnsi="仿宋" w:eastAsia="仿宋"/>
          <w:b w:val="0"/>
          <w:bCs w:val="0"/>
          <w:color w:val="auto"/>
          <w:highlight w:val="none"/>
        </w:rPr>
        <w:t>九、一般公共预算财政拨款项目支出决算表</w:t>
      </w:r>
      <w:bookmarkEnd w:id="95"/>
      <w:bookmarkEnd w:id="96"/>
    </w:p>
    <w:p>
      <w:pPr>
        <w:pStyle w:val="4"/>
        <w:rPr>
          <w:rStyle w:val="27"/>
          <w:rFonts w:hint="eastAsia" w:ascii="仿宋" w:hAnsi="仿宋" w:eastAsia="仿宋"/>
          <w:b w:val="0"/>
          <w:bCs w:val="0"/>
          <w:color w:val="auto"/>
          <w:highlight w:val="none"/>
        </w:rPr>
      </w:pPr>
      <w:bookmarkStart w:id="97" w:name="_Toc114745399"/>
      <w:bookmarkStart w:id="98" w:name="_Toc15396628"/>
      <w:r>
        <w:rPr>
          <w:rStyle w:val="27"/>
          <w:rFonts w:hint="eastAsia" w:ascii="仿宋" w:hAnsi="仿宋" w:eastAsia="仿宋"/>
          <w:b w:val="0"/>
          <w:bCs w:val="0"/>
          <w:color w:val="auto"/>
          <w:highlight w:val="none"/>
        </w:rPr>
        <w:t>十、一般公共预算财政拨款“三公”经费支出决算表</w:t>
      </w:r>
      <w:bookmarkEnd w:id="97"/>
      <w:bookmarkEnd w:id="98"/>
    </w:p>
    <w:p>
      <w:pPr>
        <w:pStyle w:val="4"/>
        <w:rPr>
          <w:rStyle w:val="27"/>
          <w:rFonts w:hint="eastAsia" w:ascii="仿宋" w:hAnsi="仿宋" w:eastAsia="仿宋"/>
          <w:b w:val="0"/>
          <w:bCs w:val="0"/>
          <w:color w:val="auto"/>
          <w:highlight w:val="none"/>
        </w:rPr>
      </w:pPr>
      <w:bookmarkStart w:id="99" w:name="_Toc15396629"/>
      <w:bookmarkStart w:id="100" w:name="_Toc114745400"/>
      <w:r>
        <w:rPr>
          <w:rStyle w:val="27"/>
          <w:rFonts w:hint="eastAsia" w:ascii="仿宋" w:hAnsi="仿宋" w:eastAsia="仿宋"/>
          <w:b w:val="0"/>
          <w:bCs w:val="0"/>
          <w:color w:val="auto"/>
          <w:highlight w:val="none"/>
        </w:rPr>
        <w:t>十一、政府性基金预算财政拨款收入支出决算表</w:t>
      </w:r>
      <w:bookmarkEnd w:id="99"/>
      <w:bookmarkEnd w:id="100"/>
    </w:p>
    <w:p>
      <w:pPr>
        <w:pStyle w:val="4"/>
        <w:rPr>
          <w:rStyle w:val="27"/>
          <w:rFonts w:hint="eastAsia" w:ascii="仿宋" w:hAnsi="仿宋" w:eastAsia="仿宋"/>
          <w:b w:val="0"/>
          <w:bCs w:val="0"/>
          <w:color w:val="auto"/>
          <w:highlight w:val="none"/>
        </w:rPr>
      </w:pPr>
      <w:bookmarkStart w:id="101" w:name="_Toc15396630"/>
      <w:bookmarkStart w:id="102" w:name="_Toc114745401"/>
      <w:r>
        <w:rPr>
          <w:rStyle w:val="27"/>
          <w:rFonts w:hint="eastAsia" w:ascii="仿宋" w:hAnsi="仿宋" w:eastAsia="仿宋"/>
          <w:b w:val="0"/>
          <w:bCs w:val="0"/>
          <w:color w:val="auto"/>
          <w:highlight w:val="none"/>
        </w:rPr>
        <w:t>十二、政府性基金预算财政拨款“三公”经费支出决算表</w:t>
      </w:r>
      <w:bookmarkEnd w:id="101"/>
      <w:bookmarkEnd w:id="102"/>
    </w:p>
    <w:p>
      <w:pPr>
        <w:pStyle w:val="4"/>
        <w:rPr>
          <w:rStyle w:val="27"/>
          <w:rFonts w:hint="eastAsia" w:ascii="仿宋" w:hAnsi="仿宋" w:eastAsia="仿宋"/>
          <w:b w:val="0"/>
          <w:bCs w:val="0"/>
          <w:color w:val="auto"/>
          <w:highlight w:val="none"/>
        </w:rPr>
      </w:pPr>
      <w:bookmarkStart w:id="103" w:name="_Toc15396631"/>
      <w:bookmarkStart w:id="104" w:name="_Toc114745402"/>
      <w:r>
        <w:rPr>
          <w:rStyle w:val="27"/>
          <w:rFonts w:hint="eastAsia" w:ascii="仿宋" w:hAnsi="仿宋" w:eastAsia="仿宋"/>
          <w:b w:val="0"/>
          <w:bCs w:val="0"/>
          <w:color w:val="auto"/>
          <w:highlight w:val="none"/>
        </w:rPr>
        <w:t>十三、国有资本经营预算财政拨款收入支出决算表</w:t>
      </w:r>
      <w:bookmarkEnd w:id="103"/>
      <w:bookmarkEnd w:id="104"/>
    </w:p>
    <w:p>
      <w:pPr>
        <w:pStyle w:val="4"/>
        <w:rPr>
          <w:rStyle w:val="27"/>
          <w:rFonts w:hint="eastAsia" w:ascii="仿宋" w:hAnsi="仿宋" w:eastAsia="仿宋"/>
          <w:b w:val="0"/>
          <w:bCs w:val="0"/>
          <w:color w:val="auto"/>
          <w:highlight w:val="none"/>
        </w:rPr>
      </w:pPr>
      <w:bookmarkStart w:id="105" w:name="_Toc114745403"/>
      <w:r>
        <w:rPr>
          <w:rStyle w:val="27"/>
          <w:rFonts w:hint="eastAsia" w:ascii="仿宋" w:hAnsi="仿宋" w:eastAsia="仿宋"/>
          <w:b w:val="0"/>
          <w:bCs w:val="0"/>
          <w:color w:val="auto"/>
          <w:highlight w:val="none"/>
        </w:rPr>
        <w:t>十四、国有资本经营预算财政拨款支出决算表</w:t>
      </w:r>
      <w:bookmarkEnd w:id="105"/>
    </w:p>
    <w:sectPr>
      <w:headerReference r:id="rId3" w:type="default"/>
      <w:footerReference r:id="rId4" w:type="default"/>
      <w:pgSz w:w="11906" w:h="16838"/>
      <w:pgMar w:top="2098" w:right="1474" w:bottom="1871"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086811"/>
    <w:multiLevelType w:val="singleLevel"/>
    <w:tmpl w:val="660868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0411C"/>
    <w:rsid w:val="00114E9B"/>
    <w:rsid w:val="00142216"/>
    <w:rsid w:val="00144D6A"/>
    <w:rsid w:val="0014729F"/>
    <w:rsid w:val="00157BAB"/>
    <w:rsid w:val="001654D1"/>
    <w:rsid w:val="00174518"/>
    <w:rsid w:val="00175C54"/>
    <w:rsid w:val="0018106D"/>
    <w:rsid w:val="001877A7"/>
    <w:rsid w:val="00191536"/>
    <w:rsid w:val="00196687"/>
    <w:rsid w:val="001C0962"/>
    <w:rsid w:val="001D7531"/>
    <w:rsid w:val="001E737D"/>
    <w:rsid w:val="001F0592"/>
    <w:rsid w:val="001F6FDA"/>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B4D6B"/>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667E"/>
    <w:rsid w:val="00560976"/>
    <w:rsid w:val="005664BB"/>
    <w:rsid w:val="00566FFA"/>
    <w:rsid w:val="0057481D"/>
    <w:rsid w:val="0058486E"/>
    <w:rsid w:val="00585B33"/>
    <w:rsid w:val="0059014D"/>
    <w:rsid w:val="005A1AB9"/>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36CCA"/>
    <w:rsid w:val="006440E4"/>
    <w:rsid w:val="0066343B"/>
    <w:rsid w:val="00664777"/>
    <w:rsid w:val="006748A4"/>
    <w:rsid w:val="00681A31"/>
    <w:rsid w:val="00683E73"/>
    <w:rsid w:val="006921FE"/>
    <w:rsid w:val="006A0FB4"/>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0F8D"/>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150E8"/>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C417E"/>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2E83"/>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46625"/>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8A37D8"/>
    <w:rsid w:val="0C393E94"/>
    <w:rsid w:val="0EF1527A"/>
    <w:rsid w:val="10C055FF"/>
    <w:rsid w:val="118107EC"/>
    <w:rsid w:val="11DD6519"/>
    <w:rsid w:val="13446FDB"/>
    <w:rsid w:val="16BB723D"/>
    <w:rsid w:val="18015F3F"/>
    <w:rsid w:val="1BE8440E"/>
    <w:rsid w:val="1D155CEE"/>
    <w:rsid w:val="20F57F95"/>
    <w:rsid w:val="240371BF"/>
    <w:rsid w:val="25C741E6"/>
    <w:rsid w:val="27842671"/>
    <w:rsid w:val="29FD04D3"/>
    <w:rsid w:val="2ABE7A3E"/>
    <w:rsid w:val="2EFA178C"/>
    <w:rsid w:val="30B46D73"/>
    <w:rsid w:val="319F7F4E"/>
    <w:rsid w:val="35613C72"/>
    <w:rsid w:val="37215A2C"/>
    <w:rsid w:val="39AE70AB"/>
    <w:rsid w:val="3BF95291"/>
    <w:rsid w:val="3C0C0783"/>
    <w:rsid w:val="3F795B0E"/>
    <w:rsid w:val="3F9F3A96"/>
    <w:rsid w:val="3FED7B20"/>
    <w:rsid w:val="493C27E9"/>
    <w:rsid w:val="496F39ED"/>
    <w:rsid w:val="49FF41D3"/>
    <w:rsid w:val="4A185DC8"/>
    <w:rsid w:val="4BE068DB"/>
    <w:rsid w:val="4BF6002B"/>
    <w:rsid w:val="4ECE2238"/>
    <w:rsid w:val="51DB4B86"/>
    <w:rsid w:val="55333C3E"/>
    <w:rsid w:val="5CD8348D"/>
    <w:rsid w:val="60095DED"/>
    <w:rsid w:val="62D32A99"/>
    <w:rsid w:val="64CA39A1"/>
    <w:rsid w:val="6BD15E7E"/>
    <w:rsid w:val="6C4A05C8"/>
    <w:rsid w:val="72734D90"/>
    <w:rsid w:val="73001CB0"/>
    <w:rsid w:val="74E366CA"/>
    <w:rsid w:val="7613213B"/>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qFormat/>
    <w:uiPriority w:val="99"/>
    <w:pPr>
      <w:ind w:firstLine="630"/>
      <w:jc w:val="left"/>
    </w:pPr>
    <w:rPr>
      <w:rFonts w:eastAsia="黑体"/>
      <w:sz w:val="3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qFormat/>
    <w:uiPriority w:val="99"/>
    <w:pPr>
      <w:spacing w:after="120"/>
      <w:ind w:left="420" w:leftChars="200" w:firstLine="42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D04200-1E46-4892-B39E-B6EEA6842E2F}">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6406</Words>
  <Characters>6883</Characters>
  <Lines>65</Lines>
  <Paragraphs>18</Paragraphs>
  <TotalTime>6</TotalTime>
  <ScaleCrop>false</ScaleCrop>
  <LinksUpToDate>false</LinksUpToDate>
  <CharactersWithSpaces>7002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2022-09-22T03:03:00Z</dcterms:created>
  <dc:creator>曹颖</dc:creator>
  <cp:lastModifiedBy>DELL</cp:lastModifiedBy>
  <cp:lastPrinted>2022-08-06T02:23:00Z</cp:lastPrinted>
  <dcterms:modified xsi:type="dcterms:W3CDTF">2023-09-07T08:20:02Z</dcterms:modified>
  <dc:title>四川省***</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C2187D93D4CE4141A251A8582ADF7C55</vt:lpwstr>
  </property>
</Properties>
</file>