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4DB62">
      <w:pPr>
        <w:spacing w:line="600" w:lineRule="exact"/>
        <w:jc w:val="center"/>
        <w:outlineLvl w:val="0"/>
        <w:rPr>
          <w:rFonts w:hint="eastAsia" w:ascii="Times New Roman" w:hAnsi="Times New Roman" w:eastAsia="方正小标宋简体"/>
          <w:color w:val="auto"/>
          <w:sz w:val="72"/>
          <w:szCs w:val="72"/>
          <w:highlight w:val="none"/>
          <w:lang w:val="en-US" w:eastAsia="zh-CN"/>
        </w:rPr>
      </w:pPr>
      <w:bookmarkStart w:id="0" w:name="_Toc15306267"/>
    </w:p>
    <w:p w14:paraId="082B9248">
      <w:pPr>
        <w:spacing w:line="600" w:lineRule="exact"/>
        <w:jc w:val="center"/>
        <w:outlineLvl w:val="0"/>
        <w:rPr>
          <w:rFonts w:ascii="Times New Roman" w:hAnsi="Times New Roman" w:eastAsia="方正小标宋简体"/>
          <w:color w:val="auto"/>
          <w:sz w:val="72"/>
          <w:szCs w:val="72"/>
          <w:highlight w:val="none"/>
        </w:rPr>
      </w:pPr>
    </w:p>
    <w:p w14:paraId="7EDFF382">
      <w:pPr>
        <w:spacing w:line="600" w:lineRule="exact"/>
        <w:jc w:val="center"/>
        <w:outlineLvl w:val="0"/>
        <w:rPr>
          <w:rFonts w:ascii="Times New Roman" w:hAnsi="Times New Roman" w:eastAsia="方正小标宋简体"/>
          <w:color w:val="auto"/>
          <w:sz w:val="72"/>
          <w:szCs w:val="72"/>
          <w:highlight w:val="none"/>
        </w:rPr>
      </w:pPr>
    </w:p>
    <w:p w14:paraId="29950BE1">
      <w:pPr>
        <w:spacing w:line="600" w:lineRule="exact"/>
        <w:jc w:val="center"/>
        <w:outlineLvl w:val="0"/>
        <w:rPr>
          <w:rFonts w:ascii="Times New Roman" w:hAnsi="Times New Roman" w:eastAsia="方正小标宋简体"/>
          <w:color w:val="auto"/>
          <w:sz w:val="72"/>
          <w:szCs w:val="72"/>
          <w:highlight w:val="none"/>
        </w:rPr>
      </w:pPr>
    </w:p>
    <w:p w14:paraId="2E5FF239">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z w:val="72"/>
          <w:szCs w:val="72"/>
          <w:highlight w:val="none"/>
        </w:rPr>
      </w:pPr>
      <w:bookmarkStart w:id="1" w:name="_Toc15396597"/>
      <w:bookmarkStart w:id="2" w:name="_Toc15377193"/>
      <w:bookmarkStart w:id="3" w:name="_Toc15378441"/>
      <w:bookmarkStart w:id="4" w:name="_Toc15377425"/>
      <w:bookmarkStart w:id="5" w:name="_Toc30162"/>
      <w:bookmarkStart w:id="6" w:name="_Toc15396475"/>
      <w:r>
        <w:rPr>
          <w:rFonts w:hint="eastAsia" w:ascii="Times New Roman" w:hAnsi="Times New Roman" w:eastAsia="方正小标宋简体" w:cs="方正小标宋简体"/>
          <w:color w:val="auto"/>
          <w:sz w:val="72"/>
          <w:szCs w:val="72"/>
          <w:highlight w:val="none"/>
        </w:rPr>
        <w:t>20</w:t>
      </w:r>
      <w:r>
        <w:rPr>
          <w:rFonts w:hint="eastAsia" w:ascii="Times New Roman" w:hAnsi="Times New Roman" w:eastAsia="方正小标宋简体" w:cs="方正小标宋简体"/>
          <w:color w:val="auto"/>
          <w:sz w:val="72"/>
          <w:szCs w:val="72"/>
          <w:highlight w:val="none"/>
          <w:lang w:val="en-US" w:eastAsia="zh-CN"/>
        </w:rPr>
        <w:t>21</w:t>
      </w:r>
      <w:r>
        <w:rPr>
          <w:rFonts w:hint="eastAsia" w:ascii="Times New Roman" w:hAnsi="Times New Roman" w:eastAsia="方正小标宋简体" w:cs="方正小标宋简体"/>
          <w:color w:val="auto"/>
          <w:sz w:val="72"/>
          <w:szCs w:val="72"/>
          <w:highlight w:val="none"/>
        </w:rPr>
        <w:t>年度</w:t>
      </w:r>
      <w:bookmarkEnd w:id="1"/>
      <w:bookmarkEnd w:id="2"/>
      <w:bookmarkEnd w:id="3"/>
      <w:bookmarkEnd w:id="4"/>
      <w:bookmarkEnd w:id="5"/>
      <w:bookmarkEnd w:id="6"/>
      <w:bookmarkStart w:id="103" w:name="_GoBack"/>
      <w:bookmarkEnd w:id="103"/>
    </w:p>
    <w:bookmarkEnd w:id="0"/>
    <w:p w14:paraId="596A17A1">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pacing w:val="-20"/>
          <w:sz w:val="72"/>
          <w:szCs w:val="72"/>
          <w:highlight w:val="none"/>
          <w:lang w:eastAsia="zh-CN"/>
        </w:rPr>
      </w:pPr>
      <w:bookmarkStart w:id="7" w:name="_Toc15396476"/>
      <w:bookmarkStart w:id="8" w:name="_Toc15306268"/>
      <w:bookmarkStart w:id="9" w:name="_Toc15377426"/>
      <w:bookmarkStart w:id="10" w:name="_Toc15396598"/>
      <w:bookmarkStart w:id="11" w:name="_Toc15378442"/>
      <w:bookmarkStart w:id="12" w:name="_Toc15377194"/>
      <w:bookmarkStart w:id="13" w:name="_Toc29566"/>
      <w:r>
        <w:rPr>
          <w:rFonts w:hint="eastAsia" w:ascii="Times New Roman" w:hAnsi="Times New Roman" w:eastAsia="方正小标宋简体" w:cs="方正小标宋简体"/>
          <w:color w:val="auto"/>
          <w:spacing w:val="-20"/>
          <w:sz w:val="72"/>
          <w:szCs w:val="72"/>
          <w:highlight w:val="none"/>
          <w:lang w:eastAsia="zh-CN"/>
        </w:rPr>
        <w:t>中国共产主义青年团广元市</w:t>
      </w:r>
    </w:p>
    <w:p w14:paraId="68A2F607">
      <w:pPr>
        <w:keepNext w:val="0"/>
        <w:keepLines w:val="0"/>
        <w:pageBreakBefore w:val="0"/>
        <w:widowControl w:val="0"/>
        <w:kinsoku/>
        <w:wordWrap/>
        <w:overflowPunct/>
        <w:topLinePunct w:val="0"/>
        <w:autoSpaceDE/>
        <w:autoSpaceDN/>
        <w:bidi w:val="0"/>
        <w:adjustRightInd w:val="0"/>
        <w:snapToGrid w:val="0"/>
        <w:spacing w:line="1100" w:lineRule="exact"/>
        <w:jc w:val="center"/>
        <w:textAlignment w:val="auto"/>
        <w:outlineLvl w:val="0"/>
        <w:rPr>
          <w:rFonts w:hint="eastAsia" w:ascii="Times New Roman" w:hAnsi="Times New Roman" w:eastAsia="方正小标宋简体" w:cs="方正小标宋简体"/>
          <w:color w:val="auto"/>
          <w:sz w:val="72"/>
          <w:szCs w:val="72"/>
          <w:highlight w:val="none"/>
        </w:rPr>
      </w:pPr>
      <w:r>
        <w:rPr>
          <w:rFonts w:hint="eastAsia" w:ascii="Times New Roman" w:hAnsi="Times New Roman" w:eastAsia="方正小标宋简体" w:cs="方正小标宋简体"/>
          <w:color w:val="auto"/>
          <w:spacing w:val="-20"/>
          <w:sz w:val="72"/>
          <w:szCs w:val="72"/>
          <w:highlight w:val="none"/>
          <w:lang w:eastAsia="zh-CN"/>
        </w:rPr>
        <w:t>昭化区委员会</w:t>
      </w:r>
      <w:r>
        <w:rPr>
          <w:rFonts w:hint="eastAsia" w:ascii="Times New Roman" w:hAnsi="Times New Roman" w:eastAsia="方正小标宋简体" w:cs="方正小标宋简体"/>
          <w:color w:val="auto"/>
          <w:sz w:val="72"/>
          <w:szCs w:val="72"/>
          <w:highlight w:val="none"/>
        </w:rPr>
        <w:t>决算</w:t>
      </w:r>
      <w:bookmarkEnd w:id="7"/>
      <w:bookmarkEnd w:id="8"/>
      <w:bookmarkEnd w:id="9"/>
      <w:bookmarkEnd w:id="10"/>
      <w:bookmarkEnd w:id="11"/>
      <w:bookmarkEnd w:id="12"/>
      <w:bookmarkEnd w:id="13"/>
    </w:p>
    <w:p w14:paraId="7D217EA9">
      <w:pPr>
        <w:widowControl/>
        <w:jc w:val="center"/>
        <w:rPr>
          <w:rFonts w:hint="eastAsia" w:ascii="Times New Roman" w:hAnsi="Times New Roman" w:eastAsia="黑体"/>
          <w:color w:val="auto"/>
          <w:sz w:val="48"/>
          <w:szCs w:val="48"/>
          <w:highlight w:val="none"/>
        </w:rPr>
      </w:pPr>
    </w:p>
    <w:p w14:paraId="48418589">
      <w:pPr>
        <w:pStyle w:val="7"/>
        <w:rPr>
          <w:rFonts w:hint="eastAsia" w:ascii="Times New Roman" w:hAnsi="Times New Roman" w:eastAsia="黑体"/>
          <w:color w:val="auto"/>
          <w:sz w:val="48"/>
          <w:szCs w:val="48"/>
          <w:highlight w:val="none"/>
        </w:rPr>
      </w:pPr>
    </w:p>
    <w:p w14:paraId="04F266F4">
      <w:pPr>
        <w:pStyle w:val="7"/>
        <w:rPr>
          <w:rFonts w:hint="eastAsia" w:ascii="Times New Roman" w:hAnsi="Times New Roman" w:eastAsia="黑体"/>
          <w:color w:val="auto"/>
          <w:sz w:val="48"/>
          <w:szCs w:val="48"/>
          <w:highlight w:val="none"/>
        </w:rPr>
      </w:pPr>
    </w:p>
    <w:p w14:paraId="58536C84">
      <w:pPr>
        <w:pStyle w:val="7"/>
        <w:rPr>
          <w:rFonts w:hint="eastAsia" w:ascii="Times New Roman" w:hAnsi="Times New Roman" w:eastAsia="黑体"/>
          <w:color w:val="auto"/>
          <w:sz w:val="48"/>
          <w:szCs w:val="48"/>
          <w:highlight w:val="none"/>
        </w:rPr>
        <w:sectPr>
          <w:headerReference r:id="rId3" w:type="default"/>
          <w:footerReference r:id="rId4" w:type="default"/>
          <w:pgSz w:w="11906" w:h="16838"/>
          <w:pgMar w:top="1701" w:right="1474" w:bottom="1440" w:left="1587" w:header="851" w:footer="992" w:gutter="0"/>
          <w:pgNumType w:start="1"/>
          <w:cols w:space="0" w:num="1"/>
          <w:titlePg/>
          <w:rtlGutter w:val="0"/>
          <w:docGrid w:type="lines" w:linePitch="312" w:charSpace="0"/>
        </w:sectPr>
      </w:pPr>
    </w:p>
    <w:p w14:paraId="45A2A5B2">
      <w:pPr>
        <w:widowControl/>
        <w:jc w:val="center"/>
        <w:rPr>
          <w:rFonts w:hint="eastAsia"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w:t>
      </w:r>
      <w:r>
        <w:rPr>
          <w:rFonts w:hint="eastAsia" w:ascii="Times New Roman" w:hAnsi="Times New Roman" w:eastAsia="黑体"/>
          <w:color w:val="auto"/>
          <w:sz w:val="48"/>
          <w:szCs w:val="48"/>
          <w:highlight w:val="none"/>
          <w:lang w:val="en-US" w:eastAsia="zh-CN"/>
        </w:rPr>
        <w:t xml:space="preserve">     </w:t>
      </w:r>
      <w:r>
        <w:rPr>
          <w:rFonts w:hint="eastAsia" w:ascii="Times New Roman" w:hAnsi="Times New Roman" w:eastAsia="黑体"/>
          <w:color w:val="auto"/>
          <w:sz w:val="48"/>
          <w:szCs w:val="48"/>
          <w:highlight w:val="none"/>
        </w:rPr>
        <w:t>录</w:t>
      </w:r>
    </w:p>
    <w:p w14:paraId="2C371D1D">
      <w:pPr>
        <w:pStyle w:val="12"/>
        <w:tabs>
          <w:tab w:val="right" w:leader="middleDot" w:pos="8845"/>
          <w:tab w:val="clear" w:pos="8296"/>
        </w:tabs>
        <w:rPr>
          <w:rFonts w:ascii="Times New Roman" w:hAnsi="Times New Roman"/>
        </w:rPr>
      </w:pPr>
      <w:r>
        <w:rPr>
          <w:rFonts w:hint="eastAsia" w:ascii="Times New Roman" w:hAnsi="Times New Roman" w:eastAsia="黑体"/>
          <w:color w:val="auto"/>
          <w:sz w:val="48"/>
          <w:szCs w:val="48"/>
          <w:highlight w:val="none"/>
        </w:rPr>
        <w:fldChar w:fldCharType="begin"/>
      </w:r>
      <w:r>
        <w:rPr>
          <w:rFonts w:hint="eastAsia" w:ascii="Times New Roman" w:hAnsi="Times New Roman" w:eastAsia="黑体"/>
          <w:color w:val="auto"/>
          <w:sz w:val="48"/>
          <w:szCs w:val="48"/>
          <w:highlight w:val="none"/>
        </w:rPr>
        <w:instrText xml:space="preserve">TOC \o "1-2" \h \u </w:instrText>
      </w:r>
      <w:r>
        <w:rPr>
          <w:rFonts w:hint="eastAsia" w:ascii="Times New Roman" w:hAnsi="Times New Roman" w:eastAsia="黑体"/>
          <w:color w:val="auto"/>
          <w:sz w:val="48"/>
          <w:szCs w:val="48"/>
          <w:highlight w:val="none"/>
        </w:rPr>
        <w:fldChar w:fldCharType="separate"/>
      </w:r>
    </w:p>
    <w:p w14:paraId="282469B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_Toc25495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第一部分 单位概况</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_Toc25495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1</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535BC944">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_Toc19108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bCs w:val="0"/>
          <w:sz w:val="28"/>
          <w:szCs w:val="28"/>
          <w:highlight w:val="none"/>
          <w:lang w:eastAsia="zh-CN"/>
        </w:rPr>
        <w:t>一、</w:t>
      </w:r>
      <w:r>
        <w:rPr>
          <w:rFonts w:hint="eastAsia" w:ascii="Times New Roman" w:hAnsi="Times New Roman" w:eastAsia="仿宋_GB2312" w:cs="仿宋_GB2312"/>
          <w:bCs w:val="0"/>
          <w:sz w:val="28"/>
          <w:szCs w:val="28"/>
          <w:highlight w:val="none"/>
        </w:rPr>
        <w:t>职能</w:t>
      </w:r>
      <w:r>
        <w:rPr>
          <w:rFonts w:hint="eastAsia" w:ascii="Times New Roman" w:hAnsi="Times New Roman" w:eastAsia="仿宋_GB2312" w:cs="仿宋_GB2312"/>
          <w:bCs w:val="0"/>
          <w:sz w:val="28"/>
          <w:szCs w:val="28"/>
          <w:highlight w:val="none"/>
          <w:lang w:eastAsia="zh-CN"/>
        </w:rPr>
        <w:t>简介</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_Toc19108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4DD0D82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_Toc22368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lang w:val="en-US" w:eastAsia="zh-CN"/>
        </w:rPr>
        <w:t>二、2021年重点</w:t>
      </w:r>
      <w:r>
        <w:rPr>
          <w:rFonts w:hint="eastAsia" w:ascii="Times New Roman" w:hAnsi="Times New Roman" w:eastAsia="仿宋_GB2312" w:cs="仿宋_GB2312"/>
          <w:sz w:val="28"/>
          <w:szCs w:val="28"/>
          <w:highlight w:val="none"/>
        </w:rPr>
        <w:t>工作</w:t>
      </w:r>
      <w:r>
        <w:rPr>
          <w:rFonts w:hint="eastAsia" w:ascii="Times New Roman" w:hAnsi="Times New Roman" w:eastAsia="仿宋_GB2312" w:cs="仿宋_GB2312"/>
          <w:sz w:val="28"/>
          <w:szCs w:val="28"/>
          <w:highlight w:val="none"/>
          <w:lang w:eastAsia="zh-CN"/>
        </w:rPr>
        <w:t>完成情况</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_Toc22368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2</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74AFB10E">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_Toc29617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第二部分  2021年度单位决算情况说明</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_Toc29617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7</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103E4CE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_Toc32419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一、</w:t>
      </w:r>
      <w:r>
        <w:rPr>
          <w:rFonts w:hint="eastAsia" w:ascii="Times New Roman" w:hAnsi="Times New Roman" w:eastAsia="仿宋_GB2312" w:cs="仿宋_GB2312"/>
          <w:sz w:val="28"/>
          <w:szCs w:val="28"/>
          <w:highlight w:val="none"/>
        </w:rPr>
        <w:t>收入支出决算总体情况说明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_Toc32419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575CB2E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_Toc20819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二、</w:t>
      </w:r>
      <w:r>
        <w:rPr>
          <w:rFonts w:hint="eastAsia" w:ascii="Times New Roman" w:hAnsi="Times New Roman" w:eastAsia="仿宋_GB2312" w:cs="仿宋_GB2312"/>
          <w:sz w:val="28"/>
          <w:szCs w:val="28"/>
          <w:highlight w:val="none"/>
        </w:rPr>
        <w:t>收入决算情况说明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_Toc20819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7</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483C581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_Toc31698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三、</w:t>
      </w:r>
      <w:r>
        <w:rPr>
          <w:rFonts w:hint="eastAsia" w:ascii="Times New Roman" w:hAnsi="Times New Roman" w:eastAsia="仿宋_GB2312" w:cs="仿宋_GB2312"/>
          <w:sz w:val="28"/>
          <w:szCs w:val="28"/>
          <w:highlight w:val="none"/>
        </w:rPr>
        <w:t>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_Toc31698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8</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48C1E66B">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_Toc18849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四、财政拨款收入支出决算总体情况说明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_Toc18849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8</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7A47AE7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_Toc16494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五、一般公共预算财政拨款支出决算情况说明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_Toc16494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9</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114F35CF">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_Toc7782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六、一般公共预算财政拨款基本支出决算情况说明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_Toc7782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12</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30CC7D4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_Toc17684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七、“三公”经费财政拨款支出决算情况说明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_Toc17684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12</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6209DDA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_Toc14393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highlight w:val="none"/>
        </w:rPr>
        <w:t>八、政府性基金预算支出决算情况说明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_Toc14393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0EAAA0F4">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_Toc28267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九、</w:t>
      </w:r>
      <w:r>
        <w:rPr>
          <w:rFonts w:hint="eastAsia" w:ascii="Times New Roman" w:hAnsi="Times New Roman" w:eastAsia="仿宋_GB2312" w:cs="仿宋_GB2312"/>
          <w:sz w:val="28"/>
          <w:szCs w:val="28"/>
          <w:highlight w:val="none"/>
        </w:rPr>
        <w:t>国有资本经营预算支出决算情况说明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_Toc28267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10CF2427">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_Toc3427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十、</w:t>
      </w:r>
      <w:r>
        <w:rPr>
          <w:rFonts w:hint="eastAsia" w:ascii="Times New Roman" w:hAnsi="Times New Roman" w:eastAsia="仿宋_GB2312" w:cs="仿宋_GB2312"/>
          <w:sz w:val="28"/>
          <w:szCs w:val="28"/>
          <w:highlight w:val="none"/>
          <w:lang w:val="en-US" w:eastAsia="zh-CN"/>
        </w:rPr>
        <w:t>预算绩效管理情况</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_Toc3427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622F10BC">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sz w:val="28"/>
          <w:szCs w:val="28"/>
          <w:highlight w:val="none"/>
        </w:rPr>
        <w:instrText xml:space="preserve"> HYPERLINK \l _Toc23174 </w:instrText>
      </w:r>
      <w:r>
        <w:rPr>
          <w:rFonts w:hint="eastAsia" w:ascii="Times New Roman" w:hAnsi="Times New Roman" w:eastAsia="仿宋_GB2312" w:cs="仿宋_GB2312"/>
          <w:sz w:val="28"/>
          <w:szCs w:val="28"/>
          <w:highlight w:val="none"/>
        </w:rPr>
        <w:fldChar w:fldCharType="separate"/>
      </w:r>
      <w:r>
        <w:rPr>
          <w:rFonts w:hint="eastAsia" w:ascii="Times New Roman" w:hAnsi="Times New Roman" w:eastAsia="仿宋_GB2312" w:cs="仿宋_GB2312"/>
          <w:sz w:val="28"/>
          <w:szCs w:val="28"/>
        </w:rPr>
        <w:t>十一、</w:t>
      </w:r>
      <w:r>
        <w:rPr>
          <w:rFonts w:hint="eastAsia" w:ascii="Times New Roman" w:hAnsi="Times New Roman" w:eastAsia="仿宋_GB2312" w:cs="仿宋_GB2312"/>
          <w:sz w:val="28"/>
          <w:szCs w:val="28"/>
          <w:highlight w:val="none"/>
        </w:rPr>
        <w:t>其他重要事项的情况说明</w:t>
      </w:r>
      <w:r>
        <w:rPr>
          <w:rFonts w:hint="eastAsia" w:ascii="Times New Roman" w:hAnsi="Times New Roman" w:eastAsia="仿宋_GB2312" w:cs="仿宋_GB2312"/>
          <w:sz w:val="28"/>
          <w:szCs w:val="28"/>
        </w:rPr>
        <w:tab/>
      </w:r>
      <w:r>
        <w:rPr>
          <w:rFonts w:hint="eastAsia" w:ascii="Times New Roman" w:hAnsi="Times New Roman" w:eastAsia="仿宋_GB2312" w:cs="仿宋_GB2312"/>
          <w:sz w:val="28"/>
          <w:szCs w:val="28"/>
        </w:rPr>
        <w:fldChar w:fldCharType="begin"/>
      </w:r>
      <w:r>
        <w:rPr>
          <w:rFonts w:hint="eastAsia" w:ascii="Times New Roman" w:hAnsi="Times New Roman" w:eastAsia="仿宋_GB2312" w:cs="仿宋_GB2312"/>
          <w:sz w:val="28"/>
          <w:szCs w:val="28"/>
        </w:rPr>
        <w:instrText xml:space="preserve"> PAGEREF _Toc23174 \h </w:instrText>
      </w:r>
      <w:r>
        <w:rPr>
          <w:rFonts w:hint="eastAsia" w:ascii="Times New Roman" w:hAnsi="Times New Roman" w:eastAsia="仿宋_GB2312" w:cs="仿宋_GB2312"/>
          <w:sz w:val="28"/>
          <w:szCs w:val="28"/>
        </w:rPr>
        <w:fldChar w:fldCharType="separate"/>
      </w:r>
      <w:r>
        <w:rPr>
          <w:rFonts w:hint="eastAsia" w:ascii="Times New Roman" w:hAnsi="Times New Roman" w:eastAsia="仿宋_GB2312" w:cs="仿宋_GB2312"/>
          <w:sz w:val="28"/>
          <w:szCs w:val="28"/>
        </w:rPr>
        <w:t>14</w:t>
      </w:r>
      <w:r>
        <w:rPr>
          <w:rFonts w:hint="eastAsia" w:ascii="Times New Roman" w:hAnsi="Times New Roman" w:eastAsia="仿宋_GB2312" w:cs="仿宋_GB2312"/>
          <w:sz w:val="28"/>
          <w:szCs w:val="28"/>
        </w:rPr>
        <w:fldChar w:fldCharType="end"/>
      </w:r>
      <w:r>
        <w:rPr>
          <w:rFonts w:hint="eastAsia" w:ascii="Times New Roman" w:hAnsi="Times New Roman" w:eastAsia="仿宋_GB2312" w:cs="仿宋_GB2312"/>
          <w:color w:val="auto"/>
          <w:sz w:val="28"/>
          <w:szCs w:val="28"/>
          <w:highlight w:val="none"/>
        </w:rPr>
        <w:fldChar w:fldCharType="end"/>
      </w:r>
    </w:p>
    <w:p w14:paraId="33C785C1">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_Toc26855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第三部分  名词解释</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_Toc26855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16</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622F7922">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仿宋_GB2312" w:cs="仿宋_GB2312"/>
          <w:color w:val="auto"/>
          <w:sz w:val="28"/>
          <w:szCs w:val="28"/>
          <w:highlight w:val="none"/>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_Toc16531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第四部分  附  件</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_Toc16531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18</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6D728123">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ind w:left="0" w:leftChars="0" w:firstLine="0" w:firstLineChars="0"/>
        <w:textAlignment w:val="auto"/>
        <w:rPr>
          <w:rFonts w:ascii="Times New Roman" w:hAnsi="Times New Roman"/>
          <w:sz w:val="28"/>
          <w:szCs w:val="28"/>
        </w:rPr>
      </w:pP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HYPERLINK \l _Toc7469 </w:instrText>
      </w:r>
      <w:r>
        <w:rPr>
          <w:rFonts w:hint="eastAsia" w:ascii="Times New Roman" w:hAnsi="Times New Roman" w:eastAsia="仿宋_GB2312" w:cs="仿宋_GB2312"/>
          <w:color w:val="auto"/>
          <w:sz w:val="28"/>
          <w:szCs w:val="28"/>
          <w:highlight w:val="none"/>
        </w:rPr>
        <w:fldChar w:fldCharType="separate"/>
      </w:r>
      <w:r>
        <w:rPr>
          <w:rFonts w:hint="eastAsia" w:ascii="仿宋" w:hAnsi="仿宋" w:eastAsia="仿宋" w:cs="Times New Roman"/>
          <w:color w:val="auto"/>
          <w:kern w:val="2"/>
          <w:sz w:val="24"/>
          <w:szCs w:val="28"/>
          <w:highlight w:val="none"/>
          <w:lang w:val="en-US" w:eastAsia="zh-CN" w:bidi="ar-SA"/>
        </w:rPr>
        <w:t>第五部分 附表</w:t>
      </w:r>
      <w:r>
        <w:rPr>
          <w:rFonts w:hint="eastAsia" w:ascii="Times New Roman" w:hAnsi="Times New Roman" w:eastAsia="仿宋_GB2312" w:cs="仿宋_GB2312"/>
          <w:color w:val="auto"/>
          <w:sz w:val="28"/>
          <w:szCs w:val="28"/>
          <w:highlight w:val="none"/>
        </w:rPr>
        <w:tab/>
      </w:r>
      <w:r>
        <w:rPr>
          <w:rFonts w:hint="eastAsia" w:ascii="Times New Roman" w:hAnsi="Times New Roman" w:eastAsia="仿宋_GB2312" w:cs="仿宋_GB2312"/>
          <w:color w:val="auto"/>
          <w:sz w:val="28"/>
          <w:szCs w:val="28"/>
          <w:highlight w:val="none"/>
        </w:rPr>
        <w:fldChar w:fldCharType="begin"/>
      </w:r>
      <w:r>
        <w:rPr>
          <w:rFonts w:hint="eastAsia" w:ascii="Times New Roman" w:hAnsi="Times New Roman" w:eastAsia="仿宋_GB2312" w:cs="仿宋_GB2312"/>
          <w:color w:val="auto"/>
          <w:sz w:val="28"/>
          <w:szCs w:val="28"/>
          <w:highlight w:val="none"/>
        </w:rPr>
        <w:instrText xml:space="preserve"> PAGEREF _Toc7469 \h </w:instrText>
      </w:r>
      <w:r>
        <w:rPr>
          <w:rFonts w:hint="eastAsia" w:ascii="Times New Roman" w:hAnsi="Times New Roman" w:eastAsia="仿宋_GB2312" w:cs="仿宋_GB2312"/>
          <w:color w:val="auto"/>
          <w:sz w:val="28"/>
          <w:szCs w:val="28"/>
          <w:highlight w:val="none"/>
        </w:rPr>
        <w:fldChar w:fldCharType="separate"/>
      </w:r>
      <w:r>
        <w:rPr>
          <w:rFonts w:hint="eastAsia" w:ascii="Times New Roman" w:hAnsi="Times New Roman" w:eastAsia="仿宋_GB2312" w:cs="仿宋_GB2312"/>
          <w:color w:val="auto"/>
          <w:sz w:val="28"/>
          <w:szCs w:val="28"/>
          <w:highlight w:val="none"/>
        </w:rPr>
        <w:t>19</w:t>
      </w:r>
      <w:r>
        <w:rPr>
          <w:rFonts w:hint="eastAsia" w:ascii="Times New Roman" w:hAnsi="Times New Roman" w:eastAsia="仿宋_GB2312" w:cs="仿宋_GB2312"/>
          <w:color w:val="auto"/>
          <w:sz w:val="28"/>
          <w:szCs w:val="28"/>
          <w:highlight w:val="none"/>
        </w:rPr>
        <w:fldChar w:fldCharType="end"/>
      </w:r>
      <w:r>
        <w:rPr>
          <w:rFonts w:hint="eastAsia" w:ascii="Times New Roman" w:hAnsi="Times New Roman" w:eastAsia="仿宋_GB2312" w:cs="仿宋_GB2312"/>
          <w:color w:val="auto"/>
          <w:sz w:val="28"/>
          <w:szCs w:val="28"/>
          <w:highlight w:val="none"/>
        </w:rPr>
        <w:fldChar w:fldCharType="end"/>
      </w:r>
    </w:p>
    <w:p w14:paraId="5FE9568A">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_Toc5240 </w:instrText>
      </w:r>
      <w:r>
        <w:rPr>
          <w:rFonts w:hint="eastAsia" w:ascii="Times New Roman" w:hAnsi="Times New Roman" w:eastAsia="黑体"/>
          <w:sz w:val="28"/>
          <w:szCs w:val="28"/>
          <w:highlight w:val="none"/>
        </w:rPr>
        <w:fldChar w:fldCharType="separate"/>
      </w:r>
      <w:r>
        <w:rPr>
          <w:rFonts w:hint="eastAsia" w:ascii="Times New Roman" w:hAnsi="Times New Roman" w:eastAsia="仿宋"/>
          <w:sz w:val="28"/>
          <w:szCs w:val="28"/>
          <w:highlight w:val="none"/>
        </w:rPr>
        <w:t>一、收</w:t>
      </w:r>
      <w:r>
        <w:rPr>
          <w:rFonts w:hint="eastAsia" w:ascii="Times New Roman" w:hAnsi="Times New Roman" w:eastAsia="仿宋"/>
          <w:bCs w:val="0"/>
          <w:sz w:val="28"/>
          <w:szCs w:val="28"/>
          <w:highlight w:val="none"/>
        </w:rPr>
        <w:t>入支出决算总表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_Toc5240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7509C012">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_Toc24207 </w:instrText>
      </w:r>
      <w:r>
        <w:rPr>
          <w:rFonts w:hint="eastAsia" w:ascii="Times New Roman" w:hAnsi="Times New Roman" w:eastAsia="黑体"/>
          <w:sz w:val="28"/>
          <w:szCs w:val="28"/>
          <w:highlight w:val="none"/>
        </w:rPr>
        <w:fldChar w:fldCharType="separate"/>
      </w:r>
      <w:r>
        <w:rPr>
          <w:rFonts w:hint="eastAsia" w:ascii="Times New Roman" w:hAnsi="Times New Roman" w:eastAsia="仿宋"/>
          <w:sz w:val="28"/>
          <w:szCs w:val="28"/>
          <w:highlight w:val="none"/>
        </w:rPr>
        <w:t>二、收</w:t>
      </w:r>
      <w:r>
        <w:rPr>
          <w:rFonts w:hint="eastAsia" w:ascii="Times New Roman" w:hAnsi="Times New Roman" w:eastAsia="仿宋"/>
          <w:bCs w:val="0"/>
          <w:sz w:val="28"/>
          <w:szCs w:val="28"/>
          <w:highlight w:val="none"/>
        </w:rPr>
        <w:t>入决算表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_Toc24207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40E8A2C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_Toc5844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三、</w:t>
      </w:r>
      <w:r>
        <w:rPr>
          <w:rFonts w:hint="eastAsia" w:ascii="Times New Roman" w:hAnsi="Times New Roman" w:eastAsia="仿宋"/>
          <w:sz w:val="28"/>
          <w:szCs w:val="28"/>
          <w:highlight w:val="none"/>
        </w:rPr>
        <w:t>支</w:t>
      </w:r>
      <w:r>
        <w:rPr>
          <w:rFonts w:hint="eastAsia" w:ascii="Times New Roman" w:hAnsi="Times New Roman" w:eastAsia="仿宋"/>
          <w:bCs w:val="0"/>
          <w:sz w:val="28"/>
          <w:szCs w:val="28"/>
          <w:highlight w:val="none"/>
        </w:rPr>
        <w:t>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_Toc5844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57589624">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_Toc30483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四、</w:t>
      </w:r>
      <w:r>
        <w:rPr>
          <w:rFonts w:hint="eastAsia" w:ascii="Times New Roman" w:hAnsi="Times New Roman" w:eastAsia="仿宋"/>
          <w:sz w:val="28"/>
          <w:szCs w:val="28"/>
          <w:highlight w:val="none"/>
        </w:rPr>
        <w:t>财</w:t>
      </w:r>
      <w:r>
        <w:rPr>
          <w:rFonts w:hint="eastAsia" w:ascii="Times New Roman" w:hAnsi="Times New Roman" w:eastAsia="仿宋"/>
          <w:bCs w:val="0"/>
          <w:sz w:val="28"/>
          <w:szCs w:val="28"/>
          <w:highlight w:val="none"/>
        </w:rPr>
        <w:t>政拨款收入支出决算总表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_Toc30483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00BF511E">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_Toc5406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五、</w:t>
      </w:r>
      <w:r>
        <w:rPr>
          <w:rFonts w:hint="eastAsia" w:ascii="Times New Roman" w:hAnsi="Times New Roman" w:eastAsia="仿宋"/>
          <w:sz w:val="28"/>
          <w:szCs w:val="28"/>
          <w:highlight w:val="none"/>
        </w:rPr>
        <w:t>财</w:t>
      </w:r>
      <w:r>
        <w:rPr>
          <w:rFonts w:hint="eastAsia" w:ascii="Times New Roman" w:hAnsi="Times New Roman" w:eastAsia="仿宋"/>
          <w:bCs w:val="0"/>
          <w:sz w:val="28"/>
          <w:szCs w:val="28"/>
          <w:highlight w:val="none"/>
        </w:rPr>
        <w:t>政拨款支出决算明细表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_Toc5406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65278863">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_Toc12504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六、</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_Toc12504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6F2B2E09">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_Toc9607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七、</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般公共预算财政拨款支出决算明细表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_Toc9607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1DE531E2">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_Toc13203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八、</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般公共预算财政拨款基本支出决算表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_Toc13203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18998A1D">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_Toc14870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九、</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般公共预算财政拨款项目支出决算表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_Toc14870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0501BCF6">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_Toc30154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w:t>
      </w:r>
      <w:r>
        <w:rPr>
          <w:rFonts w:hint="eastAsia" w:ascii="Times New Roman" w:hAnsi="Times New Roman" w:eastAsia="仿宋"/>
          <w:sz w:val="28"/>
          <w:szCs w:val="28"/>
          <w:highlight w:val="none"/>
        </w:rPr>
        <w:t>一</w:t>
      </w:r>
      <w:r>
        <w:rPr>
          <w:rFonts w:hint="eastAsia" w:ascii="Times New Roman" w:hAnsi="Times New Roman" w:eastAsia="仿宋"/>
          <w:bCs w:val="0"/>
          <w:sz w:val="28"/>
          <w:szCs w:val="28"/>
          <w:highlight w:val="none"/>
        </w:rPr>
        <w:t>般公共预算财政拨款“三公”经费支出决算表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_Toc30154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0A479643">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_Toc29031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十一、</w:t>
      </w:r>
      <w:r>
        <w:rPr>
          <w:rFonts w:hint="eastAsia" w:ascii="Times New Roman" w:hAnsi="Times New Roman" w:eastAsia="仿宋"/>
          <w:sz w:val="28"/>
          <w:szCs w:val="28"/>
          <w:highlight w:val="none"/>
        </w:rPr>
        <w:t>政</w:t>
      </w:r>
      <w:r>
        <w:rPr>
          <w:rFonts w:hint="eastAsia" w:ascii="Times New Roman" w:hAnsi="Times New Roman" w:eastAsia="仿宋"/>
          <w:bCs w:val="0"/>
          <w:sz w:val="28"/>
          <w:szCs w:val="28"/>
          <w:highlight w:val="none"/>
        </w:rPr>
        <w:t>府性基金预算财政拨款收入支出决算表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_Toc29031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7E527C6A">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_Toc23824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十二、</w:t>
      </w:r>
      <w:r>
        <w:rPr>
          <w:rFonts w:hint="eastAsia" w:ascii="Times New Roman" w:hAnsi="Times New Roman" w:eastAsia="仿宋"/>
          <w:sz w:val="28"/>
          <w:szCs w:val="28"/>
          <w:highlight w:val="none"/>
        </w:rPr>
        <w:t>政</w:t>
      </w:r>
      <w:r>
        <w:rPr>
          <w:rFonts w:hint="eastAsia" w:ascii="Times New Roman" w:hAnsi="Times New Roman" w:eastAsia="仿宋"/>
          <w:bCs w:val="0"/>
          <w:sz w:val="28"/>
          <w:szCs w:val="28"/>
          <w:highlight w:val="none"/>
        </w:rPr>
        <w:t>府性基金预算财政拨款“三公”经费支出决算表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_Toc23824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09530C20">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_Toc32391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rPr>
        <w:t>十三、</w:t>
      </w:r>
      <w:r>
        <w:rPr>
          <w:rFonts w:hint="eastAsia" w:ascii="Times New Roman" w:hAnsi="Times New Roman" w:eastAsia="仿宋"/>
          <w:sz w:val="28"/>
          <w:szCs w:val="28"/>
          <w:highlight w:val="none"/>
        </w:rPr>
        <w:t>国</w:t>
      </w:r>
      <w:r>
        <w:rPr>
          <w:rFonts w:hint="eastAsia" w:ascii="Times New Roman" w:hAnsi="Times New Roman" w:eastAsia="仿宋"/>
          <w:bCs w:val="0"/>
          <w:sz w:val="28"/>
          <w:szCs w:val="28"/>
          <w:highlight w:val="none"/>
        </w:rPr>
        <w:t>有资本经营预算</w:t>
      </w:r>
      <w:r>
        <w:rPr>
          <w:rFonts w:hint="eastAsia" w:ascii="Times New Roman" w:hAnsi="Times New Roman" w:eastAsia="仿宋"/>
          <w:bCs w:val="0"/>
          <w:sz w:val="28"/>
          <w:szCs w:val="28"/>
          <w:highlight w:val="none"/>
          <w:lang w:eastAsia="zh-CN"/>
        </w:rPr>
        <w:t>财政拨款收入</w:t>
      </w:r>
      <w:r>
        <w:rPr>
          <w:rFonts w:hint="eastAsia" w:ascii="Times New Roman" w:hAnsi="Times New Roman" w:eastAsia="仿宋"/>
          <w:bCs w:val="0"/>
          <w:sz w:val="28"/>
          <w:szCs w:val="28"/>
          <w:highlight w:val="none"/>
        </w:rPr>
        <w:t>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_Toc32391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38960998">
      <w:pPr>
        <w:pStyle w:val="13"/>
        <w:keepNext w:val="0"/>
        <w:keepLines w:val="0"/>
        <w:pageBreakBefore w:val="0"/>
        <w:widowControl w:val="0"/>
        <w:tabs>
          <w:tab w:val="right" w:leader="middleDot" w:pos="8845"/>
          <w:tab w:val="clear" w:pos="8296"/>
        </w:tabs>
        <w:kinsoku/>
        <w:wordWrap/>
        <w:overflowPunct/>
        <w:topLinePunct w:val="0"/>
        <w:autoSpaceDE/>
        <w:autoSpaceDN/>
        <w:bidi w:val="0"/>
        <w:adjustRightInd/>
        <w:snapToGrid/>
        <w:spacing w:line="500" w:lineRule="exact"/>
        <w:textAlignment w:val="auto"/>
        <w:rPr>
          <w:rFonts w:ascii="Times New Roman" w:hAnsi="Times New Roman"/>
          <w:sz w:val="28"/>
          <w:szCs w:val="28"/>
        </w:rPr>
      </w:pPr>
      <w:r>
        <w:rPr>
          <w:rFonts w:hint="eastAsia" w:ascii="Times New Roman" w:hAnsi="Times New Roman" w:eastAsia="黑体"/>
          <w:color w:val="auto"/>
          <w:sz w:val="28"/>
          <w:szCs w:val="28"/>
          <w:highlight w:val="none"/>
        </w:rPr>
        <w:fldChar w:fldCharType="begin"/>
      </w:r>
      <w:r>
        <w:rPr>
          <w:rFonts w:hint="eastAsia" w:ascii="Times New Roman" w:hAnsi="Times New Roman" w:eastAsia="黑体"/>
          <w:sz w:val="28"/>
          <w:szCs w:val="28"/>
          <w:highlight w:val="none"/>
        </w:rPr>
        <w:instrText xml:space="preserve"> HYPERLINK \l _Toc11515 </w:instrText>
      </w:r>
      <w:r>
        <w:rPr>
          <w:rFonts w:hint="eastAsia" w:ascii="Times New Roman" w:hAnsi="Times New Roman" w:eastAsia="黑体"/>
          <w:sz w:val="28"/>
          <w:szCs w:val="28"/>
          <w:highlight w:val="none"/>
        </w:rPr>
        <w:fldChar w:fldCharType="separate"/>
      </w:r>
      <w:r>
        <w:rPr>
          <w:rFonts w:hint="eastAsia" w:ascii="Times New Roman" w:hAnsi="Times New Roman" w:eastAsia="仿宋"/>
          <w:bCs w:val="0"/>
          <w:sz w:val="28"/>
          <w:szCs w:val="28"/>
          <w:highlight w:val="none"/>
          <w:lang w:eastAsia="zh-CN"/>
        </w:rPr>
        <w:t>十四、国有资本经营预算财政拨款支出决算表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_Toc11515 \h </w:instrText>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r>
        <w:rPr>
          <w:rFonts w:hint="eastAsia" w:ascii="Times New Roman" w:hAnsi="Times New Roman" w:eastAsia="黑体"/>
          <w:color w:val="auto"/>
          <w:sz w:val="28"/>
          <w:szCs w:val="28"/>
          <w:highlight w:val="none"/>
        </w:rPr>
        <w:fldChar w:fldCharType="end"/>
      </w:r>
    </w:p>
    <w:p w14:paraId="4CA76039">
      <w:pPr>
        <w:pStyle w:val="7"/>
        <w:rPr>
          <w:rFonts w:hint="eastAsia" w:ascii="Times New Roman" w:hAnsi="Times New Roman" w:eastAsia="黑体"/>
          <w:color w:val="auto"/>
          <w:szCs w:val="48"/>
          <w:highlight w:val="none"/>
        </w:rPr>
        <w:sectPr>
          <w:footerReference r:id="rId6" w:type="first"/>
          <w:footerReference r:id="rId5" w:type="default"/>
          <w:pgSz w:w="11906" w:h="16838"/>
          <w:pgMar w:top="1701" w:right="1474" w:bottom="1440" w:left="1587" w:header="851" w:footer="992" w:gutter="0"/>
          <w:pgNumType w:start="1"/>
          <w:cols w:space="0" w:num="1"/>
          <w:titlePg/>
          <w:rtlGutter w:val="0"/>
          <w:docGrid w:type="lines" w:linePitch="312" w:charSpace="0"/>
        </w:sectPr>
      </w:pPr>
    </w:p>
    <w:p w14:paraId="4A485715">
      <w:pPr>
        <w:pStyle w:val="7"/>
        <w:ind w:left="0" w:leftChars="0" w:right="0" w:rightChars="0" w:firstLine="0" w:firstLineChars="0"/>
        <w:jc w:val="center"/>
        <w:rPr>
          <w:rFonts w:hint="eastAsia" w:ascii="Times New Roman" w:hAnsi="Times New Roman" w:eastAsia="黑体"/>
          <w:b w:val="0"/>
          <w:color w:val="auto"/>
          <w:sz w:val="44"/>
          <w:szCs w:val="44"/>
          <w:highlight w:val="none"/>
          <w:lang w:eastAsia="zh-CN"/>
        </w:rPr>
      </w:pPr>
      <w:r>
        <w:rPr>
          <w:rFonts w:hint="eastAsia" w:ascii="Times New Roman" w:hAnsi="Times New Roman" w:eastAsia="黑体"/>
          <w:color w:val="auto"/>
          <w:szCs w:val="48"/>
          <w:highlight w:val="none"/>
        </w:rPr>
        <w:fldChar w:fldCharType="end"/>
      </w:r>
      <w:bookmarkStart w:id="14" w:name="_Toc15377196"/>
      <w:bookmarkStart w:id="15" w:name="_Toc15396599"/>
      <w:bookmarkStart w:id="16" w:name="_Toc25495"/>
      <w:r>
        <w:rPr>
          <w:rFonts w:hint="eastAsia" w:ascii="Times New Roman" w:hAnsi="Times New Roman" w:eastAsia="黑体"/>
          <w:b w:val="0"/>
          <w:color w:val="auto"/>
          <w:sz w:val="44"/>
          <w:szCs w:val="44"/>
          <w:highlight w:val="none"/>
        </w:rPr>
        <w:t xml:space="preserve">第一部分 </w:t>
      </w:r>
      <w:r>
        <w:rPr>
          <w:rFonts w:hint="eastAsia" w:ascii="Times New Roman" w:hAnsi="Times New Roman" w:eastAsia="黑体"/>
          <w:b w:val="0"/>
          <w:color w:val="auto"/>
          <w:sz w:val="44"/>
          <w:szCs w:val="44"/>
          <w:highlight w:val="none"/>
          <w:lang w:eastAsia="zh-CN"/>
        </w:rPr>
        <w:t>单位</w:t>
      </w:r>
      <w:r>
        <w:rPr>
          <w:rFonts w:hint="eastAsia" w:ascii="Times New Roman" w:hAnsi="Times New Roman" w:eastAsia="黑体"/>
          <w:b w:val="0"/>
          <w:color w:val="auto"/>
          <w:sz w:val="44"/>
          <w:szCs w:val="44"/>
          <w:highlight w:val="none"/>
        </w:rPr>
        <w:t>概况</w:t>
      </w:r>
      <w:bookmarkEnd w:id="14"/>
      <w:bookmarkEnd w:id="15"/>
      <w:bookmarkEnd w:id="16"/>
    </w:p>
    <w:p w14:paraId="13576BF7">
      <w:pPr>
        <w:pStyle w:val="5"/>
        <w:pageBreakBefore w:val="0"/>
        <w:widowControl w:val="0"/>
        <w:numPr>
          <w:ilvl w:val="0"/>
          <w:numId w:val="0"/>
        </w:numPr>
        <w:kinsoku/>
        <w:wordWrap/>
        <w:overflowPunct/>
        <w:topLinePunct w:val="0"/>
        <w:autoSpaceDE/>
        <w:autoSpaceDN/>
        <w:bidi w:val="0"/>
        <w:adjustRightInd/>
        <w:spacing w:before="0" w:after="0" w:line="576" w:lineRule="exact"/>
        <w:ind w:firstLine="640" w:firstLineChars="200"/>
        <w:textAlignment w:val="auto"/>
        <w:rPr>
          <w:rStyle w:val="28"/>
          <w:rFonts w:hint="eastAsia" w:ascii="Times New Roman" w:hAnsi="Times New Roman" w:eastAsia="黑体"/>
          <w:b w:val="0"/>
          <w:bCs w:val="0"/>
          <w:color w:val="auto"/>
          <w:highlight w:val="none"/>
          <w:lang w:eastAsia="zh-CN"/>
        </w:rPr>
      </w:pPr>
      <w:bookmarkStart w:id="17" w:name="_Toc19108"/>
      <w:bookmarkStart w:id="18" w:name="_Toc15396600"/>
      <w:bookmarkStart w:id="19" w:name="_Toc15377197"/>
      <w:r>
        <w:rPr>
          <w:rStyle w:val="28"/>
          <w:rFonts w:hint="eastAsia" w:ascii="Times New Roman" w:hAnsi="Times New Roman" w:eastAsia="黑体"/>
          <w:b w:val="0"/>
          <w:bCs w:val="0"/>
          <w:color w:val="auto"/>
          <w:highlight w:val="none"/>
          <w:lang w:eastAsia="zh-CN"/>
        </w:rPr>
        <w:t>一、</w:t>
      </w:r>
      <w:r>
        <w:rPr>
          <w:rStyle w:val="28"/>
          <w:rFonts w:hint="eastAsia" w:ascii="Times New Roman" w:hAnsi="Times New Roman" w:eastAsia="黑体"/>
          <w:b w:val="0"/>
          <w:bCs w:val="0"/>
          <w:color w:val="auto"/>
          <w:highlight w:val="none"/>
        </w:rPr>
        <w:t>职能</w:t>
      </w:r>
      <w:r>
        <w:rPr>
          <w:rStyle w:val="28"/>
          <w:rFonts w:hint="eastAsia" w:ascii="Times New Roman" w:hAnsi="Times New Roman" w:eastAsia="黑体"/>
          <w:b w:val="0"/>
          <w:bCs w:val="0"/>
          <w:color w:val="auto"/>
          <w:highlight w:val="none"/>
          <w:lang w:eastAsia="zh-CN"/>
        </w:rPr>
        <w:t>简介</w:t>
      </w:r>
      <w:bookmarkEnd w:id="17"/>
    </w:p>
    <w:p w14:paraId="7DA9B45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（一）</w:t>
      </w:r>
      <w:r>
        <w:rPr>
          <w:rFonts w:hint="eastAsia" w:ascii="Times New Roman" w:hAnsi="Times New Roman" w:eastAsia="仿宋_GB2312" w:cs="仿宋_GB2312"/>
          <w:sz w:val="32"/>
          <w:szCs w:val="32"/>
        </w:rPr>
        <w:t>负责制定全区团的建设规划，分类指导区直机关、农村以及企事业单位团的思想、组织、作风建设和团员的教育管理工作。</w:t>
      </w:r>
    </w:p>
    <w:p w14:paraId="37C00C3C">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（二）</w:t>
      </w:r>
      <w:r>
        <w:rPr>
          <w:rFonts w:hint="eastAsia" w:ascii="Times New Roman" w:hAnsi="Times New Roman" w:eastAsia="仿宋_GB2312" w:cs="仿宋_GB2312"/>
          <w:sz w:val="32"/>
          <w:szCs w:val="32"/>
        </w:rPr>
        <w:t>负责加强团的领导班子、领导干部的思想政治作风建</w:t>
      </w:r>
      <w:r>
        <w:rPr>
          <w:rFonts w:hint="eastAsia" w:ascii="Times New Roman" w:hAnsi="Times New Roman" w:eastAsia="仿宋_GB2312" w:cs="仿宋_GB2312"/>
          <w:sz w:val="32"/>
          <w:szCs w:val="32"/>
          <w:lang w:eastAsia="zh-CN"/>
        </w:rPr>
        <w:t>设；</w:t>
      </w:r>
      <w:r>
        <w:rPr>
          <w:rFonts w:hint="eastAsia" w:ascii="Times New Roman" w:hAnsi="Times New Roman" w:eastAsia="仿宋_GB2312" w:cs="仿宋_GB2312"/>
          <w:sz w:val="32"/>
          <w:szCs w:val="32"/>
        </w:rPr>
        <w:t xml:space="preserve">了解各级团组织团员和思想动态，及时向有关部门领导反映和组织协调。 </w:t>
      </w:r>
    </w:p>
    <w:p w14:paraId="3435396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（三）</w:t>
      </w:r>
      <w:r>
        <w:rPr>
          <w:rFonts w:hint="eastAsia" w:ascii="Times New Roman" w:hAnsi="Times New Roman" w:eastAsia="仿宋_GB2312" w:cs="仿宋_GB2312"/>
          <w:sz w:val="32"/>
          <w:szCs w:val="32"/>
        </w:rPr>
        <w:t>负责考察直属团委领导班子的建立和组织发展工作;负责对书记、副书记和专职团干部的考核、培训工作。</w:t>
      </w:r>
    </w:p>
    <w:p w14:paraId="1F95BFE6">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（四）</w:t>
      </w:r>
      <w:r>
        <w:rPr>
          <w:rFonts w:hint="eastAsia" w:ascii="Times New Roman" w:hAnsi="Times New Roman" w:eastAsia="仿宋_GB2312" w:cs="仿宋_GB2312"/>
          <w:sz w:val="32"/>
          <w:szCs w:val="32"/>
        </w:rPr>
        <w:t>指导各级团组织抓好团员和青年的理论学习、党的路线、方针、政策以及科学文化、专业知识和法律知识的学习;</w:t>
      </w:r>
      <w:r>
        <w:rPr>
          <w:rFonts w:hint="eastAsia" w:ascii="Times New Roman" w:hAnsi="Times New Roman" w:eastAsia="仿宋_GB2312" w:cs="仿宋_GB2312"/>
          <w:sz w:val="32"/>
          <w:szCs w:val="32"/>
          <w:lang w:eastAsia="zh-CN"/>
        </w:rPr>
        <w:t>组</w:t>
      </w:r>
      <w:r>
        <w:rPr>
          <w:rFonts w:hint="eastAsia" w:ascii="Times New Roman" w:hAnsi="Times New Roman" w:eastAsia="仿宋_GB2312" w:cs="仿宋_GB2312"/>
          <w:sz w:val="32"/>
          <w:szCs w:val="32"/>
        </w:rPr>
        <w:t>织直属团委领导干部短期集中理论学习;向区委举荐各类优秀青年人才。</w:t>
      </w:r>
    </w:p>
    <w:p w14:paraId="69932CE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（五）</w:t>
      </w:r>
      <w:r>
        <w:rPr>
          <w:rFonts w:hint="eastAsia" w:ascii="Times New Roman" w:hAnsi="Times New Roman" w:eastAsia="仿宋_GB2312" w:cs="仿宋_GB2312"/>
          <w:sz w:val="32"/>
          <w:szCs w:val="32"/>
        </w:rPr>
        <w:t>指导各级团组织配合行政领导做好思想政治工作的统战工作;完成行政领导交办的其他各项工作任务，抓好部门精神</w:t>
      </w:r>
      <w:r>
        <w:rPr>
          <w:rFonts w:hint="eastAsia" w:ascii="Times New Roman" w:hAnsi="Times New Roman" w:eastAsia="仿宋_GB2312" w:cs="仿宋_GB2312"/>
          <w:sz w:val="32"/>
          <w:szCs w:val="32"/>
          <w:lang w:eastAsia="zh-CN"/>
        </w:rPr>
        <w:t>文明建设。</w:t>
      </w:r>
    </w:p>
    <w:p w14:paraId="142A61DF">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（六）</w:t>
      </w:r>
      <w:r>
        <w:rPr>
          <w:rFonts w:hint="eastAsia" w:ascii="Times New Roman" w:hAnsi="Times New Roman" w:eastAsia="仿宋_GB2312" w:cs="仿宋_GB2312"/>
          <w:sz w:val="32"/>
          <w:szCs w:val="32"/>
        </w:rPr>
        <w:t>指导各级团组织发扬“全团带队”的传统，做好少先队工作和希望工程工作。</w:t>
      </w:r>
    </w:p>
    <w:p w14:paraId="396F8182">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（七）</w:t>
      </w:r>
      <w:r>
        <w:rPr>
          <w:rFonts w:hint="eastAsia" w:ascii="Times New Roman" w:hAnsi="Times New Roman" w:eastAsia="仿宋_GB2312" w:cs="仿宋_GB2312"/>
          <w:sz w:val="32"/>
          <w:szCs w:val="32"/>
        </w:rPr>
        <w:t>完成区委和上级主管部门交办的其他工作。</w:t>
      </w:r>
    </w:p>
    <w:p w14:paraId="347A143A">
      <w:pPr>
        <w:pStyle w:val="7"/>
        <w:ind w:firstLine="640" w:firstLineChars="200"/>
        <w:rPr>
          <w:rFonts w:hint="eastAsia" w:ascii="Times New Roman" w:hAnsi="Times New Roman" w:eastAsia="黑体" w:cstheme="majorBidi"/>
          <w:b w:val="0"/>
          <w:bCs/>
          <w:color w:val="auto"/>
          <w:kern w:val="2"/>
          <w:sz w:val="32"/>
          <w:szCs w:val="32"/>
          <w:highlight w:val="none"/>
          <w:lang w:val="en-US" w:eastAsia="zh-CN" w:bidi="ar-SA"/>
        </w:rPr>
      </w:pPr>
      <w:r>
        <w:rPr>
          <w:rFonts w:hint="eastAsia" w:ascii="Times New Roman" w:hAnsi="Times New Roman" w:eastAsia="黑体" w:cstheme="majorBidi"/>
          <w:b w:val="0"/>
          <w:bCs/>
          <w:color w:val="auto"/>
          <w:kern w:val="2"/>
          <w:sz w:val="32"/>
          <w:szCs w:val="32"/>
          <w:highlight w:val="none"/>
          <w:lang w:val="en-US" w:eastAsia="zh-CN" w:bidi="ar-SA"/>
        </w:rPr>
        <w:t>二、机构设置</w:t>
      </w:r>
    </w:p>
    <w:p w14:paraId="67B2747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团区委属独立的财务一级预算党群部门，</w:t>
      </w:r>
      <w:r>
        <w:rPr>
          <w:rFonts w:hint="eastAsia" w:ascii="仿宋_GB2312" w:hAnsi="仿宋_GB2312" w:eastAsia="仿宋_GB2312" w:cs="仿宋_GB2312"/>
          <w:sz w:val="32"/>
          <w:szCs w:val="32"/>
        </w:rPr>
        <w:t>设置3个职能股室:办公室(青联秘书部)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青工青农部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学少部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下属公益一类事业单位1个，为“广元市昭化区青少年服务中心”，无二级预算单位。</w:t>
      </w:r>
    </w:p>
    <w:p w14:paraId="2500D7BC">
      <w:pPr>
        <w:pStyle w:val="5"/>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0" w:firstLineChars="200"/>
        <w:textAlignment w:val="auto"/>
        <w:rPr>
          <w:rFonts w:hint="eastAsia" w:ascii="Times New Roman" w:hAnsi="Times New Roman" w:eastAsia="黑体"/>
          <w:b w:val="0"/>
          <w:color w:val="auto"/>
          <w:highlight w:val="none"/>
        </w:rPr>
      </w:pPr>
      <w:bookmarkStart w:id="20" w:name="_Toc22368"/>
      <w:r>
        <w:rPr>
          <w:rFonts w:hint="eastAsia" w:ascii="Times New Roman" w:hAnsi="Times New Roman" w:eastAsia="黑体"/>
          <w:b w:val="0"/>
          <w:color w:val="auto"/>
          <w:highlight w:val="none"/>
          <w:lang w:val="en-US" w:eastAsia="zh-CN"/>
        </w:rPr>
        <w:t>三、2021年重点</w:t>
      </w:r>
      <w:r>
        <w:rPr>
          <w:rFonts w:hint="eastAsia" w:ascii="Times New Roman" w:hAnsi="Times New Roman" w:eastAsia="黑体"/>
          <w:b w:val="0"/>
          <w:color w:val="auto"/>
          <w:highlight w:val="none"/>
        </w:rPr>
        <w:t>工作</w:t>
      </w:r>
      <w:bookmarkEnd w:id="18"/>
      <w:bookmarkEnd w:id="19"/>
      <w:r>
        <w:rPr>
          <w:rFonts w:hint="eastAsia" w:ascii="Times New Roman" w:hAnsi="Times New Roman" w:eastAsia="黑体"/>
          <w:b w:val="0"/>
          <w:color w:val="auto"/>
          <w:highlight w:val="none"/>
          <w:lang w:eastAsia="zh-CN"/>
        </w:rPr>
        <w:t>完成情况</w:t>
      </w:r>
      <w:bookmarkEnd w:id="20"/>
    </w:p>
    <w:p w14:paraId="464185B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仿宋_GB2312" w:cs="仿宋_GB2312"/>
          <w:b w:val="0"/>
          <w:color w:val="000000"/>
          <w:sz w:val="32"/>
          <w:szCs w:val="32"/>
        </w:rPr>
      </w:pP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b w:val="0"/>
          <w:color w:val="000000"/>
          <w:sz w:val="32"/>
          <w:szCs w:val="32"/>
        </w:rPr>
        <w:t>坚持思想立团，引领青年实现新发展。一是坚持以思想教育为主线，强化政治引领。组织广大团员青年深入学习领会习近平新时代中国特色社会主义思想，认真贯彻落实习</w:t>
      </w:r>
      <w:r>
        <w:rPr>
          <w:rFonts w:hint="eastAsia" w:eastAsia="仿宋_GB2312" w:cs="仿宋_GB2312"/>
          <w:b w:val="0"/>
          <w:color w:val="000000"/>
          <w:sz w:val="32"/>
          <w:szCs w:val="32"/>
          <w:lang w:val="en-US" w:eastAsia="zh-CN"/>
        </w:rPr>
        <w:t>近平</w:t>
      </w:r>
      <w:r>
        <w:rPr>
          <w:rFonts w:hint="eastAsia" w:ascii="Times New Roman" w:hAnsi="Times New Roman" w:eastAsia="仿宋_GB2312" w:cs="仿宋_GB2312"/>
          <w:b w:val="0"/>
          <w:color w:val="000000"/>
          <w:sz w:val="32"/>
          <w:szCs w:val="32"/>
        </w:rPr>
        <w:t>总书记“七一”</w:t>
      </w:r>
      <w:r>
        <w:rPr>
          <w:rFonts w:hint="eastAsia" w:eastAsia="仿宋_GB2312" w:cs="仿宋_GB2312"/>
          <w:b w:val="0"/>
          <w:color w:val="000000"/>
          <w:sz w:val="32"/>
          <w:szCs w:val="32"/>
          <w:lang w:val="en-US" w:eastAsia="zh-CN"/>
        </w:rPr>
        <w:t>重要</w:t>
      </w:r>
      <w:r>
        <w:rPr>
          <w:rFonts w:hint="eastAsia" w:ascii="Times New Roman" w:hAnsi="Times New Roman" w:eastAsia="仿宋_GB2312" w:cs="仿宋_GB2312"/>
          <w:b w:val="0"/>
          <w:color w:val="000000"/>
          <w:sz w:val="32"/>
          <w:szCs w:val="32"/>
        </w:rPr>
        <w:t>讲话、党的十九届六中全会、市区第八次党代会精神，组建昭化区青年宣讲团和红领巾宣讲团，开展党史理论宣讲10余场，向国家、省级、市级等新媒体推送各类新闻30余篇，组织开展“学党史·强信念·跟党走”“青春心向党·奋进十四五”“红领巾心向党”“线上重走红军路”等主题活动40余次。</w:t>
      </w:r>
      <w:r>
        <w:rPr>
          <w:rFonts w:hint="eastAsia" w:ascii="Times New Roman" w:hAnsi="Times New Roman" w:eastAsia="仿宋" w:cs="仿宋"/>
          <w:b/>
          <w:bCs/>
          <w:color w:val="000000"/>
          <w:sz w:val="32"/>
          <w:szCs w:val="32"/>
        </w:rPr>
        <w:t>二是</w:t>
      </w:r>
      <w:r>
        <w:rPr>
          <w:rFonts w:hint="eastAsia" w:ascii="Times New Roman" w:hAnsi="Times New Roman" w:eastAsia="仿宋_GB2312" w:cs="仿宋_GB2312"/>
          <w:b w:val="0"/>
          <w:color w:val="000000"/>
          <w:sz w:val="32"/>
          <w:szCs w:val="32"/>
        </w:rPr>
        <w:t>坚持以先进典型为榜样，凸显模范引领。围绕全区中心工作，积极开展“乡村振兴新青年”“青年岗位能手”等先进选树活动3次，扎实开展省市“优秀共青团干部”、“优秀志愿者”典型推荐申报工作，涌现出3个全国“动感中队活动”先进集体，15个省市先进典型集体和个人。积极选树优秀青年教师代表，组织推荐2名中小学教师实现职称晋升。</w:t>
      </w:r>
      <w:r>
        <w:rPr>
          <w:rFonts w:hint="eastAsia" w:ascii="Times New Roman" w:hAnsi="Times New Roman" w:eastAsia="仿宋" w:cs="仿宋"/>
          <w:b/>
          <w:bCs/>
          <w:color w:val="000000"/>
          <w:sz w:val="32"/>
          <w:szCs w:val="32"/>
        </w:rPr>
        <w:t>三是</w:t>
      </w:r>
      <w:r>
        <w:rPr>
          <w:rFonts w:hint="eastAsia" w:ascii="Times New Roman" w:hAnsi="Times New Roman" w:eastAsia="仿宋_GB2312" w:cs="仿宋_GB2312"/>
          <w:b w:val="0"/>
          <w:color w:val="000000"/>
          <w:sz w:val="32"/>
          <w:szCs w:val="32"/>
        </w:rPr>
        <w:t>坚持线上线下共发力，创新方式引领。探索“互联网+团建”新团建模式，优化提升昭化青年官方微信、微博，线上常态化开展“青年大学习”“请党放心·强国有我”等学习40余次，参加人数达到3万余人次，线下开展“保卫母亲河”“敬老院慰问”“青少年法治在线”等志愿服务10余次，引导青年积极参与志愿服务。</w:t>
      </w:r>
    </w:p>
    <w:p w14:paraId="2295324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（二）坚持从严治团，深化改革焕发新活力。一是</w:t>
      </w:r>
      <w:r>
        <w:rPr>
          <w:rFonts w:hint="eastAsia" w:ascii="Times New Roman" w:hAnsi="Times New Roman" w:eastAsia="仿宋_GB2312" w:cs="仿宋_GB2312"/>
          <w:color w:val="000000"/>
          <w:sz w:val="32"/>
          <w:szCs w:val="32"/>
        </w:rPr>
        <w:t>推进中长期青年发展规划。勇扛“试点”责任担当，区委分管领导挂帅，联席会议定期谋划，将青年发展工作纳入昭化区</w:t>
      </w:r>
      <w:r>
        <w:rPr>
          <w:rFonts w:hint="eastAsia" w:eastAsia="仿宋_GB2312" w:cs="仿宋_GB2312"/>
          <w:color w:val="000000"/>
          <w:sz w:val="32"/>
          <w:szCs w:val="32"/>
          <w:lang w:eastAsia="zh-CN"/>
        </w:rPr>
        <w:t>“十四五”规划</w:t>
      </w:r>
      <w:r>
        <w:rPr>
          <w:rFonts w:hint="eastAsia" w:ascii="Times New Roman" w:hAnsi="Times New Roman" w:eastAsia="仿宋_GB2312" w:cs="仿宋_GB2312"/>
          <w:color w:val="000000"/>
          <w:sz w:val="32"/>
          <w:szCs w:val="32"/>
        </w:rPr>
        <w:t>和区政府工作报告，出台《昭化区落实〈四川省中长期青年发展规划（2017—2025年）〉工作联席会议议事规则》《昭化区落实〈四川省中长期青年发展规划（2017—2025年）〉年度重点工作暨“我为青年办实事”实践活动工作方案》，为昭化青年发展工作做好充足准备。</w:t>
      </w:r>
      <w:r>
        <w:rPr>
          <w:rFonts w:hint="eastAsia" w:ascii="Times New Roman" w:hAnsi="Times New Roman" w:eastAsia="仿宋" w:cs="仿宋"/>
          <w:b/>
          <w:bCs/>
          <w:color w:val="000000"/>
          <w:kern w:val="2"/>
          <w:sz w:val="32"/>
          <w:szCs w:val="32"/>
          <w:lang w:val="en-US" w:eastAsia="zh-CN" w:bidi="ar-SA"/>
        </w:rPr>
        <w:t>二是</w:t>
      </w:r>
      <w:r>
        <w:rPr>
          <w:rFonts w:hint="eastAsia" w:ascii="Times New Roman" w:hAnsi="Times New Roman" w:eastAsia="仿宋_GB2312" w:cs="仿宋_GB2312"/>
          <w:color w:val="000000"/>
          <w:sz w:val="32"/>
          <w:szCs w:val="32"/>
        </w:rPr>
        <w:t>深化团干部管理教育。持之以恒加强团组织建设，教育团干部和团员队伍严守党的政治纪律和政治规矩。将团干部培训纳入全区团干部培训计划，组织开展团干部培训5次，累计参与100余人次，内容涉及党内团内各项重大理论、党史团史、团务基础知识、智慧团建系统操作知识等，持续提升团干部政治意识。</w:t>
      </w:r>
      <w:r>
        <w:rPr>
          <w:rFonts w:hint="eastAsia" w:ascii="Times New Roman" w:hAnsi="Times New Roman" w:eastAsia="仿宋" w:cs="仿宋"/>
          <w:b/>
          <w:bCs/>
          <w:color w:val="000000"/>
          <w:kern w:val="2"/>
          <w:sz w:val="32"/>
          <w:szCs w:val="32"/>
          <w:lang w:val="en-US" w:eastAsia="zh-CN" w:bidi="ar-SA"/>
        </w:rPr>
        <w:t>三是</w:t>
      </w:r>
      <w:r>
        <w:rPr>
          <w:rFonts w:hint="eastAsia" w:ascii="Times New Roman" w:hAnsi="Times New Roman" w:eastAsia="仿宋_GB2312" w:cs="仿宋_GB2312"/>
          <w:color w:val="000000"/>
          <w:sz w:val="32"/>
          <w:szCs w:val="32"/>
        </w:rPr>
        <w:t>从严从实管团治团。把握乡镇区划调整和村级建制调整改革契机，全面完成全区12个镇团委、150个村（社区）团支部换届工作，换届后镇村团组织班子大专以上学历占比70.2%，30岁以下占比75.6%，团组织班子队伍服务能力大幅度提升。全面贯彻落实《关于加强新形势下发展团员和团员管理工作的意见》，严把入团关口，深化团员管理和团籍档案管理，规范团员入团仪式，分阶段严格控制“团学比”，清理整改违规发展团员100余名。</w:t>
      </w:r>
      <w:r>
        <w:rPr>
          <w:rFonts w:hint="eastAsia" w:ascii="Times New Roman" w:hAnsi="Times New Roman" w:eastAsia="仿宋" w:cs="仿宋"/>
          <w:b/>
          <w:bCs/>
          <w:color w:val="000000"/>
          <w:kern w:val="2"/>
          <w:sz w:val="32"/>
          <w:szCs w:val="32"/>
          <w:lang w:val="en-US" w:eastAsia="zh-CN" w:bidi="ar-SA"/>
        </w:rPr>
        <w:t>四是</w:t>
      </w:r>
      <w:r>
        <w:rPr>
          <w:rFonts w:hint="eastAsia" w:ascii="Times New Roman" w:hAnsi="Times New Roman" w:eastAsia="仿宋_GB2312" w:cs="仿宋_GB2312"/>
          <w:color w:val="000000"/>
          <w:sz w:val="32"/>
          <w:szCs w:val="32"/>
        </w:rPr>
        <w:t>强化线上团建管理。扎实用好“智慧团建”团员管理系统，团员转接率达到100%，深入开展团情摸底，核实核准2438名团员、347名团干部、455个团组织基础信息。紧跟“两项改革”，全面完成线上团组织迁移。全面深入开展毕业生团员“学社衔接”工作，今年累计接收毕业生团员570余人，转出团员406余人，建立2021年学社衔接微信群1个。</w:t>
      </w:r>
      <w:r>
        <w:rPr>
          <w:rFonts w:hint="eastAsia" w:ascii="Times New Roman" w:hAnsi="Times New Roman" w:eastAsia="仿宋" w:cs="仿宋"/>
          <w:b/>
          <w:bCs/>
          <w:color w:val="000000"/>
          <w:kern w:val="2"/>
          <w:sz w:val="32"/>
          <w:szCs w:val="32"/>
          <w:lang w:val="en-US" w:eastAsia="zh-CN" w:bidi="ar-SA"/>
        </w:rPr>
        <w:t>五是</w:t>
      </w:r>
      <w:r>
        <w:rPr>
          <w:rFonts w:hint="eastAsia" w:ascii="Times New Roman" w:hAnsi="Times New Roman" w:eastAsia="仿宋_GB2312" w:cs="仿宋_GB2312"/>
          <w:color w:val="000000"/>
          <w:sz w:val="32"/>
          <w:szCs w:val="32"/>
        </w:rPr>
        <w:t>全面开展团组织“三会两制一课”组织生活会。开展“学党史、强信念、跟党走”专题团组织生活会1次，开展“开学第一堂团课”2次，提升各级团组织凝聚力和战斗力。</w:t>
      </w:r>
    </w:p>
    <w:p w14:paraId="534FB9F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（三）坚持服务大局，青春建功取得新成绩。一是</w:t>
      </w:r>
      <w:r>
        <w:rPr>
          <w:rFonts w:hint="eastAsia" w:ascii="Times New Roman" w:hAnsi="Times New Roman" w:eastAsia="仿宋_GB2312" w:cs="仿宋_GB2312"/>
          <w:color w:val="000000"/>
          <w:sz w:val="32"/>
          <w:szCs w:val="32"/>
        </w:rPr>
        <w:t>巩固脱贫攻坚成果，助力乡村振兴工作。联合区总工会、区妇联派出驻村工作队第一书记、驻村工作队员、帮扶责任人15名，组织帮扶干部全部下沉一线入户走访，开展“以购代扶”、农产品网络直播、慰问走访、收入算账等活动50余人次，巩固提升帮扶村88户脱贫攻坚成果，促进脱贫攻坚与乡村振兴有效衔接。</w:t>
      </w:r>
      <w:r>
        <w:rPr>
          <w:rFonts w:hint="eastAsia" w:ascii="Times New Roman" w:hAnsi="Times New Roman" w:eastAsia="仿宋_GB2312" w:cs="仿宋_GB2312"/>
          <w:color w:val="000000"/>
          <w:sz w:val="32"/>
          <w:szCs w:val="32"/>
          <w:lang w:val="en-US" w:eastAsia="zh-CN"/>
        </w:rPr>
        <w:t>二是</w:t>
      </w:r>
      <w:r>
        <w:rPr>
          <w:rFonts w:hint="eastAsia" w:ascii="Times New Roman" w:hAnsi="Times New Roman" w:eastAsia="仿宋_GB2312" w:cs="仿宋_GB2312"/>
          <w:color w:val="000000"/>
          <w:sz w:val="32"/>
          <w:szCs w:val="32"/>
        </w:rPr>
        <w:t>加快推动“拱墅·昭化”东西部协作电商物流园区提升改造子项目。升级打造“昭化严选”平台，完成53家旅游景点、酒店民宿等信息采集工作，前往太公镇、利州广场、旺苍红军城等地开展昭化产品线下直播推介活动3场，积极对接拱墅团委、拱墅联通，达成直播、短视频培训、基地挂牌、产品上架等合作意向，宣传动员创新创业、农</w:t>
      </w:r>
      <w:r>
        <w:rPr>
          <w:rFonts w:hint="eastAsia" w:ascii="Times New Roman" w:hAnsi="Times New Roman" w:eastAsia="仿宋_GB2312" w:cs="仿宋_GB2312"/>
          <w:color w:val="000000"/>
          <w:sz w:val="32"/>
          <w:szCs w:val="32"/>
          <w:lang w:eastAsia="zh-CN"/>
        </w:rPr>
        <w:t>特</w:t>
      </w:r>
      <w:r>
        <w:rPr>
          <w:rFonts w:hint="eastAsia" w:ascii="Times New Roman" w:hAnsi="Times New Roman" w:eastAsia="仿宋_GB2312" w:cs="仿宋_GB2312"/>
          <w:color w:val="000000"/>
          <w:sz w:val="32"/>
          <w:szCs w:val="32"/>
        </w:rPr>
        <w:t>产品Logo设计大赛</w:t>
      </w:r>
      <w:r>
        <w:rPr>
          <w:rFonts w:hint="eastAsia" w:ascii="Times New Roman" w:hAnsi="Times New Roman" w:eastAsia="仿宋_GB2312" w:cs="仿宋_GB2312"/>
          <w:color w:val="000000"/>
          <w:sz w:val="32"/>
          <w:szCs w:val="32"/>
          <w:lang w:eastAsia="zh-CN"/>
        </w:rPr>
        <w:t>，开展农村电商培训</w:t>
      </w:r>
      <w:r>
        <w:rPr>
          <w:rFonts w:hint="eastAsia" w:ascii="Times New Roman" w:hAnsi="Times New Roman" w:eastAsia="仿宋_GB2312" w:cs="仿宋_GB2312"/>
          <w:color w:val="000000"/>
          <w:sz w:val="32"/>
          <w:szCs w:val="32"/>
        </w:rPr>
        <w:t>等活动。</w:t>
      </w:r>
      <w:r>
        <w:rPr>
          <w:rFonts w:hint="eastAsia" w:ascii="Times New Roman" w:hAnsi="Times New Roman" w:eastAsia="仿宋_GB2312" w:cs="仿宋_GB2312"/>
          <w:color w:val="000000"/>
          <w:sz w:val="32"/>
          <w:szCs w:val="32"/>
          <w:lang w:val="en-US" w:eastAsia="zh-CN"/>
        </w:rPr>
        <w:t>三是</w:t>
      </w:r>
      <w:r>
        <w:rPr>
          <w:rFonts w:hint="eastAsia" w:ascii="Times New Roman" w:hAnsi="Times New Roman" w:eastAsia="仿宋_GB2312" w:cs="仿宋_GB2312"/>
          <w:color w:val="000000"/>
          <w:sz w:val="32"/>
          <w:szCs w:val="32"/>
        </w:rPr>
        <w:t>打造好青春建功品牌亮点。深化青年创业小额贷款和SYE大学生创业项目，全年推报10余名，为2名创业青年争取到3年免息创业贷款18余万元。联合开展青年就业创业、民法典等培训100余人次，提供150余个见习岗位助力“逐梦计划”</w:t>
      </w:r>
      <w:r>
        <w:rPr>
          <w:rFonts w:hint="eastAsia" w:ascii="Times New Roman" w:hAnsi="Times New Roman" w:eastAsia="仿宋_GB2312" w:cs="仿宋_GB2312"/>
          <w:color w:val="000000"/>
          <w:sz w:val="32"/>
          <w:szCs w:val="32"/>
          <w:lang w:eastAsia="zh-CN"/>
        </w:rPr>
        <w:t>，开展</w:t>
      </w:r>
      <w:r>
        <w:rPr>
          <w:rFonts w:hint="eastAsia" w:ascii="Times New Roman" w:hAnsi="Times New Roman" w:eastAsia="仿宋_GB2312" w:cs="仿宋_GB2312"/>
          <w:color w:val="000000"/>
          <w:sz w:val="32"/>
          <w:szCs w:val="32"/>
        </w:rPr>
        <w:t>大学生暑期</w:t>
      </w:r>
      <w:r>
        <w:rPr>
          <w:rFonts w:hint="eastAsia" w:ascii="Times New Roman" w:hAnsi="Times New Roman" w:eastAsia="仿宋_GB2312" w:cs="仿宋_GB2312"/>
          <w:color w:val="000000"/>
          <w:sz w:val="32"/>
          <w:szCs w:val="32"/>
          <w:lang w:eastAsia="zh-CN"/>
        </w:rPr>
        <w:t>“三下乡”</w:t>
      </w:r>
      <w:r>
        <w:rPr>
          <w:rFonts w:hint="eastAsia" w:ascii="Times New Roman" w:hAnsi="Times New Roman" w:eastAsia="仿宋_GB2312" w:cs="仿宋_GB2312"/>
          <w:color w:val="000000"/>
          <w:sz w:val="32"/>
          <w:szCs w:val="32"/>
        </w:rPr>
        <w:t>社会实践活动。</w:t>
      </w:r>
      <w:r>
        <w:rPr>
          <w:rFonts w:hint="eastAsia" w:ascii="Times New Roman" w:hAnsi="Times New Roman" w:eastAsia="仿宋_GB2312" w:cs="仿宋_GB2312"/>
          <w:color w:val="000000"/>
          <w:sz w:val="32"/>
          <w:szCs w:val="32"/>
          <w:lang w:eastAsia="zh-CN"/>
        </w:rPr>
        <w:t>新招募西部计划志愿者</w:t>
      </w:r>
      <w:r>
        <w:rPr>
          <w:rFonts w:hint="eastAsia" w:ascii="Times New Roman" w:hAnsi="Times New Roman" w:eastAsia="仿宋_GB2312" w:cs="仿宋_GB2312"/>
          <w:color w:val="000000"/>
          <w:sz w:val="32"/>
          <w:szCs w:val="32"/>
          <w:lang w:val="en-US" w:eastAsia="zh-CN"/>
        </w:rPr>
        <w:t>22名，服务全区社会经济建设。</w:t>
      </w:r>
      <w:r>
        <w:rPr>
          <w:rFonts w:hint="eastAsia" w:ascii="Times New Roman" w:hAnsi="Times New Roman" w:eastAsia="仿宋_GB2312" w:cs="仿宋_GB2312"/>
          <w:color w:val="000000"/>
          <w:sz w:val="32"/>
          <w:szCs w:val="32"/>
        </w:rPr>
        <w:t>大力开展青年文明志愿活动，建立区镇两级青年防疫突击队13个，组织300余人次参加全国文明城市创建、留守儿童关爱等青年志愿服务活动，服务群众达5000余人次。</w:t>
      </w:r>
    </w:p>
    <w:p w14:paraId="2BCE0D20">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（四）坚持固本兴团，青年服务彰显新风采。一是</w:t>
      </w:r>
      <w:r>
        <w:rPr>
          <w:rFonts w:hint="eastAsia" w:ascii="Times New Roman" w:hAnsi="Times New Roman" w:eastAsia="仿宋_GB2312" w:cs="仿宋_GB2312"/>
          <w:color w:val="000000"/>
          <w:sz w:val="32"/>
          <w:szCs w:val="32"/>
        </w:rPr>
        <w:t>坚持紧密联系青年。以“青年之家”“青年之声”互动社交平台建设为抓手，畅通团组织、团员双向联系的互通渠道。利用团属微信公众号、微博号等新媒体宣传党团工作，增强团的影响力和号召力。开展“团情大调研”，深入基层走访调研，及时了解青年现状和需求。</w:t>
      </w:r>
      <w:r>
        <w:rPr>
          <w:rFonts w:hint="eastAsia" w:ascii="Times New Roman" w:hAnsi="Times New Roman" w:eastAsia="仿宋_GB2312" w:cs="仿宋_GB2312"/>
          <w:color w:val="000000"/>
          <w:sz w:val="32"/>
          <w:szCs w:val="32"/>
          <w:lang w:val="en-US" w:eastAsia="zh-CN"/>
        </w:rPr>
        <w:t>二是</w:t>
      </w:r>
      <w:r>
        <w:rPr>
          <w:rFonts w:hint="eastAsia" w:ascii="Times New Roman" w:hAnsi="Times New Roman" w:eastAsia="仿宋_GB2312" w:cs="仿宋_GB2312"/>
          <w:color w:val="000000"/>
          <w:sz w:val="32"/>
          <w:szCs w:val="32"/>
        </w:rPr>
        <w:t>坚持广泛覆盖青年。打造共青团直接联系服务青年的阵地，建成1处省级青年之家门店，建成“青年之家”15处。建强用好团代表联络站2个，组织72名团代表常态化联系青年700余名，组织开展团代表联系青年参与党史学习、主题团日活动、志愿服务1600余人次。承办</w:t>
      </w:r>
      <w:r>
        <w:rPr>
          <w:rFonts w:hint="eastAsia" w:ascii="Times New Roman" w:hAnsi="Times New Roman" w:eastAsia="仿宋_GB2312" w:cs="仿宋_GB2312"/>
          <w:color w:val="000000"/>
          <w:sz w:val="32"/>
          <w:szCs w:val="32"/>
          <w:lang w:eastAsia="zh-CN"/>
        </w:rPr>
        <w:t>和参与</w:t>
      </w:r>
      <w:r>
        <w:rPr>
          <w:rFonts w:hint="eastAsia" w:ascii="Times New Roman" w:hAnsi="Times New Roman" w:eastAsia="仿宋_GB2312" w:cs="仿宋_GB2312"/>
          <w:color w:val="000000"/>
          <w:sz w:val="32"/>
          <w:szCs w:val="32"/>
        </w:rPr>
        <w:t>“女儿节万人相亲大会”“广聚英才·缘来是你”青年交友联谊活动2场，</w:t>
      </w:r>
      <w:r>
        <w:rPr>
          <w:rFonts w:hint="eastAsia" w:ascii="Times New Roman" w:hAnsi="Times New Roman" w:eastAsia="仿宋_GB2312" w:cs="仿宋_GB2312"/>
          <w:color w:val="000000"/>
          <w:sz w:val="32"/>
          <w:szCs w:val="32"/>
          <w:lang w:eastAsia="zh-CN"/>
        </w:rPr>
        <w:t>覆盖</w:t>
      </w:r>
      <w:r>
        <w:rPr>
          <w:rFonts w:hint="eastAsia" w:ascii="Times New Roman" w:hAnsi="Times New Roman" w:eastAsia="仿宋_GB2312" w:cs="仿宋_GB2312"/>
          <w:color w:val="000000"/>
          <w:sz w:val="32"/>
          <w:szCs w:val="32"/>
        </w:rPr>
        <w:t>青年1000余人次。</w:t>
      </w:r>
      <w:r>
        <w:rPr>
          <w:rFonts w:hint="eastAsia" w:ascii="Times New Roman" w:hAnsi="Times New Roman" w:eastAsia="仿宋_GB2312" w:cs="仿宋_GB2312"/>
          <w:color w:val="000000"/>
          <w:sz w:val="32"/>
          <w:szCs w:val="32"/>
          <w:lang w:val="en-US" w:eastAsia="zh-CN"/>
        </w:rPr>
        <w:t>三是</w:t>
      </w:r>
      <w:r>
        <w:rPr>
          <w:rFonts w:hint="eastAsia" w:ascii="Times New Roman" w:hAnsi="Times New Roman" w:eastAsia="仿宋_GB2312" w:cs="仿宋_GB2312"/>
          <w:color w:val="000000"/>
          <w:sz w:val="32"/>
          <w:szCs w:val="32"/>
        </w:rPr>
        <w:t>坚持竭诚服务青年。坚持服务青少年的正确方向，为柏林沟文村小学等2所小学争取省级建设资金58万余元，实施“护青行动”和“童伴计划”，建成三类童伴计划点位5个，计划建设童伴之家12个，覆盖全区留守儿童。主动关切困难青少年群体，落实“金秋助学”、“受疫情影响青少年”等项目，争取助学金、项目资金4万元，资助贫困家庭学生5余名。持续开展“小海星”帮扶工作，完善未成年人五类特殊数据库，建立100余个特殊留守儿童档案，争取社会爱心人士“一对一”帮扶筹措资金1万余元，慰问困难留守儿童14名。</w:t>
      </w:r>
      <w:r>
        <w:rPr>
          <w:rFonts w:hint="eastAsia" w:ascii="Times New Roman" w:hAnsi="Times New Roman" w:eastAsia="仿宋_GB2312" w:cs="仿宋_GB2312"/>
          <w:color w:val="000000"/>
          <w:sz w:val="32"/>
          <w:szCs w:val="32"/>
          <w:lang w:eastAsia="zh-CN"/>
        </w:rPr>
        <w:t>开展党史学习教育“南川</w:t>
      </w:r>
      <w:r>
        <w:rPr>
          <w:rFonts w:hint="eastAsia" w:ascii="Times New Roman" w:hAnsi="Times New Roman" w:eastAsia="仿宋_GB2312" w:cs="仿宋_GB2312"/>
          <w:color w:val="000000"/>
          <w:sz w:val="32"/>
          <w:szCs w:val="32"/>
          <w:lang w:val="en-US" w:eastAsia="zh-CN"/>
        </w:rPr>
        <w:t>·昭化”</w:t>
      </w:r>
      <w:r>
        <w:rPr>
          <w:rFonts w:hint="eastAsia" w:ascii="Times New Roman" w:hAnsi="Times New Roman" w:eastAsia="仿宋_GB2312" w:cs="仿宋_GB2312"/>
          <w:color w:val="000000"/>
          <w:sz w:val="32"/>
          <w:szCs w:val="32"/>
          <w:lang w:eastAsia="zh-CN"/>
        </w:rPr>
        <w:t>书信往来活动，</w:t>
      </w:r>
      <w:r>
        <w:rPr>
          <w:rFonts w:hint="eastAsia" w:ascii="Times New Roman" w:hAnsi="Times New Roman" w:eastAsia="仿宋_GB2312" w:cs="仿宋_GB2312"/>
          <w:color w:val="000000"/>
          <w:sz w:val="32"/>
          <w:szCs w:val="32"/>
          <w:lang w:val="en-US" w:eastAsia="zh-CN"/>
        </w:rPr>
        <w:t>3名中小学生参与交流互动。</w:t>
      </w:r>
      <w:r>
        <w:rPr>
          <w:rFonts w:hint="eastAsia" w:ascii="Times New Roman" w:hAnsi="Times New Roman" w:eastAsia="仿宋_GB2312" w:cs="仿宋_GB2312"/>
          <w:color w:val="000000"/>
          <w:sz w:val="32"/>
          <w:szCs w:val="32"/>
        </w:rPr>
        <w:t>深入开展“法律七进”活动，加强预防青少年犯罪工作，提高未成年人的法治意识，累计深入学校、社区、企业开展宣传教育10余次，服务青少年1万余人次。</w:t>
      </w:r>
    </w:p>
    <w:p w14:paraId="41401C3A">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br w:type="page"/>
      </w:r>
    </w:p>
    <w:p w14:paraId="21DF7CFD">
      <w:pPr>
        <w:pStyle w:val="4"/>
        <w:jc w:val="center"/>
        <w:rPr>
          <w:rFonts w:hint="eastAsia" w:ascii="Times New Roman" w:hAnsi="Times New Roman" w:eastAsia="黑体"/>
          <w:b w:val="0"/>
          <w:color w:val="auto"/>
          <w:highlight w:val="none"/>
        </w:rPr>
      </w:pPr>
      <w:bookmarkStart w:id="21" w:name="_Toc15377204"/>
      <w:bookmarkStart w:id="22" w:name="_Toc15396602"/>
      <w:bookmarkStart w:id="23" w:name="_Toc29617"/>
      <w:r>
        <w:rPr>
          <w:rFonts w:hint="eastAsia" w:ascii="Times New Roman" w:hAnsi="Times New Roman" w:eastAsia="黑体"/>
          <w:b w:val="0"/>
          <w:color w:val="auto"/>
          <w:highlight w:val="none"/>
        </w:rPr>
        <w:t>第二部分</w:t>
      </w:r>
      <w:r>
        <w:rPr>
          <w:rFonts w:hint="eastAsia" w:ascii="Times New Roman" w:hAnsi="Times New Roman" w:eastAsia="黑体"/>
          <w:b w:val="0"/>
          <w:color w:val="auto"/>
          <w:highlight w:val="none"/>
          <w:lang w:val="en-US" w:eastAsia="zh-CN"/>
        </w:rPr>
        <w:t xml:space="preserve"> </w:t>
      </w:r>
      <w:r>
        <w:rPr>
          <w:rFonts w:hint="eastAsia" w:ascii="Times New Roman" w:hAnsi="Times New Roman" w:eastAsia="黑体"/>
          <w:b w:val="0"/>
          <w:color w:val="auto"/>
          <w:highlight w:val="none"/>
        </w:rPr>
        <w:t xml:space="preserve"> </w:t>
      </w:r>
      <w:r>
        <w:rPr>
          <w:rFonts w:hint="eastAsia" w:ascii="Times New Roman" w:hAnsi="Times New Roman" w:eastAsia="黑体"/>
          <w:b w:val="0"/>
          <w:color w:val="auto"/>
          <w:highlight w:val="none"/>
          <w:lang w:val="en-US" w:eastAsia="zh-CN"/>
        </w:rPr>
        <w:t>2021年度</w:t>
      </w:r>
      <w:r>
        <w:rPr>
          <w:rFonts w:hint="eastAsia" w:ascii="Times New Roman" w:hAnsi="Times New Roman" w:eastAsia="黑体"/>
          <w:b w:val="0"/>
          <w:color w:val="auto"/>
          <w:highlight w:val="none"/>
          <w:lang w:eastAsia="zh-CN"/>
        </w:rPr>
        <w:t>单位</w:t>
      </w:r>
      <w:r>
        <w:rPr>
          <w:rFonts w:hint="eastAsia" w:ascii="Times New Roman" w:hAnsi="Times New Roman" w:eastAsia="黑体"/>
          <w:b w:val="0"/>
          <w:color w:val="auto"/>
          <w:highlight w:val="none"/>
        </w:rPr>
        <w:t>决算情况说明</w:t>
      </w:r>
      <w:bookmarkEnd w:id="21"/>
      <w:bookmarkEnd w:id="22"/>
      <w:bookmarkEnd w:id="23"/>
    </w:p>
    <w:p w14:paraId="7A9606D3">
      <w:pPr>
        <w:rPr>
          <w:rFonts w:ascii="Times New Roman" w:hAnsi="Times New Roman"/>
          <w:color w:val="auto"/>
          <w:highlight w:val="none"/>
        </w:rPr>
      </w:pPr>
    </w:p>
    <w:p w14:paraId="368C5B75">
      <w:pPr>
        <w:pStyle w:val="26"/>
        <w:numPr>
          <w:ilvl w:val="0"/>
          <w:numId w:val="1"/>
        </w:numPr>
        <w:spacing w:line="600" w:lineRule="exact"/>
        <w:ind w:firstLineChars="0"/>
        <w:outlineLvl w:val="1"/>
        <w:rPr>
          <w:rStyle w:val="28"/>
          <w:rFonts w:ascii="Times New Roman" w:hAnsi="Times New Roman" w:eastAsia="黑体"/>
          <w:b w:val="0"/>
          <w:color w:val="auto"/>
          <w:highlight w:val="none"/>
        </w:rPr>
      </w:pPr>
      <w:bookmarkStart w:id="24" w:name="_Toc15377205"/>
      <w:bookmarkStart w:id="25" w:name="_Toc32419"/>
      <w:bookmarkStart w:id="26" w:name="_Toc15396603"/>
      <w:r>
        <w:rPr>
          <w:rFonts w:hint="eastAsia" w:ascii="Times New Roman" w:hAnsi="Times New Roman" w:eastAsia="黑体"/>
          <w:color w:val="auto"/>
          <w:sz w:val="32"/>
          <w:szCs w:val="32"/>
          <w:highlight w:val="none"/>
        </w:rPr>
        <w:t>收</w:t>
      </w:r>
      <w:r>
        <w:rPr>
          <w:rStyle w:val="28"/>
          <w:rFonts w:hint="eastAsia" w:ascii="Times New Roman" w:hAnsi="Times New Roman" w:eastAsia="黑体"/>
          <w:b w:val="0"/>
          <w:color w:val="auto"/>
          <w:highlight w:val="none"/>
        </w:rPr>
        <w:t>入支出决算总体情况说明</w:t>
      </w:r>
      <w:bookmarkEnd w:id="24"/>
      <w:bookmarkEnd w:id="25"/>
      <w:bookmarkEnd w:id="26"/>
    </w:p>
    <w:p w14:paraId="4DA7DA2C">
      <w:pPr>
        <w:spacing w:line="600" w:lineRule="exact"/>
        <w:ind w:firstLine="640" w:firstLineChars="200"/>
        <w:outlineLvl w:val="1"/>
        <w:rPr>
          <w:rFonts w:hint="eastAsia" w:ascii="Times New Roman" w:hAnsi="Times New Roman" w:eastAsia="仿宋_GB2312" w:cs="仿宋_GB2312"/>
          <w:color w:val="auto"/>
          <w:sz w:val="32"/>
          <w:szCs w:val="32"/>
          <w:highlight w:val="none"/>
          <w:lang w:val="en-US" w:eastAsia="zh-CN"/>
        </w:rPr>
      </w:pPr>
      <w:bookmarkStart w:id="27" w:name="_Toc1993"/>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年度收</w:t>
      </w:r>
      <w:r>
        <w:rPr>
          <w:rFonts w:hint="eastAsia" w:ascii="Times New Roman" w:hAnsi="Times New Roman" w:eastAsia="仿宋_GB2312" w:cs="仿宋_GB2312"/>
          <w:color w:val="auto"/>
          <w:sz w:val="32"/>
          <w:szCs w:val="32"/>
          <w:highlight w:val="none"/>
          <w:lang w:eastAsia="zh-CN"/>
        </w:rPr>
        <w:t>入总计</w:t>
      </w:r>
      <w:r>
        <w:rPr>
          <w:rFonts w:hint="eastAsia" w:ascii="Times New Roman" w:hAnsi="Times New Roman" w:eastAsia="仿宋_GB2312" w:cs="仿宋_GB2312"/>
          <w:color w:val="auto"/>
          <w:sz w:val="32"/>
          <w:szCs w:val="32"/>
          <w:highlight w:val="none"/>
          <w:lang w:val="en-US" w:eastAsia="zh-CN"/>
        </w:rPr>
        <w:t>194.64万元，</w:t>
      </w:r>
      <w:r>
        <w:rPr>
          <w:rFonts w:hint="eastAsia" w:ascii="Times New Roman" w:hAnsi="Times New Roman" w:eastAsia="仿宋_GB2312" w:cs="仿宋_GB2312"/>
          <w:color w:val="auto"/>
          <w:sz w:val="32"/>
          <w:szCs w:val="32"/>
          <w:highlight w:val="none"/>
          <w:lang w:eastAsia="zh-CN"/>
        </w:rPr>
        <w:t>支出总计</w:t>
      </w:r>
      <w:r>
        <w:rPr>
          <w:rFonts w:hint="eastAsia" w:ascii="Times New Roman" w:hAnsi="Times New Roman" w:eastAsia="仿宋_GB2312" w:cs="仿宋_GB2312"/>
          <w:color w:val="auto"/>
          <w:sz w:val="32"/>
          <w:szCs w:val="32"/>
          <w:highlight w:val="none"/>
          <w:lang w:val="en-US" w:eastAsia="zh-CN"/>
        </w:rPr>
        <w:t>194.64</w:t>
      </w:r>
      <w:r>
        <w:rPr>
          <w:rFonts w:hint="eastAsia" w:ascii="Times New Roman" w:hAnsi="Times New Roman" w:eastAsia="仿宋_GB2312" w:cs="仿宋_GB2312"/>
          <w:color w:val="auto"/>
          <w:sz w:val="32"/>
          <w:szCs w:val="32"/>
          <w:highlight w:val="none"/>
        </w:rPr>
        <w:t>万元。与20</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年相比，收</w:t>
      </w:r>
      <w:r>
        <w:rPr>
          <w:rFonts w:hint="eastAsia" w:ascii="Times New Roman" w:hAnsi="Times New Roman" w:eastAsia="仿宋_GB2312" w:cs="仿宋_GB2312"/>
          <w:color w:val="auto"/>
          <w:sz w:val="32"/>
          <w:szCs w:val="32"/>
          <w:highlight w:val="none"/>
          <w:lang w:eastAsia="zh-CN"/>
        </w:rPr>
        <w:t>入减少</w:t>
      </w:r>
      <w:r>
        <w:rPr>
          <w:rFonts w:hint="eastAsia" w:ascii="Times New Roman" w:hAnsi="Times New Roman" w:eastAsia="仿宋_GB2312" w:cs="仿宋_GB2312"/>
          <w:color w:val="auto"/>
          <w:sz w:val="32"/>
          <w:szCs w:val="32"/>
          <w:highlight w:val="none"/>
          <w:lang w:val="en-US" w:eastAsia="zh-CN"/>
        </w:rPr>
        <w:t>136.63万元</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减少</w:t>
      </w:r>
      <w:r>
        <w:rPr>
          <w:rFonts w:hint="eastAsia" w:ascii="Times New Roman" w:hAnsi="Times New Roman" w:eastAsia="仿宋_GB2312" w:cs="仿宋_GB2312"/>
          <w:color w:val="auto"/>
          <w:sz w:val="32"/>
          <w:szCs w:val="32"/>
          <w:highlight w:val="none"/>
          <w:lang w:val="en-US" w:eastAsia="zh-CN"/>
        </w:rPr>
        <w:t>136.63万元</w:t>
      </w:r>
      <w:r>
        <w:rPr>
          <w:rFonts w:hint="eastAsia" w:ascii="Times New Roman" w:hAnsi="Times New Roman" w:eastAsia="仿宋_GB2312" w:cs="仿宋_GB2312"/>
          <w:color w:val="auto"/>
          <w:sz w:val="32"/>
          <w:szCs w:val="32"/>
          <w:highlight w:val="none"/>
        </w:rPr>
        <w:t>，下降</w:t>
      </w:r>
      <w:r>
        <w:rPr>
          <w:rFonts w:hint="eastAsia" w:ascii="Times New Roman" w:hAnsi="Times New Roman" w:eastAsia="仿宋_GB2312" w:cs="仿宋_GB2312"/>
          <w:color w:val="auto"/>
          <w:sz w:val="32"/>
          <w:szCs w:val="32"/>
          <w:highlight w:val="none"/>
          <w:lang w:val="en-US" w:eastAsia="zh-CN"/>
        </w:rPr>
        <w:t>41.24</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val="en-US" w:eastAsia="zh-CN"/>
        </w:rPr>
        <w:t>厉行节约，项目减少，预算减少。</w:t>
      </w:r>
      <w:bookmarkEnd w:id="27"/>
    </w:p>
    <w:p w14:paraId="4B0B3B85">
      <w:pPr>
        <w:pStyle w:val="7"/>
        <w:jc w:val="center"/>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drawing>
          <wp:inline distT="0" distB="0" distL="114300" distR="114300">
            <wp:extent cx="4081145" cy="2970530"/>
            <wp:effectExtent l="4445" t="4445" r="10160" b="1587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FD418A">
      <w:pPr>
        <w:pStyle w:val="26"/>
        <w:numPr>
          <w:ilvl w:val="0"/>
          <w:numId w:val="0"/>
        </w:numPr>
        <w:spacing w:line="600" w:lineRule="exact"/>
        <w:outlineLvl w:val="1"/>
        <w:rPr>
          <w:rFonts w:hint="eastAsia" w:ascii="Times New Roman" w:hAnsi="Times New Roman" w:eastAsia="黑体"/>
          <w:color w:val="auto"/>
          <w:sz w:val="32"/>
          <w:szCs w:val="32"/>
          <w:highlight w:val="none"/>
        </w:rPr>
      </w:pPr>
      <w:bookmarkStart w:id="28" w:name="_Toc15396604"/>
      <w:bookmarkStart w:id="29" w:name="_Toc20819"/>
      <w:bookmarkStart w:id="30" w:name="_Toc15377206"/>
    </w:p>
    <w:p w14:paraId="76C82181">
      <w:pPr>
        <w:pStyle w:val="26"/>
        <w:numPr>
          <w:ilvl w:val="0"/>
          <w:numId w:val="0"/>
        </w:numPr>
        <w:spacing w:line="600" w:lineRule="exact"/>
        <w:outlineLvl w:val="1"/>
        <w:rPr>
          <w:rFonts w:hint="eastAsia" w:ascii="Times New Roman" w:hAnsi="Times New Roman" w:eastAsia="黑体"/>
          <w:color w:val="auto"/>
          <w:sz w:val="32"/>
          <w:szCs w:val="32"/>
          <w:highlight w:val="none"/>
        </w:rPr>
      </w:pPr>
    </w:p>
    <w:p w14:paraId="5B483F3A">
      <w:pPr>
        <w:pStyle w:val="26"/>
        <w:numPr>
          <w:ilvl w:val="0"/>
          <w:numId w:val="0"/>
        </w:numPr>
        <w:spacing w:line="600" w:lineRule="exact"/>
        <w:ind w:firstLine="640" w:firstLineChars="200"/>
        <w:outlineLvl w:val="1"/>
        <w:rPr>
          <w:rStyle w:val="28"/>
          <w:rFonts w:ascii="Times New Roman" w:hAnsi="Times New Roman" w:eastAsia="黑体"/>
          <w:b w:val="0"/>
          <w:color w:val="auto"/>
          <w:highlight w:val="none"/>
        </w:rPr>
      </w:pPr>
      <w:r>
        <w:rPr>
          <w:rFonts w:hint="eastAsia" w:eastAsia="黑体"/>
          <w:color w:val="auto"/>
          <w:sz w:val="32"/>
          <w:szCs w:val="32"/>
          <w:highlight w:val="none"/>
          <w:lang w:eastAsia="zh-CN"/>
        </w:rPr>
        <w:t>二、</w:t>
      </w:r>
      <w:r>
        <w:rPr>
          <w:rFonts w:hint="eastAsia" w:ascii="Times New Roman" w:hAnsi="Times New Roman" w:eastAsia="黑体"/>
          <w:color w:val="auto"/>
          <w:sz w:val="32"/>
          <w:szCs w:val="32"/>
          <w:highlight w:val="none"/>
        </w:rPr>
        <w:t>收</w:t>
      </w:r>
      <w:r>
        <w:rPr>
          <w:rStyle w:val="28"/>
          <w:rFonts w:hint="eastAsia" w:ascii="Times New Roman" w:hAnsi="Times New Roman" w:eastAsia="黑体"/>
          <w:b w:val="0"/>
          <w:color w:val="auto"/>
          <w:highlight w:val="none"/>
        </w:rPr>
        <w:t>入决算情况说明</w:t>
      </w:r>
      <w:bookmarkEnd w:id="28"/>
      <w:bookmarkEnd w:id="29"/>
      <w:bookmarkEnd w:id="30"/>
    </w:p>
    <w:p w14:paraId="70CE3607">
      <w:pPr>
        <w:spacing w:line="600" w:lineRule="exact"/>
        <w:ind w:firstLine="640" w:firstLineChars="200"/>
        <w:outlineLvl w:val="1"/>
        <w:rPr>
          <w:rFonts w:hint="eastAsia" w:ascii="Times New Roman" w:hAnsi="Times New Roman" w:eastAsia="仿宋_GB2312" w:cs="仿宋_GB2312"/>
          <w:color w:val="auto"/>
          <w:sz w:val="32"/>
          <w:szCs w:val="32"/>
          <w:highlight w:val="none"/>
        </w:rPr>
      </w:pPr>
      <w:bookmarkStart w:id="31" w:name="_Toc23794"/>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年本年收入合计</w:t>
      </w:r>
      <w:r>
        <w:rPr>
          <w:rFonts w:hint="eastAsia" w:ascii="Times New Roman" w:hAnsi="Times New Roman" w:eastAsia="仿宋_GB2312" w:cs="仿宋_GB2312"/>
          <w:color w:val="auto"/>
          <w:sz w:val="32"/>
          <w:szCs w:val="32"/>
          <w:highlight w:val="none"/>
          <w:lang w:val="en-US" w:eastAsia="zh-CN"/>
        </w:rPr>
        <w:t>194.64</w:t>
      </w:r>
      <w:r>
        <w:rPr>
          <w:rFonts w:hint="eastAsia" w:ascii="Times New Roman" w:hAnsi="Times New Roman" w:eastAsia="仿宋_GB2312" w:cs="仿宋_GB2312"/>
          <w:color w:val="auto"/>
          <w:sz w:val="32"/>
          <w:szCs w:val="32"/>
          <w:highlight w:val="none"/>
        </w:rPr>
        <w:t>万元，其中：一般公共预算财政拨款收入</w:t>
      </w:r>
      <w:r>
        <w:rPr>
          <w:rFonts w:hint="eastAsia" w:ascii="Times New Roman" w:hAnsi="Times New Roman" w:eastAsia="仿宋_GB2312" w:cs="仿宋_GB2312"/>
          <w:color w:val="auto"/>
          <w:sz w:val="32"/>
          <w:szCs w:val="32"/>
          <w:highlight w:val="none"/>
          <w:lang w:val="en-US" w:eastAsia="zh-CN"/>
        </w:rPr>
        <w:t>194.64</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w:t>
      </w:r>
      <w:bookmarkEnd w:id="31"/>
    </w:p>
    <w:p w14:paraId="1B128369">
      <w:pPr>
        <w:pStyle w:val="7"/>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156075" cy="2705735"/>
            <wp:effectExtent l="4445" t="5080" r="11430" b="1333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BE6B57">
      <w:pPr>
        <w:pStyle w:val="26"/>
        <w:numPr>
          <w:ilvl w:val="0"/>
          <w:numId w:val="0"/>
        </w:numPr>
        <w:spacing w:line="600" w:lineRule="exact"/>
        <w:ind w:left="640" w:leftChars="0"/>
        <w:outlineLvl w:val="1"/>
        <w:rPr>
          <w:rStyle w:val="28"/>
          <w:rFonts w:ascii="Times New Roman" w:hAnsi="Times New Roman" w:eastAsia="黑体"/>
          <w:b w:val="0"/>
          <w:color w:val="auto"/>
          <w:highlight w:val="none"/>
        </w:rPr>
      </w:pPr>
      <w:bookmarkStart w:id="32" w:name="_Toc15396605"/>
      <w:bookmarkStart w:id="33" w:name="_Toc31698"/>
      <w:bookmarkStart w:id="34" w:name="_Toc15377207"/>
      <w:r>
        <w:rPr>
          <w:rFonts w:hint="eastAsia"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8"/>
          <w:rFonts w:hint="eastAsia" w:ascii="Times New Roman" w:hAnsi="Times New Roman" w:eastAsia="黑体"/>
          <w:b w:val="0"/>
          <w:color w:val="auto"/>
          <w:highlight w:val="none"/>
        </w:rPr>
        <w:t>出决算情况说明</w:t>
      </w:r>
      <w:bookmarkEnd w:id="32"/>
      <w:bookmarkEnd w:id="33"/>
      <w:bookmarkEnd w:id="34"/>
    </w:p>
    <w:p w14:paraId="6657D43C">
      <w:pPr>
        <w:pStyle w:val="7"/>
        <w:ind w:firstLine="640" w:firstLineChars="200"/>
        <w:rPr>
          <w:rFonts w:hint="eastAsia" w:ascii="Times New Roman" w:hAnsi="Times New Roman" w:eastAsia="黑体"/>
          <w:color w:val="auto"/>
          <w:sz w:val="32"/>
          <w:szCs w:val="32"/>
          <w:highlight w:val="none"/>
          <w:lang w:eastAsia="zh-CN"/>
        </w:rPr>
      </w:pPr>
      <w:r>
        <w:rPr>
          <w:rFonts w:hint="eastAsia" w:ascii="Times New Roman" w:hAnsi="Times New Roman"/>
          <w:sz w:val="32"/>
          <w:szCs w:val="32"/>
          <w:lang w:eastAsia="zh-CN"/>
        </w:rPr>
        <w:t>20</w:t>
      </w:r>
      <w:r>
        <w:rPr>
          <w:rFonts w:hint="eastAsia" w:ascii="Times New Roman" w:hAnsi="Times New Roman"/>
          <w:sz w:val="32"/>
          <w:szCs w:val="32"/>
          <w:lang w:val="en-US" w:eastAsia="zh-CN"/>
        </w:rPr>
        <w:t>21</w:t>
      </w:r>
      <w:r>
        <w:rPr>
          <w:rFonts w:hint="eastAsia" w:ascii="Times New Roman" w:hAnsi="Times New Roman"/>
          <w:sz w:val="32"/>
          <w:szCs w:val="32"/>
          <w:lang w:eastAsia="zh-CN"/>
        </w:rPr>
        <w:t>年本年支出合计</w:t>
      </w:r>
      <w:r>
        <w:rPr>
          <w:rFonts w:hint="eastAsia" w:ascii="Times New Roman" w:hAnsi="Times New Roman"/>
          <w:sz w:val="32"/>
          <w:szCs w:val="32"/>
          <w:lang w:val="en-US" w:eastAsia="zh-CN"/>
        </w:rPr>
        <w:t>194.64</w:t>
      </w:r>
      <w:r>
        <w:rPr>
          <w:rFonts w:hint="eastAsia" w:ascii="Times New Roman" w:hAnsi="Times New Roman"/>
          <w:sz w:val="32"/>
          <w:szCs w:val="32"/>
          <w:lang w:eastAsia="zh-CN"/>
        </w:rPr>
        <w:t>万元，其中：基本支出</w:t>
      </w:r>
      <w:r>
        <w:rPr>
          <w:rFonts w:hint="eastAsia" w:ascii="Times New Roman" w:hAnsi="Times New Roman"/>
          <w:sz w:val="32"/>
          <w:szCs w:val="32"/>
          <w:lang w:val="en-US" w:eastAsia="zh-CN"/>
        </w:rPr>
        <w:t>84.64</w:t>
      </w:r>
      <w:r>
        <w:rPr>
          <w:rFonts w:hint="eastAsia" w:ascii="Times New Roman" w:hAnsi="Times New Roman"/>
          <w:sz w:val="32"/>
          <w:szCs w:val="32"/>
          <w:lang w:eastAsia="zh-CN"/>
        </w:rPr>
        <w:t>万元，占</w:t>
      </w:r>
      <w:r>
        <w:rPr>
          <w:rFonts w:hint="eastAsia" w:ascii="Times New Roman" w:hAnsi="Times New Roman"/>
          <w:sz w:val="32"/>
          <w:szCs w:val="32"/>
          <w:lang w:val="en-US" w:eastAsia="zh-CN"/>
        </w:rPr>
        <w:t>43</w:t>
      </w:r>
      <w:r>
        <w:rPr>
          <w:rFonts w:hint="eastAsia" w:ascii="Times New Roman" w:hAnsi="Times New Roman"/>
          <w:sz w:val="32"/>
          <w:szCs w:val="32"/>
          <w:lang w:eastAsia="zh-CN"/>
        </w:rPr>
        <w:t>%；项目支出</w:t>
      </w:r>
      <w:r>
        <w:rPr>
          <w:rFonts w:hint="eastAsia" w:ascii="Times New Roman" w:hAnsi="Times New Roman"/>
          <w:sz w:val="32"/>
          <w:szCs w:val="32"/>
          <w:lang w:val="en-US" w:eastAsia="zh-CN"/>
        </w:rPr>
        <w:t>110</w:t>
      </w:r>
      <w:r>
        <w:rPr>
          <w:rFonts w:hint="eastAsia" w:ascii="Times New Roman" w:hAnsi="Times New Roman"/>
          <w:sz w:val="32"/>
          <w:szCs w:val="32"/>
          <w:lang w:eastAsia="zh-CN"/>
        </w:rPr>
        <w:t>万元，占</w:t>
      </w:r>
      <w:r>
        <w:rPr>
          <w:rFonts w:hint="eastAsia" w:ascii="Times New Roman" w:hAnsi="Times New Roman"/>
          <w:sz w:val="32"/>
          <w:szCs w:val="32"/>
          <w:lang w:val="en-US" w:eastAsia="zh-CN"/>
        </w:rPr>
        <w:t>57</w:t>
      </w:r>
      <w:r>
        <w:rPr>
          <w:rFonts w:hint="eastAsia" w:ascii="Times New Roman" w:hAnsi="Times New Roman"/>
          <w:sz w:val="32"/>
          <w:szCs w:val="32"/>
          <w:lang w:eastAsia="zh-CN"/>
        </w:rPr>
        <w:t>%。</w:t>
      </w:r>
      <w:bookmarkStart w:id="35" w:name="_Toc15396606"/>
      <w:bookmarkStart w:id="36" w:name="_Toc15377208"/>
    </w:p>
    <w:p w14:paraId="53EF0C85">
      <w:pPr>
        <w:pStyle w:val="7"/>
        <w:jc w:val="center"/>
        <w:rPr>
          <w:rFonts w:hint="eastAsia" w:ascii="Times New Roman" w:hAnsi="Times New Roman"/>
          <w:lang w:eastAsia="zh-CN"/>
        </w:rPr>
      </w:pPr>
      <w:r>
        <w:rPr>
          <w:rFonts w:hint="eastAsia" w:ascii="Times New Roman" w:hAnsi="Times New Roman"/>
          <w:lang w:eastAsia="zh-CN"/>
        </w:rPr>
        <w:drawing>
          <wp:inline distT="0" distB="0" distL="114300" distR="114300">
            <wp:extent cx="4052570" cy="2677795"/>
            <wp:effectExtent l="4445" t="4445" r="1968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0A284C">
      <w:pPr>
        <w:spacing w:line="600" w:lineRule="exact"/>
        <w:ind w:firstLine="640" w:firstLineChars="200"/>
        <w:outlineLvl w:val="1"/>
        <w:rPr>
          <w:rFonts w:hint="eastAsia" w:ascii="Times New Roman" w:hAnsi="Times New Roman" w:eastAsia="黑体"/>
          <w:color w:val="auto"/>
          <w:sz w:val="32"/>
          <w:szCs w:val="32"/>
          <w:highlight w:val="none"/>
        </w:rPr>
      </w:pPr>
      <w:bookmarkStart w:id="37" w:name="_Toc18849"/>
    </w:p>
    <w:p w14:paraId="0B0609CF">
      <w:pPr>
        <w:spacing w:line="600" w:lineRule="exact"/>
        <w:ind w:firstLine="640" w:firstLineChars="200"/>
        <w:outlineLvl w:val="1"/>
        <w:rPr>
          <w:rStyle w:val="28"/>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28"/>
          <w:rFonts w:hint="eastAsia" w:ascii="Times New Roman" w:hAnsi="Times New Roman" w:eastAsia="黑体"/>
          <w:b w:val="0"/>
          <w:color w:val="auto"/>
          <w:highlight w:val="none"/>
        </w:rPr>
        <w:t>政拨款收入支出决算总体情况说明</w:t>
      </w:r>
      <w:bookmarkEnd w:id="35"/>
      <w:bookmarkEnd w:id="36"/>
      <w:bookmarkEnd w:id="37"/>
    </w:p>
    <w:p w14:paraId="6A020E3F">
      <w:pPr>
        <w:spacing w:line="600" w:lineRule="exact"/>
        <w:ind w:firstLine="64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2021年财政拨款收入194.64万元，支出194.64万元。与2020年相比，财政拨款收入减少136.63万元，支出减少136.63万元，下降41.24%。主要变动原因是厉行节约，项目减少，预算减少。</w:t>
      </w:r>
    </w:p>
    <w:p w14:paraId="562E9FAC">
      <w:pPr>
        <w:pStyle w:val="7"/>
        <w:jc w:val="center"/>
        <w:rPr>
          <w:rFonts w:hint="eastAsia" w:ascii="Times New Roman" w:hAnsi="Times New Roman" w:eastAsia="黑体"/>
          <w:color w:val="auto"/>
          <w:sz w:val="32"/>
          <w:szCs w:val="32"/>
          <w:highlight w:val="none"/>
          <w:lang w:eastAsia="zh-CN"/>
        </w:rPr>
      </w:pPr>
      <w:bookmarkStart w:id="38" w:name="_Toc15396607"/>
      <w:bookmarkStart w:id="39" w:name="_Toc15377209"/>
    </w:p>
    <w:p w14:paraId="769082F9">
      <w:pPr>
        <w:pStyle w:val="7"/>
        <w:jc w:val="center"/>
        <w:rPr>
          <w:rFonts w:hint="eastAsia" w:ascii="Times New Roman" w:hAnsi="Times New Roman" w:eastAsia="楷体_GB2312" w:cs="楷体_GB2312"/>
          <w:color w:val="auto"/>
          <w:kern w:val="0"/>
          <w:sz w:val="28"/>
          <w:szCs w:val="28"/>
          <w:highlight w:val="none"/>
          <w:lang w:val="en-US" w:eastAsia="zh-CN" w:bidi="ar-SA"/>
        </w:rPr>
      </w:pPr>
      <w:r>
        <w:rPr>
          <w:rFonts w:hint="eastAsia" w:ascii="Times New Roman" w:hAnsi="Times New Roman" w:eastAsia="黑体"/>
          <w:color w:val="auto"/>
          <w:sz w:val="32"/>
          <w:szCs w:val="32"/>
          <w:highlight w:val="none"/>
          <w:lang w:eastAsia="zh-CN"/>
        </w:rPr>
        <w:drawing>
          <wp:inline distT="0" distB="0" distL="114300" distR="114300">
            <wp:extent cx="4324350" cy="3187700"/>
            <wp:effectExtent l="4445" t="5080" r="14605" b="762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5A08EF5">
      <w:pPr>
        <w:spacing w:line="600" w:lineRule="exact"/>
        <w:ind w:firstLine="640" w:firstLineChars="200"/>
        <w:outlineLvl w:val="1"/>
        <w:rPr>
          <w:rFonts w:hint="eastAsia" w:ascii="Times New Roman" w:hAnsi="Times New Roman" w:eastAsia="黑体"/>
          <w:color w:val="auto"/>
          <w:sz w:val="32"/>
          <w:szCs w:val="32"/>
          <w:highlight w:val="none"/>
        </w:rPr>
      </w:pPr>
      <w:bookmarkStart w:id="40" w:name="_Toc16494"/>
    </w:p>
    <w:p w14:paraId="78C7CD89">
      <w:pPr>
        <w:spacing w:line="600" w:lineRule="exact"/>
        <w:ind w:firstLine="640" w:firstLineChars="200"/>
        <w:outlineLvl w:val="1"/>
        <w:rPr>
          <w:rFonts w:hint="eastAsia" w:ascii="Times New Roman" w:hAnsi="Times New Roman" w:eastAsia="黑体"/>
          <w:color w:val="auto"/>
          <w:sz w:val="32"/>
          <w:szCs w:val="32"/>
          <w:highlight w:val="none"/>
        </w:rPr>
      </w:pPr>
    </w:p>
    <w:p w14:paraId="4DCBA13B">
      <w:pPr>
        <w:spacing w:line="600" w:lineRule="exact"/>
        <w:ind w:firstLine="640" w:firstLineChars="200"/>
        <w:outlineLvl w:val="1"/>
        <w:rPr>
          <w:rFonts w:hint="eastAsia" w:ascii="Times New Roman" w:hAnsi="Times New Roman" w:eastAsia="黑体"/>
          <w:color w:val="auto"/>
          <w:sz w:val="32"/>
          <w:szCs w:val="32"/>
          <w:highlight w:val="none"/>
        </w:rPr>
      </w:pPr>
    </w:p>
    <w:p w14:paraId="1574DBEA">
      <w:pPr>
        <w:spacing w:line="600" w:lineRule="exact"/>
        <w:ind w:firstLine="640" w:firstLineChars="200"/>
        <w:outlineLvl w:val="1"/>
        <w:rPr>
          <w:rFonts w:hint="eastAsia" w:ascii="Times New Roman" w:hAnsi="Times New Roman" w:eastAsia="黑体"/>
          <w:color w:val="auto"/>
          <w:sz w:val="32"/>
          <w:szCs w:val="32"/>
          <w:highlight w:val="none"/>
        </w:rPr>
      </w:pPr>
    </w:p>
    <w:p w14:paraId="48AFAE83">
      <w:pPr>
        <w:spacing w:line="600" w:lineRule="exact"/>
        <w:ind w:firstLine="640" w:firstLineChars="200"/>
        <w:outlineLvl w:val="1"/>
        <w:rPr>
          <w:rFonts w:hint="eastAsia" w:ascii="Times New Roman" w:hAnsi="Times New Roman" w:eastAsia="黑体"/>
          <w:color w:val="auto"/>
          <w:sz w:val="32"/>
          <w:szCs w:val="32"/>
          <w:highlight w:val="none"/>
        </w:rPr>
      </w:pPr>
    </w:p>
    <w:p w14:paraId="61B4BC42">
      <w:pPr>
        <w:spacing w:line="600" w:lineRule="exact"/>
        <w:ind w:firstLine="640" w:firstLineChars="200"/>
        <w:outlineLvl w:val="1"/>
        <w:rPr>
          <w:rStyle w:val="28"/>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8"/>
          <w:rFonts w:hint="eastAsia" w:ascii="Times New Roman" w:hAnsi="Times New Roman" w:eastAsia="黑体"/>
          <w:b w:val="0"/>
          <w:color w:val="auto"/>
          <w:highlight w:val="none"/>
        </w:rPr>
        <w:t>般公共预算财政拨款支出决算情况说明</w:t>
      </w:r>
      <w:bookmarkEnd w:id="38"/>
      <w:bookmarkEnd w:id="39"/>
      <w:bookmarkEnd w:id="40"/>
    </w:p>
    <w:p w14:paraId="13496CF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41" w:name="_Toc15377210"/>
      <w:r>
        <w:rPr>
          <w:rFonts w:hint="eastAsia" w:ascii="Times New Roman" w:hAnsi="Times New Roman" w:eastAsia="楷体_GB2312" w:cs="楷体_GB2312"/>
          <w:b w:val="0"/>
          <w:color w:val="000000"/>
          <w:sz w:val="32"/>
          <w:szCs w:val="32"/>
          <w:lang w:val="en-US" w:eastAsia="zh-CN"/>
        </w:rPr>
        <w:t>（一）一般公共预算财政拨款支出决算总体情况</w:t>
      </w:r>
      <w:bookmarkEnd w:id="41"/>
    </w:p>
    <w:p w14:paraId="0C4FF8FF">
      <w:pPr>
        <w:spacing w:line="600" w:lineRule="exact"/>
        <w:ind w:firstLine="64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2021年一般公共预算财政拨款支出194.64万元，占本年支出合计的100%。与2020年相比，一般公共预算财政拨款支出减少136.63万元，下降41.24%。主要变动原因是厉行节约，项目减少，预算减少。</w:t>
      </w:r>
    </w:p>
    <w:p w14:paraId="1CB984EE">
      <w:pPr>
        <w:spacing w:line="600" w:lineRule="exact"/>
        <w:ind w:firstLine="643" w:firstLineChars="200"/>
        <w:outlineLvl w:val="2"/>
        <w:rPr>
          <w:rFonts w:hint="eastAsia" w:ascii="Times New Roman" w:hAnsi="Times New Roman" w:eastAsia="仿宋"/>
          <w:b/>
          <w:color w:val="auto"/>
          <w:sz w:val="32"/>
          <w:szCs w:val="32"/>
          <w:highlight w:val="none"/>
        </w:rPr>
      </w:pPr>
      <w:bookmarkStart w:id="42" w:name="_Toc15377211"/>
    </w:p>
    <w:p w14:paraId="3C9F404D">
      <w:pPr>
        <w:pStyle w:val="7"/>
        <w:jc w:val="center"/>
        <w:rPr>
          <w:rFonts w:hint="eastAsia" w:ascii="Times New Roman" w:hAnsi="Times New Roman" w:eastAsia="仿宋"/>
          <w:lang w:eastAsia="zh-CN"/>
        </w:rPr>
      </w:pPr>
      <w:r>
        <w:rPr>
          <w:rFonts w:hint="eastAsia" w:ascii="Times New Roman" w:hAnsi="Times New Roman" w:eastAsia="仿宋"/>
          <w:lang w:eastAsia="zh-CN"/>
        </w:rPr>
        <w:drawing>
          <wp:inline distT="0" distB="0" distL="114300" distR="114300">
            <wp:extent cx="4228465" cy="2694940"/>
            <wp:effectExtent l="4445" t="4445" r="15240" b="571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3CA9A12">
      <w:pPr>
        <w:spacing w:line="600" w:lineRule="exact"/>
        <w:jc w:val="center"/>
        <w:outlineLvl w:val="2"/>
        <w:rPr>
          <w:rFonts w:hint="eastAsia" w:ascii="Times New Roman" w:hAnsi="Times New Roman" w:eastAsia="楷体_GB2312" w:cs="楷体_GB2312"/>
          <w:color w:val="auto"/>
          <w:kern w:val="0"/>
          <w:sz w:val="28"/>
          <w:szCs w:val="28"/>
          <w:highlight w:val="none"/>
          <w:lang w:val="en-US" w:eastAsia="zh-CN" w:bidi="ar-SA"/>
        </w:rPr>
      </w:pPr>
    </w:p>
    <w:p w14:paraId="448DE9E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（二）一般公共预算财政拨款支出决算结构情况</w:t>
      </w:r>
      <w:bookmarkEnd w:id="42"/>
    </w:p>
    <w:p w14:paraId="0C6489E4">
      <w:pPr>
        <w:spacing w:line="600" w:lineRule="exact"/>
        <w:ind w:firstLine="640"/>
        <w:rPr>
          <w:rFonts w:hint="eastAsia" w:ascii="Times New Roman" w:hAnsi="Times New Roman" w:eastAsia="仿宋"/>
          <w:color w:val="auto"/>
          <w:sz w:val="32"/>
          <w:szCs w:val="32"/>
          <w:highlight w:val="none"/>
          <w:lang w:val="en-US" w:eastAsia="zh-CN"/>
        </w:rPr>
      </w:pPr>
      <w:r>
        <w:rPr>
          <w:rFonts w:ascii="Times New Roman" w:hAnsi="Times New Roman" w:eastAsia="仿宋"/>
          <w:color w:val="auto"/>
          <w:sz w:val="32"/>
          <w:szCs w:val="32"/>
          <w:highlight w:val="none"/>
        </w:rPr>
        <w:t>20</w:t>
      </w:r>
      <w:r>
        <w:rPr>
          <w:rFonts w:hint="eastAsia" w:ascii="Times New Roman" w:hAnsi="Times New Roman" w:eastAsia="仿宋"/>
          <w:color w:val="auto"/>
          <w:sz w:val="32"/>
          <w:szCs w:val="32"/>
          <w:highlight w:val="none"/>
          <w:lang w:val="en-US" w:eastAsia="zh-CN"/>
        </w:rPr>
        <w:t>21</w:t>
      </w:r>
      <w:r>
        <w:rPr>
          <w:rFonts w:hint="eastAsia" w:ascii="Times New Roman" w:hAnsi="Times New Roman" w:eastAsia="仿宋"/>
          <w:color w:val="auto"/>
          <w:sz w:val="32"/>
          <w:szCs w:val="32"/>
          <w:highlight w:val="none"/>
        </w:rPr>
        <w:t>年一般公共预算财政拨款支出</w:t>
      </w:r>
      <w:r>
        <w:rPr>
          <w:rFonts w:hint="eastAsia" w:ascii="Times New Roman" w:hAnsi="Times New Roman" w:eastAsia="仿宋"/>
          <w:color w:val="auto"/>
          <w:sz w:val="32"/>
          <w:szCs w:val="32"/>
          <w:highlight w:val="none"/>
          <w:lang w:val="en-US" w:eastAsia="zh-CN"/>
        </w:rPr>
        <w:t>194.64</w:t>
      </w:r>
      <w:r>
        <w:rPr>
          <w:rFonts w:hint="eastAsia" w:ascii="Times New Roman" w:hAnsi="Times New Roman" w:eastAsia="仿宋"/>
          <w:color w:val="auto"/>
          <w:sz w:val="32"/>
          <w:szCs w:val="32"/>
          <w:highlight w:val="none"/>
        </w:rPr>
        <w:t>万元，主要用于以下方面</w:t>
      </w:r>
      <w:r>
        <w:rPr>
          <w:rFonts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rPr>
        <w:t>一般公共服务（类）支出</w:t>
      </w:r>
      <w:r>
        <w:rPr>
          <w:rFonts w:hint="eastAsia" w:ascii="Times New Roman" w:hAnsi="Times New Roman" w:eastAsia="仿宋"/>
          <w:color w:val="auto"/>
          <w:sz w:val="32"/>
          <w:szCs w:val="32"/>
          <w:highlight w:val="none"/>
          <w:lang w:val="en-US" w:eastAsia="zh-CN"/>
        </w:rPr>
        <w:t>79.76</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40.98</w:t>
      </w:r>
      <w:r>
        <w:rPr>
          <w:rFonts w:hint="eastAsia" w:ascii="Times New Roman" w:hAnsi="Times New Roman" w:eastAsia="仿宋"/>
          <w:color w:val="auto"/>
          <w:sz w:val="32"/>
          <w:szCs w:val="32"/>
          <w:highlight w:val="none"/>
        </w:rPr>
        <w:t>%；社会保障和就业（类）支出</w:t>
      </w:r>
      <w:r>
        <w:rPr>
          <w:rFonts w:hint="eastAsia" w:ascii="Times New Roman" w:hAnsi="Times New Roman" w:eastAsia="仿宋"/>
          <w:color w:val="auto"/>
          <w:sz w:val="32"/>
          <w:szCs w:val="32"/>
          <w:highlight w:val="none"/>
          <w:lang w:val="en-US" w:eastAsia="zh-CN"/>
        </w:rPr>
        <w:t>1.96</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1</w:t>
      </w:r>
      <w:r>
        <w:rPr>
          <w:rFonts w:hint="eastAsia" w:ascii="Times New Roman" w:hAnsi="Times New Roman" w:eastAsia="仿宋"/>
          <w:color w:val="auto"/>
          <w:sz w:val="32"/>
          <w:szCs w:val="32"/>
          <w:highlight w:val="none"/>
        </w:rPr>
        <w:t>%；卫生健康（类）支出</w:t>
      </w:r>
      <w:r>
        <w:rPr>
          <w:rFonts w:hint="eastAsia" w:ascii="Times New Roman" w:hAnsi="Times New Roman" w:eastAsia="仿宋"/>
          <w:color w:val="auto"/>
          <w:sz w:val="32"/>
          <w:szCs w:val="32"/>
          <w:highlight w:val="none"/>
          <w:lang w:val="en-US" w:eastAsia="zh-CN"/>
        </w:rPr>
        <w:t>1.03</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0.53</w:t>
      </w:r>
      <w:r>
        <w:rPr>
          <w:rFonts w:hint="eastAsia" w:ascii="Times New Roman" w:hAnsi="Times New Roman" w:eastAsia="仿宋"/>
          <w:color w:val="auto"/>
          <w:sz w:val="32"/>
          <w:szCs w:val="32"/>
          <w:highlight w:val="none"/>
        </w:rPr>
        <w:t>%；住房保障（类）支出</w:t>
      </w:r>
      <w:r>
        <w:rPr>
          <w:rFonts w:hint="eastAsia" w:ascii="Times New Roman" w:hAnsi="Times New Roman" w:eastAsia="仿宋"/>
          <w:color w:val="auto"/>
          <w:sz w:val="32"/>
          <w:szCs w:val="32"/>
          <w:highlight w:val="none"/>
          <w:lang w:val="en-US" w:eastAsia="zh-CN"/>
        </w:rPr>
        <w:t>1.89</w:t>
      </w:r>
      <w:r>
        <w:rPr>
          <w:rFonts w:hint="eastAsia" w:ascii="Times New Roman" w:hAnsi="Times New Roman" w:eastAsia="仿宋"/>
          <w:color w:val="auto"/>
          <w:sz w:val="32"/>
          <w:szCs w:val="32"/>
          <w:highlight w:val="none"/>
        </w:rPr>
        <w:t>万元，占</w:t>
      </w:r>
      <w:r>
        <w:rPr>
          <w:rFonts w:hint="eastAsia" w:ascii="Times New Roman" w:hAnsi="Times New Roman" w:eastAsia="仿宋"/>
          <w:color w:val="auto"/>
          <w:sz w:val="32"/>
          <w:szCs w:val="32"/>
          <w:highlight w:val="none"/>
          <w:lang w:val="en-US" w:eastAsia="zh-CN"/>
        </w:rPr>
        <w:t>0.97</w:t>
      </w:r>
      <w:r>
        <w:rPr>
          <w:rFonts w:hint="eastAsia" w:ascii="Times New Roman" w:hAnsi="Times New Roman" w:eastAsia="仿宋"/>
          <w:color w:val="auto"/>
          <w:sz w:val="32"/>
          <w:szCs w:val="32"/>
          <w:highlight w:val="none"/>
        </w:rPr>
        <w:t>%；</w:t>
      </w:r>
      <w:r>
        <w:rPr>
          <w:rFonts w:hint="eastAsia" w:ascii="Times New Roman" w:hAnsi="Times New Roman" w:eastAsia="仿宋"/>
          <w:color w:val="auto"/>
          <w:sz w:val="32"/>
          <w:szCs w:val="32"/>
          <w:highlight w:val="none"/>
          <w:lang w:eastAsia="zh-CN"/>
        </w:rPr>
        <w:t>农林水</w:t>
      </w:r>
      <w:r>
        <w:rPr>
          <w:rFonts w:hint="eastAsia" w:ascii="Times New Roman" w:hAnsi="Times New Roman" w:eastAsia="仿宋"/>
          <w:color w:val="auto"/>
          <w:sz w:val="32"/>
          <w:szCs w:val="32"/>
          <w:highlight w:val="none"/>
        </w:rPr>
        <w:t>（类）</w:t>
      </w:r>
      <w:r>
        <w:rPr>
          <w:rFonts w:hint="eastAsia" w:ascii="Times New Roman" w:hAnsi="Times New Roman" w:eastAsia="仿宋"/>
          <w:color w:val="auto"/>
          <w:sz w:val="32"/>
          <w:szCs w:val="32"/>
          <w:highlight w:val="none"/>
          <w:lang w:eastAsia="zh-CN"/>
        </w:rPr>
        <w:t>支出</w:t>
      </w:r>
      <w:r>
        <w:rPr>
          <w:rFonts w:hint="eastAsia" w:ascii="Times New Roman" w:hAnsi="Times New Roman" w:eastAsia="仿宋"/>
          <w:color w:val="auto"/>
          <w:sz w:val="32"/>
          <w:szCs w:val="32"/>
          <w:highlight w:val="none"/>
          <w:lang w:val="en-US" w:eastAsia="zh-CN"/>
        </w:rPr>
        <w:t>110万元，占56.51%</w:t>
      </w:r>
      <w:r>
        <w:rPr>
          <w:rFonts w:hint="eastAsia" w:ascii="Times New Roman" w:hAnsi="Times New Roman" w:eastAsia="仿宋"/>
          <w:color w:val="auto"/>
          <w:sz w:val="32"/>
          <w:szCs w:val="32"/>
          <w:highlight w:val="none"/>
        </w:rPr>
        <w:t>。</w:t>
      </w:r>
      <w:bookmarkStart w:id="43" w:name="_Toc15377212"/>
    </w:p>
    <w:p w14:paraId="5E498A7E">
      <w:pPr>
        <w:pStyle w:val="7"/>
        <w:jc w:val="center"/>
        <w:rPr>
          <w:rFonts w:hint="eastAsia" w:ascii="Times New Roman" w:hAnsi="Times New Roman"/>
          <w:lang w:val="en-US" w:eastAsia="zh-CN"/>
        </w:rPr>
      </w:pPr>
      <w:r>
        <w:rPr>
          <w:rFonts w:hint="eastAsia" w:ascii="Times New Roman" w:hAnsi="Times New Roman"/>
          <w:lang w:val="en-US" w:eastAsia="zh-CN"/>
        </w:rPr>
        <w:drawing>
          <wp:inline distT="0" distB="0" distL="114300" distR="114300">
            <wp:extent cx="4485640" cy="2746375"/>
            <wp:effectExtent l="4445" t="4445" r="5715" b="762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82BB33">
      <w:pPr>
        <w:spacing w:line="600" w:lineRule="exact"/>
        <w:jc w:val="center"/>
        <w:outlineLvl w:val="2"/>
        <w:rPr>
          <w:rFonts w:hint="eastAsia" w:ascii="Times New Roman" w:hAnsi="Times New Roman" w:eastAsia="楷体_GB2312" w:cs="楷体_GB2312"/>
          <w:color w:val="auto"/>
          <w:kern w:val="0"/>
          <w:sz w:val="28"/>
          <w:szCs w:val="28"/>
          <w:highlight w:val="none"/>
          <w:lang w:val="en-US" w:eastAsia="zh-CN" w:bidi="ar-SA"/>
        </w:rPr>
      </w:pPr>
    </w:p>
    <w:p w14:paraId="373A9D0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（三）一般公共预算财政拨款支出决算具体情况</w:t>
      </w:r>
      <w:bookmarkEnd w:id="43"/>
    </w:p>
    <w:p w14:paraId="79F1323B">
      <w:pPr>
        <w:spacing w:line="600" w:lineRule="exact"/>
        <w:ind w:firstLine="643" w:firstLineChars="200"/>
        <w:outlineLvl w:val="2"/>
        <w:rPr>
          <w:rFonts w:hint="eastAsia" w:ascii="Times New Roman" w:hAnsi="Times New Roman" w:eastAsia="仿宋_GB2312" w:cs="仿宋_GB2312"/>
          <w:color w:val="auto"/>
          <w:sz w:val="32"/>
          <w:szCs w:val="32"/>
          <w:highlight w:val="none"/>
        </w:rPr>
      </w:pPr>
      <w:bookmarkStart w:id="44" w:name="_Toc15378460"/>
      <w:bookmarkStart w:id="45" w:name="_Toc15377213"/>
      <w:bookmarkStart w:id="46" w:name="_Toc15377444"/>
      <w:r>
        <w:rPr>
          <w:rFonts w:hint="eastAsia" w:ascii="Times New Roman" w:hAnsi="Times New Roman" w:eastAsia="仿宋_GB2312" w:cs="仿宋_GB2312"/>
          <w:b/>
          <w:color w:val="auto"/>
          <w:sz w:val="32"/>
          <w:szCs w:val="32"/>
          <w:highlight w:val="none"/>
        </w:rPr>
        <w:t>20</w:t>
      </w:r>
      <w:r>
        <w:rPr>
          <w:rFonts w:hint="eastAsia" w:ascii="Times New Roman" w:hAnsi="Times New Roman" w:eastAsia="仿宋_GB2312" w:cs="仿宋_GB2312"/>
          <w:b/>
          <w:color w:val="auto"/>
          <w:sz w:val="32"/>
          <w:szCs w:val="32"/>
          <w:highlight w:val="none"/>
          <w:lang w:val="en-US" w:eastAsia="zh-CN"/>
        </w:rPr>
        <w:t>21</w:t>
      </w:r>
      <w:r>
        <w:rPr>
          <w:rFonts w:hint="eastAsia" w:ascii="Times New Roman" w:hAnsi="Times New Roman" w:eastAsia="仿宋_GB2312" w:cs="仿宋_GB2312"/>
          <w:b/>
          <w:color w:val="auto"/>
          <w:sz w:val="32"/>
          <w:szCs w:val="32"/>
          <w:highlight w:val="none"/>
        </w:rPr>
        <w:t>年</w:t>
      </w:r>
      <w:r>
        <w:rPr>
          <w:rFonts w:hint="eastAsia" w:ascii="Times New Roman" w:hAnsi="Times New Roman" w:eastAsia="仿宋_GB2312" w:cs="仿宋_GB2312"/>
          <w:b/>
          <w:color w:val="auto"/>
          <w:sz w:val="32"/>
          <w:szCs w:val="32"/>
          <w:highlight w:val="none"/>
          <w:lang w:eastAsia="zh-CN"/>
        </w:rPr>
        <w:t>一</w:t>
      </w:r>
      <w:r>
        <w:rPr>
          <w:rFonts w:hint="eastAsia" w:ascii="Times New Roman" w:hAnsi="Times New Roman" w:eastAsia="仿宋_GB2312" w:cs="仿宋_GB2312"/>
          <w:b/>
          <w:color w:val="auto"/>
          <w:sz w:val="32"/>
          <w:szCs w:val="32"/>
          <w:highlight w:val="none"/>
        </w:rPr>
        <w:t>般公共预算支出决算数为</w:t>
      </w:r>
      <w:r>
        <w:rPr>
          <w:rFonts w:hint="eastAsia" w:ascii="Times New Roman" w:hAnsi="Times New Roman" w:eastAsia="仿宋_GB2312" w:cs="仿宋_GB2312"/>
          <w:b/>
          <w:color w:val="auto"/>
          <w:sz w:val="32"/>
          <w:szCs w:val="32"/>
          <w:highlight w:val="none"/>
          <w:lang w:val="en-US" w:eastAsia="zh-CN"/>
        </w:rPr>
        <w:t>194.64</w:t>
      </w:r>
      <w:r>
        <w:rPr>
          <w:rFonts w:hint="eastAsia" w:ascii="Times New Roman" w:hAnsi="Times New Roman" w:eastAsia="仿宋_GB2312" w:cs="仿宋_GB2312"/>
          <w:color w:val="auto"/>
          <w:sz w:val="32"/>
          <w:szCs w:val="32"/>
          <w:highlight w:val="none"/>
        </w:rPr>
        <w:t>，</w:t>
      </w:r>
      <w:r>
        <w:rPr>
          <w:rStyle w:val="17"/>
          <w:rFonts w:hint="eastAsia" w:ascii="Times New Roman" w:hAnsi="Times New Roman" w:eastAsia="仿宋_GB2312" w:cs="仿宋_GB2312"/>
          <w:bCs/>
          <w:color w:val="auto"/>
          <w:sz w:val="32"/>
          <w:szCs w:val="32"/>
          <w:highlight w:val="none"/>
        </w:rPr>
        <w:t>完成预算</w:t>
      </w:r>
      <w:r>
        <w:rPr>
          <w:rStyle w:val="17"/>
          <w:rFonts w:hint="eastAsia" w:ascii="Times New Roman" w:hAnsi="Times New Roman" w:eastAsia="仿宋_GB2312" w:cs="仿宋_GB2312"/>
          <w:bCs/>
          <w:color w:val="auto"/>
          <w:sz w:val="32"/>
          <w:szCs w:val="32"/>
          <w:highlight w:val="none"/>
          <w:lang w:val="en-US" w:eastAsia="zh-CN"/>
        </w:rPr>
        <w:t>100</w:t>
      </w:r>
      <w:r>
        <w:rPr>
          <w:rStyle w:val="17"/>
          <w:rFonts w:hint="eastAsia" w:ascii="Times New Roman" w:hAnsi="Times New Roman" w:eastAsia="仿宋_GB2312" w:cs="仿宋_GB2312"/>
          <w:bCs/>
          <w:color w:val="auto"/>
          <w:sz w:val="32"/>
          <w:szCs w:val="32"/>
          <w:highlight w:val="none"/>
        </w:rPr>
        <w:t>%。其中：</w:t>
      </w:r>
      <w:bookmarkEnd w:id="44"/>
      <w:bookmarkEnd w:id="45"/>
      <w:bookmarkEnd w:id="46"/>
    </w:p>
    <w:p w14:paraId="6A8C8310">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lang w:val="en-US" w:eastAsia="zh-CN"/>
        </w:rPr>
        <w:t>1.</w:t>
      </w:r>
      <w:r>
        <w:rPr>
          <w:rStyle w:val="17"/>
          <w:rFonts w:hint="eastAsia" w:ascii="Times New Roman" w:hAnsi="Times New Roman" w:eastAsia="仿宋_GB2312" w:cs="仿宋_GB2312"/>
          <w:bCs/>
          <w:color w:val="auto"/>
          <w:sz w:val="32"/>
          <w:szCs w:val="32"/>
          <w:highlight w:val="none"/>
        </w:rPr>
        <w:t>一般公共服务（类）</w:t>
      </w:r>
      <w:r>
        <w:rPr>
          <w:rStyle w:val="17"/>
          <w:rFonts w:hint="eastAsia" w:ascii="Times New Roman" w:hAnsi="Times New Roman" w:eastAsia="仿宋_GB2312" w:cs="仿宋_GB2312"/>
          <w:bCs/>
          <w:color w:val="auto"/>
          <w:sz w:val="32"/>
          <w:szCs w:val="32"/>
          <w:highlight w:val="none"/>
          <w:lang w:eastAsia="zh-CN"/>
        </w:rPr>
        <w:t>群众团体事务</w:t>
      </w:r>
      <w:r>
        <w:rPr>
          <w:rStyle w:val="17"/>
          <w:rFonts w:hint="eastAsia" w:ascii="Times New Roman" w:hAnsi="Times New Roman" w:eastAsia="仿宋_GB2312" w:cs="仿宋_GB2312"/>
          <w:bCs/>
          <w:color w:val="auto"/>
          <w:sz w:val="32"/>
          <w:szCs w:val="32"/>
          <w:highlight w:val="none"/>
        </w:rPr>
        <w:t>（款）</w:t>
      </w:r>
      <w:r>
        <w:rPr>
          <w:rStyle w:val="17"/>
          <w:rFonts w:hint="eastAsia" w:ascii="Times New Roman" w:hAnsi="Times New Roman" w:eastAsia="仿宋_GB2312" w:cs="仿宋_GB2312"/>
          <w:bCs/>
          <w:color w:val="auto"/>
          <w:sz w:val="32"/>
          <w:szCs w:val="32"/>
          <w:highlight w:val="none"/>
          <w:lang w:eastAsia="zh-CN"/>
        </w:rPr>
        <w:t>行政运行</w:t>
      </w:r>
      <w:r>
        <w:rPr>
          <w:rStyle w:val="17"/>
          <w:rFonts w:hint="eastAsia" w:ascii="Times New Roman" w:hAnsi="Times New Roman" w:eastAsia="仿宋_GB2312" w:cs="仿宋_GB2312"/>
          <w:bCs/>
          <w:color w:val="auto"/>
          <w:sz w:val="32"/>
          <w:szCs w:val="32"/>
          <w:highlight w:val="none"/>
        </w:rPr>
        <w:t>（项）:</w:t>
      </w:r>
      <w:r>
        <w:rPr>
          <w:rStyle w:val="17"/>
          <w:rFonts w:hint="eastAsia" w:ascii="Times New Roman" w:hAnsi="Times New Roman" w:eastAsia="仿宋_GB2312" w:cs="仿宋_GB2312"/>
          <w:b w:val="0"/>
          <w:bCs/>
          <w:color w:val="auto"/>
          <w:sz w:val="32"/>
          <w:szCs w:val="32"/>
          <w:highlight w:val="none"/>
        </w:rPr>
        <w:t xml:space="preserve"> 支出决算为</w:t>
      </w:r>
      <w:r>
        <w:rPr>
          <w:rStyle w:val="17"/>
          <w:rFonts w:hint="eastAsia" w:ascii="Times New Roman" w:hAnsi="Times New Roman" w:eastAsia="仿宋_GB2312" w:cs="仿宋_GB2312"/>
          <w:b w:val="0"/>
          <w:bCs/>
          <w:color w:val="auto"/>
          <w:sz w:val="32"/>
          <w:szCs w:val="32"/>
          <w:highlight w:val="none"/>
          <w:lang w:val="en-US" w:eastAsia="zh-CN"/>
        </w:rPr>
        <w:t>74.64</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7E4DBF1C">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lang w:val="en-US" w:eastAsia="zh-CN"/>
        </w:rPr>
        <w:t>2.</w:t>
      </w:r>
      <w:r>
        <w:rPr>
          <w:rStyle w:val="17"/>
          <w:rFonts w:hint="eastAsia" w:ascii="Times New Roman" w:hAnsi="Times New Roman" w:eastAsia="仿宋_GB2312" w:cs="仿宋_GB2312"/>
          <w:bCs/>
          <w:color w:val="auto"/>
          <w:sz w:val="32"/>
          <w:szCs w:val="32"/>
          <w:highlight w:val="none"/>
        </w:rPr>
        <w:t>一般公共服务（类）</w:t>
      </w:r>
      <w:r>
        <w:rPr>
          <w:rStyle w:val="17"/>
          <w:rFonts w:hint="eastAsia" w:ascii="Times New Roman" w:hAnsi="Times New Roman" w:eastAsia="仿宋_GB2312" w:cs="仿宋_GB2312"/>
          <w:bCs/>
          <w:color w:val="auto"/>
          <w:sz w:val="32"/>
          <w:szCs w:val="32"/>
          <w:highlight w:val="none"/>
          <w:lang w:eastAsia="zh-CN"/>
        </w:rPr>
        <w:t>群众团体事务</w:t>
      </w:r>
      <w:r>
        <w:rPr>
          <w:rStyle w:val="17"/>
          <w:rFonts w:hint="eastAsia" w:ascii="Times New Roman" w:hAnsi="Times New Roman" w:eastAsia="仿宋_GB2312" w:cs="仿宋_GB2312"/>
          <w:bCs/>
          <w:color w:val="auto"/>
          <w:sz w:val="32"/>
          <w:szCs w:val="32"/>
          <w:highlight w:val="none"/>
        </w:rPr>
        <w:t>（款）</w:t>
      </w:r>
      <w:r>
        <w:rPr>
          <w:rStyle w:val="17"/>
          <w:rFonts w:hint="eastAsia" w:ascii="Times New Roman" w:hAnsi="Times New Roman" w:eastAsia="仿宋_GB2312" w:cs="仿宋_GB2312"/>
          <w:bCs/>
          <w:color w:val="auto"/>
          <w:sz w:val="32"/>
          <w:szCs w:val="32"/>
          <w:highlight w:val="none"/>
          <w:lang w:eastAsia="zh-CN"/>
        </w:rPr>
        <w:t>事业运行</w:t>
      </w:r>
      <w:r>
        <w:rPr>
          <w:rStyle w:val="17"/>
          <w:rFonts w:hint="eastAsia" w:ascii="Times New Roman" w:hAnsi="Times New Roman" w:eastAsia="仿宋_GB2312" w:cs="仿宋_GB2312"/>
          <w:bCs/>
          <w:color w:val="auto"/>
          <w:sz w:val="32"/>
          <w:szCs w:val="32"/>
          <w:highlight w:val="none"/>
        </w:rPr>
        <w:t>（项）:</w:t>
      </w:r>
      <w:r>
        <w:rPr>
          <w:rStyle w:val="17"/>
          <w:rFonts w:hint="eastAsia" w:ascii="Times New Roman" w:hAnsi="Times New Roman" w:eastAsia="仿宋_GB2312" w:cs="仿宋_GB2312"/>
          <w:b w:val="0"/>
          <w:bCs/>
          <w:color w:val="auto"/>
          <w:sz w:val="32"/>
          <w:szCs w:val="32"/>
          <w:highlight w:val="none"/>
        </w:rPr>
        <w:t xml:space="preserve"> 支出决算为</w:t>
      </w:r>
      <w:r>
        <w:rPr>
          <w:rStyle w:val="17"/>
          <w:rFonts w:hint="eastAsia" w:ascii="Times New Roman" w:hAnsi="Times New Roman" w:eastAsia="仿宋_GB2312" w:cs="仿宋_GB2312"/>
          <w:b w:val="0"/>
          <w:bCs/>
          <w:color w:val="auto"/>
          <w:sz w:val="32"/>
          <w:szCs w:val="32"/>
          <w:highlight w:val="none"/>
          <w:lang w:val="en-US" w:eastAsia="zh-CN"/>
        </w:rPr>
        <w:t>5.12</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3602FCA9">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lang w:val="en-US" w:eastAsia="zh-CN"/>
        </w:rPr>
        <w:t>3</w:t>
      </w:r>
      <w:r>
        <w:rPr>
          <w:rStyle w:val="17"/>
          <w:rFonts w:hint="eastAsia" w:ascii="Times New Roman" w:hAnsi="Times New Roman" w:eastAsia="仿宋_GB2312" w:cs="仿宋_GB2312"/>
          <w:bCs/>
          <w:color w:val="auto"/>
          <w:sz w:val="32"/>
          <w:szCs w:val="32"/>
          <w:highlight w:val="none"/>
        </w:rPr>
        <w:t>.社会保障和就业（类）行政事业单位养老支出（款）机关事业单位基本养老保险缴费支出（项）:</w:t>
      </w:r>
      <w:r>
        <w:rPr>
          <w:rStyle w:val="17"/>
          <w:rFonts w:hint="eastAsia" w:ascii="Times New Roman" w:hAnsi="Times New Roman" w:eastAsia="仿宋_GB2312" w:cs="仿宋_GB2312"/>
          <w:b w:val="0"/>
          <w:bCs/>
          <w:color w:val="auto"/>
          <w:sz w:val="32"/>
          <w:szCs w:val="32"/>
          <w:highlight w:val="none"/>
        </w:rPr>
        <w:t xml:space="preserve"> 支出决算为</w:t>
      </w:r>
      <w:r>
        <w:rPr>
          <w:rStyle w:val="17"/>
          <w:rFonts w:hint="eastAsia" w:ascii="Times New Roman" w:hAnsi="Times New Roman" w:eastAsia="仿宋_GB2312" w:cs="仿宋_GB2312"/>
          <w:b w:val="0"/>
          <w:bCs/>
          <w:color w:val="auto"/>
          <w:sz w:val="32"/>
          <w:szCs w:val="32"/>
          <w:highlight w:val="none"/>
          <w:lang w:val="en-US" w:eastAsia="zh-CN"/>
        </w:rPr>
        <w:t>1.88</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1E5A4753">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lang w:val="en-US" w:eastAsia="zh-CN"/>
        </w:rPr>
        <w:t>4</w:t>
      </w:r>
      <w:r>
        <w:rPr>
          <w:rStyle w:val="17"/>
          <w:rFonts w:hint="eastAsia" w:ascii="Times New Roman" w:hAnsi="Times New Roman" w:eastAsia="仿宋_GB2312" w:cs="仿宋_GB2312"/>
          <w:bCs/>
          <w:color w:val="auto"/>
          <w:sz w:val="32"/>
          <w:szCs w:val="32"/>
          <w:highlight w:val="none"/>
        </w:rPr>
        <w:t>.社会保障和就业（类）其他社会保障和就业支出（款）其他社会保障和就业支出（项）:</w:t>
      </w:r>
      <w:r>
        <w:rPr>
          <w:rStyle w:val="17"/>
          <w:rFonts w:hint="eastAsia" w:ascii="Times New Roman" w:hAnsi="Times New Roman" w:eastAsia="仿宋_GB2312" w:cs="仿宋_GB2312"/>
          <w:b w:val="0"/>
          <w:bCs/>
          <w:color w:val="auto"/>
          <w:sz w:val="32"/>
          <w:szCs w:val="32"/>
          <w:highlight w:val="none"/>
        </w:rPr>
        <w:t xml:space="preserve"> 支出决算为</w:t>
      </w:r>
      <w:r>
        <w:rPr>
          <w:rStyle w:val="17"/>
          <w:rFonts w:hint="eastAsia" w:ascii="Times New Roman" w:hAnsi="Times New Roman" w:eastAsia="仿宋_GB2312" w:cs="仿宋_GB2312"/>
          <w:b w:val="0"/>
          <w:bCs/>
          <w:color w:val="auto"/>
          <w:sz w:val="32"/>
          <w:szCs w:val="32"/>
          <w:highlight w:val="none"/>
          <w:lang w:val="en-US" w:eastAsia="zh-CN"/>
        </w:rPr>
        <w:t>0.09</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364F39DB">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lang w:val="en-US" w:eastAsia="zh-CN"/>
        </w:rPr>
        <w:t>5</w:t>
      </w:r>
      <w:r>
        <w:rPr>
          <w:rStyle w:val="17"/>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
          <w:bCs/>
          <w:color w:val="auto"/>
          <w:sz w:val="32"/>
          <w:szCs w:val="32"/>
          <w:highlight w:val="none"/>
        </w:rPr>
        <w:t>卫生健康</w:t>
      </w:r>
      <w:r>
        <w:rPr>
          <w:rStyle w:val="17"/>
          <w:rFonts w:hint="eastAsia" w:ascii="Times New Roman" w:hAnsi="Times New Roman" w:eastAsia="仿宋_GB2312" w:cs="仿宋_GB2312"/>
          <w:bCs/>
          <w:color w:val="auto"/>
          <w:sz w:val="32"/>
          <w:szCs w:val="32"/>
          <w:highlight w:val="none"/>
        </w:rPr>
        <w:t>（类）行政事业单位医疗（款）行政单位医疗（项）:</w:t>
      </w:r>
      <w:r>
        <w:rPr>
          <w:rStyle w:val="17"/>
          <w:rFonts w:hint="eastAsia" w:ascii="Times New Roman" w:hAnsi="Times New Roman" w:eastAsia="仿宋_GB2312" w:cs="仿宋_GB2312"/>
          <w:b w:val="0"/>
          <w:bCs/>
          <w:color w:val="auto"/>
          <w:sz w:val="32"/>
          <w:szCs w:val="32"/>
          <w:highlight w:val="none"/>
        </w:rPr>
        <w:t>支出决算为</w:t>
      </w:r>
      <w:r>
        <w:rPr>
          <w:rStyle w:val="17"/>
          <w:rFonts w:hint="eastAsia" w:ascii="Times New Roman" w:hAnsi="Times New Roman" w:eastAsia="仿宋_GB2312" w:cs="仿宋_GB2312"/>
          <w:b w:val="0"/>
          <w:bCs/>
          <w:color w:val="auto"/>
          <w:sz w:val="32"/>
          <w:szCs w:val="32"/>
          <w:highlight w:val="none"/>
          <w:lang w:val="en-US" w:eastAsia="zh-CN"/>
        </w:rPr>
        <w:t>0.53</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4F1A5422">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Style w:val="17"/>
          <w:rFonts w:hint="eastAsia" w:ascii="Times New Roman" w:hAnsi="Times New Roman" w:eastAsia="仿宋_GB2312" w:cs="仿宋_GB2312"/>
          <w:bCs/>
          <w:color w:val="auto"/>
          <w:sz w:val="32"/>
          <w:szCs w:val="32"/>
          <w:highlight w:val="none"/>
        </w:rPr>
        <w:t>6.</w:t>
      </w:r>
      <w:r>
        <w:rPr>
          <w:rFonts w:hint="eastAsia" w:ascii="Times New Roman" w:hAnsi="Times New Roman" w:eastAsia="仿宋_GB2312" w:cs="仿宋_GB2312"/>
          <w:b/>
          <w:bCs/>
          <w:color w:val="auto"/>
          <w:sz w:val="32"/>
          <w:szCs w:val="32"/>
          <w:highlight w:val="none"/>
        </w:rPr>
        <w:t>卫生健康</w:t>
      </w:r>
      <w:r>
        <w:rPr>
          <w:rStyle w:val="17"/>
          <w:rFonts w:hint="eastAsia" w:ascii="Times New Roman" w:hAnsi="Times New Roman" w:eastAsia="仿宋_GB2312" w:cs="仿宋_GB2312"/>
          <w:bCs/>
          <w:color w:val="auto"/>
          <w:sz w:val="32"/>
          <w:szCs w:val="32"/>
          <w:highlight w:val="none"/>
        </w:rPr>
        <w:t>（类）行政事业单位医疗（款）事业单位医疗（项）:</w:t>
      </w:r>
      <w:r>
        <w:rPr>
          <w:rStyle w:val="17"/>
          <w:rFonts w:hint="eastAsia" w:ascii="Times New Roman" w:hAnsi="Times New Roman" w:eastAsia="仿宋_GB2312" w:cs="仿宋_GB2312"/>
          <w:b w:val="0"/>
          <w:bCs/>
          <w:color w:val="auto"/>
          <w:sz w:val="32"/>
          <w:szCs w:val="32"/>
          <w:highlight w:val="none"/>
        </w:rPr>
        <w:t>支出决算为</w:t>
      </w:r>
      <w:r>
        <w:rPr>
          <w:rStyle w:val="17"/>
          <w:rFonts w:hint="eastAsia" w:ascii="Times New Roman" w:hAnsi="Times New Roman" w:eastAsia="仿宋_GB2312" w:cs="仿宋_GB2312"/>
          <w:b w:val="0"/>
          <w:bCs/>
          <w:color w:val="auto"/>
          <w:sz w:val="32"/>
          <w:szCs w:val="32"/>
          <w:highlight w:val="none"/>
          <w:lang w:val="en-US" w:eastAsia="zh-CN"/>
        </w:rPr>
        <w:t>0.5</w:t>
      </w:r>
      <w:r>
        <w:rPr>
          <w:rStyle w:val="17"/>
          <w:rFonts w:hint="eastAsia" w:ascii="Times New Roman" w:hAnsi="Times New Roman" w:eastAsia="仿宋_GB2312" w:cs="仿宋_GB2312"/>
          <w:b w:val="0"/>
          <w:bCs/>
          <w:color w:val="auto"/>
          <w:sz w:val="32"/>
          <w:szCs w:val="32"/>
          <w:highlight w:val="none"/>
        </w:rPr>
        <w:t>万元，完成预算</w:t>
      </w:r>
      <w:r>
        <w:rPr>
          <w:rStyle w:val="17"/>
          <w:rFonts w:hint="eastAsia" w:ascii="Times New Roman" w:hAnsi="Times New Roman" w:eastAsia="仿宋_GB2312" w:cs="仿宋_GB2312"/>
          <w:b w:val="0"/>
          <w:bCs/>
          <w:color w:val="auto"/>
          <w:sz w:val="32"/>
          <w:szCs w:val="32"/>
          <w:highlight w:val="none"/>
          <w:lang w:val="en-US" w:eastAsia="zh-CN"/>
        </w:rPr>
        <w:t>100</w:t>
      </w:r>
      <w:r>
        <w:rPr>
          <w:rStyle w:val="17"/>
          <w:rFonts w:hint="eastAsia" w:ascii="Times New Roman" w:hAnsi="Times New Roman" w:eastAsia="仿宋_GB2312" w:cs="仿宋_GB2312"/>
          <w:b w:val="0"/>
          <w:bCs/>
          <w:color w:val="auto"/>
          <w:sz w:val="32"/>
          <w:szCs w:val="32"/>
          <w:highlight w:val="none"/>
        </w:rPr>
        <w:t>%，</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2F77A61E">
      <w:pPr>
        <w:numPr>
          <w:ilvl w:val="0"/>
          <w:numId w:val="0"/>
        </w:numPr>
        <w:spacing w:line="600" w:lineRule="exact"/>
        <w:ind w:firstLine="643" w:firstLineChars="200"/>
        <w:rPr>
          <w:rFonts w:hint="eastAsia" w:ascii="Times New Roman" w:hAnsi="Times New Roman" w:eastAsia="仿宋_GB2312" w:cs="仿宋_GB2312"/>
          <w:b/>
          <w:color w:val="auto"/>
          <w:sz w:val="32"/>
          <w:szCs w:val="32"/>
          <w:highlight w:val="none"/>
          <w:lang w:val="en-US" w:eastAsia="zh-CN"/>
        </w:rPr>
      </w:pPr>
      <w:r>
        <w:rPr>
          <w:rFonts w:hint="eastAsia" w:ascii="Times New Roman" w:hAnsi="Times New Roman" w:eastAsia="仿宋_GB2312" w:cs="仿宋_GB2312"/>
          <w:b/>
          <w:color w:val="auto"/>
          <w:sz w:val="32"/>
          <w:szCs w:val="32"/>
          <w:highlight w:val="none"/>
          <w:lang w:val="en-US" w:eastAsia="zh-CN"/>
        </w:rPr>
        <w:t>7.农林水（类）扶贫（款）其他扶贫支出（项）：</w:t>
      </w:r>
      <w:r>
        <w:rPr>
          <w:rStyle w:val="17"/>
          <w:rFonts w:hint="eastAsia" w:ascii="Times New Roman" w:hAnsi="Times New Roman" w:eastAsia="仿宋_GB2312" w:cs="仿宋_GB2312"/>
          <w:b w:val="0"/>
          <w:bCs/>
          <w:color w:val="auto"/>
          <w:sz w:val="32"/>
          <w:szCs w:val="32"/>
          <w:highlight w:val="none"/>
          <w:lang w:val="en-US" w:eastAsia="zh-CN"/>
        </w:rPr>
        <w:t>支出决算为110万元，完成预算100%，</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2FFD3932">
      <w:pPr>
        <w:numPr>
          <w:ilvl w:val="0"/>
          <w:numId w:val="0"/>
        </w:numPr>
        <w:spacing w:line="600" w:lineRule="exact"/>
        <w:ind w:firstLine="643" w:firstLineChars="200"/>
        <w:rPr>
          <w:rStyle w:val="17"/>
          <w:rFonts w:hint="eastAsia" w:ascii="Times New Roman" w:hAnsi="Times New Roman" w:eastAsia="仿宋_GB2312" w:cs="仿宋_GB2312"/>
          <w:b w:val="0"/>
          <w:bCs/>
          <w:color w:val="000000"/>
          <w:sz w:val="32"/>
          <w:szCs w:val="32"/>
          <w:lang w:val="en-US" w:eastAsia="zh-CN"/>
        </w:rPr>
      </w:pPr>
      <w:r>
        <w:rPr>
          <w:rFonts w:hint="eastAsia" w:ascii="Times New Roman" w:hAnsi="Times New Roman" w:eastAsia="仿宋_GB2312" w:cs="仿宋_GB2312"/>
          <w:b/>
          <w:color w:val="auto"/>
          <w:sz w:val="32"/>
          <w:szCs w:val="32"/>
          <w:highlight w:val="none"/>
          <w:lang w:val="en-US" w:eastAsia="zh-CN"/>
        </w:rPr>
        <w:t>8.住房保障（类）住房改革（款）住房公积金（项）：</w:t>
      </w:r>
      <w:r>
        <w:rPr>
          <w:rStyle w:val="17"/>
          <w:rFonts w:hint="eastAsia" w:ascii="Times New Roman" w:hAnsi="Times New Roman" w:eastAsia="仿宋_GB2312" w:cs="仿宋_GB2312"/>
          <w:b w:val="0"/>
          <w:bCs/>
          <w:color w:val="auto"/>
          <w:sz w:val="32"/>
          <w:szCs w:val="32"/>
          <w:highlight w:val="none"/>
          <w:lang w:val="en-US" w:eastAsia="zh-CN"/>
        </w:rPr>
        <w:t>支出决算为1.89万元，完成预算100%，</w:t>
      </w:r>
      <w:r>
        <w:rPr>
          <w:rStyle w:val="17"/>
          <w:rFonts w:hint="eastAsia" w:ascii="Times New Roman" w:hAnsi="Times New Roman" w:eastAsia="仿宋_GB2312" w:cs="仿宋_GB2312"/>
          <w:b w:val="0"/>
          <w:bCs/>
          <w:color w:val="000000"/>
          <w:sz w:val="32"/>
          <w:szCs w:val="32"/>
        </w:rPr>
        <w:t>决算数</w:t>
      </w:r>
      <w:r>
        <w:rPr>
          <w:rStyle w:val="17"/>
          <w:rFonts w:hint="eastAsia" w:ascii="Times New Roman" w:hAnsi="Times New Roman" w:eastAsia="仿宋_GB2312" w:cs="仿宋_GB2312"/>
          <w:b w:val="0"/>
          <w:bCs/>
          <w:color w:val="000000"/>
          <w:sz w:val="32"/>
          <w:szCs w:val="32"/>
          <w:lang w:val="en-US" w:eastAsia="zh-CN"/>
        </w:rPr>
        <w:t>与</w:t>
      </w:r>
      <w:r>
        <w:rPr>
          <w:rStyle w:val="17"/>
          <w:rFonts w:hint="eastAsia" w:ascii="Times New Roman" w:hAnsi="Times New Roman" w:eastAsia="仿宋_GB2312" w:cs="仿宋_GB2312"/>
          <w:b w:val="0"/>
          <w:bCs/>
          <w:color w:val="000000"/>
          <w:sz w:val="32"/>
          <w:szCs w:val="32"/>
        </w:rPr>
        <w:t>预算数</w:t>
      </w:r>
      <w:r>
        <w:rPr>
          <w:rStyle w:val="17"/>
          <w:rFonts w:hint="eastAsia" w:ascii="Times New Roman" w:hAnsi="Times New Roman" w:eastAsia="仿宋_GB2312" w:cs="仿宋_GB2312"/>
          <w:b w:val="0"/>
          <w:bCs/>
          <w:color w:val="000000"/>
          <w:sz w:val="32"/>
          <w:szCs w:val="32"/>
          <w:lang w:val="en-US" w:eastAsia="zh-CN"/>
        </w:rPr>
        <w:t>持平。</w:t>
      </w:r>
    </w:p>
    <w:p w14:paraId="5636E0C0">
      <w:pPr>
        <w:tabs>
          <w:tab w:val="right" w:pos="8306"/>
        </w:tabs>
        <w:spacing w:line="600" w:lineRule="exact"/>
        <w:ind w:firstLine="640"/>
        <w:outlineLvl w:val="1"/>
        <w:rPr>
          <w:rStyle w:val="28"/>
          <w:rFonts w:ascii="Times New Roman" w:hAnsi="Times New Roman"/>
          <w:color w:val="auto"/>
          <w:highlight w:val="none"/>
        </w:rPr>
      </w:pPr>
      <w:bookmarkStart w:id="47" w:name="_Toc15377214"/>
      <w:bookmarkStart w:id="48" w:name="_Toc7782"/>
      <w:bookmarkStart w:id="4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8"/>
          <w:rFonts w:hint="eastAsia" w:ascii="Times New Roman" w:hAnsi="Times New Roman" w:eastAsia="黑体"/>
          <w:b w:val="0"/>
          <w:color w:val="auto"/>
          <w:highlight w:val="none"/>
        </w:rPr>
        <w:t>般公共预算财政拨款基本支出决算情况说明</w:t>
      </w:r>
      <w:bookmarkEnd w:id="47"/>
      <w:bookmarkEnd w:id="48"/>
      <w:bookmarkEnd w:id="49"/>
      <w:r>
        <w:rPr>
          <w:rStyle w:val="28"/>
          <w:rFonts w:ascii="Times New Roman" w:hAnsi="Times New Roman" w:eastAsia="黑体"/>
          <w:b w:val="0"/>
          <w:color w:val="auto"/>
          <w:highlight w:val="none"/>
        </w:rPr>
        <w:tab/>
      </w:r>
    </w:p>
    <w:p w14:paraId="69D24FC2">
      <w:pPr>
        <w:spacing w:line="600" w:lineRule="exact"/>
        <w:ind w:firstLine="64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年一般公共预算财政拨款基本支出</w:t>
      </w:r>
      <w:r>
        <w:rPr>
          <w:rFonts w:hint="eastAsia" w:ascii="Times New Roman" w:hAnsi="Times New Roman" w:eastAsia="仿宋_GB2312" w:cs="仿宋_GB2312"/>
          <w:color w:val="auto"/>
          <w:sz w:val="32"/>
          <w:szCs w:val="32"/>
          <w:highlight w:val="none"/>
          <w:lang w:val="en-US" w:eastAsia="zh-CN"/>
        </w:rPr>
        <w:t>84.64</w:t>
      </w:r>
      <w:r>
        <w:rPr>
          <w:rFonts w:hint="eastAsia" w:ascii="Times New Roman" w:hAnsi="Times New Roman" w:eastAsia="仿宋_GB2312" w:cs="仿宋_GB2312"/>
          <w:color w:val="auto"/>
          <w:sz w:val="32"/>
          <w:szCs w:val="32"/>
          <w:highlight w:val="none"/>
        </w:rPr>
        <w:t>万元，其中：</w:t>
      </w:r>
    </w:p>
    <w:p w14:paraId="38455223">
      <w:pPr>
        <w:spacing w:line="600" w:lineRule="exact"/>
        <w:ind w:firstLine="645"/>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人员经费</w:t>
      </w:r>
      <w:r>
        <w:rPr>
          <w:rFonts w:hint="eastAsia" w:ascii="Times New Roman" w:hAnsi="Times New Roman" w:eastAsia="仿宋_GB2312" w:cs="仿宋_GB2312"/>
          <w:color w:val="auto"/>
          <w:sz w:val="32"/>
          <w:szCs w:val="32"/>
          <w:highlight w:val="none"/>
          <w:lang w:val="en-US" w:eastAsia="zh-CN"/>
        </w:rPr>
        <w:t>42.06</w:t>
      </w:r>
      <w:r>
        <w:rPr>
          <w:rFonts w:hint="eastAsia" w:ascii="Times New Roman" w:hAnsi="Times New Roman" w:eastAsia="仿宋_GB2312" w:cs="仿宋_GB2312"/>
          <w:color w:val="auto"/>
          <w:sz w:val="32"/>
          <w:szCs w:val="32"/>
          <w:highlight w:val="none"/>
        </w:rPr>
        <w:t>万元，主要包括：基本工资、津贴补贴、奖金、绩效工资、机关事业单位基本养老保险缴费、职工基本医疗保险缴费</w:t>
      </w:r>
      <w:r>
        <w:rPr>
          <w:rFonts w:hint="eastAsia"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其他社会保障缴费、其他工资福利支出、生活补助、住房公积金、其他对个人和家庭的补助支出等。</w:t>
      </w:r>
    </w:p>
    <w:p w14:paraId="5980DE16">
      <w:pPr>
        <w:spacing w:line="600" w:lineRule="exact"/>
        <w:ind w:firstLine="645"/>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公用经费</w:t>
      </w:r>
      <w:r>
        <w:rPr>
          <w:rFonts w:hint="eastAsia" w:ascii="Times New Roman" w:hAnsi="Times New Roman" w:eastAsia="仿宋_GB2312" w:cs="仿宋_GB2312"/>
          <w:color w:val="auto"/>
          <w:sz w:val="32"/>
          <w:szCs w:val="32"/>
          <w:highlight w:val="none"/>
          <w:lang w:val="en-US" w:eastAsia="zh-CN"/>
        </w:rPr>
        <w:t>42.58</w:t>
      </w:r>
      <w:r>
        <w:rPr>
          <w:rFonts w:hint="eastAsia" w:ascii="Times New Roman" w:hAnsi="Times New Roman" w:eastAsia="仿宋_GB2312" w:cs="仿宋_GB2312"/>
          <w:color w:val="auto"/>
          <w:sz w:val="32"/>
          <w:szCs w:val="32"/>
          <w:highlight w:val="none"/>
        </w:rPr>
        <w:t>万元，主要包括：办公费、印刷费、差旅费、维修（护）费、会议费、培训费、公务接待费、工会经费、其他交通费、其他商品和服务支出等。</w:t>
      </w:r>
    </w:p>
    <w:p w14:paraId="1475BC21">
      <w:pPr>
        <w:spacing w:line="600" w:lineRule="exact"/>
        <w:ind w:firstLine="640"/>
        <w:outlineLvl w:val="1"/>
        <w:rPr>
          <w:rStyle w:val="28"/>
          <w:rFonts w:ascii="Times New Roman" w:hAnsi="Times New Roman" w:eastAsia="黑体"/>
          <w:b w:val="0"/>
          <w:color w:val="auto"/>
          <w:highlight w:val="none"/>
        </w:rPr>
      </w:pPr>
      <w:bookmarkStart w:id="50" w:name="_Toc15377215"/>
      <w:bookmarkStart w:id="51" w:name="_Toc15396609"/>
      <w:bookmarkStart w:id="52" w:name="_Toc17684"/>
      <w:r>
        <w:rPr>
          <w:rFonts w:hint="eastAsia" w:ascii="Times New Roman" w:hAnsi="Times New Roman" w:eastAsia="黑体"/>
          <w:color w:val="auto"/>
          <w:sz w:val="32"/>
          <w:szCs w:val="32"/>
          <w:highlight w:val="none"/>
        </w:rPr>
        <w:t>七、</w:t>
      </w:r>
      <w:r>
        <w:rPr>
          <w:rStyle w:val="28"/>
          <w:rFonts w:hint="eastAsia" w:ascii="Times New Roman" w:hAnsi="Times New Roman" w:eastAsia="黑体"/>
          <w:color w:val="auto"/>
          <w:highlight w:val="none"/>
        </w:rPr>
        <w:t>“</w:t>
      </w:r>
      <w:r>
        <w:rPr>
          <w:rStyle w:val="28"/>
          <w:rFonts w:hint="eastAsia" w:ascii="Times New Roman" w:hAnsi="Times New Roman" w:eastAsia="黑体"/>
          <w:b w:val="0"/>
          <w:color w:val="auto"/>
          <w:highlight w:val="none"/>
        </w:rPr>
        <w:t>三公”经费财政拨款支出决算情况说明</w:t>
      </w:r>
      <w:bookmarkEnd w:id="50"/>
      <w:bookmarkEnd w:id="51"/>
      <w:bookmarkEnd w:id="52"/>
    </w:p>
    <w:p w14:paraId="5283010D">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53" w:name="_Toc15377216"/>
      <w:r>
        <w:rPr>
          <w:rFonts w:hint="eastAsia" w:ascii="Times New Roman" w:hAnsi="Times New Roman" w:eastAsia="楷体_GB2312" w:cs="楷体_GB2312"/>
          <w:b w:val="0"/>
          <w:color w:val="000000"/>
          <w:sz w:val="32"/>
          <w:szCs w:val="32"/>
          <w:lang w:val="en-US" w:eastAsia="zh-CN"/>
        </w:rPr>
        <w:t>（一）“三公”经费财政拨款支出决算总体情况说明</w:t>
      </w:r>
      <w:bookmarkEnd w:id="53"/>
    </w:p>
    <w:p w14:paraId="01854453">
      <w:pPr>
        <w:spacing w:line="600" w:lineRule="exact"/>
        <w:ind w:firstLine="640"/>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年“三公”经费财政拨款支出决算为</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万元，完成预算</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000000"/>
          <w:sz w:val="32"/>
          <w:szCs w:val="32"/>
        </w:rPr>
        <w:t>决算数与预算数持平。</w:t>
      </w:r>
    </w:p>
    <w:p w14:paraId="548AA87B">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54" w:name="_Toc15377217"/>
      <w:r>
        <w:rPr>
          <w:rFonts w:hint="eastAsia" w:ascii="Times New Roman" w:hAnsi="Times New Roman" w:eastAsia="楷体_GB2312" w:cs="楷体_GB2312"/>
          <w:b w:val="0"/>
          <w:color w:val="000000"/>
          <w:sz w:val="32"/>
          <w:szCs w:val="32"/>
          <w:lang w:val="en-US" w:eastAsia="zh-CN"/>
        </w:rPr>
        <w:t>（二）“三公”经费财政拨款支出决算具体情况说明</w:t>
      </w:r>
      <w:bookmarkEnd w:id="54"/>
    </w:p>
    <w:p w14:paraId="5B7B63BD">
      <w:pPr>
        <w:spacing w:line="600" w:lineRule="exact"/>
        <w:ind w:firstLine="640"/>
        <w:rPr>
          <w:rFonts w:hint="eastAsia" w:ascii="Times New Roman" w:hAnsi="Times New Roman" w:eastAsia="仿宋_GB2312" w:cs="仿宋_GB2312"/>
          <w:b/>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年“三公”经费财政拨款支出决算中，因公出国（境）费支出决算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%；公务用车购置及运行维护费支出决算</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%；公务接待费支出决算</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万元，占</w:t>
      </w:r>
      <w:r>
        <w:rPr>
          <w:rFonts w:hint="eastAsia" w:ascii="Times New Roman" w:hAnsi="Times New Roman" w:eastAsia="仿宋_GB2312" w:cs="仿宋_GB2312"/>
          <w:color w:val="auto"/>
          <w:sz w:val="32"/>
          <w:szCs w:val="32"/>
          <w:highlight w:val="none"/>
          <w:lang w:val="en-US" w:eastAsia="zh-CN"/>
        </w:rPr>
        <w:t>100</w:t>
      </w:r>
      <w:r>
        <w:rPr>
          <w:rFonts w:hint="eastAsia" w:ascii="Times New Roman" w:hAnsi="Times New Roman" w:eastAsia="仿宋_GB2312" w:cs="仿宋_GB2312"/>
          <w:color w:val="auto"/>
          <w:sz w:val="32"/>
          <w:szCs w:val="32"/>
          <w:highlight w:val="none"/>
        </w:rPr>
        <w:t>%。具体情况如下：</w:t>
      </w:r>
    </w:p>
    <w:p w14:paraId="5669E950">
      <w:pPr>
        <w:pStyle w:val="7"/>
        <w:jc w:val="center"/>
        <w:rPr>
          <w:rFonts w:hint="eastAsia" w:ascii="Times New Roman" w:hAnsi="Times New Roman" w:eastAsia="仿宋_GB2312"/>
          <w:lang w:eastAsia="zh-CN"/>
        </w:rPr>
      </w:pPr>
      <w:r>
        <w:rPr>
          <w:rFonts w:hint="eastAsia" w:ascii="Times New Roman" w:hAnsi="Times New Roman" w:eastAsia="仿宋_GB2312"/>
          <w:lang w:eastAsia="zh-CN"/>
        </w:rPr>
        <w:drawing>
          <wp:inline distT="0" distB="0" distL="114300" distR="114300">
            <wp:extent cx="4413885" cy="2543175"/>
            <wp:effectExtent l="4445" t="4445" r="20320" b="508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DE1C033">
      <w:pPr>
        <w:spacing w:line="600" w:lineRule="exact"/>
        <w:ind w:firstLine="645"/>
        <w:rPr>
          <w:rFonts w:ascii="Times New Roman" w:hAnsi="Times New Roman"/>
        </w:rPr>
      </w:pPr>
      <w:r>
        <w:rPr>
          <w:rFonts w:ascii="Times New Roman" w:hAnsi="Times New Roman" w:eastAsia="仿宋_GB2312"/>
          <w:b/>
          <w:color w:val="auto"/>
          <w:sz w:val="32"/>
          <w:szCs w:val="32"/>
          <w:highlight w:val="none"/>
        </w:rPr>
        <w:t>1.</w:t>
      </w:r>
      <w:r>
        <w:rPr>
          <w:rFonts w:hint="eastAsia" w:ascii="Times New Roman" w:hAnsi="Times New Roman" w:eastAsia="仿宋_GB2312"/>
          <w:b/>
          <w:color w:val="auto"/>
          <w:sz w:val="32"/>
          <w:szCs w:val="32"/>
          <w:highlight w:val="none"/>
        </w:rPr>
        <w:t>因公出国（境）经费支出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Style w:val="17"/>
          <w:rFonts w:hint="eastAsia" w:ascii="Times New Roman" w:hAnsi="Times New Roman" w:eastAsia="仿宋"/>
          <w:b w:val="0"/>
          <w:bCs/>
          <w:color w:val="auto"/>
          <w:sz w:val="32"/>
          <w:szCs w:val="32"/>
          <w:highlight w:val="none"/>
          <w:lang w:val="en-US" w:eastAsia="zh-CN"/>
        </w:rPr>
        <w:t>年初未安排预算</w:t>
      </w:r>
      <w:r>
        <w:rPr>
          <w:rStyle w:val="17"/>
          <w:rFonts w:hint="eastAsia" w:ascii="Times New Roman" w:hAnsi="Times New Roman" w:eastAsia="仿宋"/>
          <w:b w:val="0"/>
          <w:bCs/>
          <w:color w:val="auto"/>
          <w:sz w:val="32"/>
          <w:szCs w:val="32"/>
          <w:highlight w:val="none"/>
        </w:rPr>
        <w:t>。</w:t>
      </w:r>
      <w:r>
        <w:rPr>
          <w:rFonts w:hint="eastAsia" w:ascii="Times New Roman" w:hAnsi="Times New Roman" w:eastAsia="仿宋_GB2312"/>
          <w:color w:val="auto"/>
          <w:sz w:val="32"/>
          <w:szCs w:val="32"/>
          <w:highlight w:val="none"/>
        </w:rPr>
        <w:t>因公出国（境）支出决算比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20</w:t>
      </w:r>
      <w:r>
        <w:rPr>
          <w:rFonts w:hint="eastAsia" w:ascii="Times New Roman" w:hAnsi="Times New Roman" w:eastAsia="仿宋_GB2312"/>
          <w:color w:val="auto"/>
          <w:sz w:val="32"/>
          <w:szCs w:val="32"/>
          <w:highlight w:val="none"/>
        </w:rPr>
        <w:t>年</w:t>
      </w:r>
      <w:r>
        <w:rPr>
          <w:rFonts w:hint="eastAsia" w:ascii="Times New Roman" w:hAnsi="Times New Roman" w:eastAsia="仿宋_GB2312"/>
          <w:color w:val="auto"/>
          <w:sz w:val="32"/>
          <w:szCs w:val="32"/>
          <w:highlight w:val="none"/>
          <w:lang w:val="en-US" w:eastAsia="zh-CN"/>
        </w:rPr>
        <w:t>无变化</w:t>
      </w:r>
      <w:r>
        <w:rPr>
          <w:rFonts w:hint="eastAsia" w:ascii="Times New Roman" w:hAnsi="Times New Roman" w:eastAsia="仿宋_GB2312"/>
          <w:color w:val="auto"/>
          <w:sz w:val="32"/>
          <w:szCs w:val="32"/>
          <w:highlight w:val="none"/>
        </w:rPr>
        <w:t>。</w:t>
      </w:r>
    </w:p>
    <w:p w14:paraId="4FF18A02">
      <w:pPr>
        <w:spacing w:line="600" w:lineRule="exact"/>
        <w:ind w:firstLine="640"/>
        <w:rPr>
          <w:rFonts w:ascii="仿宋_GB2312" w:eastAsia="仿宋_GB2312"/>
          <w:b/>
          <w:color w:val="auto"/>
          <w:sz w:val="32"/>
          <w:szCs w:val="32"/>
          <w:highlight w:val="none"/>
        </w:rPr>
      </w:pPr>
      <w:r>
        <w:rPr>
          <w:rFonts w:ascii="Times New Roman" w:hAnsi="Times New Roman" w:eastAsia="仿宋_GB2312"/>
          <w:b/>
          <w:color w:val="auto"/>
          <w:sz w:val="32"/>
          <w:szCs w:val="32"/>
          <w:highlight w:val="none"/>
        </w:rPr>
        <w:t>2.</w:t>
      </w:r>
      <w:r>
        <w:rPr>
          <w:rFonts w:hint="eastAsia" w:ascii="Times New Roman" w:hAnsi="Times New Roman" w:eastAsia="仿宋_GB2312"/>
          <w:b/>
          <w:color w:val="auto"/>
          <w:sz w:val="32"/>
          <w:szCs w:val="32"/>
          <w:highlight w:val="none"/>
        </w:rPr>
        <w:t>公务用车购置及运行维护费支出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年初未安排预算，公务用车购置及运行维护费支出</w:t>
      </w:r>
      <w:r>
        <w:rPr>
          <w:rFonts w:hint="eastAsia" w:ascii="仿宋_GB2312" w:eastAsia="仿宋_GB2312"/>
          <w:color w:val="auto"/>
          <w:sz w:val="32"/>
          <w:szCs w:val="32"/>
          <w:highlight w:val="none"/>
          <w:lang w:val="en-US" w:eastAsia="zh-CN"/>
        </w:rPr>
        <w:t>决算较2020年无变化</w:t>
      </w:r>
      <w:r>
        <w:rPr>
          <w:rFonts w:hint="eastAsia" w:ascii="仿宋_GB2312" w:eastAsia="仿宋_GB2312"/>
          <w:color w:val="auto"/>
          <w:sz w:val="32"/>
          <w:szCs w:val="32"/>
          <w:highlight w:val="none"/>
        </w:rPr>
        <w:t>。</w:t>
      </w:r>
    </w:p>
    <w:p w14:paraId="28188BC1">
      <w:pPr>
        <w:pageBreakBefore w:val="0"/>
        <w:kinsoku/>
        <w:wordWrap/>
        <w:overflowPunct/>
        <w:topLinePunct w:val="0"/>
        <w:bidi w:val="0"/>
        <w:snapToGrid/>
        <w:spacing w:line="576" w:lineRule="exact"/>
        <w:ind w:firstLine="640" w:firstLineChars="200"/>
        <w:textAlignment w:val="auto"/>
        <w:rPr>
          <w:rFonts w:ascii="Times New Roman" w:hAnsi="Times New Roman" w:eastAsia="仿宋_GB2312"/>
          <w:b/>
          <w:color w:val="auto"/>
          <w:sz w:val="32"/>
          <w:szCs w:val="32"/>
          <w:highlight w:val="none"/>
        </w:rPr>
      </w:pPr>
      <w:r>
        <w:rPr>
          <w:rFonts w:hint="eastAsia" w:ascii="Times New Roman" w:hAnsi="Times New Roman" w:eastAsia="仿宋_GB2312"/>
          <w:color w:val="auto"/>
          <w:sz w:val="32"/>
          <w:szCs w:val="32"/>
          <w:highlight w:val="none"/>
        </w:rPr>
        <w:t>其中：</w:t>
      </w:r>
      <w:r>
        <w:rPr>
          <w:rFonts w:hint="eastAsia" w:ascii="Times New Roman" w:hAnsi="Times New Roman" w:eastAsia="仿宋_GB2312"/>
          <w:b/>
          <w:color w:val="auto"/>
          <w:sz w:val="32"/>
          <w:szCs w:val="32"/>
          <w:highlight w:val="none"/>
        </w:rPr>
        <w:t>公务用车购置支出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万元。全年按规定更新购置公务用车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辆，其中：轿车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万元，越野车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万元，载客汽车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辆、金额</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万元。截至</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Times New Roman" w:hAnsi="Times New Roman" w:eastAsia="仿宋_GB2312"/>
          <w:color w:val="auto"/>
          <w:sz w:val="32"/>
          <w:szCs w:val="32"/>
          <w:highlight w:val="none"/>
        </w:rPr>
        <w:t>年</w:t>
      </w:r>
      <w:r>
        <w:rPr>
          <w:rFonts w:ascii="Times New Roman" w:hAnsi="Times New Roman" w:eastAsia="仿宋_GB2312"/>
          <w:color w:val="auto"/>
          <w:sz w:val="32"/>
          <w:szCs w:val="32"/>
          <w:highlight w:val="none"/>
        </w:rPr>
        <w:t>12</w:t>
      </w:r>
      <w:r>
        <w:rPr>
          <w:rFonts w:hint="eastAsia" w:ascii="Times New Roman" w:hAnsi="Times New Roman" w:eastAsia="仿宋_GB2312"/>
          <w:color w:val="auto"/>
          <w:sz w:val="32"/>
          <w:szCs w:val="32"/>
          <w:highlight w:val="none"/>
        </w:rPr>
        <w:t>月底，单位共有公务用车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辆，其中：轿车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辆、越野车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辆、载客汽车</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辆。</w:t>
      </w:r>
      <w:r>
        <w:rPr>
          <w:rFonts w:hint="eastAsia" w:ascii="Times New Roman" w:hAnsi="Times New Roman" w:eastAsia="仿宋_GB2312"/>
          <w:color w:val="auto"/>
          <w:sz w:val="32"/>
          <w:szCs w:val="32"/>
          <w:highlight w:val="none"/>
          <w:lang w:val="en-US" w:eastAsia="zh-CN"/>
        </w:rPr>
        <w:t>在公务用车制度改革后，不允许单位购买公务用车。因公出差向机关事务局申请公务用车，公务用车有保障。</w:t>
      </w:r>
    </w:p>
    <w:p w14:paraId="56A42CB8">
      <w:pPr>
        <w:spacing w:line="600" w:lineRule="exact"/>
        <w:ind w:firstLine="645"/>
        <w:rPr>
          <w:rFonts w:ascii="Times New Roman" w:hAnsi="Times New Roman"/>
        </w:rPr>
      </w:pPr>
      <w:r>
        <w:rPr>
          <w:rFonts w:hint="eastAsia" w:ascii="Times New Roman" w:hAnsi="Times New Roman" w:eastAsia="仿宋_GB2312"/>
          <w:b/>
          <w:color w:val="auto"/>
          <w:sz w:val="32"/>
          <w:szCs w:val="32"/>
          <w:highlight w:val="none"/>
        </w:rPr>
        <w:t>公务用车运行维护费支出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p>
    <w:p w14:paraId="6331C102">
      <w:pPr>
        <w:spacing w:line="600" w:lineRule="exact"/>
        <w:ind w:firstLine="640"/>
        <w:rPr>
          <w:rFonts w:ascii="Times New Roman" w:hAnsi="Times New Roman" w:eastAsia="仿宋_GB2312"/>
          <w:color w:val="auto"/>
          <w:sz w:val="32"/>
          <w:szCs w:val="32"/>
          <w:highlight w:val="none"/>
        </w:rPr>
      </w:pPr>
      <w:r>
        <w:rPr>
          <w:rFonts w:ascii="Times New Roman" w:hAnsi="Times New Roman" w:eastAsia="仿宋_GB2312"/>
          <w:b/>
          <w:color w:val="auto"/>
          <w:sz w:val="32"/>
          <w:szCs w:val="32"/>
          <w:highlight w:val="none"/>
        </w:rPr>
        <w:t>3.</w:t>
      </w:r>
      <w:r>
        <w:rPr>
          <w:rFonts w:hint="eastAsia" w:ascii="Times New Roman" w:hAnsi="Times New Roman" w:eastAsia="仿宋_GB2312"/>
          <w:b/>
          <w:color w:val="auto"/>
          <w:sz w:val="32"/>
          <w:szCs w:val="32"/>
          <w:highlight w:val="none"/>
        </w:rPr>
        <w:t>公务接待费支出</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万元，</w:t>
      </w:r>
      <w:r>
        <w:rPr>
          <w:rStyle w:val="17"/>
          <w:rFonts w:hint="eastAsia" w:ascii="Times New Roman" w:hAnsi="Times New Roman" w:eastAsia="仿宋"/>
          <w:b w:val="0"/>
          <w:bCs/>
          <w:color w:val="auto"/>
          <w:sz w:val="32"/>
          <w:szCs w:val="32"/>
          <w:highlight w:val="none"/>
        </w:rPr>
        <w:t>完成预算</w:t>
      </w:r>
      <w:r>
        <w:rPr>
          <w:rStyle w:val="17"/>
          <w:rFonts w:hint="eastAsia" w:ascii="Times New Roman" w:hAnsi="Times New Roman" w:eastAsia="仿宋"/>
          <w:b w:val="0"/>
          <w:bCs/>
          <w:color w:val="auto"/>
          <w:sz w:val="32"/>
          <w:szCs w:val="32"/>
          <w:highlight w:val="none"/>
          <w:lang w:val="en-US" w:eastAsia="zh-CN"/>
        </w:rPr>
        <w:t>100</w:t>
      </w:r>
      <w:r>
        <w:rPr>
          <w:rStyle w:val="17"/>
          <w:rFonts w:ascii="Times New Roman" w:hAnsi="Times New Roman" w:eastAsia="仿宋"/>
          <w:b w:val="0"/>
          <w:bCs/>
          <w:color w:val="auto"/>
          <w:sz w:val="32"/>
          <w:szCs w:val="32"/>
          <w:highlight w:val="none"/>
        </w:rPr>
        <w:t>%</w:t>
      </w:r>
      <w:r>
        <w:rPr>
          <w:rStyle w:val="17"/>
          <w:rFonts w:hint="eastAsia" w:ascii="Times New Roman" w:hAnsi="Times New Roman" w:eastAsia="仿宋"/>
          <w:b w:val="0"/>
          <w:bCs/>
          <w:color w:val="auto"/>
          <w:sz w:val="32"/>
          <w:szCs w:val="32"/>
          <w:highlight w:val="none"/>
        </w:rPr>
        <w:t>。</w:t>
      </w:r>
      <w:r>
        <w:rPr>
          <w:rFonts w:hint="eastAsia" w:ascii="Times New Roman" w:hAnsi="Times New Roman" w:eastAsia="仿宋_GB2312"/>
          <w:color w:val="auto"/>
          <w:sz w:val="32"/>
          <w:szCs w:val="32"/>
          <w:highlight w:val="none"/>
        </w:rPr>
        <w:t>公务接待费支出决算比</w:t>
      </w: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20</w:t>
      </w:r>
      <w:r>
        <w:rPr>
          <w:rFonts w:hint="eastAsia" w:ascii="Times New Roman" w:hAnsi="Times New Roman" w:eastAsia="仿宋_GB2312"/>
          <w:color w:val="auto"/>
          <w:sz w:val="32"/>
          <w:szCs w:val="32"/>
          <w:highlight w:val="none"/>
        </w:rPr>
        <w:t>年减少</w:t>
      </w:r>
      <w:r>
        <w:rPr>
          <w:rFonts w:hint="eastAsia" w:ascii="Times New Roman" w:hAnsi="Times New Roman" w:eastAsia="仿宋_GB2312"/>
          <w:color w:val="auto"/>
          <w:sz w:val="32"/>
          <w:szCs w:val="32"/>
          <w:highlight w:val="none"/>
          <w:lang w:val="en-US" w:eastAsia="zh-CN"/>
        </w:rPr>
        <w:t>0.1</w:t>
      </w:r>
      <w:r>
        <w:rPr>
          <w:rFonts w:hint="eastAsia" w:ascii="Times New Roman" w:hAnsi="Times New Roman" w:eastAsia="仿宋_GB2312"/>
          <w:color w:val="auto"/>
          <w:sz w:val="32"/>
          <w:szCs w:val="32"/>
          <w:highlight w:val="none"/>
        </w:rPr>
        <w:t>万元，下降</w:t>
      </w:r>
      <w:r>
        <w:rPr>
          <w:rFonts w:hint="eastAsia" w:ascii="Times New Roman" w:hAnsi="Times New Roman" w:eastAsia="仿宋_GB2312"/>
          <w:color w:val="auto"/>
          <w:sz w:val="32"/>
          <w:szCs w:val="32"/>
          <w:highlight w:val="none"/>
          <w:lang w:val="en-US" w:eastAsia="zh-CN"/>
        </w:rPr>
        <w:t>9</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。主要原因是</w:t>
      </w:r>
      <w:r>
        <w:rPr>
          <w:rFonts w:hint="eastAsia" w:ascii="Times New Roman" w:hAnsi="Times New Roman" w:eastAsia="仿宋_GB2312"/>
          <w:color w:val="auto"/>
          <w:sz w:val="32"/>
          <w:szCs w:val="32"/>
          <w:highlight w:val="none"/>
          <w:lang w:eastAsia="zh-CN"/>
        </w:rPr>
        <w:t>厉行节俭、节约开支</w:t>
      </w:r>
      <w:r>
        <w:rPr>
          <w:rFonts w:hint="eastAsia" w:ascii="Times New Roman" w:hAnsi="Times New Roman" w:eastAsia="仿宋_GB2312"/>
          <w:color w:val="auto"/>
          <w:sz w:val="32"/>
          <w:szCs w:val="32"/>
          <w:highlight w:val="none"/>
        </w:rPr>
        <w:t>。其中：</w:t>
      </w:r>
    </w:p>
    <w:p w14:paraId="53ABADD1">
      <w:pPr>
        <w:spacing w:line="600" w:lineRule="exact"/>
        <w:ind w:firstLine="640"/>
        <w:rPr>
          <w:rFonts w:ascii="Times New Roman" w:hAnsi="Times New Roman" w:eastAsia="仿宋_GB2312"/>
          <w:color w:val="auto"/>
          <w:sz w:val="32"/>
          <w:szCs w:val="32"/>
          <w:highlight w:val="yellow"/>
        </w:rPr>
      </w:pPr>
      <w:r>
        <w:rPr>
          <w:rFonts w:hint="eastAsia" w:ascii="Times New Roman" w:hAnsi="Times New Roman" w:eastAsia="仿宋_GB2312"/>
          <w:b/>
          <w:bCs/>
          <w:color w:val="000000"/>
          <w:sz w:val="32"/>
          <w:szCs w:val="32"/>
          <w:highlight w:val="none"/>
        </w:rPr>
        <w:t>国内公务接待支出</w:t>
      </w:r>
      <w:r>
        <w:rPr>
          <w:rFonts w:hint="eastAsia" w:ascii="Times New Roman" w:hAnsi="Times New Roman" w:eastAsia="仿宋_GB2312"/>
          <w:color w:val="000000"/>
          <w:sz w:val="32"/>
          <w:szCs w:val="32"/>
          <w:highlight w:val="none"/>
          <w:lang w:val="en-US" w:eastAsia="zh-CN"/>
        </w:rPr>
        <w:t>1</w:t>
      </w:r>
      <w:r>
        <w:rPr>
          <w:rFonts w:hint="eastAsia" w:ascii="Times New Roman" w:hAnsi="Times New Roman" w:eastAsia="仿宋_GB2312"/>
          <w:color w:val="000000"/>
          <w:sz w:val="32"/>
          <w:szCs w:val="32"/>
          <w:highlight w:val="none"/>
        </w:rPr>
        <w:t>万元，主要用于执行公务、开展业务活动开支的交通费、住宿费、用餐费等。</w:t>
      </w:r>
      <w:r>
        <w:rPr>
          <w:rFonts w:hint="eastAsia" w:ascii="Times New Roman" w:hAnsi="Times New Roman" w:eastAsia="仿宋_GB2312"/>
          <w:color w:val="000000"/>
          <w:sz w:val="32"/>
          <w:szCs w:val="32"/>
        </w:rPr>
        <w:t>国内公务接待</w:t>
      </w:r>
      <w:r>
        <w:rPr>
          <w:rFonts w:hint="eastAsia" w:ascii="Times New Roman" w:hAnsi="Times New Roman" w:eastAsia="仿宋_GB2312"/>
          <w:color w:val="000000"/>
          <w:sz w:val="32"/>
          <w:szCs w:val="32"/>
          <w:lang w:val="en-US" w:eastAsia="zh-CN"/>
        </w:rPr>
        <w:t>30</w:t>
      </w:r>
      <w:r>
        <w:rPr>
          <w:rFonts w:hint="eastAsia" w:ascii="Times New Roman" w:hAnsi="Times New Roman" w:eastAsia="仿宋_GB2312"/>
          <w:color w:val="000000"/>
          <w:sz w:val="32"/>
          <w:szCs w:val="32"/>
        </w:rPr>
        <w:t>批次，</w:t>
      </w:r>
      <w:r>
        <w:rPr>
          <w:rFonts w:hint="eastAsia" w:ascii="Times New Roman" w:hAnsi="Times New Roman" w:eastAsia="仿宋_GB2312"/>
          <w:color w:val="000000"/>
          <w:sz w:val="32"/>
          <w:szCs w:val="32"/>
          <w:lang w:val="en-US" w:eastAsia="zh-CN"/>
        </w:rPr>
        <w:t>200余</w:t>
      </w:r>
      <w:r>
        <w:rPr>
          <w:rFonts w:hint="eastAsia" w:ascii="Times New Roman" w:hAnsi="Times New Roman" w:eastAsia="仿宋_GB2312"/>
          <w:color w:val="000000"/>
          <w:sz w:val="32"/>
          <w:szCs w:val="32"/>
        </w:rPr>
        <w:t>人次（不包</w:t>
      </w:r>
      <w:r>
        <w:rPr>
          <w:rFonts w:hint="eastAsia" w:ascii="Times New Roman" w:hAnsi="Times New Roman" w:eastAsia="仿宋_GB2312"/>
          <w:color w:val="000000"/>
          <w:sz w:val="32"/>
          <w:szCs w:val="32"/>
          <w:highlight w:val="none"/>
        </w:rPr>
        <w:t>括陪同人员）</w:t>
      </w:r>
      <w:r>
        <w:rPr>
          <w:rFonts w:hint="eastAsia" w:ascii="Times New Roman" w:hAnsi="Times New Roman" w:eastAsia="仿宋_GB2312"/>
          <w:color w:val="auto"/>
          <w:sz w:val="32"/>
          <w:szCs w:val="32"/>
          <w:highlight w:val="none"/>
        </w:rPr>
        <w:t>。</w:t>
      </w:r>
    </w:p>
    <w:p w14:paraId="1246AB63">
      <w:pPr>
        <w:spacing w:line="600" w:lineRule="exact"/>
        <w:ind w:firstLine="645"/>
        <w:rPr>
          <w:rFonts w:ascii="Times New Roman" w:hAnsi="Times New Roman" w:eastAsia="黑体"/>
          <w:color w:val="auto"/>
          <w:sz w:val="32"/>
          <w:szCs w:val="32"/>
          <w:highlight w:val="none"/>
        </w:rPr>
      </w:pPr>
      <w:r>
        <w:rPr>
          <w:rFonts w:hint="eastAsia" w:ascii="Times New Roman" w:hAnsi="Times New Roman" w:eastAsia="仿宋"/>
          <w:b/>
          <w:color w:val="auto"/>
          <w:sz w:val="32"/>
          <w:szCs w:val="32"/>
          <w:highlight w:val="none"/>
        </w:rPr>
        <w:t>外事接待支出</w:t>
      </w:r>
      <w:r>
        <w:rPr>
          <w:rFonts w:hint="eastAsia" w:ascii="Times New Roman" w:hAnsi="Times New Roman" w:eastAsia="仿宋"/>
          <w:color w:val="auto"/>
          <w:sz w:val="32"/>
          <w:szCs w:val="32"/>
          <w:highlight w:val="none"/>
          <w:lang w:val="en-US" w:eastAsia="zh-CN"/>
        </w:rPr>
        <w:t>0</w:t>
      </w:r>
      <w:r>
        <w:rPr>
          <w:rFonts w:hint="eastAsia" w:ascii="Times New Roman" w:hAnsi="Times New Roman" w:eastAsia="仿宋_GB2312"/>
          <w:color w:val="auto"/>
          <w:sz w:val="32"/>
          <w:szCs w:val="32"/>
          <w:highlight w:val="none"/>
        </w:rPr>
        <w:t>万元，外事接待</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批次，</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人，共计支出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olor w:val="auto"/>
          <w:sz w:val="32"/>
          <w:szCs w:val="32"/>
          <w:highlight w:val="none"/>
          <w:lang w:eastAsia="zh-CN"/>
        </w:rPr>
        <w:t>。</w:t>
      </w:r>
      <w:bookmarkStart w:id="55" w:name="_Toc15377218"/>
      <w:bookmarkStart w:id="56" w:name="_Toc15396610"/>
    </w:p>
    <w:p w14:paraId="33DED4D6">
      <w:pPr>
        <w:spacing w:line="600" w:lineRule="exact"/>
        <w:ind w:firstLine="640"/>
        <w:outlineLvl w:val="1"/>
        <w:rPr>
          <w:rStyle w:val="28"/>
          <w:rFonts w:ascii="Times New Roman" w:hAnsi="Times New Roman" w:eastAsia="黑体"/>
          <w:color w:val="auto"/>
          <w:highlight w:val="none"/>
        </w:rPr>
      </w:pPr>
      <w:bookmarkStart w:id="57" w:name="_Toc14393"/>
      <w:r>
        <w:rPr>
          <w:rFonts w:hint="eastAsia" w:ascii="Times New Roman" w:hAnsi="Times New Roman" w:eastAsia="黑体"/>
          <w:color w:val="auto"/>
          <w:sz w:val="32"/>
          <w:szCs w:val="32"/>
          <w:highlight w:val="none"/>
        </w:rPr>
        <w:t>八、</w:t>
      </w:r>
      <w:r>
        <w:rPr>
          <w:rStyle w:val="28"/>
          <w:rFonts w:hint="eastAsia" w:ascii="Times New Roman" w:hAnsi="Times New Roman" w:eastAsia="黑体"/>
          <w:b w:val="0"/>
          <w:color w:val="auto"/>
          <w:highlight w:val="none"/>
        </w:rPr>
        <w:t>政府性基金预算支出决算情况说明</w:t>
      </w:r>
      <w:bookmarkEnd w:id="55"/>
      <w:bookmarkEnd w:id="56"/>
      <w:bookmarkEnd w:id="57"/>
    </w:p>
    <w:p w14:paraId="1EB30695">
      <w:pPr>
        <w:spacing w:line="600" w:lineRule="exact"/>
        <w:ind w:firstLine="64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Times New Roman" w:hAnsi="Times New Roman" w:eastAsia="仿宋_GB2312"/>
          <w:color w:val="auto"/>
          <w:sz w:val="32"/>
          <w:szCs w:val="32"/>
          <w:highlight w:val="none"/>
        </w:rPr>
        <w:t>年政府性基金预算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r>
        <w:rPr>
          <w:rFonts w:hint="eastAsia" w:ascii="Times New Roman" w:hAnsi="Times New Roman" w:eastAsia="仿宋_GB2312" w:cs="Times New Roman"/>
          <w:color w:val="000000"/>
          <w:sz w:val="32"/>
          <w:szCs w:val="32"/>
          <w:lang w:val="en-US" w:eastAsia="zh-CN"/>
        </w:rPr>
        <w:t>2021年本单位未在政府性基金预算拨款安排</w:t>
      </w:r>
      <w:r>
        <w:rPr>
          <w:rFonts w:hint="eastAsia" w:eastAsia="仿宋_GB2312" w:cs="Times New Roman"/>
          <w:color w:val="000000"/>
          <w:sz w:val="32"/>
          <w:szCs w:val="32"/>
          <w:lang w:val="en-US" w:eastAsia="zh-CN"/>
        </w:rPr>
        <w:t>“三公”经费</w:t>
      </w:r>
      <w:r>
        <w:rPr>
          <w:rFonts w:hint="eastAsia" w:ascii="Times New Roman" w:hAnsi="Times New Roman" w:eastAsia="仿宋_GB2312" w:cs="Times New Roman"/>
          <w:color w:val="000000"/>
          <w:sz w:val="32"/>
          <w:szCs w:val="32"/>
          <w:lang w:val="en-US" w:eastAsia="zh-CN"/>
        </w:rPr>
        <w:t>支出。</w:t>
      </w:r>
    </w:p>
    <w:p w14:paraId="005E526E">
      <w:pPr>
        <w:numPr>
          <w:ilvl w:val="0"/>
          <w:numId w:val="2"/>
        </w:numPr>
        <w:spacing w:line="600" w:lineRule="exact"/>
        <w:ind w:firstLine="640"/>
        <w:outlineLvl w:val="1"/>
        <w:rPr>
          <w:rStyle w:val="28"/>
          <w:rFonts w:ascii="Times New Roman" w:hAnsi="Times New Roman" w:eastAsia="黑体"/>
          <w:b w:val="0"/>
          <w:color w:val="auto"/>
          <w:highlight w:val="none"/>
        </w:rPr>
      </w:pPr>
      <w:bookmarkStart w:id="58" w:name="_Toc28267"/>
      <w:bookmarkStart w:id="59" w:name="_Toc15396611"/>
      <w:bookmarkStart w:id="60" w:name="_Toc15377219"/>
      <w:r>
        <w:rPr>
          <w:rStyle w:val="28"/>
          <w:rFonts w:hint="eastAsia" w:ascii="Times New Roman" w:hAnsi="Times New Roman" w:eastAsia="黑体"/>
          <w:b w:val="0"/>
          <w:color w:val="auto"/>
          <w:highlight w:val="none"/>
        </w:rPr>
        <w:t>国有资本经营预算支出决算情况说明</w:t>
      </w:r>
      <w:bookmarkEnd w:id="58"/>
      <w:bookmarkEnd w:id="59"/>
      <w:bookmarkEnd w:id="60"/>
    </w:p>
    <w:p w14:paraId="58A32F33">
      <w:pPr>
        <w:spacing w:line="600" w:lineRule="exact"/>
        <w:ind w:firstLine="640"/>
        <w:rPr>
          <w:rFonts w:ascii="Times New Roman" w:hAnsi="Times New Roman" w:eastAsia="方正小标宋简体" w:cs="方正小标宋简体"/>
          <w:color w:val="auto"/>
          <w:sz w:val="44"/>
          <w:szCs w:val="44"/>
          <w:highlight w:val="none"/>
        </w:rPr>
      </w:pPr>
      <w:r>
        <w:rPr>
          <w:rFonts w:ascii="Times New Roman" w:hAnsi="Times New Roman" w:eastAsia="仿宋_GB2312"/>
          <w:color w:val="auto"/>
          <w:sz w:val="32"/>
          <w:szCs w:val="32"/>
          <w:highlight w:val="none"/>
        </w:rPr>
        <w:t>20</w:t>
      </w:r>
      <w:r>
        <w:rPr>
          <w:rFonts w:hint="eastAsia" w:ascii="Times New Roman" w:hAnsi="Times New Roman" w:eastAsia="仿宋_GB2312"/>
          <w:color w:val="auto"/>
          <w:sz w:val="32"/>
          <w:szCs w:val="32"/>
          <w:highlight w:val="none"/>
          <w:lang w:val="en-US" w:eastAsia="zh-CN"/>
        </w:rPr>
        <w:t>21</w:t>
      </w:r>
      <w:r>
        <w:rPr>
          <w:rFonts w:hint="eastAsia" w:ascii="Times New Roman" w:hAnsi="Times New Roman" w:eastAsia="仿宋_GB2312"/>
          <w:color w:val="auto"/>
          <w:sz w:val="32"/>
          <w:szCs w:val="32"/>
          <w:highlight w:val="none"/>
        </w:rPr>
        <w:t>年国有资本经营预算</w:t>
      </w:r>
      <w:r>
        <w:rPr>
          <w:rFonts w:hint="eastAsia" w:ascii="Times New Roman" w:hAnsi="Times New Roman" w:eastAsia="仿宋_GB2312"/>
          <w:color w:val="auto"/>
          <w:sz w:val="32"/>
          <w:szCs w:val="32"/>
          <w:highlight w:val="none"/>
          <w:lang w:eastAsia="zh-CN"/>
        </w:rPr>
        <w:t>财政</w:t>
      </w:r>
      <w:r>
        <w:rPr>
          <w:rFonts w:hint="eastAsia" w:ascii="Times New Roman" w:hAnsi="Times New Roman" w:eastAsia="仿宋_GB2312"/>
          <w:color w:val="auto"/>
          <w:sz w:val="32"/>
          <w:szCs w:val="32"/>
          <w:highlight w:val="none"/>
        </w:rPr>
        <w:t>拨款支出</w:t>
      </w:r>
      <w:r>
        <w:rPr>
          <w:rFonts w:hint="eastAsia" w:ascii="Times New Roman" w:hAnsi="Times New Roman" w:eastAsia="仿宋_GB2312"/>
          <w:color w:val="auto"/>
          <w:sz w:val="32"/>
          <w:szCs w:val="32"/>
          <w:highlight w:val="none"/>
          <w:lang w:val="en-US" w:eastAsia="zh-CN"/>
        </w:rPr>
        <w:t>0</w:t>
      </w:r>
      <w:r>
        <w:rPr>
          <w:rFonts w:hint="eastAsia" w:ascii="Times New Roman" w:hAnsi="Times New Roman" w:eastAsia="仿宋_GB2312"/>
          <w:color w:val="auto"/>
          <w:sz w:val="32"/>
          <w:szCs w:val="32"/>
          <w:highlight w:val="none"/>
        </w:rPr>
        <w:t>万元。</w:t>
      </w:r>
    </w:p>
    <w:p w14:paraId="7E504EF9">
      <w:pPr>
        <w:numPr>
          <w:ilvl w:val="0"/>
          <w:numId w:val="2"/>
        </w:numPr>
        <w:spacing w:line="600" w:lineRule="exact"/>
        <w:ind w:firstLine="640"/>
        <w:outlineLvl w:val="1"/>
        <w:rPr>
          <w:rStyle w:val="28"/>
          <w:rFonts w:hint="eastAsia" w:ascii="Times New Roman" w:hAnsi="Times New Roman" w:eastAsia="黑体"/>
          <w:b w:val="0"/>
          <w:color w:val="auto"/>
          <w:highlight w:val="none"/>
        </w:rPr>
      </w:pPr>
      <w:bookmarkStart w:id="61" w:name="_Toc3427"/>
      <w:bookmarkStart w:id="62" w:name="_Toc15377221"/>
      <w:bookmarkStart w:id="63" w:name="_Toc15396612"/>
      <w:r>
        <w:rPr>
          <w:rStyle w:val="28"/>
          <w:rFonts w:hint="eastAsia" w:ascii="Times New Roman" w:hAnsi="Times New Roman" w:eastAsia="黑体"/>
          <w:b w:val="0"/>
          <w:color w:val="auto"/>
          <w:highlight w:val="none"/>
          <w:lang w:val="en-US" w:eastAsia="zh-CN"/>
        </w:rPr>
        <w:t>预算绩效管理情况</w:t>
      </w:r>
      <w:bookmarkEnd w:id="61"/>
    </w:p>
    <w:p w14:paraId="5A2BE1BB">
      <w:pPr>
        <w:spacing w:line="580" w:lineRule="exact"/>
        <w:ind w:firstLine="640" w:firstLineChars="200"/>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根据预算绩效管理要求，本单位在</w:t>
      </w:r>
      <w:r>
        <w:rPr>
          <w:rFonts w:hint="eastAsia" w:ascii="Times New Roman" w:hAnsi="Times New Roman" w:eastAsia="仿宋_GB2312" w:cs="仿宋_GB2312"/>
          <w:color w:val="auto"/>
          <w:sz w:val="32"/>
          <w:szCs w:val="32"/>
          <w:highlight w:val="none"/>
          <w:lang w:val="en-US" w:eastAsia="zh-CN"/>
        </w:rPr>
        <w:t>2021年度</w:t>
      </w:r>
      <w:r>
        <w:rPr>
          <w:rFonts w:hint="eastAsia" w:ascii="Times New Roman" w:hAnsi="Times New Roman" w:eastAsia="仿宋_GB2312" w:cs="仿宋_GB2312"/>
          <w:color w:val="auto"/>
          <w:sz w:val="32"/>
          <w:szCs w:val="32"/>
          <w:highlight w:val="none"/>
        </w:rPr>
        <w:t>预算编制阶段，组织对</w:t>
      </w:r>
      <w:r>
        <w:rPr>
          <w:rFonts w:hint="eastAsia" w:ascii="Times New Roman" w:hAnsi="Times New Roman" w:eastAsia="仿宋_GB2312" w:cs="仿宋_GB2312"/>
          <w:color w:val="auto"/>
          <w:sz w:val="32"/>
          <w:szCs w:val="32"/>
          <w:highlight w:val="none"/>
          <w:lang w:eastAsia="zh-CN"/>
        </w:rPr>
        <w:t>“拱墅·昭化”东西部协作电商物流园提升改造子</w:t>
      </w:r>
      <w:r>
        <w:rPr>
          <w:rFonts w:hint="eastAsia" w:ascii="Times New Roman" w:hAnsi="Times New Roman" w:eastAsia="仿宋_GB2312" w:cs="仿宋_GB2312"/>
          <w:color w:val="auto"/>
          <w:sz w:val="32"/>
          <w:szCs w:val="32"/>
          <w:highlight w:val="none"/>
          <w:lang w:val="en-US" w:eastAsia="zh-CN"/>
        </w:rPr>
        <w:t>1个项目</w:t>
      </w:r>
      <w:r>
        <w:rPr>
          <w:rFonts w:hint="eastAsia" w:ascii="Times New Roman" w:hAnsi="Times New Roman" w:eastAsia="仿宋_GB2312" w:cs="仿宋_GB2312"/>
          <w:color w:val="auto"/>
          <w:sz w:val="32"/>
          <w:szCs w:val="32"/>
          <w:highlight w:val="none"/>
        </w:rPr>
        <w:t>开展了预算事前绩效评估，对</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个项目编制了绩效目标，预算执行过程中，选取</w:t>
      </w:r>
      <w:r>
        <w:rPr>
          <w:rFonts w:hint="eastAsia" w:ascii="Times New Roman" w:hAnsi="Times New Roman"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个项目开展绩效监控，年终执行完毕后，对个项目开展了绩效自评</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lang w:val="en-US" w:eastAsia="zh-CN"/>
        </w:rPr>
        <w:t>2021年部门预算项目绩效目标自评表见附件（第四部分）</w:t>
      </w:r>
      <w:r>
        <w:rPr>
          <w:rFonts w:hint="eastAsia" w:ascii="Times New Roman" w:hAnsi="Times New Roman" w:eastAsia="仿宋_GB2312" w:cs="仿宋_GB2312"/>
          <w:color w:val="auto"/>
          <w:sz w:val="32"/>
          <w:szCs w:val="32"/>
          <w:highlight w:val="none"/>
        </w:rPr>
        <w:t>。</w:t>
      </w:r>
    </w:p>
    <w:p w14:paraId="1B64759A">
      <w:pPr>
        <w:numPr>
          <w:ilvl w:val="0"/>
          <w:numId w:val="2"/>
        </w:numPr>
        <w:spacing w:line="600" w:lineRule="exact"/>
        <w:ind w:firstLine="640"/>
        <w:outlineLvl w:val="1"/>
        <w:rPr>
          <w:rStyle w:val="28"/>
          <w:rFonts w:hint="eastAsia" w:ascii="Times New Roman" w:hAnsi="Times New Roman" w:eastAsia="黑体"/>
          <w:b w:val="0"/>
          <w:color w:val="auto"/>
          <w:highlight w:val="none"/>
        </w:rPr>
      </w:pPr>
      <w:bookmarkStart w:id="64" w:name="_Toc23174"/>
      <w:r>
        <w:rPr>
          <w:rStyle w:val="28"/>
          <w:rFonts w:hint="eastAsia" w:ascii="Times New Roman" w:hAnsi="Times New Roman" w:eastAsia="黑体"/>
          <w:b w:val="0"/>
          <w:color w:val="auto"/>
          <w:highlight w:val="none"/>
        </w:rPr>
        <w:t>其他重要事项的情况说明</w:t>
      </w:r>
      <w:bookmarkEnd w:id="62"/>
      <w:bookmarkEnd w:id="63"/>
      <w:bookmarkEnd w:id="64"/>
    </w:p>
    <w:p w14:paraId="0E4D5F29">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5" w:name="_Toc15377222"/>
      <w:r>
        <w:rPr>
          <w:rFonts w:hint="eastAsia" w:ascii="Times New Roman" w:hAnsi="Times New Roman" w:eastAsia="楷体_GB2312" w:cs="楷体_GB2312"/>
          <w:b w:val="0"/>
          <w:color w:val="000000"/>
          <w:sz w:val="32"/>
          <w:szCs w:val="32"/>
          <w:lang w:val="en-US" w:eastAsia="zh-CN"/>
        </w:rPr>
        <w:t>（一）机关运行经费支出情况</w:t>
      </w:r>
      <w:bookmarkEnd w:id="65"/>
    </w:p>
    <w:p w14:paraId="486771F3">
      <w:pPr>
        <w:spacing w:line="600" w:lineRule="exact"/>
        <w:ind w:firstLine="640" w:firstLineChars="200"/>
        <w:jc w:val="both"/>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机关运行经费支出</w:t>
      </w:r>
      <w:r>
        <w:rPr>
          <w:rFonts w:hint="eastAsia" w:ascii="Times New Roman" w:hAnsi="Times New Roman" w:eastAsia="仿宋_GB2312" w:cs="仿宋_GB2312"/>
          <w:color w:val="auto"/>
          <w:sz w:val="32"/>
          <w:szCs w:val="32"/>
          <w:highlight w:val="none"/>
          <w:lang w:val="en-US" w:eastAsia="zh-CN"/>
        </w:rPr>
        <w:t>42.58</w:t>
      </w:r>
      <w:r>
        <w:rPr>
          <w:rFonts w:hint="eastAsia" w:ascii="Times New Roman" w:hAnsi="Times New Roman" w:eastAsia="仿宋_GB2312" w:cs="仿宋_GB2312"/>
          <w:color w:val="auto"/>
          <w:sz w:val="32"/>
          <w:szCs w:val="32"/>
          <w:highlight w:val="none"/>
        </w:rPr>
        <w:t>万元，比20</w:t>
      </w:r>
      <w:r>
        <w:rPr>
          <w:rFonts w:hint="eastAsia" w:ascii="Times New Roman" w:hAnsi="Times New Roman" w:eastAsia="仿宋_GB2312" w:cs="仿宋_GB2312"/>
          <w:color w:val="auto"/>
          <w:sz w:val="32"/>
          <w:szCs w:val="32"/>
          <w:highlight w:val="none"/>
          <w:lang w:val="en-US" w:eastAsia="zh-CN"/>
        </w:rPr>
        <w:t>20</w:t>
      </w:r>
      <w:r>
        <w:rPr>
          <w:rFonts w:hint="eastAsia" w:ascii="Times New Roman" w:hAnsi="Times New Roman" w:eastAsia="仿宋_GB2312" w:cs="仿宋_GB2312"/>
          <w:color w:val="auto"/>
          <w:sz w:val="32"/>
          <w:szCs w:val="32"/>
          <w:highlight w:val="none"/>
        </w:rPr>
        <w:t>年减少</w:t>
      </w:r>
      <w:r>
        <w:rPr>
          <w:rFonts w:hint="eastAsia" w:ascii="Times New Roman" w:hAnsi="Times New Roman" w:eastAsia="仿宋_GB2312" w:cs="仿宋_GB2312"/>
          <w:color w:val="auto"/>
          <w:sz w:val="32"/>
          <w:szCs w:val="32"/>
          <w:highlight w:val="none"/>
          <w:lang w:val="en-US" w:eastAsia="zh-CN"/>
        </w:rPr>
        <w:t>245.1</w:t>
      </w:r>
      <w:r>
        <w:rPr>
          <w:rFonts w:hint="eastAsia" w:ascii="Times New Roman" w:hAnsi="Times New Roman" w:eastAsia="仿宋_GB2312" w:cs="仿宋_GB2312"/>
          <w:color w:val="auto"/>
          <w:sz w:val="32"/>
          <w:szCs w:val="32"/>
          <w:highlight w:val="none"/>
        </w:rPr>
        <w:t>万元，下降</w:t>
      </w:r>
      <w:r>
        <w:rPr>
          <w:rFonts w:hint="eastAsia" w:ascii="Times New Roman" w:hAnsi="Times New Roman" w:eastAsia="仿宋_GB2312" w:cs="仿宋_GB2312"/>
          <w:color w:val="auto"/>
          <w:sz w:val="32"/>
          <w:szCs w:val="32"/>
          <w:highlight w:val="none"/>
          <w:lang w:val="en-US" w:eastAsia="zh-CN"/>
        </w:rPr>
        <w:t>85.20</w:t>
      </w:r>
      <w:r>
        <w:rPr>
          <w:rFonts w:hint="eastAsia" w:ascii="Times New Roman" w:hAnsi="Times New Roman" w:eastAsia="仿宋_GB2312" w:cs="仿宋_GB2312"/>
          <w:color w:val="auto"/>
          <w:sz w:val="32"/>
          <w:szCs w:val="32"/>
          <w:highlight w:val="none"/>
        </w:rPr>
        <w:t>%。主要原因是</w:t>
      </w:r>
      <w:r>
        <w:rPr>
          <w:rFonts w:hint="eastAsia" w:ascii="Times New Roman" w:hAnsi="Times New Roman" w:eastAsia="仿宋_GB2312" w:cs="仿宋_GB2312"/>
          <w:color w:val="auto"/>
          <w:sz w:val="32"/>
          <w:szCs w:val="32"/>
          <w:highlight w:val="none"/>
          <w:lang w:eastAsia="zh-CN"/>
        </w:rPr>
        <w:t>项目支出减少，且项目支出归到</w:t>
      </w:r>
      <w:r>
        <w:rPr>
          <w:rFonts w:hint="eastAsia" w:ascii="Times New Roman" w:hAnsi="Times New Roman" w:eastAsia="仿宋_GB2312" w:cs="仿宋_GB2312"/>
          <w:color w:val="auto"/>
          <w:sz w:val="32"/>
          <w:szCs w:val="32"/>
          <w:highlight w:val="none"/>
          <w:lang w:val="en-US" w:eastAsia="zh-CN"/>
        </w:rPr>
        <w:t>农林水（类）</w:t>
      </w:r>
      <w:r>
        <w:rPr>
          <w:rFonts w:hint="eastAsia" w:ascii="Times New Roman" w:hAnsi="Times New Roman" w:eastAsia="仿宋_GB2312" w:cs="仿宋_GB2312"/>
          <w:color w:val="auto"/>
          <w:sz w:val="32"/>
          <w:szCs w:val="32"/>
          <w:highlight w:val="none"/>
          <w:lang w:eastAsia="zh-CN"/>
        </w:rPr>
        <w:t>。</w:t>
      </w:r>
    </w:p>
    <w:p w14:paraId="3D30BC26">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6" w:name="_Toc15377223"/>
      <w:r>
        <w:rPr>
          <w:rFonts w:hint="eastAsia" w:ascii="Times New Roman" w:hAnsi="Times New Roman" w:eastAsia="楷体_GB2312" w:cs="楷体_GB2312"/>
          <w:b w:val="0"/>
          <w:color w:val="000000"/>
          <w:sz w:val="32"/>
          <w:szCs w:val="32"/>
          <w:lang w:val="en-US" w:eastAsia="zh-CN"/>
        </w:rPr>
        <w:t>（二）政府采购支出情况</w:t>
      </w:r>
      <w:bookmarkEnd w:id="66"/>
    </w:p>
    <w:p w14:paraId="055E19BB">
      <w:pPr>
        <w:spacing w:line="60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政府采购支出总额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万元，其中：政府采购货物支出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万元、政府采购工程支出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万元、政府采购服务支出</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万元。授予中小企业合同金额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万元，占政府采购支出总额的</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%，其中：授予小微企业合同金额</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万元，占政府采购支出总额的</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w:t>
      </w:r>
    </w:p>
    <w:p w14:paraId="1429A314">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楷体_GB2312" w:cs="楷体_GB2312"/>
          <w:b w:val="0"/>
          <w:color w:val="000000"/>
          <w:sz w:val="32"/>
          <w:szCs w:val="32"/>
          <w:lang w:val="en-US" w:eastAsia="zh-CN"/>
        </w:rPr>
      </w:pPr>
      <w:bookmarkStart w:id="67" w:name="_Toc15377224"/>
      <w:r>
        <w:rPr>
          <w:rFonts w:hint="eastAsia" w:ascii="Times New Roman" w:hAnsi="Times New Roman" w:eastAsia="楷体_GB2312" w:cs="楷体_GB2312"/>
          <w:b w:val="0"/>
          <w:color w:val="000000"/>
          <w:sz w:val="32"/>
          <w:szCs w:val="32"/>
          <w:lang w:val="en-US" w:eastAsia="zh-CN"/>
        </w:rPr>
        <w:t>（三）国有资产占有使用情况</w:t>
      </w:r>
      <w:bookmarkEnd w:id="67"/>
    </w:p>
    <w:p w14:paraId="7E5C8238">
      <w:pPr>
        <w:autoSpaceDE w:val="0"/>
        <w:autoSpaceDN w:val="0"/>
        <w:adjustRightInd w:val="0"/>
        <w:spacing w:line="600" w:lineRule="exact"/>
        <w:ind w:firstLine="640" w:firstLineChars="200"/>
        <w:jc w:val="both"/>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截至20</w:t>
      </w:r>
      <w:r>
        <w:rPr>
          <w:rFonts w:hint="eastAsia" w:ascii="Times New Roman" w:hAnsi="Times New Roman" w:eastAsia="仿宋_GB2312" w:cs="仿宋_GB2312"/>
          <w:color w:val="auto"/>
          <w:sz w:val="32"/>
          <w:szCs w:val="32"/>
          <w:highlight w:val="none"/>
          <w:lang w:val="en-US" w:eastAsia="zh-CN"/>
        </w:rPr>
        <w:t>21</w:t>
      </w:r>
      <w:r>
        <w:rPr>
          <w:rFonts w:hint="eastAsia" w:ascii="Times New Roman" w:hAnsi="Times New Roman" w:eastAsia="仿宋_GB2312" w:cs="仿宋_GB2312"/>
          <w:color w:val="auto"/>
          <w:sz w:val="32"/>
          <w:szCs w:val="32"/>
          <w:highlight w:val="none"/>
        </w:rPr>
        <w:t>年12月31日，</w:t>
      </w:r>
      <w:r>
        <w:rPr>
          <w:rFonts w:hint="eastAsia" w:ascii="Times New Roman" w:hAnsi="Times New Roman" w:eastAsia="仿宋_GB2312" w:cs="仿宋_GB2312"/>
          <w:color w:val="auto"/>
          <w:sz w:val="32"/>
          <w:szCs w:val="32"/>
          <w:highlight w:val="none"/>
          <w:lang w:eastAsia="zh-CN"/>
        </w:rPr>
        <w:t>团区委</w:t>
      </w:r>
      <w:r>
        <w:rPr>
          <w:rFonts w:hint="eastAsia" w:ascii="Times New Roman" w:hAnsi="Times New Roman" w:eastAsia="仿宋_GB2312" w:cs="仿宋_GB2312"/>
          <w:color w:val="auto"/>
          <w:sz w:val="32"/>
          <w:szCs w:val="32"/>
          <w:highlight w:val="none"/>
        </w:rPr>
        <w:t>共有车辆</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辆，其中：主要领导干部用车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辆、机要通信用车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辆、应急保障用车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辆、其他用车</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辆</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单价50万元以上通用设备</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台（套），单价100万元以上专用设备</w:t>
      </w:r>
      <w:r>
        <w:rPr>
          <w:rFonts w:hint="eastAsia" w:ascii="Times New Roman" w:hAnsi="Times New Roman"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台（套）。</w:t>
      </w:r>
    </w:p>
    <w:p w14:paraId="6E2E537B">
      <w:pPr>
        <w:widowControl/>
        <w:jc w:val="lef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br w:type="page"/>
      </w:r>
    </w:p>
    <w:p w14:paraId="6B8AB850">
      <w:pPr>
        <w:numPr>
          <w:ilvl w:val="0"/>
          <w:numId w:val="3"/>
        </w:numPr>
        <w:spacing w:line="600" w:lineRule="exact"/>
        <w:ind w:firstLine="660" w:firstLineChars="150"/>
        <w:jc w:val="center"/>
        <w:outlineLvl w:val="0"/>
        <w:rPr>
          <w:rStyle w:val="27"/>
          <w:rFonts w:ascii="Times New Roman" w:hAnsi="Times New Roman" w:eastAsia="黑体"/>
          <w:b w:val="0"/>
          <w:color w:val="auto"/>
          <w:highlight w:val="none"/>
        </w:rPr>
      </w:pPr>
      <w:bookmarkStart w:id="68" w:name="_Toc15396613"/>
      <w:bookmarkStart w:id="69" w:name="_Toc26855"/>
      <w:bookmarkStart w:id="70" w:name="_Toc15377225"/>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w:t>
      </w:r>
      <w:r>
        <w:rPr>
          <w:rStyle w:val="27"/>
          <w:rFonts w:hint="eastAsia" w:ascii="Times New Roman" w:hAnsi="Times New Roman" w:eastAsia="黑体"/>
          <w:b w:val="0"/>
          <w:color w:val="auto"/>
          <w:highlight w:val="none"/>
        </w:rPr>
        <w:t>词解释</w:t>
      </w:r>
      <w:bookmarkEnd w:id="68"/>
      <w:bookmarkEnd w:id="69"/>
      <w:bookmarkEnd w:id="70"/>
    </w:p>
    <w:p w14:paraId="57162D02">
      <w:pPr>
        <w:spacing w:line="600" w:lineRule="exact"/>
        <w:jc w:val="left"/>
        <w:rPr>
          <w:rFonts w:ascii="Times New Roman" w:hAnsi="Times New Roman"/>
          <w:b/>
          <w:color w:val="auto"/>
          <w:sz w:val="44"/>
          <w:szCs w:val="44"/>
          <w:highlight w:val="none"/>
        </w:rPr>
      </w:pPr>
    </w:p>
    <w:p w14:paraId="4AB71FC3">
      <w:pPr>
        <w:pStyle w:val="25"/>
        <w:spacing w:line="560" w:lineRule="exact"/>
        <w:ind w:firstLine="640" w:firstLineChars="200"/>
        <w:rPr>
          <w:rFonts w:ascii="Times New Roman" w:hAnsi="Times New Roman" w:eastAsia="仿宋_GB2312"/>
          <w:color w:val="auto"/>
          <w:sz w:val="32"/>
          <w:szCs w:val="32"/>
          <w:highlight w:val="none"/>
        </w:rPr>
      </w:pPr>
      <w:r>
        <w:rPr>
          <w:rFonts w:ascii="Times New Roman" w:hAnsi="Times New Roman" w:eastAsia="仿宋_GB2312"/>
          <w:color w:val="auto"/>
          <w:sz w:val="32"/>
          <w:szCs w:val="32"/>
          <w:highlight w:val="none"/>
        </w:rPr>
        <w:t>1.</w:t>
      </w:r>
      <w:r>
        <w:rPr>
          <w:rFonts w:hint="eastAsia" w:ascii="Times New Roman" w:hAnsi="Times New Roman" w:eastAsia="仿宋_GB2312"/>
          <w:color w:val="auto"/>
          <w:sz w:val="32"/>
          <w:szCs w:val="32"/>
          <w:highlight w:val="none"/>
        </w:rPr>
        <w:t>财政拨款收入：指单位从同级财政部门取得的财政预算资金。</w:t>
      </w:r>
    </w:p>
    <w:p w14:paraId="41C75F34">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2</w:t>
      </w:r>
      <w:r>
        <w:rPr>
          <w:rFonts w:hint="eastAsia" w:ascii="Times New Roman" w:hAnsi="Times New Roman" w:eastAsia="仿宋_GB2312" w:cs="仿宋"/>
          <w:color w:val="auto"/>
          <w:kern w:val="0"/>
          <w:sz w:val="32"/>
          <w:szCs w:val="32"/>
          <w:highlight w:val="none"/>
          <w:lang w:val="en-US" w:eastAsia="zh-CN" w:bidi="ar-SA"/>
        </w:rPr>
        <w:t>.一般公共服务（类）群众团体事务（款）行政运行（项）：指行政单位的基本支出。</w:t>
      </w:r>
    </w:p>
    <w:p w14:paraId="24F017AF">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3</w:t>
      </w:r>
      <w:r>
        <w:rPr>
          <w:rFonts w:hint="eastAsia" w:ascii="Times New Roman" w:hAnsi="Times New Roman" w:eastAsia="仿宋_GB2312" w:cs="仿宋"/>
          <w:color w:val="auto"/>
          <w:kern w:val="0"/>
          <w:sz w:val="32"/>
          <w:szCs w:val="32"/>
          <w:highlight w:val="none"/>
          <w:lang w:val="en-US" w:eastAsia="zh-CN" w:bidi="ar-SA"/>
        </w:rPr>
        <w:t>.一般公共服务（类）群众团体事务（款）事业运行（项）: 指事业单位的基本支出，不包括行政单位（包括实行公务员管理的事业单位）后勤服务中心、医务室等附属事业单位。</w:t>
      </w:r>
    </w:p>
    <w:p w14:paraId="2B75586C">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4</w:t>
      </w:r>
      <w:r>
        <w:rPr>
          <w:rFonts w:hint="eastAsia" w:ascii="Times New Roman" w:hAnsi="Times New Roman" w:eastAsia="仿宋_GB2312" w:cs="仿宋"/>
          <w:color w:val="auto"/>
          <w:kern w:val="0"/>
          <w:sz w:val="32"/>
          <w:szCs w:val="32"/>
          <w:highlight w:val="none"/>
          <w:lang w:val="en-US" w:eastAsia="zh-CN" w:bidi="ar-SA"/>
        </w:rPr>
        <w:t>.社会保障和就业（类）行政事业单位养老支出（款）机关事业单位基本养老保险缴费支出（项）:指机关事业单位实施养老保险制度由单位缴纳的基本养老保险费支出。</w:t>
      </w:r>
    </w:p>
    <w:p w14:paraId="5AD98598">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5</w:t>
      </w:r>
      <w:r>
        <w:rPr>
          <w:rFonts w:hint="eastAsia" w:ascii="Times New Roman" w:hAnsi="Times New Roman" w:eastAsia="仿宋_GB2312" w:cs="仿宋"/>
          <w:color w:val="auto"/>
          <w:kern w:val="0"/>
          <w:sz w:val="32"/>
          <w:szCs w:val="32"/>
          <w:highlight w:val="none"/>
          <w:lang w:val="en-US" w:eastAsia="zh-CN" w:bidi="ar-SA"/>
        </w:rPr>
        <w:t>.社会保障和就业（类）其他社会保障和就业支出（款）其他社会保障和就业支出（项）:指除上述项目意外其他用于社会保障和就业方面的支出。</w:t>
      </w:r>
    </w:p>
    <w:p w14:paraId="37637DF8">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6</w:t>
      </w:r>
      <w:r>
        <w:rPr>
          <w:rFonts w:hint="eastAsia" w:ascii="Times New Roman" w:hAnsi="Times New Roman" w:eastAsia="仿宋_GB2312" w:cs="仿宋"/>
          <w:color w:val="auto"/>
          <w:kern w:val="0"/>
          <w:sz w:val="32"/>
          <w:szCs w:val="32"/>
          <w:highlight w:val="none"/>
          <w:lang w:val="en-US" w:eastAsia="zh-CN" w:bidi="ar-SA"/>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093723F2">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7</w:t>
      </w:r>
      <w:r>
        <w:rPr>
          <w:rFonts w:hint="eastAsia" w:ascii="Times New Roman" w:hAnsi="Times New Roman" w:eastAsia="仿宋_GB2312" w:cs="仿宋"/>
          <w:color w:val="auto"/>
          <w:kern w:val="0"/>
          <w:sz w:val="32"/>
          <w:szCs w:val="32"/>
          <w:highlight w:val="none"/>
          <w:lang w:val="en-US" w:eastAsia="zh-CN" w:bidi="ar-SA"/>
        </w:rPr>
        <w:t>.卫生健康（类）行政事业单位医疗（款）事业单位医疗（项）:指财政部门安排的事业单位基本医疗保险缴费经费，未参加医疗保险的事业单位的公费医疗经费，按国家规定享受离休人员待遇的医疗经费。</w:t>
      </w:r>
    </w:p>
    <w:p w14:paraId="7CC38ED5">
      <w:pPr>
        <w:ind w:firstLine="640" w:firstLineChars="200"/>
        <w:rPr>
          <w:rFonts w:hint="eastAsia" w:ascii="Times New Roman" w:hAnsi="Times New Roman" w:eastAsia="仿宋_GB2312" w:cs="仿宋"/>
          <w:color w:val="auto"/>
          <w:kern w:val="0"/>
          <w:sz w:val="32"/>
          <w:szCs w:val="32"/>
          <w:highlight w:val="none"/>
          <w:lang w:val="en-US" w:eastAsia="zh-CN" w:bidi="ar-SA"/>
        </w:rPr>
      </w:pPr>
      <w:r>
        <w:rPr>
          <w:rFonts w:hint="eastAsia" w:eastAsia="仿宋_GB2312" w:cs="仿宋"/>
          <w:color w:val="auto"/>
          <w:kern w:val="0"/>
          <w:sz w:val="32"/>
          <w:szCs w:val="32"/>
          <w:highlight w:val="none"/>
          <w:lang w:val="en-US" w:eastAsia="zh-CN" w:bidi="ar-SA"/>
        </w:rPr>
        <w:t>8</w:t>
      </w:r>
      <w:r>
        <w:rPr>
          <w:rFonts w:hint="eastAsia" w:ascii="Times New Roman" w:hAnsi="Times New Roman" w:eastAsia="仿宋_GB2312" w:cs="仿宋"/>
          <w:color w:val="auto"/>
          <w:kern w:val="0"/>
          <w:sz w:val="32"/>
          <w:szCs w:val="32"/>
          <w:highlight w:val="none"/>
          <w:lang w:val="en-US" w:eastAsia="zh-CN" w:bidi="ar-SA"/>
        </w:rPr>
        <w:t>.农林水（类）扶贫（款）其他扶贫支出（项）：指除化解债务支出以外其他用于农林水方面的支出。</w:t>
      </w:r>
    </w:p>
    <w:p w14:paraId="03D7926C">
      <w:pPr>
        <w:ind w:firstLine="640" w:firstLineChars="200"/>
        <w:rPr>
          <w:rFonts w:hint="eastAsia" w:ascii="Times New Roman" w:hAnsi="Times New Roman" w:eastAsia="仿宋_GB2312"/>
          <w:color w:val="auto"/>
          <w:sz w:val="32"/>
          <w:szCs w:val="32"/>
          <w:highlight w:val="none"/>
        </w:rPr>
      </w:pPr>
      <w:r>
        <w:rPr>
          <w:rFonts w:hint="eastAsia" w:eastAsia="仿宋_GB2312" w:cs="仿宋"/>
          <w:color w:val="auto"/>
          <w:kern w:val="0"/>
          <w:sz w:val="32"/>
          <w:szCs w:val="32"/>
          <w:highlight w:val="none"/>
          <w:lang w:val="en-US" w:eastAsia="zh-CN" w:bidi="ar-SA"/>
        </w:rPr>
        <w:t>9</w:t>
      </w:r>
      <w:r>
        <w:rPr>
          <w:rFonts w:hint="eastAsia" w:ascii="Times New Roman" w:hAnsi="Times New Roman" w:eastAsia="仿宋_GB2312" w:cs="仿宋"/>
          <w:color w:val="auto"/>
          <w:kern w:val="0"/>
          <w:sz w:val="32"/>
          <w:szCs w:val="32"/>
          <w:highlight w:val="none"/>
          <w:lang w:val="en-US" w:eastAsia="zh-CN" w:bidi="ar-SA"/>
        </w:rPr>
        <w:t>.住房保障（类）住房改革（款）住房公积金（项）：</w:t>
      </w:r>
      <w:r>
        <w:rPr>
          <w:rFonts w:hint="eastAsia" w:ascii="Times New Roman" w:hAnsi="Times New Roman" w:eastAsia="仿宋_GB2312"/>
          <w:color w:val="auto"/>
          <w:sz w:val="32"/>
          <w:szCs w:val="32"/>
          <w:highlight w:val="none"/>
          <w:lang w:val="en-US" w:eastAsia="zh-CN"/>
        </w:rPr>
        <w:t>指行政事业单位按人力资源和社会保障部、财政部规定的基本工资和津贴补贴以及规定比例为职工缴纳的住房公积金。</w:t>
      </w:r>
    </w:p>
    <w:p w14:paraId="6D78AF7E">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0</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基本支出：指为保障机构正常运转、完成日常工作任务而发生的人员支出和公用支出。</w:t>
      </w:r>
    </w:p>
    <w:p w14:paraId="6440499F">
      <w:pPr>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w:t>
      </w:r>
      <w:r>
        <w:rPr>
          <w:rFonts w:hint="eastAsia" w:eastAsia="仿宋_GB2312"/>
          <w:color w:val="auto"/>
          <w:sz w:val="32"/>
          <w:szCs w:val="32"/>
          <w:highlight w:val="none"/>
          <w:lang w:val="en-US" w:eastAsia="zh-CN"/>
        </w:rPr>
        <w:t>1</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项目支出：指在基本支出之外为完成特定行政任务和事业发展目标所发生的支出。</w:t>
      </w:r>
      <w:r>
        <w:rPr>
          <w:rFonts w:ascii="Times New Roman" w:hAnsi="Times New Roman" w:eastAsia="仿宋_GB2312"/>
          <w:color w:val="auto"/>
          <w:sz w:val="32"/>
          <w:szCs w:val="32"/>
          <w:highlight w:val="none"/>
        </w:rPr>
        <w:t xml:space="preserve"> </w:t>
      </w:r>
    </w:p>
    <w:p w14:paraId="28EB36AC">
      <w:pPr>
        <w:pStyle w:val="25"/>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12</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“三公”经费：指</w:t>
      </w:r>
      <w:r>
        <w:rPr>
          <w:rFonts w:hint="eastAsia" w:ascii="Times New Roman" w:hAnsi="Times New Roman" w:eastAsia="仿宋_GB2312"/>
          <w:color w:val="auto"/>
          <w:sz w:val="32"/>
          <w:szCs w:val="32"/>
          <w:highlight w:val="none"/>
          <w:lang w:eastAsia="zh-CN"/>
        </w:rPr>
        <w:t>单位</w:t>
      </w:r>
      <w:r>
        <w:rPr>
          <w:rFonts w:hint="eastAsia" w:ascii="Times New Roman" w:hAnsi="Times New Roman"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7019E0B">
      <w:pPr>
        <w:pStyle w:val="25"/>
        <w:spacing w:line="56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lang w:val="en-US" w:eastAsia="zh-CN"/>
        </w:rPr>
        <w:t>13</w:t>
      </w:r>
      <w:r>
        <w:rPr>
          <w:rFonts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ED316A">
      <w:pPr>
        <w:spacing w:line="600" w:lineRule="exact"/>
        <w:jc w:val="center"/>
        <w:outlineLvl w:val="0"/>
        <w:rPr>
          <w:rStyle w:val="27"/>
          <w:rFonts w:hint="eastAsia" w:ascii="Times New Roman" w:hAnsi="Times New Roman" w:eastAsia="黑体"/>
          <w:b w:val="0"/>
          <w:color w:val="auto"/>
          <w:highlight w:val="none"/>
        </w:rPr>
      </w:pPr>
      <w:bookmarkStart w:id="71" w:name="_Toc15377226"/>
      <w:r>
        <w:rPr>
          <w:rFonts w:ascii="Times New Roman" w:hAnsi="Times New Roman"/>
          <w:b/>
          <w:color w:val="auto"/>
          <w:sz w:val="44"/>
          <w:szCs w:val="44"/>
          <w:highlight w:val="none"/>
        </w:rPr>
        <w:br w:type="page"/>
      </w:r>
      <w:bookmarkStart w:id="72" w:name="_Toc15396614"/>
      <w:bookmarkStart w:id="73" w:name="_Toc16531"/>
      <w:r>
        <w:rPr>
          <w:rFonts w:hint="eastAsia" w:ascii="Times New Roman" w:hAnsi="Times New Roman" w:eastAsia="黑体"/>
          <w:color w:val="auto"/>
          <w:sz w:val="44"/>
          <w:szCs w:val="44"/>
          <w:highlight w:val="none"/>
        </w:rPr>
        <w:t>第</w:t>
      </w:r>
      <w:r>
        <w:rPr>
          <w:rStyle w:val="27"/>
          <w:rFonts w:hint="eastAsia" w:ascii="Times New Roman" w:hAnsi="Times New Roman" w:eastAsia="黑体"/>
          <w:b w:val="0"/>
          <w:color w:val="auto"/>
          <w:highlight w:val="none"/>
        </w:rPr>
        <w:t>四部分</w:t>
      </w:r>
      <w:r>
        <w:rPr>
          <w:rStyle w:val="27"/>
          <w:rFonts w:hint="eastAsia" w:ascii="Times New Roman" w:hAnsi="Times New Roman" w:eastAsia="黑体"/>
          <w:b w:val="0"/>
          <w:color w:val="auto"/>
          <w:highlight w:val="none"/>
          <w:lang w:val="en-US" w:eastAsia="zh-CN"/>
        </w:rPr>
        <w:t xml:space="preserve"> </w:t>
      </w:r>
      <w:r>
        <w:rPr>
          <w:rStyle w:val="27"/>
          <w:rFonts w:hint="eastAsia" w:ascii="Times New Roman" w:hAnsi="Times New Roman" w:eastAsia="黑体"/>
          <w:b w:val="0"/>
          <w:color w:val="auto"/>
          <w:highlight w:val="none"/>
        </w:rPr>
        <w:t xml:space="preserve"> 附</w:t>
      </w:r>
      <w:r>
        <w:rPr>
          <w:rStyle w:val="27"/>
          <w:rFonts w:hint="eastAsia" w:ascii="Times New Roman" w:hAnsi="Times New Roman" w:eastAsia="黑体"/>
          <w:b w:val="0"/>
          <w:color w:val="auto"/>
          <w:highlight w:val="none"/>
          <w:lang w:val="en-US" w:eastAsia="zh-CN"/>
        </w:rPr>
        <w:t xml:space="preserve">  </w:t>
      </w:r>
      <w:r>
        <w:rPr>
          <w:rStyle w:val="27"/>
          <w:rFonts w:hint="eastAsia" w:ascii="Times New Roman" w:hAnsi="Times New Roman" w:eastAsia="黑体"/>
          <w:b w:val="0"/>
          <w:color w:val="auto"/>
          <w:highlight w:val="none"/>
        </w:rPr>
        <w:t>件</w:t>
      </w:r>
      <w:bookmarkEnd w:id="72"/>
      <w:bookmarkEnd w:id="73"/>
    </w:p>
    <w:p w14:paraId="5E69DCC9">
      <w:pPr>
        <w:pStyle w:val="7"/>
        <w:ind w:left="0" w:leftChars="0" w:right="0" w:rightChars="0" w:firstLine="0" w:firstLineChars="0"/>
        <w:jc w:val="center"/>
        <w:rPr>
          <w:rFonts w:hint="eastAsia" w:ascii="Times New Roman" w:hAnsi="Times New Roman"/>
          <w:sz w:val="30"/>
          <w:szCs w:val="30"/>
          <w:lang w:eastAsia="zh-CN"/>
        </w:rPr>
      </w:pPr>
      <w:r>
        <w:rPr>
          <w:rFonts w:hint="eastAsia" w:ascii="Times New Roman" w:hAnsi="Times New Roman" w:eastAsia="宋体" w:cs="宋体"/>
          <w:b/>
          <w:i w:val="0"/>
          <w:color w:val="auto"/>
          <w:sz w:val="30"/>
          <w:szCs w:val="30"/>
          <w:highlight w:val="none"/>
          <w:u w:val="none"/>
          <w:lang w:val="en-US" w:eastAsia="zh-CN"/>
        </w:rPr>
        <w:t>2021年部门预算项目绩效目标自评</w:t>
      </w:r>
    </w:p>
    <w:tbl>
      <w:tblPr>
        <w:tblStyle w:val="15"/>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820"/>
        <w:gridCol w:w="100"/>
        <w:gridCol w:w="1300"/>
        <w:gridCol w:w="1740"/>
        <w:gridCol w:w="502"/>
        <w:gridCol w:w="558"/>
        <w:gridCol w:w="580"/>
        <w:gridCol w:w="620"/>
        <w:gridCol w:w="1380"/>
      </w:tblGrid>
      <w:tr w14:paraId="6A47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1B3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bookmarkStart w:id="74" w:name="_Toc15396618"/>
            <w:r>
              <w:rPr>
                <w:rFonts w:hint="eastAsia" w:ascii="Times New Roman" w:hAnsi="Times New Roman" w:eastAsia="仿宋_GB2312" w:cs="仿宋_GB2312"/>
                <w:i w:val="0"/>
                <w:color w:val="auto"/>
                <w:kern w:val="0"/>
                <w:sz w:val="24"/>
                <w:szCs w:val="24"/>
                <w:u w:val="none"/>
                <w:lang w:val="en-US" w:eastAsia="zh-CN" w:bidi="ar"/>
              </w:rPr>
              <w:t>主管部门及代码</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515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昭化区乡村振兴局</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0DC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实施单位</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4F3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共青团广元市昭化区委员会</w:t>
            </w:r>
          </w:p>
        </w:tc>
      </w:tr>
      <w:tr w14:paraId="1E8E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47E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项目预算</w:t>
            </w:r>
          </w:p>
          <w:p w14:paraId="618DC8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执行情况</w:t>
            </w:r>
          </w:p>
          <w:p w14:paraId="62F816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（万元）</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399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 xml:space="preserve"> 预算数：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C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r>
              <w:rPr>
                <w:rFonts w:hint="eastAsia" w:ascii="Times New Roman" w:hAnsi="Times New Roman" w:eastAsia="仿宋_GB2312" w:cs="仿宋_GB2312"/>
                <w:i w:val="0"/>
                <w:color w:val="auto"/>
                <w:sz w:val="24"/>
                <w:szCs w:val="24"/>
                <w:u w:val="none"/>
                <w:lang w:val="en-US" w:eastAsia="zh-CN"/>
              </w:rPr>
              <w:t>110</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4B65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 xml:space="preserve"> 执行数：</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80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r>
              <w:rPr>
                <w:rFonts w:hint="eastAsia" w:ascii="Times New Roman" w:hAnsi="Times New Roman" w:eastAsia="仿宋_GB2312" w:cs="仿宋_GB2312"/>
                <w:i w:val="0"/>
                <w:color w:val="auto"/>
                <w:sz w:val="24"/>
                <w:szCs w:val="24"/>
                <w:u w:val="none"/>
                <w:lang w:val="en-US" w:eastAsia="zh-CN"/>
              </w:rPr>
              <w:t>105</w:t>
            </w:r>
          </w:p>
        </w:tc>
      </w:tr>
      <w:tr w14:paraId="653D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4FA90">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DF7A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其中：</w:t>
            </w:r>
          </w:p>
          <w:p w14:paraId="23DE7E1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财政拨款</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6B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C099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其中：</w:t>
            </w:r>
          </w:p>
          <w:p w14:paraId="2390801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财政拨款</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C7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p>
        </w:tc>
      </w:tr>
      <w:tr w14:paraId="17D00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ED17A">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B61F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其他资金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A1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r>
              <w:rPr>
                <w:rFonts w:hint="eastAsia" w:ascii="Times New Roman" w:hAnsi="Times New Roman" w:eastAsia="仿宋_GB2312" w:cs="仿宋_GB2312"/>
                <w:i w:val="0"/>
                <w:color w:val="auto"/>
                <w:sz w:val="24"/>
                <w:szCs w:val="24"/>
                <w:u w:val="none"/>
                <w:lang w:val="en-US" w:eastAsia="zh-CN"/>
              </w:rPr>
              <w:t>105</w:t>
            </w:r>
          </w:p>
        </w:tc>
        <w:tc>
          <w:tcPr>
            <w:tcW w:w="1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EEF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其他资金</w:t>
            </w:r>
          </w:p>
        </w:tc>
        <w:tc>
          <w:tcPr>
            <w:tcW w:w="2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C65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r>
              <w:rPr>
                <w:rFonts w:hint="eastAsia" w:ascii="Times New Roman" w:hAnsi="Times New Roman" w:eastAsia="仿宋_GB2312" w:cs="仿宋_GB2312"/>
                <w:i w:val="0"/>
                <w:color w:val="auto"/>
                <w:sz w:val="24"/>
                <w:szCs w:val="24"/>
                <w:u w:val="none"/>
                <w:lang w:val="en-US" w:eastAsia="zh-CN"/>
              </w:rPr>
              <w:t>105</w:t>
            </w:r>
          </w:p>
        </w:tc>
      </w:tr>
      <w:tr w14:paraId="3252A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7CD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年度总体目标完成情况</w:t>
            </w:r>
          </w:p>
        </w:tc>
        <w:tc>
          <w:tcPr>
            <w:tcW w:w="5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94E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预期目标</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FB7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目标实际完成情况</w:t>
            </w:r>
          </w:p>
        </w:tc>
      </w:tr>
      <w:tr w14:paraId="36D49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5A652">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502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415658C">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昭化严选”平台提升改造及运营，平台销售额不低于50万元；2.昭化农产品推介及销售，线上对接渠道销售不低于50万元、线下摆展不少于10次，销售不低于50万元；3.孵化中心打造运营，打造户外直播间，举办电商创业培训不少于10次，每次不少于20人。</w:t>
            </w:r>
          </w:p>
        </w:tc>
        <w:tc>
          <w:tcPr>
            <w:tcW w:w="25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F28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全面完成</w:t>
            </w:r>
          </w:p>
        </w:tc>
      </w:tr>
      <w:tr w14:paraId="358F9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1299" w:type="dxa"/>
            <w:vMerge w:val="restart"/>
            <w:tcBorders>
              <w:top w:val="single" w:color="000000" w:sz="4" w:space="0"/>
              <w:left w:val="single" w:color="000000" w:sz="4" w:space="0"/>
              <w:right w:val="single" w:color="000000" w:sz="4" w:space="0"/>
            </w:tcBorders>
            <w:shd w:val="clear" w:color="auto" w:fill="auto"/>
            <w:vAlign w:val="center"/>
          </w:tcPr>
          <w:p w14:paraId="1DCBC98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年度绩效指标完成情况</w:t>
            </w:r>
          </w:p>
        </w:tc>
        <w:tc>
          <w:tcPr>
            <w:tcW w:w="920" w:type="dxa"/>
            <w:gridSpan w:val="2"/>
            <w:tcBorders>
              <w:top w:val="single" w:color="000000" w:sz="4" w:space="0"/>
              <w:left w:val="nil"/>
              <w:bottom w:val="single" w:color="000000" w:sz="4" w:space="0"/>
              <w:right w:val="single" w:color="000000" w:sz="4" w:space="0"/>
            </w:tcBorders>
            <w:shd w:val="clear" w:color="auto" w:fill="auto"/>
            <w:vAlign w:val="center"/>
          </w:tcPr>
          <w:p w14:paraId="51ABE0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一级</w:t>
            </w:r>
          </w:p>
          <w:p w14:paraId="555A6C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rPr>
            </w:pPr>
            <w:r>
              <w:rPr>
                <w:rFonts w:hint="eastAsia" w:ascii="Times New Roman" w:hAnsi="Times New Roman" w:eastAsia="仿宋_GB2312" w:cs="仿宋_GB2312"/>
                <w:i w:val="0"/>
                <w:color w:val="auto"/>
                <w:kern w:val="0"/>
                <w:sz w:val="24"/>
                <w:szCs w:val="24"/>
                <w:u w:val="none"/>
                <w:lang w:val="en-US" w:eastAsia="zh-CN" w:bidi="ar"/>
              </w:rPr>
              <w:t>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95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二级</w:t>
            </w:r>
          </w:p>
          <w:p w14:paraId="1C004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41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三级</w:t>
            </w:r>
          </w:p>
          <w:p w14:paraId="35F31F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指标</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0A8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预期指标值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3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实际完成指标值</w:t>
            </w:r>
          </w:p>
        </w:tc>
      </w:tr>
      <w:tr w14:paraId="2959D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3C7FD2D8">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715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完成</w:t>
            </w:r>
          </w:p>
          <w:p w14:paraId="57E4A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sz w:val="24"/>
                <w:szCs w:val="24"/>
                <w:u w:val="none"/>
                <w:lang w:val="en-US" w:eastAsia="zh-CN"/>
              </w:rPr>
            </w:pPr>
            <w:r>
              <w:rPr>
                <w:rFonts w:hint="eastAsia" w:ascii="Times New Roman" w:hAnsi="Times New Roman" w:eastAsia="仿宋_GB2312" w:cs="仿宋_GB2312"/>
                <w:i w:val="0"/>
                <w:color w:val="auto"/>
                <w:kern w:val="0"/>
                <w:sz w:val="24"/>
                <w:szCs w:val="24"/>
                <w:u w:val="none"/>
                <w:lang w:val="en-US" w:eastAsia="zh-CN" w:bidi="ar"/>
              </w:rPr>
              <w:t>指标</w:t>
            </w:r>
          </w:p>
        </w:tc>
        <w:tc>
          <w:tcPr>
            <w:tcW w:w="1300" w:type="dxa"/>
            <w:vMerge w:val="restart"/>
            <w:tcBorders>
              <w:top w:val="single" w:color="000000" w:sz="4" w:space="0"/>
              <w:left w:val="single" w:color="000000" w:sz="4" w:space="0"/>
              <w:right w:val="single" w:color="000000" w:sz="4" w:space="0"/>
            </w:tcBorders>
            <w:shd w:val="clear" w:color="auto" w:fill="auto"/>
            <w:vAlign w:val="center"/>
          </w:tcPr>
          <w:p w14:paraId="10CA4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数量指标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BCF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项目内容</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2C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3项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E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3项</w:t>
            </w:r>
          </w:p>
        </w:tc>
      </w:tr>
      <w:tr w14:paraId="069BC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5420779B">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left w:val="single" w:color="000000" w:sz="4" w:space="0"/>
              <w:right w:val="single" w:color="000000" w:sz="4" w:space="0"/>
            </w:tcBorders>
            <w:shd w:val="clear" w:color="auto" w:fill="auto"/>
            <w:vAlign w:val="center"/>
          </w:tcPr>
          <w:p w14:paraId="58A170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vMerge w:val="continue"/>
            <w:tcBorders>
              <w:left w:val="single" w:color="000000" w:sz="4" w:space="0"/>
              <w:right w:val="single" w:color="000000" w:sz="4" w:space="0"/>
            </w:tcBorders>
            <w:shd w:val="clear" w:color="auto" w:fill="auto"/>
            <w:vAlign w:val="bottom"/>
          </w:tcPr>
          <w:p w14:paraId="4F836E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481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线下农特产品摆展宣传</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DC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≥10次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E69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10次</w:t>
            </w:r>
          </w:p>
        </w:tc>
      </w:tr>
      <w:tr w14:paraId="0F23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0E420DB5">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left w:val="single" w:color="000000" w:sz="4" w:space="0"/>
              <w:right w:val="single" w:color="000000" w:sz="4" w:space="0"/>
            </w:tcBorders>
            <w:shd w:val="clear" w:color="auto" w:fill="auto"/>
            <w:vAlign w:val="center"/>
          </w:tcPr>
          <w:p w14:paraId="4744B5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vMerge w:val="continue"/>
            <w:tcBorders>
              <w:left w:val="single" w:color="000000" w:sz="4" w:space="0"/>
              <w:bottom w:val="single" w:color="000000" w:sz="4" w:space="0"/>
              <w:right w:val="single" w:color="000000" w:sz="4" w:space="0"/>
            </w:tcBorders>
            <w:shd w:val="clear" w:color="auto" w:fill="auto"/>
            <w:vAlign w:val="bottom"/>
          </w:tcPr>
          <w:p w14:paraId="39E02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E5C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举办电商培训次数</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43B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≥10次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71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12次</w:t>
            </w:r>
          </w:p>
        </w:tc>
      </w:tr>
      <w:tr w14:paraId="63CE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504C0C1D">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6A9E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vMerge w:val="restart"/>
            <w:tcBorders>
              <w:top w:val="single" w:color="000000" w:sz="4" w:space="0"/>
              <w:left w:val="single" w:color="000000" w:sz="4" w:space="0"/>
              <w:right w:val="single" w:color="000000" w:sz="4" w:space="0"/>
            </w:tcBorders>
            <w:shd w:val="clear" w:color="auto" w:fill="auto"/>
            <w:vAlign w:val="center"/>
          </w:tcPr>
          <w:p w14:paraId="72452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质量指标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A67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“昭化严选”平台</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7F4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新增设“乡村振兴”板块，添加12个乡镇农特产品</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全面完成</w:t>
            </w:r>
          </w:p>
        </w:tc>
      </w:tr>
      <w:tr w14:paraId="47B3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1431D091">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6CD0B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vMerge w:val="continue"/>
            <w:tcBorders>
              <w:left w:val="single" w:color="000000" w:sz="4" w:space="0"/>
              <w:right w:val="single" w:color="000000" w:sz="4" w:space="0"/>
            </w:tcBorders>
            <w:shd w:val="clear" w:color="auto" w:fill="auto"/>
            <w:vAlign w:val="bottom"/>
          </w:tcPr>
          <w:p w14:paraId="7CB055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88B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每次电商培训人数</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0CF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≥20人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10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20人</w:t>
            </w:r>
          </w:p>
        </w:tc>
      </w:tr>
      <w:tr w14:paraId="3C909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99" w:type="dxa"/>
            <w:vMerge w:val="continue"/>
            <w:tcBorders>
              <w:left w:val="single" w:color="000000" w:sz="4" w:space="0"/>
              <w:right w:val="single" w:color="000000" w:sz="4" w:space="0"/>
            </w:tcBorders>
            <w:shd w:val="clear" w:color="auto" w:fill="auto"/>
            <w:vAlign w:val="center"/>
          </w:tcPr>
          <w:p w14:paraId="76F248B9">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16363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10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时效指标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06E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项目完成时间</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074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2022年3月31日前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93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2022年3月31日</w:t>
            </w:r>
          </w:p>
        </w:tc>
      </w:tr>
      <w:tr w14:paraId="0C32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9" w:type="dxa"/>
            <w:vMerge w:val="continue"/>
            <w:tcBorders>
              <w:left w:val="single" w:color="000000" w:sz="4" w:space="0"/>
              <w:right w:val="single" w:color="000000" w:sz="4" w:space="0"/>
            </w:tcBorders>
            <w:shd w:val="clear" w:color="auto" w:fill="auto"/>
            <w:vAlign w:val="center"/>
          </w:tcPr>
          <w:p w14:paraId="5C0709E0">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7BCA38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top"/>
              <w:rPr>
                <w:rFonts w:hint="eastAsia" w:ascii="Times New Roman" w:hAnsi="Times New Roman" w:eastAsia="仿宋_GB2312" w:cs="仿宋_GB2312"/>
                <w:i w:val="0"/>
                <w:color w:val="auto"/>
                <w:sz w:val="24"/>
                <w:szCs w:val="24"/>
                <w:u w:val="none"/>
                <w:lang w:val="en-US" w:eastAsia="zh-CN"/>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9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成本指标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F29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控制项目成本</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7DC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≤110万元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D5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105万元</w:t>
            </w:r>
          </w:p>
        </w:tc>
      </w:tr>
      <w:tr w14:paraId="3E8C4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9" w:type="dxa"/>
            <w:vMerge w:val="continue"/>
            <w:tcBorders>
              <w:left w:val="single" w:color="000000" w:sz="4" w:space="0"/>
              <w:right w:val="single" w:color="000000" w:sz="4" w:space="0"/>
            </w:tcBorders>
            <w:shd w:val="clear" w:color="auto" w:fill="auto"/>
            <w:vAlign w:val="center"/>
          </w:tcPr>
          <w:p w14:paraId="5E5465D5">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174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效益</w:t>
            </w:r>
          </w:p>
          <w:p w14:paraId="221045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F705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经济效益  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138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电商产品累计销售额</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513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150万元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9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290万元</w:t>
            </w:r>
          </w:p>
        </w:tc>
      </w:tr>
      <w:tr w14:paraId="0EDB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9" w:type="dxa"/>
            <w:vMerge w:val="continue"/>
            <w:tcBorders>
              <w:left w:val="single" w:color="000000" w:sz="4" w:space="0"/>
              <w:right w:val="single" w:color="000000" w:sz="4" w:space="0"/>
            </w:tcBorders>
            <w:shd w:val="clear" w:color="auto" w:fill="auto"/>
            <w:vAlign w:val="center"/>
          </w:tcPr>
          <w:p w14:paraId="2ACBA8BA">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D156D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C4B7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社会效益  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5AE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成功孵化创业青年</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6E8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DB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1名</w:t>
            </w:r>
          </w:p>
        </w:tc>
      </w:tr>
      <w:tr w14:paraId="31C26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299" w:type="dxa"/>
            <w:vMerge w:val="continue"/>
            <w:tcBorders>
              <w:left w:val="single" w:color="000000" w:sz="4" w:space="0"/>
              <w:right w:val="single" w:color="000000" w:sz="4" w:space="0"/>
            </w:tcBorders>
            <w:shd w:val="clear" w:color="auto" w:fill="auto"/>
            <w:vAlign w:val="center"/>
          </w:tcPr>
          <w:p w14:paraId="68847BC1">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14:paraId="06323B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5D4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可持续影响 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E95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电商青年网络直播带货</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C84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≥5人</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3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7人</w:t>
            </w:r>
          </w:p>
        </w:tc>
      </w:tr>
      <w:tr w14:paraId="5784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299" w:type="dxa"/>
            <w:vMerge w:val="continue"/>
            <w:tcBorders>
              <w:left w:val="single" w:color="000000" w:sz="4" w:space="0"/>
              <w:bottom w:val="single" w:color="000000" w:sz="4" w:space="0"/>
              <w:right w:val="single" w:color="000000" w:sz="4" w:space="0"/>
            </w:tcBorders>
            <w:shd w:val="clear" w:color="auto" w:fill="auto"/>
            <w:vAlign w:val="center"/>
          </w:tcPr>
          <w:p w14:paraId="5AAB9494">
            <w:pPr>
              <w:keepNext w:val="0"/>
              <w:keepLines w:val="0"/>
              <w:pageBreakBefore w:val="0"/>
              <w:kinsoku/>
              <w:wordWrap/>
              <w:overflowPunct/>
              <w:topLinePunct w:val="0"/>
              <w:autoSpaceDE/>
              <w:autoSpaceDN/>
              <w:bidi w:val="0"/>
              <w:adjustRightInd/>
              <w:snapToGrid/>
              <w:spacing w:line="320" w:lineRule="exact"/>
              <w:jc w:val="center"/>
              <w:rPr>
                <w:rFonts w:hint="eastAsia" w:ascii="Times New Roman" w:hAnsi="Times New Roman" w:eastAsia="仿宋_GB2312" w:cs="仿宋_GB2312"/>
                <w:i w:val="0"/>
                <w:color w:val="auto"/>
                <w:sz w:val="24"/>
                <w:szCs w:val="24"/>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14:paraId="3B5461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满意</w:t>
            </w:r>
          </w:p>
          <w:p w14:paraId="3C24D7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度指标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44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满意度指标</w:t>
            </w:r>
          </w:p>
        </w:tc>
        <w:tc>
          <w:tcPr>
            <w:tcW w:w="2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35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项目验收指标</w:t>
            </w:r>
          </w:p>
        </w:tc>
        <w:tc>
          <w:tcPr>
            <w:tcW w:w="17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6DA8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合格/不合格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F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imes New Roman" w:hAnsi="Times New Roman" w:eastAsia="仿宋_GB2312" w:cs="仿宋_GB2312"/>
                <w:i w:val="0"/>
                <w:color w:val="auto"/>
                <w:kern w:val="0"/>
                <w:sz w:val="24"/>
                <w:szCs w:val="24"/>
                <w:u w:val="none"/>
                <w:lang w:val="en-US" w:eastAsia="zh-CN" w:bidi="ar"/>
              </w:rPr>
            </w:pPr>
            <w:r>
              <w:rPr>
                <w:rFonts w:hint="eastAsia" w:ascii="Times New Roman" w:hAnsi="Times New Roman" w:eastAsia="仿宋_GB2312" w:cs="仿宋_GB2312"/>
                <w:i w:val="0"/>
                <w:color w:val="auto"/>
                <w:kern w:val="0"/>
                <w:sz w:val="24"/>
                <w:szCs w:val="24"/>
                <w:u w:val="none"/>
                <w:lang w:val="en-US" w:eastAsia="zh-CN" w:bidi="ar"/>
              </w:rPr>
              <w:t>合格</w:t>
            </w:r>
          </w:p>
        </w:tc>
      </w:tr>
    </w:tbl>
    <w:p w14:paraId="53F7A51E">
      <w:pPr>
        <w:spacing w:line="600" w:lineRule="exact"/>
        <w:jc w:val="center"/>
        <w:outlineLvl w:val="0"/>
        <w:rPr>
          <w:rFonts w:hint="eastAsia" w:ascii="Times New Roman" w:hAnsi="Times New Roman" w:eastAsia="仿宋"/>
          <w:b w:val="0"/>
          <w:color w:val="auto"/>
          <w:highlight w:val="none"/>
        </w:rPr>
      </w:pPr>
      <w:bookmarkStart w:id="75" w:name="_Toc7469"/>
      <w:r>
        <w:rPr>
          <w:rFonts w:hint="eastAsia" w:ascii="Times New Roman" w:hAnsi="Times New Roman" w:eastAsia="黑体"/>
          <w:color w:val="auto"/>
          <w:sz w:val="44"/>
          <w:szCs w:val="44"/>
          <w:highlight w:val="none"/>
        </w:rPr>
        <w:t>第</w:t>
      </w:r>
      <w:r>
        <w:rPr>
          <w:rStyle w:val="27"/>
          <w:rFonts w:hint="eastAsia" w:ascii="Times New Roman" w:hAnsi="Times New Roman" w:eastAsia="黑体"/>
          <w:b w:val="0"/>
          <w:color w:val="auto"/>
          <w:highlight w:val="none"/>
        </w:rPr>
        <w:t>五部分 附表</w:t>
      </w:r>
      <w:bookmarkEnd w:id="71"/>
      <w:bookmarkEnd w:id="74"/>
      <w:bookmarkEnd w:id="75"/>
      <w:bookmarkStart w:id="76" w:name="_Toc15396619"/>
    </w:p>
    <w:p w14:paraId="6CB7B754">
      <w:pPr>
        <w:pStyle w:val="5"/>
        <w:rPr>
          <w:rFonts w:ascii="Times New Roman" w:hAnsi="Times New Roman" w:eastAsia="仿宋"/>
          <w:color w:val="auto"/>
          <w:highlight w:val="none"/>
        </w:rPr>
      </w:pPr>
      <w:bookmarkStart w:id="77" w:name="_Toc5240"/>
      <w:r>
        <w:rPr>
          <w:rFonts w:hint="eastAsia" w:ascii="Times New Roman" w:hAnsi="Times New Roman" w:eastAsia="仿宋"/>
          <w:b w:val="0"/>
          <w:color w:val="auto"/>
          <w:highlight w:val="none"/>
        </w:rPr>
        <w:t>一、收</w:t>
      </w:r>
      <w:r>
        <w:rPr>
          <w:rStyle w:val="28"/>
          <w:rFonts w:hint="eastAsia" w:ascii="Times New Roman" w:hAnsi="Times New Roman" w:eastAsia="仿宋"/>
          <w:b w:val="0"/>
          <w:bCs w:val="0"/>
          <w:color w:val="auto"/>
          <w:highlight w:val="none"/>
        </w:rPr>
        <w:t>入支出决算总表</w:t>
      </w:r>
      <w:bookmarkEnd w:id="76"/>
      <w:bookmarkEnd w:id="77"/>
    </w:p>
    <w:p w14:paraId="259488BD">
      <w:pPr>
        <w:pStyle w:val="5"/>
        <w:rPr>
          <w:rFonts w:ascii="Times New Roman" w:hAnsi="Times New Roman" w:eastAsia="仿宋"/>
          <w:color w:val="auto"/>
          <w:highlight w:val="none"/>
        </w:rPr>
      </w:pPr>
      <w:bookmarkStart w:id="78" w:name="_Toc24207"/>
      <w:bookmarkStart w:id="79" w:name="_Toc15396620"/>
      <w:r>
        <w:rPr>
          <w:rFonts w:hint="eastAsia" w:ascii="Times New Roman" w:hAnsi="Times New Roman" w:eastAsia="仿宋"/>
          <w:b w:val="0"/>
          <w:color w:val="auto"/>
          <w:highlight w:val="none"/>
        </w:rPr>
        <w:t>二、收</w:t>
      </w:r>
      <w:r>
        <w:rPr>
          <w:rStyle w:val="28"/>
          <w:rFonts w:hint="eastAsia" w:ascii="Times New Roman" w:hAnsi="Times New Roman" w:eastAsia="仿宋"/>
          <w:b w:val="0"/>
          <w:bCs w:val="0"/>
          <w:color w:val="auto"/>
          <w:highlight w:val="none"/>
        </w:rPr>
        <w:t>入决算表</w:t>
      </w:r>
      <w:bookmarkEnd w:id="78"/>
      <w:bookmarkEnd w:id="79"/>
    </w:p>
    <w:p w14:paraId="4DD71935">
      <w:pPr>
        <w:pStyle w:val="5"/>
        <w:rPr>
          <w:rFonts w:ascii="Times New Roman" w:hAnsi="Times New Roman" w:eastAsia="仿宋"/>
          <w:color w:val="auto"/>
          <w:highlight w:val="none"/>
        </w:rPr>
      </w:pPr>
      <w:bookmarkStart w:id="80" w:name="_Toc5844"/>
      <w:bookmarkStart w:id="81" w:name="_Toc15396621"/>
      <w:r>
        <w:rPr>
          <w:rStyle w:val="28"/>
          <w:rFonts w:hint="eastAsia" w:ascii="Times New Roman" w:hAnsi="Times New Roman" w:eastAsia="仿宋"/>
          <w:b w:val="0"/>
          <w:bCs w:val="0"/>
          <w:color w:val="auto"/>
          <w:highlight w:val="none"/>
        </w:rPr>
        <w:t>三、</w:t>
      </w:r>
      <w:r>
        <w:rPr>
          <w:rFonts w:hint="eastAsia" w:ascii="Times New Roman" w:hAnsi="Times New Roman" w:eastAsia="仿宋"/>
          <w:b w:val="0"/>
          <w:color w:val="auto"/>
          <w:highlight w:val="none"/>
        </w:rPr>
        <w:t>支</w:t>
      </w:r>
      <w:r>
        <w:rPr>
          <w:rStyle w:val="28"/>
          <w:rFonts w:hint="eastAsia" w:ascii="Times New Roman" w:hAnsi="Times New Roman" w:eastAsia="仿宋"/>
          <w:b w:val="0"/>
          <w:bCs w:val="0"/>
          <w:color w:val="auto"/>
          <w:highlight w:val="none"/>
        </w:rPr>
        <w:t>出决算表</w:t>
      </w:r>
      <w:bookmarkEnd w:id="80"/>
      <w:bookmarkEnd w:id="81"/>
    </w:p>
    <w:p w14:paraId="490AD33C">
      <w:pPr>
        <w:pStyle w:val="5"/>
        <w:rPr>
          <w:rFonts w:ascii="Times New Roman" w:hAnsi="Times New Roman" w:eastAsia="仿宋"/>
          <w:b w:val="0"/>
          <w:color w:val="auto"/>
          <w:highlight w:val="none"/>
        </w:rPr>
      </w:pPr>
      <w:bookmarkStart w:id="82" w:name="_Toc15396622"/>
      <w:bookmarkStart w:id="83" w:name="_Toc30483"/>
      <w:r>
        <w:rPr>
          <w:rStyle w:val="28"/>
          <w:rFonts w:hint="eastAsia" w:ascii="Times New Roman" w:hAnsi="Times New Roman" w:eastAsia="仿宋"/>
          <w:b w:val="0"/>
          <w:bCs w:val="0"/>
          <w:color w:val="auto"/>
          <w:highlight w:val="none"/>
        </w:rPr>
        <w:t>四、</w:t>
      </w:r>
      <w:r>
        <w:rPr>
          <w:rFonts w:hint="eastAsia" w:ascii="Times New Roman" w:hAnsi="Times New Roman" w:eastAsia="仿宋"/>
          <w:b w:val="0"/>
          <w:color w:val="auto"/>
          <w:highlight w:val="none"/>
        </w:rPr>
        <w:t>财</w:t>
      </w:r>
      <w:r>
        <w:rPr>
          <w:rStyle w:val="28"/>
          <w:rFonts w:hint="eastAsia" w:ascii="Times New Roman" w:hAnsi="Times New Roman" w:eastAsia="仿宋"/>
          <w:b w:val="0"/>
          <w:bCs w:val="0"/>
          <w:color w:val="auto"/>
          <w:highlight w:val="none"/>
        </w:rPr>
        <w:t>政拨款收入支出决算总表</w:t>
      </w:r>
      <w:bookmarkEnd w:id="82"/>
      <w:bookmarkEnd w:id="83"/>
    </w:p>
    <w:p w14:paraId="6EEF1162">
      <w:pPr>
        <w:pStyle w:val="5"/>
        <w:rPr>
          <w:rStyle w:val="28"/>
          <w:rFonts w:ascii="Times New Roman" w:hAnsi="Times New Roman" w:eastAsia="仿宋"/>
          <w:b w:val="0"/>
          <w:bCs w:val="0"/>
          <w:color w:val="auto"/>
          <w:highlight w:val="none"/>
        </w:rPr>
      </w:pPr>
      <w:bookmarkStart w:id="84" w:name="_Toc5406"/>
      <w:bookmarkStart w:id="85" w:name="_Toc15396623"/>
      <w:r>
        <w:rPr>
          <w:rStyle w:val="28"/>
          <w:rFonts w:hint="eastAsia" w:ascii="Times New Roman" w:hAnsi="Times New Roman" w:eastAsia="仿宋"/>
          <w:b w:val="0"/>
          <w:bCs w:val="0"/>
          <w:color w:val="auto"/>
          <w:highlight w:val="none"/>
        </w:rPr>
        <w:t>五、</w:t>
      </w:r>
      <w:r>
        <w:rPr>
          <w:rFonts w:hint="eastAsia" w:ascii="Times New Roman" w:hAnsi="Times New Roman" w:eastAsia="仿宋"/>
          <w:b w:val="0"/>
          <w:color w:val="auto"/>
          <w:highlight w:val="none"/>
        </w:rPr>
        <w:t>财</w:t>
      </w:r>
      <w:r>
        <w:rPr>
          <w:rStyle w:val="28"/>
          <w:rFonts w:hint="eastAsia" w:ascii="Times New Roman" w:hAnsi="Times New Roman" w:eastAsia="仿宋"/>
          <w:b w:val="0"/>
          <w:bCs w:val="0"/>
          <w:color w:val="auto"/>
          <w:highlight w:val="none"/>
        </w:rPr>
        <w:t>政拨款支出决算明细表</w:t>
      </w:r>
      <w:bookmarkEnd w:id="84"/>
      <w:bookmarkEnd w:id="85"/>
      <w:bookmarkStart w:id="86" w:name="_Toc15396624"/>
    </w:p>
    <w:p w14:paraId="0559041C">
      <w:pPr>
        <w:pStyle w:val="5"/>
        <w:rPr>
          <w:rFonts w:ascii="Times New Roman" w:hAnsi="Times New Roman" w:eastAsia="仿宋"/>
          <w:color w:val="auto"/>
          <w:highlight w:val="none"/>
        </w:rPr>
      </w:pPr>
      <w:bookmarkStart w:id="87" w:name="_Toc12504"/>
      <w:r>
        <w:rPr>
          <w:rStyle w:val="28"/>
          <w:rFonts w:hint="eastAsia" w:ascii="Times New Roman" w:hAnsi="Times New Roman" w:eastAsia="仿宋"/>
          <w:b w:val="0"/>
          <w:bCs w:val="0"/>
          <w:color w:val="auto"/>
          <w:highlight w:val="none"/>
        </w:rPr>
        <w:t>六、</w:t>
      </w:r>
      <w:r>
        <w:rPr>
          <w:rFonts w:hint="eastAsia" w:ascii="Times New Roman" w:hAnsi="Times New Roman" w:eastAsia="仿宋"/>
          <w:b w:val="0"/>
          <w:color w:val="auto"/>
          <w:highlight w:val="none"/>
        </w:rPr>
        <w:t>一</w:t>
      </w:r>
      <w:r>
        <w:rPr>
          <w:rStyle w:val="28"/>
          <w:rFonts w:hint="eastAsia" w:ascii="Times New Roman" w:hAnsi="Times New Roman" w:eastAsia="仿宋"/>
          <w:b w:val="0"/>
          <w:bCs w:val="0"/>
          <w:color w:val="auto"/>
          <w:highlight w:val="none"/>
        </w:rPr>
        <w:t>般公共预算财政拨款支出决算表</w:t>
      </w:r>
      <w:bookmarkEnd w:id="86"/>
      <w:bookmarkEnd w:id="87"/>
    </w:p>
    <w:p w14:paraId="3E7FA777">
      <w:pPr>
        <w:pStyle w:val="5"/>
        <w:rPr>
          <w:rFonts w:ascii="Times New Roman" w:hAnsi="Times New Roman" w:eastAsia="仿宋"/>
          <w:color w:val="auto"/>
          <w:highlight w:val="none"/>
        </w:rPr>
      </w:pPr>
      <w:bookmarkStart w:id="88" w:name="_Toc15396625"/>
      <w:bookmarkStart w:id="89" w:name="_Toc9607"/>
      <w:r>
        <w:rPr>
          <w:rStyle w:val="28"/>
          <w:rFonts w:hint="eastAsia" w:ascii="Times New Roman" w:hAnsi="Times New Roman" w:eastAsia="仿宋"/>
          <w:b w:val="0"/>
          <w:bCs w:val="0"/>
          <w:color w:val="auto"/>
          <w:highlight w:val="none"/>
        </w:rPr>
        <w:t>七、</w:t>
      </w:r>
      <w:r>
        <w:rPr>
          <w:rFonts w:hint="eastAsia" w:ascii="Times New Roman" w:hAnsi="Times New Roman" w:eastAsia="仿宋"/>
          <w:b w:val="0"/>
          <w:color w:val="auto"/>
          <w:highlight w:val="none"/>
        </w:rPr>
        <w:t>一</w:t>
      </w:r>
      <w:r>
        <w:rPr>
          <w:rStyle w:val="28"/>
          <w:rFonts w:hint="eastAsia" w:ascii="Times New Roman" w:hAnsi="Times New Roman" w:eastAsia="仿宋"/>
          <w:b w:val="0"/>
          <w:bCs w:val="0"/>
          <w:color w:val="auto"/>
          <w:highlight w:val="none"/>
        </w:rPr>
        <w:t>般公共预算财政拨款支出决算明细表</w:t>
      </w:r>
      <w:bookmarkEnd w:id="88"/>
      <w:bookmarkEnd w:id="89"/>
    </w:p>
    <w:p w14:paraId="1ACA9378">
      <w:pPr>
        <w:pStyle w:val="5"/>
        <w:rPr>
          <w:rFonts w:ascii="Times New Roman" w:hAnsi="Times New Roman" w:eastAsia="仿宋"/>
          <w:color w:val="auto"/>
          <w:highlight w:val="none"/>
        </w:rPr>
      </w:pPr>
      <w:bookmarkStart w:id="90" w:name="_Toc13203"/>
      <w:bookmarkStart w:id="91" w:name="_Toc15396626"/>
      <w:r>
        <w:rPr>
          <w:rStyle w:val="28"/>
          <w:rFonts w:hint="eastAsia" w:ascii="Times New Roman" w:hAnsi="Times New Roman" w:eastAsia="仿宋"/>
          <w:b w:val="0"/>
          <w:bCs w:val="0"/>
          <w:color w:val="auto"/>
          <w:highlight w:val="none"/>
        </w:rPr>
        <w:t>八、</w:t>
      </w:r>
      <w:r>
        <w:rPr>
          <w:rFonts w:hint="eastAsia" w:ascii="Times New Roman" w:hAnsi="Times New Roman" w:eastAsia="仿宋"/>
          <w:b w:val="0"/>
          <w:color w:val="auto"/>
          <w:highlight w:val="none"/>
        </w:rPr>
        <w:t>一</w:t>
      </w:r>
      <w:r>
        <w:rPr>
          <w:rStyle w:val="28"/>
          <w:rFonts w:hint="eastAsia" w:ascii="Times New Roman" w:hAnsi="Times New Roman" w:eastAsia="仿宋"/>
          <w:b w:val="0"/>
          <w:bCs w:val="0"/>
          <w:color w:val="auto"/>
          <w:highlight w:val="none"/>
        </w:rPr>
        <w:t>般公共预算财政拨款基本支出决算表</w:t>
      </w:r>
      <w:bookmarkEnd w:id="90"/>
      <w:bookmarkEnd w:id="91"/>
    </w:p>
    <w:p w14:paraId="67F1E743">
      <w:pPr>
        <w:pStyle w:val="5"/>
        <w:rPr>
          <w:rFonts w:ascii="Times New Roman" w:hAnsi="Times New Roman" w:eastAsia="仿宋"/>
          <w:color w:val="auto"/>
          <w:highlight w:val="none"/>
        </w:rPr>
      </w:pPr>
      <w:bookmarkStart w:id="92" w:name="_Toc14870"/>
      <w:bookmarkStart w:id="93" w:name="_Toc15396627"/>
      <w:r>
        <w:rPr>
          <w:rStyle w:val="28"/>
          <w:rFonts w:hint="eastAsia" w:ascii="Times New Roman" w:hAnsi="Times New Roman" w:eastAsia="仿宋"/>
          <w:b w:val="0"/>
          <w:bCs w:val="0"/>
          <w:color w:val="auto"/>
          <w:highlight w:val="none"/>
        </w:rPr>
        <w:t>九、</w:t>
      </w:r>
      <w:r>
        <w:rPr>
          <w:rFonts w:hint="eastAsia" w:ascii="Times New Roman" w:hAnsi="Times New Roman" w:eastAsia="仿宋"/>
          <w:b w:val="0"/>
          <w:color w:val="auto"/>
          <w:highlight w:val="none"/>
        </w:rPr>
        <w:t>一</w:t>
      </w:r>
      <w:r>
        <w:rPr>
          <w:rStyle w:val="28"/>
          <w:rFonts w:hint="eastAsia" w:ascii="Times New Roman" w:hAnsi="Times New Roman" w:eastAsia="仿宋"/>
          <w:b w:val="0"/>
          <w:bCs w:val="0"/>
          <w:color w:val="auto"/>
          <w:highlight w:val="none"/>
        </w:rPr>
        <w:t>般公共预算财政拨款项目支出决算表</w:t>
      </w:r>
      <w:bookmarkEnd w:id="92"/>
      <w:bookmarkEnd w:id="93"/>
    </w:p>
    <w:p w14:paraId="5E7637B1">
      <w:pPr>
        <w:pStyle w:val="5"/>
        <w:rPr>
          <w:rFonts w:ascii="Times New Roman" w:hAnsi="Times New Roman" w:eastAsia="仿宋"/>
          <w:color w:val="auto"/>
          <w:highlight w:val="none"/>
        </w:rPr>
      </w:pPr>
      <w:bookmarkStart w:id="94" w:name="_Toc15396628"/>
      <w:bookmarkStart w:id="95" w:name="_Toc30154"/>
      <w:r>
        <w:rPr>
          <w:rStyle w:val="28"/>
          <w:rFonts w:hint="eastAsia" w:ascii="Times New Roman" w:hAnsi="Times New Roman" w:eastAsia="仿宋"/>
          <w:b w:val="0"/>
          <w:bCs w:val="0"/>
          <w:color w:val="auto"/>
          <w:highlight w:val="none"/>
        </w:rPr>
        <w:t>十、</w:t>
      </w:r>
      <w:r>
        <w:rPr>
          <w:rFonts w:hint="eastAsia" w:ascii="Times New Roman" w:hAnsi="Times New Roman" w:eastAsia="仿宋"/>
          <w:b w:val="0"/>
          <w:color w:val="auto"/>
          <w:highlight w:val="none"/>
        </w:rPr>
        <w:t>一</w:t>
      </w:r>
      <w:r>
        <w:rPr>
          <w:rStyle w:val="28"/>
          <w:rFonts w:hint="eastAsia" w:ascii="Times New Roman" w:hAnsi="Times New Roman" w:eastAsia="仿宋"/>
          <w:b w:val="0"/>
          <w:bCs w:val="0"/>
          <w:color w:val="auto"/>
          <w:highlight w:val="none"/>
        </w:rPr>
        <w:t>般公共预算财政拨款“三公”经费支出决算表</w:t>
      </w:r>
      <w:bookmarkEnd w:id="94"/>
      <w:bookmarkEnd w:id="95"/>
    </w:p>
    <w:p w14:paraId="3015FD34">
      <w:pPr>
        <w:pStyle w:val="5"/>
        <w:rPr>
          <w:rFonts w:ascii="Times New Roman" w:hAnsi="Times New Roman" w:eastAsia="仿宋"/>
          <w:color w:val="auto"/>
          <w:highlight w:val="none"/>
        </w:rPr>
      </w:pPr>
      <w:bookmarkStart w:id="96" w:name="_Toc15396629"/>
      <w:bookmarkStart w:id="97" w:name="_Toc29031"/>
      <w:r>
        <w:rPr>
          <w:rStyle w:val="28"/>
          <w:rFonts w:hint="eastAsia" w:ascii="Times New Roman" w:hAnsi="Times New Roman" w:eastAsia="仿宋"/>
          <w:b w:val="0"/>
          <w:bCs w:val="0"/>
          <w:color w:val="auto"/>
          <w:highlight w:val="none"/>
        </w:rPr>
        <w:t>十一、</w:t>
      </w:r>
      <w:r>
        <w:rPr>
          <w:rFonts w:hint="eastAsia" w:ascii="Times New Roman" w:hAnsi="Times New Roman" w:eastAsia="仿宋"/>
          <w:b w:val="0"/>
          <w:color w:val="auto"/>
          <w:highlight w:val="none"/>
        </w:rPr>
        <w:t>政</w:t>
      </w:r>
      <w:r>
        <w:rPr>
          <w:rStyle w:val="28"/>
          <w:rFonts w:hint="eastAsia" w:ascii="Times New Roman" w:hAnsi="Times New Roman" w:eastAsia="仿宋"/>
          <w:b w:val="0"/>
          <w:bCs w:val="0"/>
          <w:color w:val="auto"/>
          <w:highlight w:val="none"/>
        </w:rPr>
        <w:t>府性基金预算财政拨款收入支出决算表</w:t>
      </w:r>
      <w:bookmarkEnd w:id="96"/>
      <w:bookmarkEnd w:id="97"/>
    </w:p>
    <w:p w14:paraId="7B2B5155">
      <w:pPr>
        <w:pStyle w:val="5"/>
        <w:rPr>
          <w:rFonts w:ascii="Times New Roman" w:hAnsi="Times New Roman" w:eastAsia="仿宋"/>
          <w:color w:val="auto"/>
          <w:highlight w:val="none"/>
        </w:rPr>
      </w:pPr>
      <w:bookmarkStart w:id="98" w:name="_Toc23824"/>
      <w:bookmarkStart w:id="99" w:name="_Toc15396630"/>
      <w:r>
        <w:rPr>
          <w:rStyle w:val="28"/>
          <w:rFonts w:hint="eastAsia" w:ascii="Times New Roman" w:hAnsi="Times New Roman" w:eastAsia="仿宋"/>
          <w:b w:val="0"/>
          <w:bCs w:val="0"/>
          <w:color w:val="auto"/>
          <w:highlight w:val="none"/>
        </w:rPr>
        <w:t>十二、</w:t>
      </w:r>
      <w:r>
        <w:rPr>
          <w:rFonts w:hint="eastAsia" w:ascii="Times New Roman" w:hAnsi="Times New Roman" w:eastAsia="仿宋"/>
          <w:b w:val="0"/>
          <w:color w:val="auto"/>
          <w:highlight w:val="none"/>
        </w:rPr>
        <w:t>政</w:t>
      </w:r>
      <w:r>
        <w:rPr>
          <w:rStyle w:val="28"/>
          <w:rFonts w:hint="eastAsia" w:ascii="Times New Roman" w:hAnsi="Times New Roman" w:eastAsia="仿宋"/>
          <w:b w:val="0"/>
          <w:bCs w:val="0"/>
          <w:color w:val="auto"/>
          <w:highlight w:val="none"/>
        </w:rPr>
        <w:t>府性基金预算财政拨款“三公”经费支出决算表</w:t>
      </w:r>
      <w:bookmarkEnd w:id="98"/>
      <w:bookmarkEnd w:id="99"/>
    </w:p>
    <w:p w14:paraId="7DEEC8A2">
      <w:pPr>
        <w:pStyle w:val="5"/>
        <w:rPr>
          <w:rStyle w:val="28"/>
          <w:rFonts w:hint="eastAsia" w:ascii="Times New Roman" w:hAnsi="Times New Roman" w:eastAsia="仿宋"/>
          <w:b w:val="0"/>
          <w:bCs w:val="0"/>
          <w:color w:val="auto"/>
          <w:highlight w:val="none"/>
        </w:rPr>
      </w:pPr>
      <w:bookmarkStart w:id="100" w:name="_Toc32391"/>
      <w:bookmarkStart w:id="101" w:name="_Toc15396631"/>
      <w:r>
        <w:rPr>
          <w:rStyle w:val="28"/>
          <w:rFonts w:hint="eastAsia" w:ascii="Times New Roman" w:hAnsi="Times New Roman" w:eastAsia="仿宋"/>
          <w:b w:val="0"/>
          <w:bCs w:val="0"/>
          <w:color w:val="auto"/>
          <w:highlight w:val="none"/>
        </w:rPr>
        <w:t>十三、</w:t>
      </w:r>
      <w:r>
        <w:rPr>
          <w:rFonts w:hint="eastAsia" w:ascii="Times New Roman" w:hAnsi="Times New Roman" w:eastAsia="仿宋"/>
          <w:b w:val="0"/>
          <w:color w:val="auto"/>
          <w:highlight w:val="none"/>
        </w:rPr>
        <w:t>国</w:t>
      </w:r>
      <w:r>
        <w:rPr>
          <w:rStyle w:val="28"/>
          <w:rFonts w:hint="eastAsia" w:ascii="Times New Roman" w:hAnsi="Times New Roman" w:eastAsia="仿宋"/>
          <w:b w:val="0"/>
          <w:bCs w:val="0"/>
          <w:color w:val="auto"/>
          <w:highlight w:val="none"/>
        </w:rPr>
        <w:t>有资本经营预算</w:t>
      </w:r>
      <w:r>
        <w:rPr>
          <w:rStyle w:val="28"/>
          <w:rFonts w:hint="eastAsia" w:ascii="Times New Roman" w:hAnsi="Times New Roman" w:eastAsia="仿宋"/>
          <w:b w:val="0"/>
          <w:bCs w:val="0"/>
          <w:color w:val="auto"/>
          <w:highlight w:val="none"/>
          <w:lang w:eastAsia="zh-CN"/>
        </w:rPr>
        <w:t>财政拨款收入</w:t>
      </w:r>
      <w:r>
        <w:rPr>
          <w:rStyle w:val="28"/>
          <w:rFonts w:hint="eastAsia" w:ascii="Times New Roman" w:hAnsi="Times New Roman" w:eastAsia="仿宋"/>
          <w:b w:val="0"/>
          <w:bCs w:val="0"/>
          <w:color w:val="auto"/>
          <w:highlight w:val="none"/>
        </w:rPr>
        <w:t>支出决算表</w:t>
      </w:r>
      <w:bookmarkEnd w:id="100"/>
      <w:bookmarkEnd w:id="101"/>
    </w:p>
    <w:p w14:paraId="7C4C03D2">
      <w:pPr>
        <w:rPr>
          <w:rFonts w:hint="eastAsia" w:ascii="Times New Roman" w:hAnsi="Times New Roman" w:eastAsia="仿宋"/>
          <w:color w:val="auto"/>
          <w:highlight w:val="none"/>
          <w:lang w:eastAsia="zh-CN"/>
        </w:rPr>
      </w:pPr>
      <w:bookmarkStart w:id="102" w:name="_Toc11515"/>
      <w:r>
        <w:rPr>
          <w:rStyle w:val="28"/>
          <w:rFonts w:hint="eastAsia" w:ascii="Times New Roman" w:hAnsi="Times New Roman" w:eastAsia="仿宋"/>
          <w:b w:val="0"/>
          <w:bCs w:val="0"/>
          <w:color w:val="auto"/>
          <w:highlight w:val="none"/>
          <w:lang w:eastAsia="zh-CN"/>
        </w:rPr>
        <w:t>十四、国有资本经营预算财政拨款支出决算表</w:t>
      </w:r>
      <w:bookmarkEnd w:id="102"/>
    </w:p>
    <w:sectPr>
      <w:footerReference r:id="rId8" w:type="first"/>
      <w:footerReference r:id="rId7" w:type="default"/>
      <w:pgSz w:w="11906" w:h="16838"/>
      <w:pgMar w:top="1701" w:right="1474" w:bottom="1440" w:left="158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4DA8D9-65E2-46E7-8B0C-34167BA46E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2" w:fontKey="{C0C7D1F2-7549-4124-85EA-9D1678B254C9}"/>
  </w:font>
  <w:font w:name="仿宋">
    <w:panose1 w:val="02010609060101010101"/>
    <w:charset w:val="86"/>
    <w:family w:val="auto"/>
    <w:pitch w:val="default"/>
    <w:sig w:usb0="800002BF" w:usb1="38CF7CFA" w:usb2="00000016" w:usb3="00000000" w:csb0="00040001" w:csb1="00000000"/>
    <w:embedRegular r:id="rId3" w:fontKey="{48B07E80-D0A1-4F92-BA3D-66AC60929F43}"/>
  </w:font>
  <w:font w:name="方正小标宋简体">
    <w:panose1 w:val="02000000000000000000"/>
    <w:charset w:val="86"/>
    <w:family w:val="script"/>
    <w:pitch w:val="default"/>
    <w:sig w:usb0="00000001" w:usb1="08000000" w:usb2="00000000" w:usb3="00000000" w:csb0="00040000" w:csb1="00000000"/>
    <w:embedRegular r:id="rId4" w:fontKey="{369D729B-732B-4570-960E-B6854F742183}"/>
  </w:font>
  <w:font w:name="楷体_GB2312">
    <w:panose1 w:val="02010609030101010101"/>
    <w:charset w:val="86"/>
    <w:family w:val="auto"/>
    <w:pitch w:val="default"/>
    <w:sig w:usb0="00000001" w:usb1="080E0000" w:usb2="00000000" w:usb3="00000000" w:csb0="00040000" w:csb1="00000000"/>
    <w:embedRegular r:id="rId5" w:fontKey="{BB200DEB-6F65-41EE-A0F8-B126F07FF2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0F5AA87">
        <w:pPr>
          <w:pStyle w:val="10"/>
          <w:jc w:val="center"/>
        </w:pPr>
        <w:r>
          <w:fldChar w:fldCharType="begin"/>
        </w:r>
        <w:r>
          <w:instrText xml:space="preserve">PAGE   \* MERGEFORMAT</w:instrText>
        </w:r>
        <w:r>
          <w:fldChar w:fldCharType="separate"/>
        </w:r>
        <w:r>
          <w:rPr>
            <w:lang w:val="zh-CN"/>
          </w:rPr>
          <w:t>8</w:t>
        </w:r>
        <w:r>
          <w:fldChar w:fldCharType="end"/>
        </w:r>
      </w:p>
    </w:sdtContent>
  </w:sdt>
  <w:p w14:paraId="2B9F59B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66CF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9054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4"/>
        <w:szCs w:val="24"/>
      </w:rPr>
      <w:id w:val="147467900"/>
    </w:sdtPr>
    <w:sdtEndPr>
      <w:rPr>
        <w:rFonts w:hint="eastAsia" w:ascii="宋体" w:hAnsi="宋体" w:eastAsia="宋体" w:cs="宋体"/>
        <w:sz w:val="24"/>
        <w:szCs w:val="24"/>
      </w:rPr>
    </w:sdtEndPr>
    <w:sdtContent>
      <w:p w14:paraId="40DBC0FA">
        <w:pPr>
          <w:pStyle w:val="10"/>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8</w:t>
        </w:r>
        <w:r>
          <w:rPr>
            <w:rFonts w:hint="eastAsia" w:ascii="宋体" w:hAnsi="宋体" w:eastAsia="宋体" w:cs="宋体"/>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C246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67DC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F0181F"/>
    <w:rsid w:val="047B5DDA"/>
    <w:rsid w:val="048A3004"/>
    <w:rsid w:val="07BE4B5D"/>
    <w:rsid w:val="0832009C"/>
    <w:rsid w:val="0A2032A3"/>
    <w:rsid w:val="0B8A37D8"/>
    <w:rsid w:val="10C055FF"/>
    <w:rsid w:val="118107EC"/>
    <w:rsid w:val="11DD6519"/>
    <w:rsid w:val="16BB723D"/>
    <w:rsid w:val="17834992"/>
    <w:rsid w:val="18015F3F"/>
    <w:rsid w:val="1BE8440E"/>
    <w:rsid w:val="1D155CEE"/>
    <w:rsid w:val="20E0597D"/>
    <w:rsid w:val="20F57F95"/>
    <w:rsid w:val="240371BF"/>
    <w:rsid w:val="25C741E6"/>
    <w:rsid w:val="26550B9E"/>
    <w:rsid w:val="27842671"/>
    <w:rsid w:val="29FD04D3"/>
    <w:rsid w:val="2ABE7A3E"/>
    <w:rsid w:val="2EFA178C"/>
    <w:rsid w:val="30B46D73"/>
    <w:rsid w:val="319F7F4E"/>
    <w:rsid w:val="39AE70AB"/>
    <w:rsid w:val="3A6F24BB"/>
    <w:rsid w:val="3C0C0783"/>
    <w:rsid w:val="3E715F2E"/>
    <w:rsid w:val="3E9806F6"/>
    <w:rsid w:val="3F5D5AFB"/>
    <w:rsid w:val="3F795B0E"/>
    <w:rsid w:val="3F9F3A96"/>
    <w:rsid w:val="493C27E9"/>
    <w:rsid w:val="496F39ED"/>
    <w:rsid w:val="49FF41D3"/>
    <w:rsid w:val="4A185DC8"/>
    <w:rsid w:val="4BE068DB"/>
    <w:rsid w:val="4BF6002B"/>
    <w:rsid w:val="4E4D78F8"/>
    <w:rsid w:val="4ECE2238"/>
    <w:rsid w:val="51DB4B86"/>
    <w:rsid w:val="55333C3E"/>
    <w:rsid w:val="59043797"/>
    <w:rsid w:val="62FD0966"/>
    <w:rsid w:val="64CA39A1"/>
    <w:rsid w:val="69325DD3"/>
    <w:rsid w:val="6C4A05C8"/>
    <w:rsid w:val="72734D90"/>
    <w:rsid w:val="73D56FFD"/>
    <w:rsid w:val="74E366CA"/>
    <w:rsid w:val="78193CE1"/>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ind w:left="420" w:leftChars="200" w:firstLine="420"/>
    </w:pPr>
  </w:style>
  <w:style w:type="paragraph" w:styleId="3">
    <w:name w:val="Body Text Indent"/>
    <w:basedOn w:val="1"/>
    <w:qFormat/>
    <w:uiPriority w:val="99"/>
    <w:pPr>
      <w:ind w:firstLine="630"/>
      <w:jc w:val="left"/>
    </w:pPr>
    <w:rPr>
      <w:rFonts w:eastAsia="黑体"/>
      <w:sz w:val="32"/>
      <w:szCs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semiHidden/>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paragraph" w:customStyle="1" w:styleId="3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331.27</c:v>
                </c:pt>
                <c:pt idx="1">
                  <c:v>194.64</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331.27</c:v>
                </c:pt>
                <c:pt idx="1">
                  <c:v>194.64</c:v>
                </c:pt>
              </c:numCache>
            </c:numRef>
          </c:val>
        </c:ser>
        <c:dLbls>
          <c:showLegendKey val="0"/>
          <c:showVal val="0"/>
          <c:showCatName val="0"/>
          <c:showSerName val="0"/>
          <c:showPercent val="0"/>
          <c:showBubbleSize val="0"/>
        </c:dLbls>
        <c:gapWidth val="75"/>
        <c:overlap val="-25"/>
        <c:axId val="58352402"/>
        <c:axId val="386712138"/>
      </c:barChart>
      <c:catAx>
        <c:axId val="583524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6712138"/>
        <c:crosses val="autoZero"/>
        <c:auto val="1"/>
        <c:lblAlgn val="ctr"/>
        <c:lblOffset val="100"/>
        <c:noMultiLvlLbl val="0"/>
      </c:catAx>
      <c:valAx>
        <c:axId val="38671213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b"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3524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3afd94-cf21-4e70-bc90-c32fb6388fc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c:f>
              <c:strCache>
                <c:ptCount val="1"/>
                <c:pt idx="0">
                  <c:v>一般公共预算财政拨款收入</c:v>
                </c:pt>
              </c:strCache>
            </c:strRef>
          </c:cat>
          <c:val>
            <c:numRef>
              <c:f>Sheet1!$B$2</c:f>
              <c:numCache>
                <c:formatCode>General</c:formatCode>
                <c:ptCount val="1"/>
                <c:pt idx="0">
                  <c:v>194.64</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8ea00003-b980-4325-9374-685ce6351d4c}"/>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销售额</c:v>
                </c:pt>
              </c:strCache>
            </c:strRef>
          </c:tx>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50000"/>
                          <a:lumOff val="50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84.64</c:v>
                </c:pt>
                <c:pt idx="1">
                  <c:v>110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1bd547b4-fa05-41dc-873b-863ece054b56}"/>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331.27</c:v>
                </c:pt>
                <c:pt idx="1">
                  <c:v>194.64</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delete val="1"/>
          </c:dLbls>
          <c:cat>
            <c:strRef>
              <c:f>Sheet1!$A$2:$A$3</c:f>
              <c:strCache>
                <c:ptCount val="2"/>
                <c:pt idx="0">
                  <c:v>2020年</c:v>
                </c:pt>
                <c:pt idx="1">
                  <c:v>2021年</c:v>
                </c:pt>
              </c:strCache>
            </c:strRef>
          </c:cat>
          <c:val>
            <c:numRef>
              <c:f>Sheet1!$C$2:$C$3</c:f>
              <c:numCache>
                <c:formatCode>General</c:formatCode>
                <c:ptCount val="2"/>
                <c:pt idx="0">
                  <c:v>331.27</c:v>
                </c:pt>
                <c:pt idx="1">
                  <c:v>194.64</c:v>
                </c:pt>
              </c:numCache>
            </c:numRef>
          </c:val>
        </c:ser>
        <c:dLbls>
          <c:showLegendKey val="0"/>
          <c:showVal val="0"/>
          <c:showCatName val="0"/>
          <c:showSerName val="0"/>
          <c:showPercent val="0"/>
          <c:showBubbleSize val="0"/>
        </c:dLbls>
        <c:gapWidth val="75"/>
        <c:overlap val="-25"/>
        <c:axId val="529128145"/>
        <c:axId val="64683475"/>
      </c:barChart>
      <c:catAx>
        <c:axId val="52912814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4683475"/>
        <c:crosses val="autoZero"/>
        <c:auto val="1"/>
        <c:lblAlgn val="ctr"/>
        <c:lblOffset val="100"/>
        <c:noMultiLvlLbl val="0"/>
      </c:catAx>
      <c:valAx>
        <c:axId val="6468347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912814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44189c6-47a8-422c-9cee-78b44305553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spPr>
            <a:solidFill>
              <a:schemeClr val="accent1"/>
            </a:solidFill>
            <a:ln>
              <a:noFill/>
            </a:ln>
            <a:effectLst/>
          </c:spPr>
          <c:invertIfNegative val="0"/>
          <c:dLbls>
            <c:delete val="1"/>
          </c:dLbls>
          <c:cat>
            <c:strRef>
              <c:f>Sheet1!$A$2:$A$3</c:f>
              <c:strCache>
                <c:ptCount val="2"/>
                <c:pt idx="0">
                  <c:v>2020年</c:v>
                </c:pt>
                <c:pt idx="1">
                  <c:v>2021年</c:v>
                </c:pt>
              </c:strCache>
            </c:strRef>
          </c:cat>
          <c:val>
            <c:numRef>
              <c:f>Sheet1!$B$2:$B$3</c:f>
              <c:numCache>
                <c:formatCode>General</c:formatCode>
                <c:ptCount val="2"/>
                <c:pt idx="0">
                  <c:v>331.27</c:v>
                </c:pt>
                <c:pt idx="1">
                  <c:v>194.64</c:v>
                </c:pt>
              </c:numCache>
            </c:numRef>
          </c:val>
        </c:ser>
        <c:dLbls>
          <c:showLegendKey val="0"/>
          <c:showVal val="0"/>
          <c:showCatName val="0"/>
          <c:showSerName val="0"/>
          <c:showPercent val="0"/>
          <c:showBubbleSize val="0"/>
        </c:dLbls>
        <c:gapWidth val="219"/>
        <c:overlap val="-27"/>
        <c:axId val="519111167"/>
        <c:axId val="365057263"/>
      </c:barChart>
      <c:catAx>
        <c:axId val="5191111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057263"/>
        <c:crosses val="autoZero"/>
        <c:auto val="1"/>
        <c:lblAlgn val="ctr"/>
        <c:lblOffset val="100"/>
        <c:noMultiLvlLbl val="0"/>
      </c:catAx>
      <c:valAx>
        <c:axId val="3650572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0" vertOverflow="ellipsis" vert="eaVert"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1911116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fb0d30d-2191-4b14-9f43-01b3476c1f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Sheet1!$A$2:$A$6</c:f>
              <c:strCache>
                <c:ptCount val="5"/>
                <c:pt idx="0">
                  <c:v>一般公共服务（类）支出</c:v>
                </c:pt>
                <c:pt idx="1">
                  <c:v>社会保障和就业（类）支出</c:v>
                </c:pt>
                <c:pt idx="2">
                  <c:v>卫生健康支出</c:v>
                </c:pt>
                <c:pt idx="3">
                  <c:v>住房保障支出</c:v>
                </c:pt>
                <c:pt idx="4">
                  <c:v>农林水支出</c:v>
                </c:pt>
              </c:strCache>
            </c:strRef>
          </c:cat>
          <c:val>
            <c:numRef>
              <c:f>Sheet1!$B$2:$B$6</c:f>
              <c:numCache>
                <c:formatCode>General</c:formatCode>
                <c:ptCount val="5"/>
                <c:pt idx="0">
                  <c:v>79.76</c:v>
                </c:pt>
                <c:pt idx="1">
                  <c:v>1.96</c:v>
                </c:pt>
                <c:pt idx="2">
                  <c:v>1.03</c:v>
                </c:pt>
                <c:pt idx="3">
                  <c:v>1.89</c:v>
                </c:pt>
                <c:pt idx="4">
                  <c:v>110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febf0b2c-7802-4ec4-a872-4016c71ad95c}"/>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4a43ebf-259d-4c48-af90-e0a4589d3935}"/>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7638</Words>
  <Characters>8155</Characters>
  <Lines>61</Lines>
  <Paragraphs>17</Paragraphs>
  <TotalTime>2</TotalTime>
  <ScaleCrop>false</ScaleCrop>
  <LinksUpToDate>false</LinksUpToDate>
  <CharactersWithSpaces>8226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昭化融媒体</cp:lastModifiedBy>
  <cp:lastPrinted>2022-08-06T02:23:00Z</cp:lastPrinted>
  <dcterms:modified xsi:type="dcterms:W3CDTF">2024-12-27T08:09:19Z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18C4299B72334D3095585539B3212D20</vt:lpwstr>
  </property>
  <property fmtid="{D5CDD505-2E9C-101B-9397-08002B2CF9AE}" pid="4" name="KSOTemplateDocerSaveRecord">
    <vt:lpwstr>eyJoZGlkIjoiMGVhYTg4NGNkZWJkODFjNzcyZDRjM2M4Y2UzNjI5ZmUiLCJ1c2VySWQiOiI2MTE2MzEwMDYifQ==</vt:lpwstr>
  </property>
</Properties>
</file>