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FC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59" w:leftChars="171" w:right="0" w:firstLine="360" w:firstLineChars="100"/>
        <w:jc w:val="both"/>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36"/>
          <w:szCs w:val="36"/>
          <w:shd w:val="clear" w:fill="FFFFFF"/>
        </w:rPr>
        <w:t>中共广元市昭化区委群众工作局2022年部门</w:t>
      </w:r>
      <w:r>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t xml:space="preserve"> </w:t>
      </w:r>
    </w:p>
    <w:p w14:paraId="647128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160" w:firstLineChars="600"/>
        <w:jc w:val="both"/>
        <w:rPr>
          <w:rFonts w:hint="eastAsia" w:ascii="方正小标宋简体" w:hAnsi="方正小标宋简体" w:eastAsia="方正小标宋简体" w:cs="方正小标宋简体"/>
          <w:i w:val="0"/>
          <w:iCs w:val="0"/>
          <w:caps w:val="0"/>
          <w:color w:val="333333"/>
          <w:spacing w:val="0"/>
          <w:sz w:val="36"/>
          <w:szCs w:val="36"/>
          <w:shd w:val="clear" w:fill="FFFFFF"/>
        </w:rPr>
      </w:pPr>
      <w:r>
        <w:rPr>
          <w:rFonts w:hint="eastAsia" w:ascii="方正小标宋简体" w:hAnsi="方正小标宋简体" w:eastAsia="方正小标宋简体" w:cs="方正小标宋简体"/>
          <w:i w:val="0"/>
          <w:iCs w:val="0"/>
          <w:caps w:val="0"/>
          <w:color w:val="333333"/>
          <w:spacing w:val="0"/>
          <w:sz w:val="36"/>
          <w:szCs w:val="36"/>
          <w:shd w:val="clear" w:fill="FFFFFF"/>
        </w:rPr>
        <w:t>综合预算编制情况说明</w:t>
      </w:r>
    </w:p>
    <w:p w14:paraId="67CF98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3600" w:firstLineChars="1000"/>
        <w:jc w:val="both"/>
        <w:rPr>
          <w:rFonts w:hint="eastAsia" w:ascii="方正小标宋简体" w:hAnsi="方正小标宋简体" w:eastAsia="方正小标宋简体" w:cs="方正小标宋简体"/>
          <w:i w:val="0"/>
          <w:caps w:val="0"/>
          <w:color w:val="333333"/>
          <w:spacing w:val="0"/>
          <w:kern w:val="0"/>
          <w:sz w:val="36"/>
          <w:szCs w:val="36"/>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36"/>
          <w:szCs w:val="36"/>
          <w:highlight w:val="none"/>
          <w:shd w:val="clear" w:color="auto" w:fill="FFFFFF"/>
          <w:lang w:val="en-US" w:eastAsia="zh-CN" w:bidi="ar"/>
        </w:rPr>
        <w:t>目   录</w:t>
      </w:r>
    </w:p>
    <w:p w14:paraId="65C362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highlight w:val="none"/>
          <w:shd w:val="clear" w:color="auto" w:fill="FFFFFF"/>
          <w:lang w:val="en-US" w:eastAsia="zh-CN" w:bidi="ar"/>
        </w:rPr>
      </w:pPr>
    </w:p>
    <w:p w14:paraId="6DBE72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default"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一、基本职能及主要工作................................................2</w:t>
      </w:r>
    </w:p>
    <w:p w14:paraId="41FA89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default"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二、部门预算单位构成</w:t>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ab/>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..................................................6</w:t>
      </w:r>
    </w:p>
    <w:p w14:paraId="792E7A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三、收支预算情况说明....................................</w:t>
      </w:r>
      <w:bookmarkStart w:id="0" w:name="_GoBack"/>
      <w:bookmarkEnd w:id="0"/>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................6</w:t>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ab/>
      </w:r>
    </w:p>
    <w:p w14:paraId="78F441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default"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四、财政拨款收支预算情况说明</w:t>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ab/>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..................................6</w:t>
      </w:r>
    </w:p>
    <w:p w14:paraId="6DE3DF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default"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五、一般公共预算当年拨款情况说明</w:t>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ab/>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.............................7</w:t>
      </w:r>
    </w:p>
    <w:p w14:paraId="3A1949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default"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六、一般公共预算基本支出情况说明</w:t>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ab/>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.............................8</w:t>
      </w:r>
    </w:p>
    <w:p w14:paraId="03714C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七、“三公”经费财政拨款预算安排情况说明 ...................9</w:t>
      </w:r>
    </w:p>
    <w:p w14:paraId="130F60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八、政府性基金预算支出情况说明..................................9</w:t>
      </w:r>
    </w:p>
    <w:p w14:paraId="2C58F3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default"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九、国有资本经营预算支出情况说明..............................9</w:t>
      </w:r>
    </w:p>
    <w:p w14:paraId="5D3A29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十、其他重要事项的情况说明........................................10</w:t>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ab/>
      </w:r>
    </w:p>
    <w:p w14:paraId="0FAF11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default" w:ascii="宋体" w:hAnsi="宋体" w:cs="宋体"/>
          <w:b w:val="0"/>
          <w:bCs/>
          <w:i w:val="0"/>
          <w:caps w:val="0"/>
          <w:color w:val="333333"/>
          <w:spacing w:val="0"/>
          <w:sz w:val="32"/>
          <w:szCs w:val="32"/>
          <w:highlight w:val="none"/>
          <w:shd w:val="clear" w:color="auto" w:fill="FFFFFF"/>
          <w:lang w:val="en-US" w:eastAsia="zh-CN"/>
        </w:rPr>
      </w:pP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十一、名词解释</w:t>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ab/>
      </w:r>
      <w:r>
        <w:rPr>
          <w:rFonts w:hint="eastAsia" w:ascii="方正小标宋简体" w:hAnsi="方正小标宋简体" w:eastAsia="方正小标宋简体" w:cs="方正小标宋简体"/>
          <w:i w:val="0"/>
          <w:caps w:val="0"/>
          <w:color w:val="333333"/>
          <w:spacing w:val="0"/>
          <w:kern w:val="0"/>
          <w:sz w:val="28"/>
          <w:szCs w:val="28"/>
          <w:highlight w:val="none"/>
          <w:shd w:val="clear" w:color="auto" w:fill="FFFFFF"/>
          <w:lang w:val="en-US" w:eastAsia="zh-CN" w:bidi="ar"/>
        </w:rPr>
        <w:t>............................................................10</w:t>
      </w:r>
    </w:p>
    <w:p w14:paraId="1D7B7E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59" w:leftChars="171" w:right="0" w:firstLine="360" w:firstLineChars="100"/>
        <w:jc w:val="both"/>
        <w:rPr>
          <w:rFonts w:hint="eastAsia" w:ascii="方正小标宋简体" w:hAnsi="方正小标宋简体" w:eastAsia="方正小标宋简体" w:cs="方正小标宋简体"/>
          <w:i w:val="0"/>
          <w:iCs w:val="0"/>
          <w:caps w:val="0"/>
          <w:color w:val="333333"/>
          <w:spacing w:val="0"/>
          <w:sz w:val="36"/>
          <w:szCs w:val="36"/>
          <w:shd w:val="clear" w:fill="FFFFFF"/>
        </w:rPr>
      </w:pPr>
    </w:p>
    <w:p w14:paraId="0AB85E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59" w:leftChars="171" w:right="0" w:firstLine="360" w:firstLineChars="100"/>
        <w:jc w:val="both"/>
        <w:rPr>
          <w:rFonts w:hint="eastAsia" w:ascii="方正小标宋简体" w:hAnsi="方正小标宋简体" w:eastAsia="方正小标宋简体" w:cs="方正小标宋简体"/>
          <w:i w:val="0"/>
          <w:iCs w:val="0"/>
          <w:caps w:val="0"/>
          <w:color w:val="333333"/>
          <w:spacing w:val="0"/>
          <w:sz w:val="36"/>
          <w:szCs w:val="36"/>
          <w:shd w:val="clear" w:fill="FFFFFF"/>
        </w:rPr>
      </w:pPr>
    </w:p>
    <w:p w14:paraId="7CD6F7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59" w:leftChars="171" w:right="0" w:firstLine="360" w:firstLineChars="100"/>
        <w:jc w:val="both"/>
        <w:rPr>
          <w:rFonts w:hint="eastAsia" w:ascii="方正小标宋简体" w:hAnsi="方正小标宋简体" w:eastAsia="方正小标宋简体" w:cs="方正小标宋简体"/>
          <w:i w:val="0"/>
          <w:iCs w:val="0"/>
          <w:caps w:val="0"/>
          <w:color w:val="333333"/>
          <w:spacing w:val="0"/>
          <w:sz w:val="36"/>
          <w:szCs w:val="36"/>
          <w:shd w:val="clear" w:fill="FFFFFF"/>
        </w:rPr>
      </w:pPr>
    </w:p>
    <w:p w14:paraId="754B07A3">
      <w:pPr>
        <w:pStyle w:val="2"/>
        <w:rPr>
          <w:rFonts w:hint="eastAsia"/>
        </w:rPr>
      </w:pPr>
    </w:p>
    <w:p w14:paraId="1BC75F5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default" w:ascii="Times New Roman" w:hAnsi="Times New Roman" w:cs="Times New Roman"/>
          <w:i w:val="0"/>
          <w:caps w:val="0"/>
          <w:color w:val="333333"/>
          <w:spacing w:val="0"/>
          <w:sz w:val="32"/>
          <w:szCs w:val="32"/>
          <w:highlight w:val="none"/>
        </w:rPr>
      </w:pPr>
      <w:r>
        <w:rPr>
          <w:rFonts w:ascii="黑体" w:hAnsi="宋体" w:eastAsia="黑体" w:cs="黑体"/>
          <w:i w:val="0"/>
          <w:caps w:val="0"/>
          <w:color w:val="333333"/>
          <w:spacing w:val="0"/>
          <w:kern w:val="0"/>
          <w:sz w:val="32"/>
          <w:szCs w:val="32"/>
          <w:highlight w:val="none"/>
          <w:shd w:val="clear" w:color="auto" w:fill="FFFFFF"/>
          <w:lang w:val="en-US" w:eastAsia="zh-CN" w:bidi="ar"/>
        </w:rPr>
        <w:t>一、基本职能及主要工作</w:t>
      </w:r>
    </w:p>
    <w:p w14:paraId="09A2FF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楷体_GB2312" w:eastAsia="楷体_GB2312" w:cs="楷体_GB2312"/>
          <w:b/>
          <w:i w:val="0"/>
          <w:caps w:val="0"/>
          <w:color w:val="333333"/>
          <w:spacing w:val="0"/>
          <w:sz w:val="32"/>
          <w:szCs w:val="32"/>
          <w:highlight w:val="none"/>
          <w:shd w:val="clear" w:color="auto" w:fill="FFFFFF"/>
        </w:rPr>
      </w:pPr>
      <w:r>
        <w:rPr>
          <w:rFonts w:ascii="楷体_GB2312" w:eastAsia="楷体_GB2312" w:cs="楷体_GB2312"/>
          <w:b/>
          <w:i w:val="0"/>
          <w:caps w:val="0"/>
          <w:color w:val="333333"/>
          <w:spacing w:val="0"/>
          <w:sz w:val="32"/>
          <w:szCs w:val="32"/>
          <w:highlight w:val="none"/>
          <w:shd w:val="clear" w:color="auto" w:fill="FFFFFF"/>
        </w:rPr>
        <w:t>（一）</w:t>
      </w:r>
      <w:r>
        <w:rPr>
          <w:rFonts w:hint="eastAsia" w:ascii="楷体_GB2312" w:eastAsia="楷体_GB2312" w:cs="楷体_GB2312"/>
          <w:b/>
          <w:i w:val="0"/>
          <w:caps w:val="0"/>
          <w:color w:val="333333"/>
          <w:spacing w:val="0"/>
          <w:sz w:val="32"/>
          <w:szCs w:val="32"/>
          <w:highlight w:val="none"/>
          <w:shd w:val="clear" w:color="auto" w:fill="FFFFFF"/>
          <w:lang w:val="en-US" w:eastAsia="zh-CN"/>
        </w:rPr>
        <w:t>区委群工局</w:t>
      </w:r>
      <w:r>
        <w:rPr>
          <w:rFonts w:hint="eastAsia" w:ascii="楷体_GB2312" w:eastAsia="楷体_GB2312" w:cs="楷体_GB2312"/>
          <w:b/>
          <w:i w:val="0"/>
          <w:caps w:val="0"/>
          <w:color w:val="333333"/>
          <w:spacing w:val="0"/>
          <w:sz w:val="32"/>
          <w:szCs w:val="32"/>
          <w:highlight w:val="none"/>
          <w:shd w:val="clear" w:color="auto" w:fill="FFFFFF"/>
        </w:rPr>
        <w:t>职能简介</w:t>
      </w:r>
    </w:p>
    <w:p w14:paraId="1FB09B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区委群工局是一级预算单位，单位共有编制9名，其中：行政编制5名，事业编制4名。2022年预算实有在职编制内人员9人，其中：行政人员5人、事业人员4人，均为财政全额供养人员。退休人员3人，均为行政人员。固定资产总额6.5万元。主要职能职责如下：</w:t>
      </w:r>
    </w:p>
    <w:p w14:paraId="6B7526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负责处理区内给省、市、区领导的来信，接待群众来访，接听区长热线电话，并处理反映的有关问题；及时准确地向区委、区政府领导反映来信来访中提出的重要建议、意见和问题；综合分析信访信息，调查研究，提出制定有关政策的建议。</w:t>
      </w:r>
    </w:p>
    <w:p w14:paraId="49DB46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承办党中央、国务院，省委、省政府，市委、市政府领导同志交办的群众工作和信访事项，督促检查领导同志对有关群众工作和信访批示的落实情况；向各乡镇和部门交办群众工作和信访事项，督促检查重要的群众信访事项的处理和落实；负责群众工作和信访案件的复查复核工作。</w:t>
      </w:r>
    </w:p>
    <w:p w14:paraId="001CA2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（三）协调处理跨县区和部门的重要群众工作和信访问题，协调处理群众集体到省委、省政府、市委、市政府上访和突发性群体事件。</w:t>
      </w:r>
    </w:p>
    <w:p w14:paraId="01A4C9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检查、指导、协调全区群众和信访工作，负责全区信访信息系统的建设；研究起草全区群众信访工作规范性文件，总结推广各地各部门群众信访工作的经验，提出加强和改进群众信访工作的意见和建议，通报重大群众信访问题及事件。</w:t>
      </w:r>
    </w:p>
    <w:p w14:paraId="02A485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（五）保证信访渠道畅通，负责协调区领导接待群众来访和包案处理信访案件，负责联系区党代表、区人大代表和区政协委员定期参与接待群众来访工作。</w:t>
      </w:r>
    </w:p>
    <w:p w14:paraId="4916A4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（六）协调处理赴京、到省、到市非正常上访工作。</w:t>
      </w:r>
    </w:p>
    <w:p w14:paraId="51D158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（七）负责处理全区信访工作联席会议综合协调和日常性工作。</w:t>
      </w:r>
    </w:p>
    <w:p w14:paraId="70F4CB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（八）负责区群众来访接待中心建设和日常管理工作。</w:t>
      </w:r>
    </w:p>
    <w:p w14:paraId="1D9301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（九）承办区委、区政府交办的其他事项。</w:t>
      </w:r>
    </w:p>
    <w:p w14:paraId="12DB25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firstLine="321" w:firstLineChars="100"/>
        <w:jc w:val="both"/>
        <w:rPr>
          <w:rFonts w:hint="eastAsia" w:ascii="楷体_GB2312" w:eastAsia="楷体_GB2312" w:cs="楷体_GB2312"/>
          <w:b/>
          <w:i w:val="0"/>
          <w:caps w:val="0"/>
          <w:color w:val="333333"/>
          <w:spacing w:val="0"/>
          <w:sz w:val="32"/>
          <w:szCs w:val="32"/>
          <w:highlight w:val="none"/>
          <w:shd w:val="clear" w:color="auto" w:fill="FFFFFF"/>
        </w:rPr>
      </w:pPr>
      <w:r>
        <w:rPr>
          <w:rFonts w:hint="eastAsia" w:ascii="楷体_GB2312" w:eastAsia="楷体_GB2312" w:cs="楷体_GB2312"/>
          <w:b/>
          <w:i w:val="0"/>
          <w:caps w:val="0"/>
          <w:color w:val="333333"/>
          <w:spacing w:val="0"/>
          <w:sz w:val="32"/>
          <w:szCs w:val="32"/>
          <w:highlight w:val="none"/>
          <w:shd w:val="clear" w:color="auto" w:fill="FFFFFF"/>
        </w:rPr>
        <w:t>（二）</w:t>
      </w:r>
      <w:r>
        <w:rPr>
          <w:rFonts w:hint="eastAsia" w:ascii="楷体_GB2312" w:eastAsia="楷体_GB2312" w:cs="楷体_GB2312"/>
          <w:b/>
          <w:i w:val="0"/>
          <w:caps w:val="0"/>
          <w:color w:val="333333"/>
          <w:spacing w:val="0"/>
          <w:sz w:val="32"/>
          <w:szCs w:val="32"/>
          <w:highlight w:val="none"/>
          <w:shd w:val="clear" w:color="auto" w:fill="FFFFFF"/>
          <w:lang w:val="en-US" w:eastAsia="zh-CN"/>
        </w:rPr>
        <w:t>区委群工局</w:t>
      </w:r>
      <w:r>
        <w:rPr>
          <w:rFonts w:hint="eastAsia" w:ascii="楷体_GB2312" w:eastAsia="楷体_GB2312" w:cs="楷体_GB2312"/>
          <w:b/>
          <w:i w:val="0"/>
          <w:caps w:val="0"/>
          <w:color w:val="333333"/>
          <w:spacing w:val="0"/>
          <w:sz w:val="32"/>
          <w:szCs w:val="32"/>
          <w:highlight w:val="none"/>
          <w:shd w:val="clear" w:color="auto" w:fill="FFFFFF"/>
        </w:rPr>
        <w:t>202</w:t>
      </w:r>
      <w:r>
        <w:rPr>
          <w:rFonts w:hint="eastAsia" w:ascii="楷体_GB2312" w:eastAsia="楷体_GB2312" w:cs="楷体_GB2312"/>
          <w:b/>
          <w:i w:val="0"/>
          <w:caps w:val="0"/>
          <w:color w:val="333333"/>
          <w:spacing w:val="0"/>
          <w:sz w:val="32"/>
          <w:szCs w:val="32"/>
          <w:highlight w:val="none"/>
          <w:shd w:val="clear" w:color="auto" w:fill="FFFFFF"/>
          <w:lang w:val="en-US" w:eastAsia="zh-CN"/>
        </w:rPr>
        <w:t>2</w:t>
      </w:r>
      <w:r>
        <w:rPr>
          <w:rFonts w:hint="eastAsia" w:ascii="楷体_GB2312" w:eastAsia="楷体_GB2312" w:cs="楷体_GB2312"/>
          <w:b/>
          <w:i w:val="0"/>
          <w:caps w:val="0"/>
          <w:color w:val="333333"/>
          <w:spacing w:val="0"/>
          <w:sz w:val="32"/>
          <w:szCs w:val="32"/>
          <w:highlight w:val="none"/>
          <w:shd w:val="clear" w:color="auto" w:fill="FFFFFF"/>
        </w:rPr>
        <w:t>年重点工作</w:t>
      </w:r>
    </w:p>
    <w:p w14:paraId="6E2707E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0"/>
          <w:kern w:val="2"/>
          <w:sz w:val="32"/>
          <w:szCs w:val="32"/>
          <w:lang w:val="en-US" w:eastAsia="zh-CN" w:bidi="ar-SA"/>
        </w:rPr>
        <w:t>2022年，在区委、区政府的坚强领导和高度重视下，全区信访系统</w:t>
      </w:r>
      <w:r>
        <w:rPr>
          <w:rFonts w:hint="default" w:ascii="Times New Roman" w:hAnsi="Times New Roman" w:eastAsia="仿宋_GB2312" w:cs="Times New Roman"/>
          <w:b w:val="0"/>
          <w:bCs w:val="0"/>
          <w:kern w:val="2"/>
          <w:sz w:val="32"/>
          <w:szCs w:val="32"/>
          <w:u w:val="none"/>
          <w:lang w:val="en-US" w:eastAsia="zh-CN" w:bidi="ar-SA"/>
        </w:rPr>
        <w:t>坚持以习近平新时代中国特色社会主义思想为指导，深入学习贯彻习近平总书记关于加强和改进人民信访工作的重要思想，</w:t>
      </w:r>
      <w:r>
        <w:rPr>
          <w:rFonts w:hint="default" w:ascii="Times New Roman" w:hAnsi="Times New Roman" w:eastAsia="仿宋_GB2312" w:cs="Times New Roman"/>
          <w:color w:val="000000"/>
          <w:spacing w:val="0"/>
          <w:kern w:val="2"/>
          <w:sz w:val="32"/>
          <w:szCs w:val="32"/>
          <w:lang w:val="en-US" w:eastAsia="zh-CN" w:bidi="ar-SA"/>
        </w:rPr>
        <w:t>认真落实中央、省、市、区关于信访工作的一系列决策部署，</w:t>
      </w:r>
      <w:r>
        <w:rPr>
          <w:rFonts w:hint="default" w:ascii="Times New Roman" w:hAnsi="Times New Roman" w:eastAsia="仿宋_GB2312" w:cs="Times New Roman"/>
          <w:color w:val="000000"/>
          <w:spacing w:val="0"/>
          <w:sz w:val="32"/>
          <w:szCs w:val="32"/>
          <w:lang w:val="en-US" w:eastAsia="zh-CN"/>
        </w:rPr>
        <w:t>以做好党的二十大、省第十二次党代会信访稳定工作为主线，锚定“七个着力、七个突破”总目标，</w:t>
      </w:r>
      <w:r>
        <w:rPr>
          <w:rFonts w:hint="default" w:ascii="Times New Roman" w:hAnsi="Times New Roman" w:eastAsia="仿宋_GB2312" w:cs="Times New Roman"/>
          <w:color w:val="000000"/>
          <w:spacing w:val="0"/>
          <w:kern w:val="2"/>
          <w:sz w:val="32"/>
          <w:szCs w:val="32"/>
          <w:lang w:val="en-US" w:eastAsia="zh-CN" w:bidi="ar-SA"/>
        </w:rPr>
        <w:t>切实维护群众合法权益，有效地促进了全区社会和谐稳定。</w:t>
      </w:r>
      <w:r>
        <w:rPr>
          <w:rFonts w:hint="default" w:ascii="Times New Roman" w:hAnsi="Times New Roman" w:eastAsia="楷体_GB2312" w:cs="Times New Roman"/>
          <w:color w:val="000000"/>
          <w:kern w:val="2"/>
          <w:sz w:val="32"/>
          <w:szCs w:val="32"/>
          <w:lang w:val="en-US" w:eastAsia="zh-CN" w:bidi="ar-SA"/>
        </w:rPr>
        <w:t>（一）着力政治引领，在学习教育上求突破。</w:t>
      </w:r>
      <w:r>
        <w:rPr>
          <w:rFonts w:hint="default" w:ascii="Times New Roman" w:hAnsi="Times New Roman" w:eastAsia="仿宋_GB2312" w:cs="Times New Roman"/>
          <w:sz w:val="32"/>
          <w:szCs w:val="32"/>
          <w:lang w:val="en-US" w:eastAsia="zh-CN"/>
        </w:rPr>
        <w:t>一是党政强力推动。区委、区政府把信访工作列入重要议事日程，区委常委会、区政府常务会坚持定期研究信访工作，先后组织学习</w:t>
      </w:r>
      <w:r>
        <w:rPr>
          <w:rFonts w:hint="default" w:ascii="Times New Roman" w:hAnsi="Times New Roman" w:eastAsia="仿宋_GB2312" w:cs="Times New Roman"/>
          <w:color w:val="000000"/>
          <w:spacing w:val="0"/>
          <w:sz w:val="32"/>
          <w:szCs w:val="32"/>
          <w:lang w:val="en-US" w:eastAsia="zh-CN"/>
        </w:rPr>
        <w:t>《信访工作条例》和第九次全国信访工作会议精神</w:t>
      </w:r>
      <w:r>
        <w:rPr>
          <w:rFonts w:hint="default" w:ascii="Times New Roman" w:hAnsi="Times New Roman" w:eastAsia="仿宋_GB2312" w:cs="Times New Roman"/>
          <w:sz w:val="32"/>
          <w:szCs w:val="32"/>
          <w:lang w:val="en-US" w:eastAsia="zh-CN"/>
        </w:rPr>
        <w:t>，专题安排部署学习宣传贯彻落实工作。</w:t>
      </w:r>
      <w:r>
        <w:rPr>
          <w:rFonts w:hint="default" w:ascii="Times New Roman" w:hAnsi="Times New Roman" w:eastAsia="仿宋_GB2312" w:cs="Times New Roman"/>
          <w:color w:val="000000"/>
          <w:spacing w:val="0"/>
          <w:sz w:val="32"/>
          <w:szCs w:val="32"/>
          <w:lang w:val="en-US" w:eastAsia="zh-CN"/>
        </w:rPr>
        <w:t>各镇、区级各部门掀起学习热潮，将《条例》纳入党委（党组）中心组学习重要内容。二是示范引领带动。局机关深入学习贯彻党的二十大精神、习近平总书记来川视察重要指示精神和省第十二次党代会精神，结合信访工作实际，推动各项决策部署落地见效。</w:t>
      </w:r>
      <w:r>
        <w:rPr>
          <w:rFonts w:hint="default" w:ascii="Times New Roman" w:hAnsi="Times New Roman" w:eastAsia="楷体_GB2312" w:cs="Times New Roman"/>
          <w:color w:val="000000"/>
          <w:kern w:val="2"/>
          <w:sz w:val="32"/>
          <w:szCs w:val="32"/>
          <w:lang w:val="en-US" w:eastAsia="zh-CN" w:bidi="ar-SA"/>
        </w:rPr>
        <w:t>（二）着力源头防范，在夯实基础上求突破</w:t>
      </w:r>
      <w:r>
        <w:rPr>
          <w:rFonts w:hint="default" w:ascii="Times New Roman" w:hAnsi="Times New Roman" w:eastAsia="仿宋_GB2312" w:cs="Times New Roman"/>
          <w:b w:val="0"/>
          <w:bCs w:val="0"/>
          <w:color w:val="000000"/>
          <w:sz w:val="32"/>
          <w:szCs w:val="32"/>
          <w:u w:val="none"/>
        </w:rPr>
        <w:t>。</w:t>
      </w:r>
      <w:r>
        <w:rPr>
          <w:rFonts w:hint="default" w:ascii="Times New Roman" w:hAnsi="Times New Roman" w:eastAsia="仿宋_GB2312" w:cs="Times New Roman"/>
          <w:b w:val="0"/>
          <w:bCs w:val="0"/>
          <w:color w:val="000000"/>
          <w:sz w:val="32"/>
          <w:szCs w:val="32"/>
          <w:u w:val="none"/>
          <w:lang w:val="en-US" w:eastAsia="zh-CN"/>
        </w:rPr>
        <w:t>一是</w:t>
      </w:r>
      <w:r>
        <w:rPr>
          <w:rFonts w:hint="default" w:ascii="Times New Roman" w:hAnsi="Times New Roman" w:eastAsia="仿宋_GB2312" w:cs="Times New Roman"/>
          <w:b w:val="0"/>
          <w:bCs w:val="0"/>
          <w:color w:val="000000"/>
          <w:sz w:val="32"/>
          <w:szCs w:val="32"/>
          <w:lang w:val="en-US" w:eastAsia="zh-CN"/>
        </w:rPr>
        <w:t>坚持常态排查化解。督促指导各镇、区级各部门</w:t>
      </w:r>
      <w:r>
        <w:rPr>
          <w:rFonts w:hint="default" w:ascii="Times New Roman" w:hAnsi="Times New Roman" w:eastAsia="仿宋_GB2312" w:cs="Times New Roman"/>
          <w:b w:val="0"/>
          <w:bCs w:val="0"/>
          <w:color w:val="000000"/>
          <w:sz w:val="32"/>
          <w:szCs w:val="32"/>
          <w:u w:val="none"/>
          <w:lang w:val="en-US" w:eastAsia="zh-CN"/>
        </w:rPr>
        <w:t>联动排查10余次，梳理信访突出问题和不稳定因素</w:t>
      </w:r>
      <w:r>
        <w:rPr>
          <w:rFonts w:hint="default" w:ascii="Times New Roman" w:hAnsi="Times New Roman" w:eastAsia="仿宋_GB2312" w:cs="Times New Roman"/>
          <w:color w:val="000000"/>
          <w:sz w:val="32"/>
          <w:szCs w:val="32"/>
          <w:lang w:val="en-US" w:eastAsia="zh-CN"/>
        </w:rPr>
        <w:t>180余</w:t>
      </w:r>
      <w:r>
        <w:rPr>
          <w:rFonts w:hint="default" w:ascii="Times New Roman" w:hAnsi="Times New Roman" w:eastAsia="仿宋_GB2312" w:cs="Times New Roman"/>
          <w:b w:val="0"/>
          <w:bCs w:val="0"/>
          <w:color w:val="000000"/>
          <w:sz w:val="32"/>
          <w:szCs w:val="32"/>
          <w:u w:val="none"/>
          <w:lang w:val="en-US" w:eastAsia="zh-CN"/>
        </w:rPr>
        <w:t>件，纳入县级领导包案化解32件，其余</w:t>
      </w:r>
      <w:r>
        <w:rPr>
          <w:rFonts w:hint="default" w:ascii="Times New Roman" w:hAnsi="Times New Roman" w:eastAsia="仿宋_GB2312" w:cs="Times New Roman"/>
          <w:color w:val="000000"/>
          <w:sz w:val="32"/>
          <w:szCs w:val="32"/>
          <w:lang w:val="en-US" w:eastAsia="zh-CN"/>
        </w:rPr>
        <w:t>全部落实化解稳控责任</w:t>
      </w:r>
      <w:r>
        <w:rPr>
          <w:rFonts w:hint="default" w:ascii="Times New Roman" w:hAnsi="Times New Roman" w:eastAsia="仿宋_GB2312" w:cs="Times New Roman"/>
          <w:b w:val="0"/>
          <w:bCs w:val="0"/>
          <w:color w:val="000000"/>
          <w:sz w:val="32"/>
          <w:szCs w:val="32"/>
          <w:u w:val="none"/>
          <w:lang w:val="en-US" w:eastAsia="zh-CN"/>
        </w:rPr>
        <w:t>。二是高度重视初信初访。结合“马上办、限时办”“走好网上群众路线”等要求，</w:t>
      </w:r>
      <w:r>
        <w:rPr>
          <w:rFonts w:hint="default" w:ascii="Times New Roman" w:hAnsi="Times New Roman" w:eastAsia="仿宋_GB2312" w:cs="Times New Roman"/>
          <w:b w:val="0"/>
          <w:bCs w:val="0"/>
          <w:color w:val="000000"/>
          <w:sz w:val="32"/>
          <w:szCs w:val="32"/>
          <w:u w:val="none"/>
        </w:rPr>
        <w:t>严格落实首问、首接、首办责任，</w:t>
      </w:r>
      <w:r>
        <w:rPr>
          <w:rFonts w:hint="default" w:ascii="Times New Roman" w:hAnsi="Times New Roman" w:eastAsia="仿宋_GB2312" w:cs="Times New Roman"/>
          <w:b w:val="0"/>
          <w:bCs w:val="0"/>
          <w:color w:val="000000"/>
          <w:sz w:val="32"/>
          <w:szCs w:val="32"/>
          <w:u w:val="none"/>
          <w:lang w:val="en-US" w:eastAsia="zh-CN"/>
        </w:rPr>
        <w:t>建立健全信访事项会商交办、回访以及满意度评价弥补制度，规范高效做好受理办理工作。三是县级</w:t>
      </w:r>
      <w:r>
        <w:rPr>
          <w:rFonts w:hint="default" w:ascii="Times New Roman" w:hAnsi="Times New Roman" w:eastAsia="仿宋_GB2312" w:cs="Times New Roman"/>
          <w:b w:val="0"/>
          <w:bCs w:val="0"/>
          <w:color w:val="000000"/>
          <w:sz w:val="32"/>
          <w:szCs w:val="32"/>
          <w:lang w:val="en-US" w:eastAsia="zh-CN"/>
        </w:rPr>
        <w:t>领导接访下访常态化。25名县级领导每个工作日轮流到区群众来访接待中心坐班接访群众</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楷体_GB2312" w:cs="Times New Roman"/>
          <w:color w:val="000000"/>
          <w:kern w:val="2"/>
          <w:sz w:val="32"/>
          <w:szCs w:val="32"/>
          <w:lang w:val="en-US" w:eastAsia="zh-CN" w:bidi="ar-SA"/>
        </w:rPr>
        <w:t>（三）着力积案化解，在控增减存上求突破。</w:t>
      </w:r>
      <w:r>
        <w:rPr>
          <w:rFonts w:hint="default" w:ascii="Times New Roman" w:hAnsi="Times New Roman" w:eastAsia="仿宋_GB2312" w:cs="Times New Roman"/>
          <w:color w:val="000000"/>
          <w:sz w:val="32"/>
          <w:szCs w:val="32"/>
          <w:lang w:val="en-US" w:eastAsia="zh-CN"/>
        </w:rPr>
        <w:t>一是“治重化积”案件清零。明确15名县级领导对“治重化积”案件全覆盖包案，坚持“面对面”“一对一”汇报、“点对点”督办，推动中央、省交办的31件重复信访事项全部化解。二是“钉子案”“骨头案”存量减少。持续推动信访老案、疑难积案攻坚清理，做好重点人员的教育疏导、释法明理和帮扶救助工作。三是高位推进，严控增量。制定印发《开展信访积案化解“百日攻坚”行动工作方案》，</w:t>
      </w:r>
      <w:r>
        <w:rPr>
          <w:rFonts w:hint="default" w:ascii="Times New Roman" w:hAnsi="Times New Roman" w:eastAsia="仿宋_GB2312" w:cs="Times New Roman"/>
          <w:sz w:val="32"/>
          <w:szCs w:val="32"/>
          <w:lang w:val="en-US" w:eastAsia="zh-CN"/>
        </w:rPr>
        <w:t>区委书记刘自强带头领办，多次作出专题批示。</w:t>
      </w:r>
      <w:r>
        <w:rPr>
          <w:rFonts w:hint="default" w:ascii="Times New Roman" w:hAnsi="Times New Roman" w:eastAsia="楷体_GB2312" w:cs="Times New Roman"/>
          <w:color w:val="000000"/>
          <w:kern w:val="2"/>
          <w:sz w:val="32"/>
          <w:szCs w:val="32"/>
          <w:lang w:val="en-US" w:eastAsia="zh-CN" w:bidi="ar-SA"/>
        </w:rPr>
        <w:t>（四）着力机制完善，在提质增效上求突破。</w:t>
      </w:r>
      <w:r>
        <w:rPr>
          <w:rFonts w:hint="default" w:ascii="Times New Roman" w:hAnsi="Times New Roman" w:eastAsia="仿宋_GB2312" w:cs="Times New Roman"/>
          <w:color w:val="000000"/>
          <w:spacing w:val="0"/>
          <w:kern w:val="2"/>
          <w:sz w:val="32"/>
          <w:szCs w:val="32"/>
          <w:lang w:val="en-US" w:eastAsia="zh-CN" w:bidi="ar-SA"/>
        </w:rPr>
        <w:t>一是区联调中心建成并规范化运行。今年3月，原区群众来访接待中心接访职能入驻区联调中心，接待来访群众</w:t>
      </w:r>
      <w:r>
        <w:rPr>
          <w:rFonts w:hint="default" w:ascii="Times New Roman" w:hAnsi="Times New Roman" w:eastAsia="仿宋_GB2312" w:cs="Times New Roman"/>
          <w:b w:val="0"/>
          <w:bCs w:val="0"/>
          <w:color w:val="000000"/>
          <w:sz w:val="32"/>
          <w:szCs w:val="32"/>
          <w:lang w:val="en-US" w:eastAsia="zh-CN"/>
        </w:rPr>
        <w:t>249批549人次，联动调处化解信访问题208件</w:t>
      </w:r>
      <w:r>
        <w:rPr>
          <w:rFonts w:hint="default" w:ascii="Times New Roman" w:hAnsi="Times New Roman" w:eastAsia="仿宋_GB2312" w:cs="Times New Roman"/>
          <w:color w:val="000000"/>
          <w:spacing w:val="0"/>
          <w:kern w:val="2"/>
          <w:sz w:val="32"/>
          <w:szCs w:val="32"/>
          <w:lang w:val="en-US" w:eastAsia="zh-CN" w:bidi="ar-SA"/>
        </w:rPr>
        <w:t>，为在全区逐步形成“中心吹哨、部门报到”的工作格局打下了坚实的基础。二是深化镇级信访工作联席会议机制。全区12个镇实现信访工作联席会议制度全覆盖，赋予了基层化解疑难信访问题重要抓手，切实增强了基层化解特殊疑难信访问题的主动性和积极性，有效</w:t>
      </w:r>
      <w:r>
        <w:rPr>
          <w:rFonts w:hint="default" w:ascii="Times New Roman" w:hAnsi="Times New Roman" w:eastAsia="仿宋_GB2312" w:cs="Times New Roman"/>
          <w:color w:val="000000"/>
          <w:spacing w:val="0"/>
          <w:sz w:val="32"/>
          <w:szCs w:val="32"/>
          <w:lang w:val="en-US" w:eastAsia="zh-CN"/>
        </w:rPr>
        <w:t>推动矛盾纠纷化解在基层和萌芽。</w:t>
      </w:r>
      <w:r>
        <w:rPr>
          <w:rFonts w:hint="default" w:ascii="Times New Roman" w:hAnsi="Times New Roman" w:eastAsia="仿宋_GB2312" w:cs="Times New Roman"/>
          <w:color w:val="000000"/>
          <w:spacing w:val="0"/>
          <w:kern w:val="2"/>
          <w:sz w:val="32"/>
          <w:szCs w:val="32"/>
          <w:lang w:val="en-US" w:eastAsia="zh-CN" w:bidi="ar-SA"/>
        </w:rPr>
        <w:t>三是制定《县级领导签批信访件办理规则（试行）》。明确信访部门及承办单位责任，确保县级领导签批信访件事事有回音、件件有落实。</w:t>
      </w:r>
      <w:r>
        <w:rPr>
          <w:rFonts w:hint="default" w:ascii="Times New Roman" w:hAnsi="Times New Roman" w:eastAsia="楷体_GB2312" w:cs="Times New Roman"/>
          <w:color w:val="000000"/>
          <w:kern w:val="2"/>
          <w:sz w:val="32"/>
          <w:szCs w:val="32"/>
          <w:lang w:val="en-US" w:eastAsia="zh-CN" w:bidi="ar-SA"/>
        </w:rPr>
        <w:t>（五）着力关键节点，在风险防控上求突破。</w:t>
      </w:r>
      <w:r>
        <w:rPr>
          <w:rFonts w:hint="default" w:ascii="Times New Roman" w:hAnsi="Times New Roman" w:eastAsia="仿宋_GB2312" w:cs="Times New Roman"/>
          <w:b w:val="0"/>
          <w:bCs w:val="0"/>
          <w:color w:val="000000"/>
          <w:kern w:val="2"/>
          <w:sz w:val="32"/>
          <w:szCs w:val="32"/>
          <w:lang w:val="en-US" w:eastAsia="zh-CN"/>
        </w:rPr>
        <w:t>一是畅通信息沟通预警。</w:t>
      </w:r>
      <w:r>
        <w:rPr>
          <w:rFonts w:hint="default" w:ascii="Times New Roman" w:hAnsi="Times New Roman" w:eastAsia="仿宋_GB2312" w:cs="Times New Roman"/>
          <w:color w:val="000000"/>
          <w:spacing w:val="0"/>
          <w:kern w:val="2"/>
          <w:sz w:val="32"/>
          <w:szCs w:val="32"/>
          <w:lang w:val="en-US" w:eastAsia="zh-CN" w:bidi="ar-SA"/>
        </w:rPr>
        <w:t>在敏感节点和重大政治活动期间启用信访信息“零报告”机制，及时通报、随时交办、动态跟进各类预警性、行动性信息，随时掌握重要敏感信访信息和重点人员、重点群体相关情况，</w:t>
      </w:r>
      <w:r>
        <w:rPr>
          <w:rFonts w:hint="default" w:ascii="Times New Roman" w:hAnsi="Times New Roman" w:eastAsia="仿宋_GB2312" w:cs="Times New Roman"/>
          <w:color w:val="000000"/>
          <w:spacing w:val="0"/>
          <w:sz w:val="32"/>
          <w:szCs w:val="32"/>
          <w:lang w:val="en-US" w:eastAsia="zh-CN"/>
        </w:rPr>
        <w:t>加强对苗头性、倾向性信息的跟踪分析，</w:t>
      </w:r>
      <w:r>
        <w:rPr>
          <w:rFonts w:hint="default" w:ascii="Times New Roman" w:hAnsi="Times New Roman" w:eastAsia="仿宋_GB2312" w:cs="Times New Roman"/>
          <w:b w:val="0"/>
          <w:bCs/>
          <w:color w:val="000000"/>
          <w:sz w:val="32"/>
          <w:szCs w:val="32"/>
        </w:rPr>
        <w:t>做到预警、核查、上报、处置“四个及时”</w:t>
      </w:r>
      <w:r>
        <w:rPr>
          <w:rFonts w:hint="default" w:ascii="Times New Roman" w:hAnsi="Times New Roman" w:eastAsia="仿宋_GB2312" w:cs="Times New Roman"/>
          <w:b w:val="0"/>
          <w:bCs w:val="0"/>
          <w:color w:val="000000"/>
          <w:kern w:val="2"/>
          <w:sz w:val="32"/>
          <w:szCs w:val="32"/>
          <w:lang w:val="en-US" w:eastAsia="zh-CN"/>
        </w:rPr>
        <w:t>。二是加强警示教育。先后对重要会议“报到”、敏感时期“宣言”、重大活动“露脸”的张某丽、赵某德、邓某孝、杨某等人进行警示谈话，开展释法明理、政策解读、情绪疏导等工作，全力引导群众依法逐级走访，促进信访秩序持续好转。三是强化应急处置。</w:t>
      </w:r>
      <w:r>
        <w:rPr>
          <w:rFonts w:hint="default" w:ascii="Times New Roman" w:hAnsi="Times New Roman" w:eastAsia="仿宋_GB2312" w:cs="Times New Roman"/>
          <w:b w:val="0"/>
          <w:bCs/>
          <w:color w:val="000000"/>
          <w:sz w:val="32"/>
          <w:szCs w:val="32"/>
          <w:lang w:val="en-US" w:eastAsia="zh-CN"/>
        </w:rPr>
        <w:t>指导各镇</w:t>
      </w:r>
      <w:r>
        <w:rPr>
          <w:rFonts w:hint="default" w:ascii="Times New Roman" w:hAnsi="Times New Roman" w:eastAsia="仿宋_GB2312" w:cs="Times New Roman"/>
          <w:b w:val="0"/>
          <w:bCs/>
          <w:color w:val="000000"/>
          <w:sz w:val="32"/>
          <w:szCs w:val="32"/>
        </w:rPr>
        <w:t>完善应急预案</w:t>
      </w:r>
      <w:r>
        <w:rPr>
          <w:rFonts w:hint="default" w:ascii="Times New Roman" w:hAnsi="Times New Roman" w:eastAsia="仿宋_GB2312" w:cs="Times New Roman"/>
          <w:color w:val="000000"/>
          <w:spacing w:val="0"/>
          <w:sz w:val="32"/>
          <w:szCs w:val="32"/>
          <w:lang w:val="en-US" w:eastAsia="zh-CN"/>
        </w:rPr>
        <w:t>，</w:t>
      </w:r>
      <w:r>
        <w:rPr>
          <w:rFonts w:hint="default" w:ascii="Times New Roman" w:hAnsi="Times New Roman" w:eastAsia="仿宋_GB2312" w:cs="Times New Roman"/>
          <w:b w:val="0"/>
          <w:bCs/>
          <w:color w:val="000000"/>
          <w:sz w:val="32"/>
          <w:szCs w:val="32"/>
          <w:lang w:val="en-US" w:eastAsia="zh-CN"/>
        </w:rPr>
        <w:t>分批派出10余个工作组赴蓉、赴京开展应急劝返处置工作。圆满完成北京冬奥会、全国“两会”、省第十二次党代会、党的二十大等重大活动期间信访安全保障任务，实现“三个不发生”工作目标。</w:t>
      </w:r>
      <w:r>
        <w:rPr>
          <w:rFonts w:hint="default" w:ascii="Times New Roman" w:hAnsi="Times New Roman" w:eastAsia="楷体_GB2312" w:cs="Times New Roman"/>
          <w:color w:val="000000"/>
          <w:kern w:val="2"/>
          <w:sz w:val="32"/>
          <w:szCs w:val="32"/>
          <w:lang w:val="en-US" w:eastAsia="zh-CN" w:bidi="ar-SA"/>
        </w:rPr>
        <w:t>（六）着力队伍建设，在提升能力素质上求突破。</w:t>
      </w:r>
      <w:r>
        <w:rPr>
          <w:rFonts w:hint="default" w:ascii="Times New Roman" w:hAnsi="Times New Roman" w:eastAsia="仿宋_GB2312" w:cs="Times New Roman"/>
          <w:b w:val="0"/>
          <w:bCs w:val="0"/>
          <w:color w:val="000000"/>
          <w:kern w:val="2"/>
          <w:sz w:val="32"/>
          <w:szCs w:val="32"/>
          <w:shd w:val="clear" w:color="auto" w:fill="auto"/>
          <w:lang w:val="en-US" w:eastAsia="zh-CN" w:bidi="ar-SA"/>
        </w:rPr>
        <w:t>一是强化理论武装。深入学习领会习近平新时代中国特色社会主义思想，常态化开展党史学习教育，严格落实党内组织生活，召开理论学习中心组集体学习6场次，开展“第一议题”学习20次。二是注重业务能力培训。5月开展《信访工作条例》专题学习培训，7、8月份</w:t>
      </w:r>
      <w:r>
        <w:rPr>
          <w:rFonts w:hint="default" w:ascii="Times New Roman" w:hAnsi="Times New Roman" w:eastAsia="仿宋_GB2312" w:cs="Times New Roman"/>
          <w:color w:val="000000"/>
          <w:spacing w:val="0"/>
          <w:sz w:val="32"/>
          <w:szCs w:val="32"/>
          <w:lang w:val="en-US" w:eastAsia="zh-CN"/>
        </w:rPr>
        <w:t>先后选派30余名信访干部参加市、区组织的信访业务能力提升专题培训班，</w:t>
      </w:r>
      <w:r>
        <w:rPr>
          <w:rFonts w:hint="default" w:ascii="Times New Roman" w:hAnsi="Times New Roman" w:eastAsia="仿宋_GB2312" w:cs="Times New Roman"/>
          <w:sz w:val="32"/>
          <w:szCs w:val="32"/>
          <w:lang w:val="en-US" w:eastAsia="zh-CN"/>
        </w:rPr>
        <w:t>11月17日安排分管领导及办信人员参加市委群工局组织的群众来信办理业务培训会，进一步</w:t>
      </w:r>
      <w:r>
        <w:rPr>
          <w:rFonts w:hint="default" w:ascii="Times New Roman" w:hAnsi="Times New Roman" w:eastAsia="仿宋_GB2312" w:cs="Times New Roman"/>
          <w:sz w:val="32"/>
          <w:szCs w:val="32"/>
        </w:rPr>
        <w:t>提</w:t>
      </w:r>
      <w:r>
        <w:rPr>
          <w:rFonts w:hint="default" w:ascii="Times New Roman" w:hAnsi="Times New Roman" w:eastAsia="仿宋_GB2312" w:cs="Times New Roman"/>
          <w:sz w:val="32"/>
          <w:szCs w:val="32"/>
          <w:lang w:val="en-US" w:eastAsia="zh-CN"/>
        </w:rPr>
        <w:t>高</w:t>
      </w:r>
      <w:r>
        <w:rPr>
          <w:rFonts w:hint="default" w:ascii="Times New Roman" w:hAnsi="Times New Roman" w:eastAsia="仿宋_GB2312" w:cs="Times New Roman"/>
          <w:sz w:val="32"/>
          <w:szCs w:val="32"/>
        </w:rPr>
        <w:t>干部</w:t>
      </w:r>
      <w:r>
        <w:rPr>
          <w:rFonts w:hint="default" w:ascii="Times New Roman" w:hAnsi="Times New Roman" w:eastAsia="仿宋_GB2312" w:cs="Times New Roman"/>
          <w:sz w:val="32"/>
          <w:szCs w:val="32"/>
          <w:lang w:val="en-US" w:eastAsia="zh-CN"/>
        </w:rPr>
        <w:t>接访、办信</w:t>
      </w:r>
      <w:r>
        <w:rPr>
          <w:rFonts w:hint="default" w:ascii="Times New Roman" w:hAnsi="Times New Roman" w:eastAsia="仿宋_GB2312" w:cs="Times New Roman"/>
          <w:sz w:val="32"/>
          <w:szCs w:val="32"/>
        </w:rPr>
        <w:t>的能力和水平</w:t>
      </w:r>
      <w:r>
        <w:rPr>
          <w:rFonts w:hint="default" w:ascii="Times New Roman" w:hAnsi="Times New Roman" w:eastAsia="仿宋_GB2312" w:cs="Times New Roman"/>
          <w:color w:val="000000"/>
          <w:spacing w:val="0"/>
          <w:sz w:val="32"/>
          <w:szCs w:val="32"/>
          <w:lang w:val="en-US" w:eastAsia="zh-CN"/>
        </w:rPr>
        <w:t>。三是切实改进作风。持续开展形式主义、官僚主义整治，股室干部分片联系督导各镇、区级各部门信访业务工作，班子成员每天到接访室轮班接访，每月至少1天深入基层一线接访约访、带案下访。</w:t>
      </w:r>
      <w:r>
        <w:rPr>
          <w:rFonts w:hint="default" w:ascii="Times New Roman" w:hAnsi="Times New Roman" w:eastAsia="楷体_GB2312" w:cs="Times New Roman"/>
          <w:color w:val="000000"/>
          <w:kern w:val="2"/>
          <w:sz w:val="32"/>
          <w:szCs w:val="32"/>
          <w:lang w:val="en-US" w:eastAsia="zh-CN" w:bidi="ar-SA"/>
        </w:rPr>
        <w:t>（七）着力围绕中心，在服务大局上求突破。</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持续做好定点帮扶工作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按照巩固拓展脱贫攻坚成果同乡村振兴有效衔接决策部署，及时调整优化帮扶力量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选派1名“第一书记”和1名工作队员脱产驻村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落实每名干部结对帮扶5户脱贫户，</w:t>
      </w:r>
      <w:r>
        <w:rPr>
          <w:rFonts w:hint="default" w:ascii="Times New Roman" w:hAnsi="Times New Roman" w:eastAsia="仿宋_GB2312" w:cs="Times New Roman"/>
          <w:sz w:val="32"/>
          <w:szCs w:val="32"/>
        </w:rPr>
        <w:t>不断提高帮扶成效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巩固“两不愁三保障”成果，</w:t>
      </w:r>
      <w:r>
        <w:rPr>
          <w:rFonts w:hint="default" w:ascii="Times New Roman" w:hAnsi="Times New Roman" w:eastAsia="仿宋_GB2312" w:cs="Times New Roman"/>
          <w:sz w:val="32"/>
          <w:szCs w:val="32"/>
          <w:lang w:val="en-US" w:eastAsia="zh-CN"/>
        </w:rPr>
        <w:t>持续</w:t>
      </w:r>
      <w:r>
        <w:rPr>
          <w:rFonts w:hint="default" w:ascii="Times New Roman" w:hAnsi="Times New Roman" w:eastAsia="仿宋_GB2312" w:cs="Times New Roman"/>
          <w:sz w:val="32"/>
          <w:szCs w:val="32"/>
        </w:rPr>
        <w:t>推进</w:t>
      </w:r>
      <w:r>
        <w:rPr>
          <w:rFonts w:hint="default" w:ascii="Times New Roman" w:hAnsi="Times New Roman" w:eastAsia="仿宋_GB2312" w:cs="Times New Roman"/>
          <w:sz w:val="32"/>
          <w:szCs w:val="32"/>
          <w:lang w:val="en-US" w:eastAsia="zh-CN"/>
        </w:rPr>
        <w:t>五房</w:t>
      </w:r>
      <w:r>
        <w:rPr>
          <w:rFonts w:hint="default" w:ascii="Times New Roman" w:hAnsi="Times New Roman" w:eastAsia="仿宋_GB2312" w:cs="Times New Roman"/>
          <w:sz w:val="32"/>
          <w:szCs w:val="32"/>
        </w:rPr>
        <w:t>村发展和群众生活改善。</w:t>
      </w:r>
      <w:r>
        <w:rPr>
          <w:rFonts w:hint="default" w:ascii="Times New Roman" w:hAnsi="Times New Roman" w:eastAsia="仿宋_GB2312" w:cs="Times New Roman"/>
          <w:sz w:val="32"/>
          <w:szCs w:val="32"/>
          <w:lang w:val="en-US" w:eastAsia="zh-CN"/>
        </w:rPr>
        <w:t>二是深化“党建+法治+信访”工作模式。自觉践行总体国家安全观，牢牢</w:t>
      </w:r>
      <w:r>
        <w:rPr>
          <w:rFonts w:hint="default" w:ascii="Times New Roman" w:hAnsi="Times New Roman" w:eastAsia="仿宋_GB2312" w:cs="Times New Roman"/>
          <w:sz w:val="32"/>
          <w:szCs w:val="32"/>
        </w:rPr>
        <w:t>把握意识形态工作主动权和领导权，</w:t>
      </w:r>
      <w:r>
        <w:rPr>
          <w:rFonts w:hint="default" w:ascii="Times New Roman" w:hAnsi="Times New Roman" w:eastAsia="仿宋_GB2312" w:cs="Times New Roman"/>
          <w:sz w:val="32"/>
          <w:szCs w:val="32"/>
          <w:lang w:val="en-US" w:eastAsia="zh-CN"/>
        </w:rPr>
        <w:t>认真</w:t>
      </w:r>
      <w:r>
        <w:rPr>
          <w:rFonts w:hint="eastAsia" w:ascii="Times New Roman" w:hAnsi="Times New Roman" w:eastAsia="仿宋_GB2312" w:cs="Times New Roman"/>
          <w:sz w:val="32"/>
          <w:szCs w:val="32"/>
          <w:lang w:val="en-US" w:eastAsia="zh-CN"/>
        </w:rPr>
        <w:t>落实全面从严治党</w:t>
      </w:r>
      <w:r>
        <w:rPr>
          <w:rFonts w:hint="default" w:ascii="Times New Roman" w:hAnsi="Times New Roman" w:eastAsia="仿宋_GB2312" w:cs="Times New Roman"/>
          <w:sz w:val="32"/>
          <w:szCs w:val="32"/>
          <w:lang w:val="en-US" w:eastAsia="zh-CN"/>
        </w:rPr>
        <w:t>、财政、防邪、平安昭化建设等各项任务，排查梳理涉损害营商环境、生态环境、耕地保护等信访事项20余件，明确专人跟踪督办。</w:t>
      </w:r>
      <w:r>
        <w:rPr>
          <w:rFonts w:hint="default" w:ascii="Times New Roman" w:hAnsi="Times New Roman" w:eastAsia="仿宋_GB2312" w:cs="Times New Roman"/>
          <w:sz w:val="32"/>
          <w:szCs w:val="32"/>
        </w:rPr>
        <w:t>深入学习贯彻习近平法治思想，大力推进信访法治化建设，深化信访制度改革</w:t>
      </w:r>
      <w:r>
        <w:rPr>
          <w:rFonts w:hint="default" w:ascii="Times New Roman" w:hAnsi="Times New Roman" w:eastAsia="仿宋_GB2312" w:cs="Times New Roman"/>
          <w:color w:val="000000"/>
          <w:spacing w:val="0"/>
          <w:sz w:val="32"/>
          <w:szCs w:val="32"/>
          <w:lang w:val="en-US" w:eastAsia="zh-CN"/>
        </w:rPr>
        <w:t>，</w:t>
      </w:r>
      <w:r>
        <w:rPr>
          <w:rFonts w:hint="default" w:ascii="Times New Roman" w:hAnsi="Times New Roman" w:eastAsia="仿宋_GB2312" w:cs="Times New Roman"/>
          <w:sz w:val="32"/>
          <w:szCs w:val="32"/>
          <w:lang w:val="en-US" w:eastAsia="zh-CN"/>
        </w:rPr>
        <w:t>充分发挥信访服务最大力量，广聚基层善治合力，力促城乡治理提质增效。三是常态开展志愿服务。局机关8名</w:t>
      </w:r>
      <w:r>
        <w:rPr>
          <w:rFonts w:hint="default" w:ascii="Times New Roman" w:hAnsi="Times New Roman" w:eastAsia="仿宋_GB2312" w:cs="Times New Roman"/>
          <w:sz w:val="32"/>
          <w:szCs w:val="32"/>
        </w:rPr>
        <w:t>党员干部</w:t>
      </w:r>
      <w:r>
        <w:rPr>
          <w:rFonts w:hint="default" w:ascii="Times New Roman" w:hAnsi="Times New Roman" w:eastAsia="仿宋_GB2312" w:cs="Times New Roman"/>
          <w:sz w:val="32"/>
          <w:szCs w:val="32"/>
          <w:lang w:val="en-US" w:eastAsia="zh-CN"/>
        </w:rPr>
        <w:t>分别到马克思街社区、射箭镇五房村党支部</w:t>
      </w:r>
      <w:r>
        <w:rPr>
          <w:rFonts w:hint="default" w:ascii="Times New Roman" w:hAnsi="Times New Roman" w:eastAsia="仿宋_GB2312" w:cs="Times New Roman"/>
          <w:sz w:val="32"/>
          <w:szCs w:val="32"/>
        </w:rPr>
        <w:t>“双报到”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全力配合协助</w:t>
      </w:r>
      <w:r>
        <w:rPr>
          <w:rFonts w:hint="default" w:ascii="Times New Roman" w:hAnsi="Times New Roman" w:eastAsia="仿宋_GB2312" w:cs="Times New Roman"/>
          <w:sz w:val="32"/>
          <w:szCs w:val="32"/>
          <w:lang w:val="en-US" w:eastAsia="zh-CN"/>
        </w:rPr>
        <w:t>包联共建</w:t>
      </w:r>
      <w:r>
        <w:rPr>
          <w:rFonts w:hint="default" w:ascii="Times New Roman" w:hAnsi="Times New Roman" w:eastAsia="仿宋_GB2312" w:cs="Times New Roman"/>
          <w:sz w:val="32"/>
          <w:szCs w:val="32"/>
        </w:rPr>
        <w:t>社区开展疫情防控、文明城市创建等重点工作，</w:t>
      </w:r>
      <w:r>
        <w:rPr>
          <w:rFonts w:hint="default" w:ascii="Times New Roman" w:hAnsi="Times New Roman" w:eastAsia="仿宋_GB2312" w:cs="Times New Roman"/>
          <w:sz w:val="32"/>
          <w:szCs w:val="32"/>
          <w:lang w:val="en-US" w:eastAsia="zh-CN"/>
        </w:rPr>
        <w:t>认真组织开展“红色星期六”志愿服务活动，全年开展环境卫生整治40余次，文明交通劝导2次，核酸检测点志愿服务3次，元坝高速路出口卡点值班2人次。</w:t>
      </w:r>
    </w:p>
    <w:p w14:paraId="7DC030F9">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二、部门预算单位构成</w:t>
      </w:r>
    </w:p>
    <w:p w14:paraId="055BFBD1">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default"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w:t>
      </w:r>
      <w:r>
        <w:rPr>
          <w:rFonts w:hint="eastAsia" w:ascii="仿宋_GB2312" w:hAnsi="仿宋_GB2312" w:eastAsia="仿宋_GB2312" w:cs="仿宋_GB2312"/>
          <w:sz w:val="32"/>
          <w:szCs w:val="32"/>
          <w:lang w:val="en-US" w:eastAsia="zh-CN"/>
        </w:rPr>
        <w:t>为一级预算单位，无下属二级预算单位。</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其中行政单位</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个，参照公务员法管理的事业单位</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个，其他事业单位0个。</w:t>
      </w:r>
    </w:p>
    <w:p w14:paraId="6D34EC28">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三、收支预算情况说明</w:t>
      </w:r>
    </w:p>
    <w:p w14:paraId="2FC0A5CB">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按照综合预算的原则，区委群工局所有收入和支出均纳入部门预算管理。收入包括：一般公共预算拨款收入、上年结转；支出包括：一般公共服务支出、教育支出、社会保障和就业支出、卫生健康支出、住房保障支出。</w:t>
      </w:r>
      <w:r>
        <w:rPr>
          <w:rFonts w:hint="eastAsia" w:ascii="仿宋_GB2312" w:hAnsi="仿宋_GB2312" w:eastAsia="仿宋_GB2312" w:cs="仿宋_GB2312"/>
          <w:i w:val="0"/>
          <w:iCs w:val="0"/>
          <w:caps w:val="0"/>
          <w:color w:val="333333"/>
          <w:spacing w:val="0"/>
          <w:sz w:val="32"/>
          <w:szCs w:val="32"/>
          <w:shd w:val="clear" w:fill="FFFFFF"/>
        </w:rPr>
        <w:t>区委群工局2022年部门综合预算收入173.6万元，较2021年部门综合预算收入171.66万元，增加1.94万元，增长1.13%，增加的主要原因是人员增加。</w:t>
      </w:r>
    </w:p>
    <w:p w14:paraId="5AC8A6F5">
      <w:pPr>
        <w:keepNext w:val="0"/>
        <w:keepLines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default" w:ascii="Times New Roman" w:hAnsi="Times New Roman" w:cs="Times New Roman"/>
          <w:i w:val="0"/>
          <w:caps w:val="0"/>
          <w:color w:val="333333"/>
          <w:spacing w:val="0"/>
          <w:sz w:val="32"/>
          <w:szCs w:val="32"/>
          <w:highlight w:val="none"/>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收入预算情况</w:t>
      </w:r>
    </w:p>
    <w:p w14:paraId="4991DCA7">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区委群工局2022年收入预算</w:t>
      </w:r>
      <w:r>
        <w:rPr>
          <w:rFonts w:hint="eastAsia" w:ascii="仿宋_GB2312" w:hAnsi="仿宋_GB2312" w:eastAsia="仿宋_GB2312" w:cs="仿宋_GB2312"/>
          <w:i w:val="0"/>
          <w:iCs w:val="0"/>
          <w:caps w:val="0"/>
          <w:color w:val="333333"/>
          <w:spacing w:val="0"/>
          <w:sz w:val="32"/>
          <w:szCs w:val="32"/>
          <w:shd w:val="clear" w:fill="FFFFFF"/>
        </w:rPr>
        <w:t>173.6</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万元，一般公共预算拨款收入</w:t>
      </w:r>
      <w:r>
        <w:rPr>
          <w:rFonts w:hint="eastAsia" w:ascii="仿宋_GB2312" w:hAnsi="仿宋_GB2312" w:eastAsia="仿宋_GB2312" w:cs="仿宋_GB2312"/>
          <w:i w:val="0"/>
          <w:iCs w:val="0"/>
          <w:caps w:val="0"/>
          <w:color w:val="333333"/>
          <w:spacing w:val="0"/>
          <w:sz w:val="32"/>
          <w:szCs w:val="32"/>
          <w:shd w:val="clear" w:fill="FFFFFF"/>
        </w:rPr>
        <w:t>173.6</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100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p>
    <w:p w14:paraId="45AE79E5">
      <w:pPr>
        <w:keepNext w:val="0"/>
        <w:keepLines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3" w:firstLineChars="200"/>
        <w:jc w:val="both"/>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支出预算情况</w:t>
      </w:r>
    </w:p>
    <w:p w14:paraId="47C3F8BF">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区委群工局2022年支出预算</w:t>
      </w:r>
      <w:r>
        <w:rPr>
          <w:rFonts w:hint="eastAsia" w:ascii="仿宋_GB2312" w:hAnsi="仿宋_GB2312" w:eastAsia="仿宋_GB2312" w:cs="仿宋_GB2312"/>
          <w:i w:val="0"/>
          <w:iCs w:val="0"/>
          <w:caps w:val="0"/>
          <w:color w:val="333333"/>
          <w:spacing w:val="0"/>
          <w:sz w:val="32"/>
          <w:szCs w:val="32"/>
          <w:shd w:val="clear" w:fill="FFFFFF"/>
        </w:rPr>
        <w:t>173.6</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万元，其中：基本支出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124.77</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71.87</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%；项目支出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48.83</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28.12</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p>
    <w:p w14:paraId="79523C51">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四、财政拨款收支预算情况说明</w:t>
      </w:r>
    </w:p>
    <w:p w14:paraId="44426FD7">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960" w:firstLineChars="300"/>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区委群工局2022年财政拨款收支总预算</w:t>
      </w:r>
      <w:r>
        <w:rPr>
          <w:rFonts w:hint="eastAsia" w:ascii="仿宋_GB2312" w:hAnsi="仿宋_GB2312" w:eastAsia="仿宋_GB2312" w:cs="仿宋_GB2312"/>
          <w:i w:val="0"/>
          <w:iCs w:val="0"/>
          <w:caps w:val="0"/>
          <w:color w:val="333333"/>
          <w:spacing w:val="0"/>
          <w:sz w:val="32"/>
          <w:szCs w:val="32"/>
          <w:shd w:val="clear" w:fill="FFFFFF"/>
        </w:rPr>
        <w:t>173.6</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w:t>
      </w:r>
      <w:r>
        <w:rPr>
          <w:rFonts w:hint="eastAsia" w:ascii="仿宋_GB2312" w:hAnsi="仿宋_GB2312" w:eastAsia="仿宋_GB2312" w:cs="仿宋_GB2312"/>
          <w:i w:val="0"/>
          <w:iCs w:val="0"/>
          <w:caps w:val="0"/>
          <w:color w:val="333333"/>
          <w:spacing w:val="0"/>
          <w:sz w:val="32"/>
          <w:szCs w:val="32"/>
          <w:shd w:val="clear" w:fill="FFFFFF"/>
        </w:rPr>
        <w:t>较2021年部门综合预算支出171.66万元，增加1.94万元，增长1.13%，增加的主要原因是人员增加。</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收入包括：本年一般公共预算拨款收入173.6万元。</w:t>
      </w:r>
      <w:r>
        <w:rPr>
          <w:rFonts w:hint="eastAsia" w:ascii="仿宋_GB2312" w:hAnsi="仿宋_GB2312" w:eastAsia="仿宋_GB2312" w:cs="仿宋_GB2312"/>
          <w:i w:val="0"/>
          <w:iCs w:val="0"/>
          <w:caps w:val="0"/>
          <w:color w:val="333333"/>
          <w:spacing w:val="0"/>
          <w:sz w:val="32"/>
          <w:szCs w:val="32"/>
          <w:shd w:val="clear" w:fill="FFFFFF"/>
        </w:rPr>
        <w:t>基本支出预算124.77万元，其中：人员支出113.57万元（包括工资、奖金津补贴、社会保障缴费、住房公积金、其他工资福利支出），公用支出11.2万元（包括办公经费、公务接待）。</w:t>
      </w:r>
    </w:p>
    <w:p w14:paraId="317EB782">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960" w:firstLineChars="3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五、一般公共预算当年拨款情况说明</w:t>
      </w:r>
    </w:p>
    <w:p w14:paraId="52BDA106">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（一）一般公共预算当年拨款规模变化情况</w:t>
      </w:r>
    </w:p>
    <w:p w14:paraId="6A42D857">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区委群工局2022年一般公共预算当年拨款</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173.6</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万元，比2021年预算数增加1.94万元，主要原因是人员增加。</w:t>
      </w:r>
    </w:p>
    <w:p w14:paraId="1AB460C9">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（二）一般公共预算当年拨款结构情况</w:t>
      </w:r>
    </w:p>
    <w:p w14:paraId="0FDF3B60">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一般公共服务支出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147.47</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84.94</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%；社会保障和就业支出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13.96</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8</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%；卫生健康支出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4.44</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2.5</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%；住房保障支出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9.12</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5.2</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p>
    <w:p w14:paraId="22C74669">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hAnsi="Times New Roman" w:eastAsia="仿宋_GB2312" w:cs="仿宋_GB2312"/>
          <w:i w:val="0"/>
          <w:caps w:val="0"/>
          <w:color w:val="FF0000"/>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（三）一般公共预算当年拨款具体使用情况：</w:t>
      </w:r>
    </w:p>
    <w:p w14:paraId="0F088E29">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964" w:firstLineChars="300"/>
        <w:jc w:val="both"/>
        <w:rPr>
          <w:rFonts w:hint="eastAsia" w:ascii="仿宋_GB2312" w:hAnsi="Times New Roman" w:eastAsia="仿宋_GB2312" w:cs="仿宋_GB2312"/>
          <w:i w:val="0"/>
          <w:caps w:val="0"/>
          <w:color w:val="333333"/>
          <w:spacing w:val="0"/>
          <w:kern w:val="0"/>
          <w:sz w:val="32"/>
          <w:szCs w:val="32"/>
          <w:highlight w:val="yellow"/>
          <w:shd w:val="clear" w:color="auto" w:fill="FFFFFF"/>
          <w:lang w:val="en-US" w:eastAsia="zh-CN" w:bidi="ar"/>
        </w:rPr>
      </w:pPr>
      <w:r>
        <w:rPr>
          <w:rStyle w:val="8"/>
          <w:rFonts w:hint="eastAsia" w:ascii="仿宋" w:hAnsi="仿宋" w:eastAsia="仿宋"/>
          <w:bCs/>
          <w:color w:val="000000"/>
          <w:sz w:val="32"/>
          <w:szCs w:val="32"/>
          <w:highlight w:val="none"/>
          <w:lang w:val="en-US" w:eastAsia="zh-CN"/>
        </w:rPr>
        <w:t>1.一</w:t>
      </w:r>
      <w:r>
        <w:rPr>
          <w:rStyle w:val="8"/>
          <w:rFonts w:hint="eastAsia" w:ascii="仿宋_GB2312" w:eastAsia="仿宋_GB2312"/>
          <w:color w:val="000000"/>
          <w:sz w:val="32"/>
          <w:szCs w:val="32"/>
          <w:highlight w:val="none"/>
        </w:rPr>
        <w:t>般公共服务</w:t>
      </w:r>
      <w:r>
        <w:rPr>
          <w:rStyle w:val="8"/>
          <w:rFonts w:hint="eastAsia" w:ascii="仿宋_GB2312" w:eastAsia="仿宋_GB2312"/>
          <w:bCs/>
          <w:color w:val="000000"/>
          <w:sz w:val="32"/>
          <w:szCs w:val="32"/>
          <w:highlight w:val="none"/>
        </w:rPr>
        <w:t>（类）</w:t>
      </w:r>
      <w:r>
        <w:rPr>
          <w:rStyle w:val="8"/>
          <w:rFonts w:hint="eastAsia" w:ascii="仿宋_GB2312" w:eastAsia="仿宋_GB2312"/>
          <w:bCs/>
          <w:color w:val="000000"/>
          <w:sz w:val="32"/>
          <w:szCs w:val="32"/>
          <w:highlight w:val="none"/>
          <w:lang w:val="en-US" w:eastAsia="zh-CN"/>
        </w:rPr>
        <w:t>党委</w:t>
      </w:r>
      <w:r>
        <w:rPr>
          <w:rStyle w:val="8"/>
          <w:rFonts w:hint="eastAsia" w:ascii="仿宋_GB2312" w:eastAsia="仿宋_GB2312"/>
          <w:bCs/>
          <w:color w:val="000000"/>
          <w:sz w:val="32"/>
          <w:szCs w:val="32"/>
          <w:highlight w:val="none"/>
        </w:rPr>
        <w:t>办公厅（室）及相关机构事务（款）行政运行（项）</w:t>
      </w:r>
      <w:r>
        <w:rPr>
          <w:rStyle w:val="8"/>
          <w:rFonts w:ascii="仿宋" w:hAnsi="仿宋" w:eastAsia="仿宋"/>
          <w:bCs/>
          <w:color w:val="auto"/>
          <w:sz w:val="32"/>
          <w:szCs w:val="32"/>
          <w:highlight w:val="none"/>
        </w:rPr>
        <w:t>:</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2022年预算数为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147.47</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万元，主要用于：预算的人员经费和保单位基本运转相关经费。</w:t>
      </w:r>
    </w:p>
    <w:p w14:paraId="1BD49E20">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2.卫生健康（类）行政事业单位医疗（款）行政单位医疗（项）2022年预算数为4.44万元，主要用于：机关及参公管理事业单位按规定由单位缴纳的基本医疗保险支出。</w:t>
      </w:r>
    </w:p>
    <w:p w14:paraId="5E0233A4">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3.住房保障（类）住房改革支出（款）住房公积金（项）2022年预算数为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9.12</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万元，主要用于：部门按规定为职工缴纳的住房公积金支出。</w:t>
      </w:r>
    </w:p>
    <w:p w14:paraId="201D4FF9">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4.社会保障和就业（类）行政事业单位养老支出（款）机关事业单位基本养老保险缴费支出（项）2022年预算数为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13.53</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万元，主要用于：实施养老保险制度由单位缴纳的基本养老保险支出。</w:t>
      </w:r>
    </w:p>
    <w:p w14:paraId="1D5B644C">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六、一般公共预算基本支出情况说明</w:t>
      </w:r>
    </w:p>
    <w:p w14:paraId="396032CA">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区委群工局2022年一般公共预算基本支出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124.77</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万元，其中：人员经费</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113.57</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万元，主要包括：基本工资、津贴补贴、奖金、其他社会保障缴费、职工基本医疗保险缴费、机关事业单位基本养老保险缴费、绩效工资、奖励金、生活补助、住房公积金等支出。</w:t>
      </w:r>
    </w:p>
    <w:p w14:paraId="02528EF4">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b/>
          <w:bCs/>
          <w:i w:val="0"/>
          <w:caps w:val="0"/>
          <w:color w:val="FF0000"/>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公用经费</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11.2</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万元，主要包括：办公费、印刷费、电费、邮电费、差旅费、维修（护）费、会议费、公务接待费、工会经费、公务交通补贴、其他交通费用等支出。</w:t>
      </w:r>
    </w:p>
    <w:p w14:paraId="06F62D27">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“三公”经费财政拨款预算安排情况说明</w:t>
      </w:r>
    </w:p>
    <w:p w14:paraId="711E5B12">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区委群工局2022年“三公”经费财政拨款预算数</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2.95</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万元，其中：公务接待费</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2.95</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万元，公务用车购置及运行维护费</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万元，因公出国（境）经费</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xml:space="preserve">万元。 </w:t>
      </w:r>
    </w:p>
    <w:p w14:paraId="7796A61D">
      <w:pPr>
        <w:keepNext w:val="0"/>
        <w:keepLines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default" w:ascii="Times New Roman" w:hAnsi="Times New Roman" w:cs="Times New Roman"/>
          <w:i w:val="0"/>
          <w:caps w:val="0"/>
          <w:color w:val="333333"/>
          <w:spacing w:val="0"/>
          <w:sz w:val="32"/>
          <w:szCs w:val="32"/>
          <w:highlight w:val="none"/>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公务接待费与2021年预算相比。</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2022年公务接待费计划用于执行接待考察调研、检查指导等公务活动开支的交通费、住宿费、用餐费等，与2021年相比持平。</w:t>
      </w:r>
    </w:p>
    <w:p w14:paraId="427E1C90">
      <w:pPr>
        <w:keepNext w:val="0"/>
        <w:keepLines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3"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公务用车购置及运行维护费与2021年预算相比持平。</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单位现有公务用车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辆，其中：轿车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辆，旅行车（含商务车）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辆，越野车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辆。2022年安排公务用车运行维护费0万元。</w:t>
      </w:r>
    </w:p>
    <w:p w14:paraId="64531C5F">
      <w:pPr>
        <w:keepNext w:val="0"/>
        <w:keepLines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3" w:firstLineChars="2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因公出国（境）经费</w:t>
      </w:r>
      <w:r>
        <w:rPr>
          <w:rFonts w:hint="eastAsia" w:ascii="楷体_GB2312" w:hAnsi="Times New Roman" w:eastAsia="楷体_GB2312" w:cs="楷体_GB2312"/>
          <w:b/>
          <w:bCs/>
          <w:i w:val="0"/>
          <w:caps w:val="0"/>
          <w:color w:val="333333"/>
          <w:spacing w:val="0"/>
          <w:kern w:val="0"/>
          <w:sz w:val="32"/>
          <w:szCs w:val="32"/>
          <w:highlight w:val="none"/>
          <w:shd w:val="clear" w:color="auto" w:fill="FFFFFF"/>
          <w:lang w:val="en-US" w:eastAsia="zh-CN" w:bidi="ar"/>
        </w:rPr>
        <w:t>与2021年预算相比持平。</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区委群工局2022年没有</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因公出国（境）</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xml:space="preserve">预算拨款安排的支出。           </w:t>
      </w:r>
    </w:p>
    <w:p w14:paraId="2B2B7F85">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xml:space="preserve">  </w:t>
      </w:r>
      <w:r>
        <w:rPr>
          <w:rFonts w:hint="eastAsia" w:ascii="黑体" w:hAnsi="黑体" w:eastAsia="黑体" w:cs="黑体"/>
          <w:i w:val="0"/>
          <w:caps w:val="0"/>
          <w:color w:val="333333"/>
          <w:spacing w:val="0"/>
          <w:kern w:val="0"/>
          <w:sz w:val="32"/>
          <w:szCs w:val="32"/>
          <w:highlight w:val="none"/>
          <w:shd w:val="clear" w:color="auto" w:fill="FFFFFF"/>
          <w:lang w:val="en-US" w:eastAsia="zh-CN" w:bidi="ar"/>
        </w:rPr>
        <w:t>八、</w:t>
      </w:r>
      <w:r>
        <w:rPr>
          <w:rFonts w:hint="eastAsia" w:ascii="黑体" w:hAnsi="宋体" w:eastAsia="黑体" w:cs="黑体"/>
          <w:i w:val="0"/>
          <w:caps w:val="0"/>
          <w:color w:val="333333"/>
          <w:spacing w:val="0"/>
          <w:kern w:val="0"/>
          <w:sz w:val="32"/>
          <w:szCs w:val="32"/>
          <w:highlight w:val="none"/>
          <w:shd w:val="clear" w:color="auto" w:fill="FFFFFF"/>
          <w:lang w:val="en-US" w:eastAsia="zh-CN" w:bidi="ar"/>
        </w:rPr>
        <w:t>政府性基金预算支出情况说明</w:t>
      </w:r>
    </w:p>
    <w:p w14:paraId="2E1DABA9">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区委群工局2022年没有使用政府性基金预算拨款安排的支出。</w:t>
      </w:r>
    </w:p>
    <w:p w14:paraId="0F55BD03">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九、国有资本经营预算支出情况说明</w:t>
      </w:r>
    </w:p>
    <w:p w14:paraId="5258C8AC">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区委群工局2022年没有使用国有资本经营预算拨款安排的支出。</w:t>
      </w:r>
    </w:p>
    <w:p w14:paraId="30A47706">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十、其他重要事项的情况说明</w:t>
      </w:r>
    </w:p>
    <w:p w14:paraId="2BAF52EC">
      <w:pPr>
        <w:keepNext w:val="0"/>
        <w:keepLines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机关运行经费</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2022年，区委群工局的机关运行经费财政拨款预算为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60.03</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万元，比2021年预算减少1.72万元，下降2.8%。主要原因是压减行政成本，节约开支。</w:t>
      </w:r>
    </w:p>
    <w:p w14:paraId="37E0AD89">
      <w:pPr>
        <w:keepNext w:val="0"/>
        <w:keepLines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3" w:firstLineChars="200"/>
        <w:jc w:val="both"/>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政府采购情况</w:t>
      </w:r>
    </w:p>
    <w:p w14:paraId="4A247635">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960" w:firstLineChars="3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本单位本年度无政府采购预算。</w:t>
      </w:r>
    </w:p>
    <w:p w14:paraId="2E7A16B7">
      <w:pPr>
        <w:keepNext w:val="0"/>
        <w:keepLines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3" w:firstLineChars="200"/>
        <w:jc w:val="both"/>
        <w:rPr>
          <w:rFonts w:hint="eastAsia" w:ascii="仿宋_GB2312" w:hAnsi="微软雅黑" w:eastAsia="仿宋_GB2312" w:cs="仿宋_GB2312"/>
          <w:color w:val="auto"/>
          <w:sz w:val="31"/>
          <w:szCs w:val="31"/>
          <w:lang w:val="en-US" w:eastAsia="zh-CN"/>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国有资产占有使用情况</w:t>
      </w:r>
    </w:p>
    <w:p w14:paraId="1D920F4A">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截至2021年底，区委群工局共有车辆</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辆，其中，领导干部用车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辆、定向保障用车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辆、执法执勤用车0辆。单位价值0万元以上大型设备</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台（套）。</w:t>
      </w:r>
    </w:p>
    <w:p w14:paraId="0B4645EC">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(四)绩效目标编制情况</w:t>
      </w:r>
    </w:p>
    <w:p w14:paraId="39A539BD">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960" w:firstLineChars="3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绩效目标是预算编制的前提和基础，2022年区委群工局部门预算按申请项目资金年度预期达到的产出和效果,编制了“部门预算项目绩效目标申报表（2022年度）”，涉及项目7个 （含单位定额公用经费），金额60.03 万元;按年度全部部门预算资金达到的总体产出和效果编制了“整体支出绩效目标申报表”。</w:t>
      </w:r>
    </w:p>
    <w:p w14:paraId="0157CA20">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十一、名词解释</w:t>
      </w:r>
    </w:p>
    <w:p w14:paraId="437B1516">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（一）一般公共预算拨款收入：指省级财政当年拨付的资金。</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w:t>
      </w:r>
      <w:r>
        <w:rPr>
          <w:rFonts w:hint="eastAsia" w:ascii="仿宋_GB2312" w:hAnsi="仿宋_GB2312" w:eastAsia="仿宋_GB2312" w:cs="仿宋_GB2312"/>
          <w:sz w:val="32"/>
          <w:szCs w:val="32"/>
          <w:lang w:val="en-US" w:eastAsia="zh-CN"/>
        </w:rPr>
        <w:t>（二）上年结转：指以前年度尚未完成，结转到本年仍按原规定用途继续使用的资金。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（三）</w:t>
      </w:r>
      <w:r>
        <w:rPr>
          <w:rStyle w:val="8"/>
          <w:rFonts w:hint="eastAsia" w:ascii="仿宋" w:hAnsi="仿宋" w:eastAsia="仿宋"/>
          <w:b w:val="0"/>
          <w:bCs w:val="0"/>
          <w:color w:val="000000"/>
          <w:sz w:val="32"/>
          <w:szCs w:val="32"/>
          <w:highlight w:val="none"/>
          <w:lang w:val="en-US" w:eastAsia="zh-CN"/>
        </w:rPr>
        <w:t>一</w:t>
      </w:r>
      <w:r>
        <w:rPr>
          <w:rStyle w:val="8"/>
          <w:rFonts w:hint="eastAsia" w:ascii="仿宋_GB2312" w:eastAsia="仿宋_GB2312"/>
          <w:b w:val="0"/>
          <w:bCs w:val="0"/>
          <w:color w:val="000000"/>
          <w:sz w:val="32"/>
          <w:szCs w:val="32"/>
          <w:highlight w:val="none"/>
        </w:rPr>
        <w:t>般公共服务（类）</w:t>
      </w:r>
      <w:r>
        <w:rPr>
          <w:rStyle w:val="8"/>
          <w:rFonts w:hint="eastAsia" w:ascii="仿宋_GB2312" w:eastAsia="仿宋_GB2312"/>
          <w:b w:val="0"/>
          <w:bCs w:val="0"/>
          <w:color w:val="000000"/>
          <w:sz w:val="32"/>
          <w:szCs w:val="32"/>
          <w:highlight w:val="none"/>
          <w:lang w:val="en-US" w:eastAsia="zh-CN"/>
        </w:rPr>
        <w:t>党委</w:t>
      </w:r>
      <w:r>
        <w:rPr>
          <w:rStyle w:val="8"/>
          <w:rFonts w:hint="eastAsia" w:ascii="仿宋_GB2312" w:eastAsia="仿宋_GB2312"/>
          <w:b w:val="0"/>
          <w:bCs w:val="0"/>
          <w:color w:val="000000"/>
          <w:sz w:val="32"/>
          <w:szCs w:val="32"/>
          <w:highlight w:val="none"/>
        </w:rPr>
        <w:t>办公厅（室）及相关机构事务（款）行政运行（项）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：指机关单位用于保障机构正常运行、开展日常工作的基本支出。</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　　（四）一般公共服务</w:t>
      </w:r>
      <w:r>
        <w:rPr>
          <w:rStyle w:val="8"/>
          <w:rFonts w:hint="eastAsia" w:ascii="仿宋_GB2312" w:eastAsia="仿宋_GB2312"/>
          <w:b w:val="0"/>
          <w:bCs w:val="0"/>
          <w:color w:val="000000"/>
          <w:sz w:val="32"/>
          <w:szCs w:val="32"/>
          <w:highlight w:val="none"/>
        </w:rPr>
        <w:t>（类）</w:t>
      </w:r>
      <w:r>
        <w:rPr>
          <w:rStyle w:val="8"/>
          <w:rFonts w:hint="eastAsia" w:ascii="仿宋_GB2312" w:eastAsia="仿宋_GB2312"/>
          <w:b w:val="0"/>
          <w:bCs w:val="0"/>
          <w:color w:val="000000"/>
          <w:sz w:val="32"/>
          <w:szCs w:val="32"/>
          <w:highlight w:val="none"/>
          <w:lang w:val="en-US" w:eastAsia="zh-CN"/>
        </w:rPr>
        <w:t>党委</w:t>
      </w:r>
      <w:r>
        <w:rPr>
          <w:rStyle w:val="8"/>
          <w:rFonts w:hint="eastAsia" w:ascii="仿宋_GB2312" w:eastAsia="仿宋_GB2312"/>
          <w:b w:val="0"/>
          <w:bCs w:val="0"/>
          <w:color w:val="000000"/>
          <w:sz w:val="32"/>
          <w:szCs w:val="32"/>
          <w:highlight w:val="none"/>
        </w:rPr>
        <w:t>办公厅（室）及相关机构事务（款）行政运行（项）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：指</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机关单位开展信访维稳管理工作的项目支出。</w:t>
      </w:r>
    </w:p>
    <w:p w14:paraId="233FD06D">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（五）社会保障和就业（类）行政事业单位养老支出（款）事业单位离退休（项）：指事业单位离退休人员的支出。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（六）社会保障和就业（类）行政事业单位养老支出（款）行政单位离退休（项）：指行政及参公管理事业单位离退休人员的支出。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（七）社会保障和就业（类）行政事业单位养老支出（款）机关事业单位基本养老保险缴费支出（项）：指部门实施养老保险制度由单位缴纳的养老保险的支出。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（八）社会保障和就业（类）行政事业单位养老支出（款）机关事业单位职业年金缴费支出（项）：指部门实施养老保险制度由单位缴纳的职业年金的支出。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（九）卫生健康（类）行政事业单位医疗（款）行政单位医疗（项）：指机关及参公管理事业单位用于单位应缴纳基本医疗保险支出。</w:t>
      </w:r>
    </w:p>
    <w:p w14:paraId="1E28FE40">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（十）住房保障（类）住房改革支出（款）住房公积金（项）：指按照《住房公积金管理条例》的规定，由单位及其在职职工缴存的长期住房储金。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（十一）基本支出：指为保证机构正常运转，完成日常工作任务而发生的人员支出和公用支出。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（十二）项目支出：指在基本支出之外为完成特定行政任务和事业发展目标所发生的支出。</w:t>
      </w:r>
    </w:p>
    <w:p w14:paraId="1B9DDED2">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十三）“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十四）机关运行经费：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3A8544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附件1：部门预算公开表</w:t>
      </w:r>
    </w:p>
    <w:p w14:paraId="6FE009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附件2：部门预算项目绩效目标表</w:t>
      </w:r>
    </w:p>
    <w:p w14:paraId="45C1CAAE">
      <w:pPr>
        <w:pStyle w:val="2"/>
        <w:rPr>
          <w:rFonts w:hint="default"/>
          <w:lang w:val="en-US"/>
        </w:rPr>
      </w:pPr>
    </w:p>
    <w:p w14:paraId="0582C018">
      <w:pPr>
        <w:pStyle w:val="2"/>
        <w:rPr>
          <w:rFonts w:hint="eastAsia"/>
        </w:rPr>
      </w:pPr>
    </w:p>
    <w:p w14:paraId="4F8824FD">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825E05-AD68-4A87-AD22-66E475B5F8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0E183EE-C735-434A-8CDB-A032D09ED98F}"/>
  </w:font>
  <w:font w:name="楷体_GB2312">
    <w:panose1 w:val="02010609030101010101"/>
    <w:charset w:val="86"/>
    <w:family w:val="auto"/>
    <w:pitch w:val="default"/>
    <w:sig w:usb0="00000001" w:usb1="080E0000" w:usb2="00000000" w:usb3="00000000" w:csb0="00040000" w:csb1="00000000"/>
    <w:embedRegular r:id="rId3" w:fontKey="{F6DFF3F5-0B0A-45D5-860E-6912BB0383F3}"/>
  </w:font>
  <w:font w:name="仿宋_GB2312">
    <w:altName w:val="仿宋"/>
    <w:panose1 w:val="02010609030101010101"/>
    <w:charset w:val="86"/>
    <w:family w:val="auto"/>
    <w:pitch w:val="default"/>
    <w:sig w:usb0="00000000" w:usb1="00000000" w:usb2="00000000" w:usb3="00000000" w:csb0="00040000" w:csb1="00000000"/>
    <w:embedRegular r:id="rId4" w:fontKey="{F5FE546E-53EF-4EE8-8722-529E537F5364}"/>
  </w:font>
  <w:font w:name="仿宋">
    <w:panose1 w:val="02010609060101010101"/>
    <w:charset w:val="86"/>
    <w:family w:val="auto"/>
    <w:pitch w:val="default"/>
    <w:sig w:usb0="800002BF" w:usb1="38CF7CFA" w:usb2="00000016" w:usb3="00000000" w:csb0="00040001" w:csb1="00000000"/>
    <w:embedRegular r:id="rId5" w:fontKey="{2AB53E0B-E534-49EC-8586-50E9918E4B8E}"/>
  </w:font>
  <w:font w:name="微软雅黑">
    <w:panose1 w:val="020B0503020204020204"/>
    <w:charset w:val="86"/>
    <w:family w:val="auto"/>
    <w:pitch w:val="default"/>
    <w:sig w:usb0="80000287" w:usb1="2ACF3C50" w:usb2="00000016" w:usb3="00000000" w:csb0="0004001F" w:csb1="00000000"/>
    <w:embedRegular r:id="rId6" w:fontKey="{BBE41B45-0B49-4C97-B4A0-6DC4EF8DA7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74B29"/>
    <w:multiLevelType w:val="singleLevel"/>
    <w:tmpl w:val="99D74B29"/>
    <w:lvl w:ilvl="0" w:tentative="0">
      <w:start w:val="7"/>
      <w:numFmt w:val="chineseCounting"/>
      <w:suff w:val="nothing"/>
      <w:lvlText w:val="%1、"/>
      <w:lvlJc w:val="left"/>
      <w:rPr>
        <w:rFonts w:hint="eastAsia"/>
      </w:rPr>
    </w:lvl>
  </w:abstractNum>
  <w:abstractNum w:abstractNumId="1">
    <w:nsid w:val="BCC47A12"/>
    <w:multiLevelType w:val="singleLevel"/>
    <w:tmpl w:val="BCC47A12"/>
    <w:lvl w:ilvl="0" w:tentative="0">
      <w:start w:val="1"/>
      <w:numFmt w:val="chineseCounting"/>
      <w:suff w:val="nothing"/>
      <w:lvlText w:val="（%1）"/>
      <w:lvlJc w:val="left"/>
      <w:rPr>
        <w:rFonts w:hint="eastAsia"/>
      </w:rPr>
    </w:lvl>
  </w:abstractNum>
  <w:abstractNum w:abstractNumId="2">
    <w:nsid w:val="E546B5D4"/>
    <w:multiLevelType w:val="singleLevel"/>
    <w:tmpl w:val="E546B5D4"/>
    <w:lvl w:ilvl="0" w:tentative="0">
      <w:start w:val="1"/>
      <w:numFmt w:val="chineseCounting"/>
      <w:suff w:val="nothing"/>
      <w:lvlText w:val="（%1）"/>
      <w:lvlJc w:val="left"/>
      <w:rPr>
        <w:rFonts w:hint="eastAsia"/>
      </w:rPr>
    </w:lvl>
  </w:abstractNum>
  <w:abstractNum w:abstractNumId="3">
    <w:nsid w:val="2C900814"/>
    <w:multiLevelType w:val="singleLevel"/>
    <w:tmpl w:val="2C90081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6FC70556"/>
    <w:rsid w:val="14DD463A"/>
    <w:rsid w:val="23B72814"/>
    <w:rsid w:val="34B337A4"/>
    <w:rsid w:val="369D7CEC"/>
    <w:rsid w:val="3D1045D3"/>
    <w:rsid w:val="42CE077A"/>
    <w:rsid w:val="59BF33A4"/>
    <w:rsid w:val="63BA47FB"/>
    <w:rsid w:val="67685ECA"/>
    <w:rsid w:val="6FC70556"/>
    <w:rsid w:val="73DA1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w:basedOn w:val="1"/>
    <w:next w:val="4"/>
    <w:qFormat/>
    <w:uiPriority w:val="99"/>
    <w:pPr>
      <w:ind w:firstLine="630"/>
      <w:jc w:val="left"/>
    </w:pPr>
    <w:rPr>
      <w:rFonts w:eastAsia="黑体"/>
      <w:sz w:val="32"/>
      <w:szCs w:val="32"/>
    </w:rPr>
  </w:style>
  <w:style w:type="paragraph" w:styleId="4">
    <w:name w:val="Body Text First Indent 2"/>
    <w:basedOn w:val="3"/>
    <w:next w:val="1"/>
    <w:qFormat/>
    <w:uiPriority w:val="99"/>
    <w:pPr>
      <w:spacing w:after="120"/>
      <w:ind w:left="420" w:leftChars="200" w:firstLine="42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99"/>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6024</Words>
  <Characters>6743</Characters>
  <Lines>0</Lines>
  <Paragraphs>0</Paragraphs>
  <TotalTime>3</TotalTime>
  <ScaleCrop>false</ScaleCrop>
  <LinksUpToDate>false</LinksUpToDate>
  <CharactersWithSpaces>6792</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2023-03-28T08:53:00Z</dcterms:created>
  <dc:creator>Lenovo</dc:creator>
  <cp:lastModifiedBy>昭化融媒体</cp:lastModifiedBy>
  <dcterms:modified xsi:type="dcterms:W3CDTF">2024-12-05T03:02:43Z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A10D8E80E0E94F439F33E4E984ECE804</vt:lpwstr>
  </property>
</Properties>
</file>