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4B10F">
      <w:pPr>
        <w:adjustRightInd w:val="0"/>
        <w:snapToGrid w:val="0"/>
        <w:spacing w:line="360" w:lineRule="auto"/>
        <w:jc w:val="center"/>
        <w:outlineLvl w:val="0"/>
        <w:rPr>
          <w:rFonts w:hint="eastAsia" w:ascii="方正小标宋简体" w:hAnsi="宋体" w:eastAsia="方正小标宋简体"/>
          <w:color w:val="000000"/>
          <w:sz w:val="72"/>
          <w:szCs w:val="72"/>
        </w:rPr>
      </w:pPr>
      <w:bookmarkStart w:id="33" w:name="_GoBack"/>
      <w:bookmarkEnd w:id="33"/>
      <w:bookmarkStart w:id="0" w:name="_Toc15378441"/>
      <w:bookmarkStart w:id="1" w:name="_Toc15396475"/>
      <w:bookmarkStart w:id="2" w:name="_Toc15377193"/>
      <w:bookmarkStart w:id="3" w:name="_Toc15377425"/>
      <w:bookmarkStart w:id="4" w:name="_Toc15396597"/>
      <w:r>
        <w:rPr>
          <w:rFonts w:ascii="黑体" w:hAnsi="黑体" w:eastAsia="黑体"/>
          <w:color w:val="000000"/>
          <w:sz w:val="72"/>
          <w:szCs w:val="72"/>
        </w:rPr>
        <w:t>201</w:t>
      </w:r>
      <w:r>
        <w:rPr>
          <w:rFonts w:hint="eastAsia" w:ascii="黑体" w:hAnsi="黑体" w:eastAsia="黑体"/>
          <w:color w:val="000000"/>
          <w:sz w:val="72"/>
          <w:szCs w:val="72"/>
          <w:lang w:val="en-US" w:eastAsia="zh-CN"/>
        </w:rPr>
        <w:t>9</w:t>
      </w:r>
      <w:r>
        <w:rPr>
          <w:rFonts w:hint="eastAsia" w:ascii="方正小标宋简体" w:hAnsi="宋体" w:eastAsia="方正小标宋简体"/>
          <w:color w:val="000000"/>
          <w:sz w:val="72"/>
          <w:szCs w:val="72"/>
        </w:rPr>
        <w:t>年度</w:t>
      </w:r>
      <w:bookmarkEnd w:id="0"/>
      <w:bookmarkEnd w:id="1"/>
      <w:bookmarkEnd w:id="2"/>
      <w:bookmarkEnd w:id="3"/>
      <w:bookmarkEnd w:id="4"/>
    </w:p>
    <w:p w14:paraId="6552660E">
      <w:pPr>
        <w:widowControl/>
        <w:jc w:val="center"/>
        <w:rPr>
          <w:rFonts w:hint="eastAsia" w:ascii="方正小标宋简体" w:hAnsi="宋体" w:eastAsia="方正小标宋简体"/>
          <w:color w:val="000000"/>
          <w:sz w:val="72"/>
          <w:szCs w:val="72"/>
          <w:lang w:eastAsia="zh-CN"/>
        </w:rPr>
        <w:sectPr>
          <w:footerReference r:id="rId3" w:type="default"/>
          <w:pgSz w:w="11906" w:h="16838"/>
          <w:pgMar w:top="2098" w:right="1474" w:bottom="1984" w:left="1588" w:header="851" w:footer="992" w:gutter="0"/>
          <w:pgNumType w:fmt="numberInDash" w:start="1"/>
          <w:cols w:space="720" w:num="1"/>
          <w:docGrid w:type="lines" w:linePitch="312" w:charSpace="0"/>
        </w:sectPr>
      </w:pPr>
      <w:r>
        <w:rPr>
          <w:rFonts w:hint="eastAsia" w:ascii="方正小标宋简体" w:hAnsi="宋体" w:eastAsia="方正小标宋简体"/>
          <w:color w:val="000000"/>
          <w:sz w:val="72"/>
          <w:szCs w:val="72"/>
          <w:lang w:eastAsia="zh-CN"/>
        </w:rPr>
        <w:t>中共广元市昭化区委统战部部门决算</w:t>
      </w:r>
    </w:p>
    <w:p w14:paraId="573CBF38">
      <w:pPr>
        <w:widowControl/>
        <w:jc w:val="center"/>
        <w:rPr>
          <w:rFonts w:ascii="黑体" w:hAnsi="黑体" w:eastAsia="黑体"/>
          <w:color w:val="000000"/>
          <w:sz w:val="48"/>
          <w:szCs w:val="48"/>
        </w:rPr>
      </w:pPr>
      <w:r>
        <w:rPr>
          <w:rFonts w:hint="eastAsia" w:ascii="黑体" w:hAnsi="黑体" w:eastAsia="黑体"/>
          <w:color w:val="000000"/>
          <w:sz w:val="48"/>
          <w:szCs w:val="48"/>
        </w:rPr>
        <w:t>目</w:t>
      </w:r>
      <w:r>
        <w:rPr>
          <w:rFonts w:hint="eastAsia" w:ascii="黑体" w:hAnsi="黑体" w:eastAsia="黑体"/>
          <w:color w:val="000000"/>
          <w:sz w:val="48"/>
          <w:szCs w:val="48"/>
          <w:lang w:val="en-US" w:eastAsia="zh-CN"/>
        </w:rPr>
        <w:t xml:space="preserve">  </w:t>
      </w:r>
      <w:r>
        <w:rPr>
          <w:rFonts w:hint="eastAsia" w:ascii="黑体" w:hAnsi="黑体" w:eastAsia="黑体"/>
          <w:color w:val="000000"/>
          <w:sz w:val="48"/>
          <w:szCs w:val="48"/>
        </w:rPr>
        <w:t>录</w:t>
      </w:r>
    </w:p>
    <w:p w14:paraId="4AC1BD24">
      <w:pPr>
        <w:widowControl/>
        <w:jc w:val="center"/>
        <w:rPr>
          <w:rFonts w:ascii="黑体" w:hAnsi="黑体" w:eastAsia="黑体" w:cstheme="minorBidi"/>
          <w:sz w:val="28"/>
          <w:szCs w:val="28"/>
        </w:rPr>
      </w:pPr>
      <w:r>
        <w:rPr>
          <w:rFonts w:ascii="黑体" w:hAnsi="黑体" w:eastAsia="黑体"/>
          <w:color w:val="000000"/>
          <w:sz w:val="48"/>
          <w:szCs w:val="48"/>
        </w:rPr>
        <w:fldChar w:fldCharType="begin"/>
      </w:r>
      <w:r>
        <w:rPr>
          <w:rFonts w:ascii="黑体" w:hAnsi="黑体" w:eastAsia="黑体"/>
          <w:color w:val="000000"/>
          <w:sz w:val="48"/>
          <w:szCs w:val="48"/>
        </w:rPr>
        <w:instrText xml:space="preserve"> TOC \o "1-2" \h \z \u </w:instrText>
      </w:r>
      <w:r>
        <w:rPr>
          <w:rFonts w:ascii="黑体" w:hAnsi="黑体" w:eastAsia="黑体"/>
          <w:color w:val="000000"/>
          <w:sz w:val="48"/>
          <w:szCs w:val="48"/>
        </w:rPr>
        <w:fldChar w:fldCharType="separate"/>
      </w:r>
    </w:p>
    <w:p w14:paraId="19F3FC52">
      <w:pPr>
        <w:pStyle w:val="8"/>
        <w:ind w:firstLine="2520" w:firstLineChars="900"/>
        <w:jc w:val="both"/>
      </w:pPr>
      <w:r>
        <w:rPr>
          <w:rFonts w:hint="eastAsia"/>
        </w:rPr>
        <w:t>公开时间：20</w:t>
      </w:r>
      <w:r>
        <w:rPr>
          <w:rFonts w:hint="eastAsia"/>
          <w:lang w:val="en-US" w:eastAsia="zh-CN"/>
        </w:rPr>
        <w:t>20</w:t>
      </w:r>
      <w:r>
        <w:rPr>
          <w:rFonts w:hint="eastAsia"/>
        </w:rPr>
        <w:t>年</w:t>
      </w:r>
      <w:r>
        <w:rPr>
          <w:rFonts w:hint="eastAsia"/>
          <w:lang w:val="en-US" w:eastAsia="zh-CN"/>
        </w:rPr>
        <w:t>10</w:t>
      </w:r>
      <w:r>
        <w:rPr>
          <w:rFonts w:hint="eastAsia"/>
        </w:rPr>
        <w:t>月</w:t>
      </w:r>
      <w:r>
        <w:rPr>
          <w:rFonts w:hint="eastAsia"/>
          <w:lang w:val="en-US" w:eastAsia="zh-CN"/>
        </w:rPr>
        <w:t>9</w:t>
      </w:r>
      <w:r>
        <w:rPr>
          <w:rFonts w:hint="eastAsia"/>
        </w:rPr>
        <w:t>日</w:t>
      </w:r>
    </w:p>
    <w:p w14:paraId="523BAECA">
      <w:pPr>
        <w:jc w:val="both"/>
      </w:pPr>
    </w:p>
    <w:p w14:paraId="66F404D5">
      <w:pPr>
        <w:pStyle w:val="8"/>
        <w:jc w:val="both"/>
        <w:rPr>
          <w:rFonts w:cstheme="minorBidi"/>
        </w:rPr>
      </w:pPr>
      <w:r>
        <w:fldChar w:fldCharType="begin"/>
      </w:r>
      <w:r>
        <w:instrText xml:space="preserve"> HYPERLINK \l "_Toc15396599" </w:instrText>
      </w:r>
      <w:r>
        <w:fldChar w:fldCharType="separate"/>
      </w:r>
      <w:r>
        <w:rPr>
          <w:rStyle w:val="14"/>
          <w:rFonts w:hint="eastAsia"/>
        </w:rPr>
        <w:t>第一部分</w:t>
      </w:r>
      <w:r>
        <w:rPr>
          <w:rStyle w:val="14"/>
        </w:rPr>
        <w:t xml:space="preserve"> </w:t>
      </w:r>
      <w:r>
        <w:rPr>
          <w:rStyle w:val="14"/>
          <w:rFonts w:hint="eastAsia"/>
        </w:rPr>
        <w:t>部门概况</w:t>
      </w:r>
      <w:r>
        <w:rPr>
          <w:rFonts w:ascii="仿宋" w:hAnsi="仿宋" w:eastAsia="仿宋"/>
          <w:sz w:val="28"/>
          <w:szCs w:val="28"/>
        </w:rPr>
        <w:tab/>
      </w:r>
      <w:r>
        <w:rPr>
          <w:rFonts w:hint="eastAsia"/>
        </w:rPr>
        <w:t>4</w:t>
      </w:r>
      <w:r>
        <w:rPr>
          <w:rFonts w:hint="eastAsia"/>
        </w:rPr>
        <w:fldChar w:fldCharType="end"/>
      </w:r>
    </w:p>
    <w:p w14:paraId="05635086">
      <w:pPr>
        <w:pStyle w:val="9"/>
        <w:jc w:val="both"/>
        <w:rPr>
          <w:rFonts w:ascii="仿宋" w:hAnsi="仿宋" w:eastAsia="仿宋" w:cstheme="minorBidi"/>
          <w:sz w:val="28"/>
          <w:szCs w:val="28"/>
        </w:rPr>
      </w:pPr>
      <w:r>
        <w:fldChar w:fldCharType="begin"/>
      </w:r>
      <w:r>
        <w:instrText xml:space="preserve"> HYPERLINK \l "_Toc15396600" </w:instrText>
      </w:r>
      <w:r>
        <w:fldChar w:fldCharType="separate"/>
      </w:r>
      <w:r>
        <w:rPr>
          <w:rStyle w:val="14"/>
          <w:rFonts w:hint="eastAsia" w:ascii="仿宋" w:hAnsi="仿宋" w:eastAsia="仿宋"/>
          <w:sz w:val="28"/>
          <w:szCs w:val="28"/>
        </w:rPr>
        <w:t>一、基本职能及主要工作</w:t>
      </w:r>
      <w:r>
        <w:rPr>
          <w:rFonts w:ascii="仿宋" w:hAnsi="仿宋" w:eastAsia="仿宋"/>
          <w:sz w:val="28"/>
          <w:szCs w:val="28"/>
        </w:rPr>
        <w:tab/>
      </w:r>
      <w:r>
        <w:rPr>
          <w:rFonts w:hint="eastAsia" w:ascii="仿宋" w:hAnsi="仿宋" w:eastAsia="仿宋"/>
          <w:sz w:val="28"/>
          <w:szCs w:val="28"/>
          <w:lang w:val="en-US" w:eastAsia="zh-CN"/>
        </w:rPr>
        <w:t>4</w:t>
      </w:r>
      <w:r>
        <w:rPr>
          <w:rFonts w:hint="eastAsia" w:ascii="仿宋" w:hAnsi="仿宋" w:eastAsia="仿宋"/>
          <w:sz w:val="28"/>
          <w:szCs w:val="28"/>
        </w:rPr>
        <w:fldChar w:fldCharType="end"/>
      </w:r>
    </w:p>
    <w:p w14:paraId="003026B2">
      <w:pPr>
        <w:pStyle w:val="9"/>
        <w:jc w:val="both"/>
        <w:rPr>
          <w:rFonts w:hint="eastAsia" w:ascii="仿宋" w:hAnsi="仿宋" w:eastAsia="仿宋" w:cstheme="minorBidi"/>
          <w:sz w:val="28"/>
          <w:szCs w:val="28"/>
          <w:lang w:val="en-US" w:eastAsia="zh-CN"/>
        </w:rPr>
      </w:pPr>
      <w:r>
        <w:fldChar w:fldCharType="begin"/>
      </w:r>
      <w:r>
        <w:instrText xml:space="preserve"> HYPERLINK \l "_Toc15396601" </w:instrText>
      </w:r>
      <w:r>
        <w:fldChar w:fldCharType="separate"/>
      </w:r>
      <w:r>
        <w:rPr>
          <w:rStyle w:val="14"/>
          <w:rFonts w:hint="eastAsia" w:ascii="仿宋" w:hAnsi="仿宋" w:eastAsia="仿宋"/>
          <w:sz w:val="28"/>
          <w:szCs w:val="28"/>
        </w:rPr>
        <w:t>二、机构设置</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4</w:t>
      </w:r>
    </w:p>
    <w:p w14:paraId="73B78DA9">
      <w:pPr>
        <w:pStyle w:val="9"/>
        <w:jc w:val="both"/>
        <w:rPr>
          <w:rFonts w:hint="eastAsia" w:eastAsia="宋体"/>
          <w:lang w:val="en-US" w:eastAsia="zh-CN"/>
        </w:rPr>
      </w:pPr>
      <w:r>
        <w:rPr>
          <w:sz w:val="28"/>
          <w:szCs w:val="28"/>
        </w:rPr>
        <w:fldChar w:fldCharType="begin"/>
      </w:r>
      <w:r>
        <w:rPr>
          <w:sz w:val="28"/>
          <w:szCs w:val="28"/>
        </w:rPr>
        <w:instrText xml:space="preserve"> HYPERLINK \l "_Toc15396602" </w:instrText>
      </w:r>
      <w:r>
        <w:rPr>
          <w:sz w:val="28"/>
          <w:szCs w:val="28"/>
        </w:rPr>
        <w:fldChar w:fldCharType="separate"/>
      </w:r>
      <w:r>
        <w:rPr>
          <w:rStyle w:val="14"/>
          <w:rFonts w:hint="eastAsia" w:ascii="仿宋" w:hAnsi="仿宋" w:eastAsia="仿宋" w:cs="Times New Roman"/>
          <w:kern w:val="2"/>
          <w:sz w:val="28"/>
          <w:szCs w:val="28"/>
          <w:lang w:val="en-US" w:eastAsia="zh-CN" w:bidi="ar-SA"/>
        </w:rPr>
        <w:t>第二部分 2018年度部门决算情况说明</w:t>
      </w:r>
      <w:r>
        <w:rPr>
          <w:sz w:val="28"/>
          <w:szCs w:val="28"/>
        </w:rPr>
        <w:tab/>
      </w:r>
      <w:r>
        <w:rPr>
          <w:rFonts w:hint="eastAsia"/>
          <w:sz w:val="28"/>
          <w:szCs w:val="28"/>
          <w:lang w:val="en-US" w:eastAsia="zh-CN"/>
        </w:rPr>
        <w:t>1</w:t>
      </w:r>
      <w:r>
        <w:rPr>
          <w:sz w:val="28"/>
          <w:szCs w:val="28"/>
        </w:rPr>
        <w:fldChar w:fldCharType="end"/>
      </w:r>
      <w:r>
        <w:rPr>
          <w:rFonts w:hint="eastAsia"/>
          <w:sz w:val="28"/>
          <w:szCs w:val="28"/>
          <w:lang w:val="en-US" w:eastAsia="zh-CN"/>
        </w:rPr>
        <w:t>6</w:t>
      </w:r>
    </w:p>
    <w:p w14:paraId="5F932F84">
      <w:pPr>
        <w:pStyle w:val="9"/>
        <w:jc w:val="both"/>
        <w:rPr>
          <w:rFonts w:hint="eastAsia" w:ascii="仿宋" w:hAnsi="仿宋" w:eastAsia="仿宋" w:cstheme="minorBidi"/>
          <w:sz w:val="28"/>
          <w:szCs w:val="28"/>
          <w:lang w:val="en-US" w:eastAsia="zh-CN"/>
        </w:rPr>
      </w:pPr>
      <w:r>
        <w:fldChar w:fldCharType="begin"/>
      </w:r>
      <w:r>
        <w:instrText xml:space="preserve"> HYPERLINK \l "_Toc15396603" </w:instrText>
      </w:r>
      <w:r>
        <w:fldChar w:fldCharType="separate"/>
      </w:r>
      <w:r>
        <w:rPr>
          <w:rStyle w:val="14"/>
          <w:rFonts w:hint="eastAsia" w:ascii="仿宋" w:hAnsi="仿宋" w:eastAsia="仿宋" w:cstheme="majorBidi"/>
          <w:bCs/>
          <w:sz w:val="28"/>
          <w:szCs w:val="28"/>
        </w:rPr>
        <w:t>一、</w:t>
      </w:r>
      <w:r>
        <w:rPr>
          <w:rStyle w:val="14"/>
          <w:rFonts w:hint="eastAsia" w:ascii="仿宋" w:hAnsi="仿宋" w:eastAsia="仿宋"/>
          <w:sz w:val="28"/>
          <w:szCs w:val="28"/>
        </w:rPr>
        <w:t>收</w:t>
      </w:r>
      <w:r>
        <w:rPr>
          <w:rStyle w:val="14"/>
          <w:rFonts w:hint="eastAsia" w:ascii="仿宋" w:hAnsi="仿宋" w:eastAsia="仿宋" w:cstheme="majorBidi"/>
          <w:bCs/>
          <w:sz w:val="28"/>
          <w:szCs w:val="28"/>
        </w:rPr>
        <w:t>入支出决算总体情况说明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6</w:t>
      </w:r>
    </w:p>
    <w:p w14:paraId="2A572D77">
      <w:pPr>
        <w:pStyle w:val="9"/>
        <w:jc w:val="both"/>
        <w:rPr>
          <w:rFonts w:hint="eastAsia" w:ascii="仿宋" w:hAnsi="仿宋" w:eastAsia="仿宋" w:cstheme="minorBidi"/>
          <w:sz w:val="28"/>
          <w:szCs w:val="28"/>
          <w:lang w:val="en-US" w:eastAsia="zh-CN"/>
        </w:rPr>
      </w:pPr>
      <w:r>
        <w:fldChar w:fldCharType="begin"/>
      </w:r>
      <w:r>
        <w:instrText xml:space="preserve"> HYPERLINK \l "_Toc15396604" </w:instrText>
      </w:r>
      <w:r>
        <w:fldChar w:fldCharType="separate"/>
      </w:r>
      <w:r>
        <w:rPr>
          <w:rStyle w:val="14"/>
          <w:rFonts w:hint="eastAsia" w:ascii="仿宋" w:hAnsi="仿宋" w:eastAsia="仿宋" w:cstheme="majorBidi"/>
          <w:bCs/>
          <w:sz w:val="28"/>
          <w:szCs w:val="28"/>
        </w:rPr>
        <w:t>二、</w:t>
      </w:r>
      <w:r>
        <w:rPr>
          <w:rStyle w:val="14"/>
          <w:rFonts w:hint="eastAsia" w:ascii="仿宋" w:hAnsi="仿宋" w:eastAsia="仿宋"/>
          <w:sz w:val="28"/>
          <w:szCs w:val="28"/>
        </w:rPr>
        <w:t>收</w:t>
      </w:r>
      <w:r>
        <w:rPr>
          <w:rStyle w:val="14"/>
          <w:rFonts w:hint="eastAsia" w:ascii="仿宋" w:hAnsi="仿宋" w:eastAsia="仿宋" w:cstheme="majorBidi"/>
          <w:bCs/>
          <w:sz w:val="28"/>
          <w:szCs w:val="28"/>
        </w:rPr>
        <w:t>入决算情况说明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6</w:t>
      </w:r>
    </w:p>
    <w:p w14:paraId="4ECF73C6">
      <w:pPr>
        <w:pStyle w:val="9"/>
        <w:jc w:val="both"/>
        <w:rPr>
          <w:rFonts w:hint="eastAsia" w:ascii="仿宋" w:hAnsi="仿宋" w:eastAsia="仿宋" w:cstheme="minorBidi"/>
          <w:sz w:val="28"/>
          <w:szCs w:val="28"/>
          <w:lang w:val="en-US" w:eastAsia="zh-CN"/>
        </w:rPr>
      </w:pPr>
      <w:r>
        <w:fldChar w:fldCharType="begin"/>
      </w:r>
      <w:r>
        <w:instrText xml:space="preserve"> HYPERLINK \l "_Toc15396605" </w:instrText>
      </w:r>
      <w:r>
        <w:fldChar w:fldCharType="separate"/>
      </w:r>
      <w:r>
        <w:rPr>
          <w:rStyle w:val="14"/>
          <w:rFonts w:hint="eastAsia" w:ascii="仿宋" w:hAnsi="仿宋" w:eastAsia="仿宋" w:cstheme="majorBidi"/>
          <w:bCs/>
          <w:sz w:val="28"/>
          <w:szCs w:val="28"/>
        </w:rPr>
        <w:t>三、</w:t>
      </w:r>
      <w:r>
        <w:rPr>
          <w:rStyle w:val="14"/>
          <w:rFonts w:hint="eastAsia" w:ascii="仿宋" w:hAnsi="仿宋" w:eastAsia="仿宋"/>
          <w:sz w:val="28"/>
          <w:szCs w:val="28"/>
        </w:rPr>
        <w:t>支</w:t>
      </w:r>
      <w:r>
        <w:rPr>
          <w:rStyle w:val="14"/>
          <w:rFonts w:hint="eastAsia" w:ascii="仿宋" w:hAnsi="仿宋" w:eastAsia="仿宋" w:cstheme="majorBidi"/>
          <w:bCs/>
          <w:sz w:val="28"/>
          <w:szCs w:val="28"/>
        </w:rPr>
        <w:t>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6</w:t>
      </w:r>
    </w:p>
    <w:p w14:paraId="10E1AE16">
      <w:pPr>
        <w:pStyle w:val="9"/>
        <w:jc w:val="both"/>
        <w:rPr>
          <w:rFonts w:hint="eastAsia" w:ascii="仿宋" w:hAnsi="仿宋" w:eastAsia="仿宋" w:cstheme="minorBidi"/>
          <w:sz w:val="28"/>
          <w:szCs w:val="28"/>
          <w:lang w:val="en-US" w:eastAsia="zh-CN"/>
        </w:rPr>
      </w:pPr>
      <w:r>
        <w:fldChar w:fldCharType="begin"/>
      </w:r>
      <w:r>
        <w:instrText xml:space="preserve"> HYPERLINK \l "_Toc15396606" </w:instrText>
      </w:r>
      <w:r>
        <w:fldChar w:fldCharType="separate"/>
      </w:r>
      <w:r>
        <w:rPr>
          <w:rStyle w:val="14"/>
          <w:rFonts w:hint="eastAsia" w:ascii="仿宋" w:hAnsi="仿宋" w:eastAsia="仿宋"/>
          <w:sz w:val="28"/>
          <w:szCs w:val="28"/>
        </w:rPr>
        <w:t>四、财</w:t>
      </w:r>
      <w:r>
        <w:rPr>
          <w:rStyle w:val="14"/>
          <w:rFonts w:hint="eastAsia" w:ascii="仿宋" w:hAnsi="仿宋" w:eastAsia="仿宋" w:cstheme="majorBidi"/>
          <w:bCs/>
          <w:sz w:val="28"/>
          <w:szCs w:val="28"/>
        </w:rPr>
        <w:t>政拨款收入支出决算总体情况说明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7</w:t>
      </w:r>
    </w:p>
    <w:p w14:paraId="361F692B">
      <w:pPr>
        <w:pStyle w:val="9"/>
        <w:jc w:val="both"/>
        <w:rPr>
          <w:rFonts w:hint="eastAsia" w:ascii="仿宋" w:hAnsi="仿宋" w:eastAsia="仿宋" w:cstheme="minorBidi"/>
          <w:sz w:val="28"/>
          <w:szCs w:val="28"/>
          <w:lang w:val="en-US" w:eastAsia="zh-CN"/>
        </w:rPr>
      </w:pPr>
      <w:r>
        <w:fldChar w:fldCharType="begin"/>
      </w:r>
      <w:r>
        <w:instrText xml:space="preserve"> HYPERLINK \l "_Toc15396607" </w:instrText>
      </w:r>
      <w:r>
        <w:fldChar w:fldCharType="separate"/>
      </w:r>
      <w:r>
        <w:rPr>
          <w:rStyle w:val="14"/>
          <w:rFonts w:hint="eastAsia" w:ascii="仿宋" w:hAnsi="仿宋" w:eastAsia="仿宋"/>
          <w:sz w:val="28"/>
          <w:szCs w:val="28"/>
        </w:rPr>
        <w:t>五、一</w:t>
      </w:r>
      <w:r>
        <w:rPr>
          <w:rStyle w:val="14"/>
          <w:rFonts w:hint="eastAsia" w:ascii="仿宋" w:hAnsi="仿宋" w:eastAsia="仿宋" w:cstheme="majorBidi"/>
          <w:bCs/>
          <w:sz w:val="28"/>
          <w:szCs w:val="28"/>
        </w:rPr>
        <w:t>般公共预算财政拨款支出决算情况说明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7</w:t>
      </w:r>
    </w:p>
    <w:p w14:paraId="436DF5F9">
      <w:pPr>
        <w:pStyle w:val="9"/>
        <w:jc w:val="both"/>
        <w:rPr>
          <w:rFonts w:hint="eastAsia" w:ascii="仿宋" w:hAnsi="仿宋" w:eastAsia="仿宋" w:cstheme="minorBidi"/>
          <w:sz w:val="28"/>
          <w:szCs w:val="28"/>
          <w:lang w:val="en-US" w:eastAsia="zh-CN"/>
        </w:rPr>
      </w:pPr>
      <w:r>
        <w:fldChar w:fldCharType="begin"/>
      </w:r>
      <w:r>
        <w:instrText xml:space="preserve"> HYPERLINK \l "_Toc15396608" </w:instrText>
      </w:r>
      <w:r>
        <w:fldChar w:fldCharType="separate"/>
      </w:r>
      <w:r>
        <w:rPr>
          <w:rStyle w:val="14"/>
          <w:rFonts w:hint="eastAsia" w:ascii="仿宋" w:hAnsi="仿宋" w:eastAsia="仿宋"/>
          <w:sz w:val="28"/>
          <w:szCs w:val="28"/>
        </w:rPr>
        <w:t>六、一</w:t>
      </w:r>
      <w:r>
        <w:rPr>
          <w:rStyle w:val="14"/>
          <w:rFonts w:hint="eastAsia" w:ascii="仿宋" w:hAnsi="仿宋" w:eastAsia="仿宋" w:cstheme="majorBidi"/>
          <w:bCs/>
          <w:sz w:val="28"/>
          <w:szCs w:val="28"/>
        </w:rPr>
        <w:t>般公共预算财政拨款基本支出决算情况说明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7</w:t>
      </w:r>
    </w:p>
    <w:p w14:paraId="1F19249E">
      <w:pPr>
        <w:pStyle w:val="9"/>
        <w:jc w:val="both"/>
        <w:rPr>
          <w:rFonts w:hint="eastAsia" w:ascii="仿宋" w:hAnsi="仿宋" w:eastAsia="仿宋" w:cstheme="minorBidi"/>
          <w:sz w:val="28"/>
          <w:szCs w:val="28"/>
          <w:lang w:val="en-US" w:eastAsia="zh-CN"/>
        </w:rPr>
      </w:pPr>
      <w:r>
        <w:fldChar w:fldCharType="begin"/>
      </w:r>
      <w:r>
        <w:instrText xml:space="preserve"> HYPERLINK \l "_Toc15396609" </w:instrText>
      </w:r>
      <w:r>
        <w:fldChar w:fldCharType="separate"/>
      </w:r>
      <w:r>
        <w:rPr>
          <w:rStyle w:val="14"/>
          <w:rFonts w:hint="eastAsia" w:ascii="仿宋" w:hAnsi="仿宋" w:eastAsia="仿宋"/>
          <w:sz w:val="28"/>
          <w:szCs w:val="28"/>
        </w:rPr>
        <w:t>七、</w:t>
      </w:r>
      <w:r>
        <w:rPr>
          <w:rStyle w:val="14"/>
          <w:rFonts w:ascii="仿宋" w:hAnsi="仿宋" w:eastAsia="仿宋"/>
          <w:sz w:val="28"/>
          <w:szCs w:val="28"/>
        </w:rPr>
        <w:t>“</w:t>
      </w:r>
      <w:r>
        <w:rPr>
          <w:rStyle w:val="14"/>
          <w:rFonts w:hint="eastAsia" w:ascii="仿宋" w:hAnsi="仿宋" w:eastAsia="仿宋" w:cstheme="majorBidi"/>
          <w:bCs/>
          <w:sz w:val="28"/>
          <w:szCs w:val="28"/>
        </w:rPr>
        <w:t>三公”经费财政拨款支出决算情况说明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7</w:t>
      </w:r>
    </w:p>
    <w:p w14:paraId="72C34557">
      <w:pPr>
        <w:pStyle w:val="9"/>
        <w:jc w:val="both"/>
        <w:rPr>
          <w:rFonts w:hint="eastAsia" w:ascii="仿宋" w:hAnsi="仿宋" w:eastAsia="仿宋" w:cstheme="minorBidi"/>
          <w:sz w:val="28"/>
          <w:szCs w:val="28"/>
          <w:lang w:val="en-US" w:eastAsia="zh-CN"/>
        </w:rPr>
      </w:pPr>
      <w:r>
        <w:fldChar w:fldCharType="begin"/>
      </w:r>
      <w:r>
        <w:instrText xml:space="preserve"> HYPERLINK \l "_Toc15396610" </w:instrText>
      </w:r>
      <w:r>
        <w:fldChar w:fldCharType="separate"/>
      </w:r>
      <w:r>
        <w:rPr>
          <w:rStyle w:val="14"/>
          <w:rFonts w:hint="eastAsia" w:ascii="仿宋" w:hAnsi="仿宋" w:eastAsia="仿宋"/>
          <w:sz w:val="28"/>
          <w:szCs w:val="28"/>
        </w:rPr>
        <w:t>八、</w:t>
      </w:r>
      <w:r>
        <w:rPr>
          <w:rStyle w:val="14"/>
          <w:rFonts w:hint="eastAsia" w:ascii="仿宋" w:hAnsi="仿宋" w:eastAsia="仿宋" w:cstheme="majorBidi"/>
          <w:bCs/>
          <w:sz w:val="28"/>
          <w:szCs w:val="28"/>
        </w:rPr>
        <w:t>政府性基金预算支出决算情况说明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8</w:t>
      </w:r>
    </w:p>
    <w:p w14:paraId="3EC526F6">
      <w:pPr>
        <w:pStyle w:val="9"/>
        <w:jc w:val="both"/>
        <w:rPr>
          <w:rFonts w:hint="eastAsia" w:ascii="仿宋" w:hAnsi="仿宋" w:eastAsia="仿宋" w:cstheme="minorBidi"/>
          <w:sz w:val="28"/>
          <w:szCs w:val="28"/>
          <w:lang w:val="en-US" w:eastAsia="zh-CN"/>
        </w:rPr>
      </w:pPr>
      <w:r>
        <w:fldChar w:fldCharType="begin"/>
      </w:r>
      <w:r>
        <w:instrText xml:space="preserve"> HYPERLINK \l "_Toc15396611" </w:instrText>
      </w:r>
      <w:r>
        <w:fldChar w:fldCharType="separate"/>
      </w:r>
      <w:r>
        <w:rPr>
          <w:rStyle w:val="14"/>
          <w:rFonts w:hint="eastAsia" w:ascii="仿宋" w:hAnsi="仿宋" w:eastAsia="仿宋" w:cstheme="majorBidi"/>
          <w:bCs/>
          <w:sz w:val="28"/>
          <w:szCs w:val="28"/>
        </w:rPr>
        <w:t>九、</w:t>
      </w:r>
      <w:r>
        <w:rPr>
          <w:rStyle w:val="14"/>
          <w:rFonts w:hint="eastAsia" w:ascii="仿宋" w:hAnsi="仿宋" w:eastAsia="仿宋"/>
          <w:sz w:val="28"/>
          <w:szCs w:val="28"/>
        </w:rPr>
        <w:t xml:space="preserve"> 国</w:t>
      </w:r>
      <w:r>
        <w:rPr>
          <w:rStyle w:val="14"/>
          <w:rFonts w:hint="eastAsia" w:ascii="仿宋" w:hAnsi="仿宋" w:eastAsia="仿宋" w:cstheme="majorBidi"/>
          <w:bCs/>
          <w:sz w:val="28"/>
          <w:szCs w:val="28"/>
        </w:rPr>
        <w:t>有资本经营预算支出决算情况说明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8</w:t>
      </w:r>
    </w:p>
    <w:p w14:paraId="2086196E">
      <w:pPr>
        <w:pStyle w:val="9"/>
        <w:jc w:val="both"/>
        <w:rPr>
          <w:rFonts w:hint="eastAsia" w:ascii="仿宋" w:hAnsi="仿宋" w:eastAsia="仿宋" w:cstheme="minorBidi"/>
          <w:sz w:val="28"/>
          <w:szCs w:val="28"/>
          <w:lang w:val="en-US" w:eastAsia="zh-CN"/>
        </w:rPr>
      </w:pPr>
      <w:r>
        <w:fldChar w:fldCharType="begin"/>
      </w:r>
      <w:r>
        <w:instrText xml:space="preserve"> HYPERLINK \l "_Toc15396612" </w:instrText>
      </w:r>
      <w:r>
        <w:fldChar w:fldCharType="separate"/>
      </w:r>
      <w:r>
        <w:rPr>
          <w:rStyle w:val="14"/>
          <w:rFonts w:hint="eastAsia" w:ascii="仿宋" w:hAnsi="仿宋" w:eastAsia="仿宋"/>
          <w:sz w:val="28"/>
          <w:szCs w:val="28"/>
        </w:rPr>
        <w:t>十</w:t>
      </w:r>
      <w:r>
        <w:rPr>
          <w:rStyle w:val="14"/>
          <w:rFonts w:hint="eastAsia" w:ascii="仿宋" w:hAnsi="仿宋" w:eastAsia="仿宋" w:cstheme="majorBidi"/>
          <w:bCs/>
          <w:sz w:val="28"/>
          <w:szCs w:val="28"/>
        </w:rPr>
        <w:t>一、其他重要事项的情况说明</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9</w:t>
      </w:r>
    </w:p>
    <w:p w14:paraId="3448FAE4">
      <w:pPr>
        <w:pStyle w:val="8"/>
        <w:jc w:val="both"/>
        <w:rPr>
          <w:rFonts w:hint="eastAsia" w:eastAsia="仿宋" w:cstheme="minorBidi"/>
          <w:lang w:val="en-US" w:eastAsia="zh-CN"/>
        </w:rPr>
      </w:pPr>
      <w:r>
        <w:fldChar w:fldCharType="begin"/>
      </w:r>
      <w:r>
        <w:instrText xml:space="preserve"> HYPERLINK \l "_Toc15396613" </w:instrText>
      </w:r>
      <w:r>
        <w:fldChar w:fldCharType="separate"/>
      </w:r>
      <w:r>
        <w:rPr>
          <w:rStyle w:val="14"/>
          <w:rFonts w:hint="eastAsia"/>
          <w:bCs/>
          <w:kern w:val="44"/>
        </w:rPr>
        <w:t>第三部分</w:t>
      </w:r>
      <w:r>
        <w:rPr>
          <w:rStyle w:val="14"/>
          <w:rFonts w:hint="eastAsia"/>
        </w:rPr>
        <w:t xml:space="preserve"> 名</w:t>
      </w:r>
      <w:r>
        <w:rPr>
          <w:rStyle w:val="14"/>
          <w:rFonts w:hint="eastAsia"/>
          <w:bCs/>
          <w:kern w:val="44"/>
        </w:rPr>
        <w:t>词解释</w:t>
      </w:r>
      <w:r>
        <w:tab/>
      </w:r>
      <w:r>
        <w:rPr>
          <w:rFonts w:hint="eastAsia"/>
          <w:lang w:val="en-US" w:eastAsia="zh-CN"/>
        </w:rPr>
        <w:t>2</w:t>
      </w:r>
      <w:r>
        <w:fldChar w:fldCharType="end"/>
      </w:r>
      <w:r>
        <w:rPr>
          <w:rFonts w:hint="eastAsia"/>
          <w:lang w:val="en-US" w:eastAsia="zh-CN"/>
        </w:rPr>
        <w:t>0</w:t>
      </w:r>
    </w:p>
    <w:p w14:paraId="588CBA14">
      <w:pPr>
        <w:pStyle w:val="8"/>
        <w:jc w:val="both"/>
        <w:rPr>
          <w:rFonts w:hint="eastAsia" w:eastAsia="仿宋" w:cstheme="minorBidi"/>
          <w:lang w:val="en-US" w:eastAsia="zh-CN"/>
        </w:rPr>
      </w:pPr>
      <w:r>
        <w:fldChar w:fldCharType="begin"/>
      </w:r>
      <w:r>
        <w:instrText xml:space="preserve"> HYPERLINK \l "_Toc15396614" </w:instrText>
      </w:r>
      <w:r>
        <w:fldChar w:fldCharType="separate"/>
      </w:r>
      <w:r>
        <w:rPr>
          <w:rStyle w:val="14"/>
          <w:rFonts w:hint="eastAsia"/>
        </w:rPr>
        <w:t>第</w:t>
      </w:r>
      <w:r>
        <w:rPr>
          <w:rStyle w:val="14"/>
          <w:rFonts w:hint="eastAsia"/>
          <w:bCs/>
          <w:kern w:val="44"/>
        </w:rPr>
        <w:t>四部分</w:t>
      </w:r>
      <w:r>
        <w:rPr>
          <w:rStyle w:val="14"/>
          <w:bCs/>
          <w:kern w:val="44"/>
        </w:rPr>
        <w:t xml:space="preserve"> </w:t>
      </w:r>
      <w:r>
        <w:rPr>
          <w:rStyle w:val="14"/>
          <w:rFonts w:hint="eastAsia"/>
          <w:bCs/>
          <w:kern w:val="44"/>
        </w:rPr>
        <w:t>附件</w:t>
      </w:r>
      <w:r>
        <w:tab/>
      </w:r>
      <w:r>
        <w:rPr>
          <w:rFonts w:hint="eastAsia"/>
          <w:lang w:val="en-US" w:eastAsia="zh-CN"/>
        </w:rPr>
        <w:t>2</w:t>
      </w:r>
      <w:r>
        <w:fldChar w:fldCharType="end"/>
      </w:r>
      <w:r>
        <w:rPr>
          <w:rFonts w:hint="eastAsia"/>
          <w:lang w:val="en-US" w:eastAsia="zh-CN"/>
        </w:rPr>
        <w:t>2</w:t>
      </w:r>
    </w:p>
    <w:p w14:paraId="013AC287">
      <w:pPr>
        <w:pStyle w:val="9"/>
        <w:jc w:val="both"/>
        <w:sectPr>
          <w:footerReference r:id="rId4" w:type="default"/>
          <w:pgSz w:w="11906" w:h="16838"/>
          <w:pgMar w:top="2098" w:right="1474" w:bottom="1984" w:left="1588" w:header="851" w:footer="992" w:gutter="0"/>
          <w:pgNumType w:fmt="numberInDash"/>
          <w:cols w:space="720" w:num="1"/>
          <w:docGrid w:type="lines" w:linePitch="312" w:charSpace="0"/>
        </w:sectPr>
      </w:pPr>
    </w:p>
    <w:p w14:paraId="535D1462">
      <w:pPr>
        <w:pStyle w:val="9"/>
        <w:jc w:val="both"/>
        <w:rPr>
          <w:rFonts w:hint="eastAsia" w:ascii="仿宋" w:hAnsi="仿宋" w:eastAsia="仿宋"/>
          <w:sz w:val="28"/>
          <w:szCs w:val="28"/>
          <w:lang w:val="en-US" w:eastAsia="zh-CN"/>
        </w:rPr>
      </w:pPr>
      <w:r>
        <w:fldChar w:fldCharType="begin"/>
      </w:r>
      <w:r>
        <w:instrText xml:space="preserve"> HYPERLINK \l "_Toc15396615" </w:instrText>
      </w:r>
      <w:r>
        <w:fldChar w:fldCharType="separate"/>
      </w:r>
      <w:r>
        <w:rPr>
          <w:rStyle w:val="14"/>
          <w:rFonts w:hint="eastAsia" w:ascii="仿宋" w:hAnsi="仿宋" w:eastAsia="仿宋"/>
          <w:kern w:val="44"/>
          <w:sz w:val="28"/>
          <w:szCs w:val="28"/>
        </w:rPr>
        <w:t>附件</w:t>
      </w:r>
      <w:r>
        <w:rPr>
          <w:rStyle w:val="14"/>
          <w:rFonts w:ascii="仿宋" w:hAnsi="仿宋" w:eastAsia="仿宋"/>
          <w:kern w:val="44"/>
          <w:sz w:val="28"/>
          <w:szCs w:val="28"/>
        </w:rPr>
        <w:t>1</w:t>
      </w:r>
      <w:r>
        <w:rPr>
          <w:rFonts w:ascii="仿宋" w:hAnsi="仿宋" w:eastAsia="仿宋"/>
          <w:sz w:val="28"/>
          <w:szCs w:val="28"/>
        </w:rPr>
        <w:tab/>
      </w:r>
      <w:r>
        <w:rPr>
          <w:rFonts w:hint="eastAsia" w:ascii="仿宋" w:hAnsi="仿宋" w:eastAsia="仿宋"/>
          <w:sz w:val="28"/>
          <w:szCs w:val="28"/>
          <w:lang w:val="en-US" w:eastAsia="zh-CN"/>
        </w:rPr>
        <w:t>2</w:t>
      </w:r>
      <w:r>
        <w:rPr>
          <w:rFonts w:ascii="仿宋" w:hAnsi="仿宋" w:eastAsia="仿宋"/>
          <w:sz w:val="28"/>
          <w:szCs w:val="28"/>
        </w:rPr>
        <w:fldChar w:fldCharType="end"/>
      </w:r>
      <w:r>
        <w:rPr>
          <w:rFonts w:hint="eastAsia" w:ascii="仿宋" w:hAnsi="仿宋" w:eastAsia="仿宋"/>
          <w:sz w:val="28"/>
          <w:szCs w:val="28"/>
          <w:lang w:val="en-US" w:eastAsia="zh-CN"/>
        </w:rPr>
        <w:t>2</w:t>
      </w:r>
    </w:p>
    <w:p w14:paraId="77496E1D">
      <w:pPr>
        <w:ind w:firstLine="420" w:firstLineChars="200"/>
        <w:rPr>
          <w:rFonts w:hint="eastAsia" w:eastAsia="仿宋"/>
          <w:lang w:val="en-US" w:eastAsia="zh-CN"/>
        </w:rPr>
      </w:pPr>
      <w:r>
        <w:fldChar w:fldCharType="begin"/>
      </w:r>
      <w:r>
        <w:instrText xml:space="preserve"> HYPERLINK \l "_Toc15396615" </w:instrText>
      </w:r>
      <w:r>
        <w:fldChar w:fldCharType="separate"/>
      </w:r>
      <w:r>
        <w:rPr>
          <w:rStyle w:val="14"/>
          <w:rFonts w:hint="eastAsia" w:ascii="仿宋" w:hAnsi="仿宋" w:eastAsia="仿宋"/>
          <w:kern w:val="44"/>
          <w:sz w:val="28"/>
          <w:szCs w:val="28"/>
        </w:rPr>
        <w:t>附件</w:t>
      </w:r>
      <w:r>
        <w:rPr>
          <w:rStyle w:val="14"/>
          <w:rFonts w:hint="eastAsia" w:ascii="仿宋" w:hAnsi="仿宋" w:eastAsia="仿宋"/>
          <w:kern w:val="44"/>
          <w:sz w:val="28"/>
          <w:szCs w:val="28"/>
          <w:lang w:val="en-US" w:eastAsia="zh-CN"/>
        </w:rPr>
        <w:t>2.................................................2</w:t>
      </w:r>
      <w:r>
        <w:rPr>
          <w:rFonts w:ascii="仿宋" w:hAnsi="仿宋" w:eastAsia="仿宋"/>
          <w:sz w:val="28"/>
          <w:szCs w:val="28"/>
        </w:rPr>
        <w:fldChar w:fldCharType="end"/>
      </w:r>
      <w:r>
        <w:rPr>
          <w:rFonts w:hint="eastAsia" w:ascii="仿宋" w:hAnsi="仿宋" w:eastAsia="仿宋"/>
          <w:sz w:val="28"/>
          <w:szCs w:val="28"/>
          <w:lang w:val="en-US" w:eastAsia="zh-CN"/>
        </w:rPr>
        <w:t>8</w:t>
      </w:r>
    </w:p>
    <w:p w14:paraId="1F4DECA1">
      <w:pPr>
        <w:pStyle w:val="8"/>
        <w:jc w:val="both"/>
        <w:rPr>
          <w:rFonts w:hint="eastAsia" w:eastAsia="仿宋" w:cstheme="minorBidi"/>
          <w:lang w:val="en-US" w:eastAsia="zh-CN"/>
        </w:rPr>
      </w:pPr>
      <w:r>
        <w:fldChar w:fldCharType="begin"/>
      </w:r>
      <w:r>
        <w:instrText xml:space="preserve"> HYPERLINK \l "_Toc15396618" </w:instrText>
      </w:r>
      <w:r>
        <w:fldChar w:fldCharType="separate"/>
      </w:r>
      <w:r>
        <w:rPr>
          <w:rStyle w:val="14"/>
          <w:rFonts w:hint="eastAsia"/>
        </w:rPr>
        <w:t>第</w:t>
      </w:r>
      <w:r>
        <w:rPr>
          <w:rStyle w:val="14"/>
          <w:rFonts w:hint="eastAsia"/>
          <w:bCs/>
          <w:kern w:val="44"/>
        </w:rPr>
        <w:t>五部分</w:t>
      </w:r>
      <w:r>
        <w:rPr>
          <w:rStyle w:val="14"/>
          <w:bCs/>
          <w:kern w:val="44"/>
        </w:rPr>
        <w:t xml:space="preserve"> </w:t>
      </w:r>
      <w:r>
        <w:rPr>
          <w:rStyle w:val="14"/>
          <w:rFonts w:hint="eastAsia"/>
          <w:bCs/>
          <w:kern w:val="44"/>
        </w:rPr>
        <w:t>附表</w:t>
      </w:r>
      <w:r>
        <w:tab/>
      </w:r>
      <w:r>
        <w:rPr>
          <w:rFonts w:hint="eastAsia"/>
          <w:lang w:val="en-US" w:eastAsia="zh-CN"/>
        </w:rPr>
        <w:t>3</w:t>
      </w:r>
      <w:r>
        <w:fldChar w:fldCharType="end"/>
      </w:r>
      <w:r>
        <w:rPr>
          <w:rFonts w:hint="eastAsia"/>
          <w:lang w:val="en-US" w:eastAsia="zh-CN"/>
        </w:rPr>
        <w:t>2</w:t>
      </w:r>
    </w:p>
    <w:p w14:paraId="2D5C22B3">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一、</w:t>
      </w:r>
      <w:r>
        <w:fldChar w:fldCharType="begin"/>
      </w:r>
      <w:r>
        <w:instrText xml:space="preserve"> HYPERLINK \l "_Toc15396619" </w:instrText>
      </w:r>
      <w:r>
        <w:fldChar w:fldCharType="separate"/>
      </w:r>
      <w:r>
        <w:rPr>
          <w:rStyle w:val="14"/>
          <w:rFonts w:hint="eastAsia" w:ascii="仿宋" w:hAnsi="仿宋" w:eastAsia="仿宋"/>
          <w:sz w:val="28"/>
          <w:szCs w:val="28"/>
        </w:rPr>
        <w:t>收入支出决算总表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1A016587">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二、</w:t>
      </w:r>
      <w:r>
        <w:fldChar w:fldCharType="begin"/>
      </w:r>
      <w:r>
        <w:instrText xml:space="preserve"> HYPERLINK \l "_Toc15396620" </w:instrText>
      </w:r>
      <w:r>
        <w:fldChar w:fldCharType="separate"/>
      </w:r>
      <w:r>
        <w:rPr>
          <w:rStyle w:val="14"/>
          <w:rFonts w:hint="eastAsia" w:ascii="仿宋" w:hAnsi="仿宋" w:eastAsia="仿宋"/>
          <w:sz w:val="28"/>
          <w:szCs w:val="28"/>
        </w:rPr>
        <w:t>收入总表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1D9A6CBB">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三、</w:t>
      </w:r>
      <w:r>
        <w:fldChar w:fldCharType="begin"/>
      </w:r>
      <w:r>
        <w:instrText xml:space="preserve"> HYPERLINK \l "_Toc15396621" </w:instrText>
      </w:r>
      <w:r>
        <w:fldChar w:fldCharType="separate"/>
      </w:r>
      <w:r>
        <w:rPr>
          <w:rStyle w:val="14"/>
          <w:rFonts w:hint="eastAsia" w:ascii="仿宋" w:hAnsi="仿宋" w:eastAsia="仿宋"/>
          <w:sz w:val="28"/>
          <w:szCs w:val="28"/>
        </w:rPr>
        <w:t>支出总表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418DCBD0">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四、</w:t>
      </w:r>
      <w:r>
        <w:fldChar w:fldCharType="begin"/>
      </w:r>
      <w:r>
        <w:instrText xml:space="preserve"> HYPERLINK \l "_Toc15396622" </w:instrText>
      </w:r>
      <w:r>
        <w:fldChar w:fldCharType="separate"/>
      </w:r>
      <w:r>
        <w:rPr>
          <w:rStyle w:val="14"/>
          <w:rFonts w:hint="eastAsia" w:ascii="仿宋" w:hAnsi="仿宋" w:eastAsia="仿宋"/>
          <w:sz w:val="28"/>
          <w:szCs w:val="28"/>
        </w:rPr>
        <w:t>财政拨款收入支出决算总表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167F6B5E">
      <w:pPr>
        <w:pStyle w:val="9"/>
        <w:jc w:val="both"/>
        <w:rPr>
          <w:rFonts w:hint="eastAsia" w:ascii="仿宋" w:hAnsi="仿宋" w:eastAsia="仿宋"/>
          <w:sz w:val="28"/>
          <w:szCs w:val="28"/>
          <w:lang w:val="en-US" w:eastAsia="zh-CN"/>
        </w:rPr>
      </w:pPr>
      <w:r>
        <w:rPr>
          <w:rFonts w:hint="eastAsia" w:ascii="仿宋" w:hAnsi="仿宋" w:eastAsia="仿宋"/>
          <w:sz w:val="28"/>
          <w:szCs w:val="28"/>
        </w:rPr>
        <w:t>五、</w:t>
      </w:r>
      <w:r>
        <w:fldChar w:fldCharType="begin"/>
      </w:r>
      <w:r>
        <w:instrText xml:space="preserve"> HYPERLINK \l "_Toc15396623" </w:instrText>
      </w:r>
      <w:r>
        <w:fldChar w:fldCharType="separate"/>
      </w:r>
      <w:r>
        <w:rPr>
          <w:rFonts w:hint="eastAsia" w:ascii="仿宋" w:hAnsi="仿宋" w:eastAsia="仿宋"/>
          <w:sz w:val="28"/>
          <w:szCs w:val="28"/>
        </w:rPr>
        <w:t>财政拨款支出决算明细表（政府经济分类科目）</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3EB40C9C">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六、</w:t>
      </w:r>
      <w:r>
        <w:fldChar w:fldCharType="begin"/>
      </w:r>
      <w:r>
        <w:instrText xml:space="preserve"> HYPERLINK \l "_Toc15396624" </w:instrText>
      </w:r>
      <w:r>
        <w:fldChar w:fldCharType="separate"/>
      </w:r>
      <w:r>
        <w:rPr>
          <w:rStyle w:val="14"/>
          <w:rFonts w:hint="eastAsia" w:ascii="仿宋" w:hAnsi="仿宋" w:eastAsia="仿宋"/>
          <w:sz w:val="28"/>
          <w:szCs w:val="28"/>
        </w:rPr>
        <w:t>一般公共预算财政拨款支出决算表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669040D7">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七、</w:t>
      </w:r>
      <w:r>
        <w:fldChar w:fldCharType="begin"/>
      </w:r>
      <w:r>
        <w:instrText xml:space="preserve"> HYPERLINK \l "_Toc15396625" </w:instrText>
      </w:r>
      <w:r>
        <w:fldChar w:fldCharType="separate"/>
      </w:r>
      <w:r>
        <w:rPr>
          <w:rStyle w:val="14"/>
          <w:rFonts w:hint="eastAsia" w:ascii="仿宋" w:hAnsi="仿宋" w:eastAsia="仿宋"/>
          <w:sz w:val="28"/>
          <w:szCs w:val="28"/>
        </w:rPr>
        <w:t>一般公共预算财政拨款支出决算明细表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66325554">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八、</w:t>
      </w:r>
      <w:r>
        <w:fldChar w:fldCharType="begin"/>
      </w:r>
      <w:r>
        <w:instrText xml:space="preserve"> HYPERLINK \l "_Toc15396626" </w:instrText>
      </w:r>
      <w:r>
        <w:fldChar w:fldCharType="separate"/>
      </w:r>
      <w:r>
        <w:rPr>
          <w:rStyle w:val="14"/>
          <w:rFonts w:hint="eastAsia" w:ascii="仿宋" w:hAnsi="仿宋" w:eastAsia="仿宋"/>
          <w:sz w:val="28"/>
          <w:szCs w:val="28"/>
        </w:rPr>
        <w:t>一般公共预算财政拨款基本支出决算表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0E5FA286">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九、</w:t>
      </w:r>
      <w:r>
        <w:fldChar w:fldCharType="begin"/>
      </w:r>
      <w:r>
        <w:instrText xml:space="preserve"> HYPERLINK \l "_Toc15396627" </w:instrText>
      </w:r>
      <w:r>
        <w:fldChar w:fldCharType="separate"/>
      </w:r>
      <w:r>
        <w:rPr>
          <w:rStyle w:val="14"/>
          <w:rFonts w:hint="eastAsia" w:ascii="仿宋" w:hAnsi="仿宋" w:eastAsia="仿宋"/>
          <w:sz w:val="28"/>
          <w:szCs w:val="28"/>
        </w:rPr>
        <w:t>一般公共预算财政拨款项目支出决算表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6D44F4C8">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十、</w:t>
      </w:r>
      <w:r>
        <w:fldChar w:fldCharType="begin"/>
      </w:r>
      <w:r>
        <w:instrText xml:space="preserve"> HYPERLINK \l "_Toc15396628" </w:instrText>
      </w:r>
      <w:r>
        <w:fldChar w:fldCharType="separate"/>
      </w:r>
      <w:r>
        <w:rPr>
          <w:rStyle w:val="14"/>
          <w:rFonts w:hint="eastAsia" w:ascii="仿宋" w:hAnsi="仿宋" w:eastAsia="仿宋"/>
          <w:sz w:val="28"/>
          <w:szCs w:val="28"/>
        </w:rPr>
        <w:t>一般公共预算财政拨款“三公”经费支出决算表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46F28333">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十一、</w:t>
      </w:r>
      <w:r>
        <w:fldChar w:fldCharType="begin"/>
      </w:r>
      <w:r>
        <w:instrText xml:space="preserve"> HYPERLINK \l "_Toc15396629" </w:instrText>
      </w:r>
      <w:r>
        <w:fldChar w:fldCharType="separate"/>
      </w:r>
      <w:r>
        <w:rPr>
          <w:rStyle w:val="14"/>
          <w:rFonts w:hint="eastAsia" w:ascii="仿宋" w:hAnsi="仿宋" w:eastAsia="仿宋"/>
          <w:sz w:val="28"/>
          <w:szCs w:val="28"/>
        </w:rPr>
        <w:t>政府性基金预算财政拨款收入支出决算表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593AF2D2">
      <w:pPr>
        <w:pStyle w:val="9"/>
        <w:jc w:val="both"/>
        <w:rPr>
          <w:rFonts w:hint="eastAsia" w:ascii="仿宋" w:hAnsi="仿宋" w:eastAsia="仿宋" w:cstheme="minorBidi"/>
          <w:sz w:val="28"/>
          <w:szCs w:val="28"/>
          <w:lang w:val="en-US" w:eastAsia="zh-CN"/>
        </w:rPr>
      </w:pPr>
      <w:r>
        <w:rPr>
          <w:rFonts w:hint="eastAsia" w:ascii="仿宋" w:hAnsi="仿宋" w:eastAsia="仿宋"/>
          <w:sz w:val="28"/>
          <w:szCs w:val="28"/>
        </w:rPr>
        <w:t>十二、</w:t>
      </w:r>
      <w:r>
        <w:fldChar w:fldCharType="begin"/>
      </w:r>
      <w:r>
        <w:instrText xml:space="preserve"> HYPERLINK \l "_Toc15396630" </w:instrText>
      </w:r>
      <w:r>
        <w:fldChar w:fldCharType="separate"/>
      </w:r>
      <w:r>
        <w:rPr>
          <w:rStyle w:val="14"/>
          <w:rFonts w:hint="eastAsia" w:ascii="仿宋" w:hAnsi="仿宋" w:eastAsia="仿宋"/>
          <w:sz w:val="28"/>
          <w:szCs w:val="28"/>
        </w:rPr>
        <w:t>政府性基金预算财政拨款“三公”经费支出决算表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1CB8AF94">
      <w:pPr>
        <w:pStyle w:val="9"/>
        <w:jc w:val="both"/>
        <w:rPr>
          <w:rFonts w:hint="eastAsia" w:ascii="仿宋" w:hAnsi="仿宋" w:eastAsia="仿宋" w:cstheme="minorBidi"/>
          <w:sz w:val="24"/>
          <w:lang w:val="en-US" w:eastAsia="zh-CN"/>
        </w:rPr>
      </w:pPr>
      <w:r>
        <w:rPr>
          <w:rFonts w:hint="eastAsia" w:ascii="仿宋" w:hAnsi="仿宋" w:eastAsia="仿宋"/>
          <w:sz w:val="28"/>
          <w:szCs w:val="28"/>
        </w:rPr>
        <w:t>十三、</w:t>
      </w:r>
      <w:r>
        <w:fldChar w:fldCharType="begin"/>
      </w:r>
      <w:r>
        <w:instrText xml:space="preserve"> HYPERLINK \l "_Toc15396631" </w:instrText>
      </w:r>
      <w:r>
        <w:fldChar w:fldCharType="separate"/>
      </w:r>
      <w:r>
        <w:rPr>
          <w:rStyle w:val="14"/>
          <w:rFonts w:hint="eastAsia" w:ascii="仿宋" w:hAnsi="仿宋" w:eastAsia="仿宋"/>
          <w:sz w:val="28"/>
          <w:szCs w:val="28"/>
        </w:rPr>
        <w:t>国有资本经营预算支出决算表</w:t>
      </w:r>
      <w:r>
        <w:rPr>
          <w:rFonts w:ascii="仿宋" w:hAnsi="仿宋" w:eastAsia="仿宋"/>
          <w:sz w:val="28"/>
          <w:szCs w:val="28"/>
        </w:rPr>
        <w:tab/>
      </w:r>
      <w:r>
        <w:rPr>
          <w:rFonts w:hint="eastAsia" w:ascii="仿宋" w:hAnsi="仿宋" w:eastAsia="仿宋"/>
          <w:sz w:val="28"/>
          <w:szCs w:val="28"/>
          <w:lang w:val="en-US" w:eastAsia="zh-CN"/>
        </w:rPr>
        <w:t>32</w:t>
      </w:r>
      <w:r>
        <w:rPr>
          <w:rFonts w:ascii="仿宋" w:hAnsi="仿宋" w:eastAsia="仿宋"/>
          <w:sz w:val="28"/>
          <w:szCs w:val="28"/>
        </w:rPr>
        <w:fldChar w:fldCharType="end"/>
      </w:r>
    </w:p>
    <w:p w14:paraId="778932AC">
      <w:pPr>
        <w:pStyle w:val="2"/>
        <w:pageBreakBefore w:val="0"/>
        <w:kinsoku/>
        <w:wordWrap/>
        <w:overflowPunct/>
        <w:topLinePunct w:val="0"/>
        <w:bidi w:val="0"/>
        <w:spacing w:line="600" w:lineRule="exact"/>
        <w:ind w:left="0" w:leftChars="0"/>
      </w:pPr>
      <w:r>
        <w:rPr>
          <w:rFonts w:ascii="仿宋" w:hAnsi="仿宋" w:eastAsia="仿宋"/>
          <w:color w:val="000000"/>
          <w:sz w:val="24"/>
        </w:rPr>
        <w:fldChar w:fldCharType="end"/>
      </w:r>
    </w:p>
    <w:p w14:paraId="798F42FF">
      <w:pPr>
        <w:pStyle w:val="2"/>
        <w:pageBreakBefore w:val="0"/>
        <w:kinsoku/>
        <w:wordWrap/>
        <w:overflowPunct/>
        <w:topLinePunct w:val="0"/>
        <w:bidi w:val="0"/>
        <w:spacing w:line="600" w:lineRule="exact"/>
        <w:ind w:left="0" w:leftChars="0"/>
      </w:pPr>
    </w:p>
    <w:p w14:paraId="63972EB1">
      <w:pPr>
        <w:pStyle w:val="2"/>
        <w:pageBreakBefore w:val="0"/>
        <w:kinsoku/>
        <w:wordWrap/>
        <w:overflowPunct/>
        <w:topLinePunct w:val="0"/>
        <w:bidi w:val="0"/>
        <w:spacing w:line="600" w:lineRule="exact"/>
        <w:ind w:left="0" w:leftChars="0"/>
      </w:pPr>
    </w:p>
    <w:p w14:paraId="435B505D">
      <w:pPr>
        <w:pStyle w:val="2"/>
        <w:pageBreakBefore w:val="0"/>
        <w:kinsoku/>
        <w:wordWrap/>
        <w:overflowPunct/>
        <w:topLinePunct w:val="0"/>
        <w:bidi w:val="0"/>
        <w:spacing w:line="600" w:lineRule="exact"/>
        <w:ind w:left="0" w:leftChars="0" w:firstLine="0" w:firstLineChars="0"/>
      </w:pPr>
    </w:p>
    <w:p w14:paraId="14B0BBA7">
      <w:pPr>
        <w:pStyle w:val="2"/>
        <w:pageBreakBefore w:val="0"/>
        <w:kinsoku/>
        <w:wordWrap/>
        <w:overflowPunct/>
        <w:topLinePunct w:val="0"/>
        <w:bidi w:val="0"/>
        <w:spacing w:line="600" w:lineRule="exact"/>
        <w:ind w:left="0" w:leftChars="0"/>
        <w:sectPr>
          <w:footerReference r:id="rId5" w:type="default"/>
          <w:pgSz w:w="11906" w:h="16838"/>
          <w:pgMar w:top="2098" w:right="1474" w:bottom="1984" w:left="1588" w:header="851" w:footer="992" w:gutter="0"/>
          <w:pgNumType w:fmt="numberInDash"/>
          <w:cols w:space="720" w:num="1"/>
          <w:docGrid w:type="lines" w:linePitch="312" w:charSpace="0"/>
        </w:sectPr>
      </w:pPr>
    </w:p>
    <w:p w14:paraId="2768D36A">
      <w:pPr>
        <w:pStyle w:val="2"/>
        <w:pageBreakBefore w:val="0"/>
        <w:kinsoku/>
        <w:wordWrap/>
        <w:overflowPunct/>
        <w:topLinePunct w:val="0"/>
        <w:bidi w:val="0"/>
        <w:spacing w:line="600" w:lineRule="exact"/>
        <w:ind w:left="0" w:leftChars="0"/>
      </w:pPr>
    </w:p>
    <w:p w14:paraId="512C5F75">
      <w:pPr>
        <w:pageBreakBefore w:val="0"/>
        <w:widowControl/>
        <w:kinsoku/>
        <w:wordWrap/>
        <w:overflowPunct/>
        <w:topLinePunct w:val="0"/>
        <w:bidi w:val="0"/>
        <w:spacing w:line="600" w:lineRule="exact"/>
        <w:ind w:left="0" w:leftChars="0" w:firstLine="2200" w:firstLineChars="500"/>
        <w:jc w:val="left"/>
        <w:rPr>
          <w:rFonts w:ascii="黑体" w:hAnsi="黑体" w:eastAsia="黑体" w:cs="黑体"/>
          <w:color w:val="000000"/>
          <w:sz w:val="44"/>
          <w:szCs w:val="44"/>
        </w:rPr>
      </w:pPr>
      <w:r>
        <w:rPr>
          <w:rFonts w:hint="eastAsia" w:ascii="黑体" w:hAnsi="黑体" w:eastAsia="黑体" w:cs="黑体"/>
          <w:sz w:val="44"/>
          <w:szCs w:val="44"/>
        </w:rPr>
        <w:t xml:space="preserve">第一部分 </w:t>
      </w:r>
      <w:r>
        <w:rPr>
          <w:rStyle w:val="18"/>
          <w:rFonts w:hint="eastAsia" w:ascii="黑体" w:hAnsi="黑体" w:eastAsia="黑体" w:cs="黑体"/>
          <w:b w:val="0"/>
          <w:bCs w:val="0"/>
        </w:rPr>
        <w:t>部门概况</w:t>
      </w:r>
    </w:p>
    <w:p w14:paraId="69757348">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jc w:val="both"/>
        <w:textAlignment w:val="auto"/>
        <w:outlineLvl w:val="9"/>
        <w:rPr>
          <w:rFonts w:hint="eastAsia" w:ascii="Times New Roman" w:hAnsi="Times New Roman" w:eastAsia="黑体" w:cs="Times New Roman"/>
          <w:sz w:val="32"/>
          <w:szCs w:val="32"/>
          <w:lang w:eastAsia="zh-CN"/>
        </w:rPr>
      </w:pPr>
    </w:p>
    <w:p w14:paraId="6EC8A051">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9"/>
        <w:rPr>
          <w:rFonts w:ascii="楷体_GB2312" w:hAnsi="仿宋" w:eastAsia="楷体_GB2312"/>
          <w:b/>
          <w:sz w:val="32"/>
          <w:szCs w:val="32"/>
        </w:rPr>
      </w:pPr>
      <w:r>
        <w:rPr>
          <w:rFonts w:hint="eastAsia" w:ascii="Times New Roman" w:hAnsi="Times New Roman" w:eastAsia="黑体" w:cs="Times New Roman"/>
          <w:sz w:val="32"/>
          <w:szCs w:val="32"/>
          <w:lang w:eastAsia="zh-CN"/>
        </w:rPr>
        <w:t>一、</w:t>
      </w:r>
      <w:r>
        <w:rPr>
          <w:rFonts w:hint="default" w:ascii="Times New Roman" w:hAnsi="Times New Roman" w:eastAsia="黑体" w:cs="Times New Roman"/>
          <w:sz w:val="32"/>
          <w:szCs w:val="32"/>
        </w:rPr>
        <w:t>主要职能职责</w:t>
      </w:r>
      <w:r>
        <w:rPr>
          <w:rFonts w:hint="eastAsia" w:ascii="Times New Roman" w:hAnsi="Times New Roman" w:eastAsia="黑体" w:cs="Times New Roman"/>
          <w:sz w:val="32"/>
          <w:szCs w:val="32"/>
          <w:lang w:eastAsia="zh-CN"/>
        </w:rPr>
        <w:t>及重点工作</w:t>
      </w:r>
    </w:p>
    <w:p w14:paraId="7DA1D402">
      <w:pPr>
        <w:pageBreakBefore w:val="0"/>
        <w:kinsoku/>
        <w:wordWrap/>
        <w:overflowPunct/>
        <w:topLinePunct w:val="0"/>
        <w:bidi w:val="0"/>
        <w:snapToGrid w:val="0"/>
        <w:spacing w:line="600" w:lineRule="exact"/>
        <w:ind w:left="0" w:leftChars="0" w:firstLine="643" w:firstLineChars="200"/>
        <w:rPr>
          <w:rFonts w:hint="eastAsia" w:ascii="楷体_GB2312" w:hAnsi="仿宋" w:eastAsia="楷体_GB2312" w:cs="Times New Roman"/>
          <w:b/>
          <w:sz w:val="32"/>
          <w:szCs w:val="32"/>
          <w:lang w:eastAsia="zh-CN"/>
        </w:rPr>
      </w:pPr>
      <w:r>
        <w:rPr>
          <w:rFonts w:hint="eastAsia" w:ascii="楷体_GB2312" w:hAnsi="仿宋" w:eastAsia="楷体_GB2312" w:cs="Times New Roman"/>
          <w:b/>
          <w:sz w:val="32"/>
          <w:szCs w:val="32"/>
          <w:lang w:eastAsia="zh-CN"/>
        </w:rPr>
        <w:t>（一）统战部主要职能。</w:t>
      </w:r>
    </w:p>
    <w:p w14:paraId="5D3A03FC">
      <w:pPr>
        <w:pageBreakBefore w:val="0"/>
        <w:tabs>
          <w:tab w:val="left" w:pos="962"/>
          <w:tab w:val="left" w:pos="6565"/>
        </w:tabs>
        <w:kinsoku/>
        <w:wordWrap/>
        <w:overflowPunct/>
        <w:topLinePunct w:val="0"/>
        <w:bidi w:val="0"/>
        <w:snapToGrid w:val="0"/>
        <w:spacing w:line="6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中共广元市昭化区委统战部是区委主管统一战线工作的只能部门，主要职责是：</w:t>
      </w:r>
    </w:p>
    <w:p w14:paraId="670926E3">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w:t>
      </w:r>
      <w:r>
        <w:rPr>
          <w:rFonts w:hint="eastAsia" w:ascii="仿宋_GB2312" w:hAnsi="仿宋_GB2312" w:eastAsia="仿宋_GB2312" w:cs="仿宋_GB2312"/>
          <w:bCs/>
          <w:color w:val="000000"/>
          <w:sz w:val="32"/>
          <w:szCs w:val="32"/>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213B786B">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2.</w:t>
      </w:r>
      <w:r>
        <w:rPr>
          <w:rFonts w:hint="eastAsia" w:ascii="仿宋_GB2312" w:hAnsi="仿宋_GB2312" w:eastAsia="仿宋_GB2312" w:cs="仿宋_GB2312"/>
          <w:bCs/>
          <w:color w:val="000000"/>
          <w:sz w:val="32"/>
          <w:szCs w:val="32"/>
        </w:rPr>
        <w:t>研究拟订统一战线工作的政策草案并推动落实，深入调查研究，及时向区委报告统一战线工作情况并提出建议；统筹协调和指导各乡镇（街道）、各部门（单位）统一战线工作。</w:t>
      </w:r>
    </w:p>
    <w:p w14:paraId="3C9D2834">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3.</w:t>
      </w:r>
      <w:r>
        <w:rPr>
          <w:rFonts w:hint="eastAsia" w:ascii="仿宋_GB2312" w:hAnsi="仿宋_GB2312" w:eastAsia="仿宋_GB2312" w:cs="仿宋_GB2312"/>
          <w:bCs/>
          <w:color w:val="000000"/>
          <w:sz w:val="32"/>
          <w:szCs w:val="32"/>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358DB7B1">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4.</w:t>
      </w:r>
      <w:r>
        <w:rPr>
          <w:rFonts w:hint="eastAsia" w:ascii="仿宋_GB2312" w:hAnsi="仿宋_GB2312" w:eastAsia="仿宋_GB2312" w:cs="仿宋_GB2312"/>
          <w:bCs/>
          <w:color w:val="000000"/>
          <w:sz w:val="32"/>
          <w:szCs w:val="32"/>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4F6C61AD">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5.</w:t>
      </w:r>
      <w:r>
        <w:rPr>
          <w:rFonts w:hint="eastAsia" w:ascii="仿宋_GB2312" w:hAnsi="仿宋_GB2312" w:eastAsia="仿宋_GB2312" w:cs="仿宋_GB2312"/>
          <w:bCs/>
          <w:color w:val="000000"/>
          <w:sz w:val="32"/>
          <w:szCs w:val="32"/>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1156679F">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6.</w:t>
      </w:r>
      <w:r>
        <w:rPr>
          <w:rFonts w:hint="eastAsia" w:ascii="仿宋_GB2312" w:hAnsi="仿宋_GB2312" w:eastAsia="仿宋_GB2312" w:cs="仿宋_GB2312"/>
          <w:bCs/>
          <w:color w:val="000000"/>
          <w:sz w:val="32"/>
          <w:szCs w:val="32"/>
        </w:rPr>
        <w:t>贯彻落实党的民族工作方针，研究拟订民族工作中的政策和重大措施，协调处理民族工作中的重大问题，统筹协调做好少数民族干部工作。依法管理民族事务，全面促进民族事业发展。</w:t>
      </w:r>
    </w:p>
    <w:p w14:paraId="6DBCC290">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7.</w:t>
      </w:r>
      <w:r>
        <w:rPr>
          <w:rFonts w:hint="eastAsia" w:ascii="仿宋_GB2312" w:hAnsi="仿宋_GB2312" w:eastAsia="仿宋_GB2312" w:cs="仿宋_GB2312"/>
          <w:bCs/>
          <w:color w:val="000000"/>
          <w:sz w:val="32"/>
          <w:szCs w:val="32"/>
        </w:rPr>
        <w:t>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14:paraId="05D8E2FF">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8.</w:t>
      </w:r>
      <w:r>
        <w:rPr>
          <w:rFonts w:hint="eastAsia" w:ascii="仿宋_GB2312" w:hAnsi="仿宋_GB2312" w:eastAsia="仿宋_GB2312" w:cs="仿宋_GB2312"/>
          <w:bCs/>
          <w:color w:val="000000"/>
          <w:sz w:val="32"/>
          <w:szCs w:val="32"/>
        </w:rPr>
        <w:t>规范民间信仰活动，依法管理民间信仰，维护民间信仰信众的合法权益；挖掘民间信仰中的优秀传统文化资源，引导民间信仰信众爱国守法、团结友善、服务社会、维护和谐。</w:t>
      </w:r>
    </w:p>
    <w:p w14:paraId="2D9E398D">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9.</w:t>
      </w:r>
      <w:r>
        <w:rPr>
          <w:rFonts w:hint="eastAsia" w:ascii="仿宋_GB2312" w:hAnsi="仿宋_GB2312" w:eastAsia="仿宋_GB2312" w:cs="仿宋_GB2312"/>
          <w:bCs/>
          <w:color w:val="000000"/>
          <w:sz w:val="32"/>
          <w:szCs w:val="32"/>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7CC768AA">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10.</w:t>
      </w:r>
      <w:r>
        <w:rPr>
          <w:rFonts w:hint="eastAsia" w:ascii="仿宋_GB2312" w:hAnsi="仿宋_GB2312" w:eastAsia="仿宋_GB2312" w:cs="仿宋_GB2312"/>
          <w:bCs/>
          <w:color w:val="000000"/>
          <w:sz w:val="32"/>
          <w:szCs w:val="32"/>
        </w:rPr>
        <w:t>负责联系、培养新的社会阶层代表人士，支持、帮助新的社会阶层人士加强自身建设、发挥作用。调查研究全区新的社会阶层人士情况并提出政策建议，开展思想政治工作，指导社会组织开展新的社会阶层人士统战工作。</w:t>
      </w:r>
    </w:p>
    <w:p w14:paraId="5001ED94">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11.</w:t>
      </w:r>
      <w:r>
        <w:rPr>
          <w:rFonts w:hint="eastAsia" w:ascii="仿宋_GB2312" w:hAnsi="仿宋_GB2312" w:eastAsia="仿宋_GB2312" w:cs="仿宋_GB2312"/>
          <w:bCs/>
          <w:color w:val="000000"/>
          <w:sz w:val="32"/>
          <w:szCs w:val="32"/>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18E9A7F1">
      <w:pPr>
        <w:pageBreakBefore w:val="0"/>
        <w:kinsoku/>
        <w:wordWrap/>
        <w:overflowPunct/>
        <w:topLinePunct w:val="0"/>
        <w:bidi w:val="0"/>
        <w:spacing w:line="600" w:lineRule="exact"/>
        <w:ind w:left="0" w:leftChars="0" w:firstLine="640"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12.</w:t>
      </w:r>
      <w:r>
        <w:rPr>
          <w:rFonts w:hint="eastAsia" w:ascii="仿宋_GB2312" w:hAnsi="仿宋_GB2312" w:eastAsia="仿宋_GB2312" w:cs="仿宋_GB2312"/>
          <w:bCs/>
          <w:color w:val="000000"/>
          <w:sz w:val="32"/>
          <w:szCs w:val="32"/>
        </w:rPr>
        <w:t>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14:paraId="67D7AC80">
      <w:pPr>
        <w:pageBreakBefore w:val="0"/>
        <w:kinsoku/>
        <w:wordWrap/>
        <w:overflowPunct/>
        <w:topLinePunct w:val="0"/>
        <w:bidi w:val="0"/>
        <w:spacing w:line="600" w:lineRule="exact"/>
        <w:ind w:left="0" w:leftChars="0" w:firstLine="640"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13.</w:t>
      </w:r>
      <w:r>
        <w:rPr>
          <w:rFonts w:hint="eastAsia" w:ascii="仿宋_GB2312" w:hAnsi="仿宋_GB2312" w:eastAsia="仿宋_GB2312" w:cs="仿宋_GB2312"/>
          <w:bCs/>
          <w:color w:val="000000"/>
          <w:sz w:val="32"/>
          <w:szCs w:val="32"/>
        </w:rPr>
        <w:t>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14:paraId="116F0B5E">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14.</w:t>
      </w:r>
      <w:r>
        <w:rPr>
          <w:rFonts w:hint="eastAsia" w:ascii="仿宋_GB2312" w:hAnsi="仿宋_GB2312" w:eastAsia="仿宋_GB2312" w:cs="仿宋_GB2312"/>
          <w:bCs/>
          <w:color w:val="000000"/>
          <w:sz w:val="32"/>
          <w:szCs w:val="32"/>
        </w:rPr>
        <w:t>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19607961">
      <w:pPr>
        <w:pageBreakBefore w:val="0"/>
        <w:kinsoku/>
        <w:wordWrap/>
        <w:overflowPunct/>
        <w:topLinePunct w:val="0"/>
        <w:bidi w:val="0"/>
        <w:spacing w:line="600" w:lineRule="exact"/>
        <w:ind w:left="0" w:leftChars="0" w:firstLine="640"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15.</w:t>
      </w:r>
      <w:r>
        <w:rPr>
          <w:rFonts w:hint="eastAsia" w:ascii="仿宋_GB2312" w:hAnsi="仿宋_GB2312" w:eastAsia="仿宋_GB2312" w:cs="仿宋_GB2312"/>
          <w:bCs/>
          <w:color w:val="000000"/>
          <w:sz w:val="32"/>
          <w:szCs w:val="32"/>
        </w:rPr>
        <w:t>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14:paraId="20BD88E9">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16.</w:t>
      </w:r>
      <w:r>
        <w:rPr>
          <w:rFonts w:hint="eastAsia" w:ascii="仿宋_GB2312" w:hAnsi="仿宋_GB2312" w:eastAsia="仿宋_GB2312" w:cs="仿宋_GB2312"/>
          <w:bCs/>
          <w:color w:val="000000"/>
          <w:sz w:val="32"/>
          <w:szCs w:val="32"/>
        </w:rPr>
        <w:t>完成区委交办的其他任务。</w:t>
      </w:r>
    </w:p>
    <w:p w14:paraId="51F60BF2">
      <w:pPr>
        <w:pageBreakBefore w:val="0"/>
        <w:kinsoku/>
        <w:wordWrap/>
        <w:overflowPunct/>
        <w:topLinePunct w:val="0"/>
        <w:bidi w:val="0"/>
        <w:snapToGrid w:val="0"/>
        <w:spacing w:line="600" w:lineRule="exact"/>
        <w:ind w:left="0" w:leftChars="0" w:firstLine="643" w:firstLineChars="200"/>
        <w:rPr>
          <w:rFonts w:hint="eastAsia" w:ascii="楷体_GB2312" w:hAnsi="仿宋" w:eastAsia="楷体_GB2312" w:cs="Times New Roman"/>
          <w:b/>
          <w:sz w:val="32"/>
          <w:szCs w:val="32"/>
          <w:lang w:eastAsia="zh-CN"/>
        </w:rPr>
      </w:pPr>
      <w:bookmarkStart w:id="5" w:name="YS060102"/>
      <w:r>
        <w:rPr>
          <w:rFonts w:hint="eastAsia" w:ascii="楷体_GB2312" w:hAnsi="仿宋" w:eastAsia="楷体_GB2312" w:cs="Times New Roman"/>
          <w:b/>
          <w:sz w:val="32"/>
          <w:szCs w:val="32"/>
          <w:lang w:eastAsia="zh-CN"/>
        </w:rPr>
        <w:t>（二）201</w:t>
      </w:r>
      <w:r>
        <w:rPr>
          <w:rFonts w:hint="eastAsia" w:ascii="楷体_GB2312" w:hAnsi="仿宋" w:eastAsia="楷体_GB2312" w:cs="Times New Roman"/>
          <w:b/>
          <w:sz w:val="32"/>
          <w:szCs w:val="32"/>
          <w:lang w:val="en-US" w:eastAsia="zh-CN"/>
        </w:rPr>
        <w:t>9</w:t>
      </w:r>
      <w:r>
        <w:rPr>
          <w:rFonts w:hint="eastAsia" w:ascii="楷体_GB2312" w:hAnsi="仿宋" w:eastAsia="楷体_GB2312" w:cs="Times New Roman"/>
          <w:b/>
          <w:sz w:val="32"/>
          <w:szCs w:val="32"/>
          <w:lang w:eastAsia="zh-CN"/>
        </w:rPr>
        <w:t>年重点工作完成情况。</w:t>
      </w:r>
    </w:p>
    <w:p w14:paraId="397BABAA">
      <w:pPr>
        <w:pageBreakBefore w:val="0"/>
        <w:kinsoku/>
        <w:wordWrap/>
        <w:overflowPunct/>
        <w:topLinePunct w:val="0"/>
        <w:bidi w:val="0"/>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w:t>
      </w:r>
      <w:r>
        <w:rPr>
          <w:rFonts w:hint="eastAsia" w:ascii="仿宋_GB2312" w:eastAsia="仿宋_GB2312"/>
          <w:sz w:val="32"/>
          <w:szCs w:val="32"/>
        </w:rPr>
        <w:t>昭化区统战工作在区委的坚强领导和市委统战部关心指导下，高举习近平新时代中国特色社会主义</w:t>
      </w:r>
      <w:r>
        <w:rPr>
          <w:rFonts w:hint="eastAsia" w:ascii="仿宋_GB2312" w:eastAsia="仿宋_GB2312"/>
          <w:sz w:val="32"/>
          <w:szCs w:val="32"/>
          <w:lang w:eastAsia="zh-CN"/>
        </w:rPr>
        <w:t>思想</w:t>
      </w:r>
      <w:r>
        <w:rPr>
          <w:rFonts w:hint="eastAsia" w:ascii="仿宋_GB2312" w:eastAsia="仿宋_GB2312"/>
          <w:sz w:val="32"/>
          <w:szCs w:val="32"/>
        </w:rPr>
        <w:t>伟大旗帜，认真贯彻落实党的十九大和二中、三中、四中全会精神，坚决履行“不忘初心、捍卫核心、围绕中心、凝聚人心”职能，努力为治蜀兴川兴广战略昭化实践画出最大同心圆。</w:t>
      </w:r>
      <w:r>
        <w:rPr>
          <w:rFonts w:hint="eastAsia" w:ascii="楷体" w:hAnsi="楷体" w:eastAsia="楷体" w:cs="仿宋_GB2312"/>
          <w:sz w:val="32"/>
          <w:szCs w:val="32"/>
        </w:rPr>
        <w:t>一是充分发挥党委统一战线领导小组作用。</w:t>
      </w:r>
      <w:r>
        <w:rPr>
          <w:rFonts w:hint="eastAsia" w:ascii="仿宋_GB2312" w:hAnsi="仿宋_GB2312" w:eastAsia="仿宋_GB2312" w:cs="仿宋_GB2312"/>
          <w:sz w:val="32"/>
          <w:szCs w:val="32"/>
        </w:rPr>
        <w:t>区委高度重视统战工作，调整充实了区统一战线工作领导小组，建立了宗教工作领导小组，区委常委会5次研究全区统战工作，传达学习上级统战会议精神。全年召开区委统一战线工作领导小组会议1次，会议学习了《中共中央关于加强中国特色社会主义参政党建设的意见》，审定了</w:t>
      </w:r>
      <w:r>
        <w:rPr>
          <w:rFonts w:hint="eastAsia" w:ascii="仿宋_GB2312" w:hAnsi="仿宋_GB2312" w:eastAsia="仿宋_GB2312" w:cs="仿宋_GB2312"/>
          <w:color w:val="161616"/>
          <w:sz w:val="31"/>
          <w:szCs w:val="31"/>
          <w:shd w:val="clear" w:color="auto" w:fill="FFFFFF"/>
        </w:rPr>
        <w:t>《区委统一战线工作领导小组2019年工作要点》《区委统一战线工作领导小组成员单位统战工作职责》，研究了《昭化区关于支持民主党派、无党派人士</w:t>
      </w:r>
      <w:r>
        <w:rPr>
          <w:rFonts w:hint="eastAsia" w:ascii="仿宋_GB2312" w:hAnsi="仿宋_GB2312" w:eastAsia="仿宋_GB2312" w:cs="仿宋_GB2312"/>
          <w:sz w:val="32"/>
          <w:szCs w:val="32"/>
        </w:rPr>
        <w:t>“不忘合作初心，继续携手前进”主题教育活动方案》和大光明公司非法集资案化解稳控工作，充分发挥了总揽全局作用。</w:t>
      </w:r>
      <w:r>
        <w:rPr>
          <w:rFonts w:hint="eastAsia" w:ascii="楷体_GB2312" w:hAnsi="楷体_GB2312" w:eastAsia="楷体_GB2312" w:cs="楷体_GB2312"/>
          <w:bCs/>
          <w:sz w:val="32"/>
          <w:szCs w:val="32"/>
        </w:rPr>
        <w:t>二是积极融入同心·四川大宣传文化工作格局。积</w:t>
      </w:r>
      <w:r>
        <w:rPr>
          <w:rFonts w:hint="eastAsia" w:ascii="仿宋_GB2312" w:hAnsi="仿宋_GB2312" w:eastAsia="仿宋_GB2312" w:cs="仿宋_GB2312"/>
          <w:bCs/>
          <w:sz w:val="32"/>
          <w:szCs w:val="32"/>
        </w:rPr>
        <w:t>极融入同心·四川宣传文化工作格局，</w:t>
      </w:r>
      <w:r>
        <w:rPr>
          <w:rFonts w:hint="eastAsia" w:ascii="仿宋_GB2312" w:hAnsi="仿宋_GB2312" w:eastAsia="仿宋_GB2312" w:cs="仿宋_GB2312"/>
          <w:sz w:val="32"/>
          <w:szCs w:val="32"/>
        </w:rPr>
        <w:t>开通昭化融媒“同心</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昭化”栏目。全年撰写《异地商会助力地方经济社会发展昭化实践》《地方政治协商与多党合作创新发展的几点思考》等理论文章5篇，省委统战部《四川统战工作》采用信息2条，四川统一战线网站发表信息6条，《广元统战工作》采用信息8条，广元统一战线网站发表信息宣传文章14条，其它刊物、网站发表宣传信息文章100多条（篇），实现了统战工作信息宣传工作再上了新台阶，全年未发生影响社会稳定的涉统网络舆情况。</w:t>
      </w:r>
      <w:r>
        <w:rPr>
          <w:rFonts w:hint="eastAsia" w:ascii="楷体_GB2312" w:hAnsi="楷体_GB2312" w:eastAsia="楷体_GB2312" w:cs="楷体_GB2312"/>
          <w:bCs/>
          <w:sz w:val="32"/>
          <w:szCs w:val="32"/>
        </w:rPr>
        <w:t>三是党外干部配备工作再上新台阶</w:t>
      </w:r>
      <w:r>
        <w:rPr>
          <w:rFonts w:hint="eastAsia" w:ascii="楷体" w:hAnsi="楷体" w:eastAsia="楷体" w:cs="仿宋_GB2312"/>
          <w:sz w:val="32"/>
          <w:szCs w:val="32"/>
        </w:rPr>
        <w:t>。</w:t>
      </w:r>
      <w:r>
        <w:rPr>
          <w:rFonts w:hint="eastAsia" w:ascii="仿宋_GB2312" w:hAnsi="仿宋_GB2312" w:eastAsia="仿宋_GB2312" w:cs="仿宋_GB2312"/>
          <w:sz w:val="32"/>
          <w:szCs w:val="32"/>
        </w:rPr>
        <w:t>严格落实省委、市委有关文件要求，不断加强党外干部发现、培养、选拔和使用力度，现2名党外干部担任区政府部门正职，12个政府组成部门配备党外领导干部15名，占政府组成部门总数的46%，较机构改革前增加4个部门。加强同组织部门沟通衔接，到法院、检察院和司法局等部门开展党外干部座谈调研，积极培育党外法院副院长、党外副检察长人选，共培育挂职担任区法院党外副院长、区检察院党外副检察长人选3人。</w:t>
      </w:r>
      <w:r>
        <w:rPr>
          <w:rFonts w:hint="eastAsia" w:ascii="楷体_GB2312" w:hAnsi="楷体_GB2312" w:eastAsia="楷体_GB2312" w:cs="楷体_GB2312"/>
          <w:bCs/>
          <w:sz w:val="32"/>
          <w:szCs w:val="32"/>
        </w:rPr>
        <w:t>四是大力支持开展“不忘合作初心，继续携手前进”主题教育活动</w:t>
      </w:r>
      <w:r>
        <w:rPr>
          <w:rFonts w:hint="eastAsia" w:ascii="楷体" w:hAnsi="楷体" w:eastAsia="楷体" w:cs="仿宋_GB2312"/>
          <w:sz w:val="32"/>
          <w:szCs w:val="32"/>
        </w:rPr>
        <w:t>。</w:t>
      </w:r>
      <w:r>
        <w:rPr>
          <w:rFonts w:hint="eastAsia" w:ascii="仿宋_GB2312" w:hAnsi="仿宋_GB2312" w:eastAsia="仿宋_GB2312" w:cs="仿宋_GB2312"/>
          <w:sz w:val="32"/>
          <w:szCs w:val="32"/>
        </w:rPr>
        <w:t>制发</w:t>
      </w:r>
      <w:r>
        <w:rPr>
          <w:rFonts w:hint="eastAsia" w:ascii="仿宋_GB2312" w:hAnsi="仿宋_GB2312" w:eastAsia="仿宋_GB2312" w:cs="仿宋_GB2312"/>
          <w:color w:val="161616"/>
          <w:sz w:val="32"/>
          <w:szCs w:val="32"/>
          <w:shd w:val="clear" w:color="auto" w:fill="FFFFFF"/>
        </w:rPr>
        <w:t>《昭化区关于支持民主党派、无党派人士</w:t>
      </w:r>
      <w:r>
        <w:rPr>
          <w:rFonts w:hint="eastAsia" w:ascii="仿宋_GB2312" w:hAnsi="仿宋_GB2312" w:eastAsia="仿宋_GB2312" w:cs="仿宋_GB2312"/>
          <w:sz w:val="32"/>
          <w:szCs w:val="32"/>
        </w:rPr>
        <w:t>“不忘合作初心，继续携手前进”主题教育活动方案》，组织各民主党派主委、副主委召开“不忘合作初心，继续携手前进”主题教育座谈会，专题安排主题教育工作，确保主题教育向纵深推进。</w:t>
      </w:r>
      <w:r>
        <w:rPr>
          <w:rFonts w:hint="eastAsia" w:ascii="仿宋_GB2312" w:hAnsi="仿宋_GB2312" w:eastAsia="仿宋_GB2312" w:cs="仿宋_GB2312"/>
          <w:bCs/>
          <w:sz w:val="32"/>
          <w:szCs w:val="32"/>
        </w:rPr>
        <w:t>指导民盟昭化支部赴成都参观“民盟成都市委盟史馆”、民盟先贤“贺麟故居”，民进昭化支部赴巴中市开展红色文化教育，参观“川陕革命根据地纪念馆”“将帅碑林”，九三学社赴重庆参观中国民主党派事迹陈列馆、九三学社成立旧址和白公馆、渣滓洞，通过缅怀革命先烈，追忆合作历史，支持各民主党派支部开好年终总结和领导班子民主生活会，进一步坚定了党走的信心和决心，做党的好参谋、好帮手、好同事的信心和决心。</w:t>
      </w:r>
      <w:r>
        <w:rPr>
          <w:rFonts w:hint="eastAsia" w:ascii="楷体_GB2312" w:hAnsi="楷体_GB2312" w:eastAsia="楷体_GB2312" w:cs="楷体_GB2312"/>
          <w:bCs/>
          <w:sz w:val="32"/>
          <w:szCs w:val="32"/>
        </w:rPr>
        <w:t>五是着力做好民主党派成员教育培训工作</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shd w:val="clear" w:color="auto" w:fill="FFFFFF"/>
        </w:rPr>
        <w:t>时提交区委常委会传达学习</w:t>
      </w:r>
      <w:r>
        <w:rPr>
          <w:rFonts w:hint="eastAsia" w:ascii="仿宋_GB2312" w:hAnsi="仿宋_GB2312" w:eastAsia="仿宋_GB2312" w:cs="仿宋_GB2312"/>
          <w:color w:val="000000"/>
          <w:sz w:val="32"/>
          <w:szCs w:val="32"/>
        </w:rPr>
        <w:t>《中共中央关于加强中国特色社会主义参政党建设的意见》《民主党派代表人士队伍建设规划（2018-2027年）》《各民主党派中央关于新时代组织发展工作座谈会纪要》，结合我区民主党派实际提出切实可行的贯彻意见。认真组织各民主党派支部深入学习</w:t>
      </w:r>
      <w:r>
        <w:rPr>
          <w:rFonts w:hint="eastAsia" w:ascii="仿宋_GB2312" w:hAnsi="仿宋_GB2312" w:eastAsia="仿宋_GB2312" w:cs="仿宋_GB2312"/>
          <w:sz w:val="32"/>
          <w:szCs w:val="32"/>
          <w:shd w:val="clear" w:color="auto" w:fill="FFFFFF"/>
        </w:rPr>
        <w:t>《意见》《规划》《纪要》，</w:t>
      </w:r>
      <w:r>
        <w:rPr>
          <w:rFonts w:hint="eastAsia" w:ascii="仿宋_GB2312" w:hAnsi="仿宋_GB2312" w:eastAsia="仿宋_GB2312" w:cs="仿宋_GB2312"/>
          <w:color w:val="000000"/>
          <w:sz w:val="32"/>
          <w:szCs w:val="32"/>
        </w:rPr>
        <w:t>准确把握三个文件出台背景、重大意义、目标原则和重点任务，</w:t>
      </w:r>
      <w:r>
        <w:rPr>
          <w:rFonts w:hint="eastAsia" w:ascii="仿宋_GB2312" w:hAnsi="仿宋_GB2312" w:eastAsia="仿宋_GB2312" w:cs="仿宋_GB2312"/>
          <w:sz w:val="32"/>
          <w:szCs w:val="32"/>
          <w:shd w:val="clear" w:color="auto" w:fill="FFFFFF"/>
        </w:rPr>
        <w:t>撰写《加强</w:t>
      </w:r>
      <w:r>
        <w:rPr>
          <w:rFonts w:hint="eastAsia" w:ascii="仿宋_GB2312" w:hAnsi="仿宋_GB2312" w:eastAsia="仿宋_GB2312" w:cs="仿宋_GB2312"/>
          <w:sz w:val="32"/>
          <w:szCs w:val="32"/>
        </w:rPr>
        <w:t>民主党派基层组织建设情况的报告》，认真</w:t>
      </w:r>
      <w:r>
        <w:rPr>
          <w:rFonts w:hint="eastAsia" w:ascii="仿宋_GB2312" w:hAnsi="仿宋_GB2312" w:eastAsia="仿宋_GB2312" w:cs="仿宋_GB2312"/>
          <w:sz w:val="32"/>
          <w:szCs w:val="32"/>
          <w:shd w:val="clear" w:color="auto" w:fill="FFFFFF"/>
        </w:rPr>
        <w:t>分析我区民主党派队伍</w:t>
      </w:r>
      <w:r>
        <w:rPr>
          <w:rFonts w:eastAsia="仿宋_GB2312"/>
          <w:color w:val="000000"/>
          <w:sz w:val="32"/>
          <w:szCs w:val="32"/>
        </w:rPr>
        <w:t>思想政治建设、组织建设、履职能力建设、作风建设、制度建设</w:t>
      </w:r>
      <w:r>
        <w:rPr>
          <w:rFonts w:hint="eastAsia" w:eastAsia="仿宋_GB2312"/>
          <w:color w:val="000000"/>
          <w:sz w:val="32"/>
          <w:szCs w:val="32"/>
        </w:rPr>
        <w:t>方面和代表人士培养等方面存在问题，提出建议措施，进一步加强民主党派代表人士培育选拔，严格按照上级对数量、界别的要求，把好新入会成员关口，不断提升民主党派成员素质和界别特色。</w:t>
      </w:r>
      <w:r>
        <w:rPr>
          <w:rFonts w:hint="eastAsia" w:ascii="仿宋_GB2312" w:hAnsi="仿宋_GB2312" w:eastAsia="仿宋_GB2312" w:cs="仿宋_GB2312"/>
          <w:sz w:val="32"/>
          <w:szCs w:val="32"/>
        </w:rPr>
        <w:t>全年推荐50人（次）民主党派成员、无党派人士代表和非公经济人士参加中央社会主义学院、厦门大学等各类院校和市委组织部、市委统战部组织的各类培训学习，组织新联会、乡镇统战干部赴绵阳、遂宁、广安、达州、巴中等地学习考察基层统战创新工作，选派唐彬等2名党外干部赴龙泉挂职锻炼、6名党外干部到凉山州助力脱贫攻坚工作。</w:t>
      </w:r>
      <w:r>
        <w:rPr>
          <w:rFonts w:hint="eastAsia" w:ascii="楷体_GB2312" w:hAnsi="楷体_GB2312" w:eastAsia="楷体_GB2312" w:cs="楷体_GB2312"/>
          <w:sz w:val="32"/>
          <w:szCs w:val="32"/>
        </w:rPr>
        <w:t>六是拓宽民主党派建言献和民主监督工作。</w:t>
      </w:r>
      <w:r>
        <w:rPr>
          <w:rFonts w:hint="eastAsia" w:ascii="仿宋_GB2312" w:hAnsi="仿宋_GB2312" w:eastAsia="仿宋_GB2312" w:cs="仿宋_GB2312"/>
          <w:sz w:val="32"/>
          <w:szCs w:val="32"/>
        </w:rPr>
        <w:t>拨付民主党派支部（社）25万元工作经费支持各民主党派成员深入园区、农村等基层，聚焦乡村振兴、</w:t>
      </w:r>
      <w:r>
        <w:rPr>
          <w:rFonts w:hint="eastAsia" w:ascii="仿宋_GB2312" w:hAnsi="仿宋_GB2312" w:eastAsia="仿宋_GB2312" w:cs="仿宋_GB2312"/>
          <w:kern w:val="0"/>
          <w:sz w:val="32"/>
          <w:szCs w:val="32"/>
        </w:rPr>
        <w:t>绿色家居产业城建设和民营企业健康发展等中心大局开展调查研究，积极建言献策，今年，提案议案的质量明显提高</w:t>
      </w:r>
      <w:r>
        <w:rPr>
          <w:rFonts w:hint="eastAsia" w:ascii="仿宋_GB2312" w:hAnsi="仿宋_GB2312" w:eastAsia="仿宋_GB2312" w:cs="仿宋_GB2312"/>
          <w:sz w:val="32"/>
          <w:szCs w:val="32"/>
        </w:rPr>
        <w:t>，在今年全区“两会”上，民主党派政协委员、人大代表提交提案议案 45 件，社情民意38条，5名民主党派成员大会作交流发言，2件提案被列为重点提案。其中</w:t>
      </w:r>
      <w:r>
        <w:rPr>
          <w:rFonts w:hint="eastAsia" w:eastAsia="仿宋_GB2312"/>
          <w:sz w:val="32"/>
          <w:szCs w:val="32"/>
        </w:rPr>
        <w:t>《关于加快发展温泉康养产业的提案》《关于深化我区品牌培育创建工作的提案》被区委、区政府、区政协表彰为优秀提案，</w:t>
      </w:r>
      <w:r>
        <w:rPr>
          <w:rFonts w:hint="eastAsia" w:eastAsia="仿宋_GB2312"/>
          <w:sz w:val="32"/>
          <w:szCs w:val="32"/>
          <w:shd w:val="clear" w:color="auto" w:fill="FFFFFF"/>
        </w:rPr>
        <w:t>《关于亟待解决贫困村产业发展道路的建议》被副市长、区委书记陈书记签批</w:t>
      </w:r>
      <w:r>
        <w:rPr>
          <w:rFonts w:hint="eastAsia" w:eastAsia="仿宋_GB2312"/>
          <w:sz w:val="32"/>
          <w:szCs w:val="32"/>
        </w:rPr>
        <w:t>。同时，大力支持各民主党派围绕脱贫攻坚、乡村振兴等重点领域开展民主监督，聚焦东西部扶贫协作和“两不愁、三保障”问题整改进行监督检查，提出</w:t>
      </w:r>
      <w:r>
        <w:rPr>
          <w:rFonts w:hint="eastAsia" w:ascii="仿宋" w:hAnsi="仿宋" w:eastAsia="仿宋" w:cs="仿宋"/>
          <w:sz w:val="32"/>
          <w:szCs w:val="32"/>
        </w:rPr>
        <w:t>《关于延长精准扶贫小额信用贷款期限的建议》</w:t>
      </w:r>
      <w:r>
        <w:rPr>
          <w:rFonts w:hint="eastAsia" w:eastAsia="仿宋_GB2312"/>
          <w:sz w:val="32"/>
          <w:szCs w:val="32"/>
        </w:rPr>
        <w:t>《关于深化东西部扶贫协作的建议》等建设性意见15条，今年区委、区政府共表扬脱贫攻坚成效监督员8名，其中，民主党派成员就占了7人。</w:t>
      </w:r>
      <w:r>
        <w:rPr>
          <w:rFonts w:hint="eastAsia" w:ascii="楷体_GB2312" w:hAnsi="楷体_GB2312" w:eastAsia="楷体_GB2312" w:cs="楷体_GB2312"/>
          <w:sz w:val="32"/>
          <w:szCs w:val="32"/>
        </w:rPr>
        <w:t>七是积极开展广台经贸文化交流。</w:t>
      </w:r>
      <w:r>
        <w:rPr>
          <w:rFonts w:hint="eastAsia" w:ascii="仿宋_GB2312" w:hAnsi="仿宋_GB2312" w:eastAsia="仿宋_GB2312" w:cs="仿宋_GB2312"/>
          <w:bCs/>
          <w:sz w:val="32"/>
          <w:szCs w:val="32"/>
        </w:rPr>
        <w:t>及时传达学习中央、省委、市委关于新形势下加强对台工作意见，认真分析台海形势，提出我区贯彻意见，进一步加强全区党员干部对台意识教育。建立“走出去，迎进来”长效机制，今年先后到雅安、宜宾、泸州等地学习考察，就对台工作领域的经验做法进行了交流、探讨。热情接待了台商参访团来我区昭化古城考察三国文化、旅游投资，扩大三国蜀道文化在台湾民众中的影响，取得了良好的效果。认真做好成都台商协会妇联会到卫子小学开展捐助工作，按时发放49名贫困学生救助金5.8万元。</w:t>
      </w:r>
      <w:r>
        <w:rPr>
          <w:rFonts w:hint="eastAsia" w:ascii="楷体_GB2312" w:hAnsi="楷体_GB2312" w:eastAsia="楷体_GB2312" w:cs="楷体_GB2312"/>
          <w:sz w:val="32"/>
          <w:szCs w:val="32"/>
        </w:rPr>
        <w:t>八是积极开展引侨引资引智，动员侨胞侨眷参与地方经济社会发展。</w:t>
      </w:r>
      <w:r>
        <w:rPr>
          <w:rFonts w:hint="eastAsia" w:ascii="仿宋_GB2312" w:hAnsi="仿宋_GB2312" w:eastAsia="仿宋_GB2312" w:cs="仿宋_GB2312"/>
          <w:bCs/>
          <w:sz w:val="32"/>
          <w:szCs w:val="32"/>
        </w:rPr>
        <w:t>认真做好侨务职能化转工作，大力开展华侨、归侨、侨眷普查，全面掌握全区侨务资源基本情况，建立侨务资源统计台账。充分发挥侨务资源优势，助力经济社会发展，建立捐赠项目需求信息库，储备项目34个，涉及教育、卫生、污水治理、农村环境整治等多个方面，总金额达3000万元。认真落实</w:t>
      </w:r>
      <w:r>
        <w:rPr>
          <w:rFonts w:hint="eastAsia" w:ascii="仿宋_GB2312" w:hAnsi="仿宋_GB2312" w:eastAsia="仿宋_GB2312" w:cs="仿宋_GB2312"/>
          <w:bCs/>
          <w:sz w:val="32"/>
          <w:szCs w:val="32"/>
          <w:shd w:val="clear" w:color="auto" w:fill="FFFFFF"/>
        </w:rPr>
        <w:t>李锦记希望厨师项目，选送贫困学生邓飞免费就读成都财经贸职业技术学校。</w:t>
      </w:r>
      <w:r>
        <w:rPr>
          <w:rFonts w:hint="eastAsia" w:ascii="楷体_GB2312" w:hAnsi="楷体_GB2312" w:eastAsia="楷体_GB2312" w:cs="楷体_GB2312"/>
          <w:sz w:val="32"/>
          <w:szCs w:val="32"/>
        </w:rPr>
        <w:t>九是开展好非公有制经济人士主题教育和“万企帮万村”脱贫攻坚、光彩事业、东西部协作工作。</w:t>
      </w:r>
      <w:r>
        <w:rPr>
          <w:rFonts w:hint="eastAsia" w:ascii="仿宋_GB2312" w:hAnsi="仿宋_GB2312" w:eastAsia="仿宋_GB2312" w:cs="仿宋_GB2312"/>
          <w:sz w:val="32"/>
          <w:szCs w:val="32"/>
        </w:rPr>
        <w:t>持续在公有制人士中开展以“守法诚信经营，坚定发展信心”主题教育实践活动，通过学习全国民营企业座谈会和省市区民营经济健康大会精神，召开营商环境评议暨企业家座谈会，成立法律维权中心，开展“检察机关护航民营企业发展”检察开放日活动等，不断优化了我区营商环境，促进了“两个健康”。组织非公有制企业持续推进“万企帮万村”精准扶贫行动，全区50家会员企业结对帮扶4个贫困村、13个非贫困村，实现了区工商联兼职副主席、商会副会长、执委企业全覆盖，投入资金物质达146.59万元，帮扶贫困户373户，贫困人口1119人，成功创建黄龙乡水磨村“万企帮万村”示范村。积极参与“同心助学”，慰问贫困孤寡老弱等光彩事业活动，全年捐赠资金达50万元。切实加强东西部扶贫协作。全力做好区委、区政府领导和龙泉市领导互访交流，浙江省龙泉市政协副主席陈吉明、工商联党组书记金益民带领10余家会员企业到我区投资考察，考察家居产业城、广元港红岩作业区、天垠农业、惠兴农业、射箭乡晒金村新农村建设、昭化镇特色小镇建设情况，并召开座谈会，双方就东西部扶贫协作、项目投资、万企帮万村等方面达成一致意见。全年龙泉帮扶企业深入结对帮扶村开展系列帮扶活动，21个贫困村接受龙泉市22家企业现金支助21万元。龙泉市工商联向昭化区工商联捐赠“万企帮万村”帮扶资金10万元。</w:t>
      </w:r>
      <w:r>
        <w:rPr>
          <w:rFonts w:hint="eastAsia" w:ascii="楷体_GB2312" w:hAnsi="楷体_GB2312" w:eastAsia="楷体_GB2312" w:cs="楷体_GB2312"/>
          <w:sz w:val="32"/>
          <w:szCs w:val="32"/>
        </w:rPr>
        <w:t>十是引导党外知识分子和新的社会阶层人士围绕党委、政府决策部署开展调查研究和建言献策，积极参与社会服务活动。</w:t>
      </w:r>
      <w:r>
        <w:rPr>
          <w:rFonts w:hint="eastAsia" w:ascii="仿宋_GB2312" w:hAnsi="仿宋_GB2312" w:eastAsia="仿宋_GB2312" w:cs="仿宋_GB2312"/>
          <w:sz w:val="32"/>
          <w:szCs w:val="32"/>
        </w:rPr>
        <w:t>全额保障党外知识分子和新的社会阶层人士开展调查研究活动，今年区知联会、区新联会围绕脱贫攻坚、乡村振兴、文化旅游、农业产业发展开展调研活动6次，撰写提案建议10件。支持新联会开展了“情系端午节，粽香福利院”、“同心助学”行动等大型公益活动5次，为贫困学生、老人等捐赠物质资金30余万元。“同心助学”行动为54名大学生捐赠爱心助学金16.2万元，社会反响良好。“情系端午节，粽香福利院”活动为50多位孤寡老人开展“义诊、义剪、义帮”，送去节日慰问品，帮助他们过了一个欢乐的端午佳节。我区新联会积极参与四川省第二届网络春晚活动，选送的节目《我和我的祖国》成功入围决赛。支持区知联会赴苍溪黄猫垭桃花岛开展乡村振兴主题调研，参观旺苍红四方军木门会议遗址。指导区知联会做好省知联会到我区开展“知行巴蜀 同心筑梦”广元行蜀道文化研讨活动，市知联会开展“文化蜀道、彩色蜀道——我为蜀道添枝花”公益活动，甘肃岷县知联会赴我区考察乡村振兴等。</w:t>
      </w:r>
      <w:r>
        <w:rPr>
          <w:rFonts w:hint="eastAsia" w:ascii="楷体_GB2312" w:hAnsi="楷体_GB2312" w:eastAsia="楷体_GB2312" w:cs="楷体_GB2312"/>
          <w:sz w:val="32"/>
          <w:szCs w:val="32"/>
        </w:rPr>
        <w:t>十一是开展民族团结进步创建活动，促进民族乡村和少数民族群众脱贫奔康。</w:t>
      </w:r>
      <w:r>
        <w:rPr>
          <w:rFonts w:hint="eastAsia" w:ascii="仿宋_GB2312" w:hAnsi="仿宋_GB2312" w:eastAsia="仿宋_GB2312" w:cs="仿宋_GB2312"/>
          <w:sz w:val="32"/>
          <w:szCs w:val="32"/>
        </w:rPr>
        <w:t>将民族团结进步创建纳入</w:t>
      </w:r>
      <w:r>
        <w:rPr>
          <w:rFonts w:hint="eastAsia" w:ascii="仿宋_GB2312" w:hAnsi="仿宋_GB2312" w:eastAsia="仿宋_GB2312" w:cs="仿宋_GB2312"/>
          <w:sz w:val="32"/>
          <w:szCs w:val="32"/>
          <w:lang w:eastAsia="zh-CN"/>
        </w:rPr>
        <w:t>“七五”普法</w:t>
      </w:r>
      <w:r>
        <w:rPr>
          <w:rFonts w:hint="eastAsia" w:ascii="仿宋_GB2312" w:hAnsi="仿宋_GB2312" w:eastAsia="仿宋_GB2312" w:cs="仿宋_GB2312"/>
          <w:sz w:val="32"/>
          <w:szCs w:val="32"/>
        </w:rPr>
        <w:t>和“法律进寺庙”活动内容，推进民族团结进步教育“六进”，</w:t>
      </w:r>
      <w:r>
        <w:rPr>
          <w:rFonts w:hint="eastAsia" w:ascii="仿宋_GB2312" w:hAnsi="仿宋_GB2312" w:eastAsia="仿宋_GB2312" w:cs="仿宋_GB2312"/>
          <w:kern w:val="0"/>
          <w:sz w:val="32"/>
          <w:szCs w:val="32"/>
        </w:rPr>
        <w:t>通过“送法律下乡”“法制赶场”、开办培训班等形式，宣传党的民族工作方针政策，加强民族团结进步教育，</w:t>
      </w:r>
      <w:r>
        <w:rPr>
          <w:rFonts w:hint="eastAsia" w:ascii="仿宋_GB2312" w:hAnsi="仿宋_GB2312" w:eastAsia="仿宋_GB2312" w:cs="仿宋_GB2312"/>
          <w:sz w:val="32"/>
          <w:szCs w:val="32"/>
        </w:rPr>
        <w:t>营造民族团结良好氛围</w:t>
      </w:r>
      <w:r>
        <w:rPr>
          <w:rFonts w:hint="eastAsia" w:ascii="仿宋_GB2312" w:hAnsi="仿宋_GB2312" w:eastAsia="仿宋_GB2312" w:cs="仿宋_GB2312"/>
          <w:kern w:val="0"/>
          <w:sz w:val="32"/>
          <w:szCs w:val="32"/>
        </w:rPr>
        <w:t>，确保民族领域和谐繁荣。</w:t>
      </w:r>
      <w:r>
        <w:rPr>
          <w:rFonts w:hint="eastAsia" w:ascii="仿宋_GB2312" w:hAnsi="仿宋_GB2312" w:eastAsia="仿宋_GB2312" w:cs="仿宋_GB2312"/>
          <w:color w:val="000000"/>
          <w:sz w:val="32"/>
          <w:szCs w:val="32"/>
        </w:rPr>
        <w:t>强化民族资金项目申报的政策性、严肃性和程序性，充分听取基层意见，建立会商机制，将群众最急、最盼的“三小”项目纳入项目库，</w:t>
      </w:r>
      <w:r>
        <w:rPr>
          <w:rFonts w:hint="eastAsia" w:ascii="仿宋_GB2312" w:hAnsi="仿宋_GB2312" w:eastAsia="仿宋_GB2312" w:cs="仿宋_GB2312"/>
          <w:sz w:val="32"/>
          <w:szCs w:val="32"/>
        </w:rPr>
        <w:t>争取民族专项资金40万元，</w:t>
      </w:r>
      <w:r>
        <w:rPr>
          <w:rFonts w:hint="eastAsia" w:ascii="仿宋_GB2312" w:hAnsi="仿宋_GB2312" w:eastAsia="仿宋_GB2312" w:cs="仿宋_GB2312"/>
          <w:kern w:val="0"/>
          <w:sz w:val="32"/>
          <w:szCs w:val="32"/>
        </w:rPr>
        <w:t>帮助少数民族群众发展产业增收致富。</w:t>
      </w:r>
      <w:r>
        <w:rPr>
          <w:rFonts w:hint="eastAsia" w:ascii="仿宋_GB2312" w:hAnsi="仿宋_GB2312" w:eastAsia="仿宋_GB2312" w:cs="仿宋_GB2312"/>
          <w:sz w:val="32"/>
          <w:szCs w:val="32"/>
        </w:rPr>
        <w:t>与民政部门共同建立乡镇（街道）、社区民族工作联络员制度，确保工作上下衔接，落到实处。对我区少数民族人员和少数民族干部信息进行补查登记，完善全区少数民族人员信息台账。</w:t>
      </w:r>
    </w:p>
    <w:p w14:paraId="661EA9AB">
      <w:pPr>
        <w:pStyle w:val="9"/>
        <w:pageBreakBefore w:val="0"/>
        <w:kinsoku/>
        <w:wordWrap/>
        <w:overflowPunct/>
        <w:topLinePunct w:val="0"/>
        <w:bidi w:val="0"/>
        <w:adjustRightInd w:val="0"/>
        <w:snapToGrid w:val="0"/>
        <w:spacing w:line="600" w:lineRule="exact"/>
        <w:ind w:left="0" w:leftChars="0" w:firstLine="640" w:firstLineChars="200"/>
        <w:jc w:val="left"/>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二、机构设置</w:t>
      </w:r>
    </w:p>
    <w:p w14:paraId="69FEAC7D">
      <w:pPr>
        <w:pageBreakBefore w:val="0"/>
        <w:kinsoku/>
        <w:wordWrap/>
        <w:overflowPunct/>
        <w:topLinePunct w:val="0"/>
        <w:bidi w:val="0"/>
        <w:spacing w:line="600" w:lineRule="exact"/>
        <w:ind w:left="0" w:leftChars="0" w:firstLine="640" w:firstLineChars="200"/>
        <w:rPr>
          <w:rFonts w:ascii="仿宋_GB2312" w:hAnsi="仿宋" w:eastAsia="仿宋_GB2312"/>
          <w:sz w:val="32"/>
          <w:szCs w:val="32"/>
        </w:rPr>
      </w:pPr>
      <w:r>
        <w:rPr>
          <w:rFonts w:hint="eastAsia" w:ascii="仿宋_GB2312" w:hAnsi="仿宋_GB2312" w:eastAsia="仿宋_GB2312" w:cs="仿宋_GB2312"/>
          <w:bCs/>
          <w:color w:val="000000"/>
          <w:sz w:val="32"/>
          <w:szCs w:val="32"/>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w:t>
      </w:r>
      <w:r>
        <w:rPr>
          <w:rFonts w:hint="eastAsia" w:ascii="仿宋_GB2312" w:hAnsi="仿宋_GB2312" w:eastAsia="仿宋_GB2312" w:cs="仿宋_GB2312"/>
          <w:bCs/>
          <w:sz w:val="32"/>
          <w:szCs w:val="32"/>
        </w:rPr>
        <w:t>一级预算单位。</w:t>
      </w:r>
    </w:p>
    <w:p w14:paraId="05D621AB">
      <w:pPr>
        <w:pStyle w:val="2"/>
        <w:pageBreakBefore w:val="0"/>
        <w:kinsoku/>
        <w:wordWrap/>
        <w:overflowPunct/>
        <w:topLinePunct w:val="0"/>
        <w:bidi w:val="0"/>
        <w:spacing w:line="600" w:lineRule="exact"/>
        <w:ind w:left="0" w:leftChars="0"/>
      </w:pPr>
    </w:p>
    <w:p w14:paraId="1B30F147">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1D292DFC">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2AF660CF">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41ECE048">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0389F8D6">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6D213222">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686EE0CB">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4490A24C">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黑体" w:hAnsi="黑体" w:eastAsia="黑体" w:cs="Times New Roman"/>
          <w:kern w:val="2"/>
          <w:sz w:val="32"/>
          <w:szCs w:val="32"/>
          <w:lang w:val="en-US" w:eastAsia="zh-CN" w:bidi="ar-SA"/>
        </w:rPr>
      </w:pPr>
    </w:p>
    <w:p w14:paraId="6F806385">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775446FA">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328597E0">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7CB85047">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4E26303B">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661F97DF">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4D46F0C4">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741B504B">
      <w:pPr>
        <w:pageBreakBefore w:val="0"/>
        <w:kinsoku/>
        <w:wordWrap/>
        <w:overflowPunct/>
        <w:topLinePunct w:val="0"/>
        <w:bidi w:val="0"/>
        <w:spacing w:line="600" w:lineRule="exact"/>
        <w:ind w:left="0" w:leftChars="0" w:firstLine="440" w:firstLineChars="100"/>
        <w:rPr>
          <w:rFonts w:hint="eastAsia" w:ascii="黑体" w:hAnsi="黑体" w:eastAsia="黑体" w:cs="黑体"/>
          <w:color w:val="000000"/>
          <w:sz w:val="44"/>
          <w:szCs w:val="44"/>
        </w:rPr>
      </w:pPr>
    </w:p>
    <w:p w14:paraId="16202306">
      <w:pPr>
        <w:pageBreakBefore w:val="0"/>
        <w:kinsoku/>
        <w:wordWrap/>
        <w:overflowPunct/>
        <w:topLinePunct w:val="0"/>
        <w:bidi w:val="0"/>
        <w:spacing w:line="600" w:lineRule="exact"/>
        <w:ind w:left="0" w:leftChars="0" w:firstLine="440" w:firstLineChars="100"/>
        <w:rPr>
          <w:rStyle w:val="18"/>
          <w:rFonts w:ascii="黑体" w:hAnsi="黑体" w:eastAsia="黑体"/>
          <w:b w:val="0"/>
          <w:bCs w:val="0"/>
        </w:rPr>
      </w:pPr>
      <w:r>
        <w:rPr>
          <w:rFonts w:hint="eastAsia" w:ascii="黑体" w:hAnsi="黑体" w:eastAsia="黑体" w:cs="黑体"/>
          <w:color w:val="000000"/>
          <w:sz w:val="44"/>
          <w:szCs w:val="44"/>
        </w:rPr>
        <w:t xml:space="preserve">第二部分   </w:t>
      </w:r>
      <w:r>
        <w:rPr>
          <w:rStyle w:val="18"/>
          <w:rFonts w:hint="eastAsia" w:ascii="黑体" w:hAnsi="黑体" w:eastAsia="黑体"/>
          <w:b w:val="0"/>
          <w:bCs w:val="0"/>
        </w:rPr>
        <w:t>201</w:t>
      </w:r>
      <w:r>
        <w:rPr>
          <w:rStyle w:val="18"/>
          <w:rFonts w:hint="eastAsia" w:ascii="黑体" w:hAnsi="黑体" w:eastAsia="黑体"/>
          <w:b w:val="0"/>
          <w:bCs w:val="0"/>
          <w:lang w:val="en-US" w:eastAsia="zh-CN"/>
        </w:rPr>
        <w:t>9</w:t>
      </w:r>
      <w:r>
        <w:rPr>
          <w:rStyle w:val="18"/>
          <w:rFonts w:hint="eastAsia" w:ascii="黑体" w:hAnsi="黑体" w:eastAsia="黑体"/>
          <w:b w:val="0"/>
          <w:bCs w:val="0"/>
        </w:rPr>
        <w:t>年度部门决算情况说明</w:t>
      </w:r>
    </w:p>
    <w:p w14:paraId="19ACCDCA">
      <w:pPr>
        <w:pStyle w:val="8"/>
        <w:pageBreakBefore w:val="0"/>
        <w:kinsoku/>
        <w:wordWrap/>
        <w:overflowPunct/>
        <w:topLinePunct w:val="0"/>
        <w:bidi w:val="0"/>
        <w:adjustRightInd w:val="0"/>
        <w:snapToGrid w:val="0"/>
        <w:spacing w:before="0" w:line="600" w:lineRule="exact"/>
        <w:ind w:left="0" w:leftChars="0" w:firstLine="640" w:firstLineChars="200"/>
        <w:jc w:val="left"/>
        <w:rPr>
          <w:rFonts w:hint="eastAsia" w:ascii="Times New Roman" w:hAnsi="Times New Roman" w:eastAsia="黑体" w:cs="Times New Roman"/>
          <w:kern w:val="0"/>
          <w:sz w:val="32"/>
          <w:szCs w:val="32"/>
          <w:lang w:val="en-US" w:eastAsia="zh-CN" w:bidi="ar"/>
        </w:rPr>
      </w:pPr>
    </w:p>
    <w:p w14:paraId="6762F32E">
      <w:pPr>
        <w:pStyle w:val="9"/>
        <w:pageBreakBefore w:val="0"/>
        <w:kinsoku/>
        <w:wordWrap/>
        <w:overflowPunct/>
        <w:topLinePunct w:val="0"/>
        <w:bidi w:val="0"/>
        <w:adjustRightInd w:val="0"/>
        <w:snapToGrid w:val="0"/>
        <w:spacing w:line="600" w:lineRule="exact"/>
        <w:ind w:left="0" w:leftChars="0" w:firstLine="640" w:firstLineChars="200"/>
        <w:jc w:val="left"/>
        <w:rPr>
          <w:rFonts w:hint="eastAsia" w:ascii="Times New Roman" w:hAnsi="Times New Roman" w:eastAsia="黑体" w:cs="Times New Roman"/>
          <w:kern w:val="0"/>
          <w:sz w:val="32"/>
          <w:szCs w:val="32"/>
          <w:lang w:val="en-US" w:eastAsia="zh-CN" w:bidi="ar"/>
        </w:rPr>
      </w:pPr>
      <w:r>
        <w:rPr>
          <w:rFonts w:hint="eastAsia" w:ascii="Times New Roman" w:hAnsi="Times New Roman" w:eastAsia="黑体" w:cs="Times New Roman"/>
          <w:kern w:val="0"/>
          <w:sz w:val="32"/>
          <w:szCs w:val="32"/>
          <w:lang w:val="en-US" w:eastAsia="zh-CN" w:bidi="ar"/>
        </w:rPr>
        <w:t>一、收入支出决算总体情况说明</w:t>
      </w:r>
    </w:p>
    <w:p w14:paraId="3801579E">
      <w:pPr>
        <w:pageBreakBefore w:val="0"/>
        <w:kinsoku/>
        <w:wordWrap/>
        <w:overflowPunct/>
        <w:topLinePunct w:val="0"/>
        <w:bidi w:val="0"/>
        <w:spacing w:line="600" w:lineRule="exact"/>
        <w:ind w:left="0" w:leftChars="0"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2019年区委统战部财政拨款收入合计259.31万元，均为财政拨款收入，占100%。年初结转结余0万元；事业收入0万元，占0%；经营收入0万元，占0%；附属单位上缴收入0万元，占0%；其他收入0万元，占0%。</w:t>
      </w:r>
    </w:p>
    <w:bookmarkEnd w:id="5"/>
    <w:p w14:paraId="2A8E2774">
      <w:pPr>
        <w:pageBreakBefore w:val="0"/>
        <w:kinsoku/>
        <w:wordWrap/>
        <w:overflowPunct/>
        <w:topLinePunct w:val="0"/>
        <w:bidi w:val="0"/>
        <w:spacing w:line="600" w:lineRule="exact"/>
        <w:ind w:left="0" w:leftChars="0" w:firstLine="640" w:firstLineChars="200"/>
        <w:rPr>
          <w:rFonts w:ascii="仿宋_GB2312" w:eastAsia="仿宋_GB2312"/>
          <w:color w:val="000000"/>
          <w:sz w:val="32"/>
          <w:szCs w:val="32"/>
        </w:rPr>
      </w:pPr>
      <w:r>
        <w:rPr>
          <w:rFonts w:hint="eastAsia" w:ascii="仿宋_GB2312" w:hAnsi="Times New Roman" w:eastAsia="仿宋_GB2312" w:cs="Times New Roman"/>
          <w:color w:val="000000"/>
          <w:sz w:val="32"/>
          <w:szCs w:val="32"/>
        </w:rPr>
        <w:t>201</w:t>
      </w:r>
      <w:r>
        <w:rPr>
          <w:rFonts w:hint="eastAsia" w:ascii="仿宋_GB2312" w:hAnsi="Times New Roman" w:eastAsia="仿宋_GB2312" w:cs="Times New Roman"/>
          <w:color w:val="000000"/>
          <w:sz w:val="32"/>
          <w:szCs w:val="32"/>
          <w:lang w:val="en-US" w:eastAsia="zh-CN"/>
        </w:rPr>
        <w:t>9</w:t>
      </w:r>
      <w:r>
        <w:rPr>
          <w:rFonts w:hint="eastAsia" w:ascii="仿宋_GB2312" w:hAnsi="Times New Roman" w:eastAsia="仿宋_GB2312" w:cs="Times New Roman"/>
          <w:color w:val="000000"/>
          <w:sz w:val="32"/>
          <w:szCs w:val="32"/>
        </w:rPr>
        <w:t>年全年支出合计259.31万</w:t>
      </w:r>
      <w:r>
        <w:rPr>
          <w:rFonts w:hint="eastAsia" w:ascii="仿宋_GB2312" w:eastAsia="仿宋_GB2312"/>
          <w:color w:val="000000"/>
          <w:sz w:val="32"/>
          <w:szCs w:val="32"/>
        </w:rPr>
        <w:t>元，其中：</w:t>
      </w:r>
      <w:r>
        <w:rPr>
          <w:rFonts w:hint="eastAsia" w:ascii="仿宋_GB2312" w:eastAsia="仿宋_GB2312"/>
          <w:color w:val="000000"/>
          <w:sz w:val="32"/>
          <w:szCs w:val="32"/>
          <w:lang w:val="en-US" w:eastAsia="zh-CN"/>
        </w:rPr>
        <w:t>一般公共服务支出233.64万元，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90 .1</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社会保障</w:t>
      </w:r>
      <w:r>
        <w:rPr>
          <w:rFonts w:hint="eastAsia" w:ascii="仿宋_GB2312" w:eastAsia="仿宋_GB2312"/>
          <w:color w:val="000000"/>
          <w:sz w:val="32"/>
          <w:szCs w:val="32"/>
        </w:rPr>
        <w:t>支出</w:t>
      </w:r>
      <w:r>
        <w:rPr>
          <w:rFonts w:hint="eastAsia" w:ascii="仿宋_GB2312" w:eastAsia="仿宋_GB2312"/>
          <w:color w:val="000000"/>
          <w:sz w:val="32"/>
          <w:szCs w:val="32"/>
          <w:lang w:val="en-US" w:eastAsia="zh-CN"/>
        </w:rPr>
        <w:t>13.37</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 xml:space="preserve">5 .2 </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卫生健康支出4.98万元，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 xml:space="preserve">1.9 </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住房保障</w:t>
      </w:r>
      <w:r>
        <w:rPr>
          <w:rFonts w:hint="eastAsia" w:ascii="仿宋_GB2312" w:eastAsia="仿宋_GB2312"/>
          <w:color w:val="000000"/>
          <w:sz w:val="32"/>
          <w:szCs w:val="32"/>
        </w:rPr>
        <w:t>支出</w:t>
      </w:r>
      <w:r>
        <w:rPr>
          <w:rFonts w:hint="eastAsia" w:ascii="仿宋_GB2312" w:eastAsia="仿宋_GB2312"/>
          <w:color w:val="000000"/>
          <w:sz w:val="32"/>
          <w:szCs w:val="32"/>
          <w:lang w:val="en-US" w:eastAsia="zh-CN"/>
        </w:rPr>
        <w:t xml:space="preserve"> 7.31</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 xml:space="preserve">2.8 </w:t>
      </w:r>
      <w:r>
        <w:rPr>
          <w:rFonts w:hint="eastAsia" w:ascii="仿宋_GB2312" w:eastAsia="仿宋_GB2312"/>
          <w:color w:val="000000"/>
          <w:sz w:val="32"/>
          <w:szCs w:val="32"/>
        </w:rPr>
        <w:t>%；上缴上级支出0万元，占0%；经营支出0万元，占0%；对附属单位补助支出0万元，占0%。</w:t>
      </w:r>
    </w:p>
    <w:p w14:paraId="3E249A2F">
      <w:pPr>
        <w:pStyle w:val="9"/>
        <w:pageBreakBefore w:val="0"/>
        <w:kinsoku/>
        <w:wordWrap/>
        <w:overflowPunct/>
        <w:topLinePunct w:val="0"/>
        <w:bidi w:val="0"/>
        <w:adjustRightInd w:val="0"/>
        <w:snapToGrid w:val="0"/>
        <w:spacing w:line="600" w:lineRule="exact"/>
        <w:ind w:left="0" w:leftChars="0" w:firstLine="640" w:firstLineChars="200"/>
        <w:jc w:val="left"/>
        <w:rPr>
          <w:rFonts w:ascii="仿宋" w:hAnsi="仿宋" w:eastAsia="仿宋" w:cstheme="minorBidi"/>
          <w:sz w:val="24"/>
        </w:rPr>
      </w:pPr>
      <w:r>
        <w:rPr>
          <w:rFonts w:hint="eastAsia" w:ascii="Times New Roman" w:hAnsi="Times New Roman" w:eastAsia="黑体" w:cs="Times New Roman"/>
          <w:kern w:val="0"/>
          <w:sz w:val="32"/>
          <w:szCs w:val="32"/>
          <w:lang w:val="en-US" w:eastAsia="zh-CN" w:bidi="ar"/>
        </w:rPr>
        <w:t>二、收入决算情况说明</w:t>
      </w:r>
    </w:p>
    <w:p w14:paraId="771E87CE">
      <w:pPr>
        <w:pageBreakBefore w:val="0"/>
        <w:kinsoku/>
        <w:wordWrap/>
        <w:overflowPunct/>
        <w:topLinePunct w:val="0"/>
        <w:bidi w:val="0"/>
        <w:spacing w:line="600" w:lineRule="exact"/>
        <w:ind w:left="0" w:leftChars="0" w:firstLine="640" w:firstLineChars="200"/>
        <w:outlineLvl w:val="1"/>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年本年收入合计</w:t>
      </w:r>
      <w:r>
        <w:rPr>
          <w:rFonts w:hint="eastAsia" w:ascii="仿宋_GB2312" w:hAnsi="仿宋_GB2312" w:eastAsia="仿宋_GB2312" w:cs="仿宋_GB2312"/>
          <w:color w:val="000000"/>
          <w:sz w:val="32"/>
          <w:szCs w:val="32"/>
          <w:lang w:val="en-US" w:eastAsia="zh-CN"/>
        </w:rPr>
        <w:t>259.31</w:t>
      </w:r>
      <w:r>
        <w:rPr>
          <w:rFonts w:hint="eastAsia" w:ascii="仿宋_GB2312" w:hAnsi="仿宋_GB2312" w:eastAsia="仿宋_GB2312" w:cs="仿宋_GB2312"/>
          <w:color w:val="000000"/>
          <w:sz w:val="32"/>
          <w:szCs w:val="32"/>
        </w:rPr>
        <w:t>万元，其中：一般公共预算财政拨款收入</w:t>
      </w:r>
      <w:r>
        <w:rPr>
          <w:rFonts w:hint="eastAsia" w:ascii="仿宋_GB2312" w:hAnsi="仿宋_GB2312" w:eastAsia="仿宋_GB2312" w:cs="仿宋_GB2312"/>
          <w:color w:val="000000"/>
          <w:sz w:val="32"/>
          <w:szCs w:val="32"/>
          <w:lang w:val="en-US" w:eastAsia="zh-CN"/>
        </w:rPr>
        <w:t>259.31</w:t>
      </w:r>
      <w:r>
        <w:rPr>
          <w:rFonts w:hint="eastAsia" w:ascii="仿宋_GB2312" w:hAnsi="仿宋_GB2312" w:eastAsia="仿宋_GB2312" w:cs="仿宋_GB2312"/>
          <w:color w:val="000000"/>
          <w:sz w:val="32"/>
          <w:szCs w:val="32"/>
        </w:rPr>
        <w:t>万元，占100%；政府性基金预算财政拨款收入0万元，占0%；国有资本经营预算财政拨款收入0万元，占0%；事业收入0万元，占0%；经营收入0万元，占0%；附属单位上缴收入0万元，占0%；其他收入0万元，占0%。</w:t>
      </w:r>
    </w:p>
    <w:p w14:paraId="52257EBC">
      <w:pPr>
        <w:pStyle w:val="9"/>
        <w:pageBreakBefore w:val="0"/>
        <w:kinsoku/>
        <w:wordWrap/>
        <w:overflowPunct/>
        <w:topLinePunct w:val="0"/>
        <w:bidi w:val="0"/>
        <w:adjustRightInd w:val="0"/>
        <w:snapToGrid w:val="0"/>
        <w:spacing w:line="600" w:lineRule="exact"/>
        <w:ind w:left="0" w:leftChars="0" w:firstLine="640" w:firstLineChars="200"/>
        <w:jc w:val="left"/>
        <w:rPr>
          <w:rFonts w:hint="eastAsia" w:ascii="Times New Roman" w:hAnsi="Times New Roman" w:eastAsia="黑体" w:cs="Times New Roman"/>
          <w:kern w:val="0"/>
          <w:sz w:val="32"/>
          <w:szCs w:val="32"/>
          <w:lang w:val="en-US" w:eastAsia="zh-CN" w:bidi="ar"/>
        </w:rPr>
      </w:pPr>
      <w:r>
        <w:rPr>
          <w:rFonts w:hint="eastAsia" w:ascii="Times New Roman" w:hAnsi="Times New Roman" w:eastAsia="黑体" w:cs="Times New Roman"/>
          <w:kern w:val="0"/>
          <w:sz w:val="32"/>
          <w:szCs w:val="32"/>
          <w:lang w:val="en-US" w:eastAsia="zh-CN" w:bidi="ar"/>
        </w:rPr>
        <w:t>三、支出决算情况说明</w:t>
      </w:r>
    </w:p>
    <w:p w14:paraId="371090F5">
      <w:pPr>
        <w:pageBreakBefore w:val="0"/>
        <w:kinsoku/>
        <w:wordWrap/>
        <w:overflowPunct/>
        <w:topLinePunct w:val="0"/>
        <w:bidi w:val="0"/>
        <w:snapToGrid w:val="0"/>
        <w:spacing w:line="600" w:lineRule="exact"/>
        <w:ind w:left="0" w:leftChars="0" w:firstLine="640" w:firstLineChars="200"/>
        <w:rPr>
          <w:rFonts w:ascii="仿宋_GB2312" w:hAnsi="仿宋" w:eastAsia="仿宋_GB2312"/>
          <w:b/>
          <w:sz w:val="32"/>
          <w:szCs w:val="32"/>
        </w:rPr>
      </w:pPr>
      <w:r>
        <w:rPr>
          <w:rFonts w:hint="eastAsia" w:ascii="仿宋_GB2312" w:eastAsia="仿宋_GB2312"/>
          <w:color w:val="000000"/>
          <w:sz w:val="32"/>
          <w:szCs w:val="32"/>
        </w:rPr>
        <w:t>2019年区委统战部本年支出合计259.31万元，其中：基本支出229.31万元，占88.43%，项目支出30万元，占11.57%。</w:t>
      </w:r>
    </w:p>
    <w:p w14:paraId="1754859D">
      <w:pPr>
        <w:pStyle w:val="9"/>
        <w:pageBreakBefore w:val="0"/>
        <w:tabs>
          <w:tab w:val="left" w:pos="368"/>
          <w:tab w:val="clear" w:pos="8296"/>
        </w:tabs>
        <w:kinsoku/>
        <w:wordWrap/>
        <w:overflowPunct/>
        <w:topLinePunct w:val="0"/>
        <w:bidi w:val="0"/>
        <w:adjustRightInd w:val="0"/>
        <w:snapToGrid w:val="0"/>
        <w:spacing w:line="600" w:lineRule="exact"/>
        <w:ind w:left="0" w:leftChars="0" w:firstLine="640" w:firstLineChars="200"/>
        <w:jc w:val="left"/>
        <w:rPr>
          <w:rFonts w:hint="eastAsia" w:ascii="Times New Roman" w:hAnsi="Times New Roman" w:eastAsia="黑体" w:cs="Times New Roman"/>
          <w:kern w:val="0"/>
          <w:sz w:val="32"/>
          <w:szCs w:val="32"/>
          <w:lang w:val="en-US" w:eastAsia="zh-CN" w:bidi="ar"/>
        </w:rPr>
      </w:pPr>
      <w:r>
        <w:rPr>
          <w:rFonts w:hint="eastAsia" w:ascii="Times New Roman" w:hAnsi="Times New Roman" w:eastAsia="黑体" w:cs="Times New Roman"/>
          <w:kern w:val="0"/>
          <w:sz w:val="32"/>
          <w:szCs w:val="32"/>
          <w:lang w:val="en-US" w:eastAsia="zh-CN" w:bidi="ar"/>
        </w:rPr>
        <w:t>四、财政拨款收入支出决算总体情况说明</w:t>
      </w:r>
    </w:p>
    <w:p w14:paraId="22C9D060">
      <w:pPr>
        <w:pageBreakBefore w:val="0"/>
        <w:kinsoku/>
        <w:wordWrap/>
        <w:overflowPunct/>
        <w:topLinePunct w:val="0"/>
        <w:bidi w:val="0"/>
        <w:spacing w:line="600" w:lineRule="exact"/>
        <w:ind w:left="0" w:leftChars="0" w:firstLine="640" w:firstLineChars="200"/>
        <w:rPr>
          <w:rFonts w:ascii="仿宋_GB2312" w:hAnsi="仿宋" w:eastAsia="仿宋_GB2312"/>
          <w:sz w:val="32"/>
          <w:szCs w:val="32"/>
        </w:rPr>
      </w:pPr>
      <w:r>
        <w:rPr>
          <w:rFonts w:hint="eastAsia" w:ascii="仿宋_GB2312" w:eastAsia="仿宋_GB2312"/>
          <w:color w:val="000000"/>
          <w:sz w:val="32"/>
          <w:szCs w:val="32"/>
        </w:rPr>
        <w:t>区委统战部2019年度财政拨款收支总决算分别为259.31万元万元。与2018年财政拨款支出201.43万元相比增加57.88万元，增加28.73%。主要原因是目标奖资金、宗教事务项目工作和人员工资支出。</w:t>
      </w:r>
    </w:p>
    <w:p w14:paraId="2D384A85">
      <w:pPr>
        <w:pStyle w:val="9"/>
        <w:pageBreakBefore w:val="0"/>
        <w:numPr>
          <w:ilvl w:val="0"/>
          <w:numId w:val="0"/>
        </w:numPr>
        <w:kinsoku/>
        <w:wordWrap/>
        <w:overflowPunct/>
        <w:topLinePunct w:val="0"/>
        <w:bidi w:val="0"/>
        <w:adjustRightInd w:val="0"/>
        <w:snapToGrid w:val="0"/>
        <w:spacing w:line="600" w:lineRule="exact"/>
        <w:ind w:left="0" w:leftChars="0" w:firstLine="640" w:firstLineChars="200"/>
        <w:jc w:val="left"/>
        <w:rPr>
          <w:rFonts w:ascii="仿宋_GB2312" w:hAnsi="仿宋_GB2312" w:eastAsia="仿宋_GB2312" w:cs="仿宋_GB2312"/>
          <w:color w:val="000000"/>
          <w:sz w:val="32"/>
          <w:szCs w:val="32"/>
        </w:rPr>
      </w:pPr>
      <w:r>
        <w:rPr>
          <w:rFonts w:hint="eastAsia" w:ascii="Times New Roman" w:hAnsi="Times New Roman" w:eastAsia="黑体" w:cs="Times New Roman"/>
          <w:kern w:val="0"/>
          <w:sz w:val="32"/>
          <w:szCs w:val="32"/>
          <w:lang w:val="en-US" w:eastAsia="zh-CN" w:bidi="ar"/>
        </w:rPr>
        <w:t>五、一般公共预算财政拨款支出决算情况说明</w:t>
      </w:r>
    </w:p>
    <w:p w14:paraId="6ECFB8A8">
      <w:pPr>
        <w:pageBreakBefore w:val="0"/>
        <w:numPr>
          <w:ilvl w:val="0"/>
          <w:numId w:val="1"/>
        </w:numPr>
        <w:kinsoku/>
        <w:wordWrap/>
        <w:overflowPunct/>
        <w:topLinePunct w:val="0"/>
        <w:bidi w:val="0"/>
        <w:spacing w:line="600" w:lineRule="exact"/>
        <w:ind w:left="0" w:leftChars="0" w:firstLine="643" w:firstLineChars="200"/>
        <w:outlineLvl w:val="2"/>
        <w:rPr>
          <w:rFonts w:hint="eastAsia" w:ascii="仿宋" w:hAnsi="仿宋" w:eastAsia="仿宋"/>
          <w:b/>
          <w:color w:val="000000"/>
          <w:sz w:val="32"/>
          <w:szCs w:val="32"/>
        </w:rPr>
      </w:pPr>
      <w:bookmarkStart w:id="6" w:name="_Toc15377210"/>
      <w:r>
        <w:rPr>
          <w:rFonts w:hint="eastAsia" w:ascii="仿宋" w:hAnsi="仿宋" w:eastAsia="仿宋"/>
          <w:b/>
          <w:color w:val="000000"/>
          <w:sz w:val="32"/>
          <w:szCs w:val="32"/>
        </w:rPr>
        <w:t>一般公共预算财政拨款支出决算总体情况</w:t>
      </w:r>
      <w:bookmarkEnd w:id="6"/>
    </w:p>
    <w:p w14:paraId="03A4167E">
      <w:pPr>
        <w:pageBreakBefore w:val="0"/>
        <w:kinsoku/>
        <w:wordWrap/>
        <w:overflowPunct/>
        <w:topLinePunct w:val="0"/>
        <w:bidi w:val="0"/>
        <w:spacing w:line="600" w:lineRule="exact"/>
        <w:ind w:left="0" w:leftChars="0" w:firstLine="640" w:firstLineChars="200"/>
      </w:pP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年一般公共预算财政拨款支出</w:t>
      </w:r>
      <w:r>
        <w:rPr>
          <w:rFonts w:hint="eastAsia" w:ascii="仿宋_GB2312" w:hAnsi="仿宋_GB2312" w:eastAsia="仿宋_GB2312" w:cs="仿宋_GB2312"/>
          <w:color w:val="000000"/>
          <w:sz w:val="32"/>
          <w:szCs w:val="32"/>
          <w:lang w:val="en-US" w:eastAsia="zh-CN"/>
        </w:rPr>
        <w:t xml:space="preserve"> 259.31</w:t>
      </w:r>
      <w:r>
        <w:rPr>
          <w:rFonts w:hint="eastAsia" w:ascii="仿宋_GB2312" w:hAnsi="仿宋_GB2312" w:eastAsia="仿宋_GB2312" w:cs="仿宋_GB2312"/>
          <w:color w:val="000000"/>
          <w:sz w:val="32"/>
          <w:szCs w:val="32"/>
        </w:rPr>
        <w:t>万元，占本年支出合计的</w:t>
      </w:r>
      <w:r>
        <w:rPr>
          <w:rFonts w:hint="eastAsia" w:ascii="仿宋_GB2312" w:hAnsi="仿宋_GB2312" w:eastAsia="仿宋_GB2312" w:cs="仿宋_GB2312"/>
          <w:color w:val="000000"/>
          <w:sz w:val="32"/>
          <w:szCs w:val="32"/>
          <w:lang w:val="en-US" w:eastAsia="zh-CN"/>
        </w:rPr>
        <w:t xml:space="preserve">100 </w:t>
      </w:r>
      <w:r>
        <w:rPr>
          <w:rFonts w:hint="eastAsia" w:ascii="仿宋_GB2312" w:hAnsi="仿宋_GB2312" w:eastAsia="仿宋_GB2312" w:cs="仿宋_GB2312"/>
          <w:color w:val="000000"/>
          <w:sz w:val="32"/>
          <w:szCs w:val="32"/>
        </w:rPr>
        <w:t>%。</w:t>
      </w:r>
    </w:p>
    <w:p w14:paraId="13997BEF">
      <w:pPr>
        <w:pageBreakBefore w:val="0"/>
        <w:numPr>
          <w:ilvl w:val="0"/>
          <w:numId w:val="1"/>
        </w:numPr>
        <w:kinsoku/>
        <w:wordWrap/>
        <w:overflowPunct/>
        <w:topLinePunct w:val="0"/>
        <w:bidi w:val="0"/>
        <w:spacing w:line="600" w:lineRule="exact"/>
        <w:ind w:left="0" w:leftChars="0" w:firstLine="643" w:firstLineChars="200"/>
        <w:outlineLvl w:val="2"/>
        <w:rPr>
          <w:rFonts w:hint="eastAsia" w:ascii="仿宋" w:hAnsi="仿宋" w:eastAsia="仿宋"/>
          <w:b/>
          <w:color w:val="000000"/>
          <w:sz w:val="32"/>
          <w:szCs w:val="32"/>
        </w:rPr>
      </w:pPr>
      <w:bookmarkStart w:id="7" w:name="_Toc15377211"/>
      <w:r>
        <w:rPr>
          <w:rFonts w:hint="eastAsia" w:ascii="仿宋" w:hAnsi="仿宋" w:eastAsia="仿宋"/>
          <w:b/>
          <w:color w:val="000000"/>
          <w:sz w:val="32"/>
          <w:szCs w:val="32"/>
        </w:rPr>
        <w:t>一般公共预算财政拨款支出决算结构情况</w:t>
      </w:r>
      <w:bookmarkEnd w:id="7"/>
    </w:p>
    <w:p w14:paraId="6D61766F">
      <w:pPr>
        <w:pageBreakBefore w:val="0"/>
        <w:kinsoku/>
        <w:wordWrap/>
        <w:overflowPunct/>
        <w:topLinePunct w:val="0"/>
        <w:bidi w:val="0"/>
        <w:spacing w:line="600" w:lineRule="exact"/>
        <w:ind w:left="0" w:leftChars="0"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年一般公共预算财</w:t>
      </w:r>
      <w:r>
        <w:rPr>
          <w:rFonts w:hint="eastAsia" w:ascii="仿宋_GB2312" w:hAnsi="仿宋_GB2312" w:eastAsia="仿宋_GB2312" w:cs="仿宋_GB2312"/>
          <w:color w:val="000000" w:themeColor="text1"/>
          <w:sz w:val="32"/>
          <w:szCs w:val="32"/>
          <w14:textFill>
            <w14:solidFill>
              <w14:schemeClr w14:val="tx1"/>
            </w14:solidFill>
          </w14:textFill>
        </w:rPr>
        <w:t>政拨款支出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259.31</w:t>
      </w:r>
      <w:r>
        <w:rPr>
          <w:rFonts w:hint="eastAsia" w:ascii="仿宋_GB2312" w:hAnsi="仿宋_GB2312" w:eastAsia="仿宋_GB2312" w:cs="仿宋_GB2312"/>
          <w:color w:val="000000" w:themeColor="text1"/>
          <w:sz w:val="32"/>
          <w:szCs w:val="32"/>
          <w14:textFill>
            <w14:solidFill>
              <w14:schemeClr w14:val="tx1"/>
            </w14:solidFill>
          </w14:textFill>
        </w:rPr>
        <w:t>万元，主要用于以下方面:</w:t>
      </w:r>
      <w:r>
        <w:rPr>
          <w:rFonts w:hint="eastAsia" w:ascii="仿宋_GB2312" w:hAnsi="仿宋_GB2312" w:eastAsia="仿宋_GB2312" w:cs="仿宋_GB2312"/>
          <w:b/>
          <w:color w:val="000000" w:themeColor="text1"/>
          <w:sz w:val="32"/>
          <w:szCs w:val="32"/>
          <w14:textFill>
            <w14:solidFill>
              <w14:schemeClr w14:val="tx1"/>
            </w14:solidFill>
          </w14:textFill>
        </w:rPr>
        <w:t>一般公共服务（类）</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233.64</w:t>
      </w:r>
      <w:r>
        <w:rPr>
          <w:rFonts w:hint="eastAsia" w:ascii="仿宋_GB2312" w:hAnsi="仿宋_GB2312" w:eastAsia="仿宋_GB2312" w:cs="仿宋_GB2312"/>
          <w:color w:val="000000" w:themeColor="text1"/>
          <w:sz w:val="32"/>
          <w:szCs w:val="32"/>
          <w14:textFill>
            <w14:solidFill>
              <w14:schemeClr w14:val="tx1"/>
            </w14:solidFill>
          </w14:textFill>
        </w:rPr>
        <w:t>万元，占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90.1 </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sz w:val="32"/>
          <w:szCs w:val="32"/>
          <w14:textFill>
            <w14:solidFill>
              <w14:schemeClr w14:val="tx1"/>
            </w14:solidFill>
          </w14:textFill>
        </w:rPr>
        <w:t>教育支出（类）</w:t>
      </w:r>
      <w:r>
        <w:rPr>
          <w:rFonts w:hint="eastAsia" w:ascii="仿宋_GB2312" w:hAnsi="仿宋_GB2312" w:eastAsia="仿宋_GB2312" w:cs="仿宋_GB2312"/>
          <w:color w:val="000000" w:themeColor="text1"/>
          <w:sz w:val="32"/>
          <w:szCs w:val="32"/>
          <w14:textFill>
            <w14:solidFill>
              <w14:schemeClr w14:val="tx1"/>
            </w14:solidFill>
          </w14:textFill>
        </w:rPr>
        <w:t>0万元，占0%；</w:t>
      </w:r>
      <w:r>
        <w:rPr>
          <w:rFonts w:hint="eastAsia" w:ascii="仿宋_GB2312" w:hAnsi="仿宋_GB2312" w:eastAsia="仿宋_GB2312" w:cs="仿宋_GB2312"/>
          <w:b/>
          <w:color w:val="000000" w:themeColor="text1"/>
          <w:sz w:val="32"/>
          <w:szCs w:val="32"/>
          <w14:textFill>
            <w14:solidFill>
              <w14:schemeClr w14:val="tx1"/>
            </w14:solidFill>
          </w14:textFill>
        </w:rPr>
        <w:t>科学技术（类）</w:t>
      </w:r>
      <w:r>
        <w:rPr>
          <w:rFonts w:hint="eastAsia" w:ascii="仿宋_GB2312" w:hAnsi="仿宋_GB2312" w:eastAsia="仿宋_GB2312" w:cs="仿宋_GB2312"/>
          <w:color w:val="000000" w:themeColor="text1"/>
          <w:sz w:val="32"/>
          <w:szCs w:val="32"/>
          <w14:textFill>
            <w14:solidFill>
              <w14:schemeClr w14:val="tx1"/>
            </w14:solidFill>
          </w14:textFill>
        </w:rPr>
        <w:t>支出0万元，占0%；</w:t>
      </w:r>
      <w:r>
        <w:rPr>
          <w:rFonts w:hint="eastAsia" w:ascii="仿宋_GB2312" w:hAnsi="仿宋_GB2312" w:eastAsia="仿宋_GB2312" w:cs="仿宋_GB2312"/>
          <w:b/>
          <w:color w:val="000000" w:themeColor="text1"/>
          <w:sz w:val="32"/>
          <w:szCs w:val="32"/>
          <w14:textFill>
            <w14:solidFill>
              <w14:schemeClr w14:val="tx1"/>
            </w14:solidFill>
          </w14:textFill>
        </w:rPr>
        <w:t>社会保障和就业（类）</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13.37</w:t>
      </w:r>
      <w:r>
        <w:rPr>
          <w:rFonts w:hint="eastAsia" w:ascii="仿宋_GB2312" w:hAnsi="仿宋_GB2312" w:eastAsia="仿宋_GB2312" w:cs="仿宋_GB2312"/>
          <w:color w:val="000000" w:themeColor="text1"/>
          <w:sz w:val="32"/>
          <w:szCs w:val="32"/>
          <w14:textFill>
            <w14:solidFill>
              <w14:schemeClr w14:val="tx1"/>
            </w14:solidFill>
          </w14:textFill>
        </w:rPr>
        <w:t>万元，占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5.2 </w:t>
      </w:r>
      <w:r>
        <w:rPr>
          <w:rFonts w:hint="eastAsia" w:ascii="仿宋_GB2312" w:hAnsi="仿宋_GB2312" w:eastAsia="仿宋_GB2312" w:cs="仿宋_GB2312"/>
          <w:color w:val="000000" w:themeColor="text1"/>
          <w:sz w:val="32"/>
          <w:szCs w:val="32"/>
          <w14:textFill>
            <w14:solidFill>
              <w14:schemeClr w14:val="tx1"/>
            </w14:solidFill>
          </w14:textFill>
        </w:rPr>
        <w:t>%；医疗卫生支出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4.98</w:t>
      </w:r>
      <w:r>
        <w:rPr>
          <w:rFonts w:hint="eastAsia" w:ascii="仿宋_GB2312" w:hAnsi="仿宋_GB2312" w:eastAsia="仿宋_GB2312" w:cs="仿宋_GB2312"/>
          <w:color w:val="000000" w:themeColor="text1"/>
          <w:sz w:val="32"/>
          <w:szCs w:val="32"/>
          <w14:textFill>
            <w14:solidFill>
              <w14:schemeClr w14:val="tx1"/>
            </w14:solidFill>
          </w14:textFill>
        </w:rPr>
        <w:t>万元，占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1.9 </w:t>
      </w:r>
      <w:r>
        <w:rPr>
          <w:rFonts w:hint="eastAsia" w:ascii="仿宋_GB2312" w:hAnsi="仿宋_GB2312" w:eastAsia="仿宋_GB2312" w:cs="仿宋_GB2312"/>
          <w:color w:val="000000" w:themeColor="text1"/>
          <w:sz w:val="32"/>
          <w:szCs w:val="32"/>
          <w14:textFill>
            <w14:solidFill>
              <w14:schemeClr w14:val="tx1"/>
            </w14:solidFill>
          </w14:textFill>
        </w:rPr>
        <w:t>%；住房保障支出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7.31</w:t>
      </w:r>
      <w:r>
        <w:rPr>
          <w:rFonts w:hint="eastAsia" w:ascii="仿宋_GB2312" w:hAnsi="仿宋_GB2312" w:eastAsia="仿宋_GB2312" w:cs="仿宋_GB2312"/>
          <w:color w:val="000000" w:themeColor="text1"/>
          <w:sz w:val="32"/>
          <w:szCs w:val="32"/>
          <w14:textFill>
            <w14:solidFill>
              <w14:schemeClr w14:val="tx1"/>
            </w14:solidFill>
          </w14:textFill>
        </w:rPr>
        <w:t>万元，占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2.8</w:t>
      </w:r>
      <w:r>
        <w:rPr>
          <w:rFonts w:hint="eastAsia" w:ascii="仿宋_GB2312" w:hAnsi="仿宋_GB2312" w:eastAsia="仿宋_GB2312" w:cs="仿宋_GB2312"/>
          <w:color w:val="000000" w:themeColor="text1"/>
          <w:sz w:val="32"/>
          <w:szCs w:val="32"/>
          <w14:textFill>
            <w14:solidFill>
              <w14:schemeClr w14:val="tx1"/>
            </w14:solidFill>
          </w14:textFill>
        </w:rPr>
        <w:t>%。</w:t>
      </w:r>
    </w:p>
    <w:p w14:paraId="4B7A1C01">
      <w:pPr>
        <w:pStyle w:val="2"/>
        <w:pageBreakBefore w:val="0"/>
        <w:numPr>
          <w:ilvl w:val="0"/>
          <w:numId w:val="0"/>
        </w:numPr>
        <w:kinsoku/>
        <w:wordWrap/>
        <w:overflowPunct/>
        <w:topLinePunct w:val="0"/>
        <w:bidi w:val="0"/>
        <w:spacing w:line="600" w:lineRule="exact"/>
        <w:ind w:left="0" w:leftChars="0"/>
      </w:pPr>
    </w:p>
    <w:p w14:paraId="79CEA479">
      <w:pPr>
        <w:pageBreakBefore w:val="0"/>
        <w:numPr>
          <w:ilvl w:val="0"/>
          <w:numId w:val="1"/>
        </w:numPr>
        <w:kinsoku/>
        <w:wordWrap/>
        <w:overflowPunct/>
        <w:topLinePunct w:val="0"/>
        <w:bidi w:val="0"/>
        <w:spacing w:line="600" w:lineRule="exact"/>
        <w:ind w:left="0" w:leftChars="0" w:firstLine="643" w:firstLineChars="200"/>
        <w:outlineLvl w:val="2"/>
        <w:rPr>
          <w:rFonts w:hint="eastAsia" w:ascii="仿宋" w:hAnsi="仿宋" w:eastAsia="仿宋"/>
          <w:b/>
          <w:color w:val="000000"/>
          <w:sz w:val="32"/>
          <w:szCs w:val="32"/>
        </w:rPr>
      </w:pPr>
      <w:r>
        <w:rPr>
          <w:rFonts w:hint="eastAsia" w:ascii="仿宋" w:hAnsi="仿宋" w:eastAsia="仿宋"/>
          <w:b/>
          <w:color w:val="000000"/>
          <w:sz w:val="32"/>
          <w:szCs w:val="32"/>
        </w:rPr>
        <w:t>一般公共预算财政拨款支出决算具体情况</w:t>
      </w:r>
    </w:p>
    <w:p w14:paraId="31C5DC3A">
      <w:pPr>
        <w:pageBreakBefore w:val="0"/>
        <w:kinsoku/>
        <w:wordWrap/>
        <w:overflowPunct/>
        <w:topLinePunct w:val="0"/>
        <w:bidi w:val="0"/>
        <w:spacing w:line="600" w:lineRule="exact"/>
        <w:ind w:left="0" w:leftChars="0" w:firstLine="640" w:firstLineChars="200"/>
        <w:outlineLvl w:val="2"/>
        <w:rPr>
          <w:rFonts w:ascii="仿宋_GB2312" w:hAnsi="仿宋_GB2312" w:eastAsia="仿宋_GB2312" w:cs="仿宋_GB2312"/>
          <w:bCs/>
          <w:color w:val="FF0000"/>
          <w:sz w:val="32"/>
          <w:szCs w:val="32"/>
        </w:rPr>
      </w:pPr>
      <w:bookmarkStart w:id="8" w:name="_Toc15378460"/>
      <w:bookmarkStart w:id="9" w:name="_Toc15377444"/>
      <w:bookmarkStart w:id="10" w:name="_Toc15377213"/>
      <w:r>
        <w:rPr>
          <w:rFonts w:hint="eastAsia" w:ascii="仿宋_GB2312" w:hAnsi="仿宋_GB2312" w:eastAsia="仿宋_GB2312" w:cs="仿宋_GB2312"/>
          <w:bCs/>
          <w:color w:val="000000" w:themeColor="text1"/>
          <w:sz w:val="32"/>
          <w:szCs w:val="32"/>
          <w14:textFill>
            <w14:solidFill>
              <w14:schemeClr w14:val="tx1"/>
            </w14:solidFill>
          </w14:textFill>
        </w:rPr>
        <w:t>201</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Cs/>
          <w:color w:val="000000" w:themeColor="text1"/>
          <w:sz w:val="32"/>
          <w:szCs w:val="32"/>
          <w14:textFill>
            <w14:solidFill>
              <w14:schemeClr w14:val="tx1"/>
            </w14:solidFill>
          </w14:textFill>
        </w:rPr>
        <w:t>年</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Cs/>
          <w:color w:val="000000" w:themeColor="text1"/>
          <w:sz w:val="32"/>
          <w:szCs w:val="32"/>
          <w14:textFill>
            <w14:solidFill>
              <w14:schemeClr w14:val="tx1"/>
            </w14:solidFill>
          </w14:textFill>
        </w:rPr>
        <w:t>般公共预算支出决算数为</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259.31万元</w:t>
      </w:r>
      <w:r>
        <w:rPr>
          <w:rFonts w:hint="eastAsia" w:ascii="仿宋_GB2312" w:hAnsi="仿宋_GB2312" w:eastAsia="仿宋_GB2312" w:cs="仿宋_GB2312"/>
          <w:bCs/>
          <w:color w:val="000000" w:themeColor="text1"/>
          <w:sz w:val="32"/>
          <w:szCs w:val="32"/>
          <w14:textFill>
            <w14:solidFill>
              <w14:schemeClr w14:val="tx1"/>
            </w14:solidFill>
          </w14:textFill>
        </w:rPr>
        <w:t>，</w:t>
      </w:r>
      <w:r>
        <w:rPr>
          <w:rStyle w:val="13"/>
          <w:rFonts w:hint="eastAsia" w:ascii="仿宋_GB2312" w:hAnsi="仿宋_GB2312" w:eastAsia="仿宋_GB2312" w:cs="仿宋_GB2312"/>
          <w:b w:val="0"/>
          <w:bCs/>
          <w:color w:val="000000" w:themeColor="text1"/>
          <w:sz w:val="32"/>
          <w:szCs w:val="32"/>
          <w14:textFill>
            <w14:solidFill>
              <w14:schemeClr w14:val="tx1"/>
            </w14:solidFill>
          </w14:textFill>
        </w:rPr>
        <w:t>完成</w:t>
      </w:r>
      <w:r>
        <w:rPr>
          <w:rStyle w:val="13"/>
          <w:rFonts w:hint="eastAsia" w:ascii="仿宋_GB2312" w:hAnsi="仿宋_GB2312" w:eastAsia="仿宋_GB2312" w:cs="仿宋_GB2312"/>
          <w:b w:val="0"/>
          <w:bCs/>
          <w:color w:val="000000"/>
          <w:sz w:val="32"/>
          <w:szCs w:val="32"/>
        </w:rPr>
        <w:t>预算100%。</w:t>
      </w:r>
      <w:bookmarkEnd w:id="8"/>
      <w:bookmarkEnd w:id="9"/>
      <w:bookmarkEnd w:id="10"/>
    </w:p>
    <w:p w14:paraId="069BD614">
      <w:pPr>
        <w:pageBreakBefore w:val="0"/>
        <w:kinsoku/>
        <w:wordWrap/>
        <w:overflowPunct/>
        <w:topLinePunct w:val="0"/>
        <w:bidi w:val="0"/>
        <w:spacing w:line="600" w:lineRule="exact"/>
        <w:ind w:left="0" w:leftChars="0" w:firstLine="643" w:firstLineChars="200"/>
        <w:rPr>
          <w:rFonts w:ascii="仿宋_GB2312" w:hAnsi="仿宋_GB2312" w:eastAsia="仿宋_GB2312" w:cs="仿宋_GB2312"/>
          <w:b/>
          <w:color w:val="000000"/>
          <w:sz w:val="32"/>
          <w:szCs w:val="32"/>
        </w:rPr>
      </w:pPr>
      <w:r>
        <w:rPr>
          <w:rStyle w:val="13"/>
          <w:rFonts w:ascii="仿宋" w:hAnsi="仿宋" w:eastAsia="仿宋"/>
          <w:bCs/>
          <w:color w:val="000000"/>
          <w:sz w:val="32"/>
          <w:szCs w:val="32"/>
        </w:rPr>
        <w:t>1.</w:t>
      </w:r>
      <w:r>
        <w:rPr>
          <w:rStyle w:val="13"/>
          <w:rFonts w:hint="eastAsia" w:ascii="仿宋_GB2312" w:eastAsia="仿宋_GB2312"/>
          <w:color w:val="000000"/>
          <w:sz w:val="32"/>
          <w:szCs w:val="32"/>
        </w:rPr>
        <w:t>一般公共服务</w:t>
      </w:r>
      <w:r>
        <w:rPr>
          <w:rStyle w:val="13"/>
          <w:rFonts w:hint="eastAsia" w:ascii="仿宋_GB2312" w:eastAsia="仿宋_GB2312"/>
          <w:bCs/>
          <w:color w:val="000000"/>
          <w:sz w:val="32"/>
          <w:szCs w:val="32"/>
        </w:rPr>
        <w:t>（类）政府办公厅（室）及相关机构事务（款）行政运行（项）</w:t>
      </w:r>
      <w:r>
        <w:rPr>
          <w:rStyle w:val="13"/>
          <w:rFonts w:ascii="仿宋" w:hAnsi="仿宋" w:eastAsia="仿宋"/>
          <w:bCs/>
          <w:color w:val="000000"/>
          <w:sz w:val="32"/>
          <w:szCs w:val="32"/>
        </w:rPr>
        <w:t>:</w:t>
      </w:r>
      <w:r>
        <w:rPr>
          <w:rStyle w:val="13"/>
          <w:rFonts w:ascii="仿宋" w:hAnsi="仿宋" w:eastAsia="仿宋"/>
          <w:b w:val="0"/>
          <w:bCs/>
          <w:color w:val="000000"/>
          <w:sz w:val="32"/>
          <w:szCs w:val="32"/>
        </w:rPr>
        <w:t xml:space="preserve"> </w:t>
      </w:r>
      <w:r>
        <w:rPr>
          <w:rStyle w:val="13"/>
          <w:rFonts w:hint="eastAsia" w:ascii="仿宋_GB2312" w:hAnsi="仿宋_GB2312" w:eastAsia="仿宋_GB2312" w:cs="仿宋_GB2312"/>
          <w:b w:val="0"/>
          <w:bCs/>
          <w:color w:val="000000"/>
          <w:sz w:val="32"/>
          <w:szCs w:val="32"/>
        </w:rPr>
        <w:t>支出决算为</w:t>
      </w:r>
      <w:r>
        <w:rPr>
          <w:rStyle w:val="13"/>
          <w:rFonts w:hint="eastAsia" w:ascii="仿宋_GB2312" w:hAnsi="仿宋_GB2312" w:eastAsia="仿宋_GB2312" w:cs="仿宋_GB2312"/>
          <w:b w:val="0"/>
          <w:bCs/>
          <w:color w:val="000000"/>
          <w:sz w:val="32"/>
          <w:szCs w:val="32"/>
          <w:lang w:val="en-US" w:eastAsia="zh-CN"/>
        </w:rPr>
        <w:t>233.64</w:t>
      </w:r>
      <w:r>
        <w:rPr>
          <w:rStyle w:val="13"/>
          <w:rFonts w:hint="eastAsia" w:ascii="仿宋_GB2312" w:hAnsi="仿宋_GB2312" w:eastAsia="仿宋_GB2312" w:cs="仿宋_GB2312"/>
          <w:b w:val="0"/>
          <w:bCs/>
          <w:color w:val="000000"/>
          <w:sz w:val="32"/>
          <w:szCs w:val="32"/>
        </w:rPr>
        <w:t>万元，完成预算100%。</w:t>
      </w:r>
    </w:p>
    <w:p w14:paraId="0C388426">
      <w:pPr>
        <w:pageBreakBefore w:val="0"/>
        <w:kinsoku/>
        <w:wordWrap/>
        <w:overflowPunct/>
        <w:topLinePunct w:val="0"/>
        <w:bidi w:val="0"/>
        <w:spacing w:line="600" w:lineRule="exact"/>
        <w:ind w:left="0" w:leftChars="0" w:firstLine="643" w:firstLineChars="200"/>
        <w:rPr>
          <w:rFonts w:ascii="仿宋_GB2312" w:hAnsi="仿宋_GB2312" w:eastAsia="仿宋_GB2312" w:cs="仿宋_GB2312"/>
          <w:b/>
          <w:color w:val="000000"/>
          <w:sz w:val="32"/>
          <w:szCs w:val="32"/>
        </w:rPr>
      </w:pPr>
      <w:r>
        <w:rPr>
          <w:rStyle w:val="13"/>
          <w:rFonts w:ascii="仿宋" w:hAnsi="仿宋" w:eastAsia="仿宋"/>
          <w:bCs/>
          <w:color w:val="000000"/>
          <w:sz w:val="32"/>
          <w:szCs w:val="32"/>
        </w:rPr>
        <w:t>2.</w:t>
      </w:r>
      <w:r>
        <w:rPr>
          <w:rStyle w:val="13"/>
          <w:rFonts w:hint="eastAsia" w:ascii="仿宋_GB2312" w:eastAsia="仿宋_GB2312"/>
          <w:color w:val="000000"/>
          <w:sz w:val="32"/>
          <w:szCs w:val="32"/>
        </w:rPr>
        <w:t>社会保障和就业（类）社会保障和就业支出（款）行政事业单位离退休（项）机关事业单位基本养老保险缴费支出:</w:t>
      </w:r>
      <w:r>
        <w:rPr>
          <w:rStyle w:val="13"/>
          <w:rFonts w:hint="eastAsia" w:ascii="仿宋_GB2312" w:eastAsia="仿宋_GB2312"/>
          <w:b w:val="0"/>
          <w:color w:val="000000"/>
          <w:sz w:val="32"/>
          <w:szCs w:val="32"/>
        </w:rPr>
        <w:t xml:space="preserve"> </w:t>
      </w:r>
      <w:r>
        <w:rPr>
          <w:rStyle w:val="13"/>
          <w:rFonts w:ascii="仿宋" w:hAnsi="仿宋" w:eastAsia="仿宋"/>
          <w:bCs/>
          <w:color w:val="000000"/>
          <w:sz w:val="32"/>
          <w:szCs w:val="32"/>
        </w:rPr>
        <w:t>:</w:t>
      </w:r>
      <w:r>
        <w:rPr>
          <w:rStyle w:val="13"/>
          <w:rFonts w:ascii="仿宋" w:hAnsi="仿宋" w:eastAsia="仿宋"/>
          <w:b w:val="0"/>
          <w:bCs/>
          <w:color w:val="000000"/>
          <w:sz w:val="32"/>
          <w:szCs w:val="32"/>
        </w:rPr>
        <w:t xml:space="preserve"> </w:t>
      </w:r>
      <w:r>
        <w:rPr>
          <w:rStyle w:val="13"/>
          <w:rFonts w:hint="eastAsia" w:ascii="仿宋_GB2312" w:hAnsi="仿宋_GB2312" w:eastAsia="仿宋_GB2312" w:cs="仿宋_GB2312"/>
          <w:b w:val="0"/>
          <w:bCs/>
          <w:color w:val="000000"/>
          <w:sz w:val="32"/>
          <w:szCs w:val="32"/>
        </w:rPr>
        <w:t>支出决算为</w:t>
      </w:r>
      <w:r>
        <w:rPr>
          <w:rStyle w:val="13"/>
          <w:rFonts w:hint="eastAsia" w:ascii="仿宋_GB2312" w:hAnsi="仿宋_GB2312" w:eastAsia="仿宋_GB2312" w:cs="仿宋_GB2312"/>
          <w:b w:val="0"/>
          <w:bCs/>
          <w:color w:val="000000"/>
          <w:sz w:val="32"/>
          <w:szCs w:val="32"/>
          <w:lang w:val="en-US" w:eastAsia="zh-CN"/>
        </w:rPr>
        <w:t>13.37</w:t>
      </w:r>
      <w:r>
        <w:rPr>
          <w:rStyle w:val="13"/>
          <w:rFonts w:hint="eastAsia" w:ascii="仿宋_GB2312" w:hAnsi="仿宋_GB2312" w:eastAsia="仿宋_GB2312" w:cs="仿宋_GB2312"/>
          <w:b w:val="0"/>
          <w:bCs/>
          <w:color w:val="000000"/>
          <w:sz w:val="32"/>
          <w:szCs w:val="32"/>
        </w:rPr>
        <w:t>万元，完成预算100%。</w:t>
      </w:r>
    </w:p>
    <w:p w14:paraId="142CBE31">
      <w:pPr>
        <w:pageBreakBefore w:val="0"/>
        <w:kinsoku/>
        <w:wordWrap/>
        <w:overflowPunct/>
        <w:topLinePunct w:val="0"/>
        <w:bidi w:val="0"/>
        <w:spacing w:line="600" w:lineRule="exact"/>
        <w:ind w:left="0" w:leftChars="0" w:firstLine="643" w:firstLineChars="200"/>
        <w:rPr>
          <w:rFonts w:ascii="仿宋_GB2312" w:hAnsi="仿宋_GB2312" w:eastAsia="仿宋_GB2312" w:cs="仿宋_GB2312"/>
          <w:color w:val="000000"/>
          <w:sz w:val="32"/>
          <w:szCs w:val="32"/>
        </w:rPr>
      </w:pPr>
      <w:r>
        <w:rPr>
          <w:rStyle w:val="13"/>
          <w:rFonts w:hint="eastAsia" w:ascii="仿宋" w:hAnsi="仿宋" w:eastAsia="仿宋"/>
          <w:bCs/>
          <w:color w:val="000000"/>
          <w:sz w:val="32"/>
          <w:szCs w:val="32"/>
        </w:rPr>
        <w:t>3</w:t>
      </w:r>
      <w:r>
        <w:rPr>
          <w:rStyle w:val="13"/>
          <w:rFonts w:ascii="仿宋" w:hAnsi="仿宋" w:eastAsia="仿宋"/>
          <w:bCs/>
          <w:color w:val="000000"/>
          <w:sz w:val="32"/>
          <w:szCs w:val="32"/>
        </w:rPr>
        <w:t>.</w:t>
      </w:r>
      <w:r>
        <w:rPr>
          <w:rStyle w:val="13"/>
          <w:rFonts w:hint="eastAsia" w:ascii="仿宋_GB2312" w:eastAsia="仿宋_GB2312"/>
          <w:color w:val="000000"/>
          <w:sz w:val="32"/>
          <w:szCs w:val="32"/>
        </w:rPr>
        <w:t>医疗卫生与计划生育（类）医疗卫生与计划生育支出（款）行政事业单位医疗（项）行政单位医疗</w:t>
      </w:r>
      <w:r>
        <w:rPr>
          <w:rStyle w:val="13"/>
          <w:rFonts w:ascii="仿宋" w:hAnsi="仿宋" w:eastAsia="仿宋"/>
          <w:bCs/>
          <w:color w:val="000000"/>
          <w:sz w:val="32"/>
          <w:szCs w:val="32"/>
        </w:rPr>
        <w:t>:</w:t>
      </w:r>
      <w:r>
        <w:rPr>
          <w:rStyle w:val="13"/>
          <w:rFonts w:hint="eastAsia" w:ascii="仿宋_GB2312" w:hAnsi="仿宋_GB2312" w:eastAsia="仿宋_GB2312" w:cs="仿宋_GB2312"/>
          <w:b w:val="0"/>
          <w:bCs/>
          <w:color w:val="000000"/>
          <w:sz w:val="32"/>
          <w:szCs w:val="32"/>
        </w:rPr>
        <w:t>支出决算为</w:t>
      </w:r>
      <w:r>
        <w:rPr>
          <w:rStyle w:val="13"/>
          <w:rFonts w:hint="eastAsia" w:ascii="仿宋_GB2312" w:hAnsi="仿宋_GB2312" w:eastAsia="仿宋_GB2312" w:cs="仿宋_GB2312"/>
          <w:b w:val="0"/>
          <w:bCs/>
          <w:color w:val="000000"/>
          <w:sz w:val="32"/>
          <w:szCs w:val="32"/>
          <w:lang w:val="en-US" w:eastAsia="zh-CN"/>
        </w:rPr>
        <w:t>4.98</w:t>
      </w:r>
      <w:r>
        <w:rPr>
          <w:rStyle w:val="13"/>
          <w:rFonts w:hint="eastAsia" w:ascii="仿宋_GB2312" w:hAnsi="仿宋_GB2312" w:eastAsia="仿宋_GB2312" w:cs="仿宋_GB2312"/>
          <w:b w:val="0"/>
          <w:bCs/>
          <w:color w:val="000000"/>
          <w:sz w:val="32"/>
          <w:szCs w:val="32"/>
        </w:rPr>
        <w:t>万元，完成预算100%。</w:t>
      </w:r>
    </w:p>
    <w:p w14:paraId="5AD4C93B">
      <w:pPr>
        <w:pStyle w:val="2"/>
        <w:pageBreakBefore w:val="0"/>
        <w:numPr>
          <w:ilvl w:val="0"/>
          <w:numId w:val="0"/>
        </w:numPr>
        <w:kinsoku/>
        <w:wordWrap/>
        <w:overflowPunct/>
        <w:topLinePunct w:val="0"/>
        <w:bidi w:val="0"/>
        <w:spacing w:line="600" w:lineRule="exact"/>
        <w:ind w:left="0" w:leftChars="0"/>
        <w:rPr>
          <w:rFonts w:hint="eastAsia" w:ascii="仿宋_GB2312" w:eastAsia="仿宋_GB2312"/>
          <w:color w:val="000000"/>
          <w:sz w:val="32"/>
          <w:szCs w:val="32"/>
        </w:rPr>
      </w:pPr>
      <w:r>
        <w:rPr>
          <w:rStyle w:val="13"/>
          <w:rFonts w:hint="eastAsia" w:ascii="仿宋_GB2312" w:eastAsia="仿宋_GB2312"/>
          <w:bCs/>
          <w:color w:val="000000"/>
          <w:sz w:val="32"/>
          <w:szCs w:val="32"/>
        </w:rPr>
        <w:t>4、住房保障支出（类）住房改革支出（款）住房公积金（项）:</w:t>
      </w:r>
      <w:r>
        <w:rPr>
          <w:rFonts w:hint="eastAsia" w:ascii="仿宋_GB2312" w:eastAsia="仿宋_GB2312"/>
          <w:color w:val="000000"/>
          <w:sz w:val="32"/>
          <w:szCs w:val="32"/>
        </w:rPr>
        <w:t>支出决算数为</w:t>
      </w:r>
      <w:r>
        <w:rPr>
          <w:rFonts w:hint="eastAsia" w:ascii="仿宋_GB2312" w:eastAsia="仿宋_GB2312"/>
          <w:color w:val="000000"/>
          <w:sz w:val="32"/>
          <w:szCs w:val="32"/>
          <w:lang w:val="en-US" w:eastAsia="zh-CN"/>
        </w:rPr>
        <w:t xml:space="preserve">7.31 </w:t>
      </w:r>
      <w:r>
        <w:rPr>
          <w:rFonts w:hint="eastAsia" w:ascii="仿宋_GB2312" w:eastAsia="仿宋_GB2312"/>
          <w:color w:val="000000"/>
          <w:sz w:val="32"/>
          <w:szCs w:val="32"/>
        </w:rPr>
        <w:t>万元，完成预算100%。</w:t>
      </w:r>
    </w:p>
    <w:p w14:paraId="514A7199">
      <w:pPr>
        <w:pageBreakBefore w:val="0"/>
        <w:tabs>
          <w:tab w:val="right" w:pos="8306"/>
        </w:tabs>
        <w:kinsoku/>
        <w:wordWrap/>
        <w:overflowPunct/>
        <w:topLinePunct w:val="0"/>
        <w:bidi w:val="0"/>
        <w:spacing w:line="600" w:lineRule="exact"/>
        <w:ind w:left="0" w:leftChars="0" w:firstLine="640" w:firstLineChars="200"/>
        <w:outlineLvl w:val="1"/>
        <w:rPr>
          <w:rStyle w:val="19"/>
        </w:rPr>
      </w:pPr>
      <w:bookmarkStart w:id="11" w:name="_Toc15377214"/>
      <w:bookmarkStart w:id="12" w:name="_Toc15396608"/>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19"/>
          <w:rFonts w:hint="eastAsia" w:ascii="黑体" w:hAnsi="黑体" w:eastAsia="黑体"/>
          <w:b w:val="0"/>
        </w:rPr>
        <w:t>般公共预算财政拨款基本支出决算情况说明</w:t>
      </w:r>
      <w:bookmarkEnd w:id="11"/>
      <w:bookmarkEnd w:id="12"/>
      <w:r>
        <w:rPr>
          <w:rStyle w:val="19"/>
          <w:rFonts w:ascii="黑体" w:hAnsi="黑体" w:eastAsia="黑体"/>
          <w:b w:val="0"/>
        </w:rPr>
        <w:tab/>
      </w:r>
    </w:p>
    <w:p w14:paraId="35271585">
      <w:pPr>
        <w:pageBreakBefore w:val="0"/>
        <w:kinsoku/>
        <w:wordWrap/>
        <w:overflowPunct/>
        <w:topLinePunct w:val="0"/>
        <w:bidi w:val="0"/>
        <w:spacing w:line="600" w:lineRule="exact"/>
        <w:ind w:left="0" w:leftChars="0"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年一般公共预算财政拨款基本支出</w:t>
      </w:r>
      <w:r>
        <w:rPr>
          <w:rFonts w:hint="eastAsia" w:ascii="仿宋_GB2312" w:hAnsi="仿宋_GB2312" w:eastAsia="仿宋_GB2312" w:cs="仿宋_GB2312"/>
          <w:color w:val="000000"/>
          <w:sz w:val="32"/>
          <w:szCs w:val="32"/>
          <w:lang w:val="en-US" w:eastAsia="zh-CN"/>
        </w:rPr>
        <w:t>229.31</w:t>
      </w:r>
      <w:r>
        <w:rPr>
          <w:rFonts w:hint="eastAsia" w:ascii="仿宋_GB2312" w:hAnsi="仿宋_GB2312" w:eastAsia="仿宋_GB2312" w:cs="仿宋_GB2312"/>
          <w:color w:val="000000"/>
          <w:sz w:val="32"/>
          <w:szCs w:val="32"/>
        </w:rPr>
        <w:t>万元，其中：</w:t>
      </w:r>
    </w:p>
    <w:p w14:paraId="3D2DF6B1">
      <w:pPr>
        <w:pageBreakBefore w:val="0"/>
        <w:kinsoku/>
        <w:wordWrap/>
        <w:overflowPunct/>
        <w:topLinePunct w:val="0"/>
        <w:bidi w:val="0"/>
        <w:spacing w:line="600" w:lineRule="exact"/>
        <w:ind w:left="0" w:leftChars="0"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人员经费</w:t>
      </w:r>
      <w:r>
        <w:rPr>
          <w:rFonts w:hint="eastAsia" w:ascii="仿宋_GB2312" w:hAnsi="仿宋_GB2312" w:eastAsia="仿宋_GB2312" w:cs="仿宋_GB2312"/>
          <w:sz w:val="32"/>
          <w:szCs w:val="32"/>
          <w:lang w:val="en-US" w:eastAsia="zh-CN"/>
        </w:rPr>
        <w:t xml:space="preserve"> 115.71</w:t>
      </w:r>
      <w:r>
        <w:rPr>
          <w:rFonts w:hint="eastAsia" w:ascii="仿宋_GB2312" w:hAnsi="仿宋_GB2312" w:eastAsia="仿宋_GB2312" w:cs="仿宋_GB2312"/>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公用经费</w:t>
      </w:r>
      <w:r>
        <w:rPr>
          <w:rFonts w:hint="eastAsia" w:ascii="仿宋_GB2312" w:hAnsi="仿宋_GB2312" w:eastAsia="仿宋_GB2312" w:cs="仿宋_GB2312"/>
          <w:sz w:val="32"/>
          <w:szCs w:val="32"/>
          <w:lang w:val="en-US" w:eastAsia="zh-CN"/>
        </w:rPr>
        <w:t xml:space="preserve"> 113.60</w:t>
      </w:r>
      <w:r>
        <w:rPr>
          <w:rFonts w:hint="eastAsia" w:ascii="仿宋_GB2312" w:hAnsi="仿宋_GB2312" w:eastAsia="仿宋_GB2312" w:cs="仿宋_GB2312"/>
          <w:sz w:val="32"/>
          <w:szCs w:val="32"/>
        </w:rPr>
        <w:t>万元，主要包括：办公费、印刷费、咨询费、手续费、水费、电费、邮电费、差旅费、维修（护）费、租赁费、会议费、培训费、公务接待费、劳务费、委托业务费、工会经费、其他交通费、其他商品和服务支出等。</w:t>
      </w:r>
    </w:p>
    <w:p w14:paraId="50495AF8">
      <w:pPr>
        <w:pStyle w:val="2"/>
        <w:pageBreakBefore w:val="0"/>
        <w:kinsoku/>
        <w:wordWrap/>
        <w:overflowPunct/>
        <w:topLinePunct w:val="0"/>
        <w:bidi w:val="0"/>
        <w:spacing w:line="600" w:lineRule="exact"/>
        <w:ind w:left="0" w:leftChars="0"/>
        <w:rPr>
          <w:rFonts w:hint="eastAsia" w:eastAsia="仿宋_GB2312"/>
          <w:lang w:eastAsia="zh-CN"/>
        </w:rPr>
      </w:pP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年一般公共预算财政拨款</w:t>
      </w:r>
      <w:r>
        <w:rPr>
          <w:rFonts w:hint="eastAsia" w:ascii="仿宋_GB2312" w:eastAsia="仿宋_GB2312"/>
          <w:color w:val="000000"/>
          <w:sz w:val="32"/>
          <w:szCs w:val="32"/>
        </w:rPr>
        <w:t>项目支出3</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0万元</w:t>
      </w:r>
      <w:r>
        <w:rPr>
          <w:rFonts w:hint="eastAsia" w:ascii="仿宋_GB2312" w:eastAsia="仿宋_GB2312"/>
          <w:color w:val="000000"/>
          <w:sz w:val="32"/>
          <w:szCs w:val="32"/>
          <w:lang w:eastAsia="zh-CN"/>
        </w:rPr>
        <w:t>。</w:t>
      </w:r>
    </w:p>
    <w:p w14:paraId="08BC9073">
      <w:pPr>
        <w:pStyle w:val="9"/>
        <w:pageBreakBefore w:val="0"/>
        <w:kinsoku/>
        <w:wordWrap/>
        <w:overflowPunct/>
        <w:topLinePunct w:val="0"/>
        <w:bidi w:val="0"/>
        <w:adjustRightInd w:val="0"/>
        <w:snapToGrid w:val="0"/>
        <w:spacing w:line="600" w:lineRule="exact"/>
        <w:ind w:left="0" w:leftChars="0" w:firstLine="320" w:firstLineChars="100"/>
        <w:jc w:val="left"/>
        <w:rPr>
          <w:rFonts w:hint="eastAsia" w:ascii="Times New Roman" w:hAnsi="Times New Roman" w:eastAsia="黑体" w:cs="Times New Roman"/>
          <w:kern w:val="0"/>
          <w:sz w:val="32"/>
          <w:szCs w:val="32"/>
          <w:lang w:val="en-US" w:eastAsia="zh-CN" w:bidi="ar"/>
        </w:rPr>
      </w:pPr>
      <w:r>
        <w:rPr>
          <w:rFonts w:hint="eastAsia" w:eastAsia="黑体" w:cs="Times New Roman"/>
          <w:kern w:val="0"/>
          <w:sz w:val="32"/>
          <w:szCs w:val="32"/>
          <w:lang w:val="en-US" w:eastAsia="zh-CN" w:bidi="ar"/>
        </w:rPr>
        <w:t>七</w:t>
      </w:r>
      <w:r>
        <w:rPr>
          <w:rFonts w:hint="eastAsia" w:ascii="Times New Roman" w:hAnsi="Times New Roman" w:eastAsia="黑体" w:cs="Times New Roman"/>
          <w:kern w:val="0"/>
          <w:sz w:val="32"/>
          <w:szCs w:val="32"/>
          <w:lang w:val="en-US" w:eastAsia="zh-CN" w:bidi="ar"/>
        </w:rPr>
        <w:t>、“三公”经费财政拨款支出决算情况说明</w:t>
      </w:r>
    </w:p>
    <w:p w14:paraId="0A684145">
      <w:pPr>
        <w:pageBreakBefore w:val="0"/>
        <w:kinsoku/>
        <w:wordWrap/>
        <w:overflowPunct/>
        <w:topLinePunct w:val="0"/>
        <w:bidi w:val="0"/>
        <w:spacing w:line="600" w:lineRule="exact"/>
        <w:ind w:left="0" w:leftChars="0" w:firstLine="640"/>
        <w:rPr>
          <w:rFonts w:ascii="仿宋_GB2312" w:eastAsia="仿宋_GB2312"/>
          <w:sz w:val="32"/>
          <w:szCs w:val="32"/>
        </w:rPr>
      </w:pPr>
      <w:r>
        <w:rPr>
          <w:rFonts w:hint="eastAsia" w:ascii="仿宋_GB2312" w:hAnsi="仿宋" w:eastAsia="仿宋_GB2312"/>
          <w:sz w:val="32"/>
          <w:szCs w:val="32"/>
        </w:rPr>
        <w:t>“三公”经费支出情况：</w:t>
      </w:r>
      <w:r>
        <w:rPr>
          <w:rFonts w:hint="eastAsia" w:ascii="仿宋_GB2312" w:eastAsia="仿宋_GB2312"/>
          <w:sz w:val="32"/>
          <w:szCs w:val="32"/>
        </w:rPr>
        <w:t>区委统战部2019年度“三公”经费财政拨款支出决算为4.57万元，完成预算91.4%，其中：因公出国（境）费支出决算为0万元；公务用车购置及运行维护费支出决算为0万元；公务接待费支出决算为4.57万元，完成预算91.4%</w:t>
      </w:r>
      <w:r>
        <w:rPr>
          <w:rFonts w:hint="eastAsia" w:ascii="仿宋_GB2312" w:eastAsia="仿宋_GB2312"/>
          <w:sz w:val="32"/>
          <w:szCs w:val="32"/>
          <w:lang w:eastAsia="zh-CN"/>
        </w:rPr>
        <w:t>，</w:t>
      </w:r>
      <w:r>
        <w:rPr>
          <w:rFonts w:hint="eastAsia" w:ascii="仿宋_GB2312" w:eastAsia="仿宋_GB2312"/>
          <w:sz w:val="32"/>
          <w:szCs w:val="32"/>
          <w:lang w:val="en-US" w:eastAsia="zh-CN"/>
        </w:rPr>
        <w:t>2019年接待65批次，480多人。</w:t>
      </w:r>
      <w:r>
        <w:rPr>
          <w:rFonts w:hint="eastAsia" w:ascii="仿宋_GB2312" w:eastAsia="仿宋_GB2312"/>
          <w:sz w:val="32"/>
          <w:szCs w:val="32"/>
          <w:lang w:eastAsia="zh-CN"/>
        </w:rPr>
        <w:t>主要用于开展活动的交通费费和用餐费等。</w:t>
      </w:r>
      <w:r>
        <w:rPr>
          <w:rFonts w:hint="eastAsia" w:ascii="仿宋_GB2312" w:eastAsia="仿宋_GB2312"/>
          <w:sz w:val="32"/>
          <w:szCs w:val="32"/>
        </w:rPr>
        <w:t>201</w:t>
      </w:r>
      <w:r>
        <w:rPr>
          <w:rFonts w:hint="eastAsia" w:ascii="仿宋_GB2312" w:eastAsia="仿宋_GB2312"/>
          <w:sz w:val="32"/>
          <w:szCs w:val="32"/>
          <w:lang w:val="en-US" w:eastAsia="zh-CN"/>
        </w:rPr>
        <w:t>9</w:t>
      </w:r>
      <w:r>
        <w:rPr>
          <w:rFonts w:hint="eastAsia" w:ascii="仿宋_GB2312" w:eastAsia="仿宋_GB2312"/>
          <w:sz w:val="32"/>
          <w:szCs w:val="32"/>
        </w:rPr>
        <w:t>年度“三公”经费支出决算数小于预算数（或与预算数持平）的主要原因是严格执行规范三公经费管理的相关规定，控制接待次数和接待标准，厉行节约。</w:t>
      </w:r>
    </w:p>
    <w:p w14:paraId="76734E6E">
      <w:pPr>
        <w:pageBreakBefore w:val="0"/>
        <w:kinsoku/>
        <w:wordWrap/>
        <w:overflowPunct/>
        <w:topLinePunct w:val="0"/>
        <w:bidi w:val="0"/>
        <w:spacing w:line="600" w:lineRule="exact"/>
        <w:ind w:left="0" w:leftChars="0" w:firstLine="640"/>
        <w:rPr>
          <w:rFonts w:ascii="仿宋_GB2312" w:eastAsia="仿宋_GB2312"/>
          <w:sz w:val="32"/>
          <w:szCs w:val="32"/>
        </w:rPr>
      </w:pPr>
      <w:r>
        <w:rPr>
          <w:rFonts w:ascii="仿宋_GB2312" w:eastAsia="仿宋_GB2312"/>
          <w:sz w:val="32"/>
          <w:szCs w:val="32"/>
        </w:rPr>
        <w:t>201</w:t>
      </w:r>
      <w:r>
        <w:rPr>
          <w:rFonts w:hint="eastAsia" w:ascii="仿宋_GB2312" w:eastAsia="仿宋_GB2312"/>
          <w:sz w:val="32"/>
          <w:szCs w:val="32"/>
        </w:rPr>
        <w:t>9年因公出国（境）费0万元。</w:t>
      </w:r>
    </w:p>
    <w:p w14:paraId="71BC0E2B">
      <w:pPr>
        <w:pStyle w:val="2"/>
        <w:pageBreakBefore w:val="0"/>
        <w:kinsoku/>
        <w:wordWrap/>
        <w:overflowPunct/>
        <w:topLinePunct w:val="0"/>
        <w:bidi w:val="0"/>
        <w:spacing w:line="600" w:lineRule="exact"/>
        <w:ind w:left="0" w:leftChars="0" w:firstLine="640"/>
      </w:pPr>
      <w:r>
        <w:rPr>
          <w:rFonts w:ascii="仿宋_GB2312" w:eastAsia="仿宋_GB2312"/>
          <w:sz w:val="32"/>
          <w:szCs w:val="32"/>
        </w:rPr>
        <w:t>201</w:t>
      </w:r>
      <w:r>
        <w:rPr>
          <w:rFonts w:hint="eastAsia" w:ascii="仿宋_GB2312" w:eastAsia="仿宋_GB2312"/>
          <w:sz w:val="32"/>
          <w:szCs w:val="32"/>
        </w:rPr>
        <w:t>9年公务用车购置及运行维护费0万元</w:t>
      </w:r>
    </w:p>
    <w:p w14:paraId="74FDC398">
      <w:pPr>
        <w:pStyle w:val="9"/>
        <w:pageBreakBefore w:val="0"/>
        <w:kinsoku/>
        <w:wordWrap/>
        <w:overflowPunct/>
        <w:topLinePunct w:val="0"/>
        <w:bidi w:val="0"/>
        <w:adjustRightInd w:val="0"/>
        <w:snapToGrid w:val="0"/>
        <w:spacing w:line="600" w:lineRule="exact"/>
        <w:ind w:left="0" w:leftChars="0"/>
        <w:jc w:val="left"/>
        <w:rPr>
          <w:rFonts w:hint="eastAsia" w:ascii="Times New Roman" w:hAnsi="Times New Roman" w:eastAsia="黑体" w:cs="Times New Roman"/>
          <w:kern w:val="0"/>
          <w:sz w:val="32"/>
          <w:szCs w:val="32"/>
          <w:lang w:val="en-US" w:eastAsia="zh-CN" w:bidi="ar"/>
        </w:rPr>
      </w:pPr>
      <w:r>
        <w:rPr>
          <w:rFonts w:hint="eastAsia" w:eastAsia="黑体" w:cs="Times New Roman"/>
          <w:kern w:val="0"/>
          <w:sz w:val="32"/>
          <w:szCs w:val="32"/>
          <w:lang w:val="en-US" w:eastAsia="zh-CN" w:bidi="ar"/>
        </w:rPr>
        <w:t>八</w:t>
      </w:r>
      <w:r>
        <w:rPr>
          <w:rFonts w:hint="eastAsia" w:ascii="Times New Roman" w:hAnsi="Times New Roman" w:eastAsia="黑体" w:cs="Times New Roman"/>
          <w:kern w:val="0"/>
          <w:sz w:val="32"/>
          <w:szCs w:val="32"/>
          <w:lang w:val="en-US" w:eastAsia="zh-CN" w:bidi="ar"/>
        </w:rPr>
        <w:t>、政府性基金预算支出决算情况说明</w:t>
      </w:r>
    </w:p>
    <w:p w14:paraId="60A15D78">
      <w:pPr>
        <w:pageBreakBefore w:val="0"/>
        <w:kinsoku/>
        <w:wordWrap/>
        <w:overflowPunct/>
        <w:topLinePunct w:val="0"/>
        <w:bidi w:val="0"/>
        <w:snapToGrid w:val="0"/>
        <w:spacing w:line="600" w:lineRule="exact"/>
        <w:ind w:left="0" w:leftChars="0" w:firstLine="640" w:firstLineChars="200"/>
        <w:rPr>
          <w:rFonts w:hint="default" w:ascii="仿宋_GB2312" w:hAnsi="微软雅黑" w:eastAsia="仿宋_GB2312" w:cs="仿宋_GB2312"/>
          <w:color w:val="auto"/>
          <w:sz w:val="32"/>
          <w:szCs w:val="32"/>
        </w:rPr>
      </w:pPr>
      <w:r>
        <w:rPr>
          <w:rFonts w:hint="default" w:ascii="仿宋_GB2312" w:hAnsi="微软雅黑" w:eastAsia="仿宋_GB2312" w:cs="仿宋_GB2312"/>
          <w:color w:val="auto"/>
          <w:sz w:val="32"/>
          <w:szCs w:val="32"/>
        </w:rPr>
        <w:t>2020年没有使用政府性基金预算拨款安排的支出。</w:t>
      </w:r>
    </w:p>
    <w:p w14:paraId="33F298B9">
      <w:pPr>
        <w:pStyle w:val="9"/>
        <w:pageBreakBefore w:val="0"/>
        <w:kinsoku/>
        <w:wordWrap/>
        <w:overflowPunct/>
        <w:topLinePunct w:val="0"/>
        <w:bidi w:val="0"/>
        <w:adjustRightInd w:val="0"/>
        <w:snapToGrid w:val="0"/>
        <w:spacing w:line="600" w:lineRule="exact"/>
        <w:ind w:left="0" w:leftChars="0"/>
        <w:jc w:val="left"/>
        <w:rPr>
          <w:rFonts w:hint="eastAsia" w:ascii="Times New Roman" w:hAnsi="Times New Roman" w:eastAsia="黑体" w:cs="Times New Roman"/>
          <w:kern w:val="0"/>
          <w:sz w:val="32"/>
          <w:szCs w:val="32"/>
          <w:lang w:val="en-US" w:eastAsia="zh-CN" w:bidi="ar"/>
        </w:rPr>
      </w:pPr>
      <w:r>
        <w:rPr>
          <w:rFonts w:hint="eastAsia" w:eastAsia="黑体" w:cs="Times New Roman"/>
          <w:kern w:val="0"/>
          <w:sz w:val="32"/>
          <w:szCs w:val="32"/>
          <w:lang w:val="en-US" w:eastAsia="zh-CN" w:bidi="ar"/>
        </w:rPr>
        <w:t>九</w:t>
      </w:r>
      <w:r>
        <w:rPr>
          <w:rFonts w:hint="eastAsia" w:ascii="Times New Roman" w:hAnsi="Times New Roman" w:eastAsia="黑体" w:cs="Times New Roman"/>
          <w:kern w:val="0"/>
          <w:sz w:val="32"/>
          <w:szCs w:val="32"/>
          <w:lang w:val="en-US" w:eastAsia="zh-CN" w:bidi="ar"/>
        </w:rPr>
        <w:t>、 国有资本经营预算支出决算情况说明</w:t>
      </w:r>
    </w:p>
    <w:p w14:paraId="7C77F5E1">
      <w:pPr>
        <w:keepNext w:val="0"/>
        <w:keepLines w:val="0"/>
        <w:pageBreakBefore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仿宋_GB2312" w:hAnsi="微软雅黑" w:eastAsia="仿宋_GB2312" w:cs="仿宋_GB2312"/>
          <w:color w:val="auto"/>
          <w:sz w:val="32"/>
          <w:szCs w:val="32"/>
        </w:rPr>
        <w:t>2020年没有使用国有资本经营预算拨款安排的支</w:t>
      </w:r>
      <w:r>
        <w:rPr>
          <w:rFonts w:hint="default" w:ascii="仿宋_GB2312" w:hAnsi="微软雅黑" w:eastAsia="仿宋_GB2312" w:cs="仿宋_GB2312"/>
          <w:color w:val="auto"/>
          <w:sz w:val="32"/>
          <w:szCs w:val="32"/>
          <w:lang w:val="en-US" w:eastAsia="zh-CN"/>
        </w:rPr>
        <w:t>出。</w:t>
      </w:r>
    </w:p>
    <w:p w14:paraId="7DFD0C7E">
      <w:pPr>
        <w:pStyle w:val="9"/>
        <w:pageBreakBefore w:val="0"/>
        <w:kinsoku/>
        <w:wordWrap/>
        <w:overflowPunct/>
        <w:topLinePunct w:val="0"/>
        <w:bidi w:val="0"/>
        <w:adjustRightInd w:val="0"/>
        <w:snapToGrid w:val="0"/>
        <w:spacing w:line="600" w:lineRule="exact"/>
        <w:ind w:left="0" w:leftChars="0"/>
        <w:jc w:val="left"/>
      </w:pPr>
      <w:r>
        <w:rPr>
          <w:rFonts w:hint="eastAsia" w:eastAsia="黑体" w:cs="Times New Roman"/>
          <w:kern w:val="0"/>
          <w:sz w:val="32"/>
          <w:szCs w:val="32"/>
          <w:lang w:val="en-US" w:eastAsia="zh-CN" w:bidi="ar"/>
        </w:rPr>
        <w:t>十</w:t>
      </w:r>
      <w:r>
        <w:rPr>
          <w:rFonts w:hint="eastAsia" w:ascii="Times New Roman" w:hAnsi="Times New Roman" w:eastAsia="黑体" w:cs="Times New Roman"/>
          <w:kern w:val="0"/>
          <w:sz w:val="32"/>
          <w:szCs w:val="32"/>
          <w:lang w:val="en-US" w:eastAsia="zh-CN" w:bidi="ar"/>
        </w:rPr>
        <w:t>、其他重要事项的情况说明</w:t>
      </w:r>
    </w:p>
    <w:p w14:paraId="31CAC9DD">
      <w:pPr>
        <w:spacing w:line="600" w:lineRule="exact"/>
        <w:ind w:firstLine="643" w:firstLineChars="200"/>
        <w:outlineLvl w:val="2"/>
        <w:rPr>
          <w:rFonts w:ascii="仿宋" w:hAnsi="仿宋" w:eastAsia="仿宋"/>
          <w:color w:val="000000"/>
          <w:sz w:val="32"/>
          <w:szCs w:val="32"/>
        </w:rPr>
      </w:pPr>
      <w:bookmarkStart w:id="13" w:name="_Toc15377222"/>
      <w:r>
        <w:rPr>
          <w:rFonts w:hint="eastAsia" w:ascii="仿宋" w:hAnsi="仿宋" w:eastAsia="仿宋"/>
          <w:b/>
          <w:color w:val="000000"/>
          <w:sz w:val="32"/>
          <w:szCs w:val="32"/>
        </w:rPr>
        <w:t>（一）机关运行经费支出情况</w:t>
      </w:r>
      <w:bookmarkEnd w:id="13"/>
    </w:p>
    <w:p w14:paraId="739DB1FF">
      <w:pPr>
        <w:spacing w:line="600" w:lineRule="exact"/>
        <w:ind w:firstLine="640" w:firstLineChars="200"/>
        <w:rPr>
          <w:rFonts w:ascii="仿宋_GB2312" w:eastAsia="仿宋_GB2312"/>
          <w:color w:val="C00000"/>
          <w:sz w:val="32"/>
          <w:szCs w:val="32"/>
          <w:highlight w:val="yellow"/>
        </w:rPr>
      </w:pPr>
      <w:r>
        <w:rPr>
          <w:rFonts w:ascii="仿宋_GB2312" w:eastAsia="仿宋_GB2312"/>
          <w:sz w:val="32"/>
          <w:szCs w:val="32"/>
        </w:rPr>
        <w:t>201</w:t>
      </w:r>
      <w:r>
        <w:rPr>
          <w:rFonts w:hint="eastAsia" w:ascii="仿宋_GB2312" w:eastAsia="仿宋_GB2312"/>
          <w:sz w:val="32"/>
          <w:szCs w:val="32"/>
          <w:lang w:val="en-US" w:eastAsia="zh-CN"/>
        </w:rPr>
        <w:t>9</w:t>
      </w:r>
      <w:r>
        <w:rPr>
          <w:rFonts w:hint="eastAsia" w:ascii="仿宋_GB2312" w:eastAsia="仿宋_GB2312"/>
          <w:sz w:val="32"/>
          <w:szCs w:val="32"/>
        </w:rPr>
        <w:t>年，中共广元市昭化区委</w:t>
      </w:r>
      <w:r>
        <w:rPr>
          <w:rFonts w:hint="eastAsia" w:ascii="仿宋_GB2312" w:eastAsia="仿宋_GB2312"/>
          <w:sz w:val="32"/>
          <w:szCs w:val="32"/>
          <w:lang w:eastAsia="zh-CN"/>
        </w:rPr>
        <w:t>统战部</w:t>
      </w:r>
      <w:r>
        <w:rPr>
          <w:rFonts w:hint="eastAsia" w:ascii="仿宋_GB2312" w:eastAsia="仿宋_GB2312"/>
          <w:sz w:val="32"/>
          <w:szCs w:val="32"/>
        </w:rPr>
        <w:t>运行经费支出</w:t>
      </w:r>
      <w:r>
        <w:rPr>
          <w:rFonts w:hint="eastAsia" w:ascii="仿宋_GB2312" w:hAnsi="仿宋_GB2312" w:eastAsia="仿宋_GB2312" w:cs="仿宋_GB2312"/>
          <w:color w:val="000000"/>
          <w:sz w:val="32"/>
          <w:szCs w:val="32"/>
          <w:lang w:val="en-US" w:eastAsia="zh-CN"/>
        </w:rPr>
        <w:t>229.31</w:t>
      </w:r>
      <w:r>
        <w:rPr>
          <w:rFonts w:hint="eastAsia" w:ascii="仿宋_GB2312" w:eastAsia="仿宋_GB2312"/>
          <w:sz w:val="32"/>
          <w:szCs w:val="32"/>
        </w:rPr>
        <w:t>万元，比</w:t>
      </w:r>
      <w:r>
        <w:rPr>
          <w:rFonts w:ascii="仿宋_GB2312" w:eastAsia="仿宋_GB2312"/>
          <w:sz w:val="32"/>
          <w:szCs w:val="32"/>
        </w:rPr>
        <w:t>201</w:t>
      </w:r>
      <w:r>
        <w:rPr>
          <w:rFonts w:hint="eastAsia" w:ascii="仿宋_GB2312" w:eastAsia="仿宋_GB2312"/>
          <w:sz w:val="32"/>
          <w:szCs w:val="32"/>
          <w:lang w:val="en-US" w:eastAsia="zh-CN"/>
        </w:rPr>
        <w:t>8</w:t>
      </w:r>
      <w:r>
        <w:rPr>
          <w:rFonts w:hint="eastAsia" w:ascii="仿宋_GB2312" w:eastAsia="仿宋_GB2312"/>
          <w:sz w:val="32"/>
          <w:szCs w:val="32"/>
        </w:rPr>
        <w:t>年增加</w:t>
      </w:r>
      <w:r>
        <w:rPr>
          <w:rFonts w:hint="eastAsia" w:ascii="仿宋_GB2312" w:eastAsia="仿宋_GB2312"/>
          <w:sz w:val="32"/>
          <w:szCs w:val="32"/>
          <w:lang w:val="en-US" w:eastAsia="zh-CN"/>
        </w:rPr>
        <w:t>27.88</w:t>
      </w:r>
      <w:r>
        <w:rPr>
          <w:rFonts w:hint="eastAsia" w:ascii="仿宋_GB2312" w:eastAsia="仿宋_GB2312"/>
          <w:sz w:val="32"/>
          <w:szCs w:val="32"/>
        </w:rPr>
        <w:t>万元，增长</w:t>
      </w:r>
      <w:r>
        <w:rPr>
          <w:rFonts w:hint="eastAsia" w:ascii="仿宋_GB2312" w:eastAsia="仿宋_GB2312"/>
          <w:sz w:val="32"/>
          <w:szCs w:val="32"/>
          <w:lang w:val="en-US" w:eastAsia="zh-CN"/>
        </w:rPr>
        <w:t>12</w:t>
      </w:r>
      <w:r>
        <w:rPr>
          <w:rFonts w:ascii="仿宋_GB2312" w:eastAsia="仿宋_GB2312"/>
          <w:sz w:val="32"/>
          <w:szCs w:val="32"/>
        </w:rPr>
        <w:t>%</w:t>
      </w:r>
      <w:r>
        <w:rPr>
          <w:rFonts w:hint="eastAsia" w:ascii="仿宋_GB2312" w:eastAsia="仿宋_GB2312"/>
          <w:sz w:val="32"/>
          <w:szCs w:val="32"/>
        </w:rPr>
        <w:t>，由于</w:t>
      </w:r>
      <w:r>
        <w:rPr>
          <w:rFonts w:hint="eastAsia" w:ascii="仿宋_GB2312" w:eastAsia="仿宋_GB2312"/>
          <w:sz w:val="32"/>
          <w:szCs w:val="32"/>
          <w:lang w:val="en-US" w:eastAsia="zh-CN"/>
        </w:rPr>
        <w:t>人员</w:t>
      </w:r>
      <w:r>
        <w:rPr>
          <w:rFonts w:hint="eastAsia" w:ascii="仿宋_GB2312" w:eastAsia="仿宋_GB2312"/>
          <w:sz w:val="32"/>
          <w:szCs w:val="32"/>
        </w:rPr>
        <w:t>增加。</w:t>
      </w:r>
    </w:p>
    <w:p w14:paraId="28FC5474">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4" w:name="_Toc15377223"/>
      <w:r>
        <w:rPr>
          <w:rFonts w:hint="eastAsia" w:ascii="仿宋" w:hAnsi="仿宋" w:eastAsia="仿宋"/>
          <w:b/>
          <w:color w:val="000000"/>
          <w:sz w:val="32"/>
          <w:szCs w:val="32"/>
        </w:rPr>
        <w:t>（二）政府采购支出情况</w:t>
      </w:r>
      <w:bookmarkEnd w:id="14"/>
    </w:p>
    <w:p w14:paraId="6A1D4981">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201</w:t>
      </w: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年，政府采购支出总额0万元，其中：政府采购货物支出0万元、政府采购工程支出0万元、政府采购服务支出0万元。授予中小企业合同金额0万元，占政府采购支出总额的0</w:t>
      </w:r>
      <w:r>
        <w:rPr>
          <w:rFonts w:ascii="仿宋_GB2312" w:eastAsia="仿宋_GB2312"/>
          <w:color w:val="000000"/>
          <w:sz w:val="32"/>
          <w:szCs w:val="32"/>
        </w:rPr>
        <w:t>%</w:t>
      </w:r>
      <w:r>
        <w:rPr>
          <w:rFonts w:hint="eastAsia" w:ascii="仿宋_GB2312" w:eastAsia="仿宋_GB2312"/>
          <w:color w:val="000000"/>
          <w:sz w:val="32"/>
          <w:szCs w:val="32"/>
        </w:rPr>
        <w:t>，其中：授予小微企业合同金额0万元，占政府采购支出总额的0</w:t>
      </w:r>
      <w:r>
        <w:rPr>
          <w:rFonts w:ascii="仿宋_GB2312" w:eastAsia="仿宋_GB2312"/>
          <w:color w:val="000000"/>
          <w:sz w:val="32"/>
          <w:szCs w:val="32"/>
        </w:rPr>
        <w:t>%</w:t>
      </w:r>
      <w:r>
        <w:rPr>
          <w:rFonts w:hint="eastAsia" w:ascii="仿宋_GB2312" w:eastAsia="仿宋_GB2312"/>
          <w:color w:val="000000"/>
          <w:sz w:val="32"/>
          <w:szCs w:val="32"/>
        </w:rPr>
        <w:t>。</w:t>
      </w:r>
    </w:p>
    <w:p w14:paraId="2A1B1B19">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5" w:name="_Toc15377224"/>
      <w:r>
        <w:rPr>
          <w:rFonts w:hint="eastAsia" w:ascii="仿宋" w:hAnsi="仿宋" w:eastAsia="仿宋"/>
          <w:b/>
          <w:color w:val="000000"/>
          <w:sz w:val="32"/>
          <w:szCs w:val="32"/>
        </w:rPr>
        <w:t>（三）国有资产占有使用情况</w:t>
      </w:r>
      <w:bookmarkEnd w:id="15"/>
    </w:p>
    <w:p w14:paraId="1BD39B3A">
      <w:pPr>
        <w:autoSpaceDE w:val="0"/>
        <w:autoSpaceDN w:val="0"/>
        <w:adjustRightInd w:val="0"/>
        <w:spacing w:line="600" w:lineRule="exact"/>
        <w:ind w:firstLine="640" w:firstLineChars="200"/>
        <w:jc w:val="left"/>
        <w:rPr>
          <w:rFonts w:ascii="仿宋_GB2312" w:hAnsi="仿宋_GB2312" w:eastAsia="仿宋_GB2312" w:cs="仿宋_GB2312"/>
          <w:sz w:val="32"/>
          <w:szCs w:val="32"/>
        </w:rPr>
      </w:pPr>
      <w:r>
        <w:rPr>
          <w:rFonts w:hint="eastAsia" w:ascii="仿宋_GB2312" w:eastAsia="仿宋_GB2312"/>
          <w:color w:val="000000"/>
          <w:sz w:val="32"/>
          <w:szCs w:val="32"/>
        </w:rPr>
        <w:t>截至</w:t>
      </w:r>
      <w:r>
        <w:rPr>
          <w:rFonts w:ascii="仿宋_GB2312" w:eastAsia="仿宋_GB2312"/>
          <w:color w:val="000000"/>
          <w:sz w:val="32"/>
          <w:szCs w:val="32"/>
        </w:rPr>
        <w:t>201</w:t>
      </w: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日，共有车辆0辆，其中：部级领导干部用车0辆、一般公务用车0辆、一般执法执勤用车0辆、特种专业技术用车0辆、其他用车0辆，</w:t>
      </w:r>
      <w:r>
        <w:rPr>
          <w:rFonts w:hint="eastAsia" w:ascii="仿宋_GB2312" w:eastAsia="仿宋_GB2312"/>
          <w:color w:val="000000" w:themeColor="text1"/>
          <w:sz w:val="32"/>
          <w:szCs w:val="32"/>
          <w14:textFill>
            <w14:solidFill>
              <w14:schemeClr w14:val="tx1"/>
            </w14:solidFill>
          </w14:textFill>
        </w:rPr>
        <w:t>单价</w:t>
      </w:r>
      <w:r>
        <w:rPr>
          <w:rFonts w:ascii="仿宋_GB2312" w:eastAsia="仿宋_GB2312"/>
          <w:color w:val="000000" w:themeColor="text1"/>
          <w:sz w:val="32"/>
          <w:szCs w:val="32"/>
          <w14:textFill>
            <w14:solidFill>
              <w14:schemeClr w14:val="tx1"/>
            </w14:solidFill>
          </w14:textFill>
        </w:rPr>
        <w:t>50</w:t>
      </w:r>
      <w:r>
        <w:rPr>
          <w:rFonts w:hint="eastAsia" w:ascii="仿宋_GB2312" w:eastAsia="仿宋_GB2312"/>
          <w:color w:val="000000" w:themeColor="text1"/>
          <w:sz w:val="32"/>
          <w:szCs w:val="32"/>
          <w14:textFill>
            <w14:solidFill>
              <w14:schemeClr w14:val="tx1"/>
            </w14:solidFill>
          </w14:textFill>
        </w:rPr>
        <w:t>万元以上通用设备0台（套），单价</w:t>
      </w:r>
      <w:r>
        <w:rPr>
          <w:rFonts w:ascii="仿宋_GB2312" w:eastAsia="仿宋_GB2312"/>
          <w:color w:val="000000" w:themeColor="text1"/>
          <w:sz w:val="32"/>
          <w:szCs w:val="32"/>
          <w14:textFill>
            <w14:solidFill>
              <w14:schemeClr w14:val="tx1"/>
            </w14:solidFill>
          </w14:textFill>
        </w:rPr>
        <w:t>100</w:t>
      </w:r>
      <w:r>
        <w:rPr>
          <w:rFonts w:hint="eastAsia" w:ascii="仿宋_GB2312" w:eastAsia="仿宋_GB2312"/>
          <w:color w:val="000000"/>
          <w:sz w:val="32"/>
          <w:szCs w:val="32"/>
        </w:rPr>
        <w:t>万元以上专用设备0台（套）。</w:t>
      </w:r>
    </w:p>
    <w:p w14:paraId="7A8318B9">
      <w:pPr>
        <w:pStyle w:val="2"/>
        <w:pageBreakBefore w:val="0"/>
        <w:kinsoku/>
        <w:wordWrap/>
        <w:overflowPunct/>
        <w:topLinePunct w:val="0"/>
        <w:bidi w:val="0"/>
        <w:spacing w:line="600" w:lineRule="exact"/>
        <w:ind w:left="0" w:leftChars="0"/>
      </w:pPr>
    </w:p>
    <w:p w14:paraId="4B41E653">
      <w:pPr>
        <w:pStyle w:val="2"/>
        <w:pageBreakBefore w:val="0"/>
        <w:kinsoku/>
        <w:wordWrap/>
        <w:overflowPunct/>
        <w:topLinePunct w:val="0"/>
        <w:bidi w:val="0"/>
        <w:spacing w:line="600" w:lineRule="exact"/>
        <w:ind w:left="0" w:leftChars="0"/>
      </w:pPr>
    </w:p>
    <w:p w14:paraId="188D85AD">
      <w:pPr>
        <w:pStyle w:val="2"/>
        <w:pageBreakBefore w:val="0"/>
        <w:kinsoku/>
        <w:wordWrap/>
        <w:overflowPunct/>
        <w:topLinePunct w:val="0"/>
        <w:bidi w:val="0"/>
        <w:spacing w:line="600" w:lineRule="exact"/>
        <w:ind w:left="0" w:leftChars="0"/>
      </w:pPr>
    </w:p>
    <w:p w14:paraId="413F8B43">
      <w:pPr>
        <w:pStyle w:val="2"/>
        <w:pageBreakBefore w:val="0"/>
        <w:kinsoku/>
        <w:wordWrap/>
        <w:overflowPunct/>
        <w:topLinePunct w:val="0"/>
        <w:bidi w:val="0"/>
        <w:spacing w:line="600" w:lineRule="exact"/>
        <w:ind w:left="0" w:leftChars="0"/>
      </w:pPr>
    </w:p>
    <w:p w14:paraId="2B10C4C7">
      <w:pPr>
        <w:pStyle w:val="2"/>
        <w:pageBreakBefore w:val="0"/>
        <w:kinsoku/>
        <w:wordWrap/>
        <w:overflowPunct/>
        <w:topLinePunct w:val="0"/>
        <w:bidi w:val="0"/>
        <w:spacing w:line="600" w:lineRule="exact"/>
        <w:ind w:left="0" w:leftChars="0" w:firstLine="0" w:firstLineChars="0"/>
      </w:pPr>
    </w:p>
    <w:p w14:paraId="72B9763F">
      <w:pPr>
        <w:pageBreakBefore w:val="0"/>
        <w:numPr>
          <w:ilvl w:val="0"/>
          <w:numId w:val="0"/>
        </w:numPr>
        <w:tabs>
          <w:tab w:val="left" w:pos="2762"/>
          <w:tab w:val="center" w:pos="5801"/>
        </w:tabs>
        <w:kinsoku/>
        <w:wordWrap/>
        <w:overflowPunct/>
        <w:topLinePunct w:val="0"/>
        <w:bidi w:val="0"/>
        <w:spacing w:line="600" w:lineRule="exact"/>
        <w:ind w:firstLine="2209" w:firstLineChars="500"/>
        <w:jc w:val="left"/>
        <w:outlineLvl w:val="0"/>
        <w:rPr>
          <w:rFonts w:hint="eastAsia" w:ascii="黑体" w:hAnsi="黑体" w:eastAsia="黑体"/>
          <w:b/>
          <w:color w:val="000000"/>
          <w:sz w:val="44"/>
          <w:szCs w:val="44"/>
          <w:lang w:eastAsia="zh-CN"/>
        </w:rPr>
      </w:pPr>
    </w:p>
    <w:p w14:paraId="6799B365">
      <w:pPr>
        <w:pageBreakBefore w:val="0"/>
        <w:numPr>
          <w:ilvl w:val="0"/>
          <w:numId w:val="0"/>
        </w:numPr>
        <w:tabs>
          <w:tab w:val="left" w:pos="2762"/>
          <w:tab w:val="center" w:pos="5801"/>
        </w:tabs>
        <w:kinsoku/>
        <w:wordWrap/>
        <w:overflowPunct/>
        <w:topLinePunct w:val="0"/>
        <w:bidi w:val="0"/>
        <w:spacing w:line="600" w:lineRule="exact"/>
        <w:ind w:firstLine="2209" w:firstLineChars="500"/>
        <w:jc w:val="left"/>
        <w:outlineLvl w:val="0"/>
        <w:rPr>
          <w:rFonts w:hint="eastAsia" w:ascii="黑体" w:hAnsi="黑体" w:eastAsia="黑体"/>
          <w:b/>
          <w:color w:val="000000"/>
          <w:sz w:val="44"/>
          <w:szCs w:val="44"/>
          <w:lang w:eastAsia="zh-CN"/>
        </w:rPr>
      </w:pPr>
    </w:p>
    <w:p w14:paraId="35E788C3">
      <w:pPr>
        <w:pageBreakBefore w:val="0"/>
        <w:numPr>
          <w:ilvl w:val="0"/>
          <w:numId w:val="0"/>
        </w:numPr>
        <w:tabs>
          <w:tab w:val="left" w:pos="2762"/>
          <w:tab w:val="center" w:pos="5801"/>
        </w:tabs>
        <w:kinsoku/>
        <w:wordWrap/>
        <w:overflowPunct/>
        <w:topLinePunct w:val="0"/>
        <w:bidi w:val="0"/>
        <w:spacing w:line="600" w:lineRule="exact"/>
        <w:ind w:firstLine="2209" w:firstLineChars="500"/>
        <w:jc w:val="left"/>
        <w:outlineLvl w:val="0"/>
        <w:rPr>
          <w:rStyle w:val="18"/>
          <w:rFonts w:ascii="黑体" w:hAnsi="黑体" w:eastAsia="黑体"/>
          <w:b w:val="0"/>
        </w:rPr>
      </w:pPr>
      <w:r>
        <w:rPr>
          <w:rFonts w:hint="eastAsia" w:ascii="黑体" w:hAnsi="黑体" w:eastAsia="黑体"/>
          <w:b/>
          <w:color w:val="000000"/>
          <w:sz w:val="44"/>
          <w:szCs w:val="44"/>
          <w:lang w:eastAsia="zh-CN"/>
        </w:rPr>
        <w:t>第三部分</w:t>
      </w:r>
      <w:r>
        <w:rPr>
          <w:rFonts w:hint="eastAsia" w:ascii="黑体" w:hAnsi="黑体" w:eastAsia="黑体"/>
          <w:b/>
          <w:color w:val="000000"/>
          <w:sz w:val="44"/>
          <w:szCs w:val="44"/>
          <w:lang w:val="en-US" w:eastAsia="zh-CN"/>
        </w:rPr>
        <w:t xml:space="preserve"> </w:t>
      </w:r>
      <w:r>
        <w:rPr>
          <w:rFonts w:hint="eastAsia" w:ascii="黑体" w:hAnsi="黑体" w:eastAsia="黑体"/>
          <w:b/>
          <w:color w:val="000000"/>
          <w:sz w:val="44"/>
          <w:szCs w:val="44"/>
        </w:rPr>
        <w:t>名</w:t>
      </w:r>
      <w:r>
        <w:rPr>
          <w:rStyle w:val="18"/>
          <w:rFonts w:hint="eastAsia" w:ascii="黑体" w:hAnsi="黑体" w:eastAsia="黑体"/>
          <w:b w:val="0"/>
        </w:rPr>
        <w:t>词解释</w:t>
      </w:r>
    </w:p>
    <w:p w14:paraId="6D115712">
      <w:pPr>
        <w:pageBreakBefore w:val="0"/>
        <w:kinsoku/>
        <w:wordWrap/>
        <w:overflowPunct/>
        <w:topLinePunct w:val="0"/>
        <w:bidi w:val="0"/>
        <w:spacing w:line="600" w:lineRule="exact"/>
        <w:ind w:left="0" w:leftChars="0"/>
        <w:jc w:val="left"/>
        <w:rPr>
          <w:rFonts w:ascii="宋体"/>
          <w:b/>
          <w:color w:val="000000"/>
          <w:sz w:val="44"/>
          <w:szCs w:val="44"/>
        </w:rPr>
      </w:pPr>
    </w:p>
    <w:p w14:paraId="3CFBF6D6">
      <w:pPr>
        <w:pStyle w:val="20"/>
        <w:pageBreakBefore w:val="0"/>
        <w:kinsoku/>
        <w:wordWrap/>
        <w:overflowPunct/>
        <w:topLinePunct w:val="0"/>
        <w:bidi w:val="0"/>
        <w:spacing w:line="600" w:lineRule="exact"/>
        <w:ind w:left="0" w:leftChars="0"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14:paraId="227DC0C0">
      <w:pPr>
        <w:pStyle w:val="20"/>
        <w:pageBreakBefore w:val="0"/>
        <w:kinsoku/>
        <w:wordWrap/>
        <w:overflowPunct/>
        <w:topLinePunct w:val="0"/>
        <w:bidi w:val="0"/>
        <w:spacing w:line="600" w:lineRule="exact"/>
        <w:ind w:left="0" w:leftChars="0"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31F4633A">
      <w:pPr>
        <w:pStyle w:val="20"/>
        <w:pageBreakBefore w:val="0"/>
        <w:kinsoku/>
        <w:wordWrap/>
        <w:overflowPunct/>
        <w:topLinePunct w:val="0"/>
        <w:bidi w:val="0"/>
        <w:spacing w:line="600" w:lineRule="exact"/>
        <w:ind w:left="0" w:leftChars="0" w:firstLine="640" w:firstLineChars="200"/>
        <w:rPr>
          <w:rFonts w:ascii="仿宋_GB2312" w:eastAsia="仿宋_GB2312"/>
          <w:sz w:val="32"/>
          <w:szCs w:val="32"/>
        </w:rPr>
      </w:pPr>
      <w:r>
        <w:rPr>
          <w:rFonts w:hint="eastAsia" w:ascii="仿宋_GB2312" w:eastAsia="仿宋_GB2312"/>
          <w:sz w:val="32"/>
          <w:szCs w:val="32"/>
        </w:rPr>
        <w:t>3、年末结转和结余：指单位按有关规定结转到下年或以后年度继续使用的资金。</w:t>
      </w:r>
    </w:p>
    <w:p w14:paraId="586E3156">
      <w:pPr>
        <w:pageBreakBefore w:val="0"/>
        <w:kinsoku/>
        <w:wordWrap/>
        <w:overflowPunct/>
        <w:topLinePunct w:val="0"/>
        <w:bidi w:val="0"/>
        <w:spacing w:line="600" w:lineRule="exact"/>
        <w:ind w:left="0" w:leftChars="0" w:firstLine="640" w:firstLineChars="200"/>
        <w:outlineLvl w:val="2"/>
        <w:rPr>
          <w:rStyle w:val="13"/>
          <w:rFonts w:ascii="仿宋_GB2312" w:hAnsi="仿宋_GB2312" w:eastAsia="仿宋" w:cs="仿宋_GB2312"/>
          <w:b w:val="0"/>
          <w:bCs/>
          <w:sz w:val="32"/>
          <w:szCs w:val="32"/>
          <w:highlight w:val="yellow"/>
        </w:rPr>
      </w:pPr>
      <w:r>
        <w:rPr>
          <w:rStyle w:val="13"/>
          <w:rFonts w:hint="eastAsia" w:ascii="仿宋_GB2312" w:hAnsi="仿宋_GB2312" w:eastAsia="仿宋_GB2312" w:cs="仿宋_GB2312"/>
          <w:b w:val="0"/>
          <w:bCs/>
          <w:color w:val="000000"/>
          <w:sz w:val="32"/>
          <w:szCs w:val="32"/>
        </w:rPr>
        <w:t>4.</w:t>
      </w:r>
      <w:r>
        <w:rPr>
          <w:rStyle w:val="13"/>
          <w:rFonts w:hint="eastAsia" w:ascii="仿宋_GB2312" w:eastAsia="仿宋_GB2312"/>
          <w:b w:val="0"/>
          <w:bCs/>
          <w:color w:val="000000"/>
          <w:sz w:val="32"/>
          <w:szCs w:val="32"/>
        </w:rPr>
        <w:t>一般公共服务（类）政府办公厅（室）及相关机构事务（款）行政运行（项）</w:t>
      </w:r>
      <w:r>
        <w:rPr>
          <w:rStyle w:val="13"/>
          <w:rFonts w:ascii="仿宋" w:hAnsi="仿宋" w:eastAsia="仿宋"/>
          <w:b w:val="0"/>
          <w:bCs/>
          <w:color w:val="000000"/>
          <w:sz w:val="32"/>
          <w:szCs w:val="32"/>
        </w:rPr>
        <w:t xml:space="preserve">: </w:t>
      </w:r>
      <w:r>
        <w:rPr>
          <w:rStyle w:val="13"/>
          <w:rFonts w:hint="eastAsia" w:ascii="仿宋_GB2312" w:hAnsi="仿宋_GB2312" w:eastAsia="仿宋_GB2312" w:cs="仿宋_GB2312"/>
          <w:b w:val="0"/>
          <w:bCs/>
          <w:color w:val="000000"/>
          <w:sz w:val="32"/>
          <w:szCs w:val="32"/>
        </w:rPr>
        <w:t>指区委编办的基本支出。</w:t>
      </w:r>
    </w:p>
    <w:p w14:paraId="6588BD21">
      <w:pPr>
        <w:pageBreakBefore w:val="0"/>
        <w:kinsoku/>
        <w:wordWrap/>
        <w:overflowPunct/>
        <w:topLinePunct w:val="0"/>
        <w:bidi w:val="0"/>
        <w:spacing w:line="600" w:lineRule="exact"/>
        <w:ind w:left="0" w:leftChars="0" w:firstLine="640" w:firstLineChars="200"/>
        <w:rPr>
          <w:rFonts w:ascii="仿宋_GB2312" w:hAnsi="仿宋_GB2312" w:eastAsia="仿宋_GB2312" w:cs="仿宋_GB2312"/>
          <w:bCs/>
          <w:color w:val="000000"/>
          <w:sz w:val="32"/>
          <w:szCs w:val="32"/>
        </w:rPr>
      </w:pPr>
      <w:r>
        <w:rPr>
          <w:rStyle w:val="13"/>
          <w:rFonts w:hint="eastAsia" w:ascii="仿宋" w:hAnsi="仿宋" w:eastAsia="仿宋"/>
          <w:b w:val="0"/>
          <w:bCs/>
          <w:color w:val="000000"/>
          <w:sz w:val="32"/>
          <w:szCs w:val="32"/>
        </w:rPr>
        <w:t>5</w:t>
      </w:r>
      <w:r>
        <w:rPr>
          <w:rStyle w:val="13"/>
          <w:rFonts w:ascii="仿宋" w:hAnsi="仿宋" w:eastAsia="仿宋"/>
          <w:b w:val="0"/>
          <w:bCs/>
          <w:color w:val="000000"/>
          <w:sz w:val="32"/>
          <w:szCs w:val="32"/>
        </w:rPr>
        <w:t>.</w:t>
      </w:r>
      <w:r>
        <w:rPr>
          <w:rStyle w:val="13"/>
          <w:rFonts w:hint="eastAsia" w:ascii="仿宋_GB2312" w:eastAsia="仿宋_GB2312"/>
          <w:b w:val="0"/>
          <w:bCs/>
          <w:color w:val="000000"/>
          <w:sz w:val="32"/>
          <w:szCs w:val="32"/>
        </w:rPr>
        <w:t>社会保障和就业（类）社会保障和就业支出（款）行政事业单位离退休（项）：指区委编办为单位职工缴纳基本养老保险缴费支出。</w:t>
      </w:r>
    </w:p>
    <w:p w14:paraId="1E5D04D4">
      <w:pPr>
        <w:pageBreakBefore w:val="0"/>
        <w:kinsoku/>
        <w:wordWrap/>
        <w:overflowPunct/>
        <w:topLinePunct w:val="0"/>
        <w:bidi w:val="0"/>
        <w:spacing w:line="600" w:lineRule="exact"/>
        <w:ind w:left="0" w:leftChars="0" w:firstLine="640" w:firstLineChars="200"/>
        <w:rPr>
          <w:rStyle w:val="13"/>
          <w:rFonts w:ascii="仿宋_GB2312" w:hAnsi="仿宋_GB2312" w:eastAsia="仿宋_GB2312" w:cs="仿宋_GB2312"/>
          <w:b w:val="0"/>
          <w:bCs/>
          <w:color w:val="000000"/>
          <w:sz w:val="32"/>
          <w:szCs w:val="32"/>
          <w:highlight w:val="yellow"/>
        </w:rPr>
      </w:pPr>
      <w:r>
        <w:rPr>
          <w:rStyle w:val="13"/>
          <w:rFonts w:hint="eastAsia" w:ascii="仿宋" w:hAnsi="仿宋" w:eastAsia="仿宋"/>
          <w:b w:val="0"/>
          <w:bCs/>
          <w:color w:val="000000"/>
          <w:sz w:val="32"/>
          <w:szCs w:val="32"/>
        </w:rPr>
        <w:t>6</w:t>
      </w:r>
      <w:r>
        <w:rPr>
          <w:rStyle w:val="13"/>
          <w:rFonts w:ascii="仿宋" w:hAnsi="仿宋" w:eastAsia="仿宋"/>
          <w:b w:val="0"/>
          <w:bCs/>
          <w:color w:val="000000"/>
          <w:sz w:val="32"/>
          <w:szCs w:val="32"/>
        </w:rPr>
        <w:t>.</w:t>
      </w:r>
      <w:r>
        <w:rPr>
          <w:rStyle w:val="13"/>
          <w:rFonts w:hint="eastAsia" w:ascii="仿宋_GB2312" w:eastAsia="仿宋_GB2312"/>
          <w:b w:val="0"/>
          <w:bCs/>
          <w:color w:val="000000"/>
          <w:sz w:val="32"/>
          <w:szCs w:val="32"/>
        </w:rPr>
        <w:t>医疗卫生与计划生育（类）医疗卫生与计划生育支出（款）行政事业单位医疗（项）行政单位医疗：指区委编办为单位职工缴纳的医疗保险支出</w:t>
      </w:r>
      <w:r>
        <w:rPr>
          <w:rStyle w:val="13"/>
          <w:rFonts w:hint="eastAsia" w:ascii="仿宋" w:hAnsi="仿宋" w:eastAsia="仿宋"/>
          <w:b w:val="0"/>
          <w:bCs/>
          <w:color w:val="000000"/>
          <w:sz w:val="32"/>
          <w:szCs w:val="32"/>
        </w:rPr>
        <w:t>。</w:t>
      </w:r>
    </w:p>
    <w:p w14:paraId="4225BF9D">
      <w:pPr>
        <w:pageBreakBefore w:val="0"/>
        <w:kinsoku/>
        <w:wordWrap/>
        <w:overflowPunct/>
        <w:topLinePunct w:val="0"/>
        <w:bidi w:val="0"/>
        <w:spacing w:line="600" w:lineRule="exact"/>
        <w:ind w:left="0" w:leftChars="0" w:firstLine="640"/>
        <w:rPr>
          <w:rFonts w:ascii="仿宋_GB2312" w:eastAsia="仿宋_GB2312"/>
          <w:bCs/>
          <w:color w:val="000000"/>
          <w:sz w:val="32"/>
          <w:szCs w:val="32"/>
        </w:rPr>
      </w:pPr>
      <w:r>
        <w:rPr>
          <w:rStyle w:val="13"/>
          <w:rFonts w:hint="eastAsia" w:ascii="仿宋_GB2312" w:eastAsia="仿宋_GB2312"/>
          <w:b w:val="0"/>
          <w:bCs/>
          <w:color w:val="000000"/>
          <w:sz w:val="32"/>
          <w:szCs w:val="32"/>
        </w:rPr>
        <w:t>7.住房保障支出（类）住房改革支出（款）住房公积金（项）:指区委编办为单位职工缴纳的住房公积金支出</w:t>
      </w:r>
      <w:r>
        <w:rPr>
          <w:rFonts w:hint="eastAsia" w:ascii="仿宋_GB2312" w:eastAsia="仿宋_GB2312"/>
          <w:bCs/>
          <w:color w:val="000000"/>
          <w:sz w:val="32"/>
          <w:szCs w:val="32"/>
        </w:rPr>
        <w:t>。</w:t>
      </w:r>
    </w:p>
    <w:p w14:paraId="35D49B76">
      <w:pPr>
        <w:pageBreakBefore w:val="0"/>
        <w:kinsoku/>
        <w:wordWrap/>
        <w:overflowPunct/>
        <w:topLinePunct w:val="0"/>
        <w:bidi w:val="0"/>
        <w:spacing w:line="600" w:lineRule="exact"/>
        <w:ind w:left="0" w:leftChars="0" w:firstLine="640" w:firstLineChars="200"/>
        <w:rPr>
          <w:rFonts w:ascii="仿宋_GB2312" w:eastAsia="仿宋_GB2312"/>
          <w:color w:val="000000"/>
          <w:sz w:val="32"/>
          <w:szCs w:val="32"/>
        </w:rPr>
      </w:pPr>
      <w:r>
        <w:rPr>
          <w:rFonts w:hint="eastAsia" w:ascii="仿宋_GB2312" w:eastAsia="仿宋_GB2312"/>
          <w:color w:val="000000"/>
          <w:sz w:val="32"/>
          <w:szCs w:val="32"/>
        </w:rPr>
        <w:t>8</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1E83B597">
      <w:pPr>
        <w:pStyle w:val="20"/>
        <w:pageBreakBefore w:val="0"/>
        <w:kinsoku/>
        <w:wordWrap/>
        <w:overflowPunct/>
        <w:topLinePunct w:val="0"/>
        <w:bidi w:val="0"/>
        <w:spacing w:line="600" w:lineRule="exact"/>
        <w:ind w:left="0" w:leftChars="0"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353D1B7">
      <w:pPr>
        <w:pStyle w:val="20"/>
        <w:pageBreakBefore w:val="0"/>
        <w:kinsoku/>
        <w:wordWrap/>
        <w:overflowPunct/>
        <w:topLinePunct w:val="0"/>
        <w:bidi w:val="0"/>
        <w:spacing w:line="600" w:lineRule="exact"/>
        <w:ind w:left="0" w:leftChars="0" w:firstLine="640" w:firstLineChars="200"/>
        <w:rPr>
          <w:rFonts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14:paraId="5D5B292D">
      <w:pPr>
        <w:pageBreakBefore w:val="0"/>
        <w:widowControl/>
        <w:kinsoku/>
        <w:wordWrap/>
        <w:overflowPunct/>
        <w:topLinePunct w:val="0"/>
        <w:bidi w:val="0"/>
        <w:spacing w:line="600" w:lineRule="exact"/>
        <w:ind w:left="0" w:leftChars="0" w:firstLine="640" w:firstLineChars="200"/>
        <w:textAlignment w:val="center"/>
        <w:rPr>
          <w:color w:val="0000FF"/>
          <w:sz w:val="32"/>
          <w:szCs w:val="32"/>
        </w:rPr>
      </w:pPr>
    </w:p>
    <w:p w14:paraId="5165A925">
      <w:pPr>
        <w:pStyle w:val="2"/>
        <w:pageBreakBefore w:val="0"/>
        <w:kinsoku/>
        <w:wordWrap/>
        <w:overflowPunct/>
        <w:topLinePunct w:val="0"/>
        <w:bidi w:val="0"/>
        <w:spacing w:line="600" w:lineRule="exact"/>
        <w:ind w:left="0" w:leftChars="0"/>
        <w:rPr>
          <w:color w:val="0000FF"/>
          <w:sz w:val="32"/>
          <w:szCs w:val="32"/>
        </w:rPr>
      </w:pPr>
    </w:p>
    <w:p w14:paraId="64BA25AA">
      <w:pPr>
        <w:pStyle w:val="2"/>
        <w:pageBreakBefore w:val="0"/>
        <w:kinsoku/>
        <w:wordWrap/>
        <w:overflowPunct/>
        <w:topLinePunct w:val="0"/>
        <w:bidi w:val="0"/>
        <w:spacing w:line="600" w:lineRule="exact"/>
        <w:ind w:left="0" w:leftChars="0"/>
        <w:rPr>
          <w:color w:val="0000FF"/>
          <w:sz w:val="32"/>
          <w:szCs w:val="32"/>
        </w:rPr>
      </w:pPr>
    </w:p>
    <w:p w14:paraId="64F6EC14">
      <w:pPr>
        <w:pStyle w:val="2"/>
        <w:pageBreakBefore w:val="0"/>
        <w:kinsoku/>
        <w:wordWrap/>
        <w:overflowPunct/>
        <w:topLinePunct w:val="0"/>
        <w:bidi w:val="0"/>
        <w:spacing w:line="600" w:lineRule="exact"/>
        <w:ind w:left="0" w:leftChars="0"/>
        <w:rPr>
          <w:color w:val="0000FF"/>
          <w:sz w:val="32"/>
          <w:szCs w:val="32"/>
        </w:rPr>
      </w:pPr>
    </w:p>
    <w:p w14:paraId="0AF8676C">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bookmarkStart w:id="16" w:name="_Toc15396614"/>
    </w:p>
    <w:p w14:paraId="56F7497F">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p>
    <w:p w14:paraId="6D3D348B">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p>
    <w:p w14:paraId="31E4A867">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p>
    <w:p w14:paraId="29DBC46A">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p>
    <w:p w14:paraId="5E23EA82">
      <w:pPr>
        <w:pageBreakBefore w:val="0"/>
        <w:kinsoku/>
        <w:wordWrap/>
        <w:overflowPunct/>
        <w:topLinePunct w:val="0"/>
        <w:bidi w:val="0"/>
        <w:spacing w:line="600" w:lineRule="exact"/>
        <w:ind w:left="0" w:leftChars="0"/>
        <w:jc w:val="center"/>
        <w:outlineLvl w:val="0"/>
        <w:rPr>
          <w:rFonts w:hint="eastAsia" w:ascii="黑体" w:hAnsi="黑体" w:eastAsia="黑体"/>
          <w:color w:val="000000"/>
          <w:sz w:val="44"/>
          <w:szCs w:val="44"/>
        </w:rPr>
      </w:pPr>
    </w:p>
    <w:p w14:paraId="4B2A0BB0">
      <w:pPr>
        <w:pageBreakBefore w:val="0"/>
        <w:kinsoku/>
        <w:wordWrap/>
        <w:overflowPunct/>
        <w:topLinePunct w:val="0"/>
        <w:bidi w:val="0"/>
        <w:spacing w:line="600" w:lineRule="exact"/>
        <w:ind w:left="0" w:leftChars="0"/>
        <w:jc w:val="center"/>
        <w:outlineLvl w:val="0"/>
        <w:rPr>
          <w:rStyle w:val="18"/>
          <w:rFonts w:ascii="黑体" w:hAnsi="黑体" w:eastAsia="黑体"/>
          <w:b w:val="0"/>
        </w:rPr>
      </w:pPr>
      <w:r>
        <w:rPr>
          <w:rFonts w:hint="eastAsia" w:ascii="黑体" w:hAnsi="黑体" w:eastAsia="黑体"/>
          <w:color w:val="000000"/>
          <w:sz w:val="44"/>
          <w:szCs w:val="44"/>
        </w:rPr>
        <w:t>第</w:t>
      </w:r>
      <w:r>
        <w:rPr>
          <w:rStyle w:val="18"/>
          <w:rFonts w:hint="eastAsia" w:ascii="黑体" w:hAnsi="黑体" w:eastAsia="黑体"/>
          <w:b w:val="0"/>
        </w:rPr>
        <w:t>四部分 附件</w:t>
      </w:r>
      <w:bookmarkEnd w:id="16"/>
    </w:p>
    <w:p w14:paraId="14ED2A6C">
      <w:pPr>
        <w:pageBreakBefore w:val="0"/>
        <w:kinsoku/>
        <w:wordWrap/>
        <w:overflowPunct/>
        <w:topLinePunct w:val="0"/>
        <w:bidi w:val="0"/>
        <w:spacing w:line="600" w:lineRule="exact"/>
        <w:ind w:left="0" w:leftChars="0"/>
        <w:jc w:val="center"/>
        <w:outlineLvl w:val="0"/>
        <w:rPr>
          <w:rStyle w:val="18"/>
        </w:rPr>
      </w:pPr>
    </w:p>
    <w:p w14:paraId="0097076E">
      <w:pPr>
        <w:pStyle w:val="5"/>
        <w:pageBreakBefore w:val="0"/>
        <w:kinsoku/>
        <w:wordWrap/>
        <w:overflowPunct/>
        <w:topLinePunct w:val="0"/>
        <w:bidi w:val="0"/>
        <w:spacing w:before="0" w:after="0" w:line="600" w:lineRule="exact"/>
        <w:ind w:left="0" w:leftChars="0"/>
        <w:rPr>
          <w:rStyle w:val="18"/>
          <w:rFonts w:ascii="仿宋" w:hAnsi="仿宋" w:eastAsia="仿宋"/>
          <w:b w:val="0"/>
          <w:bCs w:val="0"/>
          <w:sz w:val="32"/>
          <w:szCs w:val="32"/>
        </w:rPr>
      </w:pPr>
      <w:bookmarkStart w:id="17" w:name="_Toc15396615"/>
      <w:r>
        <w:rPr>
          <w:rStyle w:val="18"/>
          <w:rFonts w:hint="eastAsia" w:ascii="仿宋" w:hAnsi="仿宋" w:eastAsia="仿宋"/>
          <w:b w:val="0"/>
          <w:bCs w:val="0"/>
          <w:sz w:val="32"/>
          <w:szCs w:val="32"/>
        </w:rPr>
        <w:t>附件1</w:t>
      </w:r>
      <w:bookmarkEnd w:id="17"/>
    </w:p>
    <w:p w14:paraId="28A3A043">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ascii="黑体" w:hAnsi="黑体" w:eastAsia="黑体" w:cs="方正小标宋简体"/>
          <w:sz w:val="36"/>
          <w:szCs w:val="36"/>
        </w:rPr>
      </w:pPr>
      <w:bookmarkStart w:id="18" w:name="_Toc15396616"/>
      <w:r>
        <w:rPr>
          <w:rFonts w:hint="eastAsia" w:ascii="黑体" w:hAnsi="黑体" w:eastAsia="黑体" w:cs="方正小标宋简体"/>
          <w:sz w:val="36"/>
          <w:szCs w:val="36"/>
        </w:rPr>
        <w:t>201</w:t>
      </w:r>
      <w:r>
        <w:rPr>
          <w:rFonts w:hint="eastAsia" w:ascii="黑体" w:hAnsi="黑体" w:eastAsia="黑体" w:cs="方正小标宋简体"/>
          <w:sz w:val="36"/>
          <w:szCs w:val="36"/>
          <w:lang w:val="en-US" w:eastAsia="zh-CN"/>
        </w:rPr>
        <w:t>9</w:t>
      </w:r>
      <w:r>
        <w:rPr>
          <w:rFonts w:hint="eastAsia" w:ascii="黑体" w:hAnsi="黑体" w:eastAsia="黑体" w:cs="方正小标宋简体"/>
          <w:sz w:val="36"/>
          <w:szCs w:val="36"/>
        </w:rPr>
        <w:t>年部门整体支出绩效评价报告</w:t>
      </w:r>
      <w:bookmarkEnd w:id="18"/>
    </w:p>
    <w:p w14:paraId="4C614248">
      <w:pPr>
        <w:pStyle w:val="10"/>
        <w:keepNext w:val="0"/>
        <w:keepLines w:val="0"/>
        <w:pageBreakBefore w:val="0"/>
        <w:widowControl/>
        <w:numPr>
          <w:ilvl w:val="0"/>
          <w:numId w:val="2"/>
        </w:numPr>
        <w:suppressLineNumbers w:val="0"/>
        <w:shd w:val="clear" w:fill="FFFFFF"/>
        <w:kinsoku/>
        <w:wordWrap/>
        <w:overflowPunct/>
        <w:topLinePunct w:val="0"/>
        <w:autoSpaceDE/>
        <w:autoSpaceDN/>
        <w:bidi w:val="0"/>
        <w:adjustRightInd/>
        <w:spacing w:before="0" w:beforeAutospacing="0" w:after="0" w:afterAutospacing="0" w:line="600" w:lineRule="exact"/>
        <w:ind w:left="0" w:leftChars="0" w:firstLine="645"/>
        <w:textAlignment w:val="auto"/>
        <w:rPr>
          <w:rFonts w:ascii="黑体" w:hAnsi="宋体" w:eastAsia="黑体" w:cs="黑体"/>
          <w:i w:val="0"/>
          <w:caps w:val="0"/>
          <w:color w:val="161616"/>
          <w:spacing w:val="0"/>
          <w:sz w:val="31"/>
          <w:szCs w:val="31"/>
          <w:shd w:val="clear" w:fill="FFFFFF"/>
        </w:rPr>
      </w:pPr>
      <w:r>
        <w:rPr>
          <w:rFonts w:ascii="黑体" w:hAnsi="宋体" w:eastAsia="黑体" w:cs="黑体"/>
          <w:i w:val="0"/>
          <w:caps w:val="0"/>
          <w:color w:val="161616"/>
          <w:spacing w:val="0"/>
          <w:sz w:val="31"/>
          <w:szCs w:val="31"/>
          <w:shd w:val="clear" w:fill="FFFFFF"/>
        </w:rPr>
        <w:t>部门（单位）概况</w:t>
      </w:r>
    </w:p>
    <w:p w14:paraId="588784A9">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pacing w:before="0" w:beforeAutospacing="0" w:after="0" w:afterAutospacing="0" w:line="600" w:lineRule="exact"/>
        <w:ind w:left="0" w:leftChars="0"/>
        <w:textAlignment w:val="auto"/>
        <w:rPr>
          <w:rFonts w:hint="eastAsia" w:ascii="微软雅黑" w:hAnsi="微软雅黑" w:eastAsia="微软雅黑" w:cs="微软雅黑"/>
          <w:i w:val="0"/>
          <w:caps w:val="0"/>
          <w:color w:val="161616"/>
          <w:spacing w:val="0"/>
          <w:sz w:val="20"/>
          <w:szCs w:val="20"/>
        </w:rPr>
      </w:pPr>
      <w:r>
        <w:rPr>
          <w:rFonts w:ascii="楷体" w:hAnsi="楷体" w:eastAsia="楷体" w:cs="楷体"/>
          <w:i w:val="0"/>
          <w:caps w:val="0"/>
          <w:color w:val="161616"/>
          <w:spacing w:val="0"/>
          <w:sz w:val="31"/>
          <w:szCs w:val="31"/>
          <w:shd w:val="clear" w:fill="FFFFFF"/>
        </w:rPr>
        <w:t>（一）机构组成。</w:t>
      </w:r>
    </w:p>
    <w:p w14:paraId="48864938">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color w:val="000000"/>
          <w:sz w:val="32"/>
          <w:szCs w:val="32"/>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w:t>
      </w:r>
      <w:r>
        <w:rPr>
          <w:rFonts w:hint="eastAsia" w:ascii="仿宋_GB2312" w:hAnsi="仿宋_GB2312" w:eastAsia="仿宋_GB2312" w:cs="仿宋_GB2312"/>
          <w:bCs/>
          <w:sz w:val="32"/>
          <w:szCs w:val="32"/>
        </w:rPr>
        <w:t>一级预算单位。</w:t>
      </w:r>
    </w:p>
    <w:p w14:paraId="1F6CF293">
      <w:pPr>
        <w:pStyle w:val="2"/>
        <w:pageBreakBefore w:val="0"/>
        <w:numPr>
          <w:ilvl w:val="0"/>
          <w:numId w:val="3"/>
        </w:numPr>
        <w:kinsoku/>
        <w:wordWrap/>
        <w:overflowPunct/>
        <w:topLinePunct w:val="0"/>
        <w:autoSpaceDE/>
        <w:autoSpaceDN/>
        <w:bidi w:val="0"/>
        <w:adjustRightInd/>
        <w:spacing w:beforeAutospacing="0" w:afterAutospacing="0" w:line="600" w:lineRule="exact"/>
        <w:ind w:left="0" w:leftChars="0"/>
        <w:textAlignment w:val="auto"/>
        <w:rPr>
          <w:rFonts w:ascii="楷体" w:hAnsi="楷体" w:eastAsia="楷体" w:cs="楷体"/>
          <w:i w:val="0"/>
          <w:caps w:val="0"/>
          <w:color w:val="161616"/>
          <w:spacing w:val="0"/>
          <w:sz w:val="31"/>
          <w:szCs w:val="31"/>
          <w:shd w:val="clear" w:fill="FFFFFF"/>
        </w:rPr>
      </w:pPr>
      <w:r>
        <w:rPr>
          <w:rFonts w:ascii="楷体" w:hAnsi="楷体" w:eastAsia="楷体" w:cs="楷体"/>
          <w:i w:val="0"/>
          <w:caps w:val="0"/>
          <w:color w:val="161616"/>
          <w:spacing w:val="0"/>
          <w:sz w:val="31"/>
          <w:szCs w:val="31"/>
          <w:shd w:val="clear" w:fill="FFFFFF"/>
        </w:rPr>
        <w:t>机构职能。</w:t>
      </w:r>
    </w:p>
    <w:p w14:paraId="4381086F">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w:t>
      </w:r>
      <w:r>
        <w:rPr>
          <w:rFonts w:hint="eastAsia" w:ascii="仿宋_GB2312" w:hAnsi="仿宋_GB2312" w:eastAsia="仿宋_GB2312" w:cs="仿宋_GB2312"/>
          <w:bCs/>
          <w:color w:val="000000"/>
          <w:sz w:val="32"/>
          <w:szCs w:val="32"/>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346DC951">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2.</w:t>
      </w:r>
      <w:r>
        <w:rPr>
          <w:rFonts w:hint="eastAsia" w:ascii="仿宋_GB2312" w:hAnsi="仿宋_GB2312" w:eastAsia="仿宋_GB2312" w:cs="仿宋_GB2312"/>
          <w:bCs/>
          <w:color w:val="000000"/>
          <w:sz w:val="32"/>
          <w:szCs w:val="32"/>
        </w:rPr>
        <w:t>研究拟订统一战线工作的政策草案并推动落实，深入调查研究，及时向区委报告统一战线工作情况并提出建议；统筹协调和指导各乡镇（街道）、各部门（单位）统一战线工作。</w:t>
      </w:r>
    </w:p>
    <w:p w14:paraId="1305E8F4">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3.</w:t>
      </w:r>
      <w:r>
        <w:rPr>
          <w:rFonts w:hint="eastAsia" w:ascii="仿宋_GB2312" w:hAnsi="仿宋_GB2312" w:eastAsia="仿宋_GB2312" w:cs="仿宋_GB2312"/>
          <w:bCs/>
          <w:color w:val="000000"/>
          <w:sz w:val="32"/>
          <w:szCs w:val="32"/>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64B900AC">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4.</w:t>
      </w:r>
      <w:r>
        <w:rPr>
          <w:rFonts w:hint="eastAsia" w:ascii="仿宋_GB2312" w:hAnsi="仿宋_GB2312" w:eastAsia="仿宋_GB2312" w:cs="仿宋_GB2312"/>
          <w:bCs/>
          <w:color w:val="000000"/>
          <w:sz w:val="32"/>
          <w:szCs w:val="32"/>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6F52FDDF">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5.</w:t>
      </w:r>
      <w:r>
        <w:rPr>
          <w:rFonts w:hint="eastAsia" w:ascii="仿宋_GB2312" w:hAnsi="仿宋_GB2312" w:eastAsia="仿宋_GB2312" w:cs="仿宋_GB2312"/>
          <w:bCs/>
          <w:color w:val="000000"/>
          <w:sz w:val="32"/>
          <w:szCs w:val="32"/>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00C382CE">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6.</w:t>
      </w:r>
      <w:r>
        <w:rPr>
          <w:rFonts w:hint="eastAsia" w:ascii="仿宋_GB2312" w:hAnsi="仿宋_GB2312" w:eastAsia="仿宋_GB2312" w:cs="仿宋_GB2312"/>
          <w:bCs/>
          <w:color w:val="000000"/>
          <w:sz w:val="32"/>
          <w:szCs w:val="32"/>
        </w:rPr>
        <w:t>贯彻落实党的民族工作方针，研究拟订民族工作中的政策和重大措施，协调处理民族工作中的重大问题，统筹协调做好少数民族干部工作。依法管理民族事务，全面促进民族事业发展。</w:t>
      </w:r>
    </w:p>
    <w:p w14:paraId="579F464B">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7.</w:t>
      </w:r>
      <w:r>
        <w:rPr>
          <w:rFonts w:hint="eastAsia" w:ascii="仿宋_GB2312" w:hAnsi="仿宋_GB2312" w:eastAsia="仿宋_GB2312" w:cs="仿宋_GB2312"/>
          <w:bCs/>
          <w:color w:val="000000"/>
          <w:sz w:val="32"/>
          <w:szCs w:val="32"/>
        </w:rPr>
        <w:t>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14:paraId="7155AD6C">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8.</w:t>
      </w:r>
      <w:r>
        <w:rPr>
          <w:rFonts w:hint="eastAsia" w:ascii="仿宋_GB2312" w:hAnsi="仿宋_GB2312" w:eastAsia="仿宋_GB2312" w:cs="仿宋_GB2312"/>
          <w:bCs/>
          <w:color w:val="000000"/>
          <w:sz w:val="32"/>
          <w:szCs w:val="32"/>
        </w:rPr>
        <w:t>规范民间信仰活动，依法管理民间信仰，维护民间信仰信众的合法权益；挖掘民间信仰中的优秀传统文化资源，引导民间信仰信众爱国守法、团结友善、服务社会、维护和谐。</w:t>
      </w:r>
    </w:p>
    <w:p w14:paraId="6705DA8E">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9.</w:t>
      </w:r>
      <w:r>
        <w:rPr>
          <w:rFonts w:hint="eastAsia" w:ascii="仿宋_GB2312" w:hAnsi="仿宋_GB2312" w:eastAsia="仿宋_GB2312" w:cs="仿宋_GB2312"/>
          <w:bCs/>
          <w:color w:val="000000"/>
          <w:sz w:val="32"/>
          <w:szCs w:val="32"/>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7F9F2119">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10.</w:t>
      </w:r>
      <w:r>
        <w:rPr>
          <w:rFonts w:hint="eastAsia" w:ascii="仿宋_GB2312" w:hAnsi="仿宋_GB2312" w:eastAsia="仿宋_GB2312" w:cs="仿宋_GB2312"/>
          <w:bCs/>
          <w:color w:val="000000"/>
          <w:sz w:val="32"/>
          <w:szCs w:val="32"/>
        </w:rPr>
        <w:t>负责联系、培养新的社会阶层代表人士，支持、帮助新的社会阶层人士加强自身建设、发挥作用。调查研究全区新的社会阶层人士情况并提出政策建议，开展思想政治工作，指导社会组织开展新的社会阶层人士统战工作。</w:t>
      </w:r>
    </w:p>
    <w:p w14:paraId="709E0938">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11.</w:t>
      </w:r>
      <w:r>
        <w:rPr>
          <w:rFonts w:hint="eastAsia" w:ascii="仿宋_GB2312" w:hAnsi="仿宋_GB2312" w:eastAsia="仿宋_GB2312" w:cs="仿宋_GB2312"/>
          <w:bCs/>
          <w:color w:val="000000"/>
          <w:sz w:val="32"/>
          <w:szCs w:val="32"/>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73DC23DF">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12.</w:t>
      </w:r>
      <w:r>
        <w:rPr>
          <w:rFonts w:hint="eastAsia" w:ascii="仿宋_GB2312" w:hAnsi="仿宋_GB2312" w:eastAsia="仿宋_GB2312" w:cs="仿宋_GB2312"/>
          <w:bCs/>
          <w:color w:val="000000"/>
          <w:sz w:val="32"/>
          <w:szCs w:val="32"/>
        </w:rPr>
        <w:t>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14:paraId="1DCA9C0E">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13.</w:t>
      </w:r>
      <w:r>
        <w:rPr>
          <w:rFonts w:hint="eastAsia" w:ascii="仿宋_GB2312" w:hAnsi="仿宋_GB2312" w:eastAsia="仿宋_GB2312" w:cs="仿宋_GB2312"/>
          <w:bCs/>
          <w:color w:val="000000"/>
          <w:sz w:val="32"/>
          <w:szCs w:val="32"/>
        </w:rPr>
        <w:t>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14:paraId="034C30EC">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14.</w:t>
      </w:r>
      <w:r>
        <w:rPr>
          <w:rFonts w:hint="eastAsia" w:ascii="仿宋_GB2312" w:hAnsi="仿宋_GB2312" w:eastAsia="仿宋_GB2312" w:cs="仿宋_GB2312"/>
          <w:bCs/>
          <w:color w:val="000000"/>
          <w:sz w:val="32"/>
          <w:szCs w:val="32"/>
        </w:rPr>
        <w:t>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0C11AF9A">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15.</w:t>
      </w:r>
      <w:r>
        <w:rPr>
          <w:rFonts w:hint="eastAsia" w:ascii="仿宋_GB2312" w:hAnsi="仿宋_GB2312" w:eastAsia="仿宋_GB2312" w:cs="仿宋_GB2312"/>
          <w:bCs/>
          <w:color w:val="000000"/>
          <w:sz w:val="32"/>
          <w:szCs w:val="32"/>
        </w:rPr>
        <w:t>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14:paraId="5D342DD5">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16.</w:t>
      </w:r>
      <w:r>
        <w:rPr>
          <w:rFonts w:hint="eastAsia" w:ascii="仿宋_GB2312" w:hAnsi="仿宋_GB2312" w:eastAsia="仿宋_GB2312" w:cs="仿宋_GB2312"/>
          <w:bCs/>
          <w:color w:val="000000"/>
          <w:sz w:val="32"/>
          <w:szCs w:val="32"/>
        </w:rPr>
        <w:t>完成区委交办的其他任务。</w:t>
      </w:r>
    </w:p>
    <w:p w14:paraId="2F8B4F91">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ascii="楷体" w:hAnsi="楷体" w:eastAsia="楷体" w:cs="楷体"/>
          <w:b/>
          <w:bCs/>
          <w:i w:val="0"/>
          <w:caps w:val="0"/>
          <w:color w:val="161616"/>
          <w:spacing w:val="0"/>
          <w:sz w:val="31"/>
          <w:szCs w:val="31"/>
          <w:shd w:val="clear" w:fill="FFFFFF"/>
        </w:rPr>
      </w:pPr>
      <w:r>
        <w:rPr>
          <w:rFonts w:ascii="楷体" w:hAnsi="楷体" w:eastAsia="楷体" w:cs="楷体"/>
          <w:b/>
          <w:bCs/>
          <w:i w:val="0"/>
          <w:caps w:val="0"/>
          <w:color w:val="161616"/>
          <w:spacing w:val="0"/>
          <w:sz w:val="31"/>
          <w:szCs w:val="31"/>
          <w:shd w:val="clear" w:fill="FFFFFF"/>
        </w:rPr>
        <w:t>（三）人员概况。</w:t>
      </w:r>
    </w:p>
    <w:p w14:paraId="14C30858">
      <w:pPr>
        <w:pageBreakBefore w:val="0"/>
        <w:tabs>
          <w:tab w:val="left" w:pos="962"/>
          <w:tab w:val="left" w:pos="6565"/>
        </w:tabs>
        <w:kinsoku/>
        <w:wordWrap/>
        <w:overflowPunct/>
        <w:topLinePunct w:val="0"/>
        <w:autoSpaceDE/>
        <w:autoSpaceDN/>
        <w:bidi w:val="0"/>
        <w:adjustRightInd/>
        <w:snapToGrid w:val="0"/>
        <w:spacing w:beforeAutospacing="0" w:afterAutospacing="0" w:line="600" w:lineRule="exact"/>
        <w:ind w:left="0" w:leftChars="0" w:firstLine="640" w:firstLineChars="200"/>
        <w:textAlignment w:val="auto"/>
        <w:rPr>
          <w:rFonts w:ascii="仿宋_GB2312" w:hAnsi="仿宋_GB2312" w:eastAsia="仿宋_GB2312" w:cs="仿宋_GB2312"/>
          <w:bCs/>
          <w:sz w:val="32"/>
          <w:szCs w:val="32"/>
        </w:rPr>
      </w:pPr>
      <w:r>
        <w:rPr>
          <w:rFonts w:hint="eastAsia" w:ascii="仿宋_GB2312" w:hAnsi="仿宋" w:eastAsia="仿宋_GB2312"/>
          <w:sz w:val="32"/>
          <w:szCs w:val="32"/>
        </w:rPr>
        <w:t>区委统战部</w:t>
      </w:r>
      <w:r>
        <w:rPr>
          <w:rFonts w:hint="eastAsia" w:ascii="仿宋_GB2312" w:hAnsi="仿宋_GB2312" w:eastAsia="仿宋_GB2312" w:cs="仿宋_GB2312"/>
          <w:bCs/>
          <w:sz w:val="32"/>
          <w:szCs w:val="32"/>
        </w:rPr>
        <w:t>现共有编制8人，其中行政编制7人，事业编制1人。2019年预算实有在职编制内人员8人，其中行政编制7人（副县级领导干部1人，职务职级并行副县级干部2人，正科级领导干部3人，副科级领导干部1人），事业编制1人，均为财政全额供给行政人员。退休2人，系行政人员。</w:t>
      </w:r>
    </w:p>
    <w:p w14:paraId="6C6D5EA5">
      <w:pPr>
        <w:pStyle w:val="2"/>
        <w:pageBreakBefore w:val="0"/>
        <w:numPr>
          <w:ilvl w:val="0"/>
          <w:numId w:val="4"/>
        </w:numPr>
        <w:kinsoku/>
        <w:wordWrap/>
        <w:overflowPunct/>
        <w:topLinePunct w:val="0"/>
        <w:autoSpaceDE/>
        <w:autoSpaceDN/>
        <w:bidi w:val="0"/>
        <w:adjustRightInd/>
        <w:spacing w:beforeAutospacing="0" w:afterAutospacing="0" w:line="600" w:lineRule="exact"/>
        <w:ind w:left="0" w:leftChars="0"/>
        <w:textAlignment w:val="auto"/>
        <w:rPr>
          <w:rFonts w:ascii="黑体" w:hAnsi="宋体" w:eastAsia="黑体" w:cs="黑体"/>
          <w:i w:val="0"/>
          <w:caps w:val="0"/>
          <w:color w:val="161616"/>
          <w:spacing w:val="0"/>
          <w:sz w:val="31"/>
          <w:szCs w:val="31"/>
          <w:shd w:val="clear" w:fill="FFFFFF"/>
        </w:rPr>
      </w:pPr>
      <w:r>
        <w:rPr>
          <w:rFonts w:ascii="黑体" w:hAnsi="宋体" w:eastAsia="黑体" w:cs="黑体"/>
          <w:i w:val="0"/>
          <w:caps w:val="0"/>
          <w:color w:val="161616"/>
          <w:spacing w:val="0"/>
          <w:sz w:val="31"/>
          <w:szCs w:val="31"/>
          <w:shd w:val="clear" w:fill="FFFFFF"/>
        </w:rPr>
        <w:t>部门财政资金收支情况</w:t>
      </w:r>
    </w:p>
    <w:p w14:paraId="6CD25954">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仿宋_GB2312" w:eastAsia="仿宋_GB2312"/>
          <w:b/>
          <w:bCs/>
          <w:color w:val="000000"/>
          <w:sz w:val="32"/>
          <w:szCs w:val="32"/>
        </w:rPr>
      </w:pPr>
      <w:r>
        <w:rPr>
          <w:rFonts w:ascii="楷体" w:hAnsi="楷体" w:eastAsia="楷体" w:cs="楷体"/>
          <w:b/>
          <w:bCs/>
          <w:i w:val="0"/>
          <w:caps w:val="0"/>
          <w:color w:val="161616"/>
          <w:spacing w:val="0"/>
          <w:sz w:val="31"/>
          <w:szCs w:val="31"/>
          <w:shd w:val="clear" w:fill="FFFFFF"/>
        </w:rPr>
        <w:t>（一）部门财政资金收入情况。</w:t>
      </w:r>
    </w:p>
    <w:p w14:paraId="2B6FDAB3">
      <w:pPr>
        <w:pageBreakBefore w:val="0"/>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eastAsia="仿宋_GB2312"/>
          <w:color w:val="000000"/>
          <w:sz w:val="32"/>
          <w:szCs w:val="32"/>
        </w:rPr>
      </w:pPr>
      <w:r>
        <w:rPr>
          <w:rFonts w:hint="eastAsia" w:ascii="仿宋_GB2312" w:eastAsia="仿宋_GB2312"/>
          <w:color w:val="000000"/>
          <w:sz w:val="32"/>
          <w:szCs w:val="32"/>
        </w:rPr>
        <w:t>2019年区委统战部财政拨款收入合计259.31万元，均为财政拨款收入，占100%。与2018年财政拨款收入201.43万元相比，增加57.88万元，增加28.73%。主要原因是增加目标奖资金、宗教事务项目工作和人员增加。</w:t>
      </w:r>
    </w:p>
    <w:p w14:paraId="325BFB16">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ascii="楷体" w:hAnsi="楷体" w:eastAsia="楷体" w:cs="楷体"/>
          <w:b/>
          <w:bCs/>
          <w:i w:val="0"/>
          <w:caps w:val="0"/>
          <w:color w:val="161616"/>
          <w:spacing w:val="0"/>
          <w:sz w:val="31"/>
          <w:szCs w:val="31"/>
          <w:shd w:val="clear" w:fill="FFFFFF"/>
        </w:rPr>
      </w:pPr>
      <w:r>
        <w:rPr>
          <w:rFonts w:hint="eastAsia" w:ascii="楷体" w:hAnsi="楷体" w:eastAsia="楷体" w:cs="楷体"/>
          <w:b/>
          <w:bCs/>
          <w:i w:val="0"/>
          <w:caps w:val="0"/>
          <w:color w:val="161616"/>
          <w:spacing w:val="0"/>
          <w:sz w:val="31"/>
          <w:szCs w:val="31"/>
          <w:shd w:val="clear" w:fill="FFFFFF"/>
          <w:lang w:eastAsia="zh-CN"/>
        </w:rPr>
        <w:t>（三）</w:t>
      </w:r>
      <w:r>
        <w:rPr>
          <w:rFonts w:ascii="楷体" w:hAnsi="楷体" w:eastAsia="楷体" w:cs="楷体"/>
          <w:b/>
          <w:bCs/>
          <w:i w:val="0"/>
          <w:caps w:val="0"/>
          <w:color w:val="161616"/>
          <w:spacing w:val="0"/>
          <w:sz w:val="31"/>
          <w:szCs w:val="31"/>
          <w:shd w:val="clear" w:fill="FFFFFF"/>
        </w:rPr>
        <w:t>部门财政资金支出情况。</w:t>
      </w:r>
    </w:p>
    <w:p w14:paraId="3FBF64BA">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firstLine="640" w:firstLineChars="200"/>
        <w:textAlignment w:val="auto"/>
        <w:rPr>
          <w:rFonts w:hint="eastAsia" w:ascii="仿宋_GB2312" w:eastAsia="仿宋_GB2312"/>
          <w:color w:val="000000"/>
          <w:sz w:val="32"/>
          <w:szCs w:val="32"/>
          <w:lang w:eastAsia="zh-CN"/>
        </w:rPr>
      </w:pPr>
      <w:r>
        <w:rPr>
          <w:rFonts w:hint="eastAsia" w:ascii="仿宋_GB2312" w:hAnsi="Times New Roman" w:eastAsia="仿宋_GB2312" w:cs="Times New Roman"/>
          <w:color w:val="000000"/>
          <w:sz w:val="32"/>
          <w:szCs w:val="32"/>
        </w:rPr>
        <w:t>201</w:t>
      </w:r>
      <w:r>
        <w:rPr>
          <w:rFonts w:hint="eastAsia" w:ascii="仿宋_GB2312" w:hAnsi="Times New Roman" w:eastAsia="仿宋_GB2312" w:cs="Times New Roman"/>
          <w:color w:val="000000"/>
          <w:sz w:val="32"/>
          <w:szCs w:val="32"/>
          <w:lang w:val="en-US" w:eastAsia="zh-CN"/>
        </w:rPr>
        <w:t>9</w:t>
      </w:r>
      <w:r>
        <w:rPr>
          <w:rFonts w:hint="eastAsia" w:ascii="仿宋_GB2312" w:hAnsi="Times New Roman" w:eastAsia="仿宋_GB2312" w:cs="Times New Roman"/>
          <w:color w:val="000000"/>
          <w:sz w:val="32"/>
          <w:szCs w:val="32"/>
        </w:rPr>
        <w:t>年全年支出合计259.31万</w:t>
      </w:r>
      <w:r>
        <w:rPr>
          <w:rFonts w:hint="eastAsia" w:ascii="仿宋_GB2312" w:eastAsia="仿宋_GB2312"/>
          <w:color w:val="000000"/>
          <w:sz w:val="32"/>
          <w:szCs w:val="32"/>
        </w:rPr>
        <w:t>元</w:t>
      </w:r>
      <w:r>
        <w:rPr>
          <w:rFonts w:hint="eastAsia" w:ascii="仿宋_GB2312" w:eastAsia="仿宋_GB2312"/>
          <w:color w:val="000000"/>
          <w:sz w:val="32"/>
          <w:szCs w:val="32"/>
          <w:lang w:eastAsia="zh-CN"/>
        </w:rPr>
        <w:t>。</w:t>
      </w:r>
    </w:p>
    <w:p w14:paraId="67961AAF">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textAlignment w:val="auto"/>
        <w:rPr>
          <w:rFonts w:ascii="黑体" w:hAnsi="宋体" w:eastAsia="黑体" w:cs="黑体"/>
          <w:i w:val="0"/>
          <w:caps w:val="0"/>
          <w:color w:val="161616"/>
          <w:spacing w:val="0"/>
          <w:sz w:val="31"/>
          <w:szCs w:val="31"/>
          <w:shd w:val="clear" w:fill="FFFFFF"/>
        </w:rPr>
      </w:pPr>
      <w:r>
        <w:rPr>
          <w:rFonts w:ascii="黑体" w:hAnsi="宋体" w:eastAsia="黑体" w:cs="黑体"/>
          <w:i w:val="0"/>
          <w:caps w:val="0"/>
          <w:color w:val="161616"/>
          <w:spacing w:val="0"/>
          <w:sz w:val="31"/>
          <w:szCs w:val="31"/>
          <w:shd w:val="clear" w:fill="FFFFFF"/>
        </w:rPr>
        <w:t>三、部门整体预算绩效管理情况（根据适用指标体系进行调整）</w:t>
      </w:r>
    </w:p>
    <w:p w14:paraId="153E53AA">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楷体" w:hAnsi="楷体" w:eastAsia="楷体" w:cs="楷体"/>
          <w:b/>
          <w:bCs/>
          <w:i w:val="0"/>
          <w:caps w:val="0"/>
          <w:color w:val="161616"/>
          <w:spacing w:val="0"/>
          <w:sz w:val="31"/>
          <w:szCs w:val="31"/>
          <w:shd w:val="clear" w:fill="FFFFFF"/>
          <w:lang w:val="en-US" w:eastAsia="zh-CN"/>
        </w:rPr>
      </w:pPr>
      <w:r>
        <w:rPr>
          <w:rFonts w:hint="eastAsia" w:ascii="楷体" w:hAnsi="楷体" w:eastAsia="楷体" w:cs="楷体"/>
          <w:b/>
          <w:bCs/>
          <w:i w:val="0"/>
          <w:caps w:val="0"/>
          <w:color w:val="161616"/>
          <w:spacing w:val="0"/>
          <w:sz w:val="31"/>
          <w:szCs w:val="31"/>
          <w:shd w:val="clear" w:fill="FFFFFF"/>
          <w:lang w:val="en-US" w:eastAsia="zh-CN"/>
        </w:rPr>
        <w:t>（一）部门预算管理。</w:t>
      </w:r>
    </w:p>
    <w:p w14:paraId="0BE95C0C">
      <w:pPr>
        <w:pStyle w:val="10"/>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600" w:lineRule="exact"/>
        <w:ind w:left="0" w:leftChars="0" w:firstLine="645"/>
        <w:textAlignment w:val="auto"/>
        <w:rPr>
          <w:rFonts w:hint="eastAsia" w:ascii="仿宋_GB2312" w:hAnsi="Times New Roman" w:eastAsia="仿宋_GB2312" w:cs="Times New Roman"/>
          <w:color w:val="000000"/>
          <w:kern w:val="2"/>
          <w:sz w:val="32"/>
          <w:szCs w:val="32"/>
          <w:lang w:val="en-US" w:eastAsia="zh-CN" w:bidi="ar-SA"/>
        </w:rPr>
      </w:pPr>
      <w:r>
        <w:rPr>
          <w:rFonts w:hint="eastAsia" w:ascii="仿宋_GB2312" w:hAnsi="Times New Roman" w:eastAsia="仿宋_GB2312" w:cs="Times New Roman"/>
          <w:color w:val="000000"/>
          <w:kern w:val="2"/>
          <w:sz w:val="32"/>
          <w:szCs w:val="32"/>
          <w:lang w:val="en-US" w:eastAsia="zh-CN" w:bidi="ar-SA"/>
        </w:rPr>
        <w:t>根据区财政局的相关政策文件要求，2019年我部严格按照资金来源、用途使用资金；资金拨付有完整的审批程序和手续；资金使用无截留、挤占、挪用、虚列支出等情况。加强资金的使用管理，坚持厉行节约，反对奢侈浪费，按制度办事，确保每一分钱都落到实处，每一环节按程序进行。预决算信息公开及时：能按规定时间、内容在政府门户网站上公开预决算信息，并做到信息资料真实、准确。</w:t>
      </w:r>
    </w:p>
    <w:p w14:paraId="209B4F2D">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楷体" w:hAnsi="楷体" w:eastAsia="楷体" w:cs="楷体"/>
          <w:b/>
          <w:bCs/>
          <w:i w:val="0"/>
          <w:caps w:val="0"/>
          <w:color w:val="161616"/>
          <w:spacing w:val="0"/>
          <w:sz w:val="31"/>
          <w:szCs w:val="31"/>
          <w:shd w:val="clear" w:fill="FFFFFF"/>
          <w:lang w:val="en-US" w:eastAsia="zh-CN"/>
        </w:rPr>
      </w:pPr>
      <w:r>
        <w:rPr>
          <w:rFonts w:hint="eastAsia" w:ascii="楷体" w:hAnsi="楷体" w:eastAsia="楷体" w:cs="楷体"/>
          <w:b/>
          <w:bCs/>
          <w:i w:val="0"/>
          <w:caps w:val="0"/>
          <w:color w:val="161616"/>
          <w:spacing w:val="0"/>
          <w:sz w:val="31"/>
          <w:szCs w:val="31"/>
          <w:shd w:val="clear" w:fill="FFFFFF"/>
          <w:lang w:val="en-US" w:eastAsia="zh-CN"/>
        </w:rPr>
        <w:t>（二）结果应用情况。</w:t>
      </w:r>
    </w:p>
    <w:p w14:paraId="38B9F4B9">
      <w:pPr>
        <w:pStyle w:val="10"/>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600" w:lineRule="exact"/>
        <w:ind w:left="0" w:leftChars="0" w:firstLine="645"/>
        <w:textAlignment w:val="auto"/>
        <w:rPr>
          <w:rFonts w:hint="eastAsia" w:ascii="仿宋_GB2312" w:hAnsi="Times New Roman" w:eastAsia="仿宋_GB2312" w:cs="Times New Roman"/>
          <w:color w:val="000000"/>
          <w:kern w:val="2"/>
          <w:sz w:val="32"/>
          <w:szCs w:val="32"/>
          <w:lang w:val="en-US" w:eastAsia="zh-CN" w:bidi="ar-SA"/>
        </w:rPr>
      </w:pPr>
      <w:r>
        <w:rPr>
          <w:rFonts w:hint="eastAsia" w:ascii="仿宋_GB2312" w:hAnsi="Times New Roman" w:eastAsia="仿宋_GB2312" w:cs="Times New Roman"/>
          <w:color w:val="000000"/>
          <w:kern w:val="2"/>
          <w:sz w:val="32"/>
          <w:szCs w:val="32"/>
          <w:lang w:val="en-US" w:eastAsia="zh-CN" w:bidi="ar-SA"/>
        </w:rPr>
        <w:t>通过加强预算收支管理，不断建立健全内部管理制度，梳理内部管理流程，部门整体支出管理情况得到提升。</w:t>
      </w:r>
    </w:p>
    <w:p w14:paraId="5CB5D7C9">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textAlignment w:val="auto"/>
        <w:rPr>
          <w:rFonts w:hint="eastAsia" w:ascii="黑体" w:hAnsi="宋体" w:eastAsia="黑体" w:cs="黑体"/>
          <w:i w:val="0"/>
          <w:caps w:val="0"/>
          <w:color w:val="161616"/>
          <w:spacing w:val="0"/>
          <w:sz w:val="31"/>
          <w:szCs w:val="31"/>
          <w:shd w:val="clear" w:fill="FFFFFF"/>
        </w:rPr>
      </w:pPr>
      <w:r>
        <w:rPr>
          <w:rFonts w:hint="eastAsia" w:ascii="黑体" w:hAnsi="宋体" w:eastAsia="黑体" w:cs="黑体"/>
          <w:i w:val="0"/>
          <w:caps w:val="0"/>
          <w:color w:val="161616"/>
          <w:spacing w:val="0"/>
          <w:sz w:val="31"/>
          <w:szCs w:val="31"/>
          <w:shd w:val="clear" w:fill="FFFFFF"/>
        </w:rPr>
        <w:t>四、评价结论及建议</w:t>
      </w:r>
    </w:p>
    <w:p w14:paraId="227478FE">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楷体" w:hAnsi="楷体" w:eastAsia="楷体" w:cs="楷体"/>
          <w:b/>
          <w:bCs/>
          <w:i w:val="0"/>
          <w:caps w:val="0"/>
          <w:color w:val="161616"/>
          <w:spacing w:val="0"/>
          <w:sz w:val="31"/>
          <w:szCs w:val="31"/>
          <w:shd w:val="clear" w:fill="FFFFFF"/>
          <w:lang w:val="en-US" w:eastAsia="zh-CN"/>
        </w:rPr>
      </w:pPr>
      <w:r>
        <w:rPr>
          <w:rFonts w:hint="eastAsia" w:ascii="楷体" w:hAnsi="楷体" w:eastAsia="楷体" w:cs="楷体"/>
          <w:b/>
          <w:bCs/>
          <w:i w:val="0"/>
          <w:caps w:val="0"/>
          <w:color w:val="161616"/>
          <w:spacing w:val="0"/>
          <w:sz w:val="31"/>
          <w:szCs w:val="31"/>
          <w:shd w:val="clear" w:fill="FFFFFF"/>
          <w:lang w:val="en-US" w:eastAsia="zh-CN"/>
        </w:rPr>
        <w:t>（一）评价结论。</w:t>
      </w:r>
    </w:p>
    <w:p w14:paraId="09CEDF37">
      <w:pPr>
        <w:pStyle w:val="10"/>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600" w:lineRule="exact"/>
        <w:ind w:left="0" w:leftChars="0" w:firstLine="645"/>
        <w:textAlignment w:val="auto"/>
        <w:rPr>
          <w:rFonts w:hint="eastAsia" w:ascii="微软雅黑" w:hAnsi="微软雅黑" w:eastAsia="微软雅黑" w:cs="微软雅黑"/>
          <w:i w:val="0"/>
          <w:caps w:val="0"/>
          <w:color w:val="161616"/>
          <w:spacing w:val="0"/>
          <w:sz w:val="20"/>
          <w:szCs w:val="20"/>
        </w:rPr>
      </w:pPr>
      <w:r>
        <w:rPr>
          <w:rFonts w:hint="eastAsia" w:ascii="仿宋" w:hAnsi="仿宋" w:eastAsia="仿宋" w:cs="仿宋"/>
          <w:i w:val="0"/>
          <w:caps w:val="0"/>
          <w:color w:val="161616"/>
          <w:spacing w:val="0"/>
          <w:sz w:val="31"/>
          <w:szCs w:val="31"/>
          <w:shd w:val="clear" w:fill="FFFFFF"/>
        </w:rPr>
        <w:t>预算执行方面，支出总额控制在预算总额以内。预算管理方面，制度执行总体较为有效。资产管理方面，建立了资产管理制度，定期进行了盘点和资产清理，总体执行较好。</w:t>
      </w:r>
    </w:p>
    <w:p w14:paraId="4BEB92E2">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楷体" w:hAnsi="楷体" w:eastAsia="楷体" w:cs="楷体"/>
          <w:b/>
          <w:bCs/>
          <w:i w:val="0"/>
          <w:caps w:val="0"/>
          <w:color w:val="161616"/>
          <w:spacing w:val="0"/>
          <w:sz w:val="31"/>
          <w:szCs w:val="31"/>
          <w:shd w:val="clear" w:fill="FFFFFF"/>
          <w:lang w:val="en-US" w:eastAsia="zh-CN"/>
        </w:rPr>
      </w:pPr>
      <w:r>
        <w:rPr>
          <w:rFonts w:hint="eastAsia" w:ascii="楷体" w:hAnsi="楷体" w:eastAsia="楷体" w:cs="楷体"/>
          <w:b/>
          <w:bCs/>
          <w:i w:val="0"/>
          <w:caps w:val="0"/>
          <w:color w:val="161616"/>
          <w:spacing w:val="0"/>
          <w:sz w:val="31"/>
          <w:szCs w:val="31"/>
          <w:shd w:val="clear" w:fill="FFFFFF"/>
          <w:lang w:val="en-US" w:eastAsia="zh-CN"/>
        </w:rPr>
        <w:t>（二）存在问题。</w:t>
      </w:r>
    </w:p>
    <w:p w14:paraId="58F92A1C">
      <w:pPr>
        <w:pStyle w:val="2"/>
        <w:pageBreakBefore w:val="0"/>
        <w:kinsoku/>
        <w:wordWrap/>
        <w:overflowPunct/>
        <w:topLinePunct w:val="0"/>
        <w:autoSpaceDE/>
        <w:autoSpaceDN/>
        <w:bidi w:val="0"/>
        <w:adjustRightInd/>
        <w:spacing w:beforeAutospacing="0" w:afterAutospacing="0" w:line="600" w:lineRule="exact"/>
        <w:ind w:left="0" w:leftChars="0" w:firstLine="640"/>
        <w:textAlignment w:val="auto"/>
        <w:rPr>
          <w:rFonts w:hint="eastAsia" w:ascii="微软雅黑" w:hAnsi="微软雅黑" w:eastAsia="微软雅黑" w:cs="微软雅黑"/>
          <w:i w:val="0"/>
          <w:caps w:val="0"/>
          <w:color w:val="161616"/>
          <w:spacing w:val="0"/>
          <w:sz w:val="20"/>
          <w:szCs w:val="20"/>
        </w:rPr>
      </w:pPr>
      <w:r>
        <w:rPr>
          <w:rFonts w:hint="eastAsia" w:ascii="仿宋_GB2312" w:hAnsi="仿宋" w:eastAsia="仿宋_GB2312"/>
          <w:sz w:val="32"/>
          <w:szCs w:val="32"/>
        </w:rPr>
        <w:t>区委统战部重点经济分类支出中在经济科目分类中还需进一步优化，</w:t>
      </w:r>
      <w:r>
        <w:rPr>
          <w:rFonts w:hint="eastAsia" w:ascii="仿宋" w:hAnsi="仿宋" w:eastAsia="仿宋" w:cs="仿宋"/>
          <w:i w:val="0"/>
          <w:caps w:val="0"/>
          <w:color w:val="161616"/>
          <w:spacing w:val="0"/>
          <w:sz w:val="31"/>
          <w:szCs w:val="31"/>
          <w:shd w:val="clear" w:fill="FFFFFF"/>
        </w:rPr>
        <w:t>财务制度执行力有待加强，资金使用计划有待细化。</w:t>
      </w:r>
    </w:p>
    <w:p w14:paraId="230657F9">
      <w:pPr>
        <w:pageBreakBefore w:val="0"/>
        <w:kinsoku/>
        <w:wordWrap/>
        <w:overflowPunct/>
        <w:topLinePunct w:val="0"/>
        <w:autoSpaceDE/>
        <w:autoSpaceDN/>
        <w:bidi w:val="0"/>
        <w:adjustRightInd/>
        <w:spacing w:beforeAutospacing="0" w:afterAutospacing="0" w:line="600" w:lineRule="exact"/>
        <w:ind w:left="0" w:leftChars="0" w:firstLine="622" w:firstLineChars="200"/>
        <w:textAlignment w:val="auto"/>
        <w:rPr>
          <w:rFonts w:hint="eastAsia" w:ascii="楷体" w:hAnsi="楷体" w:eastAsia="楷体" w:cs="楷体"/>
          <w:b/>
          <w:bCs/>
          <w:i w:val="0"/>
          <w:caps w:val="0"/>
          <w:color w:val="161616"/>
          <w:spacing w:val="0"/>
          <w:sz w:val="31"/>
          <w:szCs w:val="31"/>
          <w:shd w:val="clear" w:fill="FFFFFF"/>
          <w:lang w:val="en-US" w:eastAsia="zh-CN"/>
        </w:rPr>
      </w:pPr>
      <w:r>
        <w:rPr>
          <w:rFonts w:hint="eastAsia" w:ascii="楷体" w:hAnsi="楷体" w:eastAsia="楷体" w:cs="楷体"/>
          <w:b/>
          <w:bCs/>
          <w:i w:val="0"/>
          <w:caps w:val="0"/>
          <w:color w:val="161616"/>
          <w:spacing w:val="0"/>
          <w:sz w:val="31"/>
          <w:szCs w:val="31"/>
          <w:shd w:val="clear" w:fill="FFFFFF"/>
          <w:lang w:val="en-US" w:eastAsia="zh-CN"/>
        </w:rPr>
        <w:t>（三）改进建议。</w:t>
      </w:r>
    </w:p>
    <w:p w14:paraId="18F01679">
      <w:pPr>
        <w:pStyle w:val="10"/>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600" w:lineRule="exact"/>
        <w:ind w:left="0" w:leftChars="0" w:firstLine="0"/>
        <w:textAlignment w:val="auto"/>
        <w:rPr>
          <w:rFonts w:hint="eastAsia" w:ascii="微软雅黑" w:hAnsi="微软雅黑" w:eastAsia="微软雅黑" w:cs="微软雅黑"/>
          <w:i w:val="0"/>
          <w:caps w:val="0"/>
          <w:color w:val="161616"/>
          <w:spacing w:val="0"/>
          <w:sz w:val="20"/>
          <w:szCs w:val="20"/>
        </w:rPr>
      </w:pPr>
      <w:r>
        <w:rPr>
          <w:rFonts w:hint="eastAsia" w:ascii="仿宋" w:hAnsi="仿宋" w:eastAsia="仿宋" w:cs="仿宋"/>
          <w:i w:val="0"/>
          <w:caps w:val="0"/>
          <w:color w:val="161616"/>
          <w:spacing w:val="0"/>
          <w:sz w:val="31"/>
          <w:szCs w:val="31"/>
          <w:shd w:val="clear" w:fill="FFFFFF"/>
        </w:rPr>
        <w:t xml:space="preserve">    </w:t>
      </w:r>
      <w:r>
        <w:rPr>
          <w:rFonts w:hint="eastAsia" w:ascii="仿宋_GB2312" w:hAnsi="仿宋" w:eastAsia="仿宋_GB2312"/>
          <w:sz w:val="32"/>
          <w:szCs w:val="32"/>
        </w:rPr>
        <w:t>加强财经纪律和《2020年政府收支分类科目》的学习，准确做好经济科目的分类填写工作</w:t>
      </w:r>
      <w:r>
        <w:rPr>
          <w:rFonts w:hint="eastAsia" w:ascii="仿宋_GB2312" w:hAnsi="仿宋" w:eastAsia="仿宋_GB2312"/>
          <w:sz w:val="32"/>
          <w:szCs w:val="32"/>
          <w:lang w:eastAsia="zh-CN"/>
        </w:rPr>
        <w:t>，</w:t>
      </w:r>
      <w:r>
        <w:rPr>
          <w:rFonts w:hint="eastAsia" w:ascii="仿宋" w:hAnsi="仿宋" w:eastAsia="仿宋" w:cs="仿宋"/>
          <w:i w:val="0"/>
          <w:caps w:val="0"/>
          <w:color w:val="161616"/>
          <w:spacing w:val="0"/>
          <w:sz w:val="31"/>
          <w:szCs w:val="31"/>
          <w:shd w:val="clear" w:fill="FFFFFF"/>
        </w:rPr>
        <w:t>细化预算编制工作，认真做好预算的编制。进一步加强单位内部各科室的预算管理意识，严格按照预算编制的相关制度和要求进行预算编制。加强与</w:t>
      </w:r>
      <w:r>
        <w:rPr>
          <w:rFonts w:hint="eastAsia" w:ascii="仿宋" w:hAnsi="仿宋" w:eastAsia="仿宋" w:cs="仿宋"/>
          <w:i w:val="0"/>
          <w:caps w:val="0"/>
          <w:color w:val="161616"/>
          <w:spacing w:val="0"/>
          <w:sz w:val="31"/>
          <w:szCs w:val="31"/>
          <w:shd w:val="clear" w:fill="FFFFFF"/>
          <w:lang w:eastAsia="zh-CN"/>
        </w:rPr>
        <w:t>区</w:t>
      </w:r>
      <w:r>
        <w:rPr>
          <w:rFonts w:hint="eastAsia" w:ascii="仿宋" w:hAnsi="仿宋" w:eastAsia="仿宋" w:cs="仿宋"/>
          <w:i w:val="0"/>
          <w:caps w:val="0"/>
          <w:color w:val="161616"/>
          <w:spacing w:val="0"/>
          <w:sz w:val="31"/>
          <w:szCs w:val="31"/>
          <w:shd w:val="clear" w:fill="FFFFFF"/>
        </w:rPr>
        <w:t>财政局的沟通，争取年初预算全面具体。</w:t>
      </w:r>
    </w:p>
    <w:p w14:paraId="291B7B9C">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textAlignment w:val="auto"/>
        <w:rPr>
          <w:rFonts w:hint="eastAsia" w:ascii="仿宋_GB2312" w:eastAsia="仿宋_GB2312"/>
          <w:color w:val="000000"/>
          <w:sz w:val="32"/>
          <w:szCs w:val="32"/>
          <w:lang w:eastAsia="zh-CN"/>
        </w:rPr>
      </w:pPr>
    </w:p>
    <w:p w14:paraId="6744CB35">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textAlignment w:val="auto"/>
        <w:rPr>
          <w:rFonts w:ascii="楷体" w:hAnsi="楷体" w:eastAsia="楷体" w:cs="楷体"/>
          <w:i w:val="0"/>
          <w:caps w:val="0"/>
          <w:color w:val="161616"/>
          <w:spacing w:val="0"/>
          <w:sz w:val="31"/>
          <w:szCs w:val="31"/>
          <w:shd w:val="clear" w:fill="FFFFFF"/>
        </w:rPr>
      </w:pPr>
    </w:p>
    <w:p w14:paraId="000A4D9E">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bookmarkStart w:id="19" w:name="_Toc15396618"/>
    </w:p>
    <w:p w14:paraId="15A62BFD">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5C88F32A">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051753AC">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55622CC1">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2258533B">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6F5783A4">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42F7BED9">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7790653F">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25730734">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27A80871">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1FEF294B">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p>
    <w:p w14:paraId="4A9FB902">
      <w:pPr>
        <w:pStyle w:val="2"/>
        <w:ind w:left="0" w:leftChars="0" w:firstLine="0" w:firstLineChars="0"/>
        <w:rPr>
          <w:rFonts w:hint="eastAsia" w:ascii="仿宋" w:hAnsi="仿宋" w:eastAsia="仿宋" w:cs="仿宋"/>
          <w:i w:val="0"/>
          <w:caps w:val="0"/>
          <w:color w:val="161616"/>
          <w:spacing w:val="0"/>
          <w:kern w:val="0"/>
          <w:sz w:val="31"/>
          <w:szCs w:val="31"/>
          <w:shd w:val="clear" w:fill="FFFFFF"/>
          <w:lang w:val="en-US" w:eastAsia="zh-CN" w:bidi="ar-SA"/>
        </w:rPr>
      </w:pPr>
      <w:r>
        <w:rPr>
          <w:rFonts w:hint="eastAsia" w:ascii="仿宋" w:hAnsi="仿宋" w:eastAsia="仿宋" w:cs="仿宋"/>
          <w:i w:val="0"/>
          <w:caps w:val="0"/>
          <w:color w:val="161616"/>
          <w:spacing w:val="0"/>
          <w:kern w:val="0"/>
          <w:sz w:val="31"/>
          <w:szCs w:val="31"/>
          <w:shd w:val="clear" w:fill="FFFFFF"/>
          <w:lang w:val="en-US" w:eastAsia="zh-CN" w:bidi="ar-SA"/>
        </w:rPr>
        <w:t>附件2</w:t>
      </w:r>
    </w:p>
    <w:p w14:paraId="4C41950B">
      <w:pPr>
        <w:spacing w:line="580" w:lineRule="exact"/>
        <w:jc w:val="center"/>
        <w:rPr>
          <w:rFonts w:hint="eastAsia" w:ascii="黑体" w:hAnsi="黑体" w:eastAsia="黑体" w:cs="方正小标宋简体"/>
          <w:sz w:val="44"/>
          <w:szCs w:val="44"/>
        </w:rPr>
      </w:pPr>
      <w:r>
        <w:rPr>
          <w:rFonts w:hint="eastAsia" w:ascii="黑体" w:hAnsi="黑体" w:eastAsia="黑体" w:cs="方正小标宋简体"/>
          <w:sz w:val="44"/>
          <w:szCs w:val="44"/>
        </w:rPr>
        <w:t>201</w:t>
      </w:r>
      <w:r>
        <w:rPr>
          <w:rFonts w:hint="eastAsia" w:ascii="黑体" w:hAnsi="黑体" w:eastAsia="黑体" w:cs="方正小标宋简体"/>
          <w:sz w:val="44"/>
          <w:szCs w:val="44"/>
          <w:lang w:val="en-US" w:eastAsia="zh-CN"/>
        </w:rPr>
        <w:t>9</w:t>
      </w:r>
      <w:r>
        <w:rPr>
          <w:rFonts w:hint="eastAsia" w:ascii="黑体" w:hAnsi="黑体" w:eastAsia="黑体" w:cs="方正小标宋简体"/>
          <w:sz w:val="44"/>
          <w:szCs w:val="44"/>
        </w:rPr>
        <w:t>年项目支出绩效评价报告</w:t>
      </w:r>
    </w:p>
    <w:p w14:paraId="45D0F931">
      <w:pPr>
        <w:adjustRightInd w:val="0"/>
        <w:snapToGrid w:val="0"/>
        <w:spacing w:line="600" w:lineRule="exact"/>
        <w:ind w:firstLine="720"/>
        <w:rPr>
          <w:rFonts w:hint="eastAsia" w:ascii="黑体" w:hAnsi="宋体" w:eastAsia="黑体"/>
          <w:sz w:val="32"/>
          <w:szCs w:val="32"/>
        </w:rPr>
      </w:pPr>
    </w:p>
    <w:p w14:paraId="01117251">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32AD722">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党中央、国务院的要求，根据省、市安排，2019年全省民间信仰管理工作在昭化试点，对全区民间信仰行场所摸底调查、建立台账、制定办法、规范管理，推动民间信仰工作的规范化、高效化、制度化。项目使用办公费1万元，广告宣传费2万元，差旅费1万元，其他一万元，共计5万元。</w:t>
      </w:r>
    </w:p>
    <w:p w14:paraId="11337AA1">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二、评价结论及绩效分析</w:t>
      </w:r>
    </w:p>
    <w:p w14:paraId="2F1FAF61">
      <w:pPr>
        <w:spacing w:line="580" w:lineRule="exact"/>
        <w:ind w:firstLine="643" w:firstLineChars="200"/>
        <w:rPr>
          <w:rFonts w:ascii="仿宋" w:hAnsi="仿宋" w:eastAsia="仿宋" w:cs="仿宋_GB2312"/>
          <w:b/>
          <w:bCs/>
          <w:sz w:val="32"/>
          <w:szCs w:val="32"/>
        </w:rPr>
      </w:pPr>
      <w:r>
        <w:rPr>
          <w:rFonts w:ascii="仿宋" w:hAnsi="仿宋" w:eastAsia="仿宋" w:cs="仿宋_GB2312"/>
          <w:b/>
          <w:bCs/>
          <w:sz w:val="32"/>
          <w:szCs w:val="32"/>
        </w:rPr>
        <w:t>（一）评价结论</w:t>
      </w:r>
    </w:p>
    <w:p w14:paraId="7476BEF4">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统战部</w:t>
      </w:r>
      <w:r>
        <w:rPr>
          <w:rFonts w:hint="eastAsia" w:ascii="仿宋_GB2312" w:hAnsi="仿宋_GB2312" w:eastAsia="仿宋_GB2312" w:cs="仿宋_GB2312"/>
          <w:sz w:val="32"/>
          <w:szCs w:val="32"/>
        </w:rPr>
        <w:t>财务支出基本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年基本完成，在保障机关运转、履行职能职责上整体情况良好。</w:t>
      </w:r>
    </w:p>
    <w:p w14:paraId="38717B4E">
      <w:pPr>
        <w:spacing w:line="58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lang w:eastAsia="zh-CN"/>
        </w:rPr>
        <w:t>（三）</w:t>
      </w:r>
      <w:r>
        <w:rPr>
          <w:rFonts w:ascii="仿宋" w:hAnsi="仿宋" w:eastAsia="仿宋" w:cs="仿宋_GB2312"/>
          <w:b/>
          <w:bCs/>
          <w:sz w:val="32"/>
          <w:szCs w:val="32"/>
        </w:rPr>
        <w:t>绩效分析</w:t>
      </w:r>
    </w:p>
    <w:p w14:paraId="6DF11798">
      <w:pPr>
        <w:numPr>
          <w:ilvl w:val="0"/>
          <w:numId w:val="5"/>
        </w:num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项目决策</w:t>
      </w:r>
    </w:p>
    <w:p w14:paraId="5F102922">
      <w:pPr>
        <w:pStyle w:val="2"/>
        <w:numPr>
          <w:ilvl w:val="0"/>
          <w:numId w:val="0"/>
        </w:numPr>
        <w:ind w:firstLine="640" w:firstLineChars="200"/>
      </w:pPr>
      <w:r>
        <w:rPr>
          <w:rFonts w:hint="eastAsia" w:ascii="仿宋_GB2312" w:hAnsi="仿宋_GB2312" w:eastAsia="仿宋_GB2312" w:cs="仿宋_GB2312"/>
          <w:kern w:val="2"/>
          <w:sz w:val="32"/>
          <w:szCs w:val="32"/>
          <w:lang w:val="en-US" w:eastAsia="zh-CN" w:bidi="ar-SA"/>
        </w:rPr>
        <w:t>对全区民间信仰行场所摸底调查、建立台账、制定办法、规范管理，推动民间信仰工作的规范化、高效化、制度化。</w:t>
      </w:r>
    </w:p>
    <w:p w14:paraId="2BDA140E">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2、项目管理</w:t>
      </w:r>
    </w:p>
    <w:p w14:paraId="0A08F2CE">
      <w:pPr>
        <w:snapToGrid w:val="0"/>
        <w:spacing w:line="360" w:lineRule="auto"/>
        <w:ind w:firstLine="640" w:firstLineChars="200"/>
      </w:pPr>
      <w:r>
        <w:rPr>
          <w:rFonts w:hint="eastAsia" w:ascii="仿宋_GB2312" w:hAnsi="仿宋_GB2312" w:eastAsia="仿宋_GB2312" w:cs="仿宋_GB2312"/>
          <w:sz w:val="32"/>
          <w:szCs w:val="32"/>
          <w:lang w:eastAsia="zh-CN"/>
        </w:rPr>
        <w:t>统战部</w:t>
      </w:r>
      <w:r>
        <w:rPr>
          <w:rFonts w:hint="eastAsia" w:ascii="仿宋_GB2312" w:hAnsi="仿宋_GB2312" w:eastAsia="仿宋_GB2312" w:cs="仿宋_GB2312"/>
          <w:sz w:val="32"/>
          <w:szCs w:val="32"/>
        </w:rPr>
        <w:t>严格按单位项目管理制度执行，根据项目建设的进度及合同约定，达到付款条件后，经单位领导审核后，</w:t>
      </w:r>
      <w:r>
        <w:rPr>
          <w:rFonts w:hint="eastAsia" w:ascii="仿宋_GB2312" w:hAnsi="仿宋_GB2312" w:eastAsia="仿宋_GB2312" w:cs="仿宋_GB2312"/>
          <w:sz w:val="32"/>
          <w:szCs w:val="32"/>
          <w:lang w:eastAsia="zh-CN"/>
        </w:rPr>
        <w:t>再</w:t>
      </w:r>
      <w:r>
        <w:rPr>
          <w:rFonts w:hint="eastAsia" w:ascii="仿宋_GB2312" w:hAnsi="仿宋_GB2312" w:eastAsia="仿宋_GB2312" w:cs="仿宋_GB2312"/>
          <w:sz w:val="32"/>
          <w:szCs w:val="32"/>
        </w:rPr>
        <w:t>支付。</w:t>
      </w:r>
      <w:r>
        <w:rPr>
          <w:rFonts w:hint="eastAsia" w:ascii="仿宋_GB2312" w:hAnsi="仿宋_GB2312" w:eastAsia="仿宋_GB2312" w:cs="仿宋_GB2312"/>
          <w:color w:val="000000"/>
          <w:sz w:val="32"/>
          <w:szCs w:val="32"/>
        </w:rPr>
        <w:t>专项资金</w:t>
      </w:r>
      <w:r>
        <w:rPr>
          <w:rFonts w:hint="eastAsia" w:ascii="仿宋_GB2312" w:hAnsi="仿宋_GB2312" w:eastAsia="仿宋_GB2312" w:cs="仿宋_GB2312"/>
          <w:sz w:val="32"/>
          <w:szCs w:val="32"/>
        </w:rPr>
        <w:t>的支付范围、支付标准基本合规合法，支付依据充分。资金使用无截留、挤占、挪用、虚列支出等情况。</w:t>
      </w:r>
    </w:p>
    <w:p w14:paraId="41B80FCF">
      <w:pPr>
        <w:spacing w:line="580" w:lineRule="exact"/>
        <w:ind w:firstLine="640" w:firstLineChars="200"/>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3.</w:t>
      </w:r>
      <w:r>
        <w:rPr>
          <w:rFonts w:hint="eastAsia" w:ascii="仿宋" w:hAnsi="仿宋" w:eastAsia="仿宋" w:cs="仿宋_GB2312"/>
          <w:sz w:val="32"/>
          <w:szCs w:val="32"/>
        </w:rPr>
        <w:t>绩效目标完成情况。</w:t>
      </w:r>
    </w:p>
    <w:p w14:paraId="7289F0D1">
      <w:pPr>
        <w:snapToGrid w:val="0"/>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区委统战部绩效目标为宗教事务中民间信仰试点管理工作。2019年省民宗委决定在苍溪和昭化开展民间信仰试点工作，年初区委统战部按照预算管理编制了绩效目标。在工作开展过程中，我们严格按照民间信仰场所的相关规定，开展了普查、登记、备案工作，与乡镇一道，对有安全隐患的民间信仰场所进行了拆除，并依法按照宗教事务条例对现有的民间信仰场所进行了规范，结合民间信仰试点工作，扎实开展</w:t>
      </w:r>
      <w:r>
        <w:rPr>
          <w:rFonts w:hint="eastAsia" w:ascii="仿宋_GB2312" w:hAnsi="仿宋_GB2312" w:eastAsia="仿宋_GB2312" w:cs="仿宋_GB2312"/>
          <w:sz w:val="32"/>
          <w:szCs w:val="32"/>
          <w:lang w:eastAsia="zh-CN"/>
        </w:rPr>
        <w:t>“七五”普法</w:t>
      </w:r>
      <w:r>
        <w:rPr>
          <w:rFonts w:hint="eastAsia" w:ascii="仿宋_GB2312" w:hAnsi="仿宋_GB2312" w:eastAsia="仿宋_GB2312" w:cs="仿宋_GB2312"/>
          <w:sz w:val="32"/>
          <w:szCs w:val="32"/>
        </w:rPr>
        <w:t>和“法律进寺庙”活动，</w:t>
      </w:r>
      <w:r>
        <w:rPr>
          <w:rFonts w:hint="eastAsia" w:ascii="仿宋_GB2312" w:hAnsi="仿宋_GB2312" w:eastAsia="仿宋_GB2312" w:cs="仿宋_GB2312"/>
          <w:kern w:val="0"/>
          <w:sz w:val="32"/>
          <w:szCs w:val="32"/>
        </w:rPr>
        <w:t>通过“送法律下乡”“法制赶场”、开办培训班等形式，宣传党的宗教工作方针政策，</w:t>
      </w:r>
      <w:r>
        <w:rPr>
          <w:rFonts w:hint="eastAsia" w:ascii="仿宋_GB2312" w:hAnsi="仿宋_GB2312" w:eastAsia="仿宋_GB2312" w:cs="仿宋_GB2312"/>
          <w:sz w:val="32"/>
          <w:szCs w:val="32"/>
        </w:rPr>
        <w:t>营造宗教和睦的良好氛围</w:t>
      </w:r>
      <w:r>
        <w:rPr>
          <w:rFonts w:hint="eastAsia" w:ascii="仿宋_GB2312" w:hAnsi="仿宋_GB2312" w:eastAsia="仿宋_GB2312" w:cs="仿宋_GB2312"/>
          <w:kern w:val="0"/>
          <w:sz w:val="32"/>
          <w:szCs w:val="32"/>
        </w:rPr>
        <w:t>，确保了昭化宗教领域的和谐稳定。</w:t>
      </w:r>
    </w:p>
    <w:p w14:paraId="00ADC628">
      <w:pPr>
        <w:spacing w:line="580" w:lineRule="exact"/>
        <w:ind w:firstLine="643" w:firstLineChars="200"/>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（三）当年预算执行及绩效管理中存在问题、原因及改进措施。</w:t>
      </w:r>
    </w:p>
    <w:p w14:paraId="054E84F1">
      <w:pPr>
        <w:snapToGrid w:val="0"/>
        <w:spacing w:line="576" w:lineRule="exact"/>
        <w:ind w:firstLine="640" w:firstLineChars="200"/>
      </w:pPr>
      <w:r>
        <w:rPr>
          <w:rFonts w:hint="eastAsia" w:ascii="仿宋_GB2312" w:hAnsi="仿宋_GB2312" w:eastAsia="仿宋_GB2312" w:cs="仿宋_GB2312"/>
          <w:kern w:val="0"/>
          <w:sz w:val="32"/>
          <w:szCs w:val="32"/>
        </w:rPr>
        <w:t>在民间信仰试点工作中，我们宣传工作还做的不够到位，下一步，我们将结合民间信仰试点工作现场会在广元召开的契机，提早谋划部署，制作宗教巡回展板、宣传标语，宣传我区宗教工作积极的有影响的方面。</w:t>
      </w:r>
    </w:p>
    <w:p w14:paraId="308A0AB6">
      <w:pPr>
        <w:spacing w:line="580" w:lineRule="exact"/>
        <w:ind w:firstLine="640" w:firstLineChars="200"/>
        <w:rPr>
          <w:rFonts w:ascii="仿宋_GB2312" w:hAnsi="仿宋_GB2312" w:eastAsia="仿宋_GB2312" w:cs="仿宋_GB2312"/>
          <w:sz w:val="32"/>
          <w:szCs w:val="32"/>
        </w:rPr>
      </w:pPr>
    </w:p>
    <w:p w14:paraId="37939700">
      <w:pPr>
        <w:pStyle w:val="2"/>
        <w:rPr>
          <w:rFonts w:hint="default" w:eastAsia="黑体"/>
          <w:lang w:val="en-US" w:eastAsia="zh-CN"/>
        </w:rPr>
      </w:pPr>
    </w:p>
    <w:p w14:paraId="721CEA12">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3B24376F">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0DB25D99">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0FB382F0">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376761B4">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02C76AED">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3C7FAF54">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54692779">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5AAB9A94">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30D31583">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145D17B6">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08BCE5BC">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4E16C8B3">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1C035743">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42B398F0">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17A6480C">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3F1B52CA">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hint="eastAsia" w:ascii="黑体" w:hAnsi="黑体" w:eastAsia="黑体"/>
          <w:color w:val="000000"/>
          <w:sz w:val="44"/>
          <w:szCs w:val="44"/>
        </w:rPr>
      </w:pPr>
    </w:p>
    <w:p w14:paraId="4B651C83">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Style w:val="21"/>
          <w:rFonts w:ascii="黑体" w:hAnsi="黑体" w:eastAsia="黑体"/>
          <w:b w:val="0"/>
        </w:rPr>
      </w:pPr>
      <w:r>
        <w:rPr>
          <w:rFonts w:hint="eastAsia" w:ascii="黑体" w:hAnsi="黑体" w:eastAsia="黑体"/>
          <w:color w:val="000000"/>
          <w:sz w:val="44"/>
          <w:szCs w:val="44"/>
        </w:rPr>
        <w:t>第</w:t>
      </w:r>
      <w:r>
        <w:rPr>
          <w:rStyle w:val="21"/>
          <w:rFonts w:hint="eastAsia" w:ascii="黑体" w:hAnsi="黑体" w:eastAsia="黑体"/>
          <w:b w:val="0"/>
        </w:rPr>
        <w:t>五部分 附表</w:t>
      </w:r>
      <w:bookmarkEnd w:id="19"/>
    </w:p>
    <w:p w14:paraId="0CCCFB67">
      <w:pPr>
        <w:pageBreakBefore w:val="0"/>
        <w:kinsoku/>
        <w:wordWrap/>
        <w:overflowPunct/>
        <w:topLinePunct w:val="0"/>
        <w:autoSpaceDE/>
        <w:autoSpaceDN/>
        <w:bidi w:val="0"/>
        <w:adjustRightInd/>
        <w:spacing w:beforeAutospacing="0" w:afterAutospacing="0" w:line="600" w:lineRule="exact"/>
        <w:ind w:left="0" w:leftChars="0"/>
        <w:jc w:val="center"/>
        <w:textAlignment w:val="auto"/>
        <w:outlineLvl w:val="0"/>
        <w:rPr>
          <w:rFonts w:ascii="仿宋" w:hAnsi="仿宋" w:eastAsia="仿宋"/>
          <w:b/>
          <w:color w:val="000000"/>
          <w:sz w:val="44"/>
          <w:szCs w:val="44"/>
        </w:rPr>
      </w:pPr>
    </w:p>
    <w:p w14:paraId="1545E119">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0" w:name="_Toc15396619"/>
      <w:r>
        <w:rPr>
          <w:rFonts w:hint="eastAsia" w:ascii="仿宋" w:hAnsi="仿宋" w:eastAsia="仿宋"/>
          <w:b w:val="0"/>
          <w:color w:val="000000"/>
        </w:rPr>
        <w:t>一、收</w:t>
      </w:r>
      <w:r>
        <w:rPr>
          <w:rStyle w:val="22"/>
          <w:rFonts w:hint="eastAsia" w:ascii="仿宋" w:hAnsi="仿宋" w:eastAsia="仿宋"/>
          <w:b w:val="0"/>
          <w:bCs w:val="0"/>
        </w:rPr>
        <w:t>入支出决算总表</w:t>
      </w:r>
      <w:bookmarkEnd w:id="20"/>
    </w:p>
    <w:p w14:paraId="2BCD7F3C">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1" w:name="_Toc15396620"/>
      <w:r>
        <w:rPr>
          <w:rFonts w:hint="eastAsia" w:ascii="仿宋" w:hAnsi="仿宋" w:eastAsia="仿宋"/>
          <w:b w:val="0"/>
          <w:color w:val="000000"/>
        </w:rPr>
        <w:t>二、收</w:t>
      </w:r>
      <w:r>
        <w:rPr>
          <w:rStyle w:val="22"/>
          <w:rFonts w:hint="eastAsia" w:ascii="仿宋" w:hAnsi="仿宋" w:eastAsia="仿宋"/>
          <w:b w:val="0"/>
          <w:bCs w:val="0"/>
        </w:rPr>
        <w:t>入决算表</w:t>
      </w:r>
      <w:bookmarkEnd w:id="21"/>
    </w:p>
    <w:p w14:paraId="62E319A4">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2" w:name="_Toc15396621"/>
      <w:r>
        <w:rPr>
          <w:rStyle w:val="22"/>
          <w:rFonts w:hint="eastAsia" w:ascii="仿宋" w:hAnsi="仿宋" w:eastAsia="仿宋"/>
          <w:b w:val="0"/>
          <w:bCs w:val="0"/>
        </w:rPr>
        <w:t>三、</w:t>
      </w:r>
      <w:r>
        <w:rPr>
          <w:rFonts w:hint="eastAsia" w:ascii="仿宋" w:hAnsi="仿宋" w:eastAsia="仿宋"/>
          <w:b w:val="0"/>
          <w:color w:val="000000"/>
        </w:rPr>
        <w:t>支</w:t>
      </w:r>
      <w:r>
        <w:rPr>
          <w:rStyle w:val="22"/>
          <w:rFonts w:hint="eastAsia" w:ascii="仿宋" w:hAnsi="仿宋" w:eastAsia="仿宋"/>
          <w:b w:val="0"/>
          <w:bCs w:val="0"/>
        </w:rPr>
        <w:t>出决算表</w:t>
      </w:r>
      <w:bookmarkEnd w:id="22"/>
    </w:p>
    <w:p w14:paraId="761AEC2D">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b w:val="0"/>
          <w:color w:val="000000"/>
        </w:rPr>
      </w:pPr>
      <w:bookmarkStart w:id="23" w:name="_Toc15396622"/>
      <w:r>
        <w:rPr>
          <w:rStyle w:val="22"/>
          <w:rFonts w:hint="eastAsia" w:ascii="仿宋" w:hAnsi="仿宋" w:eastAsia="仿宋"/>
          <w:b w:val="0"/>
          <w:bCs w:val="0"/>
        </w:rPr>
        <w:t>四、</w:t>
      </w:r>
      <w:r>
        <w:rPr>
          <w:rFonts w:hint="eastAsia" w:ascii="仿宋" w:hAnsi="仿宋" w:eastAsia="仿宋"/>
          <w:b w:val="0"/>
          <w:color w:val="000000"/>
        </w:rPr>
        <w:t>财</w:t>
      </w:r>
      <w:r>
        <w:rPr>
          <w:rStyle w:val="22"/>
          <w:rFonts w:hint="eastAsia" w:ascii="仿宋" w:hAnsi="仿宋" w:eastAsia="仿宋"/>
          <w:b w:val="0"/>
          <w:bCs w:val="0"/>
        </w:rPr>
        <w:t>政拨款收入支出决算总表</w:t>
      </w:r>
      <w:bookmarkEnd w:id="23"/>
    </w:p>
    <w:p w14:paraId="181C5025">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Style w:val="22"/>
          <w:rFonts w:ascii="仿宋" w:hAnsi="仿宋" w:eastAsia="仿宋"/>
          <w:b w:val="0"/>
          <w:bCs w:val="0"/>
        </w:rPr>
      </w:pPr>
      <w:bookmarkStart w:id="24" w:name="_Toc15396623"/>
      <w:r>
        <w:rPr>
          <w:rStyle w:val="22"/>
          <w:rFonts w:hint="eastAsia" w:ascii="仿宋" w:hAnsi="仿宋" w:eastAsia="仿宋"/>
          <w:b w:val="0"/>
          <w:bCs w:val="0"/>
        </w:rPr>
        <w:t>五、</w:t>
      </w:r>
      <w:r>
        <w:rPr>
          <w:rFonts w:hint="eastAsia" w:ascii="仿宋" w:hAnsi="仿宋" w:eastAsia="仿宋"/>
          <w:b w:val="0"/>
          <w:color w:val="000000"/>
        </w:rPr>
        <w:t>财</w:t>
      </w:r>
      <w:r>
        <w:rPr>
          <w:rStyle w:val="22"/>
          <w:rFonts w:hint="eastAsia" w:ascii="仿宋" w:hAnsi="仿宋" w:eastAsia="仿宋"/>
          <w:b w:val="0"/>
          <w:bCs w:val="0"/>
        </w:rPr>
        <w:t>政拨款支出决算明细表</w:t>
      </w:r>
      <w:bookmarkEnd w:id="24"/>
      <w:bookmarkStart w:id="25" w:name="_Toc15396624"/>
    </w:p>
    <w:p w14:paraId="63682EC1">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r>
        <w:rPr>
          <w:rStyle w:val="22"/>
          <w:rFonts w:hint="eastAsia" w:ascii="仿宋" w:hAnsi="仿宋" w:eastAsia="仿宋"/>
          <w:b w:val="0"/>
          <w:bCs w:val="0"/>
        </w:rPr>
        <w:t>六、</w:t>
      </w:r>
      <w:r>
        <w:rPr>
          <w:rFonts w:hint="eastAsia" w:ascii="仿宋" w:hAnsi="仿宋" w:eastAsia="仿宋"/>
          <w:b w:val="0"/>
          <w:color w:val="000000"/>
        </w:rPr>
        <w:t>一</w:t>
      </w:r>
      <w:r>
        <w:rPr>
          <w:rStyle w:val="22"/>
          <w:rFonts w:hint="eastAsia" w:ascii="仿宋" w:hAnsi="仿宋" w:eastAsia="仿宋"/>
          <w:b w:val="0"/>
          <w:bCs w:val="0"/>
        </w:rPr>
        <w:t>般公共预算财政拨款支出决算表</w:t>
      </w:r>
      <w:bookmarkEnd w:id="25"/>
    </w:p>
    <w:p w14:paraId="2F5E9F4E">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6" w:name="_Toc15396625"/>
      <w:r>
        <w:rPr>
          <w:rStyle w:val="22"/>
          <w:rFonts w:hint="eastAsia" w:ascii="仿宋" w:hAnsi="仿宋" w:eastAsia="仿宋"/>
          <w:b w:val="0"/>
          <w:bCs w:val="0"/>
        </w:rPr>
        <w:t>七、</w:t>
      </w:r>
      <w:r>
        <w:rPr>
          <w:rFonts w:hint="eastAsia" w:ascii="仿宋" w:hAnsi="仿宋" w:eastAsia="仿宋"/>
          <w:b w:val="0"/>
          <w:color w:val="000000"/>
        </w:rPr>
        <w:t>一</w:t>
      </w:r>
      <w:r>
        <w:rPr>
          <w:rStyle w:val="22"/>
          <w:rFonts w:hint="eastAsia" w:ascii="仿宋" w:hAnsi="仿宋" w:eastAsia="仿宋"/>
          <w:b w:val="0"/>
          <w:bCs w:val="0"/>
        </w:rPr>
        <w:t>般公共预算财政拨款支出决算明细表</w:t>
      </w:r>
      <w:bookmarkEnd w:id="26"/>
    </w:p>
    <w:p w14:paraId="260E34A2">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7" w:name="_Toc15396626"/>
      <w:r>
        <w:rPr>
          <w:rStyle w:val="22"/>
          <w:rFonts w:hint="eastAsia" w:ascii="仿宋" w:hAnsi="仿宋" w:eastAsia="仿宋"/>
          <w:b w:val="0"/>
          <w:bCs w:val="0"/>
        </w:rPr>
        <w:t>八、</w:t>
      </w:r>
      <w:r>
        <w:rPr>
          <w:rFonts w:hint="eastAsia" w:ascii="仿宋" w:hAnsi="仿宋" w:eastAsia="仿宋"/>
          <w:b w:val="0"/>
          <w:color w:val="000000"/>
        </w:rPr>
        <w:t>一</w:t>
      </w:r>
      <w:r>
        <w:rPr>
          <w:rStyle w:val="22"/>
          <w:rFonts w:hint="eastAsia" w:ascii="仿宋" w:hAnsi="仿宋" w:eastAsia="仿宋"/>
          <w:b w:val="0"/>
          <w:bCs w:val="0"/>
        </w:rPr>
        <w:t>般公共预算财政拨款基本支出决算表</w:t>
      </w:r>
      <w:bookmarkEnd w:id="27"/>
    </w:p>
    <w:p w14:paraId="6A368992">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8" w:name="_Toc15396627"/>
      <w:r>
        <w:rPr>
          <w:rStyle w:val="22"/>
          <w:rFonts w:hint="eastAsia" w:ascii="仿宋" w:hAnsi="仿宋" w:eastAsia="仿宋"/>
          <w:b w:val="0"/>
          <w:bCs w:val="0"/>
        </w:rPr>
        <w:t>九、</w:t>
      </w:r>
      <w:r>
        <w:rPr>
          <w:rFonts w:hint="eastAsia" w:ascii="仿宋" w:hAnsi="仿宋" w:eastAsia="仿宋"/>
          <w:b w:val="0"/>
          <w:color w:val="000000"/>
        </w:rPr>
        <w:t>一</w:t>
      </w:r>
      <w:r>
        <w:rPr>
          <w:rStyle w:val="22"/>
          <w:rFonts w:hint="eastAsia" w:ascii="仿宋" w:hAnsi="仿宋" w:eastAsia="仿宋"/>
          <w:b w:val="0"/>
          <w:bCs w:val="0"/>
        </w:rPr>
        <w:t>般公共预算财政拨款项目支出决算表</w:t>
      </w:r>
      <w:bookmarkEnd w:id="28"/>
    </w:p>
    <w:p w14:paraId="607BFBE3">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29" w:name="_Toc15396628"/>
      <w:r>
        <w:rPr>
          <w:rStyle w:val="22"/>
          <w:rFonts w:hint="eastAsia" w:ascii="仿宋" w:hAnsi="仿宋" w:eastAsia="仿宋"/>
          <w:b w:val="0"/>
          <w:bCs w:val="0"/>
        </w:rPr>
        <w:t>十、</w:t>
      </w:r>
      <w:r>
        <w:rPr>
          <w:rFonts w:hint="eastAsia" w:ascii="仿宋" w:hAnsi="仿宋" w:eastAsia="仿宋"/>
          <w:b w:val="0"/>
          <w:color w:val="000000"/>
        </w:rPr>
        <w:t>一</w:t>
      </w:r>
      <w:r>
        <w:rPr>
          <w:rStyle w:val="22"/>
          <w:rFonts w:hint="eastAsia" w:ascii="仿宋" w:hAnsi="仿宋" w:eastAsia="仿宋"/>
          <w:b w:val="0"/>
          <w:bCs w:val="0"/>
        </w:rPr>
        <w:t>般公共预算财政拨款“三公”经费支出决算表</w:t>
      </w:r>
      <w:bookmarkEnd w:id="29"/>
    </w:p>
    <w:p w14:paraId="775690CB">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30" w:name="_Toc15396629"/>
      <w:r>
        <w:rPr>
          <w:rStyle w:val="22"/>
          <w:rFonts w:hint="eastAsia" w:ascii="仿宋" w:hAnsi="仿宋" w:eastAsia="仿宋"/>
          <w:b w:val="0"/>
          <w:bCs w:val="0"/>
        </w:rPr>
        <w:t>十一、</w:t>
      </w:r>
      <w:r>
        <w:rPr>
          <w:rFonts w:hint="eastAsia" w:ascii="仿宋" w:hAnsi="仿宋" w:eastAsia="仿宋"/>
          <w:b w:val="0"/>
          <w:color w:val="000000"/>
        </w:rPr>
        <w:t>政</w:t>
      </w:r>
      <w:r>
        <w:rPr>
          <w:rStyle w:val="22"/>
          <w:rFonts w:hint="eastAsia" w:ascii="仿宋" w:hAnsi="仿宋" w:eastAsia="仿宋"/>
          <w:b w:val="0"/>
          <w:bCs w:val="0"/>
        </w:rPr>
        <w:t>府性基金预算财政拨款收入支出决算表</w:t>
      </w:r>
      <w:bookmarkEnd w:id="30"/>
    </w:p>
    <w:p w14:paraId="0ECB176B">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rPr>
      </w:pPr>
      <w:bookmarkStart w:id="31" w:name="_Toc15396630"/>
      <w:r>
        <w:rPr>
          <w:rStyle w:val="22"/>
          <w:rFonts w:hint="eastAsia" w:ascii="仿宋" w:hAnsi="仿宋" w:eastAsia="仿宋"/>
          <w:b w:val="0"/>
          <w:bCs w:val="0"/>
        </w:rPr>
        <w:t>十二、</w:t>
      </w:r>
      <w:r>
        <w:rPr>
          <w:rFonts w:hint="eastAsia" w:ascii="仿宋" w:hAnsi="仿宋" w:eastAsia="仿宋"/>
          <w:b w:val="0"/>
          <w:color w:val="000000"/>
        </w:rPr>
        <w:t>政</w:t>
      </w:r>
      <w:r>
        <w:rPr>
          <w:rStyle w:val="22"/>
          <w:rFonts w:hint="eastAsia" w:ascii="仿宋" w:hAnsi="仿宋" w:eastAsia="仿宋"/>
          <w:b w:val="0"/>
          <w:bCs w:val="0"/>
        </w:rPr>
        <w:t>府性基金预算财政拨款“三公”经费支出决算表</w:t>
      </w:r>
      <w:bookmarkEnd w:id="31"/>
    </w:p>
    <w:p w14:paraId="2BE73DFE">
      <w:pPr>
        <w:pStyle w:val="5"/>
        <w:pageBreakBefore w:val="0"/>
        <w:kinsoku/>
        <w:wordWrap/>
        <w:overflowPunct/>
        <w:topLinePunct w:val="0"/>
        <w:autoSpaceDE/>
        <w:autoSpaceDN/>
        <w:bidi w:val="0"/>
        <w:adjustRightInd/>
        <w:spacing w:before="0" w:beforeAutospacing="0" w:after="0" w:afterAutospacing="0" w:line="600" w:lineRule="exact"/>
        <w:ind w:left="0" w:leftChars="0"/>
        <w:textAlignment w:val="auto"/>
        <w:rPr>
          <w:rFonts w:ascii="仿宋" w:hAnsi="仿宋" w:eastAsia="仿宋"/>
          <w:color w:val="000000" w:themeColor="text1"/>
          <w14:textFill>
            <w14:solidFill>
              <w14:schemeClr w14:val="tx1"/>
            </w14:solidFill>
          </w14:textFill>
        </w:rPr>
      </w:pPr>
      <w:bookmarkStart w:id="32" w:name="_Toc15396631"/>
      <w:r>
        <w:rPr>
          <w:rStyle w:val="22"/>
          <w:rFonts w:hint="eastAsia" w:ascii="仿宋" w:hAnsi="仿宋" w:eastAsia="仿宋"/>
          <w:b w:val="0"/>
          <w:bCs w:val="0"/>
        </w:rPr>
        <w:t>十三、</w:t>
      </w:r>
      <w:r>
        <w:rPr>
          <w:rFonts w:hint="eastAsia" w:ascii="仿宋" w:hAnsi="仿宋" w:eastAsia="仿宋"/>
          <w:b w:val="0"/>
          <w:color w:val="000000"/>
        </w:rPr>
        <w:t>国</w:t>
      </w:r>
      <w:r>
        <w:rPr>
          <w:rStyle w:val="22"/>
          <w:rFonts w:hint="eastAsia" w:ascii="仿宋" w:hAnsi="仿宋" w:eastAsia="仿宋"/>
          <w:b w:val="0"/>
          <w:bCs w:val="0"/>
        </w:rPr>
        <w:t>有资本经营预算支出决算表</w:t>
      </w:r>
      <w:bookmarkEnd w:id="32"/>
    </w:p>
    <w:p w14:paraId="65FD197F">
      <w:pPr>
        <w:pStyle w:val="2"/>
        <w:pageBreakBefore w:val="0"/>
        <w:numPr>
          <w:ilvl w:val="0"/>
          <w:numId w:val="0"/>
        </w:numPr>
        <w:kinsoku/>
        <w:wordWrap/>
        <w:overflowPunct/>
        <w:topLinePunct w:val="0"/>
        <w:autoSpaceDE/>
        <w:autoSpaceDN/>
        <w:bidi w:val="0"/>
        <w:adjustRightInd/>
        <w:spacing w:beforeAutospacing="0" w:afterAutospacing="0" w:line="600" w:lineRule="exact"/>
        <w:ind w:left="0" w:leftChars="0"/>
        <w:textAlignment w:val="auto"/>
        <w:rPr>
          <w:rFonts w:ascii="黑体" w:hAnsi="宋体" w:eastAsia="黑体" w:cs="黑体"/>
          <w:i w:val="0"/>
          <w:caps w:val="0"/>
          <w:color w:val="161616"/>
          <w:spacing w:val="0"/>
          <w:sz w:val="31"/>
          <w:szCs w:val="31"/>
          <w:shd w:val="clear" w:fill="FFFFFF"/>
        </w:rPr>
      </w:pPr>
    </w:p>
    <w:sectPr>
      <w:footerReference r:id="rId6" w:type="default"/>
      <w:pgSz w:w="11906" w:h="16838"/>
      <w:pgMar w:top="2098" w:right="1474" w:bottom="1984"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A35A6A-667E-4301-AC55-8F07AC0D61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C4E0C1A-4358-4DE3-8F28-9791A36E8833}"/>
  </w:font>
  <w:font w:name="Calibri Light">
    <w:panose1 w:val="020F0302020204030204"/>
    <w:charset w:val="00"/>
    <w:family w:val="auto"/>
    <w:pitch w:val="default"/>
    <w:sig w:usb0="E4002EFF" w:usb1="C000247B" w:usb2="00000009" w:usb3="00000000" w:csb0="200001FF" w:csb1="00000000"/>
    <w:embedRegular r:id="rId3" w:fontKey="{42AE38E6-CB4E-4CEA-87A6-7A71324718A2}"/>
  </w:font>
  <w:font w:name="仿宋">
    <w:panose1 w:val="02010609060101010101"/>
    <w:charset w:val="86"/>
    <w:family w:val="modern"/>
    <w:pitch w:val="default"/>
    <w:sig w:usb0="800002BF" w:usb1="38CF7CFA" w:usb2="00000016" w:usb3="00000000" w:csb0="00040001" w:csb1="00000000"/>
    <w:embedRegular r:id="rId4" w:fontKey="{280E9093-82C6-454C-8F28-2D73801B10CF}"/>
  </w:font>
  <w:font w:name="方正小标宋简体">
    <w:panose1 w:val="02000000000000000000"/>
    <w:charset w:val="86"/>
    <w:family w:val="script"/>
    <w:pitch w:val="default"/>
    <w:sig w:usb0="00000001" w:usb1="08000000" w:usb2="00000000" w:usb3="00000000" w:csb0="00040000" w:csb1="00000000"/>
    <w:embedRegular r:id="rId5" w:fontKey="{476F9201-97E8-40AC-A747-7D59618CBCA6}"/>
  </w:font>
  <w:font w:name="楷体_GB2312">
    <w:panose1 w:val="02010609030101010101"/>
    <w:charset w:val="86"/>
    <w:family w:val="modern"/>
    <w:pitch w:val="default"/>
    <w:sig w:usb0="00000001" w:usb1="080E0000" w:usb2="00000000" w:usb3="00000000" w:csb0="00040000" w:csb1="00000000"/>
    <w:embedRegular r:id="rId6" w:fontKey="{7271004D-D706-4449-ADAE-5E0B0E3462D9}"/>
  </w:font>
  <w:font w:name="仿宋_GB2312">
    <w:altName w:val="仿宋"/>
    <w:panose1 w:val="02010609030101010101"/>
    <w:charset w:val="86"/>
    <w:family w:val="modern"/>
    <w:pitch w:val="default"/>
    <w:sig w:usb0="00000000" w:usb1="00000000" w:usb2="00000000" w:usb3="00000000" w:csb0="00040000" w:csb1="00000000"/>
    <w:embedRegular r:id="rId7" w:fontKey="{397F50AE-1D67-4AE8-BC75-43EE06185B6D}"/>
  </w:font>
  <w:font w:name="楷体">
    <w:panose1 w:val="02010609060101010101"/>
    <w:charset w:val="86"/>
    <w:family w:val="modern"/>
    <w:pitch w:val="default"/>
    <w:sig w:usb0="800002BF" w:usb1="38CF7CFA" w:usb2="00000016" w:usb3="00000000" w:csb0="00040001" w:csb1="00000000"/>
    <w:embedRegular r:id="rId8" w:fontKey="{00130E59-77D8-4B9D-9422-7DBD58FB5A4B}"/>
  </w:font>
  <w:font w:name="微软雅黑">
    <w:panose1 w:val="020B0503020204020204"/>
    <w:charset w:val="86"/>
    <w:family w:val="auto"/>
    <w:pitch w:val="default"/>
    <w:sig w:usb0="80000287" w:usb1="2ACF3C50" w:usb2="00000016" w:usb3="00000000" w:csb0="0004001F" w:csb1="00000000"/>
    <w:embedRegular r:id="rId9" w:fontKey="{634CA1BE-D2E8-4464-AF6B-FF171CEB61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CFB4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50E8C">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9E50E8C">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FCCA">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5E327">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865E327">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4AB2">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23F5">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8F923F5">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A5B4B">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564DE">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E9564DE">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EF97C"/>
    <w:multiLevelType w:val="singleLevel"/>
    <w:tmpl w:val="838EF97C"/>
    <w:lvl w:ilvl="0" w:tentative="0">
      <w:start w:val="1"/>
      <w:numFmt w:val="chineseCounting"/>
      <w:suff w:val="nothing"/>
      <w:lvlText w:val="（%1）"/>
      <w:lvlJc w:val="left"/>
      <w:rPr>
        <w:rFonts w:hint="eastAsia"/>
      </w:rPr>
    </w:lvl>
  </w:abstractNum>
  <w:abstractNum w:abstractNumId="1">
    <w:nsid w:val="8659FAAE"/>
    <w:multiLevelType w:val="singleLevel"/>
    <w:tmpl w:val="8659FAAE"/>
    <w:lvl w:ilvl="0" w:tentative="0">
      <w:start w:val="1"/>
      <w:numFmt w:val="chineseCounting"/>
      <w:suff w:val="nothing"/>
      <w:lvlText w:val="%1、"/>
      <w:lvlJc w:val="left"/>
      <w:rPr>
        <w:rFonts w:hint="eastAsia"/>
      </w:rPr>
    </w:lvl>
  </w:abstractNum>
  <w:abstractNum w:abstractNumId="2">
    <w:nsid w:val="AE09F17B"/>
    <w:multiLevelType w:val="singleLevel"/>
    <w:tmpl w:val="AE09F17B"/>
    <w:lvl w:ilvl="0" w:tentative="0">
      <w:start w:val="2"/>
      <w:numFmt w:val="chineseCounting"/>
      <w:suff w:val="nothing"/>
      <w:lvlText w:val="%1、"/>
      <w:lvlJc w:val="left"/>
      <w:rPr>
        <w:rFonts w:hint="eastAsia"/>
      </w:rPr>
    </w:lvl>
  </w:abstractNum>
  <w:abstractNum w:abstractNumId="3">
    <w:nsid w:val="1AE6B8A4"/>
    <w:multiLevelType w:val="singleLevel"/>
    <w:tmpl w:val="1AE6B8A4"/>
    <w:lvl w:ilvl="0" w:tentative="0">
      <w:start w:val="2"/>
      <w:numFmt w:val="chineseCounting"/>
      <w:suff w:val="nothing"/>
      <w:lvlText w:val="（%1）"/>
      <w:lvlJc w:val="left"/>
      <w:rPr>
        <w:rFonts w:hint="eastAsia"/>
      </w:rPr>
    </w:lvl>
  </w:abstractNum>
  <w:abstractNum w:abstractNumId="4">
    <w:nsid w:val="63BECED5"/>
    <w:multiLevelType w:val="singleLevel"/>
    <w:tmpl w:val="63BECED5"/>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3ODRlNDI4YTljMTU0ZTUwNWI0ZmNhMGEzZGU4OTgifQ=="/>
  </w:docVars>
  <w:rsids>
    <w:rsidRoot w:val="0032090E"/>
    <w:rsid w:val="00157B81"/>
    <w:rsid w:val="0032090E"/>
    <w:rsid w:val="00790918"/>
    <w:rsid w:val="019561C7"/>
    <w:rsid w:val="02E60BAE"/>
    <w:rsid w:val="03165A7A"/>
    <w:rsid w:val="03BA7835"/>
    <w:rsid w:val="053B524D"/>
    <w:rsid w:val="058E54A5"/>
    <w:rsid w:val="087544BB"/>
    <w:rsid w:val="08CF488E"/>
    <w:rsid w:val="0AE64A39"/>
    <w:rsid w:val="0E28039E"/>
    <w:rsid w:val="0FA93853"/>
    <w:rsid w:val="0FC8656F"/>
    <w:rsid w:val="105225C9"/>
    <w:rsid w:val="111F7999"/>
    <w:rsid w:val="11A63E76"/>
    <w:rsid w:val="11D3635A"/>
    <w:rsid w:val="15E51173"/>
    <w:rsid w:val="1BFF5569"/>
    <w:rsid w:val="1E2633E1"/>
    <w:rsid w:val="1FF072AA"/>
    <w:rsid w:val="23C80C72"/>
    <w:rsid w:val="2444594A"/>
    <w:rsid w:val="25305C55"/>
    <w:rsid w:val="2AAC0318"/>
    <w:rsid w:val="2BC311B1"/>
    <w:rsid w:val="2D782A30"/>
    <w:rsid w:val="329B5606"/>
    <w:rsid w:val="34653BFF"/>
    <w:rsid w:val="38CA44A3"/>
    <w:rsid w:val="3C17717E"/>
    <w:rsid w:val="3C3903F7"/>
    <w:rsid w:val="3C8F6F50"/>
    <w:rsid w:val="3F6620AD"/>
    <w:rsid w:val="3F985D61"/>
    <w:rsid w:val="40E7478E"/>
    <w:rsid w:val="42C138DE"/>
    <w:rsid w:val="444143A3"/>
    <w:rsid w:val="4C2D79AE"/>
    <w:rsid w:val="50050A57"/>
    <w:rsid w:val="52726CF1"/>
    <w:rsid w:val="5502468C"/>
    <w:rsid w:val="556C5424"/>
    <w:rsid w:val="55944CBE"/>
    <w:rsid w:val="56B24F8F"/>
    <w:rsid w:val="5EFD4F18"/>
    <w:rsid w:val="5F0E7032"/>
    <w:rsid w:val="5F7702ED"/>
    <w:rsid w:val="60805854"/>
    <w:rsid w:val="62B1301D"/>
    <w:rsid w:val="62F40194"/>
    <w:rsid w:val="64526435"/>
    <w:rsid w:val="64CF7446"/>
    <w:rsid w:val="677D7694"/>
    <w:rsid w:val="686923E4"/>
    <w:rsid w:val="687262DE"/>
    <w:rsid w:val="6A14511D"/>
    <w:rsid w:val="6A5C42DB"/>
    <w:rsid w:val="6B5A2FE4"/>
    <w:rsid w:val="6C9D18A4"/>
    <w:rsid w:val="6E7D57A6"/>
    <w:rsid w:val="6E911D00"/>
    <w:rsid w:val="74402821"/>
    <w:rsid w:val="79C75243"/>
    <w:rsid w:val="7B7C2434"/>
    <w:rsid w:val="7E340452"/>
    <w:rsid w:val="7EC31A5E"/>
    <w:rsid w:val="7F472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ind w:left="420" w:leftChars="200"/>
    </w:pPr>
  </w:style>
  <w:style w:type="paragraph" w:styleId="6">
    <w:name w:val="footer"/>
    <w:basedOn w:val="1"/>
    <w:link w:val="17"/>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3">
    <w:name w:val="Strong"/>
    <w:basedOn w:val="12"/>
    <w:qFormat/>
    <w:uiPriority w:val="99"/>
    <w:rPr>
      <w:b/>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customStyle="1" w:styleId="15">
    <w:name w:val="table of figures1"/>
    <w:basedOn w:val="1"/>
    <w:next w:val="1"/>
    <w:qFormat/>
    <w:uiPriority w:val="99"/>
    <w:pPr>
      <w:ind w:left="200" w:leftChars="200" w:hanging="200" w:hangingChars="200"/>
    </w:pPr>
  </w:style>
  <w:style w:type="character" w:customStyle="1" w:styleId="16">
    <w:name w:val="页眉 Char"/>
    <w:basedOn w:val="12"/>
    <w:link w:val="7"/>
    <w:qFormat/>
    <w:uiPriority w:val="0"/>
    <w:rPr>
      <w:kern w:val="2"/>
      <w:sz w:val="18"/>
      <w:szCs w:val="18"/>
    </w:rPr>
  </w:style>
  <w:style w:type="character" w:customStyle="1" w:styleId="17">
    <w:name w:val="页脚 Char"/>
    <w:basedOn w:val="12"/>
    <w:link w:val="6"/>
    <w:qFormat/>
    <w:uiPriority w:val="0"/>
    <w:rPr>
      <w:kern w:val="2"/>
      <w:sz w:val="18"/>
      <w:szCs w:val="18"/>
    </w:rPr>
  </w:style>
  <w:style w:type="character" w:customStyle="1" w:styleId="18">
    <w:name w:val="标题 1 字符"/>
    <w:basedOn w:val="12"/>
    <w:link w:val="4"/>
    <w:qFormat/>
    <w:uiPriority w:val="9"/>
    <w:rPr>
      <w:b/>
      <w:bCs/>
      <w:kern w:val="44"/>
      <w:sz w:val="44"/>
      <w:szCs w:val="44"/>
    </w:rPr>
  </w:style>
  <w:style w:type="character" w:customStyle="1" w:styleId="19">
    <w:name w:val="标题 2 字符"/>
    <w:basedOn w:val="12"/>
    <w:link w:val="5"/>
    <w:qFormat/>
    <w:uiPriority w:val="9"/>
    <w:rPr>
      <w:rFonts w:asciiTheme="majorHAnsi" w:hAnsiTheme="majorHAnsi" w:eastAsiaTheme="majorEastAsia" w:cstheme="majorBidi"/>
      <w:b/>
      <w:bCs/>
      <w:sz w:val="32"/>
      <w:szCs w:val="32"/>
    </w:rPr>
  </w:style>
  <w:style w:type="paragraph" w:customStyle="1" w:styleId="2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1">
    <w:name w:val="标题 1 Char"/>
    <w:basedOn w:val="12"/>
    <w:link w:val="4"/>
    <w:qFormat/>
    <w:uiPriority w:val="9"/>
    <w:rPr>
      <w:rFonts w:ascii="Times New Roman" w:hAnsi="Times New Roman"/>
      <w:b/>
      <w:bCs/>
      <w:kern w:val="44"/>
      <w:sz w:val="44"/>
      <w:szCs w:val="44"/>
    </w:rPr>
  </w:style>
  <w:style w:type="character" w:customStyle="1" w:styleId="22">
    <w:name w:val="标题 2 Char"/>
    <w:basedOn w:val="12"/>
    <w:link w:val="5"/>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13422</Words>
  <Characters>13995</Characters>
  <Lines>67</Lines>
  <Paragraphs>18</Paragraphs>
  <TotalTime>3</TotalTime>
  <ScaleCrop>false</ScaleCrop>
  <LinksUpToDate>false</LinksUpToDate>
  <CharactersWithSpaces>14074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2019-09-04T14:45:00Z</dcterms:created>
  <dc:creator>admin</dc:creator>
  <cp:lastModifiedBy>昭化融媒体</cp:lastModifiedBy>
  <dcterms:modified xsi:type="dcterms:W3CDTF">2025-03-21T03:10:03Z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015C7C4320A14728BC6FD32C2965B3A8</vt:lpwstr>
  </property>
  <property fmtid="{D5CDD505-2E9C-101B-9397-08002B2CF9AE}" pid="4" name="KSOTemplateDocerSaveRecord">
    <vt:lpwstr>eyJoZGlkIjoiMGVhYTg4NGNkZWJkODFjNzcyZDRjM2M4Y2UzNjI5ZmUiLCJ1c2VySWQiOiI2MTE2MzEwMDYifQ==</vt:lpwstr>
  </property>
</Properties>
</file>